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1B2AE" w14:textId="77777777" w:rsidR="00696584" w:rsidRDefault="00696584">
      <w:pPr>
        <w:pStyle w:val="abbreviation"/>
      </w:pPr>
    </w:p>
    <w:p w14:paraId="7FE1B2AF" w14:textId="77777777" w:rsidR="00696584" w:rsidRDefault="002C4F63">
      <w:pPr>
        <w:pStyle w:val="P68B1DB1-ListParagraph1"/>
        <w:jc w:val="center"/>
        <w:rPr>
          <w:bCs/>
        </w:rPr>
      </w:pPr>
      <w:r>
        <w:t>Anhang II: Erläuterungen</w:t>
      </w:r>
    </w:p>
    <w:p w14:paraId="7FE1B2B0" w14:textId="77777777" w:rsidR="00696584" w:rsidRDefault="00696584">
      <w:pPr>
        <w:rPr>
          <w:rFonts w:ascii="Times New Roman" w:hAnsi="Times New Roman" w:cs="Times New Roman"/>
          <w:b/>
          <w:color w:val="000000" w:themeColor="text1"/>
          <w:sz w:val="20"/>
          <w:szCs w:val="20"/>
        </w:rPr>
      </w:pPr>
    </w:p>
    <w:p w14:paraId="7FE1B2B1" w14:textId="77777777" w:rsidR="00696584" w:rsidRDefault="00696584">
      <w:pPr>
        <w:rPr>
          <w:rFonts w:ascii="Times New Roman" w:hAnsi="Times New Roman" w:cs="Times New Roman"/>
          <w:b/>
          <w:color w:val="000000" w:themeColor="text1"/>
          <w:sz w:val="20"/>
          <w:szCs w:val="20"/>
        </w:rPr>
      </w:pPr>
    </w:p>
    <w:p w14:paraId="7D002AF0" w14:textId="6FBB7782" w:rsidR="009907F3" w:rsidRDefault="002C4F63">
      <w:pPr>
        <w:pStyle w:val="TOC2"/>
        <w:rPr>
          <w:noProof/>
          <w:kern w:val="2"/>
          <w:sz w:val="24"/>
          <w:szCs w:val="24"/>
          <w:lang w:val="de-AT" w:eastAsia="de-AT"/>
          <w14:ligatures w14:val="standardContextual"/>
        </w:rPr>
      </w:pPr>
      <w:r>
        <w:fldChar w:fldCharType="begin"/>
      </w:r>
      <w:r>
        <w:rPr>
          <w:bCs/>
          <w:sz w:val="20"/>
          <w:szCs w:val="20"/>
        </w:rPr>
        <w:instrText xml:space="preserve"> TOC \o "1-3" \h \z \t "Numbered tile level 1,1,Numbered title level 2,2" </w:instrText>
      </w:r>
      <w:r>
        <w:fldChar w:fldCharType="separate"/>
      </w:r>
      <w:hyperlink w:anchor="_Toc209533573" w:history="1">
        <w:r w:rsidR="009907F3" w:rsidRPr="00D943E6">
          <w:rPr>
            <w:rStyle w:val="Hyperlink"/>
            <w:noProof/>
          </w:rPr>
          <w:t>I.</w:t>
        </w:r>
        <w:r w:rsidR="009907F3">
          <w:rPr>
            <w:noProof/>
            <w:kern w:val="2"/>
            <w:sz w:val="24"/>
            <w:szCs w:val="24"/>
            <w:lang w:val="de-AT" w:eastAsia="de-AT"/>
            <w14:ligatures w14:val="standardContextual"/>
          </w:rPr>
          <w:tab/>
        </w:r>
        <w:r w:rsidR="009907F3" w:rsidRPr="00D943E6">
          <w:rPr>
            <w:rStyle w:val="Hyperlink"/>
            <w:noProof/>
          </w:rPr>
          <w:t>Allgemeine Hinweise</w:t>
        </w:r>
        <w:r w:rsidR="009907F3">
          <w:rPr>
            <w:noProof/>
            <w:webHidden/>
          </w:rPr>
          <w:tab/>
        </w:r>
        <w:r w:rsidR="009907F3">
          <w:rPr>
            <w:noProof/>
            <w:webHidden/>
          </w:rPr>
          <w:fldChar w:fldCharType="begin"/>
        </w:r>
        <w:r w:rsidR="009907F3">
          <w:rPr>
            <w:noProof/>
            <w:webHidden/>
          </w:rPr>
          <w:instrText xml:space="preserve"> PAGEREF _Toc209533573 \h </w:instrText>
        </w:r>
        <w:r w:rsidR="009907F3">
          <w:rPr>
            <w:noProof/>
            <w:webHidden/>
          </w:rPr>
        </w:r>
        <w:r w:rsidR="009907F3">
          <w:rPr>
            <w:noProof/>
            <w:webHidden/>
          </w:rPr>
          <w:fldChar w:fldCharType="separate"/>
        </w:r>
        <w:r w:rsidR="009907F3">
          <w:rPr>
            <w:noProof/>
            <w:webHidden/>
          </w:rPr>
          <w:t>4</w:t>
        </w:r>
        <w:r w:rsidR="009907F3">
          <w:rPr>
            <w:noProof/>
            <w:webHidden/>
          </w:rPr>
          <w:fldChar w:fldCharType="end"/>
        </w:r>
      </w:hyperlink>
    </w:p>
    <w:p w14:paraId="0A7C472E" w14:textId="322BEC3A" w:rsidR="009907F3" w:rsidRDefault="009907F3">
      <w:pPr>
        <w:pStyle w:val="TOC2"/>
        <w:rPr>
          <w:noProof/>
          <w:kern w:val="2"/>
          <w:sz w:val="24"/>
          <w:szCs w:val="24"/>
          <w:lang w:val="de-AT" w:eastAsia="de-AT"/>
          <w14:ligatures w14:val="standardContextual"/>
        </w:rPr>
      </w:pPr>
      <w:hyperlink w:anchor="_Toc209533574" w:history="1">
        <w:r w:rsidRPr="00D943E6">
          <w:rPr>
            <w:rStyle w:val="Hyperlink"/>
            <w:noProof/>
          </w:rPr>
          <w:t>I.1</w:t>
        </w:r>
        <w:r>
          <w:rPr>
            <w:noProof/>
            <w:kern w:val="2"/>
            <w:sz w:val="24"/>
            <w:szCs w:val="24"/>
            <w:lang w:val="de-AT" w:eastAsia="de-AT"/>
            <w14:ligatures w14:val="standardContextual"/>
          </w:rPr>
          <w:tab/>
        </w:r>
        <w:r w:rsidRPr="00D943E6">
          <w:rPr>
            <w:rStyle w:val="Hyperlink"/>
            <w:noProof/>
          </w:rPr>
          <w:t>Struktur</w:t>
        </w:r>
        <w:r>
          <w:rPr>
            <w:noProof/>
            <w:webHidden/>
          </w:rPr>
          <w:tab/>
        </w:r>
        <w:r>
          <w:rPr>
            <w:noProof/>
            <w:webHidden/>
          </w:rPr>
          <w:fldChar w:fldCharType="begin"/>
        </w:r>
        <w:r>
          <w:rPr>
            <w:noProof/>
            <w:webHidden/>
          </w:rPr>
          <w:instrText xml:space="preserve"> PAGEREF _Toc209533574 \h </w:instrText>
        </w:r>
        <w:r>
          <w:rPr>
            <w:noProof/>
            <w:webHidden/>
          </w:rPr>
        </w:r>
        <w:r>
          <w:rPr>
            <w:noProof/>
            <w:webHidden/>
          </w:rPr>
          <w:fldChar w:fldCharType="separate"/>
        </w:r>
        <w:r>
          <w:rPr>
            <w:noProof/>
            <w:webHidden/>
          </w:rPr>
          <w:t>4</w:t>
        </w:r>
        <w:r>
          <w:rPr>
            <w:noProof/>
            <w:webHidden/>
          </w:rPr>
          <w:fldChar w:fldCharType="end"/>
        </w:r>
      </w:hyperlink>
    </w:p>
    <w:p w14:paraId="5CC36B47" w14:textId="07E9E4D5" w:rsidR="009907F3" w:rsidRDefault="009907F3">
      <w:pPr>
        <w:pStyle w:val="TOC2"/>
        <w:rPr>
          <w:noProof/>
          <w:kern w:val="2"/>
          <w:sz w:val="24"/>
          <w:szCs w:val="24"/>
          <w:lang w:val="de-AT" w:eastAsia="de-AT"/>
          <w14:ligatures w14:val="standardContextual"/>
        </w:rPr>
      </w:pPr>
      <w:hyperlink w:anchor="_Toc209533575" w:history="1">
        <w:r w:rsidRPr="00D943E6">
          <w:rPr>
            <w:rStyle w:val="Hyperlink"/>
            <w:noProof/>
          </w:rPr>
          <w:t>I.2</w:t>
        </w:r>
        <w:r>
          <w:rPr>
            <w:noProof/>
            <w:kern w:val="2"/>
            <w:sz w:val="24"/>
            <w:szCs w:val="24"/>
            <w:lang w:val="de-AT" w:eastAsia="de-AT"/>
            <w14:ligatures w14:val="standardContextual"/>
          </w:rPr>
          <w:tab/>
        </w:r>
        <w:r w:rsidRPr="00D943E6">
          <w:rPr>
            <w:rStyle w:val="Hyperlink"/>
            <w:noProof/>
          </w:rPr>
          <w:t>Referenzen</w:t>
        </w:r>
        <w:r>
          <w:rPr>
            <w:noProof/>
            <w:webHidden/>
          </w:rPr>
          <w:tab/>
        </w:r>
        <w:r>
          <w:rPr>
            <w:noProof/>
            <w:webHidden/>
          </w:rPr>
          <w:fldChar w:fldCharType="begin"/>
        </w:r>
        <w:r>
          <w:rPr>
            <w:noProof/>
            <w:webHidden/>
          </w:rPr>
          <w:instrText xml:space="preserve"> PAGEREF _Toc209533575 \h </w:instrText>
        </w:r>
        <w:r>
          <w:rPr>
            <w:noProof/>
            <w:webHidden/>
          </w:rPr>
        </w:r>
        <w:r>
          <w:rPr>
            <w:noProof/>
            <w:webHidden/>
          </w:rPr>
          <w:fldChar w:fldCharType="separate"/>
        </w:r>
        <w:r>
          <w:rPr>
            <w:noProof/>
            <w:webHidden/>
          </w:rPr>
          <w:t>5</w:t>
        </w:r>
        <w:r>
          <w:rPr>
            <w:noProof/>
            <w:webHidden/>
          </w:rPr>
          <w:fldChar w:fldCharType="end"/>
        </w:r>
      </w:hyperlink>
    </w:p>
    <w:p w14:paraId="4FF76C24" w14:textId="19DD6C96" w:rsidR="009907F3" w:rsidRDefault="009907F3">
      <w:pPr>
        <w:pStyle w:val="TOC2"/>
        <w:rPr>
          <w:noProof/>
          <w:kern w:val="2"/>
          <w:sz w:val="24"/>
          <w:szCs w:val="24"/>
          <w:lang w:val="de-AT" w:eastAsia="de-AT"/>
          <w14:ligatures w14:val="standardContextual"/>
        </w:rPr>
      </w:pPr>
      <w:hyperlink w:anchor="_Toc209533576" w:history="1">
        <w:r w:rsidRPr="00D943E6">
          <w:rPr>
            <w:rStyle w:val="Hyperlink"/>
            <w:noProof/>
          </w:rPr>
          <w:t>I.3</w:t>
        </w:r>
        <w:r>
          <w:rPr>
            <w:noProof/>
            <w:kern w:val="2"/>
            <w:sz w:val="24"/>
            <w:szCs w:val="24"/>
            <w:lang w:val="de-AT" w:eastAsia="de-AT"/>
            <w14:ligatures w14:val="standardContextual"/>
          </w:rPr>
          <w:tab/>
        </w:r>
        <w:r w:rsidRPr="00D943E6">
          <w:rPr>
            <w:rStyle w:val="Hyperlink"/>
            <w:noProof/>
          </w:rPr>
          <w:t>Rechnungslegungsstandards</w:t>
        </w:r>
        <w:r>
          <w:rPr>
            <w:noProof/>
            <w:webHidden/>
          </w:rPr>
          <w:tab/>
        </w:r>
        <w:r>
          <w:rPr>
            <w:noProof/>
            <w:webHidden/>
          </w:rPr>
          <w:fldChar w:fldCharType="begin"/>
        </w:r>
        <w:r>
          <w:rPr>
            <w:noProof/>
            <w:webHidden/>
          </w:rPr>
          <w:instrText xml:space="preserve"> PAGEREF _Toc209533576 \h </w:instrText>
        </w:r>
        <w:r>
          <w:rPr>
            <w:noProof/>
            <w:webHidden/>
          </w:rPr>
        </w:r>
        <w:r>
          <w:rPr>
            <w:noProof/>
            <w:webHidden/>
          </w:rPr>
          <w:fldChar w:fldCharType="separate"/>
        </w:r>
        <w:r>
          <w:rPr>
            <w:noProof/>
            <w:webHidden/>
          </w:rPr>
          <w:t>7</w:t>
        </w:r>
        <w:r>
          <w:rPr>
            <w:noProof/>
            <w:webHidden/>
          </w:rPr>
          <w:fldChar w:fldCharType="end"/>
        </w:r>
      </w:hyperlink>
    </w:p>
    <w:p w14:paraId="61FC89C0" w14:textId="0DD522E5" w:rsidR="009907F3" w:rsidRDefault="009907F3">
      <w:pPr>
        <w:pStyle w:val="TOC2"/>
        <w:rPr>
          <w:noProof/>
          <w:kern w:val="2"/>
          <w:sz w:val="24"/>
          <w:szCs w:val="24"/>
          <w:lang w:val="de-AT" w:eastAsia="de-AT"/>
          <w14:ligatures w14:val="standardContextual"/>
        </w:rPr>
      </w:pPr>
      <w:hyperlink w:anchor="_Toc209533577" w:history="1">
        <w:r w:rsidRPr="00D943E6">
          <w:rPr>
            <w:rStyle w:val="Hyperlink"/>
            <w:noProof/>
          </w:rPr>
          <w:t>I.4</w:t>
        </w:r>
        <w:r>
          <w:rPr>
            <w:noProof/>
            <w:kern w:val="2"/>
            <w:sz w:val="24"/>
            <w:szCs w:val="24"/>
            <w:lang w:val="de-AT" w:eastAsia="de-AT"/>
            <w14:ligatures w14:val="standardContextual"/>
          </w:rPr>
          <w:tab/>
        </w:r>
        <w:r w:rsidRPr="00D943E6">
          <w:rPr>
            <w:rStyle w:val="Hyperlink"/>
            <w:noProof/>
          </w:rPr>
          <w:t>Meldung aufsichtlicher Daten</w:t>
        </w:r>
        <w:r>
          <w:rPr>
            <w:noProof/>
            <w:webHidden/>
          </w:rPr>
          <w:tab/>
        </w:r>
        <w:r>
          <w:rPr>
            <w:noProof/>
            <w:webHidden/>
          </w:rPr>
          <w:fldChar w:fldCharType="begin"/>
        </w:r>
        <w:r>
          <w:rPr>
            <w:noProof/>
            <w:webHidden/>
          </w:rPr>
          <w:instrText xml:space="preserve"> PAGEREF _Toc209533577 \h </w:instrText>
        </w:r>
        <w:r>
          <w:rPr>
            <w:noProof/>
            <w:webHidden/>
          </w:rPr>
        </w:r>
        <w:r>
          <w:rPr>
            <w:noProof/>
            <w:webHidden/>
          </w:rPr>
          <w:fldChar w:fldCharType="separate"/>
        </w:r>
        <w:r>
          <w:rPr>
            <w:noProof/>
            <w:webHidden/>
          </w:rPr>
          <w:t>7</w:t>
        </w:r>
        <w:r>
          <w:rPr>
            <w:noProof/>
            <w:webHidden/>
          </w:rPr>
          <w:fldChar w:fldCharType="end"/>
        </w:r>
      </w:hyperlink>
    </w:p>
    <w:p w14:paraId="303D8170" w14:textId="0B446C49" w:rsidR="009907F3" w:rsidRDefault="009907F3">
      <w:pPr>
        <w:pStyle w:val="TOC2"/>
        <w:rPr>
          <w:noProof/>
          <w:kern w:val="2"/>
          <w:sz w:val="24"/>
          <w:szCs w:val="24"/>
          <w:lang w:val="de-AT" w:eastAsia="de-AT"/>
          <w14:ligatures w14:val="standardContextual"/>
        </w:rPr>
      </w:pPr>
      <w:hyperlink w:anchor="_Toc209533578" w:history="1">
        <w:r w:rsidRPr="00D943E6">
          <w:rPr>
            <w:rStyle w:val="Hyperlink"/>
            <w:noProof/>
          </w:rPr>
          <w:t>I.5</w:t>
        </w:r>
        <w:r>
          <w:rPr>
            <w:noProof/>
            <w:kern w:val="2"/>
            <w:sz w:val="24"/>
            <w:szCs w:val="24"/>
            <w:lang w:val="de-AT" w:eastAsia="de-AT"/>
            <w14:ligatures w14:val="standardContextual"/>
          </w:rPr>
          <w:tab/>
        </w:r>
        <w:r w:rsidRPr="00D943E6">
          <w:rPr>
            <w:rStyle w:val="Hyperlink"/>
            <w:noProof/>
          </w:rPr>
          <w:t>Konsolidierungskreis</w:t>
        </w:r>
        <w:r>
          <w:rPr>
            <w:noProof/>
            <w:webHidden/>
          </w:rPr>
          <w:tab/>
        </w:r>
        <w:r>
          <w:rPr>
            <w:noProof/>
            <w:webHidden/>
          </w:rPr>
          <w:fldChar w:fldCharType="begin"/>
        </w:r>
        <w:r>
          <w:rPr>
            <w:noProof/>
            <w:webHidden/>
          </w:rPr>
          <w:instrText xml:space="preserve"> PAGEREF _Toc209533578 \h </w:instrText>
        </w:r>
        <w:r>
          <w:rPr>
            <w:noProof/>
            <w:webHidden/>
          </w:rPr>
        </w:r>
        <w:r>
          <w:rPr>
            <w:noProof/>
            <w:webHidden/>
          </w:rPr>
          <w:fldChar w:fldCharType="separate"/>
        </w:r>
        <w:r>
          <w:rPr>
            <w:noProof/>
            <w:webHidden/>
          </w:rPr>
          <w:t>7</w:t>
        </w:r>
        <w:r>
          <w:rPr>
            <w:noProof/>
            <w:webHidden/>
          </w:rPr>
          <w:fldChar w:fldCharType="end"/>
        </w:r>
      </w:hyperlink>
    </w:p>
    <w:p w14:paraId="429B74BD" w14:textId="67E58EFC" w:rsidR="009907F3" w:rsidRDefault="009907F3">
      <w:pPr>
        <w:pStyle w:val="TOC2"/>
        <w:rPr>
          <w:noProof/>
          <w:kern w:val="2"/>
          <w:sz w:val="24"/>
          <w:szCs w:val="24"/>
          <w:lang w:val="de-AT" w:eastAsia="de-AT"/>
          <w14:ligatures w14:val="standardContextual"/>
        </w:rPr>
      </w:pPr>
      <w:hyperlink w:anchor="_Toc209533579" w:history="1">
        <w:r w:rsidRPr="00D943E6">
          <w:rPr>
            <w:rStyle w:val="Hyperlink"/>
            <w:noProof/>
          </w:rPr>
          <w:t>I.6</w:t>
        </w:r>
        <w:r>
          <w:rPr>
            <w:noProof/>
            <w:kern w:val="2"/>
            <w:sz w:val="24"/>
            <w:szCs w:val="24"/>
            <w:lang w:val="de-AT" w:eastAsia="de-AT"/>
            <w14:ligatures w14:val="standardContextual"/>
          </w:rPr>
          <w:tab/>
        </w:r>
        <w:r w:rsidRPr="00D943E6">
          <w:rPr>
            <w:rStyle w:val="Hyperlink"/>
            <w:noProof/>
          </w:rPr>
          <w:t>Nummerierung und sonstige Konventionen</w:t>
        </w:r>
        <w:r>
          <w:rPr>
            <w:noProof/>
            <w:webHidden/>
          </w:rPr>
          <w:tab/>
        </w:r>
        <w:r>
          <w:rPr>
            <w:noProof/>
            <w:webHidden/>
          </w:rPr>
          <w:fldChar w:fldCharType="begin"/>
        </w:r>
        <w:r>
          <w:rPr>
            <w:noProof/>
            <w:webHidden/>
          </w:rPr>
          <w:instrText xml:space="preserve"> PAGEREF _Toc209533579 \h </w:instrText>
        </w:r>
        <w:r>
          <w:rPr>
            <w:noProof/>
            <w:webHidden/>
          </w:rPr>
        </w:r>
        <w:r>
          <w:rPr>
            <w:noProof/>
            <w:webHidden/>
          </w:rPr>
          <w:fldChar w:fldCharType="separate"/>
        </w:r>
        <w:r>
          <w:rPr>
            <w:noProof/>
            <w:webHidden/>
          </w:rPr>
          <w:t>7</w:t>
        </w:r>
        <w:r>
          <w:rPr>
            <w:noProof/>
            <w:webHidden/>
          </w:rPr>
          <w:fldChar w:fldCharType="end"/>
        </w:r>
      </w:hyperlink>
    </w:p>
    <w:p w14:paraId="60DA4256" w14:textId="01886FFE" w:rsidR="009907F3" w:rsidRDefault="009907F3">
      <w:pPr>
        <w:pStyle w:val="TOC2"/>
        <w:rPr>
          <w:noProof/>
          <w:kern w:val="2"/>
          <w:sz w:val="24"/>
          <w:szCs w:val="24"/>
          <w:lang w:val="de-AT" w:eastAsia="de-AT"/>
          <w14:ligatures w14:val="standardContextual"/>
        </w:rPr>
      </w:pPr>
      <w:hyperlink w:anchor="_Toc209533580" w:history="1">
        <w:r w:rsidRPr="00D943E6">
          <w:rPr>
            <w:rStyle w:val="Hyperlink"/>
            <w:noProof/>
          </w:rPr>
          <w:t>II.</w:t>
        </w:r>
        <w:r>
          <w:rPr>
            <w:noProof/>
            <w:kern w:val="2"/>
            <w:sz w:val="24"/>
            <w:szCs w:val="24"/>
            <w:lang w:val="de-AT" w:eastAsia="de-AT"/>
            <w14:ligatures w14:val="standardContextual"/>
          </w:rPr>
          <w:tab/>
        </w:r>
        <w:r w:rsidRPr="00D943E6">
          <w:rPr>
            <w:rStyle w:val="Hyperlink"/>
            <w:noProof/>
          </w:rPr>
          <w:t>Erläuterungen zu den einzelnen Meldebögen</w:t>
        </w:r>
        <w:r>
          <w:rPr>
            <w:noProof/>
            <w:webHidden/>
          </w:rPr>
          <w:tab/>
        </w:r>
        <w:r>
          <w:rPr>
            <w:noProof/>
            <w:webHidden/>
          </w:rPr>
          <w:fldChar w:fldCharType="begin"/>
        </w:r>
        <w:r>
          <w:rPr>
            <w:noProof/>
            <w:webHidden/>
          </w:rPr>
          <w:instrText xml:space="preserve"> PAGEREF _Toc209533580 \h </w:instrText>
        </w:r>
        <w:r>
          <w:rPr>
            <w:noProof/>
            <w:webHidden/>
          </w:rPr>
        </w:r>
        <w:r>
          <w:rPr>
            <w:noProof/>
            <w:webHidden/>
          </w:rPr>
          <w:fldChar w:fldCharType="separate"/>
        </w:r>
        <w:r>
          <w:rPr>
            <w:noProof/>
            <w:webHidden/>
          </w:rPr>
          <w:t>8</w:t>
        </w:r>
        <w:r>
          <w:rPr>
            <w:noProof/>
            <w:webHidden/>
          </w:rPr>
          <w:fldChar w:fldCharType="end"/>
        </w:r>
      </w:hyperlink>
    </w:p>
    <w:p w14:paraId="302FC89E" w14:textId="41ECB476" w:rsidR="009907F3" w:rsidRDefault="009907F3">
      <w:pPr>
        <w:pStyle w:val="TOC2"/>
        <w:rPr>
          <w:noProof/>
          <w:kern w:val="2"/>
          <w:sz w:val="24"/>
          <w:szCs w:val="24"/>
          <w:lang w:val="de-AT" w:eastAsia="de-AT"/>
          <w14:ligatures w14:val="standardContextual"/>
        </w:rPr>
      </w:pPr>
      <w:hyperlink w:anchor="_Toc209533581" w:history="1">
        <w:r w:rsidRPr="00D943E6">
          <w:rPr>
            <w:rStyle w:val="Hyperlink"/>
            <w:noProof/>
          </w:rPr>
          <w:t>II.1</w:t>
        </w:r>
        <w:r>
          <w:rPr>
            <w:noProof/>
            <w:kern w:val="2"/>
            <w:sz w:val="24"/>
            <w:szCs w:val="24"/>
            <w:lang w:val="de-AT" w:eastAsia="de-AT"/>
            <w14:ligatures w14:val="standardContextual"/>
          </w:rPr>
          <w:tab/>
        </w:r>
        <w:r w:rsidRPr="00D943E6">
          <w:rPr>
            <w:rStyle w:val="Hyperlink"/>
            <w:noProof/>
          </w:rPr>
          <w:t>Z 01.01 – Rechtspersonen (ORG 1)</w:t>
        </w:r>
        <w:r>
          <w:rPr>
            <w:noProof/>
            <w:webHidden/>
          </w:rPr>
          <w:tab/>
        </w:r>
        <w:r>
          <w:rPr>
            <w:noProof/>
            <w:webHidden/>
          </w:rPr>
          <w:fldChar w:fldCharType="begin"/>
        </w:r>
        <w:r>
          <w:rPr>
            <w:noProof/>
            <w:webHidden/>
          </w:rPr>
          <w:instrText xml:space="preserve"> PAGEREF _Toc209533581 \h </w:instrText>
        </w:r>
        <w:r>
          <w:rPr>
            <w:noProof/>
            <w:webHidden/>
          </w:rPr>
        </w:r>
        <w:r>
          <w:rPr>
            <w:noProof/>
            <w:webHidden/>
          </w:rPr>
          <w:fldChar w:fldCharType="separate"/>
        </w:r>
        <w:r>
          <w:rPr>
            <w:noProof/>
            <w:webHidden/>
          </w:rPr>
          <w:t>8</w:t>
        </w:r>
        <w:r>
          <w:rPr>
            <w:noProof/>
            <w:webHidden/>
          </w:rPr>
          <w:fldChar w:fldCharType="end"/>
        </w:r>
      </w:hyperlink>
    </w:p>
    <w:p w14:paraId="3430140A" w14:textId="4D9148E6" w:rsidR="009907F3" w:rsidRDefault="009907F3">
      <w:pPr>
        <w:pStyle w:val="TOC2"/>
        <w:rPr>
          <w:noProof/>
          <w:kern w:val="2"/>
          <w:sz w:val="24"/>
          <w:szCs w:val="24"/>
          <w:lang w:val="de-AT" w:eastAsia="de-AT"/>
          <w14:ligatures w14:val="standardContextual"/>
        </w:rPr>
      </w:pPr>
      <w:hyperlink w:anchor="_Toc209533582" w:history="1">
        <w:r w:rsidRPr="00D943E6">
          <w:rPr>
            <w:rStyle w:val="Hyperlink"/>
            <w:noProof/>
          </w:rPr>
          <w:t>II.2</w:t>
        </w:r>
        <w:r>
          <w:rPr>
            <w:noProof/>
            <w:kern w:val="2"/>
            <w:sz w:val="24"/>
            <w:szCs w:val="24"/>
            <w:lang w:val="de-AT" w:eastAsia="de-AT"/>
            <w14:ligatures w14:val="standardContextual"/>
          </w:rPr>
          <w:tab/>
        </w:r>
        <w:r w:rsidRPr="00D943E6">
          <w:rPr>
            <w:rStyle w:val="Hyperlink"/>
            <w:noProof/>
          </w:rPr>
          <w:t>Z 01.02 – Eigentümerstruktur (ORG 2)</w:t>
        </w:r>
        <w:r>
          <w:rPr>
            <w:noProof/>
            <w:webHidden/>
          </w:rPr>
          <w:tab/>
        </w:r>
        <w:r>
          <w:rPr>
            <w:noProof/>
            <w:webHidden/>
          </w:rPr>
          <w:fldChar w:fldCharType="begin"/>
        </w:r>
        <w:r>
          <w:rPr>
            <w:noProof/>
            <w:webHidden/>
          </w:rPr>
          <w:instrText xml:space="preserve"> PAGEREF _Toc209533582 \h </w:instrText>
        </w:r>
        <w:r>
          <w:rPr>
            <w:noProof/>
            <w:webHidden/>
          </w:rPr>
        </w:r>
        <w:r>
          <w:rPr>
            <w:noProof/>
            <w:webHidden/>
          </w:rPr>
          <w:fldChar w:fldCharType="separate"/>
        </w:r>
        <w:r>
          <w:rPr>
            <w:noProof/>
            <w:webHidden/>
          </w:rPr>
          <w:t>12</w:t>
        </w:r>
        <w:r>
          <w:rPr>
            <w:noProof/>
            <w:webHidden/>
          </w:rPr>
          <w:fldChar w:fldCharType="end"/>
        </w:r>
      </w:hyperlink>
    </w:p>
    <w:p w14:paraId="337D97C7" w14:textId="63DC3A3B" w:rsidR="009907F3" w:rsidRDefault="009907F3">
      <w:pPr>
        <w:pStyle w:val="TOC2"/>
        <w:rPr>
          <w:noProof/>
          <w:kern w:val="2"/>
          <w:sz w:val="24"/>
          <w:szCs w:val="24"/>
          <w:lang w:val="de-AT" w:eastAsia="de-AT"/>
          <w14:ligatures w14:val="standardContextual"/>
        </w:rPr>
      </w:pPr>
      <w:hyperlink w:anchor="_Toc209533583" w:history="1">
        <w:r w:rsidRPr="00D943E6">
          <w:rPr>
            <w:rStyle w:val="Hyperlink"/>
            <w:noProof/>
          </w:rPr>
          <w:t>II.3</w:t>
        </w:r>
        <w:r>
          <w:rPr>
            <w:noProof/>
            <w:kern w:val="2"/>
            <w:sz w:val="24"/>
            <w:szCs w:val="24"/>
            <w:lang w:val="de-AT" w:eastAsia="de-AT"/>
            <w14:ligatures w14:val="standardContextual"/>
          </w:rPr>
          <w:tab/>
        </w:r>
        <w:r w:rsidRPr="00D943E6">
          <w:rPr>
            <w:rStyle w:val="Hyperlink"/>
            <w:noProof/>
          </w:rPr>
          <w:t>Z 02.00 – Struktur der Verbindlichkeiten (LIAB 1)</w:t>
        </w:r>
        <w:r>
          <w:rPr>
            <w:noProof/>
            <w:webHidden/>
          </w:rPr>
          <w:tab/>
        </w:r>
        <w:r>
          <w:rPr>
            <w:noProof/>
            <w:webHidden/>
          </w:rPr>
          <w:fldChar w:fldCharType="begin"/>
        </w:r>
        <w:r>
          <w:rPr>
            <w:noProof/>
            <w:webHidden/>
          </w:rPr>
          <w:instrText xml:space="preserve"> PAGEREF _Toc209533583 \h </w:instrText>
        </w:r>
        <w:r>
          <w:rPr>
            <w:noProof/>
            <w:webHidden/>
          </w:rPr>
        </w:r>
        <w:r>
          <w:rPr>
            <w:noProof/>
            <w:webHidden/>
          </w:rPr>
          <w:fldChar w:fldCharType="separate"/>
        </w:r>
        <w:r>
          <w:rPr>
            <w:noProof/>
            <w:webHidden/>
          </w:rPr>
          <w:t>13</w:t>
        </w:r>
        <w:r>
          <w:rPr>
            <w:noProof/>
            <w:webHidden/>
          </w:rPr>
          <w:fldChar w:fldCharType="end"/>
        </w:r>
      </w:hyperlink>
    </w:p>
    <w:p w14:paraId="74348674" w14:textId="71642A4B" w:rsidR="009907F3" w:rsidRDefault="009907F3">
      <w:pPr>
        <w:pStyle w:val="TOC2"/>
        <w:rPr>
          <w:noProof/>
          <w:kern w:val="2"/>
          <w:sz w:val="24"/>
          <w:szCs w:val="24"/>
          <w:lang w:val="de-AT" w:eastAsia="de-AT"/>
          <w14:ligatures w14:val="standardContextual"/>
        </w:rPr>
      </w:pPr>
      <w:hyperlink w:anchor="_Toc209533584" w:history="1">
        <w:r w:rsidRPr="00D943E6">
          <w:rPr>
            <w:rStyle w:val="Hyperlink"/>
            <w:noProof/>
          </w:rPr>
          <w:t>II.4</w:t>
        </w:r>
        <w:r>
          <w:rPr>
            <w:noProof/>
            <w:kern w:val="2"/>
            <w:sz w:val="24"/>
            <w:szCs w:val="24"/>
            <w:lang w:val="de-AT" w:eastAsia="de-AT"/>
            <w14:ligatures w14:val="standardContextual"/>
          </w:rPr>
          <w:tab/>
        </w:r>
        <w:r w:rsidRPr="00D943E6">
          <w:rPr>
            <w:rStyle w:val="Hyperlink"/>
            <w:noProof/>
          </w:rPr>
          <w:t>Z 03.01 – Eigenmittelanforderungen – Kreditinstitute (LIAB 2)</w:t>
        </w:r>
        <w:r>
          <w:rPr>
            <w:noProof/>
            <w:webHidden/>
          </w:rPr>
          <w:tab/>
        </w:r>
        <w:r>
          <w:rPr>
            <w:noProof/>
            <w:webHidden/>
          </w:rPr>
          <w:fldChar w:fldCharType="begin"/>
        </w:r>
        <w:r>
          <w:rPr>
            <w:noProof/>
            <w:webHidden/>
          </w:rPr>
          <w:instrText xml:space="preserve"> PAGEREF _Toc209533584 \h </w:instrText>
        </w:r>
        <w:r>
          <w:rPr>
            <w:noProof/>
            <w:webHidden/>
          </w:rPr>
        </w:r>
        <w:r>
          <w:rPr>
            <w:noProof/>
            <w:webHidden/>
          </w:rPr>
          <w:fldChar w:fldCharType="separate"/>
        </w:r>
        <w:r>
          <w:rPr>
            <w:noProof/>
            <w:webHidden/>
          </w:rPr>
          <w:t>22</w:t>
        </w:r>
        <w:r>
          <w:rPr>
            <w:noProof/>
            <w:webHidden/>
          </w:rPr>
          <w:fldChar w:fldCharType="end"/>
        </w:r>
      </w:hyperlink>
    </w:p>
    <w:p w14:paraId="1E171631" w14:textId="5C031790" w:rsidR="009907F3" w:rsidRDefault="009907F3">
      <w:pPr>
        <w:pStyle w:val="TOC2"/>
        <w:rPr>
          <w:noProof/>
          <w:kern w:val="2"/>
          <w:sz w:val="24"/>
          <w:szCs w:val="24"/>
          <w:lang w:val="de-AT" w:eastAsia="de-AT"/>
          <w14:ligatures w14:val="standardContextual"/>
        </w:rPr>
      </w:pPr>
      <w:hyperlink w:anchor="_Toc209533585" w:history="1">
        <w:r w:rsidRPr="00D943E6">
          <w:rPr>
            <w:rStyle w:val="Hyperlink"/>
            <w:noProof/>
          </w:rPr>
          <w:t>II.5</w:t>
        </w:r>
        <w:r>
          <w:rPr>
            <w:noProof/>
            <w:kern w:val="2"/>
            <w:sz w:val="24"/>
            <w:szCs w:val="24"/>
            <w:lang w:val="de-AT" w:eastAsia="de-AT"/>
            <w14:ligatures w14:val="standardContextual"/>
          </w:rPr>
          <w:tab/>
        </w:r>
        <w:r w:rsidRPr="00D943E6">
          <w:rPr>
            <w:rStyle w:val="Hyperlink"/>
            <w:noProof/>
          </w:rPr>
          <w:t>Z 03.02 – Eigenmittelanforderungen – Wertpapierfirmen (LIAB 3)</w:t>
        </w:r>
        <w:r>
          <w:rPr>
            <w:noProof/>
            <w:webHidden/>
          </w:rPr>
          <w:tab/>
        </w:r>
        <w:r>
          <w:rPr>
            <w:noProof/>
            <w:webHidden/>
          </w:rPr>
          <w:fldChar w:fldCharType="begin"/>
        </w:r>
        <w:r>
          <w:rPr>
            <w:noProof/>
            <w:webHidden/>
          </w:rPr>
          <w:instrText xml:space="preserve"> PAGEREF _Toc209533585 \h </w:instrText>
        </w:r>
        <w:r>
          <w:rPr>
            <w:noProof/>
            <w:webHidden/>
          </w:rPr>
        </w:r>
        <w:r>
          <w:rPr>
            <w:noProof/>
            <w:webHidden/>
          </w:rPr>
          <w:fldChar w:fldCharType="separate"/>
        </w:r>
        <w:r>
          <w:rPr>
            <w:noProof/>
            <w:webHidden/>
          </w:rPr>
          <w:t>25</w:t>
        </w:r>
        <w:r>
          <w:rPr>
            <w:noProof/>
            <w:webHidden/>
          </w:rPr>
          <w:fldChar w:fldCharType="end"/>
        </w:r>
      </w:hyperlink>
    </w:p>
    <w:p w14:paraId="76BB07A0" w14:textId="41B855B2" w:rsidR="009907F3" w:rsidRDefault="009907F3">
      <w:pPr>
        <w:pStyle w:val="TOC2"/>
        <w:rPr>
          <w:noProof/>
          <w:kern w:val="2"/>
          <w:sz w:val="24"/>
          <w:szCs w:val="24"/>
          <w:lang w:val="de-AT" w:eastAsia="de-AT"/>
          <w14:ligatures w14:val="standardContextual"/>
        </w:rPr>
      </w:pPr>
      <w:hyperlink w:anchor="_Toc209533586" w:history="1">
        <w:r w:rsidRPr="00D943E6">
          <w:rPr>
            <w:rStyle w:val="Hyperlink"/>
            <w:noProof/>
          </w:rPr>
          <w:t>II.6</w:t>
        </w:r>
        <w:r>
          <w:rPr>
            <w:noProof/>
            <w:kern w:val="2"/>
            <w:sz w:val="24"/>
            <w:szCs w:val="24"/>
            <w:lang w:val="de-AT" w:eastAsia="de-AT"/>
            <w14:ligatures w14:val="standardContextual"/>
          </w:rPr>
          <w:tab/>
        </w:r>
        <w:r w:rsidRPr="00D943E6">
          <w:rPr>
            <w:rStyle w:val="Hyperlink"/>
            <w:noProof/>
          </w:rPr>
          <w:t>Z 04.00 – Finanzielle Verflechtungen innerhalb der Gruppe (LIAB 4)</w:t>
        </w:r>
        <w:r>
          <w:rPr>
            <w:noProof/>
            <w:webHidden/>
          </w:rPr>
          <w:tab/>
        </w:r>
        <w:r>
          <w:rPr>
            <w:noProof/>
            <w:webHidden/>
          </w:rPr>
          <w:fldChar w:fldCharType="begin"/>
        </w:r>
        <w:r>
          <w:rPr>
            <w:noProof/>
            <w:webHidden/>
          </w:rPr>
          <w:instrText xml:space="preserve"> PAGEREF _Toc209533586 \h </w:instrText>
        </w:r>
        <w:r>
          <w:rPr>
            <w:noProof/>
            <w:webHidden/>
          </w:rPr>
        </w:r>
        <w:r>
          <w:rPr>
            <w:noProof/>
            <w:webHidden/>
          </w:rPr>
          <w:fldChar w:fldCharType="separate"/>
        </w:r>
        <w:r>
          <w:rPr>
            <w:noProof/>
            <w:webHidden/>
          </w:rPr>
          <w:t>26</w:t>
        </w:r>
        <w:r>
          <w:rPr>
            <w:noProof/>
            <w:webHidden/>
          </w:rPr>
          <w:fldChar w:fldCharType="end"/>
        </w:r>
      </w:hyperlink>
    </w:p>
    <w:p w14:paraId="00207D50" w14:textId="7009E67C" w:rsidR="009907F3" w:rsidRDefault="009907F3">
      <w:pPr>
        <w:pStyle w:val="TOC2"/>
        <w:rPr>
          <w:noProof/>
          <w:kern w:val="2"/>
          <w:sz w:val="24"/>
          <w:szCs w:val="24"/>
          <w:lang w:val="de-AT" w:eastAsia="de-AT"/>
          <w14:ligatures w14:val="standardContextual"/>
        </w:rPr>
      </w:pPr>
      <w:hyperlink w:anchor="_Toc209533587" w:history="1">
        <w:r w:rsidRPr="00D943E6">
          <w:rPr>
            <w:rStyle w:val="Hyperlink"/>
            <w:noProof/>
          </w:rPr>
          <w:t>II.7</w:t>
        </w:r>
        <w:r>
          <w:rPr>
            <w:noProof/>
            <w:kern w:val="2"/>
            <w:sz w:val="24"/>
            <w:szCs w:val="24"/>
            <w:lang w:val="de-AT" w:eastAsia="de-AT"/>
            <w14:ligatures w14:val="standardContextual"/>
          </w:rPr>
          <w:tab/>
        </w:r>
        <w:r w:rsidRPr="00D943E6">
          <w:rPr>
            <w:rStyle w:val="Hyperlink"/>
            <w:noProof/>
          </w:rPr>
          <w:t>Wichtige Gegenparteien (LIAB 5 &amp; 6)</w:t>
        </w:r>
        <w:r>
          <w:rPr>
            <w:noProof/>
            <w:webHidden/>
          </w:rPr>
          <w:tab/>
        </w:r>
        <w:r>
          <w:rPr>
            <w:noProof/>
            <w:webHidden/>
          </w:rPr>
          <w:fldChar w:fldCharType="begin"/>
        </w:r>
        <w:r>
          <w:rPr>
            <w:noProof/>
            <w:webHidden/>
          </w:rPr>
          <w:instrText xml:space="preserve"> PAGEREF _Toc209533587 \h </w:instrText>
        </w:r>
        <w:r>
          <w:rPr>
            <w:noProof/>
            <w:webHidden/>
          </w:rPr>
        </w:r>
        <w:r>
          <w:rPr>
            <w:noProof/>
            <w:webHidden/>
          </w:rPr>
          <w:fldChar w:fldCharType="separate"/>
        </w:r>
        <w:r>
          <w:rPr>
            <w:noProof/>
            <w:webHidden/>
          </w:rPr>
          <w:t>29</w:t>
        </w:r>
        <w:r>
          <w:rPr>
            <w:noProof/>
            <w:webHidden/>
          </w:rPr>
          <w:fldChar w:fldCharType="end"/>
        </w:r>
      </w:hyperlink>
    </w:p>
    <w:p w14:paraId="79742706" w14:textId="02C0485A" w:rsidR="009907F3" w:rsidRDefault="009907F3">
      <w:pPr>
        <w:pStyle w:val="TOC2"/>
        <w:rPr>
          <w:noProof/>
          <w:kern w:val="2"/>
          <w:sz w:val="24"/>
          <w:szCs w:val="24"/>
          <w:lang w:val="de-AT" w:eastAsia="de-AT"/>
          <w14:ligatures w14:val="standardContextual"/>
        </w:rPr>
      </w:pPr>
      <w:hyperlink w:anchor="_Toc209533588" w:history="1">
        <w:r w:rsidRPr="00D943E6">
          <w:rPr>
            <w:rStyle w:val="Hyperlink"/>
            <w:noProof/>
          </w:rPr>
          <w:t>II.8</w:t>
        </w:r>
        <w:r>
          <w:rPr>
            <w:noProof/>
            <w:kern w:val="2"/>
            <w:sz w:val="24"/>
            <w:szCs w:val="24"/>
            <w:lang w:val="de-AT" w:eastAsia="de-AT"/>
            <w14:ligatures w14:val="standardContextual"/>
          </w:rPr>
          <w:tab/>
        </w:r>
        <w:r w:rsidRPr="00D943E6">
          <w:rPr>
            <w:rStyle w:val="Hyperlink"/>
            <w:noProof/>
          </w:rPr>
          <w:t>Z 05.01 – Verbindlichkeiten gegenüber wichtigen Gegenparteien (MCP 1)</w:t>
        </w:r>
        <w:r>
          <w:rPr>
            <w:noProof/>
            <w:webHidden/>
          </w:rPr>
          <w:tab/>
        </w:r>
        <w:r>
          <w:rPr>
            <w:noProof/>
            <w:webHidden/>
          </w:rPr>
          <w:fldChar w:fldCharType="begin"/>
        </w:r>
        <w:r>
          <w:rPr>
            <w:noProof/>
            <w:webHidden/>
          </w:rPr>
          <w:instrText xml:space="preserve"> PAGEREF _Toc209533588 \h </w:instrText>
        </w:r>
        <w:r>
          <w:rPr>
            <w:noProof/>
            <w:webHidden/>
          </w:rPr>
        </w:r>
        <w:r>
          <w:rPr>
            <w:noProof/>
            <w:webHidden/>
          </w:rPr>
          <w:fldChar w:fldCharType="separate"/>
        </w:r>
        <w:r>
          <w:rPr>
            <w:noProof/>
            <w:webHidden/>
          </w:rPr>
          <w:t>29</w:t>
        </w:r>
        <w:r>
          <w:rPr>
            <w:noProof/>
            <w:webHidden/>
          </w:rPr>
          <w:fldChar w:fldCharType="end"/>
        </w:r>
      </w:hyperlink>
    </w:p>
    <w:p w14:paraId="7809FD86" w14:textId="2B08967B" w:rsidR="009907F3" w:rsidRDefault="009907F3">
      <w:pPr>
        <w:pStyle w:val="TOC2"/>
        <w:rPr>
          <w:noProof/>
          <w:kern w:val="2"/>
          <w:sz w:val="24"/>
          <w:szCs w:val="24"/>
          <w:lang w:val="de-AT" w:eastAsia="de-AT"/>
          <w14:ligatures w14:val="standardContextual"/>
        </w:rPr>
      </w:pPr>
      <w:hyperlink w:anchor="_Toc209533589" w:history="1">
        <w:r w:rsidRPr="00D943E6">
          <w:rPr>
            <w:rStyle w:val="Hyperlink"/>
            <w:noProof/>
          </w:rPr>
          <w:t>II.9</w:t>
        </w:r>
        <w:r>
          <w:rPr>
            <w:noProof/>
            <w:kern w:val="2"/>
            <w:sz w:val="24"/>
            <w:szCs w:val="24"/>
            <w:lang w:val="de-AT" w:eastAsia="de-AT"/>
            <w14:ligatures w14:val="standardContextual"/>
          </w:rPr>
          <w:tab/>
        </w:r>
        <w:r w:rsidRPr="00D943E6">
          <w:rPr>
            <w:rStyle w:val="Hyperlink"/>
            <w:noProof/>
          </w:rPr>
          <w:t>Z 05.02 – Außerbilanzielle Posten von wichtigen Gegenparteien (MCP 2)</w:t>
        </w:r>
        <w:r>
          <w:rPr>
            <w:noProof/>
            <w:webHidden/>
          </w:rPr>
          <w:tab/>
        </w:r>
        <w:r>
          <w:rPr>
            <w:noProof/>
            <w:webHidden/>
          </w:rPr>
          <w:fldChar w:fldCharType="begin"/>
        </w:r>
        <w:r>
          <w:rPr>
            <w:noProof/>
            <w:webHidden/>
          </w:rPr>
          <w:instrText xml:space="preserve"> PAGEREF _Toc209533589 \h </w:instrText>
        </w:r>
        <w:r>
          <w:rPr>
            <w:noProof/>
            <w:webHidden/>
          </w:rPr>
        </w:r>
        <w:r>
          <w:rPr>
            <w:noProof/>
            <w:webHidden/>
          </w:rPr>
          <w:fldChar w:fldCharType="separate"/>
        </w:r>
        <w:r>
          <w:rPr>
            <w:noProof/>
            <w:webHidden/>
          </w:rPr>
          <w:t>31</w:t>
        </w:r>
        <w:r>
          <w:rPr>
            <w:noProof/>
            <w:webHidden/>
          </w:rPr>
          <w:fldChar w:fldCharType="end"/>
        </w:r>
      </w:hyperlink>
    </w:p>
    <w:p w14:paraId="324FFEEF" w14:textId="23FD5C1D" w:rsidR="009907F3" w:rsidRDefault="009907F3">
      <w:pPr>
        <w:pStyle w:val="TOC2"/>
        <w:rPr>
          <w:noProof/>
          <w:kern w:val="2"/>
          <w:sz w:val="24"/>
          <w:szCs w:val="24"/>
          <w:lang w:val="de-AT" w:eastAsia="de-AT"/>
          <w14:ligatures w14:val="standardContextual"/>
        </w:rPr>
      </w:pPr>
      <w:hyperlink w:anchor="_Toc209533590" w:history="1">
        <w:r w:rsidRPr="00D943E6">
          <w:rPr>
            <w:rStyle w:val="Hyperlink"/>
            <w:noProof/>
          </w:rPr>
          <w:t>II.10</w:t>
        </w:r>
        <w:r>
          <w:rPr>
            <w:noProof/>
            <w:kern w:val="2"/>
            <w:sz w:val="24"/>
            <w:szCs w:val="24"/>
            <w:lang w:val="de-AT" w:eastAsia="de-AT"/>
            <w14:ligatures w14:val="standardContextual"/>
          </w:rPr>
          <w:tab/>
        </w:r>
        <w:r w:rsidRPr="00D943E6">
          <w:rPr>
            <w:rStyle w:val="Hyperlink"/>
            <w:noProof/>
          </w:rPr>
          <w:t>Z 06.00 – Einlagensicherung (LIAB 7)</w:t>
        </w:r>
        <w:r>
          <w:rPr>
            <w:noProof/>
            <w:webHidden/>
          </w:rPr>
          <w:tab/>
        </w:r>
        <w:r>
          <w:rPr>
            <w:noProof/>
            <w:webHidden/>
          </w:rPr>
          <w:fldChar w:fldCharType="begin"/>
        </w:r>
        <w:r>
          <w:rPr>
            <w:noProof/>
            <w:webHidden/>
          </w:rPr>
          <w:instrText xml:space="preserve"> PAGEREF _Toc209533590 \h </w:instrText>
        </w:r>
        <w:r>
          <w:rPr>
            <w:noProof/>
            <w:webHidden/>
          </w:rPr>
        </w:r>
        <w:r>
          <w:rPr>
            <w:noProof/>
            <w:webHidden/>
          </w:rPr>
          <w:fldChar w:fldCharType="separate"/>
        </w:r>
        <w:r>
          <w:rPr>
            <w:noProof/>
            <w:webHidden/>
          </w:rPr>
          <w:t>33</w:t>
        </w:r>
        <w:r>
          <w:rPr>
            <w:noProof/>
            <w:webHidden/>
          </w:rPr>
          <w:fldChar w:fldCharType="end"/>
        </w:r>
      </w:hyperlink>
    </w:p>
    <w:p w14:paraId="41F3D70A" w14:textId="6D5E000D" w:rsidR="009907F3" w:rsidRDefault="009907F3">
      <w:pPr>
        <w:pStyle w:val="TOC2"/>
        <w:rPr>
          <w:noProof/>
          <w:kern w:val="2"/>
          <w:sz w:val="24"/>
          <w:szCs w:val="24"/>
          <w:lang w:val="de-AT" w:eastAsia="de-AT"/>
          <w14:ligatures w14:val="standardContextual"/>
        </w:rPr>
      </w:pPr>
      <w:hyperlink w:anchor="_Toc209533591" w:history="1">
        <w:r w:rsidRPr="00D943E6">
          <w:rPr>
            <w:rStyle w:val="Hyperlink"/>
            <w:noProof/>
          </w:rPr>
          <w:t>II.11</w:t>
        </w:r>
        <w:r>
          <w:rPr>
            <w:noProof/>
            <w:kern w:val="2"/>
            <w:sz w:val="24"/>
            <w:szCs w:val="24"/>
            <w:lang w:val="de-AT" w:eastAsia="de-AT"/>
            <w14:ligatures w14:val="standardContextual"/>
          </w:rPr>
          <w:tab/>
        </w:r>
        <w:r w:rsidRPr="00D943E6">
          <w:rPr>
            <w:rStyle w:val="Hyperlink"/>
            <w:noProof/>
          </w:rPr>
          <w:t>Kritische Funktionen und Kerngeschäftsbereiche</w:t>
        </w:r>
        <w:r>
          <w:rPr>
            <w:noProof/>
            <w:webHidden/>
          </w:rPr>
          <w:tab/>
        </w:r>
        <w:r>
          <w:rPr>
            <w:noProof/>
            <w:webHidden/>
          </w:rPr>
          <w:fldChar w:fldCharType="begin"/>
        </w:r>
        <w:r>
          <w:rPr>
            <w:noProof/>
            <w:webHidden/>
          </w:rPr>
          <w:instrText xml:space="preserve"> PAGEREF _Toc209533591 \h </w:instrText>
        </w:r>
        <w:r>
          <w:rPr>
            <w:noProof/>
            <w:webHidden/>
          </w:rPr>
        </w:r>
        <w:r>
          <w:rPr>
            <w:noProof/>
            <w:webHidden/>
          </w:rPr>
          <w:fldChar w:fldCharType="separate"/>
        </w:r>
        <w:r>
          <w:rPr>
            <w:noProof/>
            <w:webHidden/>
          </w:rPr>
          <w:t>36</w:t>
        </w:r>
        <w:r>
          <w:rPr>
            <w:noProof/>
            <w:webHidden/>
          </w:rPr>
          <w:fldChar w:fldCharType="end"/>
        </w:r>
      </w:hyperlink>
    </w:p>
    <w:p w14:paraId="428D67A9" w14:textId="676778BF" w:rsidR="009907F3" w:rsidRDefault="009907F3">
      <w:pPr>
        <w:pStyle w:val="TOC2"/>
        <w:rPr>
          <w:noProof/>
          <w:kern w:val="2"/>
          <w:sz w:val="24"/>
          <w:szCs w:val="24"/>
          <w:lang w:val="de-AT" w:eastAsia="de-AT"/>
          <w14:ligatures w14:val="standardContextual"/>
        </w:rPr>
      </w:pPr>
      <w:hyperlink w:anchor="_Toc209533592" w:history="1">
        <w:r w:rsidRPr="00D943E6">
          <w:rPr>
            <w:rStyle w:val="Hyperlink"/>
            <w:noProof/>
          </w:rPr>
          <w:t>II.12</w:t>
        </w:r>
        <w:r>
          <w:rPr>
            <w:noProof/>
            <w:kern w:val="2"/>
            <w:sz w:val="24"/>
            <w:szCs w:val="24"/>
            <w:lang w:val="de-AT" w:eastAsia="de-AT"/>
            <w14:ligatures w14:val="standardContextual"/>
          </w:rPr>
          <w:tab/>
        </w:r>
        <w:r w:rsidRPr="00D943E6">
          <w:rPr>
            <w:rStyle w:val="Hyperlink"/>
            <w:noProof/>
          </w:rPr>
          <w:t>Z 07.01 – Wesentlichkeit der wirtschaftlichen Funktionen (FUNC 1)</w:t>
        </w:r>
        <w:r>
          <w:rPr>
            <w:noProof/>
            <w:webHidden/>
          </w:rPr>
          <w:tab/>
        </w:r>
        <w:r>
          <w:rPr>
            <w:noProof/>
            <w:webHidden/>
          </w:rPr>
          <w:fldChar w:fldCharType="begin"/>
        </w:r>
        <w:r>
          <w:rPr>
            <w:noProof/>
            <w:webHidden/>
          </w:rPr>
          <w:instrText xml:space="preserve"> PAGEREF _Toc209533592 \h </w:instrText>
        </w:r>
        <w:r>
          <w:rPr>
            <w:noProof/>
            <w:webHidden/>
          </w:rPr>
        </w:r>
        <w:r>
          <w:rPr>
            <w:noProof/>
            <w:webHidden/>
          </w:rPr>
          <w:fldChar w:fldCharType="separate"/>
        </w:r>
        <w:r>
          <w:rPr>
            <w:noProof/>
            <w:webHidden/>
          </w:rPr>
          <w:t>38</w:t>
        </w:r>
        <w:r>
          <w:rPr>
            <w:noProof/>
            <w:webHidden/>
          </w:rPr>
          <w:fldChar w:fldCharType="end"/>
        </w:r>
      </w:hyperlink>
    </w:p>
    <w:p w14:paraId="45CE8DBE" w14:textId="3F72B2E7" w:rsidR="009907F3" w:rsidRDefault="009907F3">
      <w:pPr>
        <w:pStyle w:val="TOC2"/>
        <w:rPr>
          <w:noProof/>
          <w:kern w:val="2"/>
          <w:sz w:val="24"/>
          <w:szCs w:val="24"/>
          <w:lang w:val="de-AT" w:eastAsia="de-AT"/>
          <w14:ligatures w14:val="standardContextual"/>
        </w:rPr>
      </w:pPr>
      <w:hyperlink w:anchor="_Toc209533593" w:history="1">
        <w:r w:rsidRPr="00D943E6">
          <w:rPr>
            <w:rStyle w:val="Hyperlink"/>
            <w:noProof/>
          </w:rPr>
          <w:t>II.13</w:t>
        </w:r>
        <w:r>
          <w:rPr>
            <w:noProof/>
            <w:kern w:val="2"/>
            <w:sz w:val="24"/>
            <w:szCs w:val="24"/>
            <w:lang w:val="de-AT" w:eastAsia="de-AT"/>
            <w14:ligatures w14:val="standardContextual"/>
          </w:rPr>
          <w:tab/>
        </w:r>
        <w:r w:rsidRPr="00D943E6">
          <w:rPr>
            <w:rStyle w:val="Hyperlink"/>
            <w:noProof/>
          </w:rPr>
          <w:t>Z 07.01.1 FUNC 1 DEP</w:t>
        </w:r>
        <w:r>
          <w:rPr>
            <w:noProof/>
            <w:webHidden/>
          </w:rPr>
          <w:tab/>
        </w:r>
        <w:r>
          <w:rPr>
            <w:noProof/>
            <w:webHidden/>
          </w:rPr>
          <w:fldChar w:fldCharType="begin"/>
        </w:r>
        <w:r>
          <w:rPr>
            <w:noProof/>
            <w:webHidden/>
          </w:rPr>
          <w:instrText xml:space="preserve"> PAGEREF _Toc209533593 \h </w:instrText>
        </w:r>
        <w:r>
          <w:rPr>
            <w:noProof/>
            <w:webHidden/>
          </w:rPr>
        </w:r>
        <w:r>
          <w:rPr>
            <w:noProof/>
            <w:webHidden/>
          </w:rPr>
          <w:fldChar w:fldCharType="separate"/>
        </w:r>
        <w:r>
          <w:rPr>
            <w:noProof/>
            <w:webHidden/>
          </w:rPr>
          <w:t>42</w:t>
        </w:r>
        <w:r>
          <w:rPr>
            <w:noProof/>
            <w:webHidden/>
          </w:rPr>
          <w:fldChar w:fldCharType="end"/>
        </w:r>
      </w:hyperlink>
    </w:p>
    <w:p w14:paraId="20209994" w14:textId="53BABEF3" w:rsidR="009907F3" w:rsidRDefault="009907F3">
      <w:pPr>
        <w:pStyle w:val="TOC2"/>
        <w:rPr>
          <w:noProof/>
          <w:kern w:val="2"/>
          <w:sz w:val="24"/>
          <w:szCs w:val="24"/>
          <w:lang w:val="de-AT" w:eastAsia="de-AT"/>
          <w14:ligatures w14:val="standardContextual"/>
        </w:rPr>
      </w:pPr>
      <w:hyperlink w:anchor="_Toc209533594" w:history="1">
        <w:r w:rsidRPr="00D943E6">
          <w:rPr>
            <w:rStyle w:val="Hyperlink"/>
            <w:noProof/>
          </w:rPr>
          <w:t>II.14</w:t>
        </w:r>
        <w:r>
          <w:rPr>
            <w:noProof/>
            <w:kern w:val="2"/>
            <w:sz w:val="24"/>
            <w:szCs w:val="24"/>
            <w:lang w:val="de-AT" w:eastAsia="de-AT"/>
            <w14:ligatures w14:val="standardContextual"/>
          </w:rPr>
          <w:tab/>
        </w:r>
        <w:r w:rsidRPr="00D943E6">
          <w:rPr>
            <w:rStyle w:val="Hyperlink"/>
            <w:noProof/>
          </w:rPr>
          <w:t>Z 07.01.2 FUNC 1 LEN</w:t>
        </w:r>
        <w:r>
          <w:rPr>
            <w:noProof/>
            <w:webHidden/>
          </w:rPr>
          <w:tab/>
        </w:r>
        <w:r>
          <w:rPr>
            <w:noProof/>
            <w:webHidden/>
          </w:rPr>
          <w:fldChar w:fldCharType="begin"/>
        </w:r>
        <w:r>
          <w:rPr>
            <w:noProof/>
            <w:webHidden/>
          </w:rPr>
          <w:instrText xml:space="preserve"> PAGEREF _Toc209533594 \h </w:instrText>
        </w:r>
        <w:r>
          <w:rPr>
            <w:noProof/>
            <w:webHidden/>
          </w:rPr>
        </w:r>
        <w:r>
          <w:rPr>
            <w:noProof/>
            <w:webHidden/>
          </w:rPr>
          <w:fldChar w:fldCharType="separate"/>
        </w:r>
        <w:r>
          <w:rPr>
            <w:noProof/>
            <w:webHidden/>
          </w:rPr>
          <w:t>47</w:t>
        </w:r>
        <w:r>
          <w:rPr>
            <w:noProof/>
            <w:webHidden/>
          </w:rPr>
          <w:fldChar w:fldCharType="end"/>
        </w:r>
      </w:hyperlink>
    </w:p>
    <w:p w14:paraId="1DB0774B" w14:textId="2AE2C7D6" w:rsidR="009907F3" w:rsidRDefault="009907F3">
      <w:pPr>
        <w:pStyle w:val="TOC2"/>
        <w:rPr>
          <w:noProof/>
          <w:kern w:val="2"/>
          <w:sz w:val="24"/>
          <w:szCs w:val="24"/>
          <w:lang w:val="de-AT" w:eastAsia="de-AT"/>
          <w14:ligatures w14:val="standardContextual"/>
        </w:rPr>
      </w:pPr>
      <w:hyperlink w:anchor="_Toc209533595" w:history="1">
        <w:r w:rsidRPr="00D943E6">
          <w:rPr>
            <w:rStyle w:val="Hyperlink"/>
            <w:noProof/>
          </w:rPr>
          <w:t>II.15</w:t>
        </w:r>
        <w:r>
          <w:rPr>
            <w:noProof/>
            <w:kern w:val="2"/>
            <w:sz w:val="24"/>
            <w:szCs w:val="24"/>
            <w:lang w:val="de-AT" w:eastAsia="de-AT"/>
            <w14:ligatures w14:val="standardContextual"/>
          </w:rPr>
          <w:tab/>
        </w:r>
        <w:r w:rsidRPr="00D943E6">
          <w:rPr>
            <w:rStyle w:val="Hyperlink"/>
            <w:noProof/>
          </w:rPr>
          <w:t>Z 07.01.3 FUNC 1 PAY</w:t>
        </w:r>
        <w:r>
          <w:rPr>
            <w:noProof/>
            <w:webHidden/>
          </w:rPr>
          <w:tab/>
        </w:r>
        <w:r>
          <w:rPr>
            <w:noProof/>
            <w:webHidden/>
          </w:rPr>
          <w:fldChar w:fldCharType="begin"/>
        </w:r>
        <w:r>
          <w:rPr>
            <w:noProof/>
            <w:webHidden/>
          </w:rPr>
          <w:instrText xml:space="preserve"> PAGEREF _Toc209533595 \h </w:instrText>
        </w:r>
        <w:r>
          <w:rPr>
            <w:noProof/>
            <w:webHidden/>
          </w:rPr>
        </w:r>
        <w:r>
          <w:rPr>
            <w:noProof/>
            <w:webHidden/>
          </w:rPr>
          <w:fldChar w:fldCharType="separate"/>
        </w:r>
        <w:r>
          <w:rPr>
            <w:noProof/>
            <w:webHidden/>
          </w:rPr>
          <w:t>52</w:t>
        </w:r>
        <w:r>
          <w:rPr>
            <w:noProof/>
            <w:webHidden/>
          </w:rPr>
          <w:fldChar w:fldCharType="end"/>
        </w:r>
      </w:hyperlink>
    </w:p>
    <w:p w14:paraId="15DD3863" w14:textId="37BA1F04" w:rsidR="009907F3" w:rsidRDefault="009907F3">
      <w:pPr>
        <w:pStyle w:val="TOC2"/>
        <w:rPr>
          <w:noProof/>
          <w:kern w:val="2"/>
          <w:sz w:val="24"/>
          <w:szCs w:val="24"/>
          <w:lang w:val="de-AT" w:eastAsia="de-AT"/>
          <w14:ligatures w14:val="standardContextual"/>
        </w:rPr>
      </w:pPr>
      <w:hyperlink w:anchor="_Toc209533596" w:history="1">
        <w:r w:rsidRPr="00D943E6">
          <w:rPr>
            <w:rStyle w:val="Hyperlink"/>
            <w:noProof/>
          </w:rPr>
          <w:t>II.13</w:t>
        </w:r>
        <w:r>
          <w:rPr>
            <w:noProof/>
            <w:kern w:val="2"/>
            <w:sz w:val="24"/>
            <w:szCs w:val="24"/>
            <w:lang w:val="de-AT" w:eastAsia="de-AT"/>
            <w14:ligatures w14:val="standardContextual"/>
          </w:rPr>
          <w:tab/>
        </w:r>
        <w:r w:rsidRPr="00D943E6">
          <w:rPr>
            <w:rStyle w:val="Hyperlink"/>
            <w:noProof/>
          </w:rPr>
          <w:t>Z 07.01.4 FUNC 1 CM</w:t>
        </w:r>
        <w:r>
          <w:rPr>
            <w:noProof/>
            <w:webHidden/>
          </w:rPr>
          <w:tab/>
        </w:r>
        <w:r>
          <w:rPr>
            <w:noProof/>
            <w:webHidden/>
          </w:rPr>
          <w:fldChar w:fldCharType="begin"/>
        </w:r>
        <w:r>
          <w:rPr>
            <w:noProof/>
            <w:webHidden/>
          </w:rPr>
          <w:instrText xml:space="preserve"> PAGEREF _Toc209533596 \h </w:instrText>
        </w:r>
        <w:r>
          <w:rPr>
            <w:noProof/>
            <w:webHidden/>
          </w:rPr>
        </w:r>
        <w:r>
          <w:rPr>
            <w:noProof/>
            <w:webHidden/>
          </w:rPr>
          <w:fldChar w:fldCharType="separate"/>
        </w:r>
        <w:r>
          <w:rPr>
            <w:noProof/>
            <w:webHidden/>
          </w:rPr>
          <w:t>60</w:t>
        </w:r>
        <w:r>
          <w:rPr>
            <w:noProof/>
            <w:webHidden/>
          </w:rPr>
          <w:fldChar w:fldCharType="end"/>
        </w:r>
      </w:hyperlink>
    </w:p>
    <w:p w14:paraId="62C8F405" w14:textId="39264C03" w:rsidR="009907F3" w:rsidRDefault="009907F3">
      <w:pPr>
        <w:pStyle w:val="TOC2"/>
        <w:rPr>
          <w:noProof/>
          <w:kern w:val="2"/>
          <w:sz w:val="24"/>
          <w:szCs w:val="24"/>
          <w:lang w:val="de-AT" w:eastAsia="de-AT"/>
          <w14:ligatures w14:val="standardContextual"/>
        </w:rPr>
      </w:pPr>
      <w:hyperlink w:anchor="_Toc209533597" w:history="1">
        <w:r w:rsidRPr="00D943E6">
          <w:rPr>
            <w:rStyle w:val="Hyperlink"/>
            <w:noProof/>
          </w:rPr>
          <w:t>II.13</w:t>
        </w:r>
        <w:r>
          <w:rPr>
            <w:noProof/>
            <w:kern w:val="2"/>
            <w:sz w:val="24"/>
            <w:szCs w:val="24"/>
            <w:lang w:val="de-AT" w:eastAsia="de-AT"/>
            <w14:ligatures w14:val="standardContextual"/>
          </w:rPr>
          <w:tab/>
        </w:r>
        <w:r w:rsidRPr="00D943E6">
          <w:rPr>
            <w:rStyle w:val="Hyperlink"/>
            <w:noProof/>
          </w:rPr>
          <w:t>Z 07.01.5 FUNC 1 WF</w:t>
        </w:r>
        <w:r>
          <w:rPr>
            <w:noProof/>
            <w:webHidden/>
          </w:rPr>
          <w:tab/>
        </w:r>
        <w:r>
          <w:rPr>
            <w:noProof/>
            <w:webHidden/>
          </w:rPr>
          <w:fldChar w:fldCharType="begin"/>
        </w:r>
        <w:r>
          <w:rPr>
            <w:noProof/>
            <w:webHidden/>
          </w:rPr>
          <w:instrText xml:space="preserve"> PAGEREF _Toc209533597 \h </w:instrText>
        </w:r>
        <w:r>
          <w:rPr>
            <w:noProof/>
            <w:webHidden/>
          </w:rPr>
        </w:r>
        <w:r>
          <w:rPr>
            <w:noProof/>
            <w:webHidden/>
          </w:rPr>
          <w:fldChar w:fldCharType="separate"/>
        </w:r>
        <w:r>
          <w:rPr>
            <w:noProof/>
            <w:webHidden/>
          </w:rPr>
          <w:t>65</w:t>
        </w:r>
        <w:r>
          <w:rPr>
            <w:noProof/>
            <w:webHidden/>
          </w:rPr>
          <w:fldChar w:fldCharType="end"/>
        </w:r>
      </w:hyperlink>
    </w:p>
    <w:p w14:paraId="52465DA6" w14:textId="42D9745B" w:rsidR="009907F3" w:rsidRDefault="009907F3">
      <w:pPr>
        <w:pStyle w:val="TOC2"/>
        <w:rPr>
          <w:noProof/>
          <w:kern w:val="2"/>
          <w:sz w:val="24"/>
          <w:szCs w:val="24"/>
          <w:lang w:val="de-AT" w:eastAsia="de-AT"/>
          <w14:ligatures w14:val="standardContextual"/>
        </w:rPr>
      </w:pPr>
      <w:hyperlink w:anchor="_Toc209533598" w:history="1">
        <w:r w:rsidRPr="00D943E6">
          <w:rPr>
            <w:rStyle w:val="Hyperlink"/>
            <w:noProof/>
          </w:rPr>
          <w:t>II.16</w:t>
        </w:r>
        <w:r>
          <w:rPr>
            <w:noProof/>
            <w:kern w:val="2"/>
            <w:sz w:val="24"/>
            <w:szCs w:val="24"/>
            <w:lang w:val="de-AT" w:eastAsia="de-AT"/>
            <w14:ligatures w14:val="standardContextual"/>
          </w:rPr>
          <w:tab/>
        </w:r>
        <w:r w:rsidRPr="00D943E6">
          <w:rPr>
            <w:rStyle w:val="Hyperlink"/>
            <w:noProof/>
          </w:rPr>
          <w:t>Z 07.02 – Wirtschaftliche Funktionen nach Rechtsträgern (FUNC 2)</w:t>
        </w:r>
        <w:r>
          <w:rPr>
            <w:noProof/>
            <w:webHidden/>
          </w:rPr>
          <w:tab/>
        </w:r>
        <w:r>
          <w:rPr>
            <w:noProof/>
            <w:webHidden/>
          </w:rPr>
          <w:fldChar w:fldCharType="begin"/>
        </w:r>
        <w:r>
          <w:rPr>
            <w:noProof/>
            <w:webHidden/>
          </w:rPr>
          <w:instrText xml:space="preserve"> PAGEREF _Toc209533598 \h </w:instrText>
        </w:r>
        <w:r>
          <w:rPr>
            <w:noProof/>
            <w:webHidden/>
          </w:rPr>
        </w:r>
        <w:r>
          <w:rPr>
            <w:noProof/>
            <w:webHidden/>
          </w:rPr>
          <w:fldChar w:fldCharType="separate"/>
        </w:r>
        <w:r>
          <w:rPr>
            <w:noProof/>
            <w:webHidden/>
          </w:rPr>
          <w:t>70</w:t>
        </w:r>
        <w:r>
          <w:rPr>
            <w:noProof/>
            <w:webHidden/>
          </w:rPr>
          <w:fldChar w:fldCharType="end"/>
        </w:r>
      </w:hyperlink>
    </w:p>
    <w:p w14:paraId="7083907A" w14:textId="74E9F0FC" w:rsidR="009907F3" w:rsidRDefault="009907F3">
      <w:pPr>
        <w:pStyle w:val="TOC2"/>
        <w:rPr>
          <w:noProof/>
          <w:kern w:val="2"/>
          <w:sz w:val="24"/>
          <w:szCs w:val="24"/>
          <w:lang w:val="de-AT" w:eastAsia="de-AT"/>
          <w14:ligatures w14:val="standardContextual"/>
        </w:rPr>
      </w:pPr>
      <w:hyperlink w:anchor="_Toc209533599" w:history="1">
        <w:r w:rsidRPr="00D943E6">
          <w:rPr>
            <w:rStyle w:val="Hyperlink"/>
            <w:noProof/>
          </w:rPr>
          <w:t>II.17</w:t>
        </w:r>
        <w:r>
          <w:rPr>
            <w:noProof/>
            <w:kern w:val="2"/>
            <w:sz w:val="24"/>
            <w:szCs w:val="24"/>
            <w:lang w:val="de-AT" w:eastAsia="de-AT"/>
            <w14:ligatures w14:val="standardContextual"/>
          </w:rPr>
          <w:tab/>
        </w:r>
        <w:r w:rsidRPr="00D943E6">
          <w:rPr>
            <w:rStyle w:val="Hyperlink"/>
            <w:noProof/>
          </w:rPr>
          <w:t>Z 07.03 – Kerngeschäftsbereiche nach Rechtsträgern (FUNC 3)</w:t>
        </w:r>
        <w:r>
          <w:rPr>
            <w:noProof/>
            <w:webHidden/>
          </w:rPr>
          <w:tab/>
        </w:r>
        <w:r>
          <w:rPr>
            <w:noProof/>
            <w:webHidden/>
          </w:rPr>
          <w:fldChar w:fldCharType="begin"/>
        </w:r>
        <w:r>
          <w:rPr>
            <w:noProof/>
            <w:webHidden/>
          </w:rPr>
          <w:instrText xml:space="preserve"> PAGEREF _Toc209533599 \h </w:instrText>
        </w:r>
        <w:r>
          <w:rPr>
            <w:noProof/>
            <w:webHidden/>
          </w:rPr>
        </w:r>
        <w:r>
          <w:rPr>
            <w:noProof/>
            <w:webHidden/>
          </w:rPr>
          <w:fldChar w:fldCharType="separate"/>
        </w:r>
        <w:r>
          <w:rPr>
            <w:noProof/>
            <w:webHidden/>
          </w:rPr>
          <w:t>71</w:t>
        </w:r>
        <w:r>
          <w:rPr>
            <w:noProof/>
            <w:webHidden/>
          </w:rPr>
          <w:fldChar w:fldCharType="end"/>
        </w:r>
      </w:hyperlink>
    </w:p>
    <w:p w14:paraId="024A9D19" w14:textId="14284401" w:rsidR="009907F3" w:rsidRDefault="009907F3">
      <w:pPr>
        <w:pStyle w:val="TOC2"/>
        <w:rPr>
          <w:noProof/>
          <w:kern w:val="2"/>
          <w:sz w:val="24"/>
          <w:szCs w:val="24"/>
          <w:lang w:val="de-AT" w:eastAsia="de-AT"/>
          <w14:ligatures w14:val="standardContextual"/>
        </w:rPr>
      </w:pPr>
      <w:hyperlink w:anchor="_Toc209533600" w:history="1">
        <w:r w:rsidRPr="00D943E6">
          <w:rPr>
            <w:rStyle w:val="Hyperlink"/>
            <w:noProof/>
          </w:rPr>
          <w:t>II.18</w:t>
        </w:r>
        <w:r>
          <w:rPr>
            <w:noProof/>
            <w:kern w:val="2"/>
            <w:sz w:val="24"/>
            <w:szCs w:val="24"/>
            <w:lang w:val="de-AT" w:eastAsia="de-AT"/>
            <w14:ligatures w14:val="standardContextual"/>
          </w:rPr>
          <w:tab/>
        </w:r>
        <w:r w:rsidRPr="00D943E6">
          <w:rPr>
            <w:rStyle w:val="Hyperlink"/>
            <w:noProof/>
          </w:rPr>
          <w:t>Z 07.04 – Kritische Funktionen in den Kerngeschäftsbereichen (FUNC 4)</w:t>
        </w:r>
        <w:r>
          <w:rPr>
            <w:noProof/>
            <w:webHidden/>
          </w:rPr>
          <w:tab/>
        </w:r>
        <w:r>
          <w:rPr>
            <w:noProof/>
            <w:webHidden/>
          </w:rPr>
          <w:fldChar w:fldCharType="begin"/>
        </w:r>
        <w:r>
          <w:rPr>
            <w:noProof/>
            <w:webHidden/>
          </w:rPr>
          <w:instrText xml:space="preserve"> PAGEREF _Toc209533600 \h </w:instrText>
        </w:r>
        <w:r>
          <w:rPr>
            <w:noProof/>
            <w:webHidden/>
          </w:rPr>
        </w:r>
        <w:r>
          <w:rPr>
            <w:noProof/>
            <w:webHidden/>
          </w:rPr>
          <w:fldChar w:fldCharType="separate"/>
        </w:r>
        <w:r>
          <w:rPr>
            <w:noProof/>
            <w:webHidden/>
          </w:rPr>
          <w:t>72</w:t>
        </w:r>
        <w:r>
          <w:rPr>
            <w:noProof/>
            <w:webHidden/>
          </w:rPr>
          <w:fldChar w:fldCharType="end"/>
        </w:r>
      </w:hyperlink>
    </w:p>
    <w:p w14:paraId="03797677" w14:textId="22B98D71" w:rsidR="009907F3" w:rsidRDefault="009907F3">
      <w:pPr>
        <w:pStyle w:val="TOC2"/>
        <w:rPr>
          <w:noProof/>
          <w:kern w:val="2"/>
          <w:sz w:val="24"/>
          <w:szCs w:val="24"/>
          <w:lang w:val="de-AT" w:eastAsia="de-AT"/>
          <w14:ligatures w14:val="standardContextual"/>
        </w:rPr>
      </w:pPr>
      <w:hyperlink w:anchor="_Toc209533601" w:history="1">
        <w:r w:rsidRPr="00D943E6">
          <w:rPr>
            <w:rStyle w:val="Hyperlink"/>
            <w:noProof/>
          </w:rPr>
          <w:t>II.19</w:t>
        </w:r>
        <w:r>
          <w:rPr>
            <w:noProof/>
            <w:kern w:val="2"/>
            <w:sz w:val="24"/>
            <w:szCs w:val="24"/>
            <w:lang w:val="de-AT" w:eastAsia="de-AT"/>
            <w14:ligatures w14:val="standardContextual"/>
          </w:rPr>
          <w:tab/>
        </w:r>
        <w:r w:rsidRPr="00D943E6">
          <w:rPr>
            <w:rStyle w:val="Hyperlink"/>
            <w:noProof/>
          </w:rPr>
          <w:t>Zuständige Dienste</w:t>
        </w:r>
        <w:r>
          <w:rPr>
            <w:noProof/>
            <w:webHidden/>
          </w:rPr>
          <w:tab/>
        </w:r>
        <w:r>
          <w:rPr>
            <w:noProof/>
            <w:webHidden/>
          </w:rPr>
          <w:fldChar w:fldCharType="begin"/>
        </w:r>
        <w:r>
          <w:rPr>
            <w:noProof/>
            <w:webHidden/>
          </w:rPr>
          <w:instrText xml:space="preserve"> PAGEREF _Toc209533601 \h </w:instrText>
        </w:r>
        <w:r>
          <w:rPr>
            <w:noProof/>
            <w:webHidden/>
          </w:rPr>
        </w:r>
        <w:r>
          <w:rPr>
            <w:noProof/>
            <w:webHidden/>
          </w:rPr>
          <w:fldChar w:fldCharType="separate"/>
        </w:r>
        <w:r>
          <w:rPr>
            <w:noProof/>
            <w:webHidden/>
          </w:rPr>
          <w:t>73</w:t>
        </w:r>
        <w:r>
          <w:rPr>
            <w:noProof/>
            <w:webHidden/>
          </w:rPr>
          <w:fldChar w:fldCharType="end"/>
        </w:r>
      </w:hyperlink>
    </w:p>
    <w:p w14:paraId="65C2776A" w14:textId="503DAA41" w:rsidR="009907F3" w:rsidRDefault="009907F3">
      <w:pPr>
        <w:pStyle w:val="TOC2"/>
        <w:rPr>
          <w:noProof/>
          <w:kern w:val="2"/>
          <w:sz w:val="24"/>
          <w:szCs w:val="24"/>
          <w:lang w:val="de-AT" w:eastAsia="de-AT"/>
          <w14:ligatures w14:val="standardContextual"/>
        </w:rPr>
      </w:pPr>
      <w:hyperlink w:anchor="_Toc209533602" w:history="1">
        <w:r w:rsidRPr="00D943E6">
          <w:rPr>
            <w:rStyle w:val="Hyperlink"/>
            <w:rFonts w:eastAsia="Calibri"/>
            <w:noProof/>
          </w:rPr>
          <w:t>II.20</w:t>
        </w:r>
        <w:r>
          <w:rPr>
            <w:noProof/>
            <w:kern w:val="2"/>
            <w:sz w:val="24"/>
            <w:szCs w:val="24"/>
            <w:lang w:val="de-AT" w:eastAsia="de-AT"/>
            <w14:ligatures w14:val="standardContextual"/>
          </w:rPr>
          <w:tab/>
        </w:r>
        <w:r w:rsidRPr="00D943E6">
          <w:rPr>
            <w:rStyle w:val="Hyperlink"/>
            <w:noProof/>
          </w:rPr>
          <w:t>Z 08.01 – Relevante Dienstleistungen (SERV 1)</w:t>
        </w:r>
        <w:r>
          <w:rPr>
            <w:noProof/>
            <w:webHidden/>
          </w:rPr>
          <w:tab/>
        </w:r>
        <w:r>
          <w:rPr>
            <w:noProof/>
            <w:webHidden/>
          </w:rPr>
          <w:fldChar w:fldCharType="begin"/>
        </w:r>
        <w:r>
          <w:rPr>
            <w:noProof/>
            <w:webHidden/>
          </w:rPr>
          <w:instrText xml:space="preserve"> PAGEREF _Toc209533602 \h </w:instrText>
        </w:r>
        <w:r>
          <w:rPr>
            <w:noProof/>
            <w:webHidden/>
          </w:rPr>
        </w:r>
        <w:r>
          <w:rPr>
            <w:noProof/>
            <w:webHidden/>
          </w:rPr>
          <w:fldChar w:fldCharType="separate"/>
        </w:r>
        <w:r>
          <w:rPr>
            <w:noProof/>
            <w:webHidden/>
          </w:rPr>
          <w:t>73</w:t>
        </w:r>
        <w:r>
          <w:rPr>
            <w:noProof/>
            <w:webHidden/>
          </w:rPr>
          <w:fldChar w:fldCharType="end"/>
        </w:r>
      </w:hyperlink>
    </w:p>
    <w:p w14:paraId="706C1994" w14:textId="2C75489D" w:rsidR="009907F3" w:rsidRDefault="009907F3">
      <w:pPr>
        <w:pStyle w:val="TOC2"/>
        <w:rPr>
          <w:noProof/>
          <w:kern w:val="2"/>
          <w:sz w:val="24"/>
          <w:szCs w:val="24"/>
          <w:lang w:val="de-AT" w:eastAsia="de-AT"/>
          <w14:ligatures w14:val="standardContextual"/>
        </w:rPr>
      </w:pPr>
      <w:hyperlink w:anchor="_Toc209533603" w:history="1">
        <w:r w:rsidRPr="00D943E6">
          <w:rPr>
            <w:rStyle w:val="Hyperlink"/>
            <w:noProof/>
          </w:rPr>
          <w:t>II.21</w:t>
        </w:r>
        <w:r>
          <w:rPr>
            <w:noProof/>
            <w:kern w:val="2"/>
            <w:sz w:val="24"/>
            <w:szCs w:val="24"/>
            <w:lang w:val="de-AT" w:eastAsia="de-AT"/>
            <w14:ligatures w14:val="standardContextual"/>
          </w:rPr>
          <w:tab/>
        </w:r>
        <w:r w:rsidRPr="00D943E6">
          <w:rPr>
            <w:rStyle w:val="Hyperlink"/>
            <w:noProof/>
          </w:rPr>
          <w:t>Z 08.02 – Relevante Dienste – Zuordnung zu operativen Vermögenswerten (SERV 2)</w:t>
        </w:r>
        <w:r>
          <w:rPr>
            <w:noProof/>
            <w:webHidden/>
          </w:rPr>
          <w:tab/>
        </w:r>
        <w:r>
          <w:rPr>
            <w:noProof/>
            <w:webHidden/>
          </w:rPr>
          <w:fldChar w:fldCharType="begin"/>
        </w:r>
        <w:r>
          <w:rPr>
            <w:noProof/>
            <w:webHidden/>
          </w:rPr>
          <w:instrText xml:space="preserve"> PAGEREF _Toc209533603 \h </w:instrText>
        </w:r>
        <w:r>
          <w:rPr>
            <w:noProof/>
            <w:webHidden/>
          </w:rPr>
        </w:r>
        <w:r>
          <w:rPr>
            <w:noProof/>
            <w:webHidden/>
          </w:rPr>
          <w:fldChar w:fldCharType="separate"/>
        </w:r>
        <w:r>
          <w:rPr>
            <w:noProof/>
            <w:webHidden/>
          </w:rPr>
          <w:t>80</w:t>
        </w:r>
        <w:r>
          <w:rPr>
            <w:noProof/>
            <w:webHidden/>
          </w:rPr>
          <w:fldChar w:fldCharType="end"/>
        </w:r>
      </w:hyperlink>
    </w:p>
    <w:p w14:paraId="7E1E2BE3" w14:textId="0F849D5C" w:rsidR="009907F3" w:rsidRDefault="009907F3">
      <w:pPr>
        <w:pStyle w:val="TOC2"/>
        <w:rPr>
          <w:noProof/>
          <w:kern w:val="2"/>
          <w:sz w:val="24"/>
          <w:szCs w:val="24"/>
          <w:lang w:val="de-AT" w:eastAsia="de-AT"/>
          <w14:ligatures w14:val="standardContextual"/>
        </w:rPr>
      </w:pPr>
      <w:hyperlink w:anchor="_Toc209533604" w:history="1">
        <w:r w:rsidRPr="00D943E6">
          <w:rPr>
            <w:rStyle w:val="Hyperlink"/>
            <w:rFonts w:eastAsia="Calibri"/>
            <w:noProof/>
          </w:rPr>
          <w:t>II.22</w:t>
        </w:r>
        <w:r>
          <w:rPr>
            <w:noProof/>
            <w:kern w:val="2"/>
            <w:sz w:val="24"/>
            <w:szCs w:val="24"/>
            <w:lang w:val="de-AT" w:eastAsia="de-AT"/>
            <w14:ligatures w14:val="standardContextual"/>
          </w:rPr>
          <w:tab/>
        </w:r>
        <w:r w:rsidRPr="00D943E6">
          <w:rPr>
            <w:rStyle w:val="Hyperlink"/>
            <w:noProof/>
          </w:rPr>
          <w:t>Z 08.03 – Relevante Dienste – Zuordnung zu Rollen (SERV 3)</w:t>
        </w:r>
        <w:r>
          <w:rPr>
            <w:noProof/>
            <w:webHidden/>
          </w:rPr>
          <w:tab/>
        </w:r>
        <w:r>
          <w:rPr>
            <w:noProof/>
            <w:webHidden/>
          </w:rPr>
          <w:fldChar w:fldCharType="begin"/>
        </w:r>
        <w:r>
          <w:rPr>
            <w:noProof/>
            <w:webHidden/>
          </w:rPr>
          <w:instrText xml:space="preserve"> PAGEREF _Toc209533604 \h </w:instrText>
        </w:r>
        <w:r>
          <w:rPr>
            <w:noProof/>
            <w:webHidden/>
          </w:rPr>
        </w:r>
        <w:r>
          <w:rPr>
            <w:noProof/>
            <w:webHidden/>
          </w:rPr>
          <w:fldChar w:fldCharType="separate"/>
        </w:r>
        <w:r>
          <w:rPr>
            <w:noProof/>
            <w:webHidden/>
          </w:rPr>
          <w:t>83</w:t>
        </w:r>
        <w:r>
          <w:rPr>
            <w:noProof/>
            <w:webHidden/>
          </w:rPr>
          <w:fldChar w:fldCharType="end"/>
        </w:r>
      </w:hyperlink>
    </w:p>
    <w:p w14:paraId="66869DAC" w14:textId="1AF4091A" w:rsidR="009907F3" w:rsidRDefault="009907F3">
      <w:pPr>
        <w:pStyle w:val="TOC2"/>
        <w:rPr>
          <w:noProof/>
          <w:kern w:val="2"/>
          <w:sz w:val="24"/>
          <w:szCs w:val="24"/>
          <w:lang w:val="de-AT" w:eastAsia="de-AT"/>
          <w14:ligatures w14:val="standardContextual"/>
        </w:rPr>
      </w:pPr>
      <w:hyperlink w:anchor="_Toc209533605" w:history="1">
        <w:r w:rsidRPr="00D943E6">
          <w:rPr>
            <w:rStyle w:val="Hyperlink"/>
            <w:rFonts w:eastAsia="Calibri"/>
            <w:noProof/>
          </w:rPr>
          <w:t>II.23</w:t>
        </w:r>
        <w:r>
          <w:rPr>
            <w:noProof/>
            <w:kern w:val="2"/>
            <w:sz w:val="24"/>
            <w:szCs w:val="24"/>
            <w:lang w:val="de-AT" w:eastAsia="de-AT"/>
            <w14:ligatures w14:val="standardContextual"/>
          </w:rPr>
          <w:tab/>
        </w:r>
        <w:r w:rsidRPr="00D943E6">
          <w:rPr>
            <w:rStyle w:val="Hyperlink"/>
            <w:noProof/>
          </w:rPr>
          <w:t>Z 08.04 – Kritische Dienstleistungen – Zuordnung zu kritischen Funktionen (SERV 4)</w:t>
        </w:r>
        <w:r>
          <w:rPr>
            <w:noProof/>
            <w:webHidden/>
          </w:rPr>
          <w:tab/>
        </w:r>
        <w:r>
          <w:rPr>
            <w:noProof/>
            <w:webHidden/>
          </w:rPr>
          <w:fldChar w:fldCharType="begin"/>
        </w:r>
        <w:r>
          <w:rPr>
            <w:noProof/>
            <w:webHidden/>
          </w:rPr>
          <w:instrText xml:space="preserve"> PAGEREF _Toc209533605 \h </w:instrText>
        </w:r>
        <w:r>
          <w:rPr>
            <w:noProof/>
            <w:webHidden/>
          </w:rPr>
        </w:r>
        <w:r>
          <w:rPr>
            <w:noProof/>
            <w:webHidden/>
          </w:rPr>
          <w:fldChar w:fldCharType="separate"/>
        </w:r>
        <w:r>
          <w:rPr>
            <w:noProof/>
            <w:webHidden/>
          </w:rPr>
          <w:t>85</w:t>
        </w:r>
        <w:r>
          <w:rPr>
            <w:noProof/>
            <w:webHidden/>
          </w:rPr>
          <w:fldChar w:fldCharType="end"/>
        </w:r>
      </w:hyperlink>
    </w:p>
    <w:p w14:paraId="555BB337" w14:textId="740161A4" w:rsidR="009907F3" w:rsidRDefault="009907F3">
      <w:pPr>
        <w:pStyle w:val="TOC2"/>
        <w:rPr>
          <w:noProof/>
          <w:kern w:val="2"/>
          <w:sz w:val="24"/>
          <w:szCs w:val="24"/>
          <w:lang w:val="de-AT" w:eastAsia="de-AT"/>
          <w14:ligatures w14:val="standardContextual"/>
        </w:rPr>
      </w:pPr>
      <w:hyperlink w:anchor="_Toc209533606" w:history="1">
        <w:r w:rsidRPr="00D943E6">
          <w:rPr>
            <w:rStyle w:val="Hyperlink"/>
            <w:noProof/>
          </w:rPr>
          <w:t>Allgemeine Hinweise</w:t>
        </w:r>
        <w:r>
          <w:rPr>
            <w:noProof/>
            <w:webHidden/>
          </w:rPr>
          <w:tab/>
        </w:r>
        <w:r>
          <w:rPr>
            <w:noProof/>
            <w:webHidden/>
          </w:rPr>
          <w:fldChar w:fldCharType="begin"/>
        </w:r>
        <w:r>
          <w:rPr>
            <w:noProof/>
            <w:webHidden/>
          </w:rPr>
          <w:instrText xml:space="preserve"> PAGEREF _Toc209533606 \h </w:instrText>
        </w:r>
        <w:r>
          <w:rPr>
            <w:noProof/>
            <w:webHidden/>
          </w:rPr>
        </w:r>
        <w:r>
          <w:rPr>
            <w:noProof/>
            <w:webHidden/>
          </w:rPr>
          <w:fldChar w:fldCharType="separate"/>
        </w:r>
        <w:r>
          <w:rPr>
            <w:noProof/>
            <w:webHidden/>
          </w:rPr>
          <w:t>85</w:t>
        </w:r>
        <w:r>
          <w:rPr>
            <w:noProof/>
            <w:webHidden/>
          </w:rPr>
          <w:fldChar w:fldCharType="end"/>
        </w:r>
      </w:hyperlink>
    </w:p>
    <w:p w14:paraId="39F715C1" w14:textId="04CE14FA" w:rsidR="009907F3" w:rsidRDefault="009907F3">
      <w:pPr>
        <w:pStyle w:val="TOC2"/>
        <w:rPr>
          <w:noProof/>
          <w:kern w:val="2"/>
          <w:sz w:val="24"/>
          <w:szCs w:val="24"/>
          <w:lang w:val="de-AT" w:eastAsia="de-AT"/>
          <w14:ligatures w14:val="standardContextual"/>
        </w:rPr>
      </w:pPr>
      <w:hyperlink w:anchor="_Toc209533607" w:history="1">
        <w:r w:rsidRPr="00D943E6">
          <w:rPr>
            <w:rStyle w:val="Hyperlink"/>
            <w:rFonts w:eastAsia="Calibri"/>
            <w:noProof/>
          </w:rPr>
          <w:t>II.24</w:t>
        </w:r>
        <w:r>
          <w:rPr>
            <w:noProof/>
            <w:kern w:val="2"/>
            <w:sz w:val="24"/>
            <w:szCs w:val="24"/>
            <w:lang w:val="de-AT" w:eastAsia="de-AT"/>
            <w14:ligatures w14:val="standardContextual"/>
          </w:rPr>
          <w:tab/>
        </w:r>
        <w:r w:rsidRPr="00D943E6">
          <w:rPr>
            <w:rStyle w:val="Hyperlink"/>
            <w:noProof/>
          </w:rPr>
          <w:t>Z 08.05 – Wesentliche Dienstleistungen – Zuordnung zu den Kerngeschäftsbereichen (SERV 5)</w:t>
        </w:r>
        <w:r>
          <w:rPr>
            <w:noProof/>
            <w:webHidden/>
          </w:rPr>
          <w:tab/>
        </w:r>
        <w:r>
          <w:rPr>
            <w:noProof/>
            <w:webHidden/>
          </w:rPr>
          <w:fldChar w:fldCharType="begin"/>
        </w:r>
        <w:r>
          <w:rPr>
            <w:noProof/>
            <w:webHidden/>
          </w:rPr>
          <w:instrText xml:space="preserve"> PAGEREF _Toc209533607 \h </w:instrText>
        </w:r>
        <w:r>
          <w:rPr>
            <w:noProof/>
            <w:webHidden/>
          </w:rPr>
        </w:r>
        <w:r>
          <w:rPr>
            <w:noProof/>
            <w:webHidden/>
          </w:rPr>
          <w:fldChar w:fldCharType="separate"/>
        </w:r>
        <w:r>
          <w:rPr>
            <w:noProof/>
            <w:webHidden/>
          </w:rPr>
          <w:t>86</w:t>
        </w:r>
        <w:r>
          <w:rPr>
            <w:noProof/>
            <w:webHidden/>
          </w:rPr>
          <w:fldChar w:fldCharType="end"/>
        </w:r>
      </w:hyperlink>
    </w:p>
    <w:p w14:paraId="570A5F9C" w14:textId="432B01C9" w:rsidR="009907F3" w:rsidRDefault="009907F3">
      <w:pPr>
        <w:pStyle w:val="TOC2"/>
        <w:rPr>
          <w:noProof/>
          <w:kern w:val="2"/>
          <w:sz w:val="24"/>
          <w:szCs w:val="24"/>
          <w:lang w:val="de-AT" w:eastAsia="de-AT"/>
          <w14:ligatures w14:val="standardContextual"/>
        </w:rPr>
      </w:pPr>
      <w:hyperlink w:anchor="_Toc209533608" w:history="1">
        <w:r w:rsidRPr="00D943E6">
          <w:rPr>
            <w:rStyle w:val="Hyperlink"/>
            <w:noProof/>
          </w:rPr>
          <w:t>II.25</w:t>
        </w:r>
        <w:r>
          <w:rPr>
            <w:noProof/>
            <w:kern w:val="2"/>
            <w:sz w:val="24"/>
            <w:szCs w:val="24"/>
            <w:lang w:val="de-AT" w:eastAsia="de-AT"/>
            <w14:ligatures w14:val="standardContextual"/>
          </w:rPr>
          <w:tab/>
        </w:r>
        <w:r w:rsidRPr="00D943E6">
          <w:rPr>
            <w:rStyle w:val="Hyperlink"/>
            <w:noProof/>
          </w:rPr>
          <w:t>FMI-Dienstleistungen</w:t>
        </w:r>
        <w:r>
          <w:rPr>
            <w:noProof/>
            <w:webHidden/>
          </w:rPr>
          <w:tab/>
        </w:r>
        <w:r>
          <w:rPr>
            <w:noProof/>
            <w:webHidden/>
          </w:rPr>
          <w:fldChar w:fldCharType="begin"/>
        </w:r>
        <w:r>
          <w:rPr>
            <w:noProof/>
            <w:webHidden/>
          </w:rPr>
          <w:instrText xml:space="preserve"> PAGEREF _Toc209533608 \h </w:instrText>
        </w:r>
        <w:r>
          <w:rPr>
            <w:noProof/>
            <w:webHidden/>
          </w:rPr>
        </w:r>
        <w:r>
          <w:rPr>
            <w:noProof/>
            <w:webHidden/>
          </w:rPr>
          <w:fldChar w:fldCharType="separate"/>
        </w:r>
        <w:r>
          <w:rPr>
            <w:noProof/>
            <w:webHidden/>
          </w:rPr>
          <w:t>87</w:t>
        </w:r>
        <w:r>
          <w:rPr>
            <w:noProof/>
            <w:webHidden/>
          </w:rPr>
          <w:fldChar w:fldCharType="end"/>
        </w:r>
      </w:hyperlink>
    </w:p>
    <w:p w14:paraId="4402BCFD" w14:textId="14433FCE" w:rsidR="009907F3" w:rsidRDefault="009907F3">
      <w:pPr>
        <w:pStyle w:val="TOC2"/>
        <w:rPr>
          <w:noProof/>
          <w:kern w:val="2"/>
          <w:sz w:val="24"/>
          <w:szCs w:val="24"/>
          <w:lang w:val="de-AT" w:eastAsia="de-AT"/>
          <w14:ligatures w14:val="standardContextual"/>
        </w:rPr>
      </w:pPr>
      <w:hyperlink w:anchor="_Toc209533609" w:history="1">
        <w:r w:rsidRPr="00D943E6">
          <w:rPr>
            <w:rStyle w:val="Hyperlink"/>
            <w:noProof/>
          </w:rPr>
          <w:t>II.26</w:t>
        </w:r>
        <w:r>
          <w:rPr>
            <w:noProof/>
            <w:kern w:val="2"/>
            <w:sz w:val="24"/>
            <w:szCs w:val="24"/>
            <w:lang w:val="de-AT" w:eastAsia="de-AT"/>
            <w14:ligatures w14:val="standardContextual"/>
          </w:rPr>
          <w:tab/>
        </w:r>
        <w:r w:rsidRPr="00D943E6">
          <w:rPr>
            <w:rStyle w:val="Hyperlink"/>
            <w:noProof/>
          </w:rPr>
          <w:t>Z 09.01 – FMI-Dienstleistungen – Anbieter und Nutzer (FMI 1)</w:t>
        </w:r>
        <w:r>
          <w:rPr>
            <w:noProof/>
            <w:webHidden/>
          </w:rPr>
          <w:tab/>
        </w:r>
        <w:r>
          <w:rPr>
            <w:noProof/>
            <w:webHidden/>
          </w:rPr>
          <w:fldChar w:fldCharType="begin"/>
        </w:r>
        <w:r>
          <w:rPr>
            <w:noProof/>
            <w:webHidden/>
          </w:rPr>
          <w:instrText xml:space="preserve"> PAGEREF _Toc209533609 \h </w:instrText>
        </w:r>
        <w:r>
          <w:rPr>
            <w:noProof/>
            <w:webHidden/>
          </w:rPr>
        </w:r>
        <w:r>
          <w:rPr>
            <w:noProof/>
            <w:webHidden/>
          </w:rPr>
          <w:fldChar w:fldCharType="separate"/>
        </w:r>
        <w:r>
          <w:rPr>
            <w:noProof/>
            <w:webHidden/>
          </w:rPr>
          <w:t>87</w:t>
        </w:r>
        <w:r>
          <w:rPr>
            <w:noProof/>
            <w:webHidden/>
          </w:rPr>
          <w:fldChar w:fldCharType="end"/>
        </w:r>
      </w:hyperlink>
    </w:p>
    <w:p w14:paraId="3818FD2B" w14:textId="046367A6" w:rsidR="009907F3" w:rsidRDefault="009907F3">
      <w:pPr>
        <w:pStyle w:val="TOC2"/>
        <w:rPr>
          <w:noProof/>
          <w:kern w:val="2"/>
          <w:sz w:val="24"/>
          <w:szCs w:val="24"/>
          <w:lang w:val="de-AT" w:eastAsia="de-AT"/>
          <w14:ligatures w14:val="standardContextual"/>
        </w:rPr>
      </w:pPr>
      <w:hyperlink w:anchor="_Toc209533610" w:history="1">
        <w:r w:rsidRPr="00D943E6">
          <w:rPr>
            <w:rStyle w:val="Hyperlink"/>
            <w:rFonts w:eastAsia="Calibri"/>
            <w:noProof/>
          </w:rPr>
          <w:t>II.27</w:t>
        </w:r>
        <w:r>
          <w:rPr>
            <w:noProof/>
            <w:kern w:val="2"/>
            <w:sz w:val="24"/>
            <w:szCs w:val="24"/>
            <w:lang w:val="de-AT" w:eastAsia="de-AT"/>
            <w14:ligatures w14:val="standardContextual"/>
          </w:rPr>
          <w:tab/>
        </w:r>
        <w:r w:rsidRPr="00D943E6">
          <w:rPr>
            <w:rStyle w:val="Hyperlink"/>
            <w:noProof/>
          </w:rPr>
          <w:t>Z 09.02 – Zuordnung zu kritischen und wesentlichen FMI (FMI 2)</w:t>
        </w:r>
        <w:r>
          <w:rPr>
            <w:noProof/>
            <w:webHidden/>
          </w:rPr>
          <w:tab/>
        </w:r>
        <w:r>
          <w:rPr>
            <w:noProof/>
            <w:webHidden/>
          </w:rPr>
          <w:fldChar w:fldCharType="begin"/>
        </w:r>
        <w:r>
          <w:rPr>
            <w:noProof/>
            <w:webHidden/>
          </w:rPr>
          <w:instrText xml:space="preserve"> PAGEREF _Toc209533610 \h </w:instrText>
        </w:r>
        <w:r>
          <w:rPr>
            <w:noProof/>
            <w:webHidden/>
          </w:rPr>
        </w:r>
        <w:r>
          <w:rPr>
            <w:noProof/>
            <w:webHidden/>
          </w:rPr>
          <w:fldChar w:fldCharType="separate"/>
        </w:r>
        <w:r>
          <w:rPr>
            <w:noProof/>
            <w:webHidden/>
          </w:rPr>
          <w:t>91</w:t>
        </w:r>
        <w:r>
          <w:rPr>
            <w:noProof/>
            <w:webHidden/>
          </w:rPr>
          <w:fldChar w:fldCharType="end"/>
        </w:r>
      </w:hyperlink>
    </w:p>
    <w:p w14:paraId="31B52A7F" w14:textId="37EE2505" w:rsidR="009907F3" w:rsidRDefault="009907F3">
      <w:pPr>
        <w:pStyle w:val="TOC2"/>
        <w:rPr>
          <w:noProof/>
          <w:kern w:val="2"/>
          <w:sz w:val="24"/>
          <w:szCs w:val="24"/>
          <w:lang w:val="de-AT" w:eastAsia="de-AT"/>
          <w14:ligatures w14:val="standardContextual"/>
        </w:rPr>
      </w:pPr>
      <w:hyperlink w:anchor="_Toc209533611" w:history="1">
        <w:r w:rsidRPr="00D943E6">
          <w:rPr>
            <w:rStyle w:val="Hyperlink"/>
            <w:noProof/>
          </w:rPr>
          <w:t>II.28</w:t>
        </w:r>
        <w:r>
          <w:rPr>
            <w:noProof/>
            <w:kern w:val="2"/>
            <w:sz w:val="24"/>
            <w:szCs w:val="24"/>
            <w:lang w:val="de-AT" w:eastAsia="de-AT"/>
            <w14:ligatures w14:val="standardContextual"/>
          </w:rPr>
          <w:tab/>
        </w:r>
        <w:r w:rsidRPr="00D943E6">
          <w:rPr>
            <w:rStyle w:val="Hyperlink"/>
            <w:noProof/>
          </w:rPr>
          <w:t>Z 09.03 – FMI-Dienstleistungen – Schlüsselmessgrößen (FMI 3)</w:t>
        </w:r>
        <w:r>
          <w:rPr>
            <w:noProof/>
            <w:webHidden/>
          </w:rPr>
          <w:tab/>
        </w:r>
        <w:r>
          <w:rPr>
            <w:noProof/>
            <w:webHidden/>
          </w:rPr>
          <w:fldChar w:fldCharType="begin"/>
        </w:r>
        <w:r>
          <w:rPr>
            <w:noProof/>
            <w:webHidden/>
          </w:rPr>
          <w:instrText xml:space="preserve"> PAGEREF _Toc209533611 \h </w:instrText>
        </w:r>
        <w:r>
          <w:rPr>
            <w:noProof/>
            <w:webHidden/>
          </w:rPr>
        </w:r>
        <w:r>
          <w:rPr>
            <w:noProof/>
            <w:webHidden/>
          </w:rPr>
          <w:fldChar w:fldCharType="separate"/>
        </w:r>
        <w:r>
          <w:rPr>
            <w:noProof/>
            <w:webHidden/>
          </w:rPr>
          <w:t>93</w:t>
        </w:r>
        <w:r>
          <w:rPr>
            <w:noProof/>
            <w:webHidden/>
          </w:rPr>
          <w:fldChar w:fldCharType="end"/>
        </w:r>
      </w:hyperlink>
    </w:p>
    <w:p w14:paraId="0E2C15BE" w14:textId="4B2114CE" w:rsidR="009907F3" w:rsidRDefault="009907F3">
      <w:pPr>
        <w:pStyle w:val="TOC2"/>
        <w:rPr>
          <w:noProof/>
          <w:kern w:val="2"/>
          <w:sz w:val="24"/>
          <w:szCs w:val="24"/>
          <w:lang w:val="de-AT" w:eastAsia="de-AT"/>
          <w14:ligatures w14:val="standardContextual"/>
        </w:rPr>
      </w:pPr>
      <w:hyperlink w:anchor="_Toc209533612" w:history="1">
        <w:r w:rsidRPr="00D943E6">
          <w:rPr>
            <w:rStyle w:val="Hyperlink"/>
            <w:noProof/>
          </w:rPr>
          <w:t>II.29</w:t>
        </w:r>
        <w:r>
          <w:rPr>
            <w:noProof/>
            <w:kern w:val="2"/>
            <w:sz w:val="24"/>
            <w:szCs w:val="24"/>
            <w:lang w:val="de-AT" w:eastAsia="de-AT"/>
            <w14:ligatures w14:val="standardContextual"/>
          </w:rPr>
          <w:tab/>
        </w:r>
        <w:r w:rsidRPr="00D943E6">
          <w:rPr>
            <w:rStyle w:val="Hyperlink"/>
            <w:noProof/>
          </w:rPr>
          <w:t>Z 09.04 – FMI-Dienstleistungen – CCPs – alternative Anbieter (FMI 4)</w:t>
        </w:r>
        <w:r>
          <w:rPr>
            <w:noProof/>
            <w:webHidden/>
          </w:rPr>
          <w:tab/>
        </w:r>
        <w:r>
          <w:rPr>
            <w:noProof/>
            <w:webHidden/>
          </w:rPr>
          <w:fldChar w:fldCharType="begin"/>
        </w:r>
        <w:r>
          <w:rPr>
            <w:noProof/>
            <w:webHidden/>
          </w:rPr>
          <w:instrText xml:space="preserve"> PAGEREF _Toc209533612 \h </w:instrText>
        </w:r>
        <w:r>
          <w:rPr>
            <w:noProof/>
            <w:webHidden/>
          </w:rPr>
        </w:r>
        <w:r>
          <w:rPr>
            <w:noProof/>
            <w:webHidden/>
          </w:rPr>
          <w:fldChar w:fldCharType="separate"/>
        </w:r>
        <w:r>
          <w:rPr>
            <w:noProof/>
            <w:webHidden/>
          </w:rPr>
          <w:t>95</w:t>
        </w:r>
        <w:r>
          <w:rPr>
            <w:noProof/>
            <w:webHidden/>
          </w:rPr>
          <w:fldChar w:fldCharType="end"/>
        </w:r>
      </w:hyperlink>
    </w:p>
    <w:p w14:paraId="4C4AD810" w14:textId="4CB08389" w:rsidR="009907F3" w:rsidRDefault="009907F3">
      <w:pPr>
        <w:pStyle w:val="TOC2"/>
        <w:rPr>
          <w:noProof/>
          <w:kern w:val="2"/>
          <w:sz w:val="24"/>
          <w:szCs w:val="24"/>
          <w:lang w:val="de-AT" w:eastAsia="de-AT"/>
          <w14:ligatures w14:val="standardContextual"/>
        </w:rPr>
      </w:pPr>
      <w:hyperlink w:anchor="_Toc209533613" w:history="1">
        <w:r w:rsidRPr="00D943E6">
          <w:rPr>
            <w:rStyle w:val="Hyperlink"/>
            <w:noProof/>
          </w:rPr>
          <w:t>II.30</w:t>
        </w:r>
        <w:r>
          <w:rPr>
            <w:noProof/>
            <w:kern w:val="2"/>
            <w:sz w:val="24"/>
            <w:szCs w:val="24"/>
            <w:lang w:val="de-AT" w:eastAsia="de-AT"/>
            <w14:ligatures w14:val="standardContextual"/>
          </w:rPr>
          <w:tab/>
        </w:r>
        <w:r w:rsidRPr="00D943E6">
          <w:rPr>
            <w:rStyle w:val="Hyperlink"/>
            <w:noProof/>
          </w:rPr>
          <w:t>Analyse der Verbindlichkeiten</w:t>
        </w:r>
        <w:r>
          <w:rPr>
            <w:noProof/>
            <w:webHidden/>
          </w:rPr>
          <w:tab/>
        </w:r>
        <w:r>
          <w:rPr>
            <w:noProof/>
            <w:webHidden/>
          </w:rPr>
          <w:fldChar w:fldCharType="begin"/>
        </w:r>
        <w:r>
          <w:rPr>
            <w:noProof/>
            <w:webHidden/>
          </w:rPr>
          <w:instrText xml:space="preserve"> PAGEREF _Toc209533613 \h </w:instrText>
        </w:r>
        <w:r>
          <w:rPr>
            <w:noProof/>
            <w:webHidden/>
          </w:rPr>
        </w:r>
        <w:r>
          <w:rPr>
            <w:noProof/>
            <w:webHidden/>
          </w:rPr>
          <w:fldChar w:fldCharType="separate"/>
        </w:r>
        <w:r>
          <w:rPr>
            <w:noProof/>
            <w:webHidden/>
          </w:rPr>
          <w:t>95</w:t>
        </w:r>
        <w:r>
          <w:rPr>
            <w:noProof/>
            <w:webHidden/>
          </w:rPr>
          <w:fldChar w:fldCharType="end"/>
        </w:r>
      </w:hyperlink>
    </w:p>
    <w:p w14:paraId="6E4FC6EF" w14:textId="300C3DEE" w:rsidR="009907F3" w:rsidRDefault="009907F3">
      <w:pPr>
        <w:pStyle w:val="TOC2"/>
        <w:rPr>
          <w:noProof/>
          <w:kern w:val="2"/>
          <w:sz w:val="24"/>
          <w:szCs w:val="24"/>
          <w:lang w:val="de-AT" w:eastAsia="de-AT"/>
          <w14:ligatures w14:val="standardContextual"/>
        </w:rPr>
      </w:pPr>
      <w:hyperlink w:anchor="_Toc209533614" w:history="1">
        <w:r w:rsidRPr="00D943E6">
          <w:rPr>
            <w:rStyle w:val="Hyperlink"/>
            <w:rFonts w:ascii="Times New Roman" w:hAnsi="Times New Roman" w:cs="Times New Roman"/>
            <w:noProof/>
          </w:rPr>
          <w:t>II.31</w:t>
        </w:r>
        <w:r>
          <w:rPr>
            <w:noProof/>
            <w:kern w:val="2"/>
            <w:sz w:val="24"/>
            <w:szCs w:val="24"/>
            <w:lang w:val="de-AT" w:eastAsia="de-AT"/>
            <w14:ligatures w14:val="standardContextual"/>
          </w:rPr>
          <w:tab/>
        </w:r>
        <w:r w:rsidRPr="00D943E6">
          <w:rPr>
            <w:rStyle w:val="Hyperlink"/>
            <w:rFonts w:ascii="Times New Roman" w:hAnsi="Times New Roman" w:cs="Times New Roman"/>
            <w:noProof/>
          </w:rPr>
          <w:t>Z 11.00 gruppeninterne Verbindlichkeiten</w:t>
        </w:r>
        <w:r w:rsidRPr="00D943E6">
          <w:rPr>
            <w:rStyle w:val="Hyperlink"/>
            <w:rFonts w:ascii="Times New Roman" w:eastAsia="Calibri" w:hAnsi="Times New Roman" w:cs="Times New Roman"/>
            <w:noProof/>
          </w:rPr>
          <w:t xml:space="preserve"> (LIAB-G-1)</w:t>
        </w:r>
        <w:r>
          <w:rPr>
            <w:noProof/>
            <w:webHidden/>
          </w:rPr>
          <w:tab/>
        </w:r>
        <w:r>
          <w:rPr>
            <w:noProof/>
            <w:webHidden/>
          </w:rPr>
          <w:fldChar w:fldCharType="begin"/>
        </w:r>
        <w:r>
          <w:rPr>
            <w:noProof/>
            <w:webHidden/>
          </w:rPr>
          <w:instrText xml:space="preserve"> PAGEREF _Toc209533614 \h </w:instrText>
        </w:r>
        <w:r>
          <w:rPr>
            <w:noProof/>
            <w:webHidden/>
          </w:rPr>
        </w:r>
        <w:r>
          <w:rPr>
            <w:noProof/>
            <w:webHidden/>
          </w:rPr>
          <w:fldChar w:fldCharType="separate"/>
        </w:r>
        <w:r>
          <w:rPr>
            <w:noProof/>
            <w:webHidden/>
          </w:rPr>
          <w:t>95</w:t>
        </w:r>
        <w:r>
          <w:rPr>
            <w:noProof/>
            <w:webHidden/>
          </w:rPr>
          <w:fldChar w:fldCharType="end"/>
        </w:r>
      </w:hyperlink>
    </w:p>
    <w:p w14:paraId="058FB8F6" w14:textId="73180A1C" w:rsidR="009907F3" w:rsidRDefault="009907F3">
      <w:pPr>
        <w:pStyle w:val="TOC2"/>
        <w:rPr>
          <w:noProof/>
          <w:kern w:val="2"/>
          <w:sz w:val="24"/>
          <w:szCs w:val="24"/>
          <w:lang w:val="de-AT" w:eastAsia="de-AT"/>
          <w14:ligatures w14:val="standardContextual"/>
        </w:rPr>
      </w:pPr>
      <w:hyperlink w:anchor="_Toc209533615" w:history="1">
        <w:r w:rsidRPr="00D943E6">
          <w:rPr>
            <w:rStyle w:val="Hyperlink"/>
            <w:rFonts w:ascii="Times New Roman" w:hAnsi="Times New Roman" w:cs="Times New Roman"/>
            <w:noProof/>
          </w:rPr>
          <w:t>II.32</w:t>
        </w:r>
        <w:r>
          <w:rPr>
            <w:noProof/>
            <w:kern w:val="2"/>
            <w:sz w:val="24"/>
            <w:szCs w:val="24"/>
            <w:lang w:val="de-AT" w:eastAsia="de-AT"/>
            <w14:ligatures w14:val="standardContextual"/>
          </w:rPr>
          <w:tab/>
        </w:r>
        <w:r w:rsidRPr="00D943E6">
          <w:rPr>
            <w:rStyle w:val="Hyperlink"/>
            <w:rFonts w:ascii="Times New Roman" w:hAnsi="Times New Roman" w:cs="Times New Roman"/>
            <w:noProof/>
          </w:rPr>
          <w:t xml:space="preserve">Z 12.00 – Wertpapiere </w:t>
        </w:r>
        <w:r w:rsidRPr="00D943E6">
          <w:rPr>
            <w:rStyle w:val="Hyperlink"/>
            <w:rFonts w:ascii="Times New Roman" w:eastAsia="Cambria" w:hAnsi="Times New Roman" w:cs="Times New Roman"/>
            <w:noProof/>
          </w:rPr>
          <w:t xml:space="preserve">(einschließlich Instrumente des harten Kernkapitals, des zusätzlichen Kernkapitals und des Ergänzungskapitals; ohne gruppeninterne) </w:t>
        </w:r>
        <w:r w:rsidRPr="00D943E6">
          <w:rPr>
            <w:rStyle w:val="Hyperlink"/>
            <w:rFonts w:ascii="Times New Roman" w:eastAsia="Calibri" w:hAnsi="Times New Roman" w:cs="Times New Roman"/>
            <w:noProof/>
          </w:rPr>
          <w:t>(LIAB-G-2)</w:t>
        </w:r>
        <w:r>
          <w:rPr>
            <w:noProof/>
            <w:webHidden/>
          </w:rPr>
          <w:tab/>
        </w:r>
        <w:r>
          <w:rPr>
            <w:noProof/>
            <w:webHidden/>
          </w:rPr>
          <w:fldChar w:fldCharType="begin"/>
        </w:r>
        <w:r>
          <w:rPr>
            <w:noProof/>
            <w:webHidden/>
          </w:rPr>
          <w:instrText xml:space="preserve"> PAGEREF _Toc209533615 \h </w:instrText>
        </w:r>
        <w:r>
          <w:rPr>
            <w:noProof/>
            <w:webHidden/>
          </w:rPr>
        </w:r>
        <w:r>
          <w:rPr>
            <w:noProof/>
            <w:webHidden/>
          </w:rPr>
          <w:fldChar w:fldCharType="separate"/>
        </w:r>
        <w:r>
          <w:rPr>
            <w:noProof/>
            <w:webHidden/>
          </w:rPr>
          <w:t>98</w:t>
        </w:r>
        <w:r>
          <w:rPr>
            <w:noProof/>
            <w:webHidden/>
          </w:rPr>
          <w:fldChar w:fldCharType="end"/>
        </w:r>
      </w:hyperlink>
    </w:p>
    <w:p w14:paraId="75B76BD6" w14:textId="0FFFC486" w:rsidR="009907F3" w:rsidRDefault="009907F3">
      <w:pPr>
        <w:pStyle w:val="TOC2"/>
        <w:rPr>
          <w:noProof/>
          <w:kern w:val="2"/>
          <w:sz w:val="24"/>
          <w:szCs w:val="24"/>
          <w:lang w:val="de-AT" w:eastAsia="de-AT"/>
          <w14:ligatures w14:val="standardContextual"/>
        </w:rPr>
      </w:pPr>
      <w:hyperlink w:anchor="_Toc209533616" w:history="1">
        <w:r w:rsidRPr="00D943E6">
          <w:rPr>
            <w:rStyle w:val="Hyperlink"/>
            <w:rFonts w:ascii="Times New Roman" w:hAnsi="Times New Roman" w:cs="Times New Roman"/>
            <w:noProof/>
          </w:rPr>
          <w:t>II.33</w:t>
        </w:r>
        <w:r>
          <w:rPr>
            <w:noProof/>
            <w:kern w:val="2"/>
            <w:sz w:val="24"/>
            <w:szCs w:val="24"/>
            <w:lang w:val="de-AT" w:eastAsia="de-AT"/>
            <w14:ligatures w14:val="standardContextual"/>
          </w:rPr>
          <w:tab/>
        </w:r>
        <w:r w:rsidRPr="00D943E6">
          <w:rPr>
            <w:rStyle w:val="Hyperlink"/>
            <w:rFonts w:ascii="Times New Roman" w:hAnsi="Times New Roman" w:cs="Times New Roman"/>
            <w:noProof/>
          </w:rPr>
          <w:t xml:space="preserve">Z 13.00 – Alle Einlagen (ohne gruppeninterne) </w:t>
        </w:r>
        <w:r w:rsidRPr="00D943E6">
          <w:rPr>
            <w:rStyle w:val="Hyperlink"/>
            <w:rFonts w:ascii="Times New Roman" w:eastAsia="Calibri" w:hAnsi="Times New Roman" w:cs="Times New Roman"/>
            <w:noProof/>
          </w:rPr>
          <w:t>(LIAB-G-3)</w:t>
        </w:r>
        <w:r>
          <w:rPr>
            <w:noProof/>
            <w:webHidden/>
          </w:rPr>
          <w:tab/>
        </w:r>
        <w:r>
          <w:rPr>
            <w:noProof/>
            <w:webHidden/>
          </w:rPr>
          <w:fldChar w:fldCharType="begin"/>
        </w:r>
        <w:r>
          <w:rPr>
            <w:noProof/>
            <w:webHidden/>
          </w:rPr>
          <w:instrText xml:space="preserve"> PAGEREF _Toc209533616 \h </w:instrText>
        </w:r>
        <w:r>
          <w:rPr>
            <w:noProof/>
            <w:webHidden/>
          </w:rPr>
        </w:r>
        <w:r>
          <w:rPr>
            <w:noProof/>
            <w:webHidden/>
          </w:rPr>
          <w:fldChar w:fldCharType="separate"/>
        </w:r>
        <w:r>
          <w:rPr>
            <w:noProof/>
            <w:webHidden/>
          </w:rPr>
          <w:t>104</w:t>
        </w:r>
        <w:r>
          <w:rPr>
            <w:noProof/>
            <w:webHidden/>
          </w:rPr>
          <w:fldChar w:fldCharType="end"/>
        </w:r>
      </w:hyperlink>
    </w:p>
    <w:p w14:paraId="18B0F2F8" w14:textId="7380D894" w:rsidR="009907F3" w:rsidRDefault="009907F3">
      <w:pPr>
        <w:pStyle w:val="TOC2"/>
        <w:rPr>
          <w:noProof/>
          <w:kern w:val="2"/>
          <w:sz w:val="24"/>
          <w:szCs w:val="24"/>
          <w:lang w:val="de-AT" w:eastAsia="de-AT"/>
          <w14:ligatures w14:val="standardContextual"/>
        </w:rPr>
      </w:pPr>
      <w:hyperlink w:anchor="_Toc209533617" w:history="1">
        <w:r w:rsidRPr="00D943E6">
          <w:rPr>
            <w:rStyle w:val="Hyperlink"/>
            <w:rFonts w:ascii="Times New Roman" w:hAnsi="Times New Roman" w:cs="Times New Roman"/>
            <w:noProof/>
          </w:rPr>
          <w:t>II.34</w:t>
        </w:r>
        <w:r>
          <w:rPr>
            <w:noProof/>
            <w:kern w:val="2"/>
            <w:sz w:val="24"/>
            <w:szCs w:val="24"/>
            <w:lang w:val="de-AT" w:eastAsia="de-AT"/>
            <w14:ligatures w14:val="standardContextual"/>
          </w:rPr>
          <w:tab/>
        </w:r>
        <w:r w:rsidRPr="00D943E6">
          <w:rPr>
            <w:rStyle w:val="Hyperlink"/>
            <w:rFonts w:ascii="Times New Roman" w:hAnsi="Times New Roman" w:cs="Times New Roman"/>
            <w:noProof/>
          </w:rPr>
          <w:t xml:space="preserve">Z 14.00 – Sonstige finanzielle Verbindlichkeiten (nicht in anderen Tabellen enthalten, ausgenommen gruppeninterne) </w:t>
        </w:r>
        <w:r w:rsidRPr="00D943E6">
          <w:rPr>
            <w:rStyle w:val="Hyperlink"/>
            <w:rFonts w:ascii="Times New Roman" w:eastAsia="Calibri" w:hAnsi="Times New Roman" w:cs="Times New Roman"/>
            <w:noProof/>
          </w:rPr>
          <w:t>(LIAB-G-4)</w:t>
        </w:r>
        <w:r>
          <w:rPr>
            <w:noProof/>
            <w:webHidden/>
          </w:rPr>
          <w:tab/>
        </w:r>
        <w:r>
          <w:rPr>
            <w:noProof/>
            <w:webHidden/>
          </w:rPr>
          <w:fldChar w:fldCharType="begin"/>
        </w:r>
        <w:r>
          <w:rPr>
            <w:noProof/>
            <w:webHidden/>
          </w:rPr>
          <w:instrText xml:space="preserve"> PAGEREF _Toc209533617 \h </w:instrText>
        </w:r>
        <w:r>
          <w:rPr>
            <w:noProof/>
            <w:webHidden/>
          </w:rPr>
        </w:r>
        <w:r>
          <w:rPr>
            <w:noProof/>
            <w:webHidden/>
          </w:rPr>
          <w:fldChar w:fldCharType="separate"/>
        </w:r>
        <w:r>
          <w:rPr>
            <w:noProof/>
            <w:webHidden/>
          </w:rPr>
          <w:t>107</w:t>
        </w:r>
        <w:r>
          <w:rPr>
            <w:noProof/>
            <w:webHidden/>
          </w:rPr>
          <w:fldChar w:fldCharType="end"/>
        </w:r>
      </w:hyperlink>
    </w:p>
    <w:p w14:paraId="5765E23E" w14:textId="272C2E23" w:rsidR="009907F3" w:rsidRDefault="009907F3">
      <w:pPr>
        <w:pStyle w:val="TOC2"/>
        <w:rPr>
          <w:noProof/>
          <w:kern w:val="2"/>
          <w:sz w:val="24"/>
          <w:szCs w:val="24"/>
          <w:lang w:val="de-AT" w:eastAsia="de-AT"/>
          <w14:ligatures w14:val="standardContextual"/>
        </w:rPr>
      </w:pPr>
      <w:hyperlink w:anchor="_Toc209533618" w:history="1">
        <w:r w:rsidRPr="00D943E6">
          <w:rPr>
            <w:rStyle w:val="Hyperlink"/>
            <w:rFonts w:ascii="Times New Roman" w:hAnsi="Times New Roman" w:cs="Times New Roman"/>
            <w:noProof/>
          </w:rPr>
          <w:t>II.35</w:t>
        </w:r>
        <w:r>
          <w:rPr>
            <w:noProof/>
            <w:kern w:val="2"/>
            <w:sz w:val="24"/>
            <w:szCs w:val="24"/>
            <w:lang w:val="de-AT" w:eastAsia="de-AT"/>
            <w14:ligatures w14:val="standardContextual"/>
          </w:rPr>
          <w:tab/>
        </w:r>
        <w:r w:rsidRPr="00D943E6">
          <w:rPr>
            <w:rStyle w:val="Hyperlink"/>
            <w:rFonts w:ascii="Times New Roman" w:hAnsi="Times New Roman" w:cs="Times New Roman"/>
            <w:noProof/>
          </w:rPr>
          <w:t xml:space="preserve">Z 15.00 – Derivate </w:t>
        </w:r>
        <w:r w:rsidRPr="00D943E6">
          <w:rPr>
            <w:rStyle w:val="Hyperlink"/>
            <w:rFonts w:ascii="Times New Roman" w:eastAsia="Calibri" w:hAnsi="Times New Roman" w:cs="Times New Roman"/>
            <w:noProof/>
          </w:rPr>
          <w:t>(LIAB-G-5)</w:t>
        </w:r>
        <w:r>
          <w:rPr>
            <w:noProof/>
            <w:webHidden/>
          </w:rPr>
          <w:tab/>
        </w:r>
        <w:r>
          <w:rPr>
            <w:noProof/>
            <w:webHidden/>
          </w:rPr>
          <w:fldChar w:fldCharType="begin"/>
        </w:r>
        <w:r>
          <w:rPr>
            <w:noProof/>
            <w:webHidden/>
          </w:rPr>
          <w:instrText xml:space="preserve"> PAGEREF _Toc209533618 \h </w:instrText>
        </w:r>
        <w:r>
          <w:rPr>
            <w:noProof/>
            <w:webHidden/>
          </w:rPr>
        </w:r>
        <w:r>
          <w:rPr>
            <w:noProof/>
            <w:webHidden/>
          </w:rPr>
          <w:fldChar w:fldCharType="separate"/>
        </w:r>
        <w:r>
          <w:rPr>
            <w:noProof/>
            <w:webHidden/>
          </w:rPr>
          <w:t>109</w:t>
        </w:r>
        <w:r>
          <w:rPr>
            <w:noProof/>
            <w:webHidden/>
          </w:rPr>
          <w:fldChar w:fldCharType="end"/>
        </w:r>
      </w:hyperlink>
    </w:p>
    <w:p w14:paraId="7AA54FAB" w14:textId="4D92814E" w:rsidR="009907F3" w:rsidRDefault="009907F3">
      <w:pPr>
        <w:pStyle w:val="TOC2"/>
        <w:rPr>
          <w:noProof/>
          <w:kern w:val="2"/>
          <w:sz w:val="24"/>
          <w:szCs w:val="24"/>
          <w:lang w:val="de-AT" w:eastAsia="de-AT"/>
          <w14:ligatures w14:val="standardContextual"/>
        </w:rPr>
      </w:pPr>
      <w:hyperlink w:anchor="_Toc209533619" w:history="1">
        <w:r w:rsidRPr="00D943E6">
          <w:rPr>
            <w:rStyle w:val="Hyperlink"/>
            <w:rFonts w:ascii="Times New Roman" w:hAnsi="Times New Roman" w:cs="Times New Roman"/>
            <w:noProof/>
          </w:rPr>
          <w:t>II.36</w:t>
        </w:r>
        <w:r>
          <w:rPr>
            <w:noProof/>
            <w:kern w:val="2"/>
            <w:sz w:val="24"/>
            <w:szCs w:val="24"/>
            <w:lang w:val="de-AT" w:eastAsia="de-AT"/>
            <w14:ligatures w14:val="standardContextual"/>
          </w:rPr>
          <w:tab/>
        </w:r>
        <w:r w:rsidRPr="00D943E6">
          <w:rPr>
            <w:rStyle w:val="Hyperlink"/>
            <w:rFonts w:ascii="Times New Roman" w:hAnsi="Times New Roman" w:cs="Times New Roman"/>
            <w:noProof/>
          </w:rPr>
          <w:t xml:space="preserve">Z 16.00 – Besicherte Finanztransaktionen, außer gruppeninterne </w:t>
        </w:r>
        <w:r w:rsidRPr="00D943E6">
          <w:rPr>
            <w:rStyle w:val="Hyperlink"/>
            <w:rFonts w:ascii="Times New Roman" w:eastAsia="Calibri" w:hAnsi="Times New Roman" w:cs="Times New Roman"/>
            <w:noProof/>
          </w:rPr>
          <w:t>(LIAB-G-6)</w:t>
        </w:r>
        <w:r>
          <w:rPr>
            <w:noProof/>
            <w:webHidden/>
          </w:rPr>
          <w:tab/>
        </w:r>
        <w:r>
          <w:rPr>
            <w:noProof/>
            <w:webHidden/>
          </w:rPr>
          <w:fldChar w:fldCharType="begin"/>
        </w:r>
        <w:r>
          <w:rPr>
            <w:noProof/>
            <w:webHidden/>
          </w:rPr>
          <w:instrText xml:space="preserve"> PAGEREF _Toc209533619 \h </w:instrText>
        </w:r>
        <w:r>
          <w:rPr>
            <w:noProof/>
            <w:webHidden/>
          </w:rPr>
        </w:r>
        <w:r>
          <w:rPr>
            <w:noProof/>
            <w:webHidden/>
          </w:rPr>
          <w:fldChar w:fldCharType="separate"/>
        </w:r>
        <w:r>
          <w:rPr>
            <w:noProof/>
            <w:webHidden/>
          </w:rPr>
          <w:t>111</w:t>
        </w:r>
        <w:r>
          <w:rPr>
            <w:noProof/>
            <w:webHidden/>
          </w:rPr>
          <w:fldChar w:fldCharType="end"/>
        </w:r>
      </w:hyperlink>
    </w:p>
    <w:p w14:paraId="32EE4995" w14:textId="6AF6F5E7" w:rsidR="009907F3" w:rsidRDefault="009907F3">
      <w:pPr>
        <w:pStyle w:val="TOC2"/>
        <w:rPr>
          <w:noProof/>
          <w:kern w:val="2"/>
          <w:sz w:val="24"/>
          <w:szCs w:val="24"/>
          <w:lang w:val="de-AT" w:eastAsia="de-AT"/>
          <w14:ligatures w14:val="standardContextual"/>
        </w:rPr>
      </w:pPr>
      <w:hyperlink w:anchor="_Toc209533620" w:history="1">
        <w:r w:rsidRPr="00D943E6">
          <w:rPr>
            <w:rStyle w:val="Hyperlink"/>
            <w:rFonts w:ascii="Times New Roman" w:hAnsi="Times New Roman" w:cs="Times New Roman"/>
            <w:noProof/>
          </w:rPr>
          <w:t>II.37</w:t>
        </w:r>
        <w:r>
          <w:rPr>
            <w:noProof/>
            <w:kern w:val="2"/>
            <w:sz w:val="24"/>
            <w:szCs w:val="24"/>
            <w:lang w:val="de-AT" w:eastAsia="de-AT"/>
            <w14:ligatures w14:val="standardContextual"/>
          </w:rPr>
          <w:tab/>
        </w:r>
        <w:r w:rsidRPr="00D943E6">
          <w:rPr>
            <w:rStyle w:val="Hyperlink"/>
            <w:rFonts w:ascii="Times New Roman" w:hAnsi="Times New Roman" w:cs="Times New Roman"/>
            <w:noProof/>
          </w:rPr>
          <w:t xml:space="preserve">Z 17.00 - Sonstige nicht-finanzielle Verbindlichkeiten (nicht in anderen Registerkarten enthalten, ausgenommen gruppeninterne Verbindlichkeiten) </w:t>
        </w:r>
        <w:r w:rsidRPr="00D943E6">
          <w:rPr>
            <w:rStyle w:val="Hyperlink"/>
            <w:rFonts w:ascii="Times New Roman" w:eastAsia="Calibri" w:hAnsi="Times New Roman" w:cs="Times New Roman"/>
            <w:noProof/>
          </w:rPr>
          <w:t>(LIAB-G-7)</w:t>
        </w:r>
        <w:r>
          <w:rPr>
            <w:noProof/>
            <w:webHidden/>
          </w:rPr>
          <w:tab/>
        </w:r>
        <w:r>
          <w:rPr>
            <w:noProof/>
            <w:webHidden/>
          </w:rPr>
          <w:fldChar w:fldCharType="begin"/>
        </w:r>
        <w:r>
          <w:rPr>
            <w:noProof/>
            <w:webHidden/>
          </w:rPr>
          <w:instrText xml:space="preserve"> PAGEREF _Toc209533620 \h </w:instrText>
        </w:r>
        <w:r>
          <w:rPr>
            <w:noProof/>
            <w:webHidden/>
          </w:rPr>
        </w:r>
        <w:r>
          <w:rPr>
            <w:noProof/>
            <w:webHidden/>
          </w:rPr>
          <w:fldChar w:fldCharType="separate"/>
        </w:r>
        <w:r>
          <w:rPr>
            <w:noProof/>
            <w:webHidden/>
          </w:rPr>
          <w:t>113</w:t>
        </w:r>
        <w:r>
          <w:rPr>
            <w:noProof/>
            <w:webHidden/>
          </w:rPr>
          <w:fldChar w:fldCharType="end"/>
        </w:r>
      </w:hyperlink>
    </w:p>
    <w:p w14:paraId="7A89B9B5" w14:textId="21C251AD" w:rsidR="009907F3" w:rsidRDefault="009907F3">
      <w:pPr>
        <w:pStyle w:val="TOC2"/>
        <w:rPr>
          <w:noProof/>
          <w:kern w:val="2"/>
          <w:sz w:val="24"/>
          <w:szCs w:val="24"/>
          <w:lang w:val="de-AT" w:eastAsia="de-AT"/>
          <w14:ligatures w14:val="standardContextual"/>
        </w:rPr>
      </w:pPr>
      <w:hyperlink w:anchor="_Toc209533621" w:history="1">
        <w:r w:rsidRPr="00D943E6">
          <w:rPr>
            <w:rStyle w:val="Hyperlink"/>
            <w:noProof/>
          </w:rPr>
          <w:t>II.38</w:t>
        </w:r>
        <w:r>
          <w:rPr>
            <w:noProof/>
            <w:kern w:val="2"/>
            <w:sz w:val="24"/>
            <w:szCs w:val="24"/>
            <w:lang w:val="de-AT" w:eastAsia="de-AT"/>
            <w14:ligatures w14:val="standardContextual"/>
          </w:rPr>
          <w:tab/>
        </w:r>
        <w:r w:rsidRPr="00D943E6">
          <w:rPr>
            <w:rStyle w:val="Hyperlink"/>
            <w:noProof/>
          </w:rPr>
          <w:t>Anhang I – Liste der für Z 09.01 – c0050 zu verwendenden FMI</w:t>
        </w:r>
        <w:r>
          <w:rPr>
            <w:noProof/>
            <w:webHidden/>
          </w:rPr>
          <w:tab/>
        </w:r>
        <w:r>
          <w:rPr>
            <w:noProof/>
            <w:webHidden/>
          </w:rPr>
          <w:fldChar w:fldCharType="begin"/>
        </w:r>
        <w:r>
          <w:rPr>
            <w:noProof/>
            <w:webHidden/>
          </w:rPr>
          <w:instrText xml:space="preserve"> PAGEREF _Toc209533621 \h </w:instrText>
        </w:r>
        <w:r>
          <w:rPr>
            <w:noProof/>
            <w:webHidden/>
          </w:rPr>
        </w:r>
        <w:r>
          <w:rPr>
            <w:noProof/>
            <w:webHidden/>
          </w:rPr>
          <w:fldChar w:fldCharType="separate"/>
        </w:r>
        <w:r>
          <w:rPr>
            <w:noProof/>
            <w:webHidden/>
          </w:rPr>
          <w:t>116</w:t>
        </w:r>
        <w:r>
          <w:rPr>
            <w:noProof/>
            <w:webHidden/>
          </w:rPr>
          <w:fldChar w:fldCharType="end"/>
        </w:r>
      </w:hyperlink>
    </w:p>
    <w:p w14:paraId="7FE1B2E2" w14:textId="5974C436" w:rsidR="00696584" w:rsidRDefault="002C4F63">
      <w:pPr>
        <w:rPr>
          <w:rFonts w:ascii="Times New Roman" w:hAnsi="Times New Roman" w:cs="Times New Roman"/>
          <w:b/>
          <w:color w:val="000000" w:themeColor="text1"/>
          <w:sz w:val="20"/>
          <w:szCs w:val="20"/>
        </w:rPr>
      </w:pPr>
      <w:r>
        <w:rPr>
          <w:rFonts w:ascii="Times New Roman" w:hAnsi="Times New Roman" w:cs="Times New Roman"/>
          <w:bCs/>
          <w:color w:val="000000" w:themeColor="text1"/>
          <w:sz w:val="20"/>
          <w:szCs w:val="20"/>
        </w:rPr>
        <w:fldChar w:fldCharType="end"/>
      </w:r>
    </w:p>
    <w:p w14:paraId="7FE1B2E3" w14:textId="77777777" w:rsidR="00696584" w:rsidRDefault="00696584">
      <w:pPr>
        <w:rPr>
          <w:rFonts w:ascii="Times New Roman" w:hAnsi="Times New Roman" w:cs="Times New Roman"/>
          <w:b/>
          <w:color w:val="000000" w:themeColor="text1"/>
          <w:sz w:val="20"/>
          <w:szCs w:val="20"/>
        </w:rPr>
      </w:pPr>
    </w:p>
    <w:p w14:paraId="7FE1B2E4" w14:textId="77777777" w:rsidR="00696584" w:rsidRDefault="00696584">
      <w:pPr>
        <w:pStyle w:val="ListParagraph"/>
        <w:rPr>
          <w:rFonts w:ascii="Times New Roman" w:hAnsi="Times New Roman"/>
          <w:b/>
          <w:color w:val="000000" w:themeColor="text1"/>
          <w:sz w:val="20"/>
          <w:szCs w:val="20"/>
        </w:rPr>
      </w:pPr>
    </w:p>
    <w:p w14:paraId="7FE1B2E5" w14:textId="77777777" w:rsidR="00696584" w:rsidRDefault="002C4F63">
      <w:pPr>
        <w:pStyle w:val="P68B1DB1-Normal3"/>
        <w:spacing w:after="200" w:line="276" w:lineRule="auto"/>
        <w:rPr>
          <w:rFonts w:eastAsiaTheme="majorEastAsia"/>
          <w:kern w:val="28"/>
        </w:rPr>
      </w:pPr>
      <w:bookmarkStart w:id="0" w:name="_Toc492542318"/>
      <w:r>
        <w:br w:type="page"/>
      </w:r>
    </w:p>
    <w:p w14:paraId="7FE1B2E6" w14:textId="77777777" w:rsidR="00696584" w:rsidRDefault="002C4F63">
      <w:pPr>
        <w:pStyle w:val="P68B1DB1-Instructionsberschrift24"/>
        <w:numPr>
          <w:ilvl w:val="0"/>
          <w:numId w:val="49"/>
        </w:numPr>
        <w:ind w:left="357" w:hanging="357"/>
      </w:pPr>
      <w:bookmarkStart w:id="1" w:name="_Toc81454170"/>
      <w:bookmarkStart w:id="2" w:name="_Toc209533573"/>
      <w:r>
        <w:lastRenderedPageBreak/>
        <w:t>Allgemeine Hinweise</w:t>
      </w:r>
      <w:bookmarkEnd w:id="0"/>
      <w:bookmarkEnd w:id="1"/>
      <w:bookmarkEnd w:id="2"/>
    </w:p>
    <w:p w14:paraId="7FE1B2E7" w14:textId="77777777" w:rsidR="00696584" w:rsidRDefault="002C4F63">
      <w:pPr>
        <w:pStyle w:val="P68B1DB1-Instructionsberschrift25"/>
        <w:numPr>
          <w:ilvl w:val="1"/>
          <w:numId w:val="49"/>
        </w:numPr>
        <w:ind w:left="357" w:hanging="357"/>
      </w:pPr>
      <w:bookmarkStart w:id="3" w:name="_Toc81454171"/>
      <w:bookmarkStart w:id="4" w:name="_Toc209533574"/>
      <w:r>
        <w:t>Struktur</w:t>
      </w:r>
      <w:bookmarkEnd w:id="3"/>
      <w:bookmarkEnd w:id="4"/>
    </w:p>
    <w:p w14:paraId="7FE1B2E8" w14:textId="261F32BB" w:rsidR="00696584" w:rsidRDefault="002C4F63">
      <w:pPr>
        <w:pStyle w:val="P68B1DB1-InstructionsText26"/>
        <w:numPr>
          <w:ilvl w:val="0"/>
          <w:numId w:val="71"/>
        </w:numPr>
        <w:spacing w:before="0"/>
        <w:ind w:left="714" w:hanging="357"/>
      </w:pPr>
      <w:r>
        <w:t>Der Rahmen besteht aus 29 Meldebögen in 6 Kategorien:</w:t>
      </w:r>
    </w:p>
    <w:p w14:paraId="7FE1B2EA" w14:textId="45B1FB28" w:rsidR="00696584" w:rsidRDefault="002C4F63">
      <w:pPr>
        <w:pStyle w:val="P68B1DB1-body7"/>
        <w:numPr>
          <w:ilvl w:val="0"/>
          <w:numId w:val="61"/>
        </w:numPr>
      </w:pPr>
      <w:r>
        <w:t>Der Block „Allgemeine Angaben“ gibt einen Überblick über die Organisationsstruktur der Gruppe und ihrer Unternehmen, die Verteilung der Vermögenswerte und Risikopositionsbeträge. Dieser Block umfasst Meldebögen:</w:t>
      </w:r>
    </w:p>
    <w:p w14:paraId="7FE1B2EB" w14:textId="39EED25F" w:rsidR="00696584" w:rsidRDefault="002C4F63">
      <w:pPr>
        <w:pStyle w:val="P68B1DB1-body7"/>
        <w:numPr>
          <w:ilvl w:val="1"/>
          <w:numId w:val="207"/>
        </w:numPr>
      </w:pPr>
      <w:r>
        <w:t>Z 01.01 – Rechtspersonen (ORG 1)</w:t>
      </w:r>
    </w:p>
    <w:p w14:paraId="7FE1B2EC" w14:textId="77777777" w:rsidR="00696584" w:rsidRDefault="002C4F63">
      <w:pPr>
        <w:pStyle w:val="P68B1DB1-body7"/>
        <w:numPr>
          <w:ilvl w:val="1"/>
          <w:numId w:val="207"/>
        </w:numPr>
      </w:pPr>
      <w:r>
        <w:t>Z 01.02 – Eigentümerstruktur (ORG 2)</w:t>
      </w:r>
    </w:p>
    <w:p w14:paraId="7FE1B2ED" w14:textId="1A095C9B" w:rsidR="00696584" w:rsidRDefault="002C4F63">
      <w:pPr>
        <w:pStyle w:val="P68B1DB1-body7"/>
        <w:numPr>
          <w:ilvl w:val="0"/>
          <w:numId w:val="61"/>
        </w:numPr>
      </w:pPr>
      <w:r>
        <w:t xml:space="preserve">Der Block „Zusammenfassende Angaben zu bilanziellen und außerbilanziellen Posten“ umfasst Finanzinformationen zu den Verbindlichkeiten, den Eigenmitteln, den finanziellen Verflechtungen zwischen den Unternehmen einer Gruppe, den Verbindlichkeiten gegenüber wichtigen Gegenparteien und den außerbilanziellen Posten, die von wichtigen Gegenparteien entgegengenommen wurden, und zu </w:t>
      </w:r>
      <w:r w:rsidR="002872FC">
        <w:t>Einlagensicherungen</w:t>
      </w:r>
      <w:r>
        <w:t>. Dieser Block umfasst 7 Meldebögen:</w:t>
      </w:r>
    </w:p>
    <w:p w14:paraId="7FE1B2EE" w14:textId="7DBDE9D2" w:rsidR="00696584" w:rsidRDefault="002C4F63">
      <w:pPr>
        <w:pStyle w:val="P68B1DB1-body7"/>
        <w:numPr>
          <w:ilvl w:val="0"/>
          <w:numId w:val="208"/>
        </w:numPr>
      </w:pPr>
      <w:r>
        <w:t>Z 02.00 – Struktur der Verbindlichkeiten (LIAB 1)</w:t>
      </w:r>
      <w:r w:rsidR="002872FC">
        <w:t>“</w:t>
      </w:r>
      <w:r>
        <w:t>;</w:t>
      </w:r>
    </w:p>
    <w:p w14:paraId="7FE1B2EF" w14:textId="4EB8F701" w:rsidR="00696584" w:rsidRDefault="002C4F63">
      <w:pPr>
        <w:pStyle w:val="P68B1DB1-body7"/>
        <w:numPr>
          <w:ilvl w:val="0"/>
          <w:numId w:val="208"/>
        </w:numPr>
      </w:pPr>
      <w:r>
        <w:t>Z 03.01 – Eigenmittelanforderungen an Kreditinstitute (LIAB 2);</w:t>
      </w:r>
    </w:p>
    <w:p w14:paraId="7FE1B2F0" w14:textId="0498FD99" w:rsidR="00696584" w:rsidRDefault="002C4F63">
      <w:pPr>
        <w:pStyle w:val="P68B1DB1-body7"/>
        <w:numPr>
          <w:ilvl w:val="0"/>
          <w:numId w:val="208"/>
        </w:numPr>
      </w:pPr>
      <w:r>
        <w:t>Z 03.02 – Eigenmittelanforderungen an Wertpapierfirmen (LIAB 3);</w:t>
      </w:r>
    </w:p>
    <w:p w14:paraId="7FE1B2F2" w14:textId="39F1EFA3" w:rsidR="00696584" w:rsidRDefault="002C4F63">
      <w:pPr>
        <w:pStyle w:val="P68B1DB1-body7"/>
        <w:numPr>
          <w:ilvl w:val="0"/>
          <w:numId w:val="208"/>
        </w:numPr>
      </w:pPr>
      <w:r>
        <w:t>Z 04.00 – Finanzielle Verflechtungen innerhalb der Gruppe (LIAB 4);</w:t>
      </w:r>
    </w:p>
    <w:p w14:paraId="7FE1B2F3" w14:textId="15075984" w:rsidR="00696584" w:rsidRDefault="002C4F63">
      <w:pPr>
        <w:pStyle w:val="P68B1DB1-body7"/>
        <w:numPr>
          <w:ilvl w:val="0"/>
          <w:numId w:val="208"/>
        </w:numPr>
      </w:pPr>
      <w:r>
        <w:t>Z 05.01 – Haupthaftungspartnern (LIAB 5);</w:t>
      </w:r>
    </w:p>
    <w:p w14:paraId="7FE1B2F4" w14:textId="22C7AE0B" w:rsidR="00696584" w:rsidRDefault="002C4F63">
      <w:pPr>
        <w:pStyle w:val="P68B1DB1-body7"/>
        <w:numPr>
          <w:ilvl w:val="0"/>
          <w:numId w:val="208"/>
        </w:numPr>
      </w:pPr>
      <w:r>
        <w:t>Z 05.02 – Außerbilanzielle Posten von wichtigen Gegenparteien (LIAB 6</w:t>
      </w:r>
      <w:r w:rsidR="002872FC">
        <w:t>);</w:t>
      </w:r>
    </w:p>
    <w:p w14:paraId="7FE1B2F5" w14:textId="616CA101" w:rsidR="00696584" w:rsidRDefault="002C4F63">
      <w:pPr>
        <w:pStyle w:val="P68B1DB1-body7"/>
        <w:numPr>
          <w:ilvl w:val="0"/>
          <w:numId w:val="208"/>
        </w:numPr>
      </w:pPr>
      <w:r>
        <w:t>Z 06.00 – Einlagensicherung (LIAB 7).</w:t>
      </w:r>
    </w:p>
    <w:p w14:paraId="7FE1B2F6" w14:textId="75559FD1" w:rsidR="00696584" w:rsidRDefault="002C4F63">
      <w:pPr>
        <w:pStyle w:val="P68B1DB1-body7"/>
        <w:numPr>
          <w:ilvl w:val="0"/>
          <w:numId w:val="61"/>
        </w:numPr>
      </w:pPr>
      <w:r>
        <w:t>Der Block „Kritische Funktionen“ gibt einen Überblick über die kritischen Funktionen und ermöglicht deren Zuordnung zu Rechtsträgern, Kerngeschäftsbereichen, kritischen Dienstleistungen, Finanzmarktinfrastrukturen und Informationssystemen. Dieser Block umfasst 4 Meldebögen:</w:t>
      </w:r>
    </w:p>
    <w:p w14:paraId="7FE1B2F7" w14:textId="1F69885E" w:rsidR="00696584" w:rsidRDefault="002C4F63">
      <w:pPr>
        <w:pStyle w:val="P68B1DB1-body7"/>
        <w:numPr>
          <w:ilvl w:val="1"/>
          <w:numId w:val="209"/>
        </w:numPr>
      </w:pPr>
      <w:r>
        <w:t xml:space="preserve">Z 07.01 – </w:t>
      </w:r>
      <w:r w:rsidR="002872FC">
        <w:t xml:space="preserve">Bewertung der Kritikalität wirtschaftlicher </w:t>
      </w:r>
      <w:r>
        <w:t xml:space="preserve">Funktionen (FUNC 1), </w:t>
      </w:r>
    </w:p>
    <w:p w14:paraId="7FE1B2F8" w14:textId="3145F629" w:rsidR="00696584" w:rsidRDefault="002C4F63">
      <w:pPr>
        <w:pStyle w:val="P68B1DB1-body7"/>
        <w:numPr>
          <w:ilvl w:val="1"/>
          <w:numId w:val="209"/>
        </w:numPr>
      </w:pPr>
      <w:r>
        <w:t xml:space="preserve">Z 07.02 – Kritische Funktionen nach Rechtsträgern (FUNC 2) </w:t>
      </w:r>
    </w:p>
    <w:p w14:paraId="2E4CC04A" w14:textId="77777777" w:rsidR="002872FC" w:rsidRDefault="002C4F63">
      <w:pPr>
        <w:pStyle w:val="P68B1DB1-body7"/>
        <w:numPr>
          <w:ilvl w:val="1"/>
          <w:numId w:val="209"/>
        </w:numPr>
      </w:pPr>
      <w:r>
        <w:t>Z 07.03 – Kerngeschäftsbereiche nach Rechtsträgern (FUNC 3)</w:t>
      </w:r>
    </w:p>
    <w:p w14:paraId="7FE1B2FB" w14:textId="2EA1524B" w:rsidR="00696584" w:rsidRDefault="002C4F63" w:rsidP="000D7090">
      <w:pPr>
        <w:pStyle w:val="P68B1DB1-body7"/>
        <w:numPr>
          <w:ilvl w:val="1"/>
          <w:numId w:val="209"/>
        </w:numPr>
      </w:pPr>
      <w:r>
        <w:t xml:space="preserve"> Z 07.04 – Kritische Funktionen in den Kerngeschäftsbereichen (FUNC 4);</w:t>
      </w:r>
    </w:p>
    <w:p w14:paraId="7FE1B2FC" w14:textId="32F0CC35" w:rsidR="00696584" w:rsidRDefault="002872FC">
      <w:pPr>
        <w:pStyle w:val="P68B1DB1-body7"/>
        <w:numPr>
          <w:ilvl w:val="0"/>
          <w:numId w:val="61"/>
        </w:numPr>
      </w:pPr>
      <w:bookmarkStart w:id="5" w:name="_Hlk160696385"/>
      <w:r>
        <w:t>Der Block „</w:t>
      </w:r>
      <w:r w:rsidR="002C4F63">
        <w:t>Dienstleistungen und Einrichtungen</w:t>
      </w:r>
      <w:r>
        <w:t>“</w:t>
      </w:r>
      <w:r w:rsidR="002C4F63">
        <w:t xml:space="preserve">, </w:t>
      </w:r>
      <w:r>
        <w:t xml:space="preserve">beinhaltet </w:t>
      </w:r>
      <w:r w:rsidR="002C4F63">
        <w:t>eine Aufschlüsselung der Nutzer und Anbieter von</w:t>
      </w:r>
      <w:r>
        <w:t xml:space="preserve"> Dienstleistungen</w:t>
      </w:r>
      <w:r w:rsidR="002C4F63">
        <w:t xml:space="preserve"> und</w:t>
      </w:r>
      <w:r>
        <w:t xml:space="preserve"> ordnet</w:t>
      </w:r>
      <w:r w:rsidR="002C4F63">
        <w:t xml:space="preserve"> diese</w:t>
      </w:r>
      <w:r>
        <w:t xml:space="preserve"> den kritischen Funktionen und Kerngeschäftsbereichen zu</w:t>
      </w:r>
      <w:bookmarkEnd w:id="5"/>
      <w:r w:rsidR="002C4F63">
        <w:t>:</w:t>
      </w:r>
    </w:p>
    <w:p w14:paraId="7FE1B2FD" w14:textId="77777777" w:rsidR="00696584" w:rsidRDefault="002C4F63">
      <w:pPr>
        <w:pStyle w:val="P68B1DB1-body7"/>
        <w:numPr>
          <w:ilvl w:val="1"/>
          <w:numId w:val="210"/>
        </w:numPr>
      </w:pPr>
      <w:r>
        <w:t>Z 08.01 – Relevante Dienstleistungen (SERV 1)</w:t>
      </w:r>
    </w:p>
    <w:p w14:paraId="7FE1B2FE" w14:textId="77777777" w:rsidR="00696584" w:rsidRDefault="002C4F63">
      <w:pPr>
        <w:pStyle w:val="P68B1DB1-body7"/>
        <w:numPr>
          <w:ilvl w:val="1"/>
          <w:numId w:val="210"/>
        </w:numPr>
      </w:pPr>
      <w:r>
        <w:t>Z 08.02 – Relevante Dienstleistungen – Zuordnung zu Vermögenswerten (SERV 2)</w:t>
      </w:r>
    </w:p>
    <w:p w14:paraId="7FE1B2FF" w14:textId="77777777" w:rsidR="00696584" w:rsidRDefault="002C4F63">
      <w:pPr>
        <w:pStyle w:val="P68B1DB1-body7"/>
        <w:numPr>
          <w:ilvl w:val="1"/>
          <w:numId w:val="210"/>
        </w:numPr>
      </w:pPr>
      <w:r>
        <w:lastRenderedPageBreak/>
        <w:t>Z 08.03 – Relevante Dienstleistungen – Zuordnung zu Rollen (SERV 3)</w:t>
      </w:r>
    </w:p>
    <w:p w14:paraId="7FE1B300" w14:textId="192E3413" w:rsidR="00696584" w:rsidRDefault="002C4F63">
      <w:pPr>
        <w:pStyle w:val="P68B1DB1-body7"/>
        <w:numPr>
          <w:ilvl w:val="1"/>
          <w:numId w:val="210"/>
        </w:numPr>
      </w:pPr>
      <w:r>
        <w:t>Z 08.04 – Relevante Dienst</w:t>
      </w:r>
      <w:r w:rsidR="002872FC">
        <w:t>leistungen</w:t>
      </w:r>
      <w:r>
        <w:t xml:space="preserve"> – Zuordnung zu kritischen Funktionen (SERV 4)</w:t>
      </w:r>
    </w:p>
    <w:p w14:paraId="7FE1B301" w14:textId="1C906A89" w:rsidR="00696584" w:rsidRDefault="002C4F63">
      <w:pPr>
        <w:pStyle w:val="P68B1DB1-body7"/>
        <w:numPr>
          <w:ilvl w:val="1"/>
          <w:numId w:val="210"/>
        </w:numPr>
      </w:pPr>
      <w:r>
        <w:t>Z 08.05 – Relevante Dienstleistungen – Zuordnung zu Kerngeschäftsbereichen (SERV 5)</w:t>
      </w:r>
    </w:p>
    <w:p w14:paraId="7FE1B303" w14:textId="6B53D4FF" w:rsidR="00696584" w:rsidRDefault="003139A0">
      <w:pPr>
        <w:pStyle w:val="P68B1DB1-body7"/>
        <w:numPr>
          <w:ilvl w:val="0"/>
          <w:numId w:val="61"/>
        </w:numPr>
      </w:pPr>
      <w:r>
        <w:t xml:space="preserve">Meldungen </w:t>
      </w:r>
      <w:r w:rsidR="002C4F63">
        <w:t>über FMI-Dienstleistungen</w:t>
      </w:r>
    </w:p>
    <w:p w14:paraId="7FE1B304" w14:textId="110EA9FD" w:rsidR="00696584" w:rsidRDefault="002C4F63">
      <w:pPr>
        <w:pStyle w:val="P68B1DB1-body7"/>
        <w:numPr>
          <w:ilvl w:val="1"/>
          <w:numId w:val="211"/>
        </w:numPr>
      </w:pPr>
      <w:r>
        <w:t>Z 09.01 – FMI-Dienstleistungen – Anbieter und Nutzer (FMI 1)</w:t>
      </w:r>
    </w:p>
    <w:p w14:paraId="7FE1B305" w14:textId="77777777" w:rsidR="00696584" w:rsidRDefault="002C4F63">
      <w:pPr>
        <w:pStyle w:val="P68B1DB1-body7"/>
        <w:numPr>
          <w:ilvl w:val="1"/>
          <w:numId w:val="211"/>
        </w:numPr>
      </w:pPr>
      <w:r>
        <w:t>Z 09.02 – FMI-Dienstleistungen – Zuordnung zu kritischen und wesentlichen FMI (FMI 2)</w:t>
      </w:r>
    </w:p>
    <w:p w14:paraId="7FE1B306" w14:textId="77777777" w:rsidR="00696584" w:rsidRDefault="002C4F63">
      <w:pPr>
        <w:pStyle w:val="P68B1DB1-body7"/>
        <w:numPr>
          <w:ilvl w:val="1"/>
          <w:numId w:val="211"/>
        </w:numPr>
      </w:pPr>
      <w:r>
        <w:t>Z 09.03 – FMI-Dienstleistungen – Schlüsselmessgrößen (FMI 3)</w:t>
      </w:r>
    </w:p>
    <w:p w14:paraId="7FE1B307" w14:textId="77777777" w:rsidR="00696584" w:rsidRDefault="002C4F63">
      <w:pPr>
        <w:pStyle w:val="P68B1DB1-body7"/>
        <w:numPr>
          <w:ilvl w:val="1"/>
          <w:numId w:val="211"/>
        </w:numPr>
      </w:pPr>
      <w:r>
        <w:t>Z 09.04 – FMI-Dienstleistungen – CCPs – alternative Anbieter (FMI 4)</w:t>
      </w:r>
    </w:p>
    <w:p w14:paraId="7FE1B30B" w14:textId="0A1F2291" w:rsidR="00696584" w:rsidRDefault="002C4F63">
      <w:pPr>
        <w:pStyle w:val="P68B1DB1-body7"/>
        <w:numPr>
          <w:ilvl w:val="0"/>
          <w:numId w:val="61"/>
        </w:numPr>
      </w:pPr>
      <w:r>
        <w:t xml:space="preserve">Granulare Meldung von </w:t>
      </w:r>
      <w:r w:rsidR="002872FC">
        <w:t xml:space="preserve">Verbindlichkeitsdaten </w:t>
      </w:r>
      <w:r>
        <w:t>für die Bail-in-Bewertung</w:t>
      </w:r>
    </w:p>
    <w:p w14:paraId="7FE1B30C" w14:textId="6ACC8549" w:rsidR="00696584" w:rsidRDefault="002C4F63">
      <w:pPr>
        <w:pStyle w:val="P68B1DB1-body7"/>
        <w:numPr>
          <w:ilvl w:val="0"/>
          <w:numId w:val="217"/>
        </w:numPr>
      </w:pPr>
      <w:r>
        <w:t>Z 11.00 – gruppeninterne Verbindlichkeiten (ohne Derivate) (LIAB-G-1)</w:t>
      </w:r>
    </w:p>
    <w:p w14:paraId="7FE1B30D" w14:textId="140BB302" w:rsidR="00696584" w:rsidRDefault="002C4F63">
      <w:pPr>
        <w:pStyle w:val="P68B1DB1-body7"/>
        <w:numPr>
          <w:ilvl w:val="0"/>
          <w:numId w:val="217"/>
        </w:numPr>
      </w:pPr>
      <w:r>
        <w:t>Z 12.00 – Wertpapiere (einschließlich Instrumente des harten Kernkapitals, des zusätzlichen Kernkapitals und des Ergänzungskapitals, außer gruppeninterne Instrumente) (LIAB-G-2)</w:t>
      </w:r>
    </w:p>
    <w:p w14:paraId="7FE1B30E" w14:textId="67922446" w:rsidR="00696584" w:rsidRDefault="002C4F63">
      <w:pPr>
        <w:pStyle w:val="P68B1DB1-body7"/>
        <w:numPr>
          <w:ilvl w:val="0"/>
          <w:numId w:val="217"/>
        </w:numPr>
      </w:pPr>
      <w:r>
        <w:t>Z 13.00 – Alle Einlagen (ohne gruppeninterne) (LIAB-G-3)</w:t>
      </w:r>
    </w:p>
    <w:p w14:paraId="7FE1B30F" w14:textId="2D8F046E" w:rsidR="00696584" w:rsidRDefault="002C4F63">
      <w:pPr>
        <w:pStyle w:val="P68B1DB1-body7"/>
        <w:numPr>
          <w:ilvl w:val="0"/>
          <w:numId w:val="217"/>
        </w:numPr>
      </w:pPr>
      <w:r>
        <w:t>Z 14.00 – Sonstige finanzielle Verbindlichkeiten (LIAB-G-4)</w:t>
      </w:r>
    </w:p>
    <w:p w14:paraId="7FE1B310" w14:textId="69B08C3E" w:rsidR="00696584" w:rsidRDefault="002C4F63">
      <w:pPr>
        <w:pStyle w:val="P68B1DB1-body7"/>
        <w:numPr>
          <w:ilvl w:val="1"/>
          <w:numId w:val="211"/>
        </w:numPr>
      </w:pPr>
      <w:r>
        <w:t>Z 15.00 – Derivate (LIAB-G-5)</w:t>
      </w:r>
    </w:p>
    <w:p w14:paraId="7FE1B311" w14:textId="2130BFF9" w:rsidR="00696584" w:rsidRDefault="002C4F63">
      <w:pPr>
        <w:pStyle w:val="P68B1DB1-body7"/>
        <w:numPr>
          <w:ilvl w:val="1"/>
          <w:numId w:val="211"/>
        </w:numPr>
      </w:pPr>
      <w:r>
        <w:t>Z 16.00 – Besicherte Finanzierungen, außer gruppeninterne (LIAB-G-6)</w:t>
      </w:r>
    </w:p>
    <w:p w14:paraId="7FE1B312" w14:textId="77742066" w:rsidR="00696584" w:rsidRDefault="002C4F63">
      <w:pPr>
        <w:pStyle w:val="P68B1DB1-body7"/>
        <w:numPr>
          <w:ilvl w:val="1"/>
          <w:numId w:val="211"/>
        </w:numPr>
      </w:pPr>
      <w:r>
        <w:t>Z 17.00 – Sonstige nicht-finanzielle Verbindlichkeiten (LIAB-G-7)</w:t>
      </w:r>
    </w:p>
    <w:p w14:paraId="7FE1B313" w14:textId="77777777" w:rsidR="00696584" w:rsidRDefault="00696584">
      <w:pPr>
        <w:pStyle w:val="body"/>
        <w:ind w:left="426"/>
        <w:rPr>
          <w:rFonts w:ascii="Times New Roman" w:hAnsi="Times New Roman" w:cs="Times New Roman"/>
          <w:color w:val="000000" w:themeColor="text1"/>
          <w:sz w:val="20"/>
          <w:szCs w:val="20"/>
        </w:rPr>
      </w:pPr>
    </w:p>
    <w:p w14:paraId="7FE1B314" w14:textId="677DC5C0" w:rsidR="00696584" w:rsidRDefault="002872FC">
      <w:pPr>
        <w:pStyle w:val="P68B1DB1-Instructionsberschrift25"/>
        <w:numPr>
          <w:ilvl w:val="1"/>
          <w:numId w:val="49"/>
        </w:numPr>
        <w:ind w:left="357" w:hanging="357"/>
      </w:pPr>
      <w:bookmarkStart w:id="6" w:name="_Toc209533575"/>
      <w:r>
        <w:t>Referenzen</w:t>
      </w:r>
      <w:bookmarkEnd w:id="6"/>
    </w:p>
    <w:p w14:paraId="7FE1B315" w14:textId="77777777" w:rsidR="00696584" w:rsidRDefault="002C4F63">
      <w:pPr>
        <w:pStyle w:val="P68B1DB1-InstructionsText26"/>
        <w:numPr>
          <w:ilvl w:val="0"/>
          <w:numId w:val="225"/>
        </w:numPr>
        <w:spacing w:before="0"/>
      </w:pPr>
      <w:r>
        <w:t>Verzeichnis der in diesem Anhang verwendeten Abkürzungen:</w:t>
      </w:r>
    </w:p>
    <w:p w14:paraId="7FE1B317" w14:textId="77777777" w:rsidR="00696584" w:rsidRDefault="002C4F63">
      <w:pPr>
        <w:pStyle w:val="P68B1DB1-ListParagraph8"/>
        <w:numPr>
          <w:ilvl w:val="0"/>
          <w:numId w:val="60"/>
        </w:numPr>
        <w:ind w:left="1074"/>
        <w:jc w:val="both"/>
      </w:pPr>
      <w:r>
        <w:t>CPMI: Ausschuss für Zahlungsverkehr und Marktinfrastrukturen der Bank für Internationalen Zahlungsausgleich,</w:t>
      </w:r>
    </w:p>
    <w:p w14:paraId="7FE1B318" w14:textId="36318AB0" w:rsidR="00696584" w:rsidRDefault="002C4F63">
      <w:pPr>
        <w:pStyle w:val="ListParagraph"/>
        <w:numPr>
          <w:ilvl w:val="0"/>
          <w:numId w:val="60"/>
        </w:numPr>
        <w:ind w:left="1074"/>
        <w:jc w:val="both"/>
        <w:rPr>
          <w:rFonts w:ascii="Times New Roman" w:hAnsi="Times New Roman"/>
          <w:color w:val="000000" w:themeColor="text1"/>
          <w:sz w:val="20"/>
          <w:szCs w:val="20"/>
        </w:rPr>
      </w:pPr>
      <w:r>
        <w:rPr>
          <w:rFonts w:ascii="Times New Roman" w:hAnsi="Times New Roman"/>
          <w:color w:val="000000" w:themeColor="text1"/>
          <w:sz w:val="20"/>
          <w:szCs w:val="20"/>
        </w:rPr>
        <w:t>„FINREP“ bezeichnet FINREP-Meldebögen, die in Anhang I der Durchführungsverordnung (EU) 2024/3117 der Kommission enthalten sind</w:t>
      </w:r>
      <w:r>
        <w:rPr>
          <w:rStyle w:val="FootnoteReference"/>
          <w:rFonts w:ascii="Times New Roman" w:hAnsi="Times New Roman"/>
          <w:sz w:val="20"/>
          <w:szCs w:val="20"/>
        </w:rPr>
        <w:footnoteReference w:id="2"/>
      </w:r>
      <w:r>
        <w:rPr>
          <w:rFonts w:ascii="Times New Roman" w:hAnsi="Times New Roman"/>
          <w:color w:val="000000" w:themeColor="text1"/>
          <w:sz w:val="20"/>
          <w:szCs w:val="20"/>
        </w:rPr>
        <w:t>;</w:t>
      </w:r>
    </w:p>
    <w:p w14:paraId="7FE1B319" w14:textId="5E436E82" w:rsidR="00696584" w:rsidRDefault="002C4F63">
      <w:pPr>
        <w:pStyle w:val="P68B1DB1-ListParagraph8"/>
        <w:numPr>
          <w:ilvl w:val="0"/>
          <w:numId w:val="60"/>
        </w:numPr>
        <w:ind w:left="1074"/>
        <w:jc w:val="both"/>
      </w:pPr>
      <w:r>
        <w:t>„COREP (OF)“ die in Anhang I der Durchführungsverordnung (EU) 2024/3117 der Kommission enthaltenen COREP-Vorlagen;</w:t>
      </w:r>
    </w:p>
    <w:p w14:paraId="7FE1B31A" w14:textId="2492C34D" w:rsidR="00696584" w:rsidRDefault="002C4F63">
      <w:pPr>
        <w:pStyle w:val="P68B1DB1-ListParagraph8"/>
        <w:numPr>
          <w:ilvl w:val="0"/>
          <w:numId w:val="60"/>
        </w:numPr>
        <w:ind w:left="1074"/>
        <w:jc w:val="both"/>
      </w:pPr>
      <w:r>
        <w:t>„COREP (LR)“ COREP-Vorlagen in Anhang I der Durchführungsverordnung (EU) 2024/3117 der Kommission;</w:t>
      </w:r>
    </w:p>
    <w:p w14:paraId="7FE1B31B" w14:textId="104AAA8C" w:rsidR="00696584" w:rsidRDefault="002C4F63">
      <w:pPr>
        <w:pStyle w:val="P68B1DB1-ListParagraph8"/>
        <w:numPr>
          <w:ilvl w:val="0"/>
          <w:numId w:val="60"/>
        </w:numPr>
        <w:ind w:left="1074"/>
        <w:jc w:val="both"/>
      </w:pPr>
      <w:r>
        <w:lastRenderedPageBreak/>
        <w:t xml:space="preserve">FSB: </w:t>
      </w:r>
      <w:r w:rsidR="00542AEB" w:rsidRPr="00542AEB">
        <w:t>Finanzstabilitätsrat</w:t>
      </w:r>
      <w:r>
        <w:t>,</w:t>
      </w:r>
    </w:p>
    <w:p w14:paraId="7FE1B31C" w14:textId="77777777" w:rsidR="00696584" w:rsidRDefault="002C4F63">
      <w:pPr>
        <w:pStyle w:val="P68B1DB1-ListParagraph9"/>
        <w:numPr>
          <w:ilvl w:val="0"/>
          <w:numId w:val="60"/>
        </w:numPr>
        <w:ind w:left="1074"/>
        <w:jc w:val="both"/>
        <w:rPr>
          <w:color w:val="000000" w:themeColor="text1"/>
          <w:sz w:val="20"/>
          <w:szCs w:val="20"/>
        </w:rPr>
      </w:pPr>
      <w:r>
        <w:rPr>
          <w:color w:val="000000" w:themeColor="text1"/>
          <w:sz w:val="20"/>
          <w:szCs w:val="20"/>
        </w:rPr>
        <w:t>IAS: Internationale Rechnungslegungsstandards gemäß Artikel 2 der Verordnung (EG) Nr. 1606/2002 des Europäischen Parlaments und des Rates</w:t>
      </w:r>
      <w:r w:rsidRPr="000D7090">
        <w:rPr>
          <w:rStyle w:val="FootnoteReference"/>
          <w:rFonts w:ascii="Times New Roman" w:hAnsi="Times New Roman"/>
          <w:color w:val="000000" w:themeColor="text1"/>
        </w:rPr>
        <w:footnoteReference w:id="3"/>
      </w:r>
      <w:r>
        <w:rPr>
          <w:color w:val="000000" w:themeColor="text1"/>
          <w:sz w:val="20"/>
          <w:szCs w:val="20"/>
        </w:rPr>
        <w:t>,</w:t>
      </w:r>
    </w:p>
    <w:p w14:paraId="7FE1B31D" w14:textId="04ACBBED" w:rsidR="00696584" w:rsidRDefault="002C4F63">
      <w:pPr>
        <w:pStyle w:val="ListParagraph"/>
        <w:numPr>
          <w:ilvl w:val="0"/>
          <w:numId w:val="60"/>
        </w:numPr>
        <w:ind w:left="1074"/>
        <w:jc w:val="both"/>
        <w:rPr>
          <w:rFonts w:ascii="Times New Roman" w:hAnsi="Times New Roman"/>
          <w:color w:val="000000" w:themeColor="text1"/>
          <w:sz w:val="20"/>
          <w:szCs w:val="20"/>
        </w:rPr>
      </w:pPr>
      <w:r>
        <w:rPr>
          <w:rFonts w:ascii="Times New Roman" w:hAnsi="Times New Roman"/>
          <w:color w:val="000000" w:themeColor="text1"/>
          <w:sz w:val="20"/>
          <w:szCs w:val="20"/>
        </w:rPr>
        <w:t>IFRS:</w:t>
      </w:r>
      <w:r w:rsidR="002872FC">
        <w:rPr>
          <w:rFonts w:ascii="Times New Roman" w:hAnsi="Times New Roman"/>
          <w:color w:val="000000" w:themeColor="text1"/>
          <w:sz w:val="20"/>
          <w:szCs w:val="20"/>
        </w:rPr>
        <w:t xml:space="preserve"> </w:t>
      </w:r>
      <w:r>
        <w:rPr>
          <w:rFonts w:ascii="Times New Roman" w:hAnsi="Times New Roman"/>
          <w:color w:val="000000" w:themeColor="text1"/>
          <w:sz w:val="20"/>
          <w:szCs w:val="20"/>
        </w:rPr>
        <w:t>International Financial Reporting Standards gemäß Artikel 2 der Verordnung (EG) Nr. 1606/2002 des Europäischen Parlaments und des Rates</w:t>
      </w:r>
      <w:r>
        <w:rPr>
          <w:rStyle w:val="FootnoteReference"/>
          <w:rFonts w:ascii="Times New Roman" w:hAnsi="Times New Roman"/>
          <w:color w:val="000000" w:themeColor="text1"/>
          <w:sz w:val="20"/>
          <w:szCs w:val="20"/>
        </w:rPr>
        <w:footnoteReference w:id="4"/>
      </w:r>
      <w:r>
        <w:rPr>
          <w:rFonts w:ascii="Times New Roman" w:hAnsi="Times New Roman"/>
          <w:color w:val="000000" w:themeColor="text1"/>
          <w:sz w:val="20"/>
          <w:szCs w:val="20"/>
        </w:rPr>
        <w:t>,</w:t>
      </w:r>
    </w:p>
    <w:p w14:paraId="7FE1B31E" w14:textId="1B7D6DF1" w:rsidR="00696584" w:rsidRDefault="002C4F63">
      <w:pPr>
        <w:pStyle w:val="ListParagraph"/>
        <w:numPr>
          <w:ilvl w:val="0"/>
          <w:numId w:val="60"/>
        </w:numPr>
        <w:ind w:left="1074"/>
        <w:jc w:val="both"/>
        <w:rPr>
          <w:rFonts w:ascii="Times New Roman" w:hAnsi="Times New Roman"/>
          <w:color w:val="000000" w:themeColor="text1"/>
          <w:sz w:val="20"/>
          <w:szCs w:val="20"/>
        </w:rPr>
      </w:pPr>
      <w:r>
        <w:rPr>
          <w:rFonts w:ascii="Times New Roman" w:hAnsi="Times New Roman"/>
          <w:color w:val="000000" w:themeColor="text1"/>
          <w:sz w:val="20"/>
          <w:szCs w:val="20"/>
        </w:rPr>
        <w:t xml:space="preserve">LEI-Code: Unternehmenskennung (Legal Entity Identifier Code), ein vom </w:t>
      </w:r>
      <w:r w:rsidR="009B7AA0" w:rsidRPr="009B7AA0">
        <w:rPr>
          <w:rFonts w:ascii="Times New Roman" w:hAnsi="Times New Roman"/>
          <w:color w:val="000000" w:themeColor="text1"/>
          <w:sz w:val="20"/>
          <w:szCs w:val="20"/>
        </w:rPr>
        <w:t>Finanzstabilitätsrat</w:t>
      </w:r>
      <w:r>
        <w:rPr>
          <w:rFonts w:ascii="Times New Roman" w:hAnsi="Times New Roman"/>
          <w:color w:val="000000" w:themeColor="text1"/>
          <w:sz w:val="20"/>
          <w:szCs w:val="20"/>
        </w:rPr>
        <w:t xml:space="preserve"> (FSB) vorgeschlagener und von der G20 gebilligter Code, der eine eindeutige weltweite Identifikation der an Finanzgeschäften beteiligten Unternehmen ermöglichen soll. Bis das globale LEI-System voll einsatzfähig ist, werden den Gegenparteien von einer lokalen Dienststelle (Local Operational Unit) vorläufige LEI-Codes zugewiesen.</w:t>
      </w:r>
      <w:r w:rsidR="002872FC">
        <w:rPr>
          <w:rFonts w:ascii="Times New Roman" w:hAnsi="Times New Roman"/>
          <w:color w:val="000000" w:themeColor="text1"/>
          <w:sz w:val="20"/>
          <w:szCs w:val="20"/>
        </w:rPr>
        <w:t xml:space="preserve"> </w:t>
      </w:r>
      <w:r>
        <w:rPr>
          <w:rFonts w:ascii="Times New Roman" w:hAnsi="Times New Roman"/>
          <w:color w:val="000000" w:themeColor="text1"/>
          <w:sz w:val="20"/>
          <w:szCs w:val="20"/>
        </w:rPr>
        <w:t xml:space="preserve">Diese lokale Dienststelle wurde vom Ausschuss für die LEI-Regulierungsaufsicht (Regulatory Oversight Committee – ROC, detaillierte Informationen auf folgender Website: </w:t>
      </w:r>
      <w:hyperlink r:id="rId12" w:history="1">
        <w:r>
          <w:rPr>
            <w:rStyle w:val="Hyperlink"/>
            <w:rFonts w:ascii="Times New Roman" w:hAnsi="Times New Roman"/>
            <w:color w:val="000000" w:themeColor="text1"/>
            <w:sz w:val="20"/>
            <w:szCs w:val="20"/>
          </w:rPr>
          <w:t>www.leiroc.org</w:t>
        </w:r>
      </w:hyperlink>
      <w:r w:rsidR="002872FC" w:rsidRPr="006912B4">
        <w:rPr>
          <w:rFonts w:ascii="Times New Roman" w:hAnsi="Times New Roman"/>
          <w:sz w:val="20"/>
          <w:szCs w:val="20"/>
        </w:rPr>
        <w:t>) gebilligt.</w:t>
      </w:r>
      <w:r>
        <w:rPr>
          <w:rFonts w:ascii="Times New Roman" w:hAnsi="Times New Roman"/>
          <w:color w:val="000000" w:themeColor="text1"/>
          <w:sz w:val="20"/>
          <w:szCs w:val="20"/>
        </w:rPr>
        <w:t xml:space="preserve"> Besteht für eine bestimmte Gegenpartei eine Unternehmenskennung (LEI-Code), so ist diese für die Identifizierung dieser Gegenpartei zu verwenden,</w:t>
      </w:r>
    </w:p>
    <w:p w14:paraId="7FE1B31F" w14:textId="34CF2B95" w:rsidR="00696584" w:rsidRDefault="002C4F63">
      <w:pPr>
        <w:pStyle w:val="P68B1DB1-ListParagraph8"/>
        <w:numPr>
          <w:ilvl w:val="0"/>
          <w:numId w:val="60"/>
        </w:numPr>
        <w:ind w:left="1074"/>
        <w:jc w:val="both"/>
      </w:pPr>
      <w:r>
        <w:t>Die ID „MFI ID“ oder „Monetary Financial Institution“ ist ein eindeutiger Identifikationscode für ein MFI in der von der EZB für statistische Zwecke geführten und veröffentlichten Liste der MFIs gemäß der Verordnung (EU) 2021/379 der Europäischen Zentralbank vom 22. Januar 2021 über die Bilanzpositionen von Kreditinstituten und des Sektors der monetären Finanzinstitute (Neufassung) (EZB/2021/2), die zu melden sind, wenn kein LEI-Code vorhanden ist.</w:t>
      </w:r>
    </w:p>
    <w:p w14:paraId="7FE1B320" w14:textId="6C0B2BC5" w:rsidR="00696584" w:rsidRDefault="002C4F63">
      <w:pPr>
        <w:pStyle w:val="ListParagraph"/>
        <w:numPr>
          <w:ilvl w:val="0"/>
          <w:numId w:val="60"/>
        </w:numPr>
        <w:ind w:left="1074"/>
        <w:jc w:val="both"/>
        <w:rPr>
          <w:rFonts w:ascii="Times New Roman" w:hAnsi="Times New Roman"/>
          <w:color w:val="000000" w:themeColor="text1"/>
          <w:sz w:val="20"/>
          <w:szCs w:val="20"/>
        </w:rPr>
      </w:pPr>
      <w:r>
        <w:rPr>
          <w:rFonts w:ascii="Times New Roman" w:hAnsi="Times New Roman"/>
          <w:color w:val="000000" w:themeColor="text1"/>
          <w:sz w:val="20"/>
          <w:szCs w:val="20"/>
        </w:rPr>
        <w:t>NGAAP:</w:t>
      </w:r>
      <w:r w:rsidR="002872FC">
        <w:rPr>
          <w:rFonts w:ascii="Times New Roman" w:hAnsi="Times New Roman"/>
          <w:color w:val="000000" w:themeColor="text1"/>
          <w:sz w:val="20"/>
          <w:szCs w:val="20"/>
        </w:rPr>
        <w:t xml:space="preserve"> </w:t>
      </w:r>
      <w:r>
        <w:rPr>
          <w:rFonts w:ascii="Times New Roman" w:hAnsi="Times New Roman"/>
          <w:color w:val="000000" w:themeColor="text1"/>
          <w:sz w:val="20"/>
          <w:szCs w:val="20"/>
        </w:rPr>
        <w:t>im Rahmen der Richtlinie 86/635/EWG entwickelte, allgemein anerkannte nationale Rechnungslegungsgrundsätze</w:t>
      </w:r>
      <w:r>
        <w:rPr>
          <w:rStyle w:val="FootnoteReference"/>
          <w:rFonts w:ascii="Times New Roman" w:hAnsi="Times New Roman"/>
          <w:color w:val="000000" w:themeColor="text1"/>
        </w:rPr>
        <w:footnoteReference w:id="5"/>
      </w:r>
      <w:r>
        <w:rPr>
          <w:rFonts w:ascii="Times New Roman" w:hAnsi="Times New Roman"/>
          <w:color w:val="000000" w:themeColor="text1"/>
          <w:sz w:val="20"/>
          <w:szCs w:val="20"/>
        </w:rPr>
        <w:t>.</w:t>
      </w:r>
    </w:p>
    <w:p w14:paraId="7FE1B321" w14:textId="3C9E01E6" w:rsidR="00696584" w:rsidRDefault="002C4F63">
      <w:pPr>
        <w:pStyle w:val="P68B1DB1-ListParagraph8"/>
        <w:numPr>
          <w:ilvl w:val="0"/>
          <w:numId w:val="60"/>
        </w:numPr>
        <w:ind w:left="1074"/>
        <w:jc w:val="both"/>
      </w:pPr>
      <w:r>
        <w:t xml:space="preserve">„Operatives Vermögen“ ist ein Vermögenswert, bei dem es sich nicht um einen finanziellen Vermögenswert handelt und der für die Erbringung relevanter Dienstleistungen wie Immobilien erforderlich ist; geistiges Eigentum, einschließlich Marken, Patente und Software; Hardware; IT-Systeme und -Anwendungen; und Datenlager. Operative Ressourcen sind kritisch/wesentlich, wenn der Zugang zu ihnen für die Erbringung </w:t>
      </w:r>
      <w:r w:rsidR="002872FC">
        <w:t xml:space="preserve">einer </w:t>
      </w:r>
      <w:r>
        <w:t xml:space="preserve">kritischen/wesentlichen </w:t>
      </w:r>
      <w:r w:rsidR="002872FC">
        <w:t xml:space="preserve">Dienstleistung </w:t>
      </w:r>
      <w:r>
        <w:t>erforderlich ist;</w:t>
      </w:r>
    </w:p>
    <w:p w14:paraId="7FE1B322" w14:textId="14BB96CB" w:rsidR="00696584" w:rsidRDefault="002C4F63">
      <w:pPr>
        <w:pStyle w:val="P68B1DB1-ListParagraph8"/>
        <w:numPr>
          <w:ilvl w:val="0"/>
          <w:numId w:val="60"/>
        </w:numPr>
        <w:ind w:left="1074"/>
        <w:jc w:val="both"/>
      </w:pPr>
      <w:r>
        <w:t>„</w:t>
      </w:r>
      <w:r w:rsidR="002872FC">
        <w:t xml:space="preserve">Relevante </w:t>
      </w:r>
      <w:r>
        <w:t>Dienstleistungen“ – Dienstleistungen, die i) den kritischen Funktionen der Bank für die Wirtschaft (kritische Dienstleistungen) und ii) Kerngeschäftsbereichen (wesentliche Dienstleistungen) zugrunde liegen, für die für die wirksame Umsetzung der Abwicklungsstrategie Kontinuität erforderlich ist. Diese Kategorien können sich überschneiden. Dies gilt analog für operative Ressourcen und Personal.</w:t>
      </w:r>
    </w:p>
    <w:p w14:paraId="7FE1B323" w14:textId="12A7BF9E" w:rsidR="00696584" w:rsidRDefault="002C4F63">
      <w:pPr>
        <w:pStyle w:val="P68B1DB1-ListParagraph8"/>
        <w:numPr>
          <w:ilvl w:val="0"/>
          <w:numId w:val="60"/>
        </w:numPr>
        <w:ind w:left="1074"/>
        <w:jc w:val="both"/>
      </w:pPr>
      <w:r>
        <w:t xml:space="preserve">„Relevante Rollen“ – </w:t>
      </w:r>
      <w:r w:rsidR="002872FC">
        <w:t>Stellen</w:t>
      </w:r>
      <w:r>
        <w:t xml:space="preserve">, deren </w:t>
      </w:r>
      <w:r w:rsidR="002872FC">
        <w:t xml:space="preserve">fehlende Besetzung in einer </w:t>
      </w:r>
      <w:r>
        <w:t>Abwicklung ein Hindernis für die Kontinuität kritischer Funktionen und der Kerngeschäftsbereiche darstellen kann, die für die wirksame Umsetzung der Abwicklungsstrategie und jede sich daraus ergebende Umstrukturierung erforderlich sind.</w:t>
      </w:r>
    </w:p>
    <w:p w14:paraId="7FE1B324" w14:textId="77777777" w:rsidR="00696584" w:rsidRDefault="00696584">
      <w:pPr>
        <w:pStyle w:val="ListParagraph"/>
        <w:ind w:left="1074"/>
        <w:rPr>
          <w:rFonts w:ascii="Times New Roman" w:hAnsi="Times New Roman"/>
          <w:color w:val="000000" w:themeColor="text1"/>
          <w:sz w:val="20"/>
          <w:szCs w:val="20"/>
        </w:rPr>
      </w:pPr>
    </w:p>
    <w:p w14:paraId="7FE1B325" w14:textId="77777777" w:rsidR="00696584" w:rsidRDefault="002C4F63">
      <w:pPr>
        <w:pStyle w:val="P68B1DB1-Instructionsberschrift25"/>
        <w:numPr>
          <w:ilvl w:val="1"/>
          <w:numId w:val="49"/>
        </w:numPr>
        <w:ind w:left="357" w:hanging="357"/>
      </w:pPr>
      <w:bookmarkStart w:id="7" w:name="_Toc81454173"/>
      <w:bookmarkStart w:id="8" w:name="_Toc209533576"/>
      <w:r>
        <w:t>Rechnungslegungsstandards</w:t>
      </w:r>
      <w:bookmarkEnd w:id="7"/>
      <w:bookmarkEnd w:id="8"/>
    </w:p>
    <w:p w14:paraId="7FE1B326" w14:textId="6C573E68" w:rsidR="00696584" w:rsidRDefault="002C4F63">
      <w:pPr>
        <w:pStyle w:val="P68B1DB1-InstructionsText26"/>
        <w:numPr>
          <w:ilvl w:val="0"/>
          <w:numId w:val="71"/>
        </w:numPr>
        <w:spacing w:before="0"/>
        <w:ind w:left="714" w:hanging="357"/>
      </w:pPr>
      <w:r>
        <w:t xml:space="preserve">Soweit in den vorliegenden Erläuterungen nichts anderes angegeben ist, melden die Institute sämtliche Beträge gemäß dem Rechnungslegungsrahmen, den sie im Einklang mit den Artikeln 9 bis 11 der Durchführungsverordnung (EU) 2024/3117 für die Meldung ihrer Finanzinformationen verwenden. Institute, die nicht zur Meldung von Finanzinformationen gemäß der Durchführungsverordnung (EU) 2024/3117 verpflichtet sind, verfahren nach ihren eigenen Rechnungslegungsgrundsätzen. </w:t>
      </w:r>
    </w:p>
    <w:p w14:paraId="7FE1B327" w14:textId="77777777" w:rsidR="00696584" w:rsidRDefault="002C4F63">
      <w:pPr>
        <w:pStyle w:val="P68B1DB1-InstructionsText26"/>
        <w:numPr>
          <w:ilvl w:val="0"/>
          <w:numId w:val="227"/>
        </w:numPr>
        <w:spacing w:before="0"/>
      </w:pPr>
      <w:r>
        <w:t>Für Institute, die ihre Meldungen nach IFRS erstellen, wurden die einschlägigen IFRS angegeben.</w:t>
      </w:r>
    </w:p>
    <w:p w14:paraId="7FE1B328" w14:textId="77777777" w:rsidR="00696584" w:rsidRDefault="002C4F63">
      <w:pPr>
        <w:pStyle w:val="P68B1DB1-Instructionsberschrift25"/>
        <w:numPr>
          <w:ilvl w:val="1"/>
          <w:numId w:val="49"/>
        </w:numPr>
        <w:ind w:left="357" w:hanging="357"/>
      </w:pPr>
      <w:bookmarkStart w:id="9" w:name="_Toc209533577"/>
      <w:bookmarkStart w:id="10" w:name="_Hlk167181695"/>
      <w:bookmarkStart w:id="11" w:name="_Toc81454174"/>
      <w:r>
        <w:lastRenderedPageBreak/>
        <w:t>Meldung aufsichtlicher Daten</w:t>
      </w:r>
      <w:bookmarkEnd w:id="9"/>
    </w:p>
    <w:p w14:paraId="7FE1B329" w14:textId="6A020DBF" w:rsidR="00696584" w:rsidRDefault="002C4F63">
      <w:pPr>
        <w:pStyle w:val="P68B1DB1-Instructionsberschrift310"/>
        <w:numPr>
          <w:ilvl w:val="4"/>
          <w:numId w:val="49"/>
        </w:numPr>
      </w:pPr>
      <w:r>
        <w:t>Unterliegt das berichtende Unternehmen zum geforderten Stichtag für die Abwicklungsplanung einer aufsichtlichen Meldung gemäß</w:t>
      </w:r>
      <w:r w:rsidRPr="000D7090">
        <w:rPr>
          <w:rStyle w:val="FootnoteReference"/>
          <w:rFonts w:ascii="Times New Roman" w:eastAsiaTheme="minorHAnsi" w:hAnsi="Times New Roman"/>
        </w:rPr>
        <w:footnoteReference w:id="6"/>
      </w:r>
      <w:r>
        <w:t xml:space="preserve"> der Verordnung (EU) Nr. 575/2013 auf konsolidierter oder individueller Ebene, so ist das Unternehmen nicht verpflichtet, die bereits gemeldeten Datenpunkte anzugeben. Die Abwicklungsbehörden erhalten diese Datenpunkte direkt aus den vom meldenden Unternehmen bereits gemeldeten aufsichtlichen Berichten.</w:t>
      </w:r>
    </w:p>
    <w:p w14:paraId="7FE1B32A" w14:textId="5FF510A9" w:rsidR="00696584" w:rsidRDefault="002C4F63">
      <w:pPr>
        <w:pStyle w:val="Instructionsberschrift3"/>
        <w:numPr>
          <w:ilvl w:val="4"/>
          <w:numId w:val="49"/>
        </w:numPr>
      </w:pPr>
      <w:r>
        <w:rPr>
          <w:u w:val="none"/>
        </w:rPr>
        <w:t>Unterliegt das Unternehmen zum betreffenden Stichtag keiner aufsichtlichen Meldung, muss das Unternehmen diese Datenpunkte gemäß der Durchführungsverordnung (EU) Nr. 20XX</w:t>
      </w:r>
      <w:r>
        <w:rPr>
          <w:highlight w:val="yellow"/>
          <w:u w:val="none"/>
        </w:rPr>
        <w:t>/XXX</w:t>
      </w:r>
      <w:r w:rsidR="00C34ACF">
        <w:rPr>
          <w:u w:val="none"/>
        </w:rPr>
        <w:t xml:space="preserve"> </w:t>
      </w:r>
      <w:r>
        <w:rPr>
          <w:u w:val="none"/>
        </w:rPr>
        <w:t>angeben.</w:t>
      </w:r>
    </w:p>
    <w:p w14:paraId="7FE1B32B" w14:textId="77777777" w:rsidR="00696584" w:rsidRDefault="002C4F63">
      <w:pPr>
        <w:pStyle w:val="P68B1DB1-Instructionsberschrift25"/>
        <w:numPr>
          <w:ilvl w:val="1"/>
          <w:numId w:val="49"/>
        </w:numPr>
        <w:ind w:left="357" w:hanging="357"/>
      </w:pPr>
      <w:bookmarkStart w:id="12" w:name="_Toc209533578"/>
      <w:bookmarkEnd w:id="10"/>
      <w:r>
        <w:t>Konsolidierungskreis</w:t>
      </w:r>
      <w:bookmarkEnd w:id="11"/>
      <w:bookmarkEnd w:id="12"/>
    </w:p>
    <w:p w14:paraId="7FE1B32C" w14:textId="77777777" w:rsidR="00696584" w:rsidRDefault="002C4F63">
      <w:pPr>
        <w:pStyle w:val="P68B1DB1-InstructionsText26"/>
        <w:numPr>
          <w:ilvl w:val="0"/>
          <w:numId w:val="228"/>
        </w:numPr>
        <w:spacing w:before="0"/>
      </w:pPr>
      <w:r>
        <w:t>Je nach Meldebogen:</w:t>
      </w:r>
    </w:p>
    <w:p w14:paraId="7FE1B32D" w14:textId="77777777" w:rsidR="00696584" w:rsidRDefault="002C4F63">
      <w:pPr>
        <w:pStyle w:val="P68B1DB1-numberedparagraph11"/>
        <w:numPr>
          <w:ilvl w:val="0"/>
          <w:numId w:val="81"/>
        </w:numPr>
        <w:rPr>
          <w:rFonts w:eastAsiaTheme="majorEastAsia"/>
        </w:rPr>
      </w:pPr>
      <w:r>
        <w:t>Konsolidierungskreis für Rechnungslegungszwecke: die gemäß dem geltenden Rechnungslegungsrahmen einbezogenen Unternehmen,</w:t>
      </w:r>
    </w:p>
    <w:p w14:paraId="7FE1B32E" w14:textId="179BBDC6" w:rsidR="00696584" w:rsidRDefault="002C4F63">
      <w:pPr>
        <w:pStyle w:val="P68B1DB1-numberedparagraph11"/>
        <w:numPr>
          <w:ilvl w:val="0"/>
          <w:numId w:val="81"/>
        </w:numPr>
        <w:rPr>
          <w:rFonts w:eastAsiaTheme="majorEastAsia"/>
        </w:rPr>
      </w:pPr>
      <w:r>
        <w:t xml:space="preserve">Konsolidierungskreis für aufsichtsrechtliche Zwecke: die gemäß Teil 1 Kapitel 2 Titel II der Verordnung (EU) Nr. 575/2013 einbezogenen Unternehmen, d. h.: Konsolidierung auf Ebene des Unionsmutterunternehmens, </w:t>
      </w:r>
    </w:p>
    <w:p w14:paraId="7FE1B32F" w14:textId="77777777" w:rsidR="00696584" w:rsidRDefault="002C4F63">
      <w:pPr>
        <w:pStyle w:val="P68B1DB1-numberedparagraph11"/>
        <w:numPr>
          <w:ilvl w:val="0"/>
          <w:numId w:val="81"/>
        </w:numPr>
        <w:rPr>
          <w:rFonts w:eastAsiaTheme="majorEastAsia"/>
        </w:rPr>
      </w:pPr>
      <w:r>
        <w:t>Konsolidierung auf Ebene der Abwicklungseinheit für die Abwicklungsgruppe.</w:t>
      </w:r>
    </w:p>
    <w:p w14:paraId="7FE1B330" w14:textId="4B5FA476" w:rsidR="00696584" w:rsidRDefault="002C4F63">
      <w:pPr>
        <w:pStyle w:val="InstructionsText2"/>
        <w:numPr>
          <w:ilvl w:val="0"/>
          <w:numId w:val="229"/>
        </w:numPr>
        <w:spacing w:before="0"/>
        <w:rPr>
          <w:rFonts w:ascii="Times New Roman" w:hAnsi="Times New Roman" w:cs="Times New Roman"/>
          <w:sz w:val="20"/>
          <w:szCs w:val="20"/>
        </w:rPr>
      </w:pPr>
      <w:r>
        <w:rPr>
          <w:rFonts w:ascii="Times New Roman" w:hAnsi="Times New Roman" w:cs="Times New Roman"/>
          <w:sz w:val="20"/>
          <w:szCs w:val="20"/>
        </w:rPr>
        <w:t xml:space="preserve">Die Institute befolgen für jeden Meldebogen die Konsolidierungsgrundlage(n) gemäß Artikel 2 bis Artikel 5 der Durchführungsverordnung (EU) Nr. </w:t>
      </w:r>
      <w:r w:rsidRPr="006912B4">
        <w:rPr>
          <w:rFonts w:ascii="Times New Roman" w:hAnsi="Times New Roman" w:cs="Times New Roman"/>
          <w:sz w:val="20"/>
          <w:szCs w:val="20"/>
          <w:highlight w:val="yellow"/>
        </w:rPr>
        <w:t>20</w:t>
      </w:r>
      <w:r w:rsidRPr="000D7090">
        <w:rPr>
          <w:rFonts w:ascii="Times New Roman" w:hAnsi="Times New Roman" w:cs="Times New Roman"/>
          <w:sz w:val="20"/>
          <w:szCs w:val="20"/>
          <w:highlight w:val="yellow"/>
        </w:rPr>
        <w:t>XX</w:t>
      </w:r>
      <w:r w:rsidRPr="006912B4">
        <w:rPr>
          <w:rFonts w:ascii="Times New Roman" w:hAnsi="Times New Roman" w:cs="Times New Roman"/>
          <w:sz w:val="20"/>
          <w:szCs w:val="20"/>
          <w:highlight w:val="yellow"/>
        </w:rPr>
        <w:t>/</w:t>
      </w:r>
      <w:r w:rsidRPr="000D7090">
        <w:rPr>
          <w:rFonts w:ascii="Times New Roman" w:hAnsi="Times New Roman" w:cs="Times New Roman"/>
          <w:sz w:val="20"/>
          <w:szCs w:val="20"/>
          <w:highlight w:val="yellow"/>
        </w:rPr>
        <w:t>XXX</w:t>
      </w:r>
      <w:r>
        <w:rPr>
          <w:rFonts w:ascii="Times New Roman" w:hAnsi="Times New Roman" w:cs="Times New Roman"/>
          <w:sz w:val="20"/>
          <w:szCs w:val="20"/>
        </w:rPr>
        <w:t>.</w:t>
      </w:r>
    </w:p>
    <w:p w14:paraId="7FE1B331" w14:textId="77777777" w:rsidR="00696584" w:rsidRDefault="002C4F63">
      <w:pPr>
        <w:pStyle w:val="P68B1DB1-Instructionsberschrift25"/>
        <w:numPr>
          <w:ilvl w:val="1"/>
          <w:numId w:val="49"/>
        </w:numPr>
        <w:ind w:left="357" w:hanging="357"/>
      </w:pPr>
      <w:bookmarkStart w:id="13" w:name="_Toc81454175"/>
      <w:bookmarkStart w:id="14" w:name="_Toc209533579"/>
      <w:r>
        <w:t>Nummerierung und sonstige Konventionen</w:t>
      </w:r>
      <w:bookmarkEnd w:id="13"/>
      <w:bookmarkEnd w:id="14"/>
    </w:p>
    <w:p w14:paraId="7FE1B332" w14:textId="18B7D11A" w:rsidR="00696584" w:rsidRDefault="002C4F63">
      <w:pPr>
        <w:pStyle w:val="P68B1DB1-InstructionsText26"/>
        <w:numPr>
          <w:ilvl w:val="0"/>
          <w:numId w:val="230"/>
        </w:numPr>
        <w:spacing w:before="0"/>
      </w:pPr>
      <w:r>
        <w:t>In diesen Erläuterungen wird bei Verweisen auf einzelne Spalten, Zeilen und Zellen der Meldebögen die nachstehende Nummerierungssystematik verwendet</w:t>
      </w:r>
      <w:r w:rsidR="00AB5152">
        <w:t>.</w:t>
      </w:r>
      <w:r>
        <w:t xml:space="preserve"> Von diesen Zahlencodes wird in den Validierungsregeln ausführlich Gebrauch gemacht.</w:t>
      </w:r>
    </w:p>
    <w:p w14:paraId="7FE1B333" w14:textId="24776AD5" w:rsidR="00696584" w:rsidRDefault="002C4F63">
      <w:pPr>
        <w:pStyle w:val="P68B1DB1-InstructionsText26"/>
        <w:numPr>
          <w:ilvl w:val="0"/>
          <w:numId w:val="230"/>
        </w:numPr>
        <w:spacing w:before="0"/>
      </w:pPr>
      <w:r>
        <w:t>Darstellung eines Verweises auf einzelne Spalten, Zeilen und Zellen eines Meldebogens: {Meldebogen;Zeile;Spalte}.</w:t>
      </w:r>
    </w:p>
    <w:p w14:paraId="7FE1B334" w14:textId="75250C5C" w:rsidR="00696584" w:rsidRDefault="002C4F63">
      <w:pPr>
        <w:pStyle w:val="P68B1DB1-InstructionsText26"/>
        <w:numPr>
          <w:ilvl w:val="0"/>
          <w:numId w:val="230"/>
        </w:numPr>
        <w:spacing w:before="0"/>
      </w:pPr>
      <w:r>
        <w:t xml:space="preserve">Wird innerhalb eines Meldebogens eine Validierung durchgeführt, bei der nur Datenpunkte des betreffenden </w:t>
      </w:r>
      <w:r w:rsidR="00C34ACF">
        <w:t>Meldebogens</w:t>
      </w:r>
      <w:r>
        <w:t xml:space="preserve"> verwendet werden, entfällt in den Notationen die Bezugnahme auf den </w:t>
      </w:r>
      <w:r w:rsidR="00C34ACF">
        <w:t>Meldebogen</w:t>
      </w:r>
      <w:r>
        <w:t>: {Zeile;Spalte}.</w:t>
      </w:r>
    </w:p>
    <w:p w14:paraId="7FE1B335" w14:textId="29580C3A" w:rsidR="00696584" w:rsidRDefault="002C4F63">
      <w:pPr>
        <w:pStyle w:val="P68B1DB1-InstructionsText26"/>
        <w:numPr>
          <w:ilvl w:val="0"/>
          <w:numId w:val="230"/>
        </w:numPr>
        <w:spacing w:before="0"/>
      </w:pPr>
      <w:r>
        <w:t>Bei Meldebögen mit nur einer Spalte werden nur die Zeilen angeführt: {</w:t>
      </w:r>
      <w:r w:rsidR="00C34ACF">
        <w:t>Meldeb</w:t>
      </w:r>
      <w:r>
        <w:t>ogen;Zeile}.</w:t>
      </w:r>
    </w:p>
    <w:p w14:paraId="7FE1B336" w14:textId="77777777" w:rsidR="00696584" w:rsidRDefault="002C4F63">
      <w:pPr>
        <w:pStyle w:val="P68B1DB1-InstructionsText26"/>
        <w:numPr>
          <w:ilvl w:val="0"/>
          <w:numId w:val="230"/>
        </w:numPr>
        <w:spacing w:before="0"/>
      </w:pPr>
      <w:r>
        <w:t>Um auszudrücken, dass die Validierung für die zuvor angegebenen Zeilen oder Spalten erfolgt, wird ein Sternchen (*) verwendet.</w:t>
      </w:r>
    </w:p>
    <w:p w14:paraId="7FE1B337" w14:textId="77777777" w:rsidR="00696584" w:rsidRDefault="002C4F63">
      <w:pPr>
        <w:pStyle w:val="P68B1DB1-InstructionsText26"/>
        <w:numPr>
          <w:ilvl w:val="0"/>
          <w:numId w:val="230"/>
        </w:numPr>
        <w:spacing w:before="0"/>
      </w:pPr>
      <w:r>
        <w:t>Falls eine Angabe für die Unternehmen, für die die Meldung vorgelegt wird, nicht anwendbar ist, bleibt das entsprechende Feld leer.</w:t>
      </w:r>
    </w:p>
    <w:p w14:paraId="7FE1B338" w14:textId="31D9C8A4" w:rsidR="00696584" w:rsidRDefault="002C4F63">
      <w:pPr>
        <w:pStyle w:val="P68B1DB1-InstructionsText26"/>
        <w:numPr>
          <w:ilvl w:val="0"/>
          <w:numId w:val="230"/>
        </w:numPr>
        <w:spacing w:before="0"/>
      </w:pPr>
      <w:r>
        <w:lastRenderedPageBreak/>
        <w:t xml:space="preserve">Wird in den vorliegenden Erläuterungen ein Primärschlüssel angegeben, bezeichnet dieser eine oder mehrere Spalten, die sämtliche Zeilen des Meldebogens eindeutig bestimmen. Ein Primärschlüssel enthält für jede Zeile des Meldebogens einen spezifischen Wert, </w:t>
      </w:r>
      <w:r w:rsidR="00AB5152">
        <w:t>d</w:t>
      </w:r>
      <w:r>
        <w:t>er nicht Null sein darf.</w:t>
      </w:r>
    </w:p>
    <w:p w14:paraId="7FE1B339" w14:textId="77777777" w:rsidR="00696584" w:rsidRDefault="002C4F63">
      <w:pPr>
        <w:pStyle w:val="P68B1DB1-Instructionsberschrift24"/>
        <w:numPr>
          <w:ilvl w:val="0"/>
          <w:numId w:val="49"/>
        </w:numPr>
        <w:ind w:left="357" w:hanging="357"/>
      </w:pPr>
      <w:bookmarkStart w:id="15" w:name="_Toc492542319"/>
      <w:bookmarkStart w:id="16" w:name="_Toc81454176"/>
      <w:bookmarkStart w:id="17" w:name="_Toc209533580"/>
      <w:r>
        <w:t>Erläuterungen zu den einzelnen Meldebögen</w:t>
      </w:r>
      <w:bookmarkEnd w:id="15"/>
      <w:bookmarkEnd w:id="16"/>
      <w:bookmarkEnd w:id="17"/>
    </w:p>
    <w:p w14:paraId="7FE1B33A" w14:textId="0E76C32D" w:rsidR="00696584" w:rsidRDefault="002C4F63">
      <w:pPr>
        <w:pStyle w:val="P68B1DB1-Instructionsberschrift25"/>
        <w:numPr>
          <w:ilvl w:val="1"/>
          <w:numId w:val="49"/>
        </w:numPr>
        <w:ind w:left="357" w:hanging="357"/>
      </w:pPr>
      <w:bookmarkStart w:id="18" w:name="_Toc493236007"/>
      <w:bookmarkStart w:id="19" w:name="_Toc81454177"/>
      <w:bookmarkStart w:id="20" w:name="_Toc209533581"/>
      <w:bookmarkEnd w:id="18"/>
      <w:r>
        <w:t>Z 01.01 – Rechtspersonen (ORG 1)</w:t>
      </w:r>
      <w:bookmarkEnd w:id="19"/>
      <w:bookmarkEnd w:id="20"/>
    </w:p>
    <w:p w14:paraId="7FE1B33B" w14:textId="77777777" w:rsidR="00696584" w:rsidRDefault="002C4F63">
      <w:pPr>
        <w:pStyle w:val="Instructionsberschrift3"/>
      </w:pPr>
      <w:r>
        <w:t>Allgemeine Bemerkungen</w:t>
      </w:r>
    </w:p>
    <w:p w14:paraId="7FE1B33C" w14:textId="73410408" w:rsidR="00696584" w:rsidRDefault="002C4F63">
      <w:pPr>
        <w:pStyle w:val="P68B1DB1-InstructionsText26"/>
        <w:numPr>
          <w:ilvl w:val="0"/>
          <w:numId w:val="231"/>
        </w:numPr>
        <w:spacing w:before="0"/>
      </w:pPr>
      <w:r>
        <w:t xml:space="preserve">Für alle Unternehmen der Gruppe, die in den Konsolidierungskreis der Rechnungslegung einbezogen sind, wird ein einziger Meldebogen übermittelt. In diesem Meldebogen werden lediglich die Rechtsträger ausgewiesen. </w:t>
      </w:r>
    </w:p>
    <w:p w14:paraId="7FE1B33D" w14:textId="32A49085" w:rsidR="00696584" w:rsidRDefault="002C4F63">
      <w:pPr>
        <w:pStyle w:val="P68B1DB1-InstructionsText26"/>
        <w:numPr>
          <w:ilvl w:val="0"/>
          <w:numId w:val="231"/>
        </w:numPr>
        <w:spacing w:before="0"/>
      </w:pPr>
      <w:r>
        <w:t>Der Begriff der relevanten juristischen Personen beschränkt sich nicht nur auf Bankgeschäfte, sondern umfasst auch andere Unternehmen, die erforderlich sind, um die Geschäfte der Bankengruppe wesentlich zu unterstützen. Dazu gehören Dienstleister für kritische Funktionen und/oder wesentliche Geschäftsfelder, Finanzierungseinrichtungen und andere Einrichtungen, die (wirtschaftlich) eng mit der Gruppe verflochten sind. Die Ermittlung dieser zusätzlichen Unternehmen dürfte sich an den Anforderungen der Abwicklungsstrategie orientieren, die von den Abwicklungsbehörden festgelegt werden.</w:t>
      </w:r>
    </w:p>
    <w:p w14:paraId="7FE1B33E" w14:textId="77777777" w:rsidR="00696584" w:rsidRDefault="002C4F63">
      <w:pPr>
        <w:pStyle w:val="P68B1DB1-Instructionsberschrift312"/>
      </w:pPr>
      <w:r>
        <w:t>Erläuterungen zu bestimmten Positionen</w:t>
      </w:r>
    </w:p>
    <w:p w14:paraId="7FE1B33F" w14:textId="77777777" w:rsidR="00696584" w:rsidRDefault="00696584">
      <w:pPr>
        <w:spacing w:before="8"/>
        <w:rPr>
          <w:rFonts w:ascii="Times New Roman" w:eastAsia="Cambria" w:hAnsi="Times New Roman" w:cs="Times New Roman"/>
          <w:color w:val="000000" w:themeColor="text1"/>
          <w:sz w:val="20"/>
          <w:szCs w:val="20"/>
        </w:rPr>
      </w:pPr>
    </w:p>
    <w:tbl>
      <w:tblPr>
        <w:tblW w:w="0" w:type="auto"/>
        <w:tblCellMar>
          <w:top w:w="57" w:type="dxa"/>
          <w:left w:w="57" w:type="dxa"/>
          <w:bottom w:w="57" w:type="dxa"/>
          <w:right w:w="0" w:type="dxa"/>
        </w:tblCellMar>
        <w:tblLook w:val="01E0" w:firstRow="1" w:lastRow="1" w:firstColumn="1" w:lastColumn="1" w:noHBand="0" w:noVBand="0"/>
      </w:tblPr>
      <w:tblGrid>
        <w:gridCol w:w="849"/>
        <w:gridCol w:w="8177"/>
      </w:tblGrid>
      <w:tr w:rsidR="00696584" w14:paraId="7FE1B342" w14:textId="77777777">
        <w:trPr>
          <w:tblHeader/>
        </w:trPr>
        <w:tc>
          <w:tcPr>
            <w:tcW w:w="0" w:type="auto"/>
            <w:tcBorders>
              <w:top w:val="single" w:sz="4" w:space="0" w:color="1A171C"/>
              <w:left w:val="nil"/>
              <w:bottom w:val="single" w:sz="4" w:space="0" w:color="1A171C"/>
              <w:right w:val="single" w:sz="4" w:space="0" w:color="1A171C"/>
            </w:tcBorders>
            <w:shd w:val="clear" w:color="auto" w:fill="E4E5E5"/>
          </w:tcPr>
          <w:p w14:paraId="7FE1B340" w14:textId="77777777" w:rsidR="00696584" w:rsidRDefault="002C4F63">
            <w:pPr>
              <w:pStyle w:val="P68B1DB1-TableParagraph13"/>
              <w:spacing w:before="66"/>
              <w:rPr>
                <w:rFonts w:eastAsia="Cambria"/>
              </w:rPr>
            </w:pPr>
            <w:r>
              <w:t>Spalten</w:t>
            </w:r>
          </w:p>
        </w:tc>
        <w:tc>
          <w:tcPr>
            <w:tcW w:w="0" w:type="auto"/>
            <w:tcBorders>
              <w:top w:val="single" w:sz="4" w:space="0" w:color="1A171C"/>
              <w:left w:val="single" w:sz="4" w:space="0" w:color="1A171C"/>
              <w:bottom w:val="single" w:sz="4" w:space="0" w:color="1A171C"/>
              <w:right w:val="nil"/>
            </w:tcBorders>
            <w:shd w:val="clear" w:color="auto" w:fill="E4E5E5"/>
          </w:tcPr>
          <w:p w14:paraId="7FE1B341" w14:textId="77777777" w:rsidR="00696584" w:rsidRDefault="002C4F63">
            <w:pPr>
              <w:pStyle w:val="P68B1DB1-TableParagraph13"/>
              <w:spacing w:before="66"/>
              <w:ind w:right="1"/>
              <w:jc w:val="center"/>
              <w:rPr>
                <w:rFonts w:eastAsia="Cambria"/>
              </w:rPr>
            </w:pPr>
            <w:r>
              <w:t>Erläuterungen</w:t>
            </w:r>
          </w:p>
        </w:tc>
      </w:tr>
      <w:tr w:rsidR="00696584" w14:paraId="7FE1B349" w14:textId="77777777">
        <w:tc>
          <w:tcPr>
            <w:tcW w:w="0" w:type="auto"/>
            <w:tcBorders>
              <w:top w:val="single" w:sz="4" w:space="0" w:color="1A171C"/>
              <w:left w:val="nil"/>
              <w:bottom w:val="single" w:sz="4" w:space="0" w:color="1A171C"/>
              <w:right w:val="single" w:sz="4" w:space="0" w:color="1A171C"/>
            </w:tcBorders>
          </w:tcPr>
          <w:p w14:paraId="7FE1B346" w14:textId="77777777" w:rsidR="00696584" w:rsidRDefault="002C4F63">
            <w:pPr>
              <w:pStyle w:val="P68B1DB1-TableParagraph13"/>
              <w:spacing w:before="106"/>
              <w:ind w:left="-1"/>
              <w:rPr>
                <w:rFonts w:eastAsia="Cambria"/>
              </w:rPr>
            </w:pPr>
            <w:r>
              <w:t>0010</w:t>
            </w:r>
          </w:p>
        </w:tc>
        <w:tc>
          <w:tcPr>
            <w:tcW w:w="0" w:type="auto"/>
            <w:tcBorders>
              <w:top w:val="single" w:sz="4" w:space="0" w:color="1A171C"/>
              <w:left w:val="single" w:sz="4" w:space="0" w:color="1A171C"/>
              <w:bottom w:val="single" w:sz="4" w:space="0" w:color="1A171C"/>
              <w:right w:val="nil"/>
            </w:tcBorders>
          </w:tcPr>
          <w:p w14:paraId="7FE1B347" w14:textId="77777777" w:rsidR="00696584" w:rsidRDefault="002C4F63">
            <w:pPr>
              <w:pStyle w:val="P68B1DB1-TableParagraph14"/>
              <w:spacing w:before="108"/>
              <w:ind w:left="85"/>
            </w:pPr>
            <w:r>
              <w:t>Bezeichnung</w:t>
            </w:r>
          </w:p>
          <w:p w14:paraId="7FE1B348" w14:textId="3D2D6D6A" w:rsidR="00696584" w:rsidRDefault="002C4F63">
            <w:pPr>
              <w:pStyle w:val="P68B1DB1-TableParagraph15"/>
              <w:spacing w:before="108"/>
              <w:ind w:left="85"/>
            </w:pPr>
            <w:r>
              <w:t>Bezeichnung des Unternehmens. Offizielle Bezeichnung, wie in den Gründungsakten angegeben, mit Angabe der Rechtsform.</w:t>
            </w:r>
          </w:p>
        </w:tc>
      </w:tr>
      <w:tr w:rsidR="00696584" w14:paraId="7FE1B34E" w14:textId="77777777">
        <w:tc>
          <w:tcPr>
            <w:tcW w:w="0" w:type="auto"/>
            <w:tcBorders>
              <w:top w:val="single" w:sz="4" w:space="0" w:color="1A171C"/>
              <w:left w:val="nil"/>
              <w:bottom w:val="single" w:sz="4" w:space="0" w:color="1A171C"/>
              <w:right w:val="single" w:sz="4" w:space="0" w:color="1A171C"/>
            </w:tcBorders>
          </w:tcPr>
          <w:p w14:paraId="7FE1B34A" w14:textId="77777777" w:rsidR="00696584" w:rsidRDefault="002C4F63">
            <w:pPr>
              <w:pStyle w:val="P68B1DB1-TableParagraph13"/>
              <w:spacing w:before="106"/>
              <w:ind w:left="-1"/>
            </w:pPr>
            <w:r>
              <w:t>0020</w:t>
            </w:r>
          </w:p>
        </w:tc>
        <w:tc>
          <w:tcPr>
            <w:tcW w:w="0" w:type="auto"/>
            <w:tcBorders>
              <w:top w:val="single" w:sz="4" w:space="0" w:color="1A171C"/>
              <w:left w:val="single" w:sz="4" w:space="0" w:color="1A171C"/>
              <w:bottom w:val="single" w:sz="4" w:space="0" w:color="1A171C"/>
              <w:right w:val="nil"/>
            </w:tcBorders>
          </w:tcPr>
          <w:p w14:paraId="7FE1B34B" w14:textId="0AF2FE91" w:rsidR="00696584" w:rsidRDefault="002C4F63">
            <w:pPr>
              <w:pStyle w:val="P68B1DB1-TableParagraph14"/>
              <w:spacing w:before="108"/>
              <w:ind w:left="85"/>
            </w:pPr>
            <w:r>
              <w:t>Code</w:t>
            </w:r>
          </w:p>
          <w:p w14:paraId="7FE1B34C" w14:textId="5527678D" w:rsidR="00696584" w:rsidRDefault="002C4F63">
            <w:pPr>
              <w:pStyle w:val="P68B1DB1-TableParagraph13"/>
              <w:spacing w:before="108"/>
              <w:ind w:left="85"/>
            </w:pPr>
            <w:r>
              <w:t>Kennung des Unternehmens. Im Falle von Instituten entspricht der Code dem 20-stelligen alphanumerischen LEI-Code. Bei sonstigen Unternehmen handelt es sich um den 20-stelligen alphanumerischen LEI-Code, in Ermangelung eines solchen um die MFI-ID oder einen Code nach einem einheitlichen unionsweiten System.</w:t>
            </w:r>
          </w:p>
          <w:p w14:paraId="7FE1B34D" w14:textId="271CC2FD" w:rsidR="00696584" w:rsidRDefault="002C4F63">
            <w:pPr>
              <w:pStyle w:val="P68B1DB1-TableParagraph13"/>
              <w:spacing w:before="108"/>
              <w:ind w:left="85"/>
            </w:pPr>
            <w:r>
              <w:t>Der Code ist spezifisch und wird durchgängig in allen Meldebögen verwendet. Das Code</w:t>
            </w:r>
            <w:r w:rsidR="009907F3">
              <w:t xml:space="preserve"> Feld </w:t>
            </w:r>
            <w:r>
              <w:t>muss immer ausgefüllt sein.</w:t>
            </w:r>
          </w:p>
        </w:tc>
      </w:tr>
      <w:tr w:rsidR="00696584" w14:paraId="7FE1B354" w14:textId="77777777">
        <w:tc>
          <w:tcPr>
            <w:tcW w:w="0" w:type="auto"/>
            <w:tcBorders>
              <w:top w:val="single" w:sz="4" w:space="0" w:color="1A171C"/>
              <w:left w:val="nil"/>
              <w:bottom w:val="single" w:sz="4" w:space="0" w:color="1A171C"/>
              <w:right w:val="single" w:sz="4" w:space="0" w:color="1A171C"/>
            </w:tcBorders>
          </w:tcPr>
          <w:p w14:paraId="7FE1B34F" w14:textId="77777777" w:rsidR="00696584" w:rsidRDefault="002C4F63">
            <w:pPr>
              <w:pStyle w:val="P68B1DB1-TableParagraph13"/>
              <w:spacing w:before="106"/>
              <w:ind w:left="-1"/>
            </w:pPr>
            <w:r>
              <w:t>0025</w:t>
            </w:r>
          </w:p>
        </w:tc>
        <w:tc>
          <w:tcPr>
            <w:tcW w:w="0" w:type="auto"/>
            <w:tcBorders>
              <w:top w:val="single" w:sz="4" w:space="0" w:color="1A171C"/>
              <w:left w:val="single" w:sz="4" w:space="0" w:color="1A171C"/>
              <w:bottom w:val="single" w:sz="4" w:space="0" w:color="1A171C"/>
              <w:right w:val="nil"/>
            </w:tcBorders>
          </w:tcPr>
          <w:p w14:paraId="7FE1B350" w14:textId="1571343C" w:rsidR="00696584" w:rsidRDefault="002C4F63">
            <w:pPr>
              <w:pStyle w:val="P68B1DB1-TableParagraph14"/>
              <w:spacing w:before="108"/>
              <w:ind w:left="85"/>
              <w:jc w:val="both"/>
            </w:pPr>
            <w:r>
              <w:t xml:space="preserve">Art </w:t>
            </w:r>
            <w:r w:rsidR="002872FC">
              <w:t xml:space="preserve">des </w:t>
            </w:r>
            <w:r>
              <w:t>Codes</w:t>
            </w:r>
          </w:p>
          <w:p w14:paraId="7FE1B352" w14:textId="7C9FB737" w:rsidR="00696584" w:rsidRDefault="002C4F63">
            <w:pPr>
              <w:pStyle w:val="P68B1DB1-TableParagraph13"/>
              <w:spacing w:before="108"/>
            </w:pPr>
            <w:r>
              <w:t>Auswahl unter folgenden Optionen: „LEI-Code“, „MFI-Code“ oder „Andere Art der Kennung als LEI-Code oder MFI-Code“.</w:t>
            </w:r>
          </w:p>
          <w:p w14:paraId="7FE1B353" w14:textId="77777777" w:rsidR="00696584" w:rsidRDefault="002C4F63">
            <w:pPr>
              <w:pStyle w:val="P68B1DB1-TableParagraph13"/>
              <w:spacing w:before="108"/>
              <w:ind w:left="85"/>
              <w:jc w:val="both"/>
              <w:rPr>
                <w:b/>
              </w:rPr>
            </w:pPr>
            <w:r>
              <w:t>Die Identifizierung der Unternehmen erfolgt über die Meldebögen hinweg einheitlich.</w:t>
            </w:r>
          </w:p>
        </w:tc>
      </w:tr>
      <w:tr w:rsidR="00696584" w14:paraId="7FE1B372" w14:textId="77777777">
        <w:tc>
          <w:tcPr>
            <w:tcW w:w="0" w:type="auto"/>
            <w:tcBorders>
              <w:top w:val="single" w:sz="4" w:space="0" w:color="1A171C"/>
              <w:left w:val="nil"/>
              <w:bottom w:val="single" w:sz="4" w:space="0" w:color="1A171C"/>
              <w:right w:val="single" w:sz="4" w:space="0" w:color="1A171C"/>
            </w:tcBorders>
          </w:tcPr>
          <w:p w14:paraId="7FE1B359" w14:textId="77777777" w:rsidR="00696584" w:rsidRDefault="002C4F63">
            <w:pPr>
              <w:pStyle w:val="P68B1DB1-TableParagraph13"/>
              <w:spacing w:before="106"/>
              <w:ind w:left="-1"/>
            </w:pPr>
            <w:r>
              <w:t>0040</w:t>
            </w:r>
          </w:p>
        </w:tc>
        <w:tc>
          <w:tcPr>
            <w:tcW w:w="0" w:type="auto"/>
            <w:tcBorders>
              <w:top w:val="single" w:sz="4" w:space="0" w:color="1A171C"/>
              <w:left w:val="single" w:sz="4" w:space="0" w:color="1A171C"/>
              <w:bottom w:val="single" w:sz="4" w:space="0" w:color="1A171C"/>
              <w:right w:val="nil"/>
            </w:tcBorders>
          </w:tcPr>
          <w:p w14:paraId="7FE1B35A" w14:textId="77777777" w:rsidR="00696584" w:rsidRDefault="002C4F63">
            <w:pPr>
              <w:pStyle w:val="P68B1DB1-TableParagraph14"/>
              <w:spacing w:before="108"/>
              <w:ind w:left="85"/>
            </w:pPr>
            <w:r>
              <w:t>Art des Unternehmens</w:t>
            </w:r>
          </w:p>
          <w:p w14:paraId="7FE1B35B" w14:textId="77777777" w:rsidR="00696584" w:rsidRDefault="002C4F63">
            <w:pPr>
              <w:pStyle w:val="P68B1DB1-TableParagraph13"/>
              <w:spacing w:before="108"/>
              <w:ind w:left="85"/>
            </w:pPr>
            <w:r>
              <w:t>Für die Art des Unternehmens ist eine der folgenden Möglichkeiten (in absteigender Reihenfolge) anzugeben:</w:t>
            </w:r>
          </w:p>
          <w:p w14:paraId="7FE1B35C" w14:textId="77777777" w:rsidR="00696584" w:rsidRDefault="002C4F63">
            <w:pPr>
              <w:pStyle w:val="P68B1DB1-TableParagraph13"/>
              <w:numPr>
                <w:ilvl w:val="0"/>
                <w:numId w:val="67"/>
              </w:numPr>
              <w:spacing w:before="108"/>
            </w:pPr>
            <w:r>
              <w:t>„Kreditinstitut“</w:t>
            </w:r>
          </w:p>
          <w:p w14:paraId="7FE1B35D" w14:textId="653C7762" w:rsidR="00696584" w:rsidRDefault="002C4F63">
            <w:pPr>
              <w:pStyle w:val="TableParagraph"/>
              <w:spacing w:before="108"/>
              <w:ind w:left="445"/>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Kreditinstitute im Sinne von Artikel 4 Absatz 1 Nummer 1 der Verordnung (EU) Nr. 575/2013, mit Ausnahme der Unternehmen im Sinne von Artikel 2 Nummer 5 der Richtlinie </w:t>
            </w:r>
            <w:r>
              <w:rPr>
                <w:rFonts w:ascii="Times New Roman" w:hAnsi="Times New Roman" w:cs="Times New Roman"/>
                <w:color w:val="000000" w:themeColor="text1"/>
                <w:sz w:val="20"/>
                <w:szCs w:val="20"/>
              </w:rPr>
              <w:lastRenderedPageBreak/>
              <w:t>2013/36/EU</w:t>
            </w:r>
            <w:r>
              <w:rPr>
                <w:rStyle w:val="FootnoteReference"/>
                <w:rFonts w:ascii="Times New Roman" w:hAnsi="Times New Roman" w:cs="Times New Roman"/>
                <w:color w:val="000000" w:themeColor="text1"/>
              </w:rPr>
              <w:footnoteReference w:id="7"/>
            </w:r>
            <w:r>
              <w:rPr>
                <w:rFonts w:ascii="Times New Roman" w:hAnsi="Times New Roman" w:cs="Times New Roman"/>
                <w:color w:val="000000" w:themeColor="text1"/>
                <w:sz w:val="20"/>
                <w:szCs w:val="20"/>
              </w:rPr>
              <w:t xml:space="preserve">. </w:t>
            </w:r>
          </w:p>
          <w:p w14:paraId="7FE1B35E" w14:textId="74CE88F3" w:rsidR="00696584" w:rsidRDefault="002C4F63">
            <w:pPr>
              <w:pStyle w:val="P68B1DB1-TableParagraph13"/>
              <w:numPr>
                <w:ilvl w:val="0"/>
                <w:numId w:val="67"/>
              </w:numPr>
              <w:spacing w:before="108"/>
            </w:pPr>
            <w:r>
              <w:t>Wertpapierfirma, die den in Artikel 9 Absatz 1 der Richtlinie (EU) 2019/2034 festgelegten Anforderungen bezüglich des Anfangskapitals unterliegt</w:t>
            </w:r>
          </w:p>
          <w:p w14:paraId="7FE1B35F" w14:textId="3246B488" w:rsidR="00696584" w:rsidRDefault="002C4F63">
            <w:pPr>
              <w:pStyle w:val="TableParagraph"/>
              <w:spacing w:before="108"/>
              <w:ind w:left="445"/>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Wertpapierfirmen im Sinne von Artikel 4 Absatz 1 Nummer 22 der Verordnung (EU) 2019/2033,</w:t>
            </w:r>
            <w:r>
              <w:rPr>
                <w:rStyle w:val="FootnoteReference"/>
                <w:rFonts w:ascii="Times New Roman" w:hAnsi="Times New Roman" w:cs="Times New Roman"/>
                <w:color w:val="000000" w:themeColor="text1"/>
              </w:rPr>
              <w:footnoteReference w:id="8"/>
            </w:r>
            <w:r>
              <w:rPr>
                <w:rFonts w:ascii="Times New Roman" w:hAnsi="Times New Roman" w:cs="Times New Roman"/>
                <w:color w:val="000000" w:themeColor="text1"/>
                <w:sz w:val="20"/>
                <w:szCs w:val="20"/>
              </w:rPr>
              <w:t xml:space="preserve"> die den in Artikel 9 Absatz 1 der Richtlinie (EU) 2019/2034 festgelegten Anforderungen bezüglich des Anfangskapitals unterliegen</w:t>
            </w:r>
            <w:r>
              <w:rPr>
                <w:rStyle w:val="FootnoteReference"/>
                <w:rFonts w:ascii="Times New Roman" w:hAnsi="Times New Roman" w:cs="Times New Roman"/>
                <w:color w:val="000000" w:themeColor="text1"/>
              </w:rPr>
              <w:footnoteReference w:id="9"/>
            </w:r>
            <w:r>
              <w:rPr>
                <w:rFonts w:ascii="Times New Roman" w:hAnsi="Times New Roman" w:cs="Times New Roman"/>
                <w:color w:val="000000" w:themeColor="text1"/>
                <w:sz w:val="20"/>
                <w:szCs w:val="20"/>
              </w:rPr>
              <w:t>.</w:t>
            </w:r>
          </w:p>
          <w:p w14:paraId="7FE1B360" w14:textId="7DAA7575" w:rsidR="00696584" w:rsidRDefault="002C4F63">
            <w:pPr>
              <w:pStyle w:val="P68B1DB1-TableParagraph13"/>
              <w:numPr>
                <w:ilvl w:val="0"/>
                <w:numId w:val="67"/>
              </w:numPr>
              <w:spacing w:before="108"/>
            </w:pPr>
            <w:r>
              <w:t>Wertpapierfirma, die den in Artikel 9 Absatz 1 der Richtlinie (EU) 2019/2034 festgelegten Anforderungen bezüglich des Anfangskapitals nicht unterliegt</w:t>
            </w:r>
          </w:p>
          <w:p w14:paraId="7FE1B361" w14:textId="34EC50E9" w:rsidR="00696584" w:rsidRDefault="009907F3">
            <w:pPr>
              <w:pStyle w:val="P68B1DB1-TableParagraph13"/>
              <w:numPr>
                <w:ilvl w:val="0"/>
                <w:numId w:val="67"/>
              </w:numPr>
              <w:spacing w:before="108"/>
            </w:pPr>
            <w:r>
              <w:t>„</w:t>
            </w:r>
            <w:r w:rsidR="002C4F63">
              <w:t>Finanzinstitut</w:t>
            </w:r>
            <w:r>
              <w:t>“</w:t>
            </w:r>
          </w:p>
          <w:p w14:paraId="7FE1B362" w14:textId="77777777" w:rsidR="00696584" w:rsidRDefault="002C4F63">
            <w:pPr>
              <w:pStyle w:val="P68B1DB1-TableParagraph13"/>
              <w:spacing w:before="108"/>
              <w:ind w:left="445"/>
            </w:pPr>
            <w:r>
              <w:t>Finanzinstitute im Sinne von Artikel 4 Absatz 1 Nummer 26 der Verordnung (EU) Nr. 575/2013, mit Ausnahme von Instituten, die gemäß Buchstabe e als Holdinggesellschaften einzustufen sind.</w:t>
            </w:r>
          </w:p>
          <w:p w14:paraId="7FE1B363" w14:textId="77777777" w:rsidR="00696584" w:rsidRDefault="002C4F63">
            <w:pPr>
              <w:pStyle w:val="P68B1DB1-TableParagraph13"/>
              <w:numPr>
                <w:ilvl w:val="0"/>
                <w:numId w:val="67"/>
              </w:numPr>
              <w:spacing w:before="108"/>
            </w:pPr>
            <w:r>
              <w:t>„Holdinggesellschaft“</w:t>
            </w:r>
          </w:p>
          <w:p w14:paraId="7FE1B364" w14:textId="77777777" w:rsidR="00696584" w:rsidRDefault="002C4F63">
            <w:pPr>
              <w:pStyle w:val="P68B1DB1-TableParagraph13"/>
              <w:spacing w:before="108"/>
              <w:ind w:left="445"/>
            </w:pPr>
            <w:r>
              <w:t>Hierunter fallen:</w:t>
            </w:r>
          </w:p>
          <w:p w14:paraId="7FE1B365" w14:textId="77777777" w:rsidR="00696584" w:rsidRDefault="002C4F63">
            <w:pPr>
              <w:pStyle w:val="P68B1DB1-TableParagraph13"/>
              <w:numPr>
                <w:ilvl w:val="0"/>
                <w:numId w:val="68"/>
              </w:numPr>
              <w:spacing w:before="108"/>
            </w:pPr>
            <w:r>
              <w:t>Finanzholdinggesellschaften im Sinne von Artikel 4 Absatz 1 Nummer 20 der Verordnung (EU) Nr. 575/2013,</w:t>
            </w:r>
          </w:p>
          <w:p w14:paraId="7FE1B366" w14:textId="77777777" w:rsidR="00696584" w:rsidRDefault="002C4F63">
            <w:pPr>
              <w:pStyle w:val="P68B1DB1-TableParagraph13"/>
              <w:numPr>
                <w:ilvl w:val="0"/>
                <w:numId w:val="68"/>
              </w:numPr>
              <w:spacing w:before="108"/>
            </w:pPr>
            <w:r>
              <w:t>Gemischte Finanzholdinggesellschaften im Sinne von Artikel 4 Absatz 1 Nummer 21 der Verordnung (EU) Nr. 575/2013,</w:t>
            </w:r>
          </w:p>
          <w:p w14:paraId="7FE1B367" w14:textId="77777777" w:rsidR="00696584" w:rsidRDefault="002C4F63">
            <w:pPr>
              <w:pStyle w:val="P68B1DB1-TableParagraph13"/>
              <w:numPr>
                <w:ilvl w:val="0"/>
                <w:numId w:val="68"/>
              </w:numPr>
              <w:spacing w:before="108"/>
            </w:pPr>
            <w:r>
              <w:t>Gemischte Holdinggesellschaften im Sinne von Artikel 4 Absatz 1 Nummer 22 der Verordnung (EU) Nr. 575/2013,</w:t>
            </w:r>
          </w:p>
          <w:p w14:paraId="7FE1B368" w14:textId="77777777" w:rsidR="00696584" w:rsidRDefault="002C4F63">
            <w:pPr>
              <w:pStyle w:val="P68B1DB1-TableParagraph13"/>
              <w:numPr>
                <w:ilvl w:val="0"/>
                <w:numId w:val="68"/>
              </w:numPr>
              <w:spacing w:before="108"/>
            </w:pPr>
            <w:r>
              <w:t>Mutterfinanzholdinggesellschaften im Sinne von Artikel 4 Absatz 1 Nummer 30 der Verordnung (EU) Nr. 575/2013,</w:t>
            </w:r>
          </w:p>
          <w:p w14:paraId="7FE1B369" w14:textId="77777777" w:rsidR="00696584" w:rsidRDefault="002C4F63">
            <w:pPr>
              <w:pStyle w:val="P68B1DB1-TableParagraph13"/>
              <w:numPr>
                <w:ilvl w:val="0"/>
                <w:numId w:val="68"/>
              </w:numPr>
              <w:spacing w:before="108"/>
            </w:pPr>
            <w:r>
              <w:t>EU-Mutterfinanzholdinggesellschaften im Sinne von Artikel 4 Absatz 1 Nummer 31 der Verordnung (EU) Nr. 575/2013,</w:t>
            </w:r>
          </w:p>
          <w:p w14:paraId="7FE1B36A" w14:textId="77777777" w:rsidR="00696584" w:rsidRDefault="002C4F63">
            <w:pPr>
              <w:pStyle w:val="P68B1DB1-TableParagraph13"/>
              <w:numPr>
                <w:ilvl w:val="0"/>
                <w:numId w:val="68"/>
              </w:numPr>
              <w:spacing w:before="108"/>
            </w:pPr>
            <w:r>
              <w:t>Gemischte Mutterfinanzholdinggesellschaften im Sinne von Artikel 4 Absatz 1 Nummer 32 der Verordnung (EU) Nr. 575/2013,</w:t>
            </w:r>
          </w:p>
          <w:p w14:paraId="7FE1B36B" w14:textId="77777777" w:rsidR="00696584" w:rsidRDefault="002C4F63">
            <w:pPr>
              <w:pStyle w:val="P68B1DB1-TableParagraph13"/>
              <w:numPr>
                <w:ilvl w:val="0"/>
                <w:numId w:val="68"/>
              </w:numPr>
              <w:spacing w:before="108"/>
            </w:pPr>
            <w:r>
              <w:t>Gemischte EU-Mutterfinanzholdinggesellschaften im Sinne von Artikel 4 Absatz 1 Nummer 33 der Verordnung (EU) Nr. 575/2013.</w:t>
            </w:r>
          </w:p>
          <w:p w14:paraId="7FE1B36C" w14:textId="3BE9AC1C" w:rsidR="00696584" w:rsidRDefault="009907F3">
            <w:pPr>
              <w:pStyle w:val="P68B1DB1-TableParagraph13"/>
              <w:numPr>
                <w:ilvl w:val="0"/>
                <w:numId w:val="67"/>
              </w:numPr>
              <w:spacing w:before="108"/>
            </w:pPr>
            <w:r>
              <w:t>„</w:t>
            </w:r>
            <w:r w:rsidR="002C4F63">
              <w:t>Versicherungsunternehmen</w:t>
            </w:r>
            <w:r>
              <w:t>“</w:t>
            </w:r>
          </w:p>
          <w:p w14:paraId="7FE1B36D" w14:textId="32EDB0D9" w:rsidR="00696584" w:rsidRDefault="002C4F63">
            <w:pPr>
              <w:pStyle w:val="P68B1DB1-TableParagraph16"/>
              <w:numPr>
                <w:ilvl w:val="0"/>
                <w:numId w:val="68"/>
              </w:numPr>
              <w:spacing w:before="108"/>
              <w:rPr>
                <w:color w:val="000000" w:themeColor="text1"/>
                <w:sz w:val="20"/>
                <w:szCs w:val="20"/>
              </w:rPr>
            </w:pPr>
            <w:r>
              <w:rPr>
                <w:color w:val="000000" w:themeColor="text1"/>
                <w:sz w:val="20"/>
                <w:szCs w:val="20"/>
              </w:rPr>
              <w:t>Versicherungsunternehmen im Sinne von Artikel 13 der Richtlinie 2009/138/EG des Europäischen Parlaments und des Rates</w:t>
            </w:r>
            <w:r w:rsidRPr="000D7090">
              <w:rPr>
                <w:rStyle w:val="FootnoteReference"/>
                <w:rFonts w:ascii="Times New Roman" w:hAnsi="Times New Roman"/>
                <w:color w:val="000000" w:themeColor="text1"/>
              </w:rPr>
              <w:footnoteReference w:id="10"/>
            </w:r>
            <w:r w:rsidR="00AB5152">
              <w:t>.</w:t>
            </w:r>
          </w:p>
          <w:p w14:paraId="7FE1B36E" w14:textId="15AC498F" w:rsidR="00696584" w:rsidRDefault="002C4F63">
            <w:pPr>
              <w:pStyle w:val="P68B1DB1-TableParagraph13"/>
              <w:numPr>
                <w:ilvl w:val="0"/>
                <w:numId w:val="67"/>
              </w:numPr>
              <w:spacing w:before="108"/>
            </w:pPr>
            <w:r>
              <w:t>„Relevanter Dienstleister“ innerhalb der Gruppe, der mit kritischen Funktionen und/oder wesentlichen wirtschaftlichen Tätigkeiten verbunden ist.</w:t>
            </w:r>
          </w:p>
          <w:p w14:paraId="7FE1B370" w14:textId="77777777" w:rsidR="00696584" w:rsidRDefault="00696584">
            <w:pPr>
              <w:pStyle w:val="TableParagraph"/>
              <w:spacing w:before="108"/>
              <w:rPr>
                <w:rFonts w:ascii="Times New Roman" w:hAnsi="Times New Roman" w:cs="Times New Roman"/>
                <w:color w:val="000000" w:themeColor="text1"/>
                <w:sz w:val="20"/>
                <w:szCs w:val="20"/>
              </w:rPr>
            </w:pPr>
          </w:p>
          <w:p w14:paraId="7FE1B371" w14:textId="77777777" w:rsidR="00696584" w:rsidRDefault="002C4F63">
            <w:pPr>
              <w:pStyle w:val="P68B1DB1-TableParagraph16"/>
              <w:numPr>
                <w:ilvl w:val="0"/>
                <w:numId w:val="67"/>
              </w:numPr>
              <w:spacing w:before="108"/>
              <w:rPr>
                <w:color w:val="000000" w:themeColor="text1"/>
                <w:sz w:val="20"/>
                <w:szCs w:val="20"/>
              </w:rPr>
            </w:pPr>
            <w:r>
              <w:rPr>
                <w:color w:val="000000" w:themeColor="text1"/>
                <w:sz w:val="20"/>
                <w:szCs w:val="20"/>
              </w:rPr>
              <w:t>Sonstiges Unternehmen, wenn sich das Unternehmen in keine der vorgenannten Kategorien einordnen lässt.</w:t>
            </w:r>
            <w:r>
              <w:br/>
            </w:r>
            <w:r>
              <w:rPr>
                <w:color w:val="000000" w:themeColor="text1"/>
                <w:sz w:val="20"/>
                <w:szCs w:val="20"/>
              </w:rPr>
              <w:t>(d. h. wichtiger Finanzierungsgeber)</w:t>
            </w:r>
          </w:p>
        </w:tc>
      </w:tr>
      <w:tr w:rsidR="00696584" w14:paraId="7FE1B376" w14:textId="77777777">
        <w:tc>
          <w:tcPr>
            <w:tcW w:w="0" w:type="auto"/>
            <w:tcBorders>
              <w:top w:val="single" w:sz="4" w:space="0" w:color="1A171C"/>
              <w:left w:val="nil"/>
              <w:bottom w:val="single" w:sz="4" w:space="0" w:color="1A171C"/>
              <w:right w:val="single" w:sz="4" w:space="0" w:color="1A171C"/>
            </w:tcBorders>
          </w:tcPr>
          <w:p w14:paraId="7FE1B373" w14:textId="77777777" w:rsidR="00696584" w:rsidRDefault="002C4F63">
            <w:pPr>
              <w:pStyle w:val="P68B1DB1-TableParagraph13"/>
              <w:spacing w:before="106"/>
              <w:ind w:left="-1"/>
            </w:pPr>
            <w:r>
              <w:lastRenderedPageBreak/>
              <w:t>0050</w:t>
            </w:r>
          </w:p>
        </w:tc>
        <w:tc>
          <w:tcPr>
            <w:tcW w:w="0" w:type="auto"/>
            <w:tcBorders>
              <w:top w:val="single" w:sz="4" w:space="0" w:color="1A171C"/>
              <w:left w:val="single" w:sz="4" w:space="0" w:color="1A171C"/>
              <w:bottom w:val="single" w:sz="4" w:space="0" w:color="1A171C"/>
              <w:right w:val="nil"/>
            </w:tcBorders>
          </w:tcPr>
          <w:p w14:paraId="7FE1B374" w14:textId="77777777" w:rsidR="00696584" w:rsidRDefault="002C4F63">
            <w:pPr>
              <w:pStyle w:val="P68B1DB1-TableParagraph14"/>
              <w:spacing w:before="108"/>
              <w:ind w:left="85"/>
            </w:pPr>
            <w:r>
              <w:t>Land</w:t>
            </w:r>
          </w:p>
          <w:p w14:paraId="7FE1B375" w14:textId="63A64082" w:rsidR="00696584" w:rsidRDefault="002C4F63">
            <w:pPr>
              <w:pStyle w:val="P68B1DB1-TableParagraph13"/>
              <w:spacing w:before="108"/>
              <w:ind w:left="85"/>
              <w:jc w:val="both"/>
            </w:pPr>
            <w:r>
              <w:t xml:space="preserve">Alpha-2-Ländercode nach ISO 3166-1 des </w:t>
            </w:r>
            <w:r w:rsidR="00F1241E">
              <w:t>Sitzstaat</w:t>
            </w:r>
            <w:r>
              <w:t>es des Unternehmens (Mitgliedstaat oder Drittstaat)</w:t>
            </w:r>
          </w:p>
        </w:tc>
      </w:tr>
      <w:tr w:rsidR="00696584" w14:paraId="7FE1B37A" w14:textId="77777777">
        <w:tc>
          <w:tcPr>
            <w:tcW w:w="0" w:type="auto"/>
            <w:tcBorders>
              <w:top w:val="single" w:sz="4" w:space="0" w:color="1A171C"/>
              <w:left w:val="nil"/>
              <w:bottom w:val="single" w:sz="4" w:space="0" w:color="1A171C"/>
              <w:right w:val="single" w:sz="4" w:space="0" w:color="1A171C"/>
            </w:tcBorders>
          </w:tcPr>
          <w:p w14:paraId="7FE1B377" w14:textId="77777777" w:rsidR="00696584" w:rsidRDefault="002C4F63">
            <w:pPr>
              <w:pStyle w:val="P68B1DB1-TableParagraph13"/>
              <w:spacing w:before="106"/>
              <w:ind w:left="-1"/>
            </w:pPr>
            <w:r>
              <w:t>0055</w:t>
            </w:r>
          </w:p>
        </w:tc>
        <w:tc>
          <w:tcPr>
            <w:tcW w:w="0" w:type="auto"/>
            <w:tcBorders>
              <w:top w:val="single" w:sz="4" w:space="0" w:color="1A171C"/>
              <w:left w:val="single" w:sz="4" w:space="0" w:color="1A171C"/>
              <w:bottom w:val="single" w:sz="4" w:space="0" w:color="1A171C"/>
              <w:right w:val="nil"/>
            </w:tcBorders>
          </w:tcPr>
          <w:p w14:paraId="7FE1B378" w14:textId="7C05A698" w:rsidR="00696584" w:rsidRDefault="002872FC">
            <w:pPr>
              <w:pStyle w:val="P68B1DB1-TableParagraph14"/>
              <w:spacing w:before="108"/>
              <w:ind w:left="85"/>
            </w:pPr>
            <w:r>
              <w:t>LEI</w:t>
            </w:r>
            <w:r w:rsidR="004A4C35">
              <w:t xml:space="preserve"> </w:t>
            </w:r>
            <w:r w:rsidR="002C4F63">
              <w:t>des POE der Abwicklungsgruppe</w:t>
            </w:r>
          </w:p>
          <w:p w14:paraId="7FE1B379" w14:textId="77777777" w:rsidR="00696584" w:rsidRDefault="002C4F63">
            <w:pPr>
              <w:pStyle w:val="P68B1DB1-TableParagraph13"/>
              <w:spacing w:before="108"/>
              <w:ind w:left="85"/>
              <w:rPr>
                <w:bCs/>
              </w:rPr>
            </w:pPr>
            <w:r>
              <w:t>LEI-Code zur Bezeichnung des Eingangsorts der Abwicklungsgruppe, der das unter 0010 genannte Unternehmen angehört.</w:t>
            </w:r>
          </w:p>
        </w:tc>
      </w:tr>
      <w:tr w:rsidR="00696584" w14:paraId="7FE1B386" w14:textId="77777777">
        <w:tc>
          <w:tcPr>
            <w:tcW w:w="0" w:type="auto"/>
            <w:tcBorders>
              <w:top w:val="single" w:sz="4" w:space="0" w:color="1A171C"/>
              <w:left w:val="nil"/>
              <w:bottom w:val="single" w:sz="4" w:space="0" w:color="1A171C"/>
              <w:right w:val="single" w:sz="4" w:space="0" w:color="1A171C"/>
            </w:tcBorders>
          </w:tcPr>
          <w:p w14:paraId="7FE1B381" w14:textId="77777777" w:rsidR="00696584" w:rsidRDefault="002C4F63">
            <w:pPr>
              <w:pStyle w:val="P68B1DB1-TableParagraph13"/>
              <w:spacing w:before="106"/>
              <w:ind w:left="-1"/>
            </w:pPr>
            <w:r>
              <w:t>0070</w:t>
            </w:r>
          </w:p>
        </w:tc>
        <w:tc>
          <w:tcPr>
            <w:tcW w:w="0" w:type="auto"/>
            <w:tcBorders>
              <w:top w:val="single" w:sz="4" w:space="0" w:color="1A171C"/>
              <w:left w:val="single" w:sz="4" w:space="0" w:color="1A171C"/>
              <w:bottom w:val="single" w:sz="4" w:space="0" w:color="1A171C"/>
              <w:right w:val="nil"/>
            </w:tcBorders>
          </w:tcPr>
          <w:p w14:paraId="7FE1B382" w14:textId="77777777" w:rsidR="00696584" w:rsidRDefault="002C4F63">
            <w:pPr>
              <w:pStyle w:val="P68B1DB1-TableParagraph14"/>
              <w:spacing w:before="108"/>
              <w:ind w:left="85"/>
              <w:jc w:val="both"/>
              <w:rPr>
                <w:bCs/>
              </w:rPr>
            </w:pPr>
            <w:r>
              <w:t>Ausnahme nach Artikel 7 CRR</w:t>
            </w:r>
          </w:p>
          <w:p w14:paraId="7FE1B383" w14:textId="77777777" w:rsidR="00696584" w:rsidRDefault="002C4F63">
            <w:pPr>
              <w:pStyle w:val="P68B1DB1-TableParagraph13"/>
              <w:spacing w:before="108"/>
              <w:ind w:left="85"/>
              <w:jc w:val="both"/>
            </w:pPr>
            <w:r>
              <w:t>Folgende Abkürzungen sind einzutragen:</w:t>
            </w:r>
          </w:p>
          <w:p w14:paraId="7FE1B384" w14:textId="6DF8D995" w:rsidR="00696584" w:rsidRDefault="002C4F63">
            <w:pPr>
              <w:pStyle w:val="P68B1DB1-TableParagraph13"/>
              <w:spacing w:before="108"/>
              <w:ind w:left="85"/>
              <w:jc w:val="both"/>
            </w:pPr>
            <w:r>
              <w:t>Ja – wenn die zuständige Behörde das Unternehmen gemäß Artikel 7 der Verordnung (EU) Nr. 575/2013 von der Anwendung des Artikels 6 Absatz 1 dieser Verordnung ausgenommen hat,</w:t>
            </w:r>
          </w:p>
          <w:p w14:paraId="7FE1B385" w14:textId="7EC01EC3" w:rsidR="00696584" w:rsidRDefault="002C4F63">
            <w:pPr>
              <w:pStyle w:val="P68B1DB1-TableParagraph13"/>
              <w:spacing w:before="108"/>
              <w:ind w:left="85"/>
              <w:jc w:val="both"/>
              <w:rPr>
                <w:b/>
              </w:rPr>
            </w:pPr>
            <w:r>
              <w:t>Nein – wenn dies nicht der Fall ist.</w:t>
            </w:r>
          </w:p>
        </w:tc>
      </w:tr>
      <w:tr w:rsidR="00696584" w14:paraId="7FE1B38D" w14:textId="77777777">
        <w:tc>
          <w:tcPr>
            <w:tcW w:w="1064" w:type="dxa"/>
            <w:tcBorders>
              <w:top w:val="single" w:sz="4" w:space="0" w:color="1A171C"/>
              <w:left w:val="nil"/>
              <w:bottom w:val="single" w:sz="4" w:space="0" w:color="1A171C"/>
              <w:right w:val="single" w:sz="4" w:space="0" w:color="1A171C"/>
            </w:tcBorders>
          </w:tcPr>
          <w:p w14:paraId="7FE1B387" w14:textId="77777777" w:rsidR="00696584" w:rsidRDefault="002C4F63">
            <w:pPr>
              <w:pStyle w:val="P68B1DB1-TableParagraph13"/>
            </w:pPr>
            <w:r>
              <w:t>0080</w:t>
            </w:r>
          </w:p>
        </w:tc>
        <w:tc>
          <w:tcPr>
            <w:tcW w:w="7962" w:type="dxa"/>
            <w:tcBorders>
              <w:top w:val="single" w:sz="4" w:space="0" w:color="1A171C"/>
              <w:left w:val="single" w:sz="4" w:space="0" w:color="1A171C"/>
              <w:bottom w:val="single" w:sz="4" w:space="0" w:color="1A171C"/>
              <w:right w:val="nil"/>
            </w:tcBorders>
          </w:tcPr>
          <w:p w14:paraId="7FE1B388" w14:textId="77777777" w:rsidR="00696584" w:rsidRDefault="002C4F63">
            <w:pPr>
              <w:pStyle w:val="P68B1DB1-TableParagraph14"/>
              <w:jc w:val="both"/>
              <w:rPr>
                <w:bCs/>
              </w:rPr>
            </w:pPr>
            <w:r>
              <w:t>Ausnahme nach Artikel 8 CRR</w:t>
            </w:r>
          </w:p>
          <w:p w14:paraId="7FE1B389" w14:textId="77777777" w:rsidR="00696584" w:rsidRDefault="00696584">
            <w:pPr>
              <w:pStyle w:val="TableParagraph"/>
              <w:jc w:val="both"/>
              <w:rPr>
                <w:rFonts w:ascii="Times New Roman" w:hAnsi="Times New Roman" w:cs="Times New Roman"/>
                <w:b/>
                <w:bCs/>
                <w:color w:val="000000" w:themeColor="text1"/>
                <w:sz w:val="20"/>
                <w:szCs w:val="20"/>
              </w:rPr>
            </w:pPr>
          </w:p>
          <w:p w14:paraId="7FE1B38A" w14:textId="77777777" w:rsidR="00696584" w:rsidRDefault="002C4F63">
            <w:pPr>
              <w:pStyle w:val="P68B1DB1-TableParagraph13"/>
              <w:spacing w:before="108"/>
              <w:ind w:left="85"/>
              <w:jc w:val="both"/>
            </w:pPr>
            <w:r>
              <w:t>Folgende Abkürzungen sind einzutragen:</w:t>
            </w:r>
          </w:p>
          <w:p w14:paraId="7FE1B38B" w14:textId="7BE12ED7" w:rsidR="00696584" w:rsidRDefault="002C4F63">
            <w:pPr>
              <w:pStyle w:val="P68B1DB1-TableParagraph13"/>
              <w:spacing w:before="108"/>
              <w:ind w:left="85"/>
              <w:jc w:val="both"/>
            </w:pPr>
            <w:r>
              <w:t>Ja – wenn die zuständige Behörde das Unternehmen gemäß Artikel 8 der Verordnung (EU) Nr. 575/2013 von der Anwendung des Teils 6 dieser Verordnung ausgenommen hat,</w:t>
            </w:r>
          </w:p>
          <w:p w14:paraId="7FE1B38C" w14:textId="08CEF953" w:rsidR="00696584" w:rsidRDefault="002C4F63">
            <w:pPr>
              <w:pStyle w:val="P68B1DB1-TableParagraph13"/>
              <w:jc w:val="both"/>
              <w:rPr>
                <w:b/>
                <w:bCs/>
              </w:rPr>
            </w:pPr>
            <w:r>
              <w:t>Nein – wenn dies nicht der Fall ist.</w:t>
            </w:r>
          </w:p>
        </w:tc>
      </w:tr>
      <w:tr w:rsidR="00696584" w14:paraId="7FE1B395" w14:textId="77777777">
        <w:tc>
          <w:tcPr>
            <w:tcW w:w="1064" w:type="dxa"/>
            <w:tcBorders>
              <w:top w:val="single" w:sz="4" w:space="0" w:color="1A171C"/>
              <w:left w:val="nil"/>
              <w:bottom w:val="single" w:sz="4" w:space="0" w:color="1A171C"/>
              <w:right w:val="single" w:sz="4" w:space="0" w:color="1A171C"/>
            </w:tcBorders>
          </w:tcPr>
          <w:p w14:paraId="7FE1B38E" w14:textId="77777777" w:rsidR="00696584" w:rsidRDefault="002C4F63">
            <w:pPr>
              <w:pStyle w:val="P68B1DB1-TableParagraph13"/>
            </w:pPr>
            <w:r>
              <w:t>0090</w:t>
            </w:r>
          </w:p>
        </w:tc>
        <w:tc>
          <w:tcPr>
            <w:tcW w:w="7962" w:type="dxa"/>
            <w:tcBorders>
              <w:top w:val="single" w:sz="4" w:space="0" w:color="1A171C"/>
              <w:left w:val="single" w:sz="4" w:space="0" w:color="1A171C"/>
              <w:bottom w:val="single" w:sz="4" w:space="0" w:color="1A171C"/>
              <w:right w:val="nil"/>
            </w:tcBorders>
          </w:tcPr>
          <w:p w14:paraId="7FE1B38F" w14:textId="77777777" w:rsidR="00696584" w:rsidRDefault="002C4F63">
            <w:pPr>
              <w:pStyle w:val="P68B1DB1-TableParagraph14"/>
              <w:jc w:val="both"/>
              <w:rPr>
                <w:bCs/>
              </w:rPr>
            </w:pPr>
            <w:r>
              <w:t>„Vorbehaltlich des Artikels 9 CRR“</w:t>
            </w:r>
          </w:p>
          <w:p w14:paraId="7FE1B390" w14:textId="77777777" w:rsidR="00696584" w:rsidRDefault="00696584">
            <w:pPr>
              <w:pStyle w:val="TableParagraph"/>
              <w:jc w:val="both"/>
              <w:rPr>
                <w:rFonts w:ascii="Times New Roman" w:hAnsi="Times New Roman" w:cs="Times New Roman"/>
                <w:b/>
                <w:bCs/>
                <w:color w:val="000000" w:themeColor="text1"/>
                <w:sz w:val="20"/>
                <w:szCs w:val="20"/>
              </w:rPr>
            </w:pPr>
          </w:p>
          <w:p w14:paraId="7FE1B391" w14:textId="77777777" w:rsidR="00696584" w:rsidRDefault="002C4F63">
            <w:pPr>
              <w:pStyle w:val="P68B1DB1-TableParagraph13"/>
              <w:spacing w:before="108"/>
              <w:ind w:left="85"/>
              <w:jc w:val="both"/>
            </w:pPr>
            <w:r>
              <w:t>Folgende Abkürzungen sind einzutragen:</w:t>
            </w:r>
          </w:p>
          <w:p w14:paraId="7FE1B392" w14:textId="30A38992" w:rsidR="00696584" w:rsidRDefault="002C4F63">
            <w:pPr>
              <w:pStyle w:val="P68B1DB1-TableParagraph13"/>
              <w:spacing w:before="108"/>
              <w:ind w:left="85"/>
              <w:jc w:val="both"/>
            </w:pPr>
            <w:r>
              <w:t>Ja – wenn das Unternehmen die in Artikel 7 Absatz 1 Buchstaben c und d festgelegten Bedingungen erfüllt und seine wesentlichen Risikopositionen oder wesentlichen Verbindlichkeiten dem Mutterinstitut der Verordnung (EU) Nr. 575/2013 gemäß Artikel 8 der Verordnung (EU) Nr. 575/2013 unterliegen und daher in die Berechnung der Anforderung an das Mutterinstitut nach Artikel 6 Absatz 1 einbezogen werden.</w:t>
            </w:r>
          </w:p>
          <w:p w14:paraId="7FE1B393" w14:textId="0CE17CBC" w:rsidR="00696584" w:rsidRDefault="002C4F63">
            <w:pPr>
              <w:pStyle w:val="P68B1DB1-TableParagraph13"/>
              <w:jc w:val="both"/>
              <w:rPr>
                <w:b/>
                <w:bCs/>
              </w:rPr>
            </w:pPr>
            <w:r>
              <w:t>Nein – wenn dies nicht der Fall ist.</w:t>
            </w:r>
          </w:p>
          <w:p w14:paraId="7FE1B394" w14:textId="77777777" w:rsidR="00696584" w:rsidRDefault="00696584">
            <w:pPr>
              <w:pStyle w:val="TableParagraph"/>
              <w:jc w:val="both"/>
              <w:rPr>
                <w:rFonts w:ascii="Times New Roman" w:hAnsi="Times New Roman" w:cs="Times New Roman"/>
                <w:b/>
                <w:bCs/>
                <w:color w:val="000000" w:themeColor="text1"/>
                <w:sz w:val="20"/>
                <w:szCs w:val="20"/>
              </w:rPr>
            </w:pPr>
          </w:p>
        </w:tc>
      </w:tr>
      <w:tr w:rsidR="00696584" w14:paraId="7FE1B39B" w14:textId="77777777">
        <w:tc>
          <w:tcPr>
            <w:tcW w:w="0" w:type="auto"/>
            <w:tcBorders>
              <w:top w:val="single" w:sz="4" w:space="0" w:color="1A171C"/>
              <w:left w:val="nil"/>
              <w:bottom w:val="single" w:sz="4" w:space="0" w:color="1A171C"/>
              <w:right w:val="single" w:sz="4" w:space="0" w:color="1A171C"/>
            </w:tcBorders>
          </w:tcPr>
          <w:p w14:paraId="7FE1B396" w14:textId="5DE190C9" w:rsidR="00696584" w:rsidRDefault="002C4F63">
            <w:pPr>
              <w:pStyle w:val="P68B1DB1-TableParagraph13"/>
              <w:spacing w:before="106"/>
              <w:ind w:left="-1"/>
            </w:pPr>
            <w:r>
              <w:t>0100</w:t>
            </w:r>
          </w:p>
        </w:tc>
        <w:tc>
          <w:tcPr>
            <w:tcW w:w="0" w:type="auto"/>
            <w:tcBorders>
              <w:top w:val="single" w:sz="4" w:space="0" w:color="1A171C"/>
              <w:left w:val="single" w:sz="4" w:space="0" w:color="1A171C"/>
              <w:bottom w:val="single" w:sz="4" w:space="0" w:color="1A171C"/>
              <w:right w:val="nil"/>
            </w:tcBorders>
          </w:tcPr>
          <w:p w14:paraId="7FE1B397" w14:textId="77777777" w:rsidR="00696584" w:rsidRDefault="002C4F63">
            <w:pPr>
              <w:pStyle w:val="P68B1DB1-TableParagraph14"/>
              <w:spacing w:before="108"/>
              <w:ind w:left="85"/>
              <w:jc w:val="both"/>
            </w:pPr>
            <w:r>
              <w:t>Ausnahme nach Artikel 10 CRR</w:t>
            </w:r>
          </w:p>
          <w:p w14:paraId="7FE1B398" w14:textId="77777777" w:rsidR="00696584" w:rsidRDefault="002C4F63">
            <w:pPr>
              <w:pStyle w:val="P68B1DB1-TableParagraph13"/>
              <w:spacing w:before="108"/>
              <w:ind w:left="85"/>
              <w:jc w:val="both"/>
            </w:pPr>
            <w:r>
              <w:t>Folgende Abkürzungen sind einzutragen:</w:t>
            </w:r>
          </w:p>
          <w:p w14:paraId="7FE1B399" w14:textId="249CB221" w:rsidR="00696584" w:rsidRDefault="002C4F63">
            <w:pPr>
              <w:pStyle w:val="P68B1DB1-TableParagraph13"/>
              <w:spacing w:before="108"/>
              <w:ind w:left="85"/>
              <w:jc w:val="both"/>
            </w:pPr>
            <w:r>
              <w:t>Ja – wenn die zuständige Behörde eine Ausnahme gemäß Artikel 10 der Verordnung (EU) Nr. 575/2013 gewährt hat,</w:t>
            </w:r>
          </w:p>
          <w:p w14:paraId="7FE1B39A" w14:textId="2A6A5A7B" w:rsidR="00696584" w:rsidRDefault="002C4F63">
            <w:pPr>
              <w:pStyle w:val="P68B1DB1-TableParagraph13"/>
              <w:spacing w:before="108"/>
              <w:ind w:left="85"/>
              <w:jc w:val="both"/>
              <w:rPr>
                <w:b/>
              </w:rPr>
            </w:pPr>
            <w:r>
              <w:t>Nein – wenn dies nicht der Fall ist.</w:t>
            </w:r>
          </w:p>
        </w:tc>
      </w:tr>
      <w:tr w:rsidR="00696584" w14:paraId="7FE1B39F" w14:textId="77777777">
        <w:tc>
          <w:tcPr>
            <w:tcW w:w="0" w:type="auto"/>
            <w:tcBorders>
              <w:top w:val="single" w:sz="4" w:space="0" w:color="1A171C"/>
              <w:left w:val="nil"/>
              <w:bottom w:val="single" w:sz="4" w:space="0" w:color="1A171C"/>
              <w:right w:val="single" w:sz="4" w:space="0" w:color="1A171C"/>
            </w:tcBorders>
          </w:tcPr>
          <w:p w14:paraId="7FE1B39C" w14:textId="317C5200" w:rsidR="00696584" w:rsidRDefault="002C4F63">
            <w:pPr>
              <w:pStyle w:val="P68B1DB1-TableParagraph13"/>
              <w:spacing w:before="106"/>
              <w:ind w:left="-1"/>
            </w:pPr>
            <w:r>
              <w:t>0110</w:t>
            </w:r>
          </w:p>
        </w:tc>
        <w:tc>
          <w:tcPr>
            <w:tcW w:w="0" w:type="auto"/>
            <w:tcBorders>
              <w:top w:val="single" w:sz="4" w:space="0" w:color="1A171C"/>
              <w:left w:val="single" w:sz="4" w:space="0" w:color="1A171C"/>
              <w:bottom w:val="single" w:sz="4" w:space="0" w:color="1A171C"/>
              <w:right w:val="nil"/>
            </w:tcBorders>
          </w:tcPr>
          <w:p w14:paraId="7FE1B39D" w14:textId="77777777" w:rsidR="00696584" w:rsidRDefault="002C4F63">
            <w:pPr>
              <w:pStyle w:val="P68B1DB1-TableParagraph14"/>
              <w:spacing w:before="108"/>
              <w:jc w:val="both"/>
            </w:pPr>
            <w:r>
              <w:t>Summe der Vermögenswerte</w:t>
            </w:r>
          </w:p>
          <w:p w14:paraId="7FE1B39E" w14:textId="7FD52095" w:rsidR="00696584" w:rsidRDefault="002C4F63">
            <w:pPr>
              <w:pStyle w:val="P68B1DB1-TableParagraph13"/>
              <w:spacing w:before="108"/>
              <w:jc w:val="both"/>
              <w:rPr>
                <w:b/>
              </w:rPr>
            </w:pPr>
            <w:r>
              <w:t>Summe der Vermögenswerte nach FINREP {F 01.01;380</w:t>
            </w:r>
            <w:r w:rsidR="006912B4">
              <w:t>;</w:t>
            </w:r>
            <w:r>
              <w:t>010}</w:t>
            </w:r>
          </w:p>
        </w:tc>
      </w:tr>
      <w:tr w:rsidR="00696584" w14:paraId="7FE1B3AC" w14:textId="77777777">
        <w:tc>
          <w:tcPr>
            <w:tcW w:w="0" w:type="auto"/>
            <w:tcBorders>
              <w:top w:val="single" w:sz="4" w:space="0" w:color="1A171C"/>
              <w:left w:val="nil"/>
              <w:bottom w:val="single" w:sz="4" w:space="0" w:color="1A171C"/>
              <w:right w:val="single" w:sz="4" w:space="0" w:color="1A171C"/>
            </w:tcBorders>
          </w:tcPr>
          <w:p w14:paraId="7FE1B3A8" w14:textId="69999557" w:rsidR="00696584" w:rsidRDefault="002C4F63">
            <w:pPr>
              <w:pStyle w:val="P68B1DB1-TableParagraph13"/>
              <w:spacing w:before="106"/>
              <w:ind w:left="-1"/>
            </w:pPr>
            <w:r>
              <w:t>0150</w:t>
            </w:r>
          </w:p>
        </w:tc>
        <w:tc>
          <w:tcPr>
            <w:tcW w:w="0" w:type="auto"/>
            <w:tcBorders>
              <w:top w:val="single" w:sz="4" w:space="0" w:color="1A171C"/>
              <w:left w:val="single" w:sz="4" w:space="0" w:color="1A171C"/>
              <w:bottom w:val="single" w:sz="4" w:space="0" w:color="1A171C"/>
              <w:right w:val="nil"/>
            </w:tcBorders>
          </w:tcPr>
          <w:p w14:paraId="7FE1B3A9" w14:textId="77777777" w:rsidR="00696584" w:rsidRDefault="002C4F63">
            <w:pPr>
              <w:pStyle w:val="P68B1DB1-TableParagraph14"/>
              <w:spacing w:before="108"/>
              <w:jc w:val="both"/>
            </w:pPr>
            <w:r>
              <w:t>Gesamtrisikobetrag</w:t>
            </w:r>
          </w:p>
          <w:p w14:paraId="7FE1B3AA" w14:textId="2E4FEEA3" w:rsidR="00696584" w:rsidRDefault="002C4F63">
            <w:pPr>
              <w:pStyle w:val="P68B1DB1-TableParagraph13"/>
              <w:spacing w:before="108"/>
              <w:jc w:val="both"/>
            </w:pPr>
            <w:r>
              <w:t xml:space="preserve">Gesamtrisikobetrag nach COREP (OF): </w:t>
            </w:r>
            <w:r w:rsidR="008E5478">
              <w:t>{</w:t>
            </w:r>
            <w:r>
              <w:t>C 02.00;010;010</w:t>
            </w:r>
            <w:r w:rsidR="008E5478">
              <w:t>}</w:t>
            </w:r>
          </w:p>
          <w:p w14:paraId="7FE1B3AB" w14:textId="77777777" w:rsidR="00696584" w:rsidRDefault="002C4F63">
            <w:pPr>
              <w:pStyle w:val="P68B1DB1-TableParagraph13"/>
              <w:spacing w:before="108"/>
              <w:jc w:val="both"/>
              <w:rPr>
                <w:b/>
              </w:rPr>
            </w:pPr>
            <w:r>
              <w:lastRenderedPageBreak/>
              <w:t>Für Institute und Unternehmen, die nicht nach Artikel 7 oder Artikel 10 der Verordnung (EU) Nr. 575/2013 ausgenommen sind, ist diese Angabe nicht erforderlich.</w:t>
            </w:r>
          </w:p>
        </w:tc>
      </w:tr>
      <w:tr w:rsidR="00696584" w14:paraId="7FE1B3B1" w14:textId="77777777">
        <w:tc>
          <w:tcPr>
            <w:tcW w:w="0" w:type="auto"/>
            <w:tcBorders>
              <w:top w:val="single" w:sz="4" w:space="0" w:color="1A171C"/>
              <w:left w:val="nil"/>
              <w:bottom w:val="single" w:sz="4" w:space="0" w:color="1A171C"/>
              <w:right w:val="single" w:sz="4" w:space="0" w:color="1A171C"/>
            </w:tcBorders>
          </w:tcPr>
          <w:p w14:paraId="7FE1B3AD" w14:textId="47BF222F" w:rsidR="00696584" w:rsidRDefault="002C4F63">
            <w:pPr>
              <w:pStyle w:val="P68B1DB1-TableParagraph13"/>
              <w:spacing w:before="106"/>
              <w:ind w:left="-1"/>
            </w:pPr>
            <w:r>
              <w:lastRenderedPageBreak/>
              <w:t>0160</w:t>
            </w:r>
          </w:p>
        </w:tc>
        <w:tc>
          <w:tcPr>
            <w:tcW w:w="0" w:type="auto"/>
            <w:tcBorders>
              <w:top w:val="single" w:sz="4" w:space="0" w:color="1A171C"/>
              <w:left w:val="single" w:sz="4" w:space="0" w:color="1A171C"/>
              <w:bottom w:val="single" w:sz="4" w:space="0" w:color="1A171C"/>
              <w:right w:val="nil"/>
            </w:tcBorders>
          </w:tcPr>
          <w:p w14:paraId="7FE1B3AE" w14:textId="0A8F3447" w:rsidR="00696584" w:rsidRDefault="002C4F63">
            <w:pPr>
              <w:pStyle w:val="P68B1DB1-TableParagraph14"/>
              <w:spacing w:before="108"/>
              <w:ind w:left="85"/>
              <w:jc w:val="both"/>
            </w:pPr>
            <w:r>
              <w:t>Gesamtrisikopositionsmessgröße</w:t>
            </w:r>
          </w:p>
          <w:p w14:paraId="7FE1B3AF" w14:textId="4B82BC74" w:rsidR="00696584" w:rsidRDefault="002C4F63">
            <w:pPr>
              <w:pStyle w:val="P68B1DB1-TableParagraph13"/>
              <w:spacing w:before="108"/>
              <w:ind w:left="85"/>
              <w:jc w:val="both"/>
            </w:pPr>
            <w:r>
              <w:t>Gesamtrisikoposition für die Verschuldungsquote nach COREP (LR): C 47.00;0290;</w:t>
            </w:r>
            <w:r w:rsidR="008E5478">
              <w:t>0010}</w:t>
            </w:r>
          </w:p>
          <w:p w14:paraId="7FE1B3B0" w14:textId="77777777" w:rsidR="00696584" w:rsidRDefault="002C4F63">
            <w:pPr>
              <w:pStyle w:val="P68B1DB1-TableParagraph13"/>
              <w:spacing w:before="108"/>
              <w:ind w:left="85"/>
              <w:jc w:val="both"/>
            </w:pPr>
            <w:r>
              <w:t>Für Institute und Unternehmen, die nicht nach Artikel 7 oder Artikel 10 der Verordnung (EU) Nr. 575/2013 ausgenommen sind, ist diese Angabe nicht erforderlich.</w:t>
            </w:r>
          </w:p>
        </w:tc>
      </w:tr>
      <w:tr w:rsidR="00696584" w14:paraId="7FE1B3B7" w14:textId="77777777">
        <w:tc>
          <w:tcPr>
            <w:tcW w:w="1064" w:type="dxa"/>
            <w:tcBorders>
              <w:top w:val="single" w:sz="4" w:space="0" w:color="1A171C"/>
              <w:left w:val="nil"/>
              <w:bottom w:val="single" w:sz="4" w:space="0" w:color="1A171C"/>
              <w:right w:val="single" w:sz="4" w:space="0" w:color="1A171C"/>
            </w:tcBorders>
          </w:tcPr>
          <w:p w14:paraId="7FE1B3B2" w14:textId="3946F821" w:rsidR="00696584" w:rsidRDefault="002C4F63">
            <w:pPr>
              <w:pStyle w:val="P68B1DB1-TableParagraph13"/>
            </w:pPr>
            <w:r>
              <w:t>0170</w:t>
            </w:r>
          </w:p>
        </w:tc>
        <w:tc>
          <w:tcPr>
            <w:tcW w:w="7962" w:type="dxa"/>
            <w:tcBorders>
              <w:top w:val="single" w:sz="4" w:space="0" w:color="1A171C"/>
              <w:left w:val="single" w:sz="4" w:space="0" w:color="1A171C"/>
              <w:bottom w:val="single" w:sz="4" w:space="0" w:color="1A171C"/>
              <w:right w:val="nil"/>
            </w:tcBorders>
          </w:tcPr>
          <w:p w14:paraId="7FE1B3B3" w14:textId="77777777" w:rsidR="00696584" w:rsidRDefault="002C4F63">
            <w:pPr>
              <w:pStyle w:val="P68B1DB1-TableParagraph14"/>
              <w:jc w:val="both"/>
              <w:rPr>
                <w:bCs/>
              </w:rPr>
            </w:pPr>
            <w:r>
              <w:t>Gesamte betriebliche Einnahmen</w:t>
            </w:r>
          </w:p>
          <w:p w14:paraId="7FE1B3B4" w14:textId="77777777" w:rsidR="00696584" w:rsidRDefault="00696584">
            <w:pPr>
              <w:pStyle w:val="TableParagraph"/>
              <w:jc w:val="both"/>
              <w:rPr>
                <w:rFonts w:ascii="Times New Roman" w:hAnsi="Times New Roman" w:cs="Times New Roman"/>
                <w:b/>
                <w:bCs/>
                <w:color w:val="000000" w:themeColor="text1"/>
                <w:sz w:val="20"/>
                <w:szCs w:val="20"/>
              </w:rPr>
            </w:pPr>
          </w:p>
          <w:p w14:paraId="7FE1B3B5" w14:textId="718494CA" w:rsidR="00696584" w:rsidRDefault="002C4F63">
            <w:pPr>
              <w:pStyle w:val="P68B1DB1-TableParagraph13"/>
              <w:jc w:val="both"/>
            </w:pPr>
            <w:r>
              <w:t>Gesamte betriebliche Erträge gemäß FINREP</w:t>
            </w:r>
            <w:r w:rsidR="008E5478">
              <w:t xml:space="preserve"> {</w:t>
            </w:r>
            <w:r>
              <w:t>F 02.00;355;010</w:t>
            </w:r>
            <w:r w:rsidR="008E5478">
              <w:t>}</w:t>
            </w:r>
          </w:p>
          <w:p w14:paraId="7FE1B3B6" w14:textId="77777777" w:rsidR="00696584" w:rsidRDefault="00696584">
            <w:pPr>
              <w:pStyle w:val="TableParagraph"/>
              <w:jc w:val="both"/>
              <w:rPr>
                <w:rFonts w:ascii="Times New Roman" w:hAnsi="Times New Roman" w:cs="Times New Roman"/>
                <w:b/>
                <w:bCs/>
                <w:color w:val="000000" w:themeColor="text1"/>
                <w:sz w:val="20"/>
                <w:szCs w:val="20"/>
              </w:rPr>
            </w:pPr>
          </w:p>
        </w:tc>
      </w:tr>
      <w:tr w:rsidR="00696584" w14:paraId="7FE1B3C2" w14:textId="77777777">
        <w:tc>
          <w:tcPr>
            <w:tcW w:w="0" w:type="auto"/>
            <w:tcBorders>
              <w:top w:val="single" w:sz="4" w:space="0" w:color="1A171C"/>
              <w:left w:val="nil"/>
              <w:bottom w:val="single" w:sz="4" w:space="0" w:color="1A171C"/>
              <w:right w:val="single" w:sz="4" w:space="0" w:color="1A171C"/>
            </w:tcBorders>
          </w:tcPr>
          <w:p w14:paraId="7FE1B3BD" w14:textId="66D829AD" w:rsidR="00696584" w:rsidRDefault="002C4F63">
            <w:pPr>
              <w:pStyle w:val="P68B1DB1-TableParagraph13"/>
              <w:spacing w:before="106"/>
              <w:ind w:left="-1"/>
            </w:pPr>
            <w:r>
              <w:t>0210</w:t>
            </w:r>
          </w:p>
        </w:tc>
        <w:tc>
          <w:tcPr>
            <w:tcW w:w="0" w:type="auto"/>
            <w:tcBorders>
              <w:top w:val="single" w:sz="4" w:space="0" w:color="1A171C"/>
              <w:left w:val="single" w:sz="4" w:space="0" w:color="1A171C"/>
              <w:bottom w:val="single" w:sz="4" w:space="0" w:color="1A171C"/>
              <w:right w:val="nil"/>
            </w:tcBorders>
          </w:tcPr>
          <w:p w14:paraId="7FE1B3BE" w14:textId="064D03BF" w:rsidR="00696584" w:rsidRDefault="002C4F63">
            <w:pPr>
              <w:pStyle w:val="P68B1DB1-TableParagraph14"/>
              <w:spacing w:before="108"/>
              <w:jc w:val="both"/>
            </w:pPr>
            <w:r>
              <w:t>Rechnungslegungs</w:t>
            </w:r>
            <w:r w:rsidR="002872FC">
              <w:t>standard</w:t>
            </w:r>
          </w:p>
          <w:p w14:paraId="6D8E3C0A" w14:textId="77777777" w:rsidR="00AB5152" w:rsidRDefault="002C4F63">
            <w:pPr>
              <w:pStyle w:val="P68B1DB1-TableParagraph13"/>
              <w:spacing w:before="108"/>
              <w:jc w:val="both"/>
            </w:pPr>
            <w:r>
              <w:t xml:space="preserve">Rechnungslegung des Unternehmens </w:t>
            </w:r>
          </w:p>
          <w:p w14:paraId="7FE1B3BF" w14:textId="3BB6C41C" w:rsidR="00696584" w:rsidRDefault="002C4F63">
            <w:pPr>
              <w:pStyle w:val="P68B1DB1-TableParagraph13"/>
              <w:spacing w:before="108"/>
              <w:jc w:val="both"/>
            </w:pPr>
            <w:r>
              <w:t>Folgende Abkürzungen sind einzutragen:</w:t>
            </w:r>
          </w:p>
          <w:p w14:paraId="7FE1B3C0" w14:textId="77777777" w:rsidR="00696584" w:rsidRDefault="002C4F63">
            <w:pPr>
              <w:pStyle w:val="P68B1DB1-TableParagraph13"/>
              <w:numPr>
                <w:ilvl w:val="0"/>
                <w:numId w:val="68"/>
              </w:numPr>
              <w:spacing w:before="108"/>
              <w:jc w:val="both"/>
            </w:pPr>
            <w:r>
              <w:t>IFRS</w:t>
            </w:r>
          </w:p>
          <w:p w14:paraId="7FE1B3C1" w14:textId="77777777" w:rsidR="00696584" w:rsidRDefault="002C4F63">
            <w:pPr>
              <w:pStyle w:val="P68B1DB1-TableParagraph13"/>
              <w:numPr>
                <w:ilvl w:val="0"/>
                <w:numId w:val="68"/>
              </w:numPr>
              <w:spacing w:before="108"/>
              <w:jc w:val="both"/>
            </w:pPr>
            <w:r>
              <w:t>nGAAP</w:t>
            </w:r>
          </w:p>
        </w:tc>
      </w:tr>
      <w:tr w:rsidR="00696584" w14:paraId="7FE1B3D6" w14:textId="77777777">
        <w:tc>
          <w:tcPr>
            <w:tcW w:w="0" w:type="auto"/>
            <w:tcBorders>
              <w:top w:val="single" w:sz="4" w:space="0" w:color="1A171C"/>
              <w:left w:val="nil"/>
              <w:bottom w:val="single" w:sz="4" w:space="0" w:color="1A171C"/>
              <w:right w:val="single" w:sz="4" w:space="0" w:color="1A171C"/>
            </w:tcBorders>
          </w:tcPr>
          <w:p w14:paraId="7FE1B3D3" w14:textId="4630F860" w:rsidR="00696584" w:rsidRDefault="002C4F63">
            <w:pPr>
              <w:pStyle w:val="P68B1DB1-TableParagraph13"/>
              <w:spacing w:before="106"/>
              <w:ind w:left="-1"/>
            </w:pPr>
            <w:r>
              <w:t>0260</w:t>
            </w:r>
          </w:p>
        </w:tc>
        <w:tc>
          <w:tcPr>
            <w:tcW w:w="0" w:type="auto"/>
            <w:tcBorders>
              <w:top w:val="single" w:sz="4" w:space="0" w:color="1A171C"/>
              <w:left w:val="single" w:sz="4" w:space="0" w:color="1A171C"/>
              <w:bottom w:val="single" w:sz="4" w:space="0" w:color="1A171C"/>
              <w:right w:val="nil"/>
            </w:tcBorders>
          </w:tcPr>
          <w:p w14:paraId="7FE1B3D4" w14:textId="5FB54654" w:rsidR="00696584" w:rsidRDefault="002C4F63">
            <w:pPr>
              <w:pStyle w:val="P68B1DB1-TableParagraph14"/>
              <w:spacing w:before="108"/>
              <w:jc w:val="both"/>
            </w:pPr>
            <w:r>
              <w:t xml:space="preserve">Anteil am konsolidierten Gesamtrisikobetrag </w:t>
            </w:r>
          </w:p>
          <w:p w14:paraId="7FE1B3D5" w14:textId="77777777" w:rsidR="00696584" w:rsidRDefault="002C4F63">
            <w:pPr>
              <w:pStyle w:val="P68B1DB1-TableParagraph13"/>
              <w:spacing w:before="108"/>
              <w:jc w:val="both"/>
              <w:rPr>
                <w:b/>
              </w:rPr>
            </w:pPr>
            <w:r>
              <w:t xml:space="preserve">Betrag, der dem Anteil des Unternehmens am konsolidierten Gesamtrisikobetrag der Gruppe entspricht, für die die Meldung erstellt wird. </w:t>
            </w:r>
          </w:p>
        </w:tc>
      </w:tr>
      <w:tr w:rsidR="00696584" w14:paraId="7FE1B3DA" w14:textId="77777777">
        <w:trPr>
          <w:trHeight w:val="749"/>
        </w:trPr>
        <w:tc>
          <w:tcPr>
            <w:tcW w:w="0" w:type="auto"/>
            <w:tcBorders>
              <w:top w:val="single" w:sz="4" w:space="0" w:color="1A171C"/>
              <w:left w:val="nil"/>
              <w:bottom w:val="single" w:sz="4" w:space="0" w:color="1A171C"/>
              <w:right w:val="single" w:sz="4" w:space="0" w:color="1A171C"/>
            </w:tcBorders>
          </w:tcPr>
          <w:p w14:paraId="7FE1B3D7" w14:textId="6D78C08C" w:rsidR="00696584" w:rsidRDefault="002C4F63">
            <w:pPr>
              <w:pStyle w:val="P68B1DB1-TableParagraph13"/>
              <w:spacing w:before="106"/>
              <w:ind w:left="-1"/>
            </w:pPr>
            <w:r>
              <w:t>0270</w:t>
            </w:r>
          </w:p>
        </w:tc>
        <w:tc>
          <w:tcPr>
            <w:tcW w:w="0" w:type="auto"/>
            <w:tcBorders>
              <w:top w:val="single" w:sz="4" w:space="0" w:color="1A171C"/>
              <w:left w:val="single" w:sz="4" w:space="0" w:color="1A171C"/>
              <w:bottom w:val="single" w:sz="4" w:space="0" w:color="1A171C"/>
              <w:right w:val="nil"/>
            </w:tcBorders>
          </w:tcPr>
          <w:p w14:paraId="7FE1B3D8" w14:textId="53955B53" w:rsidR="00696584" w:rsidRDefault="002872FC">
            <w:pPr>
              <w:pStyle w:val="P68B1DB1-TableParagraph14"/>
              <w:spacing w:before="108"/>
              <w:ind w:left="85"/>
              <w:jc w:val="both"/>
            </w:pPr>
            <w:r>
              <w:t>Anteil an der</w:t>
            </w:r>
            <w:r w:rsidR="002C4F63">
              <w:t xml:space="preserve"> konsolidierten Gesamtrisikopositionsmessgröße</w:t>
            </w:r>
          </w:p>
          <w:p w14:paraId="7FE1B3D9" w14:textId="61219862" w:rsidR="00696584" w:rsidRDefault="002C4F63">
            <w:pPr>
              <w:pStyle w:val="P68B1DB1-TableParagraph13"/>
              <w:spacing w:before="108"/>
              <w:ind w:left="85"/>
              <w:jc w:val="both"/>
              <w:rPr>
                <w:b/>
              </w:rPr>
            </w:pPr>
            <w:r>
              <w:t>Betrag, der dem Anteil des Unternehmens an der gesamten Risikoposition der Gruppe entspricht, für die die Meldung erstellt wird.</w:t>
            </w:r>
          </w:p>
        </w:tc>
      </w:tr>
      <w:tr w:rsidR="00696584" w14:paraId="7FE1B3DF" w14:textId="77777777">
        <w:trPr>
          <w:trHeight w:val="749"/>
        </w:trPr>
        <w:tc>
          <w:tcPr>
            <w:tcW w:w="1064" w:type="dxa"/>
            <w:tcBorders>
              <w:top w:val="single" w:sz="4" w:space="0" w:color="1A171C"/>
              <w:left w:val="nil"/>
              <w:bottom w:val="single" w:sz="4" w:space="0" w:color="1A171C"/>
              <w:right w:val="single" w:sz="4" w:space="0" w:color="1A171C"/>
            </w:tcBorders>
          </w:tcPr>
          <w:p w14:paraId="7FE1B3DB" w14:textId="60DFE076" w:rsidR="00696584" w:rsidRDefault="002C4F63">
            <w:pPr>
              <w:pStyle w:val="P68B1DB1-TableParagraph13"/>
            </w:pPr>
            <w:r>
              <w:t>0280</w:t>
            </w:r>
          </w:p>
        </w:tc>
        <w:tc>
          <w:tcPr>
            <w:tcW w:w="7962" w:type="dxa"/>
            <w:tcBorders>
              <w:top w:val="single" w:sz="4" w:space="0" w:color="1A171C"/>
              <w:left w:val="single" w:sz="4" w:space="0" w:color="1A171C"/>
              <w:bottom w:val="single" w:sz="4" w:space="0" w:color="1A171C"/>
              <w:right w:val="nil"/>
            </w:tcBorders>
          </w:tcPr>
          <w:p w14:paraId="7FE1B3DC" w14:textId="75821A54" w:rsidR="00696584" w:rsidRDefault="002C4F63">
            <w:pPr>
              <w:pStyle w:val="P68B1DB1-TableParagraph14"/>
              <w:jc w:val="both"/>
              <w:rPr>
                <w:bCs/>
              </w:rPr>
            </w:pPr>
            <w:r>
              <w:t>Beitrag zum konsolidierten Betriebsergebnis</w:t>
            </w:r>
          </w:p>
          <w:p w14:paraId="7FE1B3DD" w14:textId="77777777" w:rsidR="00696584" w:rsidRDefault="00696584">
            <w:pPr>
              <w:pStyle w:val="TableParagraph"/>
              <w:jc w:val="both"/>
              <w:rPr>
                <w:rFonts w:ascii="Times New Roman" w:hAnsi="Times New Roman" w:cs="Times New Roman"/>
                <w:color w:val="000000" w:themeColor="text1"/>
                <w:sz w:val="20"/>
                <w:szCs w:val="20"/>
              </w:rPr>
            </w:pPr>
          </w:p>
          <w:p w14:paraId="7FE1B3DE" w14:textId="1B38FEC1" w:rsidR="00696584" w:rsidRDefault="002C4F63">
            <w:pPr>
              <w:pStyle w:val="P68B1DB1-TableParagraph13"/>
              <w:jc w:val="both"/>
            </w:pPr>
            <w:r>
              <w:t>Betrag, der dem Anteil des Unternehmens am konsolidierten Gesamtergebnis der Gruppe entspricht.</w:t>
            </w:r>
          </w:p>
        </w:tc>
      </w:tr>
      <w:tr w:rsidR="00696584" w14:paraId="7FE1B3F3" w14:textId="77777777">
        <w:tc>
          <w:tcPr>
            <w:tcW w:w="0" w:type="auto"/>
            <w:tcBorders>
              <w:top w:val="single" w:sz="4" w:space="0" w:color="1A171C"/>
              <w:left w:val="nil"/>
              <w:bottom w:val="single" w:sz="4" w:space="0" w:color="1A171C"/>
              <w:right w:val="single" w:sz="4" w:space="0" w:color="1A171C"/>
            </w:tcBorders>
          </w:tcPr>
          <w:p w14:paraId="7FE1B3EF" w14:textId="434D8A04" w:rsidR="00696584" w:rsidRDefault="002C4F63">
            <w:pPr>
              <w:pStyle w:val="P68B1DB1-TableParagraph13"/>
              <w:spacing w:before="106"/>
              <w:ind w:left="-1"/>
            </w:pPr>
            <w:r>
              <w:t>0320</w:t>
            </w:r>
          </w:p>
        </w:tc>
        <w:tc>
          <w:tcPr>
            <w:tcW w:w="0" w:type="auto"/>
            <w:tcBorders>
              <w:top w:val="single" w:sz="4" w:space="0" w:color="1A171C"/>
              <w:left w:val="single" w:sz="4" w:space="0" w:color="1A171C"/>
              <w:bottom w:val="single" w:sz="4" w:space="0" w:color="1A171C"/>
              <w:right w:val="nil"/>
            </w:tcBorders>
          </w:tcPr>
          <w:p w14:paraId="7FE1B3F0" w14:textId="23DD6E0C" w:rsidR="00696584" w:rsidRDefault="002C4F63">
            <w:pPr>
              <w:pStyle w:val="P68B1DB1-TableParagraph14"/>
              <w:spacing w:before="108"/>
              <w:ind w:left="85"/>
              <w:jc w:val="both"/>
              <w:rPr>
                <w:bCs/>
              </w:rPr>
            </w:pPr>
            <w:r>
              <w:t xml:space="preserve">Relevante </w:t>
            </w:r>
            <w:r w:rsidR="002872FC">
              <w:t>Rechtsträger</w:t>
            </w:r>
          </w:p>
          <w:p w14:paraId="7FE1B3F1" w14:textId="75C7B029" w:rsidR="00696584" w:rsidRDefault="002C4F63">
            <w:pPr>
              <w:pStyle w:val="P68B1DB1-TableParagraph13"/>
              <w:spacing w:before="108"/>
              <w:jc w:val="both"/>
            </w:pPr>
            <w:r>
              <w:t>Hier ist anzugeben, ob das Unternehmen als relevanter Rechtsträger im Sinne von Artikel 2 der vorliegenden Verordnung einzustufen ist.</w:t>
            </w:r>
          </w:p>
          <w:p w14:paraId="7FE1B3F2" w14:textId="0E42CD28" w:rsidR="00696584" w:rsidRDefault="00696584">
            <w:pPr>
              <w:pStyle w:val="TableParagraph"/>
              <w:spacing w:before="108"/>
              <w:jc w:val="both"/>
              <w:rPr>
                <w:rFonts w:ascii="Times New Roman" w:hAnsi="Times New Roman" w:cs="Times New Roman"/>
                <w:color w:val="000000" w:themeColor="text1"/>
                <w:sz w:val="20"/>
                <w:szCs w:val="20"/>
              </w:rPr>
            </w:pPr>
          </w:p>
        </w:tc>
      </w:tr>
    </w:tbl>
    <w:p w14:paraId="7FE1B491" w14:textId="77777777" w:rsidR="00696584" w:rsidRDefault="00696584">
      <w:pPr>
        <w:rPr>
          <w:rFonts w:ascii="Times New Roman" w:hAnsi="Times New Roman" w:cs="Times New Roman"/>
        </w:rPr>
      </w:pPr>
    </w:p>
    <w:p w14:paraId="7FE1B492" w14:textId="77777777" w:rsidR="00696584" w:rsidRDefault="002C4F63">
      <w:pPr>
        <w:pStyle w:val="P68B1DB1-Instructionsberschrift25"/>
        <w:numPr>
          <w:ilvl w:val="1"/>
          <w:numId w:val="49"/>
        </w:numPr>
        <w:ind w:left="357" w:hanging="357"/>
      </w:pPr>
      <w:bookmarkStart w:id="21" w:name="_Toc81454178"/>
      <w:bookmarkStart w:id="22" w:name="_Toc209533582"/>
      <w:r>
        <w:t>Z 01.02 – Eigentümerstruktur (ORG 2)</w:t>
      </w:r>
      <w:bookmarkEnd w:id="21"/>
      <w:bookmarkEnd w:id="22"/>
    </w:p>
    <w:p w14:paraId="7FE1B493" w14:textId="77777777" w:rsidR="00696584" w:rsidRDefault="002C4F63">
      <w:pPr>
        <w:pStyle w:val="Instructionsberschrift3"/>
      </w:pPr>
      <w:r>
        <w:t>Allgemeine Bemerkungen</w:t>
      </w:r>
    </w:p>
    <w:p w14:paraId="50A00AA9" w14:textId="4C43F2CE" w:rsidR="00696584" w:rsidRDefault="002C4F63">
      <w:pPr>
        <w:pStyle w:val="P68B1DB1-InstructionsText26"/>
        <w:numPr>
          <w:ilvl w:val="0"/>
          <w:numId w:val="234"/>
        </w:numPr>
        <w:spacing w:before="0"/>
      </w:pPr>
      <w:r>
        <w:t xml:space="preserve">Dieser Meldebogen gibt Aufschluss über die rechtliche </w:t>
      </w:r>
      <w:r w:rsidR="00AB5152">
        <w:t xml:space="preserve">Struktur </w:t>
      </w:r>
      <w:r>
        <w:t xml:space="preserve">und die Eigentümerstruktur der Gruppe. Für alle Unternehmen der Gruppe, die in den Konsolidierungskreis der Rechnungslegung einbezogen sind, wird ein einziger Meldebogen übermittelt. </w:t>
      </w:r>
    </w:p>
    <w:p w14:paraId="7FE1B494" w14:textId="57A6BCE4" w:rsidR="00696584" w:rsidRDefault="002C4F63">
      <w:pPr>
        <w:pStyle w:val="P68B1DB1-InstructionsText26"/>
        <w:numPr>
          <w:ilvl w:val="0"/>
          <w:numId w:val="234"/>
        </w:numPr>
        <w:spacing w:before="0"/>
      </w:pPr>
      <w:r>
        <w:t xml:space="preserve">Von Abwicklungseinheiten, die nicht Teil der Gruppe sind, die einer Beaufsichtigung auf konsolidierter Basis unterliegt, wird ebenfalls erwartet, dass sie diesen Bericht vorlegen. </w:t>
      </w:r>
    </w:p>
    <w:p w14:paraId="7FE1B496" w14:textId="77777777" w:rsidR="00696584" w:rsidRDefault="002C4F63">
      <w:pPr>
        <w:pStyle w:val="P68B1DB1-InstructionsText26"/>
        <w:numPr>
          <w:ilvl w:val="0"/>
          <w:numId w:val="234"/>
        </w:numPr>
        <w:spacing w:before="0"/>
      </w:pPr>
      <w:r>
        <w:t xml:space="preserve">In diesem Meldebogen sind alle Anteilseigner (oder gleichwertiger Art) der Unternehmen der Gruppe mit mehr als 2 % des Stammkapitals (oder eines gleichwertigen Kapitals) oder </w:t>
      </w:r>
      <w:r>
        <w:lastRenderedPageBreak/>
        <w:t>der Stimmrechte sowie alle Beteiligungen (oder gleichwertiger Anteile) von Unternehmen der Gruppe aufzuführen.</w:t>
      </w:r>
    </w:p>
    <w:p w14:paraId="7FE1B497" w14:textId="77777777" w:rsidR="00696584" w:rsidRDefault="002C4F63">
      <w:pPr>
        <w:pStyle w:val="P68B1DB1-Instructionsberschrift312"/>
      </w:pPr>
      <w:r>
        <w:t>Erläuterungen zu bestimmten Positionen</w:t>
      </w:r>
    </w:p>
    <w:tbl>
      <w:tblPr>
        <w:tblW w:w="0" w:type="auto"/>
        <w:tblCellMar>
          <w:top w:w="57" w:type="dxa"/>
          <w:left w:w="57" w:type="dxa"/>
          <w:bottom w:w="57" w:type="dxa"/>
          <w:right w:w="0" w:type="dxa"/>
        </w:tblCellMar>
        <w:tblLook w:val="01E0" w:firstRow="1" w:lastRow="1" w:firstColumn="1" w:lastColumn="1" w:noHBand="0" w:noVBand="0"/>
      </w:tblPr>
      <w:tblGrid>
        <w:gridCol w:w="729"/>
        <w:gridCol w:w="8297"/>
      </w:tblGrid>
      <w:tr w:rsidR="00696584" w14:paraId="7FE1B49B" w14:textId="77777777">
        <w:trPr>
          <w:tblHeader/>
        </w:trPr>
        <w:tc>
          <w:tcPr>
            <w:tcW w:w="0" w:type="auto"/>
            <w:tcBorders>
              <w:top w:val="single" w:sz="4" w:space="0" w:color="1A171C"/>
              <w:left w:val="nil"/>
              <w:bottom w:val="single" w:sz="4" w:space="0" w:color="1A171C"/>
              <w:right w:val="single" w:sz="4" w:space="0" w:color="1A171C"/>
            </w:tcBorders>
            <w:shd w:val="clear" w:color="auto" w:fill="E4E5E5"/>
          </w:tcPr>
          <w:p w14:paraId="7FE1B499" w14:textId="77777777" w:rsidR="00696584" w:rsidRDefault="002C4F63">
            <w:pPr>
              <w:pStyle w:val="P68B1DB1-TableParagraph13"/>
              <w:spacing w:before="66"/>
              <w:rPr>
                <w:rFonts w:eastAsia="Cambria"/>
              </w:rPr>
            </w:pPr>
            <w:r>
              <w:t>Spalten</w:t>
            </w:r>
          </w:p>
        </w:tc>
        <w:tc>
          <w:tcPr>
            <w:tcW w:w="0" w:type="auto"/>
            <w:tcBorders>
              <w:top w:val="single" w:sz="4" w:space="0" w:color="1A171C"/>
              <w:left w:val="single" w:sz="4" w:space="0" w:color="1A171C"/>
              <w:bottom w:val="single" w:sz="4" w:space="0" w:color="1A171C"/>
              <w:right w:val="nil"/>
            </w:tcBorders>
            <w:shd w:val="clear" w:color="auto" w:fill="E4E5E5"/>
          </w:tcPr>
          <w:p w14:paraId="7FE1B49A" w14:textId="77777777" w:rsidR="00696584" w:rsidRDefault="002C4F63">
            <w:pPr>
              <w:pStyle w:val="P68B1DB1-TableParagraph13"/>
              <w:spacing w:before="66"/>
              <w:ind w:right="1"/>
              <w:jc w:val="center"/>
              <w:rPr>
                <w:rFonts w:eastAsia="Cambria"/>
              </w:rPr>
            </w:pPr>
            <w:r>
              <w:t>Erläuterungen</w:t>
            </w:r>
          </w:p>
        </w:tc>
      </w:tr>
      <w:tr w:rsidR="00696584" w14:paraId="7FE1B49E" w14:textId="77777777">
        <w:tc>
          <w:tcPr>
            <w:tcW w:w="0" w:type="auto"/>
            <w:tcBorders>
              <w:top w:val="single" w:sz="4" w:space="0" w:color="1A171C"/>
              <w:left w:val="nil"/>
              <w:bottom w:val="single" w:sz="4" w:space="0" w:color="1A171C"/>
              <w:right w:val="single" w:sz="4" w:space="0" w:color="1A171C"/>
            </w:tcBorders>
          </w:tcPr>
          <w:p w14:paraId="7FE1B49C" w14:textId="77777777" w:rsidR="00696584" w:rsidRDefault="002C4F63">
            <w:pPr>
              <w:pStyle w:val="P68B1DB1-TableParagraph14"/>
              <w:spacing w:before="106"/>
              <w:ind w:left="-1"/>
              <w:rPr>
                <w:rFonts w:eastAsia="Cambria"/>
              </w:rPr>
            </w:pPr>
            <w:r>
              <w:t>0010-030</w:t>
            </w:r>
          </w:p>
        </w:tc>
        <w:tc>
          <w:tcPr>
            <w:tcW w:w="0" w:type="auto"/>
            <w:tcBorders>
              <w:top w:val="single" w:sz="4" w:space="0" w:color="1A171C"/>
              <w:left w:val="single" w:sz="4" w:space="0" w:color="1A171C"/>
              <w:bottom w:val="single" w:sz="4" w:space="0" w:color="1A171C"/>
              <w:right w:val="nil"/>
            </w:tcBorders>
          </w:tcPr>
          <w:p w14:paraId="7FE1B49D" w14:textId="77777777" w:rsidR="00696584" w:rsidRDefault="002C4F63">
            <w:pPr>
              <w:pStyle w:val="P68B1DB1-TableParagraph14"/>
              <w:spacing w:before="108"/>
              <w:ind w:left="85"/>
            </w:pPr>
            <w:r>
              <w:t>Anleger</w:t>
            </w:r>
          </w:p>
        </w:tc>
      </w:tr>
      <w:tr w:rsidR="00696584" w14:paraId="7FE1B4A2" w14:textId="77777777">
        <w:tc>
          <w:tcPr>
            <w:tcW w:w="0" w:type="auto"/>
            <w:tcBorders>
              <w:top w:val="single" w:sz="4" w:space="0" w:color="1A171C"/>
              <w:left w:val="nil"/>
              <w:bottom w:val="single" w:sz="4" w:space="0" w:color="1A171C"/>
              <w:right w:val="single" w:sz="4" w:space="0" w:color="1A171C"/>
            </w:tcBorders>
          </w:tcPr>
          <w:p w14:paraId="7FE1B49F" w14:textId="77777777" w:rsidR="00696584" w:rsidRDefault="002C4F63">
            <w:pPr>
              <w:pStyle w:val="P68B1DB1-TableParagraph13"/>
              <w:spacing w:before="106"/>
              <w:ind w:left="-1"/>
              <w:rPr>
                <w:rFonts w:eastAsia="Cambria"/>
              </w:rPr>
            </w:pPr>
            <w:r>
              <w:t>0010</w:t>
            </w:r>
          </w:p>
        </w:tc>
        <w:tc>
          <w:tcPr>
            <w:tcW w:w="0" w:type="auto"/>
            <w:tcBorders>
              <w:top w:val="single" w:sz="4" w:space="0" w:color="1A171C"/>
              <w:left w:val="single" w:sz="4" w:space="0" w:color="1A171C"/>
              <w:bottom w:val="single" w:sz="4" w:space="0" w:color="1A171C"/>
              <w:right w:val="nil"/>
            </w:tcBorders>
            <w:vAlign w:val="center"/>
          </w:tcPr>
          <w:p w14:paraId="7FE1B4A0" w14:textId="77777777" w:rsidR="00696584" w:rsidRDefault="002C4F63">
            <w:pPr>
              <w:pStyle w:val="P68B1DB1-TableParagraph14"/>
              <w:spacing w:before="108"/>
              <w:ind w:left="85"/>
              <w:jc w:val="both"/>
              <w:rPr>
                <w:bCs/>
              </w:rPr>
            </w:pPr>
            <w:r>
              <w:t xml:space="preserve">Bezeichnung </w:t>
            </w:r>
          </w:p>
          <w:p w14:paraId="7FE1B4A1" w14:textId="00D3959C" w:rsidR="00696584" w:rsidRDefault="00AB5152">
            <w:pPr>
              <w:pStyle w:val="P68B1DB1-TableParagraph17"/>
              <w:spacing w:before="108"/>
              <w:ind w:left="85"/>
              <w:rPr>
                <w:rFonts w:eastAsia="Book Antiqua"/>
              </w:rPr>
            </w:pPr>
            <w:r>
              <w:t>Der vollständige Name</w:t>
            </w:r>
            <w:r w:rsidR="002C4F63">
              <w:t xml:space="preserve"> oder </w:t>
            </w:r>
            <w:r>
              <w:t xml:space="preserve">die vollständige </w:t>
            </w:r>
            <w:r w:rsidR="002C4F63">
              <w:t>Bezeichnung des Investors.</w:t>
            </w:r>
          </w:p>
        </w:tc>
      </w:tr>
      <w:tr w:rsidR="00696584" w14:paraId="7FE1B4AA" w14:textId="77777777">
        <w:tc>
          <w:tcPr>
            <w:tcW w:w="0" w:type="auto"/>
            <w:tcBorders>
              <w:top w:val="single" w:sz="4" w:space="0" w:color="1A171C"/>
              <w:left w:val="nil"/>
              <w:bottom w:val="single" w:sz="4" w:space="0" w:color="1A171C"/>
              <w:right w:val="single" w:sz="4" w:space="0" w:color="1A171C"/>
            </w:tcBorders>
          </w:tcPr>
          <w:p w14:paraId="7FE1B4A3" w14:textId="77777777" w:rsidR="00696584" w:rsidRDefault="002C4F63">
            <w:pPr>
              <w:pStyle w:val="P68B1DB1-TableParagraph13"/>
              <w:spacing w:before="106"/>
              <w:ind w:left="-1"/>
            </w:pPr>
            <w:r>
              <w:t>0020</w:t>
            </w:r>
          </w:p>
        </w:tc>
        <w:tc>
          <w:tcPr>
            <w:tcW w:w="0" w:type="auto"/>
            <w:tcBorders>
              <w:top w:val="single" w:sz="4" w:space="0" w:color="1A171C"/>
              <w:left w:val="single" w:sz="4" w:space="0" w:color="1A171C"/>
              <w:bottom w:val="single" w:sz="4" w:space="0" w:color="1A171C"/>
              <w:right w:val="nil"/>
            </w:tcBorders>
            <w:vAlign w:val="center"/>
          </w:tcPr>
          <w:p w14:paraId="7FE1B4A4" w14:textId="501F2D94" w:rsidR="00696584" w:rsidRDefault="002C4F63">
            <w:pPr>
              <w:pStyle w:val="P68B1DB1-TableParagraph14"/>
              <w:spacing w:before="108"/>
              <w:ind w:left="85"/>
              <w:jc w:val="both"/>
              <w:rPr>
                <w:bCs/>
              </w:rPr>
            </w:pPr>
            <w:r>
              <w:t xml:space="preserve">Code </w:t>
            </w:r>
          </w:p>
          <w:p w14:paraId="7FE1B4A5" w14:textId="77777777" w:rsidR="00696584" w:rsidRDefault="002C4F63">
            <w:pPr>
              <w:pStyle w:val="P68B1DB1-TableParagraph17"/>
              <w:spacing w:before="108"/>
              <w:ind w:left="85"/>
            </w:pPr>
            <w:r>
              <w:t>Spezifische Kennung des Rechtsträgers oder Investors aus Spalte 0010.</w:t>
            </w:r>
          </w:p>
          <w:p w14:paraId="7FE1B4A6" w14:textId="77777777" w:rsidR="00696584" w:rsidRDefault="002C4F63">
            <w:pPr>
              <w:pStyle w:val="P68B1DB1-TableParagraph17"/>
              <w:spacing w:before="108"/>
              <w:ind w:left="85"/>
            </w:pPr>
            <w:r>
              <w:t>Ist der Investor ein Unternehmen der Gruppe, so muss die Kennung mit der im Meldebogen Z 01.01 (ORG 1) angegebenen Kennung übereinstimmen. Ist der Investor kein Unternehmen der Gruppe, so muss seine Kennung</w:t>
            </w:r>
          </w:p>
          <w:p w14:paraId="7FE1B4A7" w14:textId="77777777" w:rsidR="00696584" w:rsidRDefault="002C4F63">
            <w:pPr>
              <w:pStyle w:val="P68B1DB1-TableParagraph17"/>
              <w:numPr>
                <w:ilvl w:val="0"/>
                <w:numId w:val="64"/>
              </w:numPr>
              <w:spacing w:before="108"/>
            </w:pPr>
            <w:r>
              <w:t>bei Instituten mit Rechtsträgerkennung (LEI) der 20-stellige alphanumerische LEI-Code;</w:t>
            </w:r>
          </w:p>
          <w:p w14:paraId="7FE1B4A8" w14:textId="7457E21A" w:rsidR="00696584" w:rsidRDefault="002C4F63">
            <w:pPr>
              <w:pStyle w:val="P68B1DB1-TableParagraph17"/>
              <w:numPr>
                <w:ilvl w:val="0"/>
                <w:numId w:val="64"/>
              </w:numPr>
              <w:spacing w:before="108"/>
            </w:pPr>
            <w:r>
              <w:t>falls nicht verfügbar, ist der MFI-Code oder ein in der Union einheitlicher Code zu verwenden.</w:t>
            </w:r>
          </w:p>
          <w:p w14:paraId="7FE1B4A9" w14:textId="77777777" w:rsidR="00696584" w:rsidRDefault="002C4F63">
            <w:pPr>
              <w:pStyle w:val="P68B1DB1-TableParagraph17"/>
              <w:spacing w:before="108"/>
              <w:ind w:left="85"/>
            </w:pPr>
            <w:r>
              <w:t>Für beide Fälle ist der Code spezifisch und wird durchgängig in allen Meldebögen verwendet.</w:t>
            </w:r>
          </w:p>
        </w:tc>
      </w:tr>
      <w:tr w:rsidR="00696584" w14:paraId="7FE1B4B3" w14:textId="77777777">
        <w:tc>
          <w:tcPr>
            <w:tcW w:w="0" w:type="auto"/>
            <w:tcBorders>
              <w:top w:val="single" w:sz="4" w:space="0" w:color="1A171C"/>
              <w:left w:val="nil"/>
              <w:bottom w:val="single" w:sz="4" w:space="0" w:color="1A171C"/>
              <w:right w:val="single" w:sz="4" w:space="0" w:color="1A171C"/>
            </w:tcBorders>
          </w:tcPr>
          <w:p w14:paraId="7FE1B4AB" w14:textId="77777777" w:rsidR="00696584" w:rsidRDefault="002C4F63">
            <w:pPr>
              <w:pStyle w:val="P68B1DB1-TableParagraph13"/>
              <w:spacing w:before="106"/>
              <w:ind w:left="-1"/>
            </w:pPr>
            <w:r>
              <w:t>0030</w:t>
            </w:r>
          </w:p>
        </w:tc>
        <w:tc>
          <w:tcPr>
            <w:tcW w:w="0" w:type="auto"/>
            <w:tcBorders>
              <w:top w:val="single" w:sz="4" w:space="0" w:color="1A171C"/>
              <w:left w:val="single" w:sz="4" w:space="0" w:color="1A171C"/>
              <w:bottom w:val="single" w:sz="4" w:space="0" w:color="1A171C"/>
              <w:right w:val="nil"/>
            </w:tcBorders>
            <w:vAlign w:val="center"/>
          </w:tcPr>
          <w:p w14:paraId="7FE1B4AC" w14:textId="77777777" w:rsidR="00696584" w:rsidRDefault="002C4F63">
            <w:pPr>
              <w:pStyle w:val="P68B1DB1-TableParagraph14"/>
              <w:spacing w:before="108"/>
              <w:ind w:left="85"/>
              <w:jc w:val="both"/>
              <w:rPr>
                <w:bCs/>
              </w:rPr>
            </w:pPr>
            <w:r>
              <w:t>Art des Codes</w:t>
            </w:r>
          </w:p>
          <w:p w14:paraId="560AED27" w14:textId="77777777" w:rsidR="00696584" w:rsidRDefault="002C4F63">
            <w:pPr>
              <w:pStyle w:val="P68B1DB1-Normal18"/>
            </w:pPr>
            <w:r>
              <w:t xml:space="preserve">Ist der Investor ein Unternehmen der Gruppe, so muss die Kennung mit der im Meldebogen Z 01.01 (ORG 1) angegebenen Kennung übereinstimmen. </w:t>
            </w:r>
          </w:p>
          <w:p w14:paraId="2DC78FBF" w14:textId="77777777" w:rsidR="00696584" w:rsidRDefault="00696584">
            <w:pPr>
              <w:rPr>
                <w:rFonts w:ascii="Times New Roman" w:hAnsi="Times New Roman" w:cs="Times New Roman"/>
                <w:sz w:val="20"/>
                <w:szCs w:val="20"/>
              </w:rPr>
            </w:pPr>
          </w:p>
          <w:p w14:paraId="3C91DA4D" w14:textId="535D128A" w:rsidR="00696584" w:rsidRDefault="002C4F63">
            <w:pPr>
              <w:pStyle w:val="P68B1DB1-Normal19"/>
              <w:rPr>
                <w:rFonts w:eastAsiaTheme="minorHAnsi"/>
              </w:rPr>
            </w:pPr>
            <w:r>
              <w:t>Auswahl unter folgenden Optionen: „LEI-Code“, „MFI-Code“ oder „Andere Art der Kennung als LEI-Code oder MFI-Code“.</w:t>
            </w:r>
          </w:p>
          <w:p w14:paraId="7FE1B4B2" w14:textId="5724718A" w:rsidR="00696584" w:rsidRDefault="002C4F63">
            <w:pPr>
              <w:pStyle w:val="P68B1DB1-TableParagraph17"/>
              <w:spacing w:before="108"/>
            </w:pPr>
            <w:r>
              <w:t xml:space="preserve">Zur Identifizierung von Unternehmen oder Anlegern sind in allen Meldebögen </w:t>
            </w:r>
            <w:r w:rsidR="00AB5152">
              <w:t>die Kombination aus</w:t>
            </w:r>
            <w:r>
              <w:t xml:space="preserve"> Code und Art einheitlich zu verwenden.</w:t>
            </w:r>
          </w:p>
        </w:tc>
      </w:tr>
      <w:tr w:rsidR="00696584" w14:paraId="7FE1B4B6" w14:textId="77777777">
        <w:tc>
          <w:tcPr>
            <w:tcW w:w="0" w:type="auto"/>
            <w:tcBorders>
              <w:top w:val="single" w:sz="4" w:space="0" w:color="1A171C"/>
              <w:left w:val="nil"/>
              <w:bottom w:val="single" w:sz="4" w:space="0" w:color="1A171C"/>
              <w:right w:val="single" w:sz="4" w:space="0" w:color="1A171C"/>
            </w:tcBorders>
          </w:tcPr>
          <w:p w14:paraId="7FE1B4B4" w14:textId="106DD83A" w:rsidR="00696584" w:rsidRDefault="002C4F63">
            <w:pPr>
              <w:pStyle w:val="P68B1DB1-TableParagraph13"/>
              <w:spacing w:before="106"/>
              <w:ind w:left="-1"/>
            </w:pPr>
            <w:r>
              <w:t>0040-070</w:t>
            </w:r>
          </w:p>
        </w:tc>
        <w:tc>
          <w:tcPr>
            <w:tcW w:w="0" w:type="auto"/>
            <w:tcBorders>
              <w:top w:val="single" w:sz="4" w:space="0" w:color="1A171C"/>
              <w:left w:val="single" w:sz="4" w:space="0" w:color="1A171C"/>
              <w:bottom w:val="single" w:sz="4" w:space="0" w:color="1A171C"/>
              <w:right w:val="nil"/>
            </w:tcBorders>
            <w:vAlign w:val="center"/>
          </w:tcPr>
          <w:p w14:paraId="7FE1B4B5" w14:textId="77777777" w:rsidR="00696584" w:rsidRDefault="002C4F63">
            <w:pPr>
              <w:pStyle w:val="P68B1DB1-TableParagraph14"/>
              <w:spacing w:before="108"/>
              <w:ind w:left="85"/>
              <w:jc w:val="both"/>
              <w:rPr>
                <w:bCs/>
              </w:rPr>
            </w:pPr>
            <w:r>
              <w:t>Beteiligungsunternehmen</w:t>
            </w:r>
          </w:p>
        </w:tc>
      </w:tr>
      <w:tr w:rsidR="00696584" w14:paraId="7FE1B4BA" w14:textId="77777777">
        <w:tc>
          <w:tcPr>
            <w:tcW w:w="0" w:type="auto"/>
            <w:tcBorders>
              <w:top w:val="single" w:sz="4" w:space="0" w:color="1A171C"/>
              <w:left w:val="nil"/>
              <w:bottom w:val="single" w:sz="4" w:space="0" w:color="1A171C"/>
              <w:right w:val="single" w:sz="4" w:space="0" w:color="1A171C"/>
            </w:tcBorders>
          </w:tcPr>
          <w:p w14:paraId="7FE1B4B7" w14:textId="610CD32E" w:rsidR="00696584" w:rsidRDefault="002C4F63">
            <w:pPr>
              <w:pStyle w:val="P68B1DB1-TableParagraph13"/>
              <w:spacing w:before="106"/>
              <w:ind w:left="-1"/>
            </w:pPr>
            <w:r>
              <w:t>0040</w:t>
            </w:r>
          </w:p>
        </w:tc>
        <w:tc>
          <w:tcPr>
            <w:tcW w:w="0" w:type="auto"/>
            <w:tcBorders>
              <w:top w:val="single" w:sz="4" w:space="0" w:color="1A171C"/>
              <w:left w:val="single" w:sz="4" w:space="0" w:color="1A171C"/>
              <w:bottom w:val="single" w:sz="4" w:space="0" w:color="1A171C"/>
              <w:right w:val="nil"/>
            </w:tcBorders>
            <w:vAlign w:val="center"/>
          </w:tcPr>
          <w:p w14:paraId="7FE1B4B8" w14:textId="77777777" w:rsidR="00696584" w:rsidRDefault="002C4F63">
            <w:pPr>
              <w:pStyle w:val="P68B1DB1-TableParagraph14"/>
              <w:spacing w:before="108"/>
              <w:ind w:left="85"/>
              <w:jc w:val="both"/>
              <w:rPr>
                <w:bCs/>
              </w:rPr>
            </w:pPr>
            <w:r>
              <w:t xml:space="preserve">Bezeichnung </w:t>
            </w:r>
          </w:p>
          <w:p w14:paraId="7FE1B4B9" w14:textId="2C249A38" w:rsidR="00696584" w:rsidRDefault="00AB5152">
            <w:pPr>
              <w:pStyle w:val="P68B1DB1-TableParagraph13"/>
              <w:spacing w:before="108"/>
              <w:ind w:left="85"/>
              <w:jc w:val="both"/>
              <w:rPr>
                <w:bCs/>
              </w:rPr>
            </w:pPr>
            <w:r>
              <w:t>Der vollständige Name oder die vollständige</w:t>
            </w:r>
            <w:r w:rsidR="002C4F63">
              <w:t xml:space="preserve"> Bezeichnung des Investitionsobjekts.</w:t>
            </w:r>
          </w:p>
        </w:tc>
      </w:tr>
      <w:tr w:rsidR="00696584" w14:paraId="7FE1B4C2" w14:textId="77777777">
        <w:tc>
          <w:tcPr>
            <w:tcW w:w="0" w:type="auto"/>
            <w:tcBorders>
              <w:top w:val="single" w:sz="4" w:space="0" w:color="1A171C"/>
              <w:left w:val="nil"/>
              <w:bottom w:val="single" w:sz="4" w:space="0" w:color="1A171C"/>
              <w:right w:val="single" w:sz="4" w:space="0" w:color="1A171C"/>
            </w:tcBorders>
          </w:tcPr>
          <w:p w14:paraId="7FE1B4BB" w14:textId="440E68B2" w:rsidR="00696584" w:rsidRDefault="002C4F63">
            <w:pPr>
              <w:pStyle w:val="P68B1DB1-TableParagraph13"/>
              <w:spacing w:before="106"/>
              <w:ind w:left="-1"/>
            </w:pPr>
            <w:r>
              <w:t>0050</w:t>
            </w:r>
          </w:p>
        </w:tc>
        <w:tc>
          <w:tcPr>
            <w:tcW w:w="0" w:type="auto"/>
            <w:tcBorders>
              <w:top w:val="single" w:sz="4" w:space="0" w:color="1A171C"/>
              <w:left w:val="single" w:sz="4" w:space="0" w:color="1A171C"/>
              <w:bottom w:val="single" w:sz="4" w:space="0" w:color="1A171C"/>
              <w:right w:val="nil"/>
            </w:tcBorders>
            <w:vAlign w:val="center"/>
          </w:tcPr>
          <w:p w14:paraId="7FE1B4BC" w14:textId="133D1D14" w:rsidR="00696584" w:rsidRDefault="002C4F63">
            <w:pPr>
              <w:pStyle w:val="P68B1DB1-TableParagraph14"/>
              <w:spacing w:before="108"/>
              <w:ind w:left="85"/>
              <w:jc w:val="both"/>
              <w:rPr>
                <w:bCs/>
              </w:rPr>
            </w:pPr>
            <w:r>
              <w:t xml:space="preserve">Code </w:t>
            </w:r>
          </w:p>
          <w:p w14:paraId="7FE1B4BD" w14:textId="77777777" w:rsidR="00696584" w:rsidRDefault="002C4F63">
            <w:pPr>
              <w:pStyle w:val="P68B1DB1-TableParagraph13"/>
              <w:spacing w:before="108"/>
              <w:ind w:left="85"/>
              <w:jc w:val="both"/>
              <w:rPr>
                <w:bCs/>
              </w:rPr>
            </w:pPr>
            <w:r>
              <w:t>Spezifische Kennung des Rechtsträgers oder Investors aus Spalte 0010.</w:t>
            </w:r>
          </w:p>
          <w:p w14:paraId="7FE1B4BE" w14:textId="77777777" w:rsidR="00696584" w:rsidRDefault="002C4F63">
            <w:pPr>
              <w:pStyle w:val="P68B1DB1-TableParagraph13"/>
              <w:spacing w:before="108"/>
              <w:ind w:left="85"/>
              <w:jc w:val="both"/>
              <w:rPr>
                <w:bCs/>
              </w:rPr>
            </w:pPr>
            <w:r>
              <w:t>Ist der Beteiligungsnehmer ein Unternehmen der Gruppe, so muss die Kennung mit der im Meldebogen Z 01.01 (ORG 1) angegebenen Kennung übereinstimmen. Ist der investierte Dienstleister kein Unternehmen der Gruppe, so muss seine Kennung</w:t>
            </w:r>
          </w:p>
          <w:p w14:paraId="4B3351AF" w14:textId="77777777" w:rsidR="00696584" w:rsidRDefault="002C4F63">
            <w:pPr>
              <w:pStyle w:val="P68B1DB1-TableParagraph13"/>
              <w:numPr>
                <w:ilvl w:val="0"/>
                <w:numId w:val="64"/>
              </w:numPr>
              <w:spacing w:before="108"/>
              <w:rPr>
                <w:bCs/>
              </w:rPr>
            </w:pPr>
            <w:r>
              <w:t>bei Instituten mit Rechtsträgerkennung (LEI) der 20-stellige alphanumerische LEI-Code;</w:t>
            </w:r>
          </w:p>
          <w:p w14:paraId="7FE1B4C0" w14:textId="1326FF82" w:rsidR="00696584" w:rsidRDefault="002C4F63">
            <w:pPr>
              <w:pStyle w:val="P68B1DB1-TableParagraph13"/>
              <w:numPr>
                <w:ilvl w:val="0"/>
                <w:numId w:val="64"/>
              </w:numPr>
              <w:spacing w:before="108"/>
              <w:rPr>
                <w:bCs/>
              </w:rPr>
            </w:pPr>
            <w:r>
              <w:t>—</w:t>
            </w:r>
            <w:r>
              <w:tab/>
              <w:t>falls nicht verfügbar, ist der MFI-Code oder ein in der Union einheitlicher Code zu verwenden.</w:t>
            </w:r>
          </w:p>
          <w:p w14:paraId="7FE1B4C1" w14:textId="77777777" w:rsidR="00696584" w:rsidRDefault="002C4F63">
            <w:pPr>
              <w:pStyle w:val="P68B1DB1-TableParagraph13"/>
              <w:spacing w:before="108"/>
              <w:ind w:left="85"/>
              <w:jc w:val="both"/>
              <w:rPr>
                <w:b/>
                <w:bCs/>
              </w:rPr>
            </w:pPr>
            <w:r>
              <w:t>Für beide Fälle ist der Code spezifisch und wird durchgängig in allen Meldebögen verwendet.</w:t>
            </w:r>
          </w:p>
        </w:tc>
      </w:tr>
      <w:tr w:rsidR="00696584" w14:paraId="7FE1B4CC" w14:textId="77777777">
        <w:tc>
          <w:tcPr>
            <w:tcW w:w="0" w:type="auto"/>
            <w:tcBorders>
              <w:top w:val="single" w:sz="4" w:space="0" w:color="1A171C"/>
              <w:left w:val="nil"/>
              <w:bottom w:val="single" w:sz="4" w:space="0" w:color="1A171C"/>
              <w:right w:val="single" w:sz="4" w:space="0" w:color="1A171C"/>
            </w:tcBorders>
          </w:tcPr>
          <w:p w14:paraId="7FE1B4C3" w14:textId="5A24D200" w:rsidR="00696584" w:rsidRDefault="002C4F63">
            <w:pPr>
              <w:pStyle w:val="P68B1DB1-TableParagraph13"/>
              <w:spacing w:before="106"/>
              <w:ind w:left="-1"/>
            </w:pPr>
            <w:r>
              <w:t>0060</w:t>
            </w:r>
          </w:p>
        </w:tc>
        <w:tc>
          <w:tcPr>
            <w:tcW w:w="0" w:type="auto"/>
            <w:tcBorders>
              <w:top w:val="single" w:sz="4" w:space="0" w:color="1A171C"/>
              <w:left w:val="single" w:sz="4" w:space="0" w:color="1A171C"/>
              <w:bottom w:val="single" w:sz="4" w:space="0" w:color="1A171C"/>
              <w:right w:val="nil"/>
            </w:tcBorders>
            <w:vAlign w:val="center"/>
          </w:tcPr>
          <w:p w14:paraId="7FE1B4C4" w14:textId="77777777" w:rsidR="00696584" w:rsidRDefault="002C4F63">
            <w:pPr>
              <w:pStyle w:val="P68B1DB1-TableParagraph14"/>
              <w:spacing w:before="108"/>
              <w:ind w:left="85"/>
              <w:jc w:val="both"/>
              <w:rPr>
                <w:bCs/>
              </w:rPr>
            </w:pPr>
            <w:r>
              <w:t>Art des Codes</w:t>
            </w:r>
          </w:p>
          <w:p w14:paraId="7FE1B4C5" w14:textId="77777777" w:rsidR="00696584" w:rsidRDefault="002C4F63">
            <w:pPr>
              <w:pStyle w:val="P68B1DB1-TableParagraph13"/>
              <w:spacing w:before="108"/>
              <w:ind w:left="85"/>
              <w:jc w:val="both"/>
              <w:rPr>
                <w:bCs/>
              </w:rPr>
            </w:pPr>
            <w:r>
              <w:t xml:space="preserve">Ist der Beteiligungsnehmer ein Unternehmen der Gruppe, so muss die Kennung mit der im Meldebogen Z 01.01 (ORG 1) angegebenen Kennung übereinstimmen. </w:t>
            </w:r>
          </w:p>
          <w:p w14:paraId="783CEC76" w14:textId="13C64C21" w:rsidR="00696584" w:rsidRDefault="002C4F63">
            <w:pPr>
              <w:pStyle w:val="P68B1DB1-TableParagraph13"/>
              <w:spacing w:before="108"/>
              <w:ind w:left="85"/>
              <w:jc w:val="both"/>
              <w:rPr>
                <w:bCs/>
              </w:rPr>
            </w:pPr>
            <w:r>
              <w:lastRenderedPageBreak/>
              <w:t>Auswahl unter folgenden Optionen: „LEI-Code“, „MFI-Code“ oder „Andere Art der Kennung als LEI-Code oder MFI-Code“.</w:t>
            </w:r>
          </w:p>
          <w:p w14:paraId="7FE1B4CA" w14:textId="092DA599" w:rsidR="00696584" w:rsidRDefault="002C4F63">
            <w:pPr>
              <w:pStyle w:val="P68B1DB1-TableParagraph17"/>
              <w:spacing w:before="108"/>
            </w:pPr>
            <w:r>
              <w:t>Die Art des Codes ist stets anzugeben.</w:t>
            </w:r>
          </w:p>
          <w:p w14:paraId="7FE1B4CB" w14:textId="77777777" w:rsidR="00696584" w:rsidRDefault="002C4F63">
            <w:pPr>
              <w:pStyle w:val="P68B1DB1-TableParagraph13"/>
              <w:spacing w:before="108"/>
              <w:ind w:left="85"/>
              <w:rPr>
                <w:b/>
                <w:bCs/>
              </w:rPr>
            </w:pPr>
            <w:r>
              <w:t>Zur Identifizierung von Unternehmen oder Beteiligungsunternehmen sind in allen Meldebögen das Paar Code und Typ einheitlich zu verwenden.</w:t>
            </w:r>
          </w:p>
        </w:tc>
      </w:tr>
      <w:tr w:rsidR="00696584" w14:paraId="7FE1B4D2" w14:textId="77777777">
        <w:tc>
          <w:tcPr>
            <w:tcW w:w="0" w:type="auto"/>
            <w:tcBorders>
              <w:top w:val="single" w:sz="4" w:space="0" w:color="1A171C"/>
              <w:left w:val="nil"/>
              <w:bottom w:val="single" w:sz="4" w:space="0" w:color="1A171C"/>
              <w:right w:val="single" w:sz="4" w:space="0" w:color="1A171C"/>
            </w:tcBorders>
          </w:tcPr>
          <w:p w14:paraId="7FE1B4CD" w14:textId="77777777" w:rsidR="00696584" w:rsidRDefault="002C4F63">
            <w:pPr>
              <w:pStyle w:val="P68B1DB1-TableParagraph13"/>
              <w:spacing w:before="106"/>
              <w:ind w:left="-1"/>
            </w:pPr>
            <w:r>
              <w:lastRenderedPageBreak/>
              <w:t>0070</w:t>
            </w:r>
          </w:p>
        </w:tc>
        <w:tc>
          <w:tcPr>
            <w:tcW w:w="0" w:type="auto"/>
            <w:tcBorders>
              <w:top w:val="single" w:sz="4" w:space="0" w:color="1A171C"/>
              <w:left w:val="single" w:sz="4" w:space="0" w:color="1A171C"/>
              <w:bottom w:val="single" w:sz="4" w:space="0" w:color="1A171C"/>
              <w:right w:val="nil"/>
            </w:tcBorders>
            <w:vAlign w:val="center"/>
          </w:tcPr>
          <w:p w14:paraId="7FE1B4CE" w14:textId="77777777" w:rsidR="00696584" w:rsidRDefault="002C4F63">
            <w:pPr>
              <w:pStyle w:val="P68B1DB1-TableParagraph14"/>
              <w:spacing w:before="108"/>
              <w:ind w:left="85"/>
            </w:pPr>
            <w:r>
              <w:t>Internationale Zweigstelle</w:t>
            </w:r>
          </w:p>
          <w:p w14:paraId="7FE1B4CF" w14:textId="77777777" w:rsidR="00696584" w:rsidRDefault="002C4F63">
            <w:pPr>
              <w:pStyle w:val="P68B1DB1-TableParagraph13"/>
              <w:spacing w:before="108"/>
              <w:ind w:left="85"/>
              <w:jc w:val="both"/>
            </w:pPr>
            <w:r>
              <w:t>Folgende Abkürzungen sind einzutragen:</w:t>
            </w:r>
          </w:p>
          <w:p w14:paraId="7FE1B4D0" w14:textId="0F2F9A3D" w:rsidR="00696584" w:rsidRDefault="002C4F63">
            <w:pPr>
              <w:pStyle w:val="P68B1DB1-TableParagraph13"/>
              <w:spacing w:before="108"/>
              <w:ind w:left="85"/>
              <w:jc w:val="both"/>
            </w:pPr>
            <w:r>
              <w:t>Ja – falls es sich bei dem Investor um eine internationale Niederlassung des Investors handelt.</w:t>
            </w:r>
          </w:p>
          <w:p w14:paraId="7FE1B4D1" w14:textId="303CCEBB" w:rsidR="00696584" w:rsidRDefault="002C4F63">
            <w:pPr>
              <w:pStyle w:val="P68B1DB1-TableParagraph13"/>
              <w:spacing w:before="108"/>
              <w:ind w:left="85"/>
              <w:jc w:val="both"/>
              <w:rPr>
                <w:b/>
                <w:bCs/>
              </w:rPr>
            </w:pPr>
            <w:r>
              <w:t>Nein – im Falle eines Rechtsträgers.</w:t>
            </w:r>
          </w:p>
        </w:tc>
      </w:tr>
      <w:tr w:rsidR="00696584" w14:paraId="7FE1B4D5" w14:textId="77777777">
        <w:tc>
          <w:tcPr>
            <w:tcW w:w="0" w:type="auto"/>
            <w:tcBorders>
              <w:top w:val="single" w:sz="4" w:space="0" w:color="1A171C"/>
              <w:left w:val="nil"/>
              <w:bottom w:val="single" w:sz="4" w:space="0" w:color="1A171C"/>
              <w:right w:val="single" w:sz="4" w:space="0" w:color="1A171C"/>
            </w:tcBorders>
          </w:tcPr>
          <w:p w14:paraId="7FE1B4D3" w14:textId="44267444" w:rsidR="00696584" w:rsidRDefault="002C4F63">
            <w:pPr>
              <w:pStyle w:val="P68B1DB1-TableParagraph13"/>
              <w:spacing w:before="106"/>
              <w:ind w:left="-1"/>
            </w:pPr>
            <w:r>
              <w:t>0080-090</w:t>
            </w:r>
          </w:p>
        </w:tc>
        <w:tc>
          <w:tcPr>
            <w:tcW w:w="0" w:type="auto"/>
            <w:tcBorders>
              <w:top w:val="single" w:sz="4" w:space="0" w:color="1A171C"/>
              <w:left w:val="single" w:sz="4" w:space="0" w:color="1A171C"/>
              <w:bottom w:val="single" w:sz="4" w:space="0" w:color="1A171C"/>
              <w:right w:val="nil"/>
            </w:tcBorders>
            <w:vAlign w:val="center"/>
          </w:tcPr>
          <w:p w14:paraId="7FE1B4D4" w14:textId="77777777" w:rsidR="00696584" w:rsidRDefault="002C4F63">
            <w:pPr>
              <w:pStyle w:val="P68B1DB1-TableParagraph14"/>
              <w:spacing w:before="108"/>
              <w:ind w:left="85"/>
              <w:jc w:val="both"/>
              <w:rPr>
                <w:bCs/>
              </w:rPr>
            </w:pPr>
            <w:r>
              <w:t>Eigentum</w:t>
            </w:r>
          </w:p>
        </w:tc>
      </w:tr>
      <w:tr w:rsidR="00696584" w14:paraId="7FE1B4D9" w14:textId="77777777">
        <w:tc>
          <w:tcPr>
            <w:tcW w:w="0" w:type="auto"/>
            <w:tcBorders>
              <w:top w:val="single" w:sz="4" w:space="0" w:color="1A171C"/>
              <w:left w:val="nil"/>
              <w:bottom w:val="single" w:sz="4" w:space="0" w:color="1A171C"/>
              <w:right w:val="single" w:sz="4" w:space="0" w:color="1A171C"/>
            </w:tcBorders>
          </w:tcPr>
          <w:p w14:paraId="7FE1B4D6" w14:textId="124739DC" w:rsidR="00696584" w:rsidRDefault="002C4F63">
            <w:pPr>
              <w:pStyle w:val="P68B1DB1-TableParagraph13"/>
              <w:spacing w:before="106"/>
              <w:ind w:left="-1"/>
            </w:pPr>
            <w:r>
              <w:t>0080</w:t>
            </w:r>
          </w:p>
        </w:tc>
        <w:tc>
          <w:tcPr>
            <w:tcW w:w="0" w:type="auto"/>
            <w:tcBorders>
              <w:top w:val="single" w:sz="4" w:space="0" w:color="1A171C"/>
              <w:left w:val="single" w:sz="4" w:space="0" w:color="1A171C"/>
              <w:bottom w:val="single" w:sz="4" w:space="0" w:color="1A171C"/>
              <w:right w:val="nil"/>
            </w:tcBorders>
          </w:tcPr>
          <w:p w14:paraId="7FE1B4D7" w14:textId="77777777" w:rsidR="00696584" w:rsidRDefault="002C4F63">
            <w:pPr>
              <w:pStyle w:val="P68B1DB1-TableParagraph14"/>
              <w:spacing w:before="108"/>
              <w:ind w:left="85"/>
              <w:jc w:val="both"/>
            </w:pPr>
            <w:r>
              <w:t>Aktienkapital</w:t>
            </w:r>
          </w:p>
          <w:p w14:paraId="7FE1B4D8" w14:textId="77777777" w:rsidR="00696584" w:rsidRDefault="002C4F63">
            <w:pPr>
              <w:pStyle w:val="P68B1DB1-TableParagraph17"/>
              <w:spacing w:before="108"/>
              <w:ind w:left="85"/>
              <w:jc w:val="both"/>
            </w:pPr>
            <w:r>
              <w:t>Betrag des Aktienkapitals des Investors (ohne Rücklagen). Im Falle einer internationalen Zweigniederlassung ist das Feld leer.</w:t>
            </w:r>
          </w:p>
        </w:tc>
      </w:tr>
      <w:tr w:rsidR="00696584" w14:paraId="7FE1B4DD" w14:textId="77777777">
        <w:tc>
          <w:tcPr>
            <w:tcW w:w="0" w:type="auto"/>
            <w:tcBorders>
              <w:top w:val="single" w:sz="4" w:space="0" w:color="1A171C"/>
              <w:left w:val="nil"/>
              <w:bottom w:val="single" w:sz="4" w:space="0" w:color="1A171C"/>
              <w:right w:val="single" w:sz="4" w:space="0" w:color="1A171C"/>
            </w:tcBorders>
          </w:tcPr>
          <w:p w14:paraId="7FE1B4DA" w14:textId="518368A4" w:rsidR="00696584" w:rsidRDefault="002C4F63">
            <w:pPr>
              <w:pStyle w:val="P68B1DB1-TableParagraph13"/>
              <w:spacing w:before="106"/>
              <w:ind w:left="-1"/>
            </w:pPr>
            <w:r>
              <w:t>0090</w:t>
            </w:r>
          </w:p>
        </w:tc>
        <w:tc>
          <w:tcPr>
            <w:tcW w:w="0" w:type="auto"/>
            <w:tcBorders>
              <w:top w:val="single" w:sz="4" w:space="0" w:color="1A171C"/>
              <w:left w:val="single" w:sz="4" w:space="0" w:color="1A171C"/>
              <w:bottom w:val="single" w:sz="4" w:space="0" w:color="1A171C"/>
              <w:right w:val="nil"/>
            </w:tcBorders>
          </w:tcPr>
          <w:p w14:paraId="7FE1B4DB" w14:textId="77777777" w:rsidR="00696584" w:rsidRDefault="002C4F63">
            <w:pPr>
              <w:pStyle w:val="P68B1DB1-TableParagraph14"/>
              <w:spacing w:before="108"/>
              <w:ind w:left="85"/>
              <w:rPr>
                <w:rFonts w:eastAsia="Book Antiqua"/>
              </w:rPr>
            </w:pPr>
            <w:r>
              <w:t>Stimmrechte im Unternehmen</w:t>
            </w:r>
          </w:p>
          <w:p w14:paraId="7FE1B4DC" w14:textId="77777777" w:rsidR="00696584" w:rsidRDefault="002C4F63">
            <w:pPr>
              <w:pStyle w:val="P68B1DB1-TableParagraph17"/>
              <w:spacing w:before="108"/>
              <w:ind w:left="85"/>
              <w:jc w:val="both"/>
              <w:rPr>
                <w:b/>
              </w:rPr>
            </w:pPr>
            <w:r>
              <w:t>Prozentualer Anteil der vom Investor gehaltenen Stimmrechte. Diese Angabe ist nur erforderlich, wenn nicht jede Aktie das gleiche Stimmrecht besitzt (1 Aktie = 1 Stimme) und somit die Stimmrechte nicht das Aktienkapital abbilden. Im Falle einer internationalen Zweigniederlassung ist das Feld leer.</w:t>
            </w:r>
          </w:p>
        </w:tc>
      </w:tr>
    </w:tbl>
    <w:p w14:paraId="7FE1B4DE" w14:textId="77777777" w:rsidR="00696584" w:rsidRDefault="00696584">
      <w:pPr>
        <w:rPr>
          <w:rFonts w:ascii="Times New Roman" w:hAnsi="Times New Roman" w:cs="Times New Roman"/>
        </w:rPr>
      </w:pPr>
    </w:p>
    <w:p w14:paraId="7FE1B4DF" w14:textId="77777777" w:rsidR="00696584" w:rsidRDefault="00696584">
      <w:pPr>
        <w:rPr>
          <w:rFonts w:ascii="Times New Roman" w:hAnsi="Times New Roman" w:cs="Times New Roman"/>
        </w:rPr>
      </w:pPr>
    </w:p>
    <w:p w14:paraId="7FE1B4E1" w14:textId="77777777" w:rsidR="00696584" w:rsidRDefault="002C4F63">
      <w:pPr>
        <w:pStyle w:val="P68B1DB1-Instructionsberschrift25"/>
        <w:numPr>
          <w:ilvl w:val="1"/>
          <w:numId w:val="49"/>
        </w:numPr>
        <w:ind w:left="357" w:hanging="357"/>
      </w:pPr>
      <w:bookmarkStart w:id="23" w:name="_Toc80891720"/>
      <w:bookmarkStart w:id="24" w:name="_Toc81454179"/>
      <w:bookmarkStart w:id="25" w:name="_Toc81485494"/>
      <w:bookmarkStart w:id="26" w:name="_Toc81485571"/>
      <w:bookmarkStart w:id="27" w:name="_Toc81485692"/>
      <w:bookmarkStart w:id="28" w:name="_Toc81485976"/>
      <w:bookmarkStart w:id="29" w:name="_Toc160027976"/>
      <w:bookmarkStart w:id="30" w:name="_Toc160028048"/>
      <w:bookmarkStart w:id="31" w:name="_Toc160028120"/>
      <w:bookmarkStart w:id="32" w:name="_Toc161034536"/>
      <w:bookmarkStart w:id="33" w:name="_Toc162265133"/>
      <w:bookmarkStart w:id="34" w:name="_Toc162265658"/>
      <w:bookmarkStart w:id="35" w:name="_Toc162265727"/>
      <w:bookmarkStart w:id="36" w:name="_Toc162266072"/>
      <w:bookmarkStart w:id="37" w:name="_Toc163639533"/>
      <w:bookmarkStart w:id="38" w:name="_Toc164263618"/>
      <w:bookmarkStart w:id="39" w:name="_Toc164263705"/>
      <w:bookmarkStart w:id="40" w:name="_Toc164263779"/>
      <w:bookmarkStart w:id="41" w:name="_Toc164263833"/>
      <w:bookmarkStart w:id="42" w:name="_Toc164271331"/>
      <w:bookmarkStart w:id="43" w:name="_Toc164271383"/>
      <w:bookmarkStart w:id="44" w:name="_Toc167799447"/>
      <w:bookmarkStart w:id="45" w:name="_Toc172723003"/>
      <w:bookmarkStart w:id="46" w:name="_Toc172723101"/>
      <w:bookmarkStart w:id="47" w:name="_Toc172723197"/>
      <w:bookmarkStart w:id="48" w:name="_Toc172723341"/>
      <w:bookmarkStart w:id="49" w:name="_Toc172723393"/>
      <w:bookmarkStart w:id="50" w:name="_Toc172723451"/>
      <w:bookmarkStart w:id="51" w:name="_Toc172723518"/>
      <w:bookmarkStart w:id="52" w:name="_Toc184218411"/>
      <w:bookmarkStart w:id="53" w:name="_Toc492542322"/>
      <w:bookmarkStart w:id="54" w:name="_Toc81454180"/>
      <w:bookmarkStart w:id="55" w:name="_Toc209533583"/>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r>
        <w:t>Z 02.00 – Struktur der Verbindlichkeiten (LIAB 1)</w:t>
      </w:r>
      <w:bookmarkEnd w:id="53"/>
      <w:bookmarkEnd w:id="54"/>
      <w:bookmarkEnd w:id="55"/>
    </w:p>
    <w:p w14:paraId="7FE1B4E2" w14:textId="77777777" w:rsidR="00696584" w:rsidRDefault="002C4F63">
      <w:pPr>
        <w:pStyle w:val="Instructionsberschrift3"/>
      </w:pPr>
      <w:r>
        <w:t>Allgemeine Bemerkungen</w:t>
      </w:r>
    </w:p>
    <w:p w14:paraId="7FE1B4E3" w14:textId="190D578F" w:rsidR="00696584" w:rsidRDefault="002C4F63">
      <w:pPr>
        <w:pStyle w:val="P68B1DB1-InstructionsText26"/>
        <w:numPr>
          <w:ilvl w:val="0"/>
          <w:numId w:val="233"/>
        </w:numPr>
        <w:spacing w:before="0"/>
      </w:pPr>
      <w:r>
        <w:t>In diesem Meldebogen sind granulare Angaben zur Struktur der Verbindlichkeiten des Unternehmens oder der Gruppe zu machen. Die Verbindlichkeiten werden nach vom Bail-in betroffenen und vom Bail-in ausgeschlossenen Verbindlichkeiten aufgeschlüsselt. Des Weiteren wird nach Verbindlichkeitenkategorien, Gegenparteienkategorien und Fälligkeiten untergliedert.</w:t>
      </w:r>
    </w:p>
    <w:p w14:paraId="7FE1B4E4" w14:textId="77777777" w:rsidR="00696584" w:rsidRDefault="002C4F63">
      <w:pPr>
        <w:pStyle w:val="P68B1DB1-InstructionsText26"/>
        <w:numPr>
          <w:ilvl w:val="0"/>
          <w:numId w:val="233"/>
        </w:numPr>
        <w:spacing w:before="0"/>
      </w:pPr>
      <w:r>
        <w:t>Ist in diesem Meldebogen eine Untergliederung nach der Fälligkeit vorgesehen, so ist die Restlaufzeit die Zeit bis zur vertraglichen Fälligkeit. Abweichend davon gilt Folgendes:</w:t>
      </w:r>
    </w:p>
    <w:p w14:paraId="7FE1B4E5" w14:textId="77777777" w:rsidR="00696584" w:rsidRDefault="002C4F63">
      <w:pPr>
        <w:pStyle w:val="P68B1DB1-InstructionsText26"/>
        <w:numPr>
          <w:ilvl w:val="1"/>
          <w:numId w:val="233"/>
        </w:numPr>
        <w:spacing w:before="0"/>
      </w:pPr>
      <w:r>
        <w:t>Umfasst ein Instrument berücksichtigungsfähiger Verbindlichkeiten eine Rückzahlungsoption für den Inhaber, die vor der ursprünglich festgelegten Laufzeit des Instruments ausübbar ist, so endet für die Zwecke von Absatz 1 die Laufzeit des Instruments zum frühestmöglichen Zeitpunkt, zu dem der Inhaber die Rückzahlungsoption ausüben und die Tilgung oder Rückzahlung des Instruments fordern kann.</w:t>
      </w:r>
    </w:p>
    <w:p w14:paraId="7FE1B4E6" w14:textId="77777777" w:rsidR="00696584" w:rsidRDefault="002C4F63">
      <w:pPr>
        <w:pStyle w:val="P68B1DB1-InstructionsText26"/>
        <w:numPr>
          <w:ilvl w:val="1"/>
          <w:numId w:val="233"/>
        </w:numPr>
        <w:spacing w:before="0"/>
      </w:pPr>
      <w:r>
        <w:t>Umfasst ein Instrument berücksichtigungsfähiger Verbindlichkeiten einen Anreiz für den Emittenten, das Instrument vor der ursprünglich festgelegten Fälligkeit des Instruments zu kündigen, vorzeitig zu tilgen bzw. zurückzuzahlen oder vorzeitig zurückzuzahlen, so ist die Laufzeit des Instruments der frühestmögliche Zeitpunkt, zu dem der Emittent diese Option ausüben und die Tilgung bzw. Rückzahlung des Instruments fordern kann.</w:t>
      </w:r>
    </w:p>
    <w:p w14:paraId="7FE1B4E8" w14:textId="77777777" w:rsidR="00696584" w:rsidRDefault="002C4F63">
      <w:pPr>
        <w:pStyle w:val="P68B1DB1-InstructionsText26"/>
        <w:numPr>
          <w:ilvl w:val="0"/>
          <w:numId w:val="233"/>
        </w:numPr>
        <w:spacing w:before="0"/>
      </w:pPr>
      <w:r>
        <w:lastRenderedPageBreak/>
        <w:t>Im Falle von außerplanmäßigen Tilgungszahlungen wird der Kapitalbetrag aufgeteilt und den entsprechenden Restlaufzeitenkategorien zugerechnet. Gegebenenfalls wird die Laufzeit für den Kapitalbetrag und für die aufgelaufenen Zinsen getrennt berücksichtigt.</w:t>
      </w:r>
    </w:p>
    <w:p w14:paraId="7FE1B4E9" w14:textId="7225004D" w:rsidR="00696584" w:rsidRDefault="002C4F63">
      <w:pPr>
        <w:pStyle w:val="P68B1DB1-InstructionsText26"/>
        <w:numPr>
          <w:ilvl w:val="0"/>
          <w:numId w:val="233"/>
        </w:numPr>
        <w:spacing w:before="0"/>
      </w:pPr>
      <w:r>
        <w:t>In einigen spezifischen Fällen hängt die Laufzeit eines bestimmten Instruments von äußeren Faktoren ab, auf die das Institut wenig oder keinen Einfluss hat. In solchen Fällen gilt der erste Termin, an dem derartige Ereignisse zur Rückzahlung führen können, als frühester Rückzahlungstermin.</w:t>
      </w:r>
    </w:p>
    <w:p w14:paraId="7FE1B4EA" w14:textId="77777777" w:rsidR="00696584" w:rsidRDefault="002C4F63">
      <w:pPr>
        <w:pStyle w:val="P68B1DB1-InstructionsText26"/>
        <w:numPr>
          <w:ilvl w:val="0"/>
          <w:numId w:val="233"/>
        </w:numPr>
        <w:spacing w:before="0"/>
      </w:pPr>
      <w:r>
        <w:t>In anderen Fällen sehen Verträge keinen spezifischen Fälligkeitstermin vor, wie beispielsweise bei Einlagen auf Sicht oder über Nacht. In diesen Fällen gelten die Verbindlichkeiten als mit einer möglichen Laufzeit zum ersten möglichen Termin, d. h. der nächste Tag/ein Tag nach dem Meldetermin.</w:t>
      </w:r>
    </w:p>
    <w:p w14:paraId="7FE1B4EB" w14:textId="7998FDEF" w:rsidR="00696584" w:rsidRDefault="002C4F63">
      <w:pPr>
        <w:pStyle w:val="P68B1DB1-InstructionsText26"/>
        <w:numPr>
          <w:ilvl w:val="0"/>
          <w:numId w:val="233"/>
        </w:numPr>
        <w:spacing w:before="0"/>
      </w:pPr>
      <w:r>
        <w:t>Bei Einlagen unterscheidet die Deckung durch die Richtlinie über Einlagensicherungssysteme (DGSD) nicht notwendigerweise zwischen den Laufzeiten, die als gedeckt angesehen werden sollten, falls verschiedene Laufzeiten bestehen. Zur Aufteilung des nicht gedeckten Teils in Laufzeitkategorien sollten Institute einen anteiligen Ansatz auf die Gesamtdeckung anwenden und den nicht gedeckten Teil entsprechend über die Laufzeit der zugrunde liegenden Einlagen verteilen, es sei denn, es gelten spezielle Vorschriften, die sich aus der Umsetzung der Richtlinie 2014/49/EU in nationales Recht ergeben.</w:t>
      </w:r>
    </w:p>
    <w:p w14:paraId="7FE1B4EC" w14:textId="333CC915" w:rsidR="00696584" w:rsidRDefault="002C4F63">
      <w:pPr>
        <w:pStyle w:val="P68B1DB1-InstructionsText26"/>
        <w:numPr>
          <w:ilvl w:val="0"/>
          <w:numId w:val="233"/>
        </w:numPr>
        <w:spacing w:before="0"/>
      </w:pPr>
      <w:r>
        <w:t>Erfüllt eine Verbindlichkeit mehrere Kriterien und kann sie in mehreren Zeilen im Bereich von r0110 bis r0210 gemeldet werden, so ist sie nur in einer Zeile mit der niedrigsten Zeilennummer in diesem Meldebogen anzugeben.</w:t>
      </w:r>
    </w:p>
    <w:p w14:paraId="7FE1B4ED" w14:textId="0B0F63BC" w:rsidR="00696584" w:rsidRDefault="002C4F63">
      <w:pPr>
        <w:pStyle w:val="P68B1DB1-InstructionsText26"/>
        <w:numPr>
          <w:ilvl w:val="0"/>
          <w:numId w:val="233"/>
        </w:numPr>
      </w:pPr>
      <w:r>
        <w:t>Beträge in diesem Meldebogen sind sowohl als ausstehende Beträge als auch als Buchwert auszuweisen:</w:t>
      </w:r>
    </w:p>
    <w:p w14:paraId="7FE1B4EE" w14:textId="25BD00D1" w:rsidR="00696584" w:rsidRDefault="002C4F63">
      <w:pPr>
        <w:pStyle w:val="P68B1DB1-InstructionsText26"/>
        <w:numPr>
          <w:ilvl w:val="1"/>
          <w:numId w:val="233"/>
        </w:numPr>
      </w:pPr>
      <w:r>
        <w:t xml:space="preserve">Der ausstehende Betrag einer Forderung oder eines Instruments ist die Summe aus dem Kapitalbetrag der Forderung oder des Instruments und den darauf aufgelaufenen Zinsen. Der ausstehende geschuldete Betrag entspricht dem Wert der Forderung, die der Gläubiger im Rahmen eines Insolvenzverfahrens angemeldet hat, ohne Rückstellungen für die Aufrechnung von Insolvenzen zu berücksichtigen, und enthält keine </w:t>
      </w:r>
      <w:r w:rsidR="002872FC">
        <w:t xml:space="preserve">Agios </w:t>
      </w:r>
      <w:r>
        <w:t xml:space="preserve">oder </w:t>
      </w:r>
      <w:r w:rsidR="002872FC">
        <w:t xml:space="preserve">Disagios </w:t>
      </w:r>
      <w:r>
        <w:t xml:space="preserve">auf </w:t>
      </w:r>
      <w:r w:rsidR="002872FC">
        <w:t>Verbindlichkeiten</w:t>
      </w:r>
      <w:r>
        <w:t xml:space="preserve">instrumente. In den Fällen, in denen keine Forderung im Rahmen eines Insolvenzverfahrens angemeldet wird, wird davon ausgegangen, dass der ausstehende Betrag gleich Null ist. </w:t>
      </w:r>
    </w:p>
    <w:p w14:paraId="7FE1B4EF" w14:textId="77777777" w:rsidR="00696584" w:rsidRDefault="002C4F63">
      <w:pPr>
        <w:pStyle w:val="P68B1DB1-InstructionsText26"/>
        <w:numPr>
          <w:ilvl w:val="1"/>
          <w:numId w:val="233"/>
        </w:numPr>
      </w:pPr>
      <w:r>
        <w:t xml:space="preserve">Unter dem Buchwert ist der Betrag zu verstehen, der nach den IFRS bzw. den NGAAP bei FINREP-Meldungen auszuweisen ist. Andernfalls sind die im Rahmen von NGAAP gemeldeten Zahlen zu verwenden. </w:t>
      </w:r>
    </w:p>
    <w:p w14:paraId="7FE1B4F1" w14:textId="1849D60B" w:rsidR="00696584" w:rsidRDefault="002C4F63">
      <w:pPr>
        <w:pStyle w:val="P68B1DB1-InstructionsText26"/>
        <w:numPr>
          <w:ilvl w:val="0"/>
          <w:numId w:val="233"/>
        </w:numPr>
        <w:spacing w:before="0"/>
      </w:pPr>
      <w:r>
        <w:t>Dieser Bericht bezieht sich auf Datenpunkte, die die Stelle möglicherweise bereits in FINREP und COREP für denselben Stichtag und denselben Meldeumfang gemeldet hat (siehe Verweise auf COREP/FINREP in den Anweisungen). Ist dies der Fall, muss das berichtende Unternehmen diese Daten nicht ein zweites Mal melden. Beispielsweise müssen COREP/FINREP-Datenpunkte hier gemeldet werden, wenn das meldende Unternehmen von den finanziellen oder aufsichtsrechtlichen Berichtspflichten befreit wurde; in diesem Fall ist dieser Bericht die einzige Datenquelle für die Abwicklungsbehörden für diese Datenpunkte.</w:t>
      </w:r>
    </w:p>
    <w:p w14:paraId="7FE1B4F2" w14:textId="77777777" w:rsidR="00696584" w:rsidRDefault="002C4F63">
      <w:pPr>
        <w:pStyle w:val="P68B1DB1-Instructionsberschrift312"/>
      </w:pPr>
      <w:r>
        <w:t>Erläuterungen zu bestimmten Positionen</w:t>
      </w:r>
    </w:p>
    <w:tbl>
      <w:tblPr>
        <w:tblW w:w="0" w:type="auto"/>
        <w:tblCellMar>
          <w:top w:w="57" w:type="dxa"/>
          <w:left w:w="57" w:type="dxa"/>
          <w:bottom w:w="57" w:type="dxa"/>
          <w:right w:w="0" w:type="dxa"/>
        </w:tblCellMar>
        <w:tblLook w:val="01E0" w:firstRow="1" w:lastRow="1" w:firstColumn="1" w:lastColumn="1" w:noHBand="0" w:noVBand="0"/>
      </w:tblPr>
      <w:tblGrid>
        <w:gridCol w:w="908"/>
        <w:gridCol w:w="8118"/>
      </w:tblGrid>
      <w:tr w:rsidR="00696584" w14:paraId="7FE1B4F5" w14:textId="77777777">
        <w:tc>
          <w:tcPr>
            <w:tcW w:w="908" w:type="dxa"/>
            <w:tcBorders>
              <w:top w:val="single" w:sz="4" w:space="0" w:color="1A171C"/>
              <w:left w:val="nil"/>
              <w:bottom w:val="single" w:sz="4" w:space="0" w:color="1A171C"/>
              <w:right w:val="single" w:sz="4" w:space="0" w:color="1A171C"/>
            </w:tcBorders>
            <w:shd w:val="clear" w:color="auto" w:fill="E4E5E5"/>
          </w:tcPr>
          <w:p w14:paraId="7FE1B4F3" w14:textId="77777777" w:rsidR="00696584" w:rsidRDefault="002C4F63">
            <w:pPr>
              <w:pStyle w:val="P68B1DB1-TableParagraph13"/>
              <w:spacing w:before="66"/>
              <w:rPr>
                <w:rFonts w:eastAsia="Cambria"/>
              </w:rPr>
            </w:pPr>
            <w:r>
              <w:t>Spalten</w:t>
            </w:r>
          </w:p>
        </w:tc>
        <w:tc>
          <w:tcPr>
            <w:tcW w:w="8118" w:type="dxa"/>
            <w:tcBorders>
              <w:top w:val="single" w:sz="4" w:space="0" w:color="1A171C"/>
              <w:left w:val="single" w:sz="4" w:space="0" w:color="1A171C"/>
              <w:bottom w:val="single" w:sz="4" w:space="0" w:color="1A171C"/>
              <w:right w:val="nil"/>
            </w:tcBorders>
            <w:shd w:val="clear" w:color="auto" w:fill="E4E5E5"/>
          </w:tcPr>
          <w:p w14:paraId="7FE1B4F4" w14:textId="77777777" w:rsidR="00696584" w:rsidRDefault="002C4F63">
            <w:pPr>
              <w:pStyle w:val="P68B1DB1-TableParagraph13"/>
              <w:spacing w:before="66"/>
              <w:ind w:right="1"/>
              <w:jc w:val="center"/>
              <w:rPr>
                <w:rFonts w:eastAsia="Cambria"/>
              </w:rPr>
            </w:pPr>
            <w:r>
              <w:t>Erläuterungen</w:t>
            </w:r>
          </w:p>
        </w:tc>
      </w:tr>
      <w:tr w:rsidR="00696584" w14:paraId="7FE1B4FA" w14:textId="77777777">
        <w:tc>
          <w:tcPr>
            <w:tcW w:w="908" w:type="dxa"/>
            <w:tcBorders>
              <w:top w:val="single" w:sz="4" w:space="0" w:color="1A171C"/>
              <w:left w:val="nil"/>
              <w:bottom w:val="single" w:sz="4" w:space="0" w:color="1A171C"/>
              <w:right w:val="single" w:sz="4" w:space="0" w:color="1A171C"/>
            </w:tcBorders>
            <w:vAlign w:val="center"/>
          </w:tcPr>
          <w:p w14:paraId="7FE1B4F6" w14:textId="77777777" w:rsidR="00696584" w:rsidRDefault="002C4F63">
            <w:pPr>
              <w:pStyle w:val="P68B1DB1-TableParagraph13"/>
              <w:spacing w:before="106"/>
              <w:ind w:left="-1"/>
              <w:rPr>
                <w:rFonts w:eastAsia="Cambria"/>
                <w:b/>
              </w:rPr>
            </w:pPr>
            <w:r>
              <w:t>0010-</w:t>
            </w:r>
            <w:r>
              <w:lastRenderedPageBreak/>
              <w:t xml:space="preserve">0011 </w:t>
            </w:r>
          </w:p>
        </w:tc>
        <w:tc>
          <w:tcPr>
            <w:tcW w:w="8118" w:type="dxa"/>
            <w:tcBorders>
              <w:top w:val="single" w:sz="4" w:space="0" w:color="1A171C"/>
              <w:left w:val="single" w:sz="4" w:space="0" w:color="1A171C"/>
              <w:bottom w:val="single" w:sz="4" w:space="0" w:color="1A171C"/>
              <w:right w:val="nil"/>
            </w:tcBorders>
            <w:vAlign w:val="center"/>
          </w:tcPr>
          <w:p w14:paraId="7FE1B4F7" w14:textId="77777777" w:rsidR="00696584" w:rsidRDefault="002C4F63">
            <w:pPr>
              <w:pStyle w:val="P68B1DB1-TableParagraph14"/>
              <w:spacing w:before="108"/>
              <w:ind w:left="85"/>
              <w:jc w:val="both"/>
            </w:pPr>
            <w:r>
              <w:lastRenderedPageBreak/>
              <w:t>Private Haushalte</w:t>
            </w:r>
          </w:p>
          <w:p w14:paraId="7FE1B4F8" w14:textId="77777777" w:rsidR="00696584" w:rsidRDefault="002C4F63">
            <w:pPr>
              <w:pStyle w:val="P68B1DB1-TableParagraph17"/>
              <w:spacing w:before="108"/>
              <w:ind w:left="85"/>
              <w:jc w:val="both"/>
            </w:pPr>
            <w:r>
              <w:lastRenderedPageBreak/>
              <w:t xml:space="preserve">FINREP Anhang V Teil 1 Nummer 42 Buchstabe f. </w:t>
            </w:r>
          </w:p>
          <w:p w14:paraId="7FE1B4F9" w14:textId="77777777" w:rsidR="00696584" w:rsidRDefault="002C4F63">
            <w:pPr>
              <w:pStyle w:val="P68B1DB1-TableParagraph17"/>
              <w:spacing w:before="108"/>
              <w:ind w:left="85"/>
              <w:jc w:val="both"/>
              <w:rPr>
                <w:b/>
              </w:rPr>
            </w:pPr>
            <w:r>
              <w:t>Einzelpersonen und Gruppen von Einzelpersonen in ihrer Eigenschaft als Konsumenten und Produzenten von Waren und nichtfinanziellen Dienstleistungen ausschließlich für den Eigenkonsum sowie als Produzenten marktbestimmter Waren und nichtfinanzieller und finanzieller Dienstleistungen, sofern deren Aktivitäten nicht denen von Quasi-Kapitalgesellschaften entsprechen. Private Organisationen ohne Erwerbszweck, die sich überwiegend mit der Erzeugung von nicht auf dem Markt gehandelten Waren bzw. der Erbringung von Dienstleistungen für besondere Haushaltsgruppen beschäftigen, sind in diesem Posten ebenfalls enthalten.</w:t>
            </w:r>
          </w:p>
        </w:tc>
      </w:tr>
      <w:tr w:rsidR="00696584" w14:paraId="7FE1B501" w14:textId="77777777">
        <w:tc>
          <w:tcPr>
            <w:tcW w:w="908" w:type="dxa"/>
            <w:tcBorders>
              <w:top w:val="single" w:sz="4" w:space="0" w:color="1A171C"/>
              <w:left w:val="nil"/>
              <w:bottom w:val="single" w:sz="4" w:space="0" w:color="1A171C"/>
              <w:right w:val="single" w:sz="4" w:space="0" w:color="1A171C"/>
            </w:tcBorders>
            <w:vAlign w:val="center"/>
          </w:tcPr>
          <w:p w14:paraId="7FE1B4FB" w14:textId="77777777" w:rsidR="00696584" w:rsidRDefault="002C4F63">
            <w:pPr>
              <w:pStyle w:val="P68B1DB1-TableParagraph13"/>
              <w:spacing w:before="106"/>
              <w:ind w:left="-1"/>
              <w:rPr>
                <w:rFonts w:eastAsia="Cambria"/>
              </w:rPr>
            </w:pPr>
            <w:r>
              <w:lastRenderedPageBreak/>
              <w:t>0020-0021</w:t>
            </w:r>
          </w:p>
        </w:tc>
        <w:tc>
          <w:tcPr>
            <w:tcW w:w="8118" w:type="dxa"/>
            <w:tcBorders>
              <w:top w:val="single" w:sz="4" w:space="0" w:color="1A171C"/>
              <w:left w:val="single" w:sz="4" w:space="0" w:color="1A171C"/>
              <w:bottom w:val="single" w:sz="4" w:space="0" w:color="1A171C"/>
              <w:right w:val="nil"/>
            </w:tcBorders>
            <w:vAlign w:val="center"/>
          </w:tcPr>
          <w:p w14:paraId="7FE1B4FC" w14:textId="77777777" w:rsidR="00696584" w:rsidRDefault="002C4F63">
            <w:pPr>
              <w:pStyle w:val="P68B1DB1-TableParagraph14"/>
              <w:spacing w:before="108"/>
              <w:ind w:left="85"/>
              <w:jc w:val="both"/>
            </w:pPr>
            <w:r>
              <w:t>Nichtfinanzielle Kapitalgesellschaften (KMU)</w:t>
            </w:r>
          </w:p>
          <w:p w14:paraId="7FE1B4FD" w14:textId="77777777" w:rsidR="00696584" w:rsidRDefault="002C4F63">
            <w:pPr>
              <w:pStyle w:val="P68B1DB1-TableParagraph17"/>
              <w:spacing w:before="108"/>
              <w:ind w:left="85"/>
              <w:jc w:val="both"/>
            </w:pPr>
            <w:r>
              <w:t>FINREP Anhang V Teil 1 Nummer 42 Buchstabe e.</w:t>
            </w:r>
          </w:p>
          <w:p w14:paraId="7FE1B4FE" w14:textId="63A52B7A" w:rsidR="00696584" w:rsidRDefault="002C4F63">
            <w:pPr>
              <w:pStyle w:val="P68B1DB1-TableParagraph13"/>
              <w:spacing w:before="108"/>
              <w:ind w:left="85"/>
              <w:jc w:val="both"/>
              <w:rPr>
                <w:rFonts w:eastAsia="Cambria"/>
              </w:rPr>
            </w:pPr>
            <w:r>
              <w:t>Kapitalgesellschaften und Quasi-Kapitalgesellschaften, die sich nicht mit finanziellen Vermittlungstätigkeiten beschäftigen, sondern hauptsächlich mit der Herstellung von Marktgütern und der Erbringung nichtfinanzieller Dienstleistungen im Sinne der EZB-Verordnung (EU) 2021/379 der Europäischen Zentralbank</w:t>
            </w:r>
            <w:r w:rsidRPr="000D7090">
              <w:rPr>
                <w:vertAlign w:val="superscript"/>
              </w:rPr>
              <w:footnoteReference w:id="11"/>
            </w:r>
            <w:r>
              <w:t>, die auch der folgenden Definition von KMU entsprechen:</w:t>
            </w:r>
          </w:p>
          <w:p w14:paraId="7FE1B4FF" w14:textId="77777777" w:rsidR="00696584" w:rsidRDefault="002C4F63">
            <w:pPr>
              <w:pStyle w:val="TableParagraph"/>
              <w:spacing w:before="108"/>
              <w:ind w:left="85"/>
              <w:jc w:val="both"/>
              <w:rPr>
                <w:rFonts w:ascii="Times New Roman" w:eastAsia="Cambria" w:hAnsi="Times New Roman" w:cs="Times New Roman"/>
                <w:color w:val="000000" w:themeColor="text1"/>
                <w:sz w:val="20"/>
                <w:szCs w:val="20"/>
              </w:rPr>
            </w:pPr>
            <w:r>
              <w:rPr>
                <w:rFonts w:ascii="Times New Roman" w:eastAsia="Cambria" w:hAnsi="Times New Roman" w:cs="Times New Roman"/>
                <w:color w:val="000000" w:themeColor="text1"/>
                <w:sz w:val="20"/>
                <w:szCs w:val="20"/>
              </w:rPr>
              <w:t>Titel I Artikel 2 Absatz 1 des Anhangs zur Empfehlung der Kommission vom 6. Mai 2003</w:t>
            </w:r>
            <w:r>
              <w:rPr>
                <w:rStyle w:val="FootnoteReference"/>
                <w:rFonts w:ascii="Times New Roman" w:eastAsia="Cambria" w:hAnsi="Times New Roman" w:cs="Times New Roman"/>
                <w:color w:val="1A171C"/>
              </w:rPr>
              <w:footnoteReference w:id="12"/>
            </w:r>
            <w:r>
              <w:rPr>
                <w:rFonts w:ascii="Times New Roman" w:eastAsia="Cambria" w:hAnsi="Times New Roman" w:cs="Times New Roman"/>
                <w:color w:val="000000" w:themeColor="text1"/>
                <w:sz w:val="20"/>
                <w:szCs w:val="20"/>
              </w:rPr>
              <w:t>; FINREP Anhang V Teil 1 Nummer 5 Buchstabe i.</w:t>
            </w:r>
          </w:p>
          <w:p w14:paraId="7FE1B500" w14:textId="77777777" w:rsidR="00696584" w:rsidRDefault="002C4F63">
            <w:pPr>
              <w:pStyle w:val="P68B1DB1-TableParagraph17"/>
              <w:spacing w:before="108"/>
              <w:ind w:left="85"/>
              <w:jc w:val="both"/>
              <w:rPr>
                <w:rFonts w:eastAsia="Book Antiqua"/>
              </w:rPr>
            </w:pPr>
            <w:r>
              <w:t>Unternehmen mit weniger als 250 Beschäftigten und einem Jahresumsatz von höchstens 50 Mio. EUR und/oder einer Jahresbilanzsumme von höchstens 43 Mio. EUR.</w:t>
            </w:r>
          </w:p>
        </w:tc>
      </w:tr>
      <w:tr w:rsidR="00696584" w14:paraId="7FE1B507" w14:textId="77777777">
        <w:tc>
          <w:tcPr>
            <w:tcW w:w="908" w:type="dxa"/>
            <w:tcBorders>
              <w:top w:val="single" w:sz="4" w:space="0" w:color="1A171C"/>
              <w:left w:val="nil"/>
              <w:bottom w:val="single" w:sz="4" w:space="0" w:color="1A171C"/>
              <w:right w:val="single" w:sz="4" w:space="0" w:color="1A171C"/>
            </w:tcBorders>
            <w:vAlign w:val="center"/>
          </w:tcPr>
          <w:p w14:paraId="7FE1B502" w14:textId="77777777" w:rsidR="00696584" w:rsidRDefault="002C4F63">
            <w:pPr>
              <w:pStyle w:val="P68B1DB1-TableParagraph13"/>
              <w:spacing w:before="106"/>
              <w:ind w:left="-1"/>
            </w:pPr>
            <w:r>
              <w:t>0030-0031</w:t>
            </w:r>
          </w:p>
        </w:tc>
        <w:tc>
          <w:tcPr>
            <w:tcW w:w="8118" w:type="dxa"/>
            <w:tcBorders>
              <w:top w:val="single" w:sz="4" w:space="0" w:color="1A171C"/>
              <w:left w:val="single" w:sz="4" w:space="0" w:color="1A171C"/>
              <w:bottom w:val="single" w:sz="4" w:space="0" w:color="1A171C"/>
              <w:right w:val="nil"/>
            </w:tcBorders>
            <w:vAlign w:val="center"/>
          </w:tcPr>
          <w:p w14:paraId="7FE1B503" w14:textId="77777777" w:rsidR="00696584" w:rsidRDefault="002C4F63">
            <w:pPr>
              <w:pStyle w:val="P68B1DB1-TableParagraph14"/>
              <w:spacing w:before="108"/>
              <w:ind w:left="85"/>
              <w:jc w:val="both"/>
            </w:pPr>
            <w:r>
              <w:t>Nichtfinanzielle Kapitalgesellschaften (keine KMU)</w:t>
            </w:r>
          </w:p>
          <w:p w14:paraId="7FE1B504" w14:textId="77777777" w:rsidR="00696584" w:rsidRDefault="002C4F63">
            <w:pPr>
              <w:pStyle w:val="P68B1DB1-TableParagraph17"/>
              <w:spacing w:before="108"/>
              <w:ind w:left="85"/>
              <w:jc w:val="both"/>
            </w:pPr>
            <w:r>
              <w:t>FINREP Anhang V Teil 1 Nummer 42 Buchstabe e.</w:t>
            </w:r>
          </w:p>
          <w:p w14:paraId="7FE1B505" w14:textId="53EEC701" w:rsidR="00696584" w:rsidRDefault="002C4F63">
            <w:pPr>
              <w:pStyle w:val="P68B1DB1-TableParagraph13"/>
              <w:spacing w:before="108"/>
              <w:ind w:left="85"/>
              <w:jc w:val="both"/>
              <w:rPr>
                <w:rFonts w:eastAsia="Cambria"/>
              </w:rPr>
            </w:pPr>
            <w:r>
              <w:t>Kapitalgesellschaften und Quasi-Kapitalgesellschaften, die sich nicht mit finanziellen Vermittlungstätigkeiten beschäftigen, sondern hauptsächlich mit der Herstellung von Marktgütern und der Erbringung nichtfinanzieller Dienstleistungen im Sinne der EZB-Verordnung (EU) 2021/379 der Europäischen Zentralbank.</w:t>
            </w:r>
          </w:p>
          <w:p w14:paraId="7FE1B506" w14:textId="77777777" w:rsidR="00696584" w:rsidRDefault="002C4F63">
            <w:pPr>
              <w:pStyle w:val="P68B1DB1-TableParagraph17"/>
              <w:spacing w:before="108"/>
              <w:ind w:left="85"/>
              <w:jc w:val="both"/>
              <w:rPr>
                <w:b/>
                <w:bCs/>
              </w:rPr>
            </w:pPr>
            <w:r>
              <w:t xml:space="preserve">Ohne die in Zeile 0020 auszuweisenden KMU. </w:t>
            </w:r>
          </w:p>
        </w:tc>
      </w:tr>
      <w:tr w:rsidR="00696584" w14:paraId="7FE1B50C" w14:textId="77777777">
        <w:tc>
          <w:tcPr>
            <w:tcW w:w="908" w:type="dxa"/>
            <w:tcBorders>
              <w:top w:val="single" w:sz="4" w:space="0" w:color="1A171C"/>
              <w:left w:val="nil"/>
              <w:bottom w:val="single" w:sz="4" w:space="0" w:color="1A171C"/>
              <w:right w:val="single" w:sz="4" w:space="0" w:color="1A171C"/>
            </w:tcBorders>
            <w:vAlign w:val="center"/>
          </w:tcPr>
          <w:p w14:paraId="7FE1B508" w14:textId="77777777" w:rsidR="00696584" w:rsidRDefault="002C4F63">
            <w:pPr>
              <w:pStyle w:val="P68B1DB1-TableParagraph13"/>
              <w:spacing w:before="106"/>
              <w:ind w:left="-1"/>
            </w:pPr>
            <w:r>
              <w:t>0040-0041</w:t>
            </w:r>
          </w:p>
        </w:tc>
        <w:tc>
          <w:tcPr>
            <w:tcW w:w="8118" w:type="dxa"/>
            <w:tcBorders>
              <w:top w:val="single" w:sz="4" w:space="0" w:color="1A171C"/>
              <w:left w:val="single" w:sz="4" w:space="0" w:color="1A171C"/>
              <w:bottom w:val="single" w:sz="4" w:space="0" w:color="1A171C"/>
              <w:right w:val="nil"/>
            </w:tcBorders>
            <w:vAlign w:val="center"/>
          </w:tcPr>
          <w:p w14:paraId="7FE1B509" w14:textId="77777777" w:rsidR="00696584" w:rsidRDefault="002C4F63">
            <w:pPr>
              <w:pStyle w:val="P68B1DB1-TableParagraph14"/>
              <w:spacing w:before="108"/>
              <w:ind w:left="85"/>
              <w:jc w:val="both"/>
            </w:pPr>
            <w:r>
              <w:t>Kreditinstitute</w:t>
            </w:r>
          </w:p>
          <w:p w14:paraId="7FE1B50A" w14:textId="77777777" w:rsidR="00696584" w:rsidRDefault="002C4F63">
            <w:pPr>
              <w:pStyle w:val="P68B1DB1-TableParagraph17"/>
              <w:spacing w:before="108"/>
              <w:ind w:left="85"/>
              <w:jc w:val="both"/>
            </w:pPr>
            <w:r>
              <w:t>FINREP Anhang V Teil 1 Nummer 42 Buchstabe c.</w:t>
            </w:r>
          </w:p>
          <w:p w14:paraId="7FE1B50B" w14:textId="77777777" w:rsidR="00696584" w:rsidRDefault="002C4F63">
            <w:pPr>
              <w:pStyle w:val="P68B1DB1-TableParagraph13"/>
              <w:spacing w:before="108"/>
              <w:ind w:left="85"/>
              <w:jc w:val="both"/>
              <w:rPr>
                <w:b/>
                <w:bCs/>
              </w:rPr>
            </w:pPr>
            <w:r>
              <w:t>Kreditinstitute im Sinne von Artikel 4 Absatz 1 Nummer 1 der Verordnung (EU) Nr. 575/2013 sowie multilaterale Entwicklungsbanken.</w:t>
            </w:r>
          </w:p>
        </w:tc>
      </w:tr>
      <w:tr w:rsidR="00696584" w14:paraId="7FE1B511" w14:textId="77777777">
        <w:tc>
          <w:tcPr>
            <w:tcW w:w="908" w:type="dxa"/>
            <w:tcBorders>
              <w:top w:val="single" w:sz="4" w:space="0" w:color="1A171C"/>
              <w:left w:val="nil"/>
              <w:bottom w:val="single" w:sz="4" w:space="0" w:color="1A171C"/>
              <w:right w:val="single" w:sz="4" w:space="0" w:color="1A171C"/>
            </w:tcBorders>
            <w:vAlign w:val="center"/>
          </w:tcPr>
          <w:p w14:paraId="7FE1B50D" w14:textId="0A55540C" w:rsidR="00696584" w:rsidRDefault="002C4F63">
            <w:pPr>
              <w:pStyle w:val="P68B1DB1-TableParagraph13"/>
              <w:spacing w:before="106"/>
              <w:ind w:left="-1"/>
            </w:pPr>
            <w:r>
              <w:t>0050-0056</w:t>
            </w:r>
          </w:p>
        </w:tc>
        <w:tc>
          <w:tcPr>
            <w:tcW w:w="8118" w:type="dxa"/>
            <w:tcBorders>
              <w:top w:val="single" w:sz="4" w:space="0" w:color="1A171C"/>
              <w:left w:val="single" w:sz="4" w:space="0" w:color="1A171C"/>
              <w:bottom w:val="single" w:sz="4" w:space="0" w:color="1A171C"/>
              <w:right w:val="nil"/>
            </w:tcBorders>
            <w:vAlign w:val="center"/>
          </w:tcPr>
          <w:p w14:paraId="7FE1B50E" w14:textId="77777777" w:rsidR="00696584" w:rsidRDefault="002C4F63">
            <w:pPr>
              <w:pStyle w:val="P68B1DB1-TableParagraph14"/>
              <w:spacing w:before="108"/>
              <w:ind w:left="85"/>
              <w:jc w:val="both"/>
            </w:pPr>
            <w:r>
              <w:t>Sonstige finanzielle Kapitalgesellschaften</w:t>
            </w:r>
          </w:p>
          <w:p w14:paraId="7FE1B50F" w14:textId="77777777" w:rsidR="00696584" w:rsidRDefault="002C4F63">
            <w:pPr>
              <w:pStyle w:val="P68B1DB1-TableParagraph17"/>
              <w:spacing w:before="108"/>
              <w:ind w:left="85"/>
              <w:jc w:val="both"/>
            </w:pPr>
            <w:r>
              <w:t>FINREP Anhang V Teil 1 Nummer 42 Buchstabe d.</w:t>
            </w:r>
          </w:p>
          <w:p w14:paraId="7FE1B510" w14:textId="4C543DF7" w:rsidR="00696584" w:rsidRDefault="002C4F63">
            <w:pPr>
              <w:pStyle w:val="P68B1DB1-TableParagraph17"/>
              <w:spacing w:before="108"/>
              <w:ind w:left="85"/>
              <w:jc w:val="both"/>
              <w:rPr>
                <w:b/>
                <w:bCs/>
              </w:rPr>
            </w:pPr>
            <w:r>
              <w:t>Alle finanziellen Kapitalgesellschaften und Quasi-Kapitalgesellschaften – außer Kreditinstituten – wie Wertpapierfirmen, Investmentfonds, Versicherungsgesellschaften, Pensionsfonds, Organismen für gemeinsame Anlagen und Clearinghäuser sowie übrige Finanzmittler, Anbieter von Kredit- und Versicherungshilfstätigkeiten, firmeneigene Finanzinstitute und Geldverleiher.</w:t>
            </w:r>
          </w:p>
        </w:tc>
      </w:tr>
      <w:tr w:rsidR="00696584" w14:paraId="7FE1B515" w14:textId="77777777">
        <w:tc>
          <w:tcPr>
            <w:tcW w:w="908" w:type="dxa"/>
            <w:tcBorders>
              <w:top w:val="single" w:sz="4" w:space="0" w:color="1A171C"/>
              <w:left w:val="nil"/>
              <w:bottom w:val="single" w:sz="4" w:space="0" w:color="1A171C"/>
              <w:right w:val="single" w:sz="4" w:space="0" w:color="1A171C"/>
            </w:tcBorders>
            <w:vAlign w:val="center"/>
          </w:tcPr>
          <w:p w14:paraId="7FE1B512" w14:textId="77777777" w:rsidR="00696584" w:rsidRDefault="002C4F63">
            <w:pPr>
              <w:pStyle w:val="P68B1DB1-TableParagraph13"/>
              <w:spacing w:before="106"/>
              <w:ind w:left="-1"/>
            </w:pPr>
            <w:r>
              <w:t>0055-0056</w:t>
            </w:r>
          </w:p>
        </w:tc>
        <w:tc>
          <w:tcPr>
            <w:tcW w:w="8118" w:type="dxa"/>
            <w:tcBorders>
              <w:top w:val="single" w:sz="4" w:space="0" w:color="1A171C"/>
              <w:left w:val="single" w:sz="4" w:space="0" w:color="1A171C"/>
              <w:bottom w:val="single" w:sz="4" w:space="0" w:color="1A171C"/>
              <w:right w:val="nil"/>
            </w:tcBorders>
            <w:vAlign w:val="center"/>
          </w:tcPr>
          <w:p w14:paraId="7FE1B513" w14:textId="77777777" w:rsidR="00696584" w:rsidRDefault="002C4F63">
            <w:pPr>
              <w:pStyle w:val="P68B1DB1-TableParagraph14"/>
              <w:spacing w:before="108"/>
              <w:ind w:left="85"/>
              <w:jc w:val="both"/>
            </w:pPr>
            <w:r>
              <w:t>Davon Versicherungsgesellschaften und Pensionsfonds</w:t>
            </w:r>
          </w:p>
          <w:p w14:paraId="7FE1B514" w14:textId="77777777" w:rsidR="00696584" w:rsidRDefault="002C4F63">
            <w:pPr>
              <w:pStyle w:val="P68B1DB1-TableParagraph17"/>
              <w:spacing w:before="108"/>
              <w:ind w:left="85"/>
              <w:jc w:val="both"/>
              <w:rPr>
                <w:b/>
              </w:rPr>
            </w:pPr>
            <w:r>
              <w:t>Versicherungsunternehmen, Rückversicherungsunternehmen (gemäß Artikel 13 Absatz 1 bis Absatz 6 der Richtlinie 2009/138/EG des Europäischen Parlaments und des Rates) und Pensionsfonds.</w:t>
            </w:r>
          </w:p>
        </w:tc>
      </w:tr>
      <w:tr w:rsidR="00696584" w14:paraId="7FE1B51A" w14:textId="77777777">
        <w:tc>
          <w:tcPr>
            <w:tcW w:w="908" w:type="dxa"/>
            <w:tcBorders>
              <w:top w:val="single" w:sz="4" w:space="0" w:color="1A171C"/>
              <w:left w:val="nil"/>
              <w:bottom w:val="single" w:sz="4" w:space="0" w:color="1A171C"/>
              <w:right w:val="single" w:sz="4" w:space="0" w:color="1A171C"/>
            </w:tcBorders>
            <w:vAlign w:val="center"/>
          </w:tcPr>
          <w:p w14:paraId="7FE1B516" w14:textId="77777777" w:rsidR="00696584" w:rsidRDefault="002C4F63">
            <w:pPr>
              <w:pStyle w:val="P68B1DB1-TableParagraph13"/>
              <w:spacing w:before="106"/>
              <w:ind w:left="-1"/>
            </w:pPr>
            <w:r>
              <w:lastRenderedPageBreak/>
              <w:t>0060-0061</w:t>
            </w:r>
          </w:p>
        </w:tc>
        <w:tc>
          <w:tcPr>
            <w:tcW w:w="8118" w:type="dxa"/>
            <w:tcBorders>
              <w:top w:val="single" w:sz="4" w:space="0" w:color="1A171C"/>
              <w:left w:val="single" w:sz="4" w:space="0" w:color="1A171C"/>
              <w:bottom w:val="single" w:sz="4" w:space="0" w:color="1A171C"/>
              <w:right w:val="nil"/>
            </w:tcBorders>
            <w:vAlign w:val="center"/>
          </w:tcPr>
          <w:p w14:paraId="7FE1B517" w14:textId="77777777" w:rsidR="00696584" w:rsidRDefault="002C4F63">
            <w:pPr>
              <w:pStyle w:val="P68B1DB1-TableParagraph14"/>
              <w:spacing w:before="108"/>
              <w:ind w:left="85"/>
              <w:jc w:val="both"/>
            </w:pPr>
            <w:r>
              <w:t>Staaten und Zentralbanken</w:t>
            </w:r>
          </w:p>
          <w:p w14:paraId="7FE1B518" w14:textId="77777777" w:rsidR="00696584" w:rsidRDefault="002C4F63">
            <w:pPr>
              <w:pStyle w:val="P68B1DB1-TableParagraph17"/>
              <w:spacing w:before="108"/>
              <w:ind w:left="85"/>
              <w:jc w:val="both"/>
            </w:pPr>
            <w:r>
              <w:t>FINREP Anhang V Teil 1 Nummer 42 Buchstaben a und b.</w:t>
            </w:r>
          </w:p>
          <w:p w14:paraId="7FE1B519" w14:textId="77777777" w:rsidR="00696584" w:rsidRDefault="002C4F63">
            <w:pPr>
              <w:pStyle w:val="P68B1DB1-TableParagraph17"/>
              <w:spacing w:before="108"/>
              <w:ind w:left="85"/>
              <w:jc w:val="both"/>
              <w:rPr>
                <w:b/>
                <w:bCs/>
              </w:rPr>
            </w:pPr>
            <w:r>
              <w:t>Zentralbanken sowie Zentralstaat, staatliche oder regionale Gebietskörperschaften und lokale Gebietskörperschaften unter Einschluss von Verwaltungsorganen und nicht gewerblichen Unternehmen, aber unter Ausschluss öffentlicher und privater Gesellschaften, die sich im Besitz dieser Gebietskörperschaften befinden und einer gewerblichen Tätigkeit nachgehen (und die je nach Tätigkeit als „Kreditinstitut“, „sonstige finanzielle Kapitalgesellschaft“ oder „nichtfinanzielle Kapitalgesellschaft“ auszuweisen sind), Sozialversicherungsfonds; sowie internationale Organisationen wie Organe der Europäischen Union, der Internationale Währungsfonds und die Bank für Internationalen Zahlungsausgleich.</w:t>
            </w:r>
          </w:p>
        </w:tc>
      </w:tr>
      <w:tr w:rsidR="00696584" w14:paraId="7FE1B51E" w14:textId="77777777">
        <w:tc>
          <w:tcPr>
            <w:tcW w:w="908" w:type="dxa"/>
            <w:tcBorders>
              <w:top w:val="single" w:sz="4" w:space="0" w:color="1A171C"/>
              <w:left w:val="nil"/>
              <w:bottom w:val="single" w:sz="4" w:space="0" w:color="1A171C"/>
              <w:right w:val="single" w:sz="4" w:space="0" w:color="1A171C"/>
            </w:tcBorders>
            <w:vAlign w:val="center"/>
          </w:tcPr>
          <w:p w14:paraId="7FE1B51B" w14:textId="77777777" w:rsidR="00696584" w:rsidRDefault="002C4F63">
            <w:pPr>
              <w:pStyle w:val="P68B1DB1-TableParagraph13"/>
              <w:spacing w:before="106"/>
              <w:ind w:left="-1"/>
            </w:pPr>
            <w:r>
              <w:t>0070-0071</w:t>
            </w:r>
          </w:p>
        </w:tc>
        <w:tc>
          <w:tcPr>
            <w:tcW w:w="8118" w:type="dxa"/>
            <w:tcBorders>
              <w:top w:val="single" w:sz="4" w:space="0" w:color="1A171C"/>
              <w:left w:val="single" w:sz="4" w:space="0" w:color="1A171C"/>
              <w:bottom w:val="single" w:sz="4" w:space="0" w:color="1A171C"/>
              <w:right w:val="nil"/>
            </w:tcBorders>
            <w:vAlign w:val="center"/>
          </w:tcPr>
          <w:p w14:paraId="7FE1B51C" w14:textId="77777777" w:rsidR="00696584" w:rsidRDefault="002C4F63">
            <w:pPr>
              <w:pStyle w:val="P68B1DB1-TableParagraph14"/>
              <w:spacing w:before="108"/>
              <w:ind w:left="85"/>
              <w:jc w:val="both"/>
            </w:pPr>
            <w:r>
              <w:t>An einem Handelsplatz notiertes Instrument, Eigentümer unbekannt</w:t>
            </w:r>
          </w:p>
          <w:p w14:paraId="7FE1B51D" w14:textId="5F92CBCC" w:rsidR="00696584" w:rsidRDefault="002C4F63">
            <w:pPr>
              <w:pStyle w:val="TableParagraph"/>
              <w:spacing w:before="108"/>
              <w:ind w:left="85"/>
              <w:jc w:val="both"/>
              <w:rPr>
                <w:rFonts w:ascii="Times New Roman" w:hAnsi="Times New Roman" w:cs="Times New Roman"/>
                <w:b/>
                <w:bCs/>
                <w:color w:val="000000" w:themeColor="text1"/>
                <w:sz w:val="20"/>
                <w:szCs w:val="20"/>
              </w:rPr>
            </w:pPr>
            <w:r>
              <w:rPr>
                <w:rFonts w:ascii="Times New Roman" w:hAnsi="Times New Roman" w:cs="Times New Roman"/>
                <w:color w:val="000000" w:themeColor="text1"/>
                <w:sz w:val="20"/>
                <w:szCs w:val="20"/>
              </w:rPr>
              <w:t>Wenn der Inhaber eines Wertpapiers unbekannt ist, weil das Instrument an einem Handelsplatz im Sinne der Richtlinie 2014/65/EU des Europäischen Parlaments und des Rates über Märkte für Finanzinstrumente notiert</w:t>
            </w:r>
            <w:r>
              <w:rPr>
                <w:rStyle w:val="FootnoteReference"/>
                <w:rFonts w:cs="Times New Roman"/>
                <w:color w:val="000000" w:themeColor="text1"/>
              </w:rPr>
              <w:footnoteReference w:id="13"/>
            </w:r>
            <w:r>
              <w:rPr>
                <w:rFonts w:ascii="Times New Roman" w:hAnsi="Times New Roman" w:cs="Times New Roman"/>
                <w:color w:val="000000" w:themeColor="text1"/>
                <w:sz w:val="20"/>
                <w:szCs w:val="20"/>
              </w:rPr>
              <w:t>ist, sind die entsprechenden Beträge in dieser Spalte auszuweisen.</w:t>
            </w:r>
          </w:p>
        </w:tc>
      </w:tr>
      <w:tr w:rsidR="00696584" w14:paraId="7FE1B522" w14:textId="77777777">
        <w:tc>
          <w:tcPr>
            <w:tcW w:w="908" w:type="dxa"/>
            <w:tcBorders>
              <w:top w:val="single" w:sz="4" w:space="0" w:color="1A171C"/>
              <w:left w:val="nil"/>
              <w:bottom w:val="single" w:sz="4" w:space="0" w:color="1A171C"/>
              <w:right w:val="single" w:sz="4" w:space="0" w:color="1A171C"/>
            </w:tcBorders>
            <w:vAlign w:val="center"/>
          </w:tcPr>
          <w:p w14:paraId="7FE1B51F" w14:textId="77777777" w:rsidR="00696584" w:rsidRDefault="002C4F63">
            <w:pPr>
              <w:pStyle w:val="P68B1DB1-TableParagraph13"/>
              <w:spacing w:before="106"/>
              <w:ind w:left="-1"/>
            </w:pPr>
            <w:r>
              <w:t>0080-0081</w:t>
            </w:r>
          </w:p>
        </w:tc>
        <w:tc>
          <w:tcPr>
            <w:tcW w:w="8118" w:type="dxa"/>
            <w:tcBorders>
              <w:top w:val="single" w:sz="4" w:space="0" w:color="1A171C"/>
              <w:left w:val="single" w:sz="4" w:space="0" w:color="1A171C"/>
              <w:bottom w:val="single" w:sz="4" w:space="0" w:color="1A171C"/>
              <w:right w:val="nil"/>
            </w:tcBorders>
            <w:vAlign w:val="center"/>
          </w:tcPr>
          <w:p w14:paraId="7FE1B520" w14:textId="77777777" w:rsidR="00696584" w:rsidRDefault="002C4F63">
            <w:pPr>
              <w:pStyle w:val="P68B1DB1-TableParagraph14"/>
              <w:spacing w:before="108"/>
              <w:ind w:left="85"/>
              <w:jc w:val="both"/>
            </w:pPr>
            <w:r>
              <w:t>Nicht an einem Handelsplatz notiertes Instrument, Eigentümer unbekannt</w:t>
            </w:r>
          </w:p>
          <w:p w14:paraId="7FE1B521" w14:textId="4FDBE5B1" w:rsidR="00696584" w:rsidRDefault="002C4F63">
            <w:pPr>
              <w:pStyle w:val="P68B1DB1-TableParagraph17"/>
              <w:spacing w:before="108"/>
              <w:ind w:left="85"/>
              <w:jc w:val="both"/>
            </w:pPr>
            <w:r>
              <w:t>Wenn der Inhaber eines Wertpapiers unbekannt ist, das Instrument aber nicht an einem Handelsplatz notiert ist, sind die entsprechenden Beträge in dieser Spalte auszuweisen und nicht nach der Gegenpartei aufzuschlüsseln. Meldende Unternehmen werden aufgefordert, Gegenparteien zu identifizieren und die Verwendung dieser Spalte auf ein Minimum zu beschränken.</w:t>
            </w:r>
          </w:p>
        </w:tc>
      </w:tr>
      <w:tr w:rsidR="00696584" w14:paraId="7FE1B525" w14:textId="77777777">
        <w:tc>
          <w:tcPr>
            <w:tcW w:w="908" w:type="dxa"/>
            <w:tcBorders>
              <w:top w:val="single" w:sz="4" w:space="0" w:color="1A171C"/>
              <w:left w:val="nil"/>
              <w:bottom w:val="single" w:sz="4" w:space="0" w:color="1A171C"/>
              <w:right w:val="single" w:sz="4" w:space="0" w:color="1A171C"/>
            </w:tcBorders>
            <w:vAlign w:val="center"/>
          </w:tcPr>
          <w:p w14:paraId="7FE1B523" w14:textId="42079B1B" w:rsidR="00696584" w:rsidRDefault="002C4F63">
            <w:pPr>
              <w:pStyle w:val="P68B1DB1-TableParagraph13"/>
              <w:spacing w:before="106"/>
              <w:ind w:left="-1"/>
            </w:pPr>
            <w:r>
              <w:t>0090-0111</w:t>
            </w:r>
          </w:p>
        </w:tc>
        <w:tc>
          <w:tcPr>
            <w:tcW w:w="8118" w:type="dxa"/>
            <w:tcBorders>
              <w:top w:val="single" w:sz="4" w:space="0" w:color="1A171C"/>
              <w:left w:val="single" w:sz="4" w:space="0" w:color="1A171C"/>
              <w:bottom w:val="single" w:sz="4" w:space="0" w:color="1A171C"/>
              <w:right w:val="nil"/>
            </w:tcBorders>
            <w:vAlign w:val="center"/>
          </w:tcPr>
          <w:p w14:paraId="7FE1B524" w14:textId="77777777" w:rsidR="00696584" w:rsidRDefault="002C4F63">
            <w:pPr>
              <w:pStyle w:val="P68B1DB1-TableParagraph14"/>
              <w:spacing w:before="108"/>
              <w:ind w:left="85"/>
              <w:jc w:val="both"/>
              <w:rPr>
                <w:bCs/>
              </w:rPr>
            </w:pPr>
            <w:r>
              <w:t>Insgesamt</w:t>
            </w:r>
          </w:p>
        </w:tc>
      </w:tr>
      <w:tr w:rsidR="00696584" w14:paraId="7FE1B529" w14:textId="77777777">
        <w:tc>
          <w:tcPr>
            <w:tcW w:w="908" w:type="dxa"/>
            <w:tcBorders>
              <w:top w:val="single" w:sz="4" w:space="0" w:color="1A171C"/>
              <w:left w:val="nil"/>
              <w:bottom w:val="single" w:sz="4" w:space="0" w:color="1A171C"/>
              <w:right w:val="single" w:sz="4" w:space="0" w:color="1A171C"/>
            </w:tcBorders>
            <w:vAlign w:val="center"/>
          </w:tcPr>
          <w:p w14:paraId="7FE1B526" w14:textId="77777777" w:rsidR="00696584" w:rsidRDefault="002C4F63">
            <w:pPr>
              <w:pStyle w:val="P68B1DB1-TableParagraph13"/>
              <w:spacing w:before="106"/>
              <w:ind w:left="-1"/>
            </w:pPr>
            <w:r>
              <w:t>0100-0101</w:t>
            </w:r>
          </w:p>
        </w:tc>
        <w:tc>
          <w:tcPr>
            <w:tcW w:w="8118" w:type="dxa"/>
            <w:tcBorders>
              <w:top w:val="single" w:sz="4" w:space="0" w:color="1A171C"/>
              <w:left w:val="single" w:sz="4" w:space="0" w:color="1A171C"/>
              <w:bottom w:val="single" w:sz="4" w:space="0" w:color="1A171C"/>
              <w:right w:val="nil"/>
            </w:tcBorders>
            <w:vAlign w:val="center"/>
          </w:tcPr>
          <w:p w14:paraId="7FE1B527" w14:textId="77777777" w:rsidR="00696584" w:rsidRDefault="002C4F63">
            <w:pPr>
              <w:pStyle w:val="P68B1DB1-TableParagraph14"/>
              <w:spacing w:before="108"/>
              <w:ind w:left="85"/>
              <w:jc w:val="both"/>
            </w:pPr>
            <w:r>
              <w:t>Davon: gruppenintern</w:t>
            </w:r>
          </w:p>
          <w:p w14:paraId="7FE1B528" w14:textId="1BF72D2B" w:rsidR="00696584" w:rsidRDefault="002C4F63">
            <w:pPr>
              <w:pStyle w:val="P68B1DB1-TableParagraph13"/>
              <w:spacing w:before="108"/>
              <w:ind w:left="85"/>
              <w:jc w:val="both"/>
              <w:rPr>
                <w:rFonts w:eastAsia="Times New Roman"/>
              </w:rPr>
            </w:pPr>
            <w:r>
              <w:t xml:space="preserve">Verbindlichkeiten gegenüber Unternehmen, die im Konzernabschluss des obersten Mutterunternehmens erfasst sind (nicht im gesetzlichen Konsolidierungskreis). </w:t>
            </w:r>
          </w:p>
        </w:tc>
      </w:tr>
      <w:tr w:rsidR="00696584" w14:paraId="7FE1B52E" w14:textId="77777777">
        <w:tc>
          <w:tcPr>
            <w:tcW w:w="908" w:type="dxa"/>
            <w:tcBorders>
              <w:top w:val="single" w:sz="4" w:space="0" w:color="1A171C"/>
              <w:left w:val="nil"/>
              <w:bottom w:val="single" w:sz="4" w:space="0" w:color="1A171C"/>
              <w:right w:val="single" w:sz="4" w:space="0" w:color="1A171C"/>
            </w:tcBorders>
            <w:vAlign w:val="center"/>
          </w:tcPr>
          <w:p w14:paraId="7FE1B52A" w14:textId="77777777" w:rsidR="00696584" w:rsidRDefault="002C4F63">
            <w:pPr>
              <w:pStyle w:val="P68B1DB1-TableParagraph13"/>
              <w:spacing w:before="106"/>
              <w:ind w:left="-1"/>
            </w:pPr>
            <w:r>
              <w:t>0110-0111</w:t>
            </w:r>
          </w:p>
        </w:tc>
        <w:tc>
          <w:tcPr>
            <w:tcW w:w="8118" w:type="dxa"/>
            <w:tcBorders>
              <w:top w:val="single" w:sz="4" w:space="0" w:color="1A171C"/>
              <w:left w:val="single" w:sz="4" w:space="0" w:color="1A171C"/>
              <w:bottom w:val="single" w:sz="4" w:space="0" w:color="1A171C"/>
              <w:right w:val="nil"/>
            </w:tcBorders>
            <w:vAlign w:val="center"/>
          </w:tcPr>
          <w:p w14:paraId="7FE1B52B" w14:textId="748C85E3" w:rsidR="00696584" w:rsidRDefault="002C4F63">
            <w:pPr>
              <w:pStyle w:val="P68B1DB1-TableParagraph14"/>
              <w:spacing w:before="108"/>
              <w:ind w:left="85"/>
              <w:jc w:val="both"/>
            </w:pPr>
            <w:r>
              <w:t>Davon: Verbindlichkeiten, die dem Recht eines Drittlandes unterliegen (ausgenommen gruppeninterne)</w:t>
            </w:r>
          </w:p>
          <w:p w14:paraId="7FE1B52C" w14:textId="77777777" w:rsidR="00696584" w:rsidRDefault="002C4F63">
            <w:pPr>
              <w:pStyle w:val="P68B1DB1-TableParagraph17"/>
              <w:spacing w:before="108"/>
              <w:ind w:left="85"/>
              <w:jc w:val="both"/>
            </w:pPr>
            <w:r>
              <w:t>Hierunter fallen die Bruttobeträge der Verbindlichkeiten, die dem Recht eines Drittlandes unterliegen und/oder von Unternehmen der Gruppe begeben werden, die in Drittländern niedergelassen sind. Gruppeninterne Verbindlichkeiten sind ausgenommen.</w:t>
            </w:r>
          </w:p>
          <w:p w14:paraId="7FE1B52D" w14:textId="5ED506F9" w:rsidR="00696584" w:rsidRDefault="002C4F63">
            <w:pPr>
              <w:pStyle w:val="TableParagraph"/>
              <w:spacing w:before="108"/>
              <w:ind w:left="85"/>
              <w:jc w:val="both"/>
              <w:rPr>
                <w:rFonts w:ascii="Times New Roman" w:hAnsi="Times New Roman" w:cs="Times New Roman"/>
                <w:b/>
                <w:bCs/>
                <w:color w:val="000000" w:themeColor="text1"/>
                <w:sz w:val="20"/>
                <w:szCs w:val="20"/>
              </w:rPr>
            </w:pPr>
            <w:r>
              <w:rPr>
                <w:rFonts w:ascii="Times New Roman" w:eastAsia="Cambria" w:hAnsi="Times New Roman" w:cs="Times New Roman"/>
                <w:color w:val="000000" w:themeColor="text1"/>
                <w:sz w:val="20"/>
                <w:szCs w:val="20"/>
              </w:rPr>
              <w:t>Hat die Abwicklungsbehörde bestätigt, dass sie sich gemäß Artikel 55 Absatz 3 der Richtlinie 2014/59/EU des Europäischen Parlaments und des Rates davon überzeugt hat</w:t>
            </w:r>
            <w:r>
              <w:rPr>
                <w:rStyle w:val="FootnoteReference"/>
                <w:rFonts w:ascii="Times New Roman" w:eastAsia="Cambria" w:hAnsi="Times New Roman" w:cs="Times New Roman"/>
                <w:color w:val="000000" w:themeColor="text1"/>
              </w:rPr>
              <w:footnoteReference w:id="14"/>
            </w:r>
            <w:r w:rsidR="00AE1EA2">
              <w:rPr>
                <w:rFonts w:ascii="Times New Roman" w:eastAsia="Cambria" w:hAnsi="Times New Roman" w:cs="Times New Roman"/>
                <w:color w:val="000000" w:themeColor="text1"/>
                <w:sz w:val="20"/>
                <w:szCs w:val="20"/>
              </w:rPr>
              <w:t>,</w:t>
            </w:r>
            <w:r w:rsidR="009907F3">
              <w:rPr>
                <w:rFonts w:ascii="Times New Roman" w:eastAsia="Cambria" w:hAnsi="Times New Roman" w:cs="Times New Roman"/>
                <w:color w:val="000000" w:themeColor="text1"/>
                <w:sz w:val="20"/>
                <w:szCs w:val="20"/>
              </w:rPr>
              <w:t xml:space="preserve"> </w:t>
            </w:r>
            <w:r>
              <w:rPr>
                <w:rFonts w:ascii="Times New Roman" w:eastAsia="Cambria" w:hAnsi="Times New Roman" w:cs="Times New Roman"/>
                <w:color w:val="000000" w:themeColor="text1"/>
                <w:sz w:val="20"/>
                <w:szCs w:val="20"/>
              </w:rPr>
              <w:t>dass eine Entscheidung einer Abwicklungsbehörde über Herabschreibung oder Umwandlung einer Verbindlichkeit nach dem Recht dieses Drittlands wirksam wäre, ist diese Verbindlichkeit hier nicht anzugeben.</w:t>
            </w:r>
          </w:p>
        </w:tc>
      </w:tr>
    </w:tbl>
    <w:p w14:paraId="7FE1B532" w14:textId="77777777" w:rsidR="00696584" w:rsidRDefault="00696584">
      <w:pPr>
        <w:rPr>
          <w:rFonts w:ascii="Times New Roman" w:hAnsi="Times New Roman" w:cs="Times New Roman"/>
        </w:rPr>
      </w:pPr>
    </w:p>
    <w:p w14:paraId="7FE1B533" w14:textId="77777777" w:rsidR="00696584" w:rsidRDefault="00696584">
      <w:pPr>
        <w:rPr>
          <w:rFonts w:ascii="Times New Roman" w:hAnsi="Times New Roman" w:cs="Times New Roman"/>
          <w:color w:val="000000" w:themeColor="text1"/>
          <w:sz w:val="20"/>
          <w:szCs w:val="20"/>
        </w:rPr>
      </w:pPr>
    </w:p>
    <w:tbl>
      <w:tblPr>
        <w:tblW w:w="0" w:type="auto"/>
        <w:tblCellMar>
          <w:top w:w="57" w:type="dxa"/>
          <w:left w:w="57" w:type="dxa"/>
          <w:bottom w:w="57" w:type="dxa"/>
          <w:right w:w="0" w:type="dxa"/>
        </w:tblCellMar>
        <w:tblLook w:val="01E0" w:firstRow="1" w:lastRow="1" w:firstColumn="1" w:lastColumn="1" w:noHBand="0" w:noVBand="0"/>
      </w:tblPr>
      <w:tblGrid>
        <w:gridCol w:w="905"/>
        <w:gridCol w:w="8121"/>
      </w:tblGrid>
      <w:tr w:rsidR="00696584" w14:paraId="7FE1B536" w14:textId="77777777">
        <w:trPr>
          <w:tblHeader/>
        </w:trPr>
        <w:tc>
          <w:tcPr>
            <w:tcW w:w="905" w:type="dxa"/>
            <w:tcBorders>
              <w:top w:val="single" w:sz="4" w:space="0" w:color="1A171C"/>
              <w:left w:val="nil"/>
              <w:bottom w:val="single" w:sz="4" w:space="0" w:color="1A171C"/>
              <w:right w:val="single" w:sz="4" w:space="0" w:color="1A171C"/>
            </w:tcBorders>
            <w:shd w:val="clear" w:color="auto" w:fill="E4E5E5"/>
          </w:tcPr>
          <w:p w14:paraId="7FE1B534" w14:textId="77777777" w:rsidR="00696584" w:rsidRDefault="002C4F63">
            <w:pPr>
              <w:pStyle w:val="P68B1DB1-TableParagraph13"/>
              <w:spacing w:before="66"/>
              <w:rPr>
                <w:rFonts w:eastAsia="Cambria"/>
              </w:rPr>
            </w:pPr>
            <w:r>
              <w:lastRenderedPageBreak/>
              <w:t>Zeilen</w:t>
            </w:r>
          </w:p>
        </w:tc>
        <w:tc>
          <w:tcPr>
            <w:tcW w:w="8121" w:type="dxa"/>
            <w:tcBorders>
              <w:top w:val="single" w:sz="4" w:space="0" w:color="1A171C"/>
              <w:left w:val="single" w:sz="4" w:space="0" w:color="1A171C"/>
              <w:bottom w:val="single" w:sz="4" w:space="0" w:color="1A171C"/>
              <w:right w:val="nil"/>
            </w:tcBorders>
            <w:shd w:val="clear" w:color="auto" w:fill="E4E5E5"/>
          </w:tcPr>
          <w:p w14:paraId="7FE1B535" w14:textId="77777777" w:rsidR="00696584" w:rsidRDefault="002C4F63">
            <w:pPr>
              <w:pStyle w:val="P68B1DB1-TableParagraph13"/>
              <w:spacing w:before="66"/>
              <w:ind w:right="1"/>
              <w:jc w:val="center"/>
              <w:rPr>
                <w:rFonts w:eastAsia="Cambria"/>
              </w:rPr>
            </w:pPr>
            <w:r>
              <w:t>Erläuterungen</w:t>
            </w:r>
          </w:p>
        </w:tc>
      </w:tr>
      <w:tr w:rsidR="00696584" w14:paraId="7FE1B53B" w14:textId="77777777">
        <w:tc>
          <w:tcPr>
            <w:tcW w:w="905" w:type="dxa"/>
            <w:tcBorders>
              <w:top w:val="single" w:sz="4" w:space="0" w:color="1A171C"/>
              <w:left w:val="nil"/>
              <w:bottom w:val="single" w:sz="4" w:space="0" w:color="1A171C"/>
              <w:right w:val="single" w:sz="4" w:space="0" w:color="1A171C"/>
            </w:tcBorders>
            <w:vAlign w:val="center"/>
          </w:tcPr>
          <w:p w14:paraId="7FE1B537" w14:textId="77777777" w:rsidR="00696584" w:rsidRDefault="002C4F63">
            <w:pPr>
              <w:pStyle w:val="P68B1DB1-TableParagraph13"/>
              <w:spacing w:before="106"/>
              <w:ind w:left="-1"/>
              <w:rPr>
                <w:rFonts w:eastAsia="Cambria"/>
                <w:b/>
              </w:rPr>
            </w:pPr>
            <w:r>
              <w:t>0100</w:t>
            </w:r>
          </w:p>
        </w:tc>
        <w:tc>
          <w:tcPr>
            <w:tcW w:w="8121" w:type="dxa"/>
            <w:tcBorders>
              <w:top w:val="single" w:sz="4" w:space="0" w:color="1A171C"/>
              <w:left w:val="single" w:sz="4" w:space="0" w:color="1A171C"/>
              <w:bottom w:val="single" w:sz="4" w:space="0" w:color="1A171C"/>
              <w:right w:val="nil"/>
            </w:tcBorders>
            <w:vAlign w:val="center"/>
          </w:tcPr>
          <w:p w14:paraId="7FE1B538" w14:textId="77777777" w:rsidR="00696584" w:rsidRDefault="002C4F63">
            <w:pPr>
              <w:pStyle w:val="P68B1DB1-TableParagraph14"/>
              <w:spacing w:before="108"/>
              <w:ind w:left="85"/>
              <w:jc w:val="both"/>
            </w:pPr>
            <w:r>
              <w:t>Vom Bail-in ausgeschlossene Verbindlichkeiten</w:t>
            </w:r>
          </w:p>
          <w:p w14:paraId="7FE1B53A" w14:textId="5A5F469A" w:rsidR="00696584" w:rsidRDefault="002C4F63">
            <w:pPr>
              <w:pStyle w:val="P68B1DB1-TableParagraph17"/>
              <w:spacing w:before="108"/>
              <w:jc w:val="both"/>
            </w:pPr>
            <w:r>
              <w:t xml:space="preserve">Der Betrag der Verbindlichkeiten, für die die Abwicklungsbehörden die Herabschreibungs- oder Umwandlungsbefugnisse gemäß Artikel 44 Absatz 2 der Richtlinie 2014/59/EU nicht ausüben. </w:t>
            </w:r>
          </w:p>
        </w:tc>
      </w:tr>
      <w:tr w:rsidR="00696584" w14:paraId="7FE1B53F" w14:textId="77777777">
        <w:tc>
          <w:tcPr>
            <w:tcW w:w="905" w:type="dxa"/>
            <w:tcBorders>
              <w:top w:val="single" w:sz="4" w:space="0" w:color="1A171C"/>
              <w:left w:val="nil"/>
              <w:bottom w:val="single" w:sz="4" w:space="0" w:color="1A171C"/>
              <w:right w:val="single" w:sz="4" w:space="0" w:color="1A171C"/>
            </w:tcBorders>
            <w:vAlign w:val="center"/>
          </w:tcPr>
          <w:p w14:paraId="7FE1B53C" w14:textId="77777777" w:rsidR="00696584" w:rsidRDefault="002C4F63">
            <w:pPr>
              <w:pStyle w:val="P68B1DB1-TableParagraph13"/>
              <w:spacing w:before="106"/>
              <w:ind w:left="-1"/>
              <w:rPr>
                <w:rFonts w:eastAsia="Cambria"/>
              </w:rPr>
            </w:pPr>
            <w:r>
              <w:t>0110</w:t>
            </w:r>
          </w:p>
        </w:tc>
        <w:tc>
          <w:tcPr>
            <w:tcW w:w="8121" w:type="dxa"/>
            <w:tcBorders>
              <w:top w:val="single" w:sz="4" w:space="0" w:color="1A171C"/>
              <w:left w:val="single" w:sz="4" w:space="0" w:color="1A171C"/>
              <w:bottom w:val="single" w:sz="4" w:space="0" w:color="1A171C"/>
              <w:right w:val="nil"/>
            </w:tcBorders>
            <w:vAlign w:val="center"/>
          </w:tcPr>
          <w:p w14:paraId="7FE1B53D" w14:textId="77777777" w:rsidR="00696584" w:rsidRDefault="002C4F63">
            <w:pPr>
              <w:pStyle w:val="P68B1DB1-TableParagraph14"/>
              <w:spacing w:before="108"/>
              <w:ind w:left="85"/>
              <w:jc w:val="both"/>
            </w:pPr>
            <w:r>
              <w:t>Gedeckte Einlagen</w:t>
            </w:r>
          </w:p>
          <w:p w14:paraId="7FE1B53E" w14:textId="26B28573" w:rsidR="00696584" w:rsidRDefault="002C4F63">
            <w:pPr>
              <w:pStyle w:val="TableParagraph"/>
              <w:spacing w:before="108"/>
              <w:ind w:left="85"/>
              <w:jc w:val="both"/>
              <w:rPr>
                <w:rFonts w:ascii="Times New Roman" w:eastAsia="Book Antiqua" w:hAnsi="Times New Roman" w:cs="Times New Roman"/>
                <w:color w:val="000000" w:themeColor="text1"/>
                <w:sz w:val="20"/>
                <w:szCs w:val="20"/>
              </w:rPr>
            </w:pPr>
            <w:r>
              <w:rPr>
                <w:rFonts w:ascii="Times New Roman" w:hAnsi="Times New Roman" w:cs="Times New Roman"/>
                <w:color w:val="000000" w:themeColor="text1"/>
                <w:sz w:val="20"/>
                <w:szCs w:val="20"/>
              </w:rPr>
              <w:t>Der Betrag der gedeckten Einlagen im Sinne von Artikel 2 Absatz 1 Nummer 5 der Richtlinie 2014/49/EU des Europäischen Parlaments und des</w:t>
            </w:r>
            <w:r w:rsidR="004559DD">
              <w:rPr>
                <w:rFonts w:ascii="Times New Roman" w:hAnsi="Times New Roman" w:cs="Times New Roman"/>
                <w:color w:val="000000" w:themeColor="text1"/>
                <w:sz w:val="20"/>
                <w:szCs w:val="20"/>
              </w:rPr>
              <w:t xml:space="preserve"> Rates</w:t>
            </w:r>
            <w:r>
              <w:rPr>
                <w:rStyle w:val="FootnoteReference"/>
                <w:rFonts w:ascii="Times New Roman" w:hAnsi="Times New Roman" w:cs="Times New Roman"/>
                <w:color w:val="000000" w:themeColor="text1"/>
              </w:rPr>
              <w:footnoteReference w:id="15"/>
            </w:r>
            <w:r w:rsidR="004559DD">
              <w:rPr>
                <w:rFonts w:ascii="Times New Roman" w:hAnsi="Times New Roman" w:cs="Times New Roman"/>
                <w:color w:val="000000" w:themeColor="text1"/>
                <w:sz w:val="20"/>
                <w:szCs w:val="20"/>
              </w:rPr>
              <w:t xml:space="preserve"> </w:t>
            </w:r>
            <w:r w:rsidR="004559DD">
              <w:rPr>
                <w:rFonts w:ascii="Times New Roman" w:eastAsia="Cambria" w:hAnsi="Times New Roman" w:cs="Times New Roman"/>
                <w:color w:val="000000" w:themeColor="text1"/>
                <w:sz w:val="20"/>
                <w:szCs w:val="20"/>
              </w:rPr>
              <w:t xml:space="preserve">mit </w:t>
            </w:r>
            <w:r>
              <w:rPr>
                <w:rFonts w:ascii="Times New Roman" w:eastAsia="Cambria" w:hAnsi="Times New Roman" w:cs="Times New Roman"/>
                <w:color w:val="000000" w:themeColor="text1"/>
                <w:sz w:val="20"/>
                <w:szCs w:val="20"/>
              </w:rPr>
              <w:t>Ausnahme der in Artikel 6 Absatz 2 dieser Richtlinie genannten vorübergehend höheren Beträge.</w:t>
            </w:r>
          </w:p>
        </w:tc>
      </w:tr>
      <w:tr w:rsidR="00696584" w14:paraId="7FE1B546" w14:textId="77777777">
        <w:tc>
          <w:tcPr>
            <w:tcW w:w="905" w:type="dxa"/>
            <w:tcBorders>
              <w:top w:val="single" w:sz="4" w:space="0" w:color="1A171C"/>
              <w:left w:val="nil"/>
              <w:bottom w:val="single" w:sz="4" w:space="0" w:color="1A171C"/>
              <w:right w:val="single" w:sz="4" w:space="0" w:color="1A171C"/>
            </w:tcBorders>
            <w:vAlign w:val="center"/>
          </w:tcPr>
          <w:p w14:paraId="7FE1B540" w14:textId="77777777" w:rsidR="00696584" w:rsidRDefault="002C4F63">
            <w:pPr>
              <w:pStyle w:val="P68B1DB1-TableParagraph13"/>
              <w:spacing w:before="106"/>
              <w:ind w:left="-1"/>
              <w:rPr>
                <w:rFonts w:eastAsia="Cambria"/>
              </w:rPr>
            </w:pPr>
            <w:r>
              <w:t>0120</w:t>
            </w:r>
          </w:p>
        </w:tc>
        <w:tc>
          <w:tcPr>
            <w:tcW w:w="8121" w:type="dxa"/>
            <w:tcBorders>
              <w:top w:val="single" w:sz="4" w:space="0" w:color="1A171C"/>
              <w:left w:val="single" w:sz="4" w:space="0" w:color="1A171C"/>
              <w:bottom w:val="single" w:sz="4" w:space="0" w:color="1A171C"/>
              <w:right w:val="nil"/>
            </w:tcBorders>
            <w:vAlign w:val="center"/>
          </w:tcPr>
          <w:p w14:paraId="7FE1B541" w14:textId="77777777" w:rsidR="00696584" w:rsidRDefault="002C4F63">
            <w:pPr>
              <w:pStyle w:val="P68B1DB1-TableParagraph14"/>
              <w:spacing w:before="108"/>
              <w:ind w:left="85"/>
              <w:jc w:val="both"/>
            </w:pPr>
            <w:r>
              <w:t>Besicherte Verbindlichkeiten – besicherter Anteil</w:t>
            </w:r>
          </w:p>
          <w:p w14:paraId="7FE1B542" w14:textId="14245B0A" w:rsidR="00696584" w:rsidRDefault="002C4F63">
            <w:pPr>
              <w:pStyle w:val="P68B1DB1-TableParagraph17"/>
              <w:spacing w:before="108"/>
              <w:ind w:left="85"/>
              <w:jc w:val="both"/>
            </w:pPr>
            <w:r>
              <w:t>Die Höhe der Verbindlichkeiten gemäß Artikel 44 Absatz 2 Buchstabe b der Richtlinie 2014/59/EU.</w:t>
            </w:r>
          </w:p>
          <w:p w14:paraId="7FE1B543" w14:textId="54FBD389" w:rsidR="00696584" w:rsidRDefault="002C4F63">
            <w:pPr>
              <w:pStyle w:val="P68B1DB1-TableParagraph17"/>
              <w:spacing w:before="108"/>
              <w:ind w:left="85"/>
              <w:jc w:val="both"/>
            </w:pPr>
            <w:r>
              <w:t>Besicherte Verbindlichkeiten einschließlich Pensionsgeschäfte (Repos), gedeckte Schuldverschreibungen und Verbindlichkeiten in Form von Finanzinstrumenten, die einen festen Bestandteil des Deckungsstocks bilden und die nach einzelstaatlichem Recht ähnlich wie gedeckte Schuldverschreibungen besichert sind.</w:t>
            </w:r>
          </w:p>
          <w:p w14:paraId="7FE1B544" w14:textId="77777777" w:rsidR="00696584" w:rsidRDefault="002C4F63">
            <w:pPr>
              <w:pStyle w:val="P68B1DB1-TableParagraph17"/>
              <w:spacing w:before="108"/>
              <w:ind w:left="85"/>
              <w:jc w:val="both"/>
            </w:pPr>
            <w:r>
              <w:t>Weder die Anforderung, dass sämtliche besicherten Vermögenswerte im Zusammenhang mit einem Deckungsstock für gedeckte Schuldverschreibungen weiterhin unberührt bleiben, getrennt behandelt werden und mit ausreichenden Mitteln ausgestattet sind, noch die Ausnahme nach Artikel 44 Absatz 2 Buchstabe b der Richtlinie 2014/59/EU hindern die Abwicklungsbehörden daran, soweit dies angezeigt ist, die betreffenden Befugnisse in Bezug auf einen beliebigen Teil einer besicherten Verbindlichkeit oder einer Verbindlichkeit anzuwenden, für die eine Pfandsicherheit gestellt wurde, der den Wert der Vermögenswerte, des als Sicherheit gestellten Pfands, des Zurückbehaltungsrechts oder der Sicherheit, gegen die sie besichert ist, übersteigt. In dieser Weise ungedeckte Beträge dieser besicherten Verbindlichkeiten werden nicht in dieser Zeile ausgewiesen, sondern in Zeile 0340, wo sie weiter aufzuschlüsseln sind.</w:t>
            </w:r>
          </w:p>
          <w:p w14:paraId="7FE1B545" w14:textId="4C709AAA" w:rsidR="00696584" w:rsidRDefault="002C4F63">
            <w:pPr>
              <w:pStyle w:val="P68B1DB1-TableParagraph20"/>
              <w:spacing w:before="108"/>
              <w:ind w:left="85"/>
              <w:jc w:val="both"/>
              <w:rPr>
                <w:color w:val="000000" w:themeColor="text1"/>
              </w:rPr>
            </w:pPr>
            <w:r>
              <w:rPr>
                <w:color w:val="000000" w:themeColor="text1"/>
              </w:rPr>
              <w:t>Verbindlichkeiten von Zentralbanken, die durch einen Sicherheitenpool gedeckt sind (z. B.</w:t>
            </w:r>
            <w:r w:rsidR="004559DD">
              <w:rPr>
                <w:color w:val="000000" w:themeColor="text1"/>
              </w:rPr>
              <w:t xml:space="preserve"> </w:t>
            </w:r>
            <w:r>
              <w:rPr>
                <w:color w:val="1A171C"/>
              </w:rPr>
              <w:t>Hauptrefinanzierungsgeschäfte, langfristige Refinanzierungsgeschäfte oder gezielte längerfristige Refinanzierungsgeschäfte usw.</w:t>
            </w:r>
            <w:r>
              <w:rPr>
                <w:color w:val="000000" w:themeColor="text1"/>
              </w:rPr>
              <w:t xml:space="preserve">) gelten als besicherte Verbindlichkeiten. </w:t>
            </w:r>
          </w:p>
        </w:tc>
      </w:tr>
      <w:tr w:rsidR="00696584" w14:paraId="7FE1B54B" w14:textId="77777777">
        <w:tc>
          <w:tcPr>
            <w:tcW w:w="905" w:type="dxa"/>
            <w:tcBorders>
              <w:top w:val="single" w:sz="4" w:space="0" w:color="1A171C"/>
              <w:left w:val="nil"/>
              <w:bottom w:val="single" w:sz="4" w:space="0" w:color="1A171C"/>
              <w:right w:val="single" w:sz="4" w:space="0" w:color="1A171C"/>
            </w:tcBorders>
            <w:vAlign w:val="center"/>
          </w:tcPr>
          <w:p w14:paraId="7FE1B547" w14:textId="77777777" w:rsidR="00696584" w:rsidRDefault="002C4F63">
            <w:pPr>
              <w:pStyle w:val="P68B1DB1-TableParagraph13"/>
              <w:spacing w:before="106"/>
              <w:ind w:left="-1"/>
            </w:pPr>
            <w:r>
              <w:t>0130</w:t>
            </w:r>
          </w:p>
        </w:tc>
        <w:tc>
          <w:tcPr>
            <w:tcW w:w="8121" w:type="dxa"/>
            <w:tcBorders>
              <w:top w:val="single" w:sz="4" w:space="0" w:color="1A171C"/>
              <w:left w:val="single" w:sz="4" w:space="0" w:color="1A171C"/>
              <w:bottom w:val="single" w:sz="4" w:space="0" w:color="1A171C"/>
              <w:right w:val="nil"/>
            </w:tcBorders>
            <w:vAlign w:val="center"/>
          </w:tcPr>
          <w:p w14:paraId="7FE1B548" w14:textId="77777777" w:rsidR="00696584" w:rsidRDefault="002C4F63">
            <w:pPr>
              <w:pStyle w:val="P68B1DB1-TableParagraph14"/>
              <w:spacing w:before="108"/>
              <w:ind w:left="85"/>
              <w:jc w:val="both"/>
            </w:pPr>
            <w:r>
              <w:t>Kundenverbindlichkeiten, sofern im Insolvenzfall geschützt</w:t>
            </w:r>
          </w:p>
          <w:p w14:paraId="7FE1B54A" w14:textId="2F60701C" w:rsidR="00696584" w:rsidRDefault="002C4F63">
            <w:pPr>
              <w:pStyle w:val="P68B1DB1-TableParagraph17"/>
              <w:spacing w:before="108"/>
              <w:ind w:left="85"/>
              <w:jc w:val="both"/>
              <w:rPr>
                <w:b/>
                <w:bCs/>
              </w:rPr>
            </w:pPr>
            <w:r>
              <w:t>Der Betrag der Verbindlichkeiten gemäß Artikel 44 Absatz 2 Buchstabe c der Richtlinie 2014/59/EU.</w:t>
            </w:r>
          </w:p>
        </w:tc>
      </w:tr>
      <w:tr w:rsidR="00696584" w14:paraId="7FE1B550" w14:textId="77777777">
        <w:tc>
          <w:tcPr>
            <w:tcW w:w="905" w:type="dxa"/>
            <w:tcBorders>
              <w:top w:val="single" w:sz="4" w:space="0" w:color="1A171C"/>
              <w:left w:val="nil"/>
              <w:bottom w:val="single" w:sz="4" w:space="0" w:color="1A171C"/>
              <w:right w:val="single" w:sz="4" w:space="0" w:color="1A171C"/>
            </w:tcBorders>
            <w:vAlign w:val="center"/>
          </w:tcPr>
          <w:p w14:paraId="7FE1B54C" w14:textId="77777777" w:rsidR="00696584" w:rsidRDefault="002C4F63">
            <w:pPr>
              <w:pStyle w:val="P68B1DB1-TableParagraph13"/>
              <w:spacing w:before="106"/>
              <w:ind w:left="-1"/>
            </w:pPr>
            <w:r>
              <w:t>0140</w:t>
            </w:r>
          </w:p>
        </w:tc>
        <w:tc>
          <w:tcPr>
            <w:tcW w:w="8121" w:type="dxa"/>
            <w:tcBorders>
              <w:top w:val="single" w:sz="4" w:space="0" w:color="1A171C"/>
              <w:left w:val="single" w:sz="4" w:space="0" w:color="1A171C"/>
              <w:bottom w:val="single" w:sz="4" w:space="0" w:color="1A171C"/>
              <w:right w:val="nil"/>
            </w:tcBorders>
            <w:vAlign w:val="center"/>
          </w:tcPr>
          <w:p w14:paraId="7FE1B54D" w14:textId="77777777" w:rsidR="00696584" w:rsidRDefault="002C4F63">
            <w:pPr>
              <w:pStyle w:val="P68B1DB1-TableParagraph14"/>
              <w:spacing w:before="108"/>
              <w:ind w:left="85"/>
              <w:jc w:val="both"/>
            </w:pPr>
            <w:r>
              <w:t>Treuhandverbindlichkeiten, sofern im Insolvenzfall geschützt</w:t>
            </w:r>
          </w:p>
          <w:p w14:paraId="7FE1B54F" w14:textId="76B21996" w:rsidR="00696584" w:rsidRDefault="002C4F63">
            <w:pPr>
              <w:pStyle w:val="P68B1DB1-TableParagraph17"/>
              <w:spacing w:before="108"/>
              <w:ind w:left="85"/>
              <w:jc w:val="both"/>
              <w:rPr>
                <w:b/>
                <w:bCs/>
              </w:rPr>
            </w:pPr>
            <w:r>
              <w:t>Der Betrag der Verbindlichkeiten gemäß Artikel 44 Absatz 2 Buchstabe d der Richtlinie 2014/59/EU.</w:t>
            </w:r>
          </w:p>
        </w:tc>
      </w:tr>
      <w:tr w:rsidR="00696584" w14:paraId="7FE1B555" w14:textId="77777777">
        <w:tc>
          <w:tcPr>
            <w:tcW w:w="905" w:type="dxa"/>
            <w:tcBorders>
              <w:top w:val="single" w:sz="4" w:space="0" w:color="1A171C"/>
              <w:left w:val="nil"/>
              <w:bottom w:val="single" w:sz="4" w:space="0" w:color="1A171C"/>
              <w:right w:val="single" w:sz="4" w:space="0" w:color="1A171C"/>
            </w:tcBorders>
            <w:vAlign w:val="center"/>
          </w:tcPr>
          <w:p w14:paraId="7FE1B551" w14:textId="77777777" w:rsidR="00696584" w:rsidRDefault="002C4F63">
            <w:pPr>
              <w:pStyle w:val="P68B1DB1-TableParagraph13"/>
              <w:spacing w:before="106"/>
              <w:ind w:left="-1"/>
            </w:pPr>
            <w:r>
              <w:t>0150</w:t>
            </w:r>
          </w:p>
        </w:tc>
        <w:tc>
          <w:tcPr>
            <w:tcW w:w="8121" w:type="dxa"/>
            <w:tcBorders>
              <w:top w:val="single" w:sz="4" w:space="0" w:color="1A171C"/>
              <w:left w:val="single" w:sz="4" w:space="0" w:color="1A171C"/>
              <w:bottom w:val="single" w:sz="4" w:space="0" w:color="1A171C"/>
              <w:right w:val="nil"/>
            </w:tcBorders>
            <w:vAlign w:val="center"/>
          </w:tcPr>
          <w:p w14:paraId="7FE1B552" w14:textId="7E3B028B" w:rsidR="00696584" w:rsidRDefault="002C4F63">
            <w:pPr>
              <w:pStyle w:val="P68B1DB1-TableParagraph14"/>
              <w:spacing w:before="108"/>
              <w:ind w:left="85"/>
              <w:jc w:val="both"/>
            </w:pPr>
            <w:r>
              <w:t xml:space="preserve">Verbindlichkeiten </w:t>
            </w:r>
            <w:r w:rsidR="004559DD">
              <w:t>gegenüber Instituten</w:t>
            </w:r>
            <w:r>
              <w:t xml:space="preserve"> </w:t>
            </w:r>
            <w:r w:rsidR="009275AB">
              <w:t xml:space="preserve">&lt; </w:t>
            </w:r>
            <w:r>
              <w:t xml:space="preserve">7 Tage </w:t>
            </w:r>
          </w:p>
          <w:p w14:paraId="7FE1B554" w14:textId="175AD873" w:rsidR="00696584" w:rsidRDefault="002C4F63">
            <w:pPr>
              <w:pStyle w:val="P68B1DB1-TableParagraph17"/>
              <w:spacing w:before="108"/>
              <w:ind w:left="85"/>
              <w:jc w:val="both"/>
              <w:rPr>
                <w:b/>
                <w:bCs/>
              </w:rPr>
            </w:pPr>
            <w:r>
              <w:t>Der Betrag der Verbindlichkeiten gemäß Artikel 44 Absatz 2 Buchstabe e der Richtlinie 2014/59/EU.</w:t>
            </w:r>
          </w:p>
        </w:tc>
      </w:tr>
      <w:tr w:rsidR="00696584" w14:paraId="7FE1B559" w14:textId="77777777">
        <w:tc>
          <w:tcPr>
            <w:tcW w:w="905" w:type="dxa"/>
            <w:tcBorders>
              <w:top w:val="single" w:sz="4" w:space="0" w:color="1A171C"/>
              <w:left w:val="nil"/>
              <w:bottom w:val="single" w:sz="4" w:space="0" w:color="1A171C"/>
              <w:right w:val="single" w:sz="4" w:space="0" w:color="1A171C"/>
            </w:tcBorders>
            <w:vAlign w:val="center"/>
          </w:tcPr>
          <w:p w14:paraId="7FE1B556" w14:textId="77777777" w:rsidR="00696584" w:rsidRDefault="002C4F63">
            <w:pPr>
              <w:pStyle w:val="P68B1DB1-TableParagraph13"/>
              <w:spacing w:before="106"/>
              <w:ind w:left="-1"/>
            </w:pPr>
            <w:r>
              <w:t>0161</w:t>
            </w:r>
          </w:p>
        </w:tc>
        <w:tc>
          <w:tcPr>
            <w:tcW w:w="8121" w:type="dxa"/>
            <w:tcBorders>
              <w:top w:val="single" w:sz="4" w:space="0" w:color="1A171C"/>
              <w:left w:val="single" w:sz="4" w:space="0" w:color="1A171C"/>
              <w:bottom w:val="single" w:sz="4" w:space="0" w:color="1A171C"/>
              <w:right w:val="nil"/>
            </w:tcBorders>
            <w:vAlign w:val="center"/>
          </w:tcPr>
          <w:p w14:paraId="7FE1B557" w14:textId="6B9BED7B" w:rsidR="00696584" w:rsidRDefault="002C4F63">
            <w:pPr>
              <w:pStyle w:val="P68B1DB1-TableParagraph14"/>
              <w:spacing w:before="108"/>
              <w:ind w:left="85"/>
              <w:jc w:val="both"/>
            </w:pPr>
            <w:r>
              <w:t>Verbindlichkeiten gegenüber Systemen oder Systembetreibern und CCP</w:t>
            </w:r>
            <w:r w:rsidR="004559DD">
              <w:t>s</w:t>
            </w:r>
            <w:r>
              <w:t xml:space="preserve"> &lt; 7 Tage</w:t>
            </w:r>
          </w:p>
          <w:p w14:paraId="7FE1B558" w14:textId="79B15273" w:rsidR="00696584" w:rsidRDefault="002C4F63">
            <w:pPr>
              <w:pStyle w:val="P68B1DB1-TableParagraph17"/>
              <w:spacing w:before="108"/>
              <w:ind w:left="85"/>
              <w:jc w:val="both"/>
              <w:rPr>
                <w:b/>
                <w:bCs/>
              </w:rPr>
            </w:pPr>
            <w:r>
              <w:t xml:space="preserve">Der Betrag der in Artikel 44 Absatz 2 Buchstabe f der Richtlinie 2014/59/EU genannten Verbindlichkeiten, einschließlich Zahlungs- und Wertpapierabwicklungssystemen und Clearinghäusern sowie von CCP-geclearten Derivaten mit einer Laufzeit von weniger als 7 Tagen. </w:t>
            </w:r>
          </w:p>
        </w:tc>
      </w:tr>
      <w:tr w:rsidR="00696584" w14:paraId="7FE1B55E" w14:textId="77777777">
        <w:tc>
          <w:tcPr>
            <w:tcW w:w="905" w:type="dxa"/>
            <w:tcBorders>
              <w:top w:val="single" w:sz="4" w:space="0" w:color="1A171C"/>
              <w:left w:val="nil"/>
              <w:bottom w:val="single" w:sz="4" w:space="0" w:color="1A171C"/>
              <w:right w:val="single" w:sz="4" w:space="0" w:color="1A171C"/>
            </w:tcBorders>
            <w:vAlign w:val="center"/>
          </w:tcPr>
          <w:p w14:paraId="7FE1B55A" w14:textId="77777777" w:rsidR="00696584" w:rsidRDefault="002C4F63">
            <w:pPr>
              <w:pStyle w:val="P68B1DB1-TableParagraph13"/>
              <w:spacing w:before="106"/>
              <w:ind w:left="-1"/>
            </w:pPr>
            <w:r>
              <w:t>0170</w:t>
            </w:r>
          </w:p>
        </w:tc>
        <w:tc>
          <w:tcPr>
            <w:tcW w:w="8121" w:type="dxa"/>
            <w:tcBorders>
              <w:top w:val="single" w:sz="4" w:space="0" w:color="1A171C"/>
              <w:left w:val="single" w:sz="4" w:space="0" w:color="1A171C"/>
              <w:bottom w:val="single" w:sz="4" w:space="0" w:color="1A171C"/>
              <w:right w:val="nil"/>
            </w:tcBorders>
            <w:vAlign w:val="center"/>
          </w:tcPr>
          <w:p w14:paraId="7FE1B55B" w14:textId="77777777" w:rsidR="00696584" w:rsidRDefault="002C4F63">
            <w:pPr>
              <w:pStyle w:val="P68B1DB1-TableParagraph14"/>
              <w:spacing w:before="108"/>
              <w:ind w:left="85"/>
              <w:jc w:val="both"/>
            </w:pPr>
            <w:r>
              <w:t>Verbindlichkeiten gegenüber Beschäftigten</w:t>
            </w:r>
          </w:p>
          <w:p w14:paraId="7FE1B55C" w14:textId="77777777" w:rsidR="00696584" w:rsidRDefault="002C4F63">
            <w:pPr>
              <w:pStyle w:val="P68B1DB1-TableParagraph17"/>
              <w:spacing w:before="108"/>
              <w:ind w:left="85"/>
              <w:jc w:val="both"/>
            </w:pPr>
            <w:r>
              <w:lastRenderedPageBreak/>
              <w:t>Der Betrag der Verbindlichkeiten gemäß Artikel 44 Absatz 2 Buchstabe g Ziffer i der Richtlinie 2014/59/EU.</w:t>
            </w:r>
          </w:p>
          <w:p w14:paraId="7FE1B55D" w14:textId="77777777" w:rsidR="00696584" w:rsidRDefault="002C4F63">
            <w:pPr>
              <w:pStyle w:val="P68B1DB1-TableParagraph17"/>
              <w:spacing w:before="108"/>
              <w:ind w:left="85"/>
              <w:jc w:val="both"/>
              <w:rPr>
                <w:b/>
                <w:bCs/>
              </w:rPr>
            </w:pPr>
            <w:r>
              <w:t>Verbindlichkeiten gegenüber Beschäftigten aufgrund ausstehender Lohnforderungen, Rentenleistungen oder anderer fester Vergütungen, ausgenommen variable Vergütungsbestandteile, die nicht tarifvertraglich geregelt sind. Hiervon ausgenommen ist der variable Bestandteil von Vergütungen von Trägern eines erheblichen Risikos nach Artikel 92 Absatz 2 der Richtlinie 2013/36/EU.</w:t>
            </w:r>
          </w:p>
        </w:tc>
      </w:tr>
      <w:tr w:rsidR="00696584" w14:paraId="7FE1B563" w14:textId="77777777">
        <w:tc>
          <w:tcPr>
            <w:tcW w:w="905" w:type="dxa"/>
            <w:tcBorders>
              <w:top w:val="single" w:sz="4" w:space="0" w:color="1A171C"/>
              <w:left w:val="nil"/>
              <w:bottom w:val="single" w:sz="4" w:space="0" w:color="1A171C"/>
              <w:right w:val="single" w:sz="4" w:space="0" w:color="1A171C"/>
            </w:tcBorders>
            <w:vAlign w:val="center"/>
          </w:tcPr>
          <w:p w14:paraId="7FE1B55F" w14:textId="77777777" w:rsidR="00696584" w:rsidRDefault="002C4F63">
            <w:pPr>
              <w:pStyle w:val="P68B1DB1-TableParagraph13"/>
              <w:spacing w:before="106"/>
              <w:ind w:left="-1"/>
            </w:pPr>
            <w:r>
              <w:lastRenderedPageBreak/>
              <w:t>0180</w:t>
            </w:r>
          </w:p>
        </w:tc>
        <w:tc>
          <w:tcPr>
            <w:tcW w:w="8121" w:type="dxa"/>
            <w:tcBorders>
              <w:top w:val="single" w:sz="4" w:space="0" w:color="1A171C"/>
              <w:left w:val="single" w:sz="4" w:space="0" w:color="1A171C"/>
              <w:bottom w:val="single" w:sz="4" w:space="0" w:color="1A171C"/>
              <w:right w:val="nil"/>
            </w:tcBorders>
            <w:vAlign w:val="center"/>
          </w:tcPr>
          <w:p w14:paraId="7FE1B560" w14:textId="77777777" w:rsidR="00696584" w:rsidRDefault="002C4F63">
            <w:pPr>
              <w:pStyle w:val="P68B1DB1-TableParagraph14"/>
              <w:spacing w:before="108"/>
              <w:ind w:left="85"/>
              <w:jc w:val="both"/>
            </w:pPr>
            <w:r>
              <w:t>Verbindlichkeiten, die für den alltäglichen Geschäftsbetrieb von wesentlicher Bedeutung sind</w:t>
            </w:r>
          </w:p>
          <w:p w14:paraId="7FE1B562" w14:textId="61C90413" w:rsidR="00696584" w:rsidRDefault="002C4F63">
            <w:pPr>
              <w:pStyle w:val="P68B1DB1-TableParagraph17"/>
              <w:spacing w:before="108"/>
              <w:ind w:left="85"/>
              <w:jc w:val="both"/>
              <w:rPr>
                <w:b/>
                <w:bCs/>
              </w:rPr>
            </w:pPr>
            <w:r>
              <w:t>Der Betrag der Verbindlichkeiten gemäß Artikel 44 Absatz 2 Buchstabe g Ziffer ii der Richtlinie 2014/59/EU.</w:t>
            </w:r>
          </w:p>
        </w:tc>
      </w:tr>
      <w:tr w:rsidR="00696584" w14:paraId="7FE1B568" w14:textId="77777777">
        <w:tc>
          <w:tcPr>
            <w:tcW w:w="905" w:type="dxa"/>
            <w:tcBorders>
              <w:top w:val="single" w:sz="4" w:space="0" w:color="1A171C"/>
              <w:left w:val="nil"/>
              <w:bottom w:val="single" w:sz="4" w:space="0" w:color="1A171C"/>
              <w:right w:val="single" w:sz="4" w:space="0" w:color="1A171C"/>
            </w:tcBorders>
            <w:vAlign w:val="center"/>
          </w:tcPr>
          <w:p w14:paraId="7FE1B564" w14:textId="77777777" w:rsidR="00696584" w:rsidRDefault="002C4F63">
            <w:pPr>
              <w:pStyle w:val="P68B1DB1-TableParagraph13"/>
              <w:spacing w:before="106"/>
              <w:ind w:left="-1"/>
            </w:pPr>
            <w:r>
              <w:t>0190</w:t>
            </w:r>
          </w:p>
        </w:tc>
        <w:tc>
          <w:tcPr>
            <w:tcW w:w="8121" w:type="dxa"/>
            <w:tcBorders>
              <w:top w:val="single" w:sz="4" w:space="0" w:color="1A171C"/>
              <w:left w:val="single" w:sz="4" w:space="0" w:color="1A171C"/>
              <w:bottom w:val="single" w:sz="4" w:space="0" w:color="1A171C"/>
              <w:right w:val="nil"/>
            </w:tcBorders>
            <w:vAlign w:val="center"/>
          </w:tcPr>
          <w:p w14:paraId="7FE1B565" w14:textId="77777777" w:rsidR="00696584" w:rsidRDefault="002C4F63">
            <w:pPr>
              <w:pStyle w:val="P68B1DB1-TableParagraph14"/>
              <w:spacing w:before="108"/>
              <w:ind w:left="85"/>
              <w:jc w:val="both"/>
            </w:pPr>
            <w:r>
              <w:t>Verbindlichkeiten gegenüber Steuer- und Sozialversicherungsbehörden, sofern vorrangig</w:t>
            </w:r>
          </w:p>
          <w:p w14:paraId="7FE1B567" w14:textId="46841715" w:rsidR="00696584" w:rsidRDefault="002C4F63">
            <w:pPr>
              <w:pStyle w:val="P68B1DB1-TableParagraph17"/>
              <w:spacing w:before="108"/>
              <w:ind w:left="85"/>
              <w:jc w:val="both"/>
              <w:rPr>
                <w:b/>
                <w:bCs/>
              </w:rPr>
            </w:pPr>
            <w:r>
              <w:t>Der Betrag der Verbindlichkeiten gemäß Artikel 44 Absatz 2 Buchstabe g Ziffer iii der Richtlinie 2014/59/EU.</w:t>
            </w:r>
          </w:p>
        </w:tc>
      </w:tr>
      <w:tr w:rsidR="00696584" w14:paraId="7FE1B56D" w14:textId="77777777">
        <w:tc>
          <w:tcPr>
            <w:tcW w:w="905" w:type="dxa"/>
            <w:tcBorders>
              <w:top w:val="single" w:sz="4" w:space="0" w:color="1A171C"/>
              <w:left w:val="nil"/>
              <w:bottom w:val="single" w:sz="4" w:space="0" w:color="1A171C"/>
              <w:right w:val="single" w:sz="4" w:space="0" w:color="1A171C"/>
            </w:tcBorders>
            <w:vAlign w:val="center"/>
          </w:tcPr>
          <w:p w14:paraId="7FE1B569" w14:textId="77777777" w:rsidR="00696584" w:rsidRDefault="002C4F63">
            <w:pPr>
              <w:pStyle w:val="P68B1DB1-TableParagraph13"/>
              <w:spacing w:before="106"/>
              <w:ind w:left="-1"/>
            </w:pPr>
            <w:r>
              <w:t>0200</w:t>
            </w:r>
          </w:p>
        </w:tc>
        <w:tc>
          <w:tcPr>
            <w:tcW w:w="8121" w:type="dxa"/>
            <w:tcBorders>
              <w:top w:val="single" w:sz="4" w:space="0" w:color="1A171C"/>
              <w:left w:val="single" w:sz="4" w:space="0" w:color="1A171C"/>
              <w:bottom w:val="single" w:sz="4" w:space="0" w:color="1A171C"/>
              <w:right w:val="nil"/>
            </w:tcBorders>
            <w:vAlign w:val="center"/>
          </w:tcPr>
          <w:p w14:paraId="7FE1B56A" w14:textId="77777777" w:rsidR="00696584" w:rsidRDefault="002C4F63">
            <w:pPr>
              <w:pStyle w:val="P68B1DB1-TableParagraph14"/>
              <w:spacing w:before="108"/>
              <w:ind w:left="85"/>
              <w:jc w:val="both"/>
            </w:pPr>
            <w:r>
              <w:t>Verbindlichkeiten gegenüber Einlagensicherungssystemen</w:t>
            </w:r>
          </w:p>
          <w:p w14:paraId="7FE1B56C" w14:textId="69555433" w:rsidR="00696584" w:rsidRDefault="002C4F63">
            <w:pPr>
              <w:pStyle w:val="P68B1DB1-TableParagraph17"/>
              <w:spacing w:before="108"/>
              <w:ind w:left="85"/>
              <w:jc w:val="both"/>
              <w:rPr>
                <w:b/>
                <w:bCs/>
              </w:rPr>
            </w:pPr>
            <w:r>
              <w:t>Der Betrag der Verbindlichkeiten gemäß Artikel 44 Absatz 2 Buchstabe g Ziffer iv der Richtlinie 2014/59/EU.</w:t>
            </w:r>
          </w:p>
        </w:tc>
      </w:tr>
      <w:tr w:rsidR="00696584" w14:paraId="7FE1B574" w14:textId="77777777">
        <w:tc>
          <w:tcPr>
            <w:tcW w:w="905" w:type="dxa"/>
            <w:tcBorders>
              <w:top w:val="single" w:sz="4" w:space="0" w:color="1A171C"/>
              <w:left w:val="nil"/>
              <w:bottom w:val="single" w:sz="4" w:space="0" w:color="1A171C"/>
              <w:right w:val="single" w:sz="4" w:space="0" w:color="1A171C"/>
            </w:tcBorders>
            <w:vAlign w:val="center"/>
          </w:tcPr>
          <w:p w14:paraId="7FE1B56E" w14:textId="77777777" w:rsidR="00696584" w:rsidRDefault="002C4F63">
            <w:pPr>
              <w:pStyle w:val="P68B1DB1-TableParagraph13"/>
              <w:spacing w:before="106"/>
              <w:ind w:left="-1"/>
            </w:pPr>
            <w:r>
              <w:t>0210</w:t>
            </w:r>
          </w:p>
        </w:tc>
        <w:tc>
          <w:tcPr>
            <w:tcW w:w="8121" w:type="dxa"/>
            <w:tcBorders>
              <w:top w:val="single" w:sz="4" w:space="0" w:color="1A171C"/>
              <w:left w:val="single" w:sz="4" w:space="0" w:color="1A171C"/>
              <w:bottom w:val="single" w:sz="4" w:space="0" w:color="1A171C"/>
              <w:right w:val="nil"/>
            </w:tcBorders>
            <w:vAlign w:val="center"/>
          </w:tcPr>
          <w:p w14:paraId="7FE1B56F" w14:textId="38DD973E" w:rsidR="00696584" w:rsidRDefault="002C4F63">
            <w:pPr>
              <w:pStyle w:val="P68B1DB1-TableParagraph14"/>
              <w:spacing w:before="108"/>
              <w:ind w:left="85"/>
              <w:jc w:val="both"/>
            </w:pPr>
            <w:r>
              <w:t xml:space="preserve">Verbindlichkeiten gegenüber anderen </w:t>
            </w:r>
            <w:r w:rsidR="004559DD">
              <w:t xml:space="preserve">Einheiten </w:t>
            </w:r>
            <w:r>
              <w:t>der Abwicklungsgruppe</w:t>
            </w:r>
          </w:p>
          <w:p w14:paraId="7FE1B570" w14:textId="77777777" w:rsidR="00696584" w:rsidRDefault="002C4F63">
            <w:pPr>
              <w:pStyle w:val="P68B1DB1-TableParagraph17"/>
              <w:spacing w:before="108"/>
              <w:ind w:left="85"/>
              <w:jc w:val="both"/>
            </w:pPr>
            <w:r>
              <w:t>Der Betrag der Verbindlichkeiten gemäß Artikel 44 Absatz 2 Buchstabe h der Richtlinie 2014/59/EU</w:t>
            </w:r>
          </w:p>
          <w:p w14:paraId="7FE1B571" w14:textId="098C1D7E" w:rsidR="00696584" w:rsidRDefault="002C4F63">
            <w:pPr>
              <w:pStyle w:val="P68B1DB1-TableParagraph17"/>
              <w:spacing w:before="108"/>
              <w:ind w:left="85"/>
              <w:jc w:val="both"/>
            </w:pPr>
            <w:r>
              <w:t>Handelt es sich bei der ausgenommenen Verbindlichkeit um eine Derivatverbindlichkeit, so sind die Nettoverbindlichkeiten unter Berücksichtigung der in Artikel 429c der Verordnung (EU) Nr. 575/2013 festgelegten aufsichtlichen Saldierungsregeln für die Spalten „ausstehende Beträge“ (wie in Zeile r0334) auszuweisen. In den Spalten, die sich auf den „Buchwert“ beziehen, sind die Bilanzverbindlichkeiten aus Derivaten auszuweisen (siehe Zeile r0330).</w:t>
            </w:r>
          </w:p>
          <w:p w14:paraId="7FE1B572" w14:textId="5F543301" w:rsidR="00696584" w:rsidRDefault="002C4F63">
            <w:pPr>
              <w:pStyle w:val="P68B1DB1-TableParagraph17"/>
              <w:spacing w:before="108"/>
              <w:ind w:left="85"/>
              <w:jc w:val="both"/>
            </w:pPr>
            <w:r>
              <w:t>Wird das berichtende Unternehmen nicht selbst als Abwicklungseinheit identifiziert, so muss es nur die unter Artikel 44 Absatz 2 Buchstabe h BRRD fallenden Verbindlichkeiten melden, die von seinen Tochterunternehmen gehalten werden, die ebenfalls keine Abwicklungseinheiten, sondern Teil derselben Abwicklungsgruppe wie das meldende Unternehmen sind.</w:t>
            </w:r>
          </w:p>
          <w:p w14:paraId="7FE1B573" w14:textId="0A9C3B4A" w:rsidR="00696584" w:rsidRDefault="002C4F63">
            <w:pPr>
              <w:pStyle w:val="P68B1DB1-TableParagraph17"/>
              <w:spacing w:before="108"/>
              <w:ind w:left="85"/>
              <w:jc w:val="both"/>
            </w:pPr>
            <w:r>
              <w:t xml:space="preserve">Gruppeninterne Verbindlichkeiten für außerhalb der EU niedergelassene Unternehmen werden gemäß Artikel 1 Absatz 1 Buchstaben b, c oder d der BRRD gemäß Artikel 44 Absatz 2 Buchstabe h der BRRD nicht in dieser Zeile ausgewiesen. </w:t>
            </w:r>
          </w:p>
        </w:tc>
      </w:tr>
      <w:tr w:rsidR="00696584" w14:paraId="7FE1B578" w14:textId="77777777">
        <w:tc>
          <w:tcPr>
            <w:tcW w:w="905" w:type="dxa"/>
            <w:tcBorders>
              <w:top w:val="single" w:sz="4" w:space="0" w:color="1A171C"/>
              <w:left w:val="nil"/>
              <w:bottom w:val="single" w:sz="4" w:space="0" w:color="1A171C"/>
              <w:right w:val="single" w:sz="4" w:space="0" w:color="1A171C"/>
            </w:tcBorders>
            <w:vAlign w:val="center"/>
          </w:tcPr>
          <w:p w14:paraId="7FE1B575" w14:textId="77777777" w:rsidR="00696584" w:rsidRDefault="002C4F63">
            <w:pPr>
              <w:pStyle w:val="P68B1DB1-TableParagraph13"/>
              <w:spacing w:before="106"/>
              <w:ind w:left="-1"/>
            </w:pPr>
            <w:r>
              <w:t>0300</w:t>
            </w:r>
          </w:p>
        </w:tc>
        <w:tc>
          <w:tcPr>
            <w:tcW w:w="8121" w:type="dxa"/>
            <w:tcBorders>
              <w:top w:val="single" w:sz="4" w:space="0" w:color="1A171C"/>
              <w:left w:val="single" w:sz="4" w:space="0" w:color="1A171C"/>
              <w:bottom w:val="single" w:sz="4" w:space="0" w:color="1A171C"/>
              <w:right w:val="nil"/>
            </w:tcBorders>
            <w:vAlign w:val="center"/>
          </w:tcPr>
          <w:p w14:paraId="7FE1B576" w14:textId="77777777" w:rsidR="00696584" w:rsidRDefault="002C4F63">
            <w:pPr>
              <w:pStyle w:val="P68B1DB1-TableParagraph14"/>
              <w:spacing w:before="108"/>
              <w:ind w:left="85"/>
              <w:jc w:val="both"/>
            </w:pPr>
            <w:r>
              <w:t>Nicht vom Bail-in ausgeschlossene Verbindlichkeiten</w:t>
            </w:r>
          </w:p>
          <w:p w14:paraId="7FE1B577" w14:textId="06299840" w:rsidR="00696584" w:rsidRDefault="002C4F63">
            <w:pPr>
              <w:pStyle w:val="P68B1DB1-TableParagraph17"/>
              <w:spacing w:before="108"/>
              <w:ind w:left="85"/>
              <w:jc w:val="both"/>
              <w:rPr>
                <w:b/>
                <w:bCs/>
              </w:rPr>
            </w:pPr>
            <w:r>
              <w:t>Der Betrag der bail-in-fähigen Verbindlichkeiten im Sinne von Artikel 2 Absatz 1 Nummer 71 der Richtlinie 2014/59/EU. Summe der Zeilen 0310, 0320, 0330, 0334, 0340, 0350, 0360, 0365, 0370, 0380, 0390 und 0400.</w:t>
            </w:r>
          </w:p>
        </w:tc>
      </w:tr>
      <w:tr w:rsidR="00696584" w14:paraId="7FE1B57D" w14:textId="77777777">
        <w:tc>
          <w:tcPr>
            <w:tcW w:w="905" w:type="dxa"/>
            <w:tcBorders>
              <w:top w:val="single" w:sz="4" w:space="0" w:color="1A171C"/>
              <w:left w:val="nil"/>
              <w:bottom w:val="single" w:sz="4" w:space="0" w:color="1A171C"/>
              <w:right w:val="single" w:sz="4" w:space="0" w:color="1A171C"/>
            </w:tcBorders>
            <w:vAlign w:val="center"/>
          </w:tcPr>
          <w:p w14:paraId="7FE1B579" w14:textId="77777777" w:rsidR="00696584" w:rsidRDefault="002C4F63">
            <w:pPr>
              <w:pStyle w:val="P68B1DB1-TableParagraph13"/>
              <w:spacing w:before="106"/>
              <w:ind w:left="-1"/>
            </w:pPr>
            <w:r>
              <w:t>0310-0314</w:t>
            </w:r>
          </w:p>
        </w:tc>
        <w:tc>
          <w:tcPr>
            <w:tcW w:w="8121" w:type="dxa"/>
            <w:tcBorders>
              <w:top w:val="single" w:sz="4" w:space="0" w:color="1A171C"/>
              <w:left w:val="single" w:sz="4" w:space="0" w:color="1A171C"/>
              <w:bottom w:val="single" w:sz="4" w:space="0" w:color="1A171C"/>
              <w:right w:val="nil"/>
            </w:tcBorders>
            <w:vAlign w:val="center"/>
          </w:tcPr>
          <w:p w14:paraId="7FE1B57A" w14:textId="77777777" w:rsidR="00696584" w:rsidRDefault="002C4F63">
            <w:pPr>
              <w:pStyle w:val="P68B1DB1-TableParagraph14"/>
              <w:spacing w:before="108"/>
              <w:ind w:left="85"/>
              <w:jc w:val="both"/>
            </w:pPr>
            <w:r>
              <w:t>Nicht gedeckte vorrangige Einlagen</w:t>
            </w:r>
          </w:p>
          <w:p w14:paraId="7FE1B57B" w14:textId="77777777" w:rsidR="00696584" w:rsidRDefault="002C4F63">
            <w:pPr>
              <w:pStyle w:val="P68B1DB1-TableParagraph17"/>
              <w:spacing w:before="108"/>
              <w:ind w:left="85"/>
              <w:jc w:val="both"/>
            </w:pPr>
            <w:r>
              <w:t>Artikel 108 der Richtlinie 2014/59/EU</w:t>
            </w:r>
          </w:p>
          <w:p w14:paraId="7FE1B57C" w14:textId="32E4C4DA" w:rsidR="00696584" w:rsidRDefault="002C4F63">
            <w:pPr>
              <w:pStyle w:val="P68B1DB1-TableParagraph17"/>
              <w:spacing w:before="108"/>
              <w:ind w:left="85"/>
              <w:jc w:val="both"/>
              <w:rPr>
                <w:b/>
                <w:bCs/>
              </w:rPr>
            </w:pPr>
            <w:r>
              <w:t xml:space="preserve">Einlagen im Sinne von Artikel 2 Absatz 1 Nummer 3 der Richtlinie 2014/49/EU, die nicht für einen Ausschluss vom Bail-in in Betracht kommen (Artikel 44 Absatz 2 Buchstabe a der Richtlinie 2014/59/EU), für die aber eine Präferenzbehandlung gemäß Artikel 108 der Richtlinie 2014/59/EU vorgesehen ist. </w:t>
            </w:r>
          </w:p>
        </w:tc>
      </w:tr>
      <w:tr w:rsidR="00696584" w14:paraId="7FE1B581" w14:textId="77777777">
        <w:tc>
          <w:tcPr>
            <w:tcW w:w="905" w:type="dxa"/>
            <w:tcBorders>
              <w:top w:val="single" w:sz="4" w:space="0" w:color="1A171C"/>
              <w:left w:val="nil"/>
              <w:bottom w:val="single" w:sz="4" w:space="0" w:color="1A171C"/>
              <w:right w:val="single" w:sz="4" w:space="0" w:color="1A171C"/>
            </w:tcBorders>
            <w:vAlign w:val="center"/>
          </w:tcPr>
          <w:p w14:paraId="7FE1B57E" w14:textId="77777777" w:rsidR="00696584" w:rsidRDefault="002C4F63">
            <w:pPr>
              <w:pStyle w:val="P68B1DB1-TableParagraph13"/>
              <w:spacing w:before="106"/>
              <w:ind w:left="-1"/>
            </w:pPr>
            <w:r>
              <w:t>0320 – 0324</w:t>
            </w:r>
          </w:p>
        </w:tc>
        <w:tc>
          <w:tcPr>
            <w:tcW w:w="8121" w:type="dxa"/>
            <w:tcBorders>
              <w:top w:val="single" w:sz="4" w:space="0" w:color="1A171C"/>
              <w:left w:val="single" w:sz="4" w:space="0" w:color="1A171C"/>
              <w:bottom w:val="single" w:sz="4" w:space="0" w:color="1A171C"/>
              <w:right w:val="nil"/>
            </w:tcBorders>
            <w:vAlign w:val="center"/>
          </w:tcPr>
          <w:p w14:paraId="7FE1B57F" w14:textId="77777777" w:rsidR="00696584" w:rsidRDefault="002C4F63">
            <w:pPr>
              <w:pStyle w:val="P68B1DB1-TableParagraph14"/>
              <w:spacing w:before="108"/>
              <w:ind w:left="85"/>
              <w:jc w:val="both"/>
            </w:pPr>
            <w:r>
              <w:t>Nicht gedeckte nicht vorrangige Einlagen</w:t>
            </w:r>
          </w:p>
          <w:p w14:paraId="7FE1B580" w14:textId="27FFEC08" w:rsidR="00696584" w:rsidRDefault="002C4F63">
            <w:pPr>
              <w:pStyle w:val="P68B1DB1-TableParagraph17"/>
              <w:spacing w:before="108"/>
              <w:ind w:left="85"/>
              <w:jc w:val="both"/>
              <w:rPr>
                <w:b/>
                <w:bCs/>
              </w:rPr>
            </w:pPr>
            <w:r>
              <w:t xml:space="preserve">Einlagen im Sinne von Artikel 2 Absatz 1 Nummer 3 der Richtlinie 2014/49/EU, die nicht für einen </w:t>
            </w:r>
            <w:r>
              <w:lastRenderedPageBreak/>
              <w:t>Ausschluss vom Bail-in in Betracht kommen (Artikel 44 Absatz 2 Buchstabe a der Richtlinie</w:t>
            </w:r>
            <w:r w:rsidR="00252ECE">
              <w:t xml:space="preserve"> </w:t>
            </w:r>
            <w:r w:rsidR="00F1241E">
              <w:t>2014/59/</w:t>
            </w:r>
            <w:r>
              <w:t>EU) und für die auch keine Präferenzbehandlung gemäß Artikel 108 der Richtlinie 2014/59/EU vorgesehen ist.</w:t>
            </w:r>
          </w:p>
        </w:tc>
      </w:tr>
      <w:tr w:rsidR="00696584" w14:paraId="7FE1B585" w14:textId="77777777">
        <w:tc>
          <w:tcPr>
            <w:tcW w:w="905" w:type="dxa"/>
            <w:tcBorders>
              <w:top w:val="single" w:sz="4" w:space="0" w:color="1A171C"/>
              <w:left w:val="nil"/>
              <w:bottom w:val="single" w:sz="4" w:space="0" w:color="1A171C"/>
              <w:right w:val="single" w:sz="4" w:space="0" w:color="1A171C"/>
            </w:tcBorders>
            <w:vAlign w:val="center"/>
          </w:tcPr>
          <w:p w14:paraId="7FE1B582" w14:textId="77777777" w:rsidR="00696584" w:rsidRDefault="002C4F63">
            <w:pPr>
              <w:pStyle w:val="P68B1DB1-TableParagraph13"/>
              <w:spacing w:before="106"/>
              <w:ind w:left="-1"/>
            </w:pPr>
            <w:r>
              <w:lastRenderedPageBreak/>
              <w:t>0330</w:t>
            </w:r>
          </w:p>
        </w:tc>
        <w:tc>
          <w:tcPr>
            <w:tcW w:w="8121" w:type="dxa"/>
            <w:tcBorders>
              <w:top w:val="single" w:sz="4" w:space="0" w:color="1A171C"/>
              <w:left w:val="single" w:sz="4" w:space="0" w:color="1A171C"/>
              <w:bottom w:val="single" w:sz="4" w:space="0" w:color="1A171C"/>
              <w:right w:val="nil"/>
            </w:tcBorders>
            <w:vAlign w:val="center"/>
          </w:tcPr>
          <w:p w14:paraId="7FE1B583" w14:textId="77777777" w:rsidR="00696584" w:rsidRDefault="002C4F63">
            <w:pPr>
              <w:pStyle w:val="P68B1DB1-TableParagraph14"/>
              <w:spacing w:before="108"/>
              <w:ind w:left="85"/>
              <w:jc w:val="both"/>
            </w:pPr>
            <w:r>
              <w:t>In der Bilanz ausgewiesene Verbindlichkeiten aus Derivaten</w:t>
            </w:r>
          </w:p>
          <w:p w14:paraId="625CF843" w14:textId="200EC5D3" w:rsidR="00696584" w:rsidRDefault="002C4F63">
            <w:pPr>
              <w:pStyle w:val="P68B1DB1-TableParagraph17"/>
              <w:spacing w:before="108"/>
              <w:ind w:left="85"/>
              <w:jc w:val="both"/>
            </w:pPr>
            <w:r>
              <w:t xml:space="preserve">Buchwert der aus Derivaten erwachsenen Verbindlichkeiten. </w:t>
            </w:r>
          </w:p>
          <w:p w14:paraId="7FE1B584" w14:textId="17111D9E" w:rsidR="00696584" w:rsidRDefault="002C4F63">
            <w:pPr>
              <w:pStyle w:val="P68B1DB1-TableParagraph17"/>
              <w:spacing w:before="108"/>
              <w:ind w:left="85"/>
              <w:jc w:val="both"/>
              <w:rPr>
                <w:b/>
                <w:bCs/>
              </w:rPr>
            </w:pPr>
            <w:r>
              <w:t>Geben Sie nur Werte im Feld „Betrag“ an.</w:t>
            </w:r>
          </w:p>
        </w:tc>
      </w:tr>
      <w:tr w:rsidR="00696584" w14:paraId="7FE1B589" w14:textId="77777777">
        <w:tc>
          <w:tcPr>
            <w:tcW w:w="905" w:type="dxa"/>
            <w:tcBorders>
              <w:top w:val="single" w:sz="4" w:space="0" w:color="1A171C"/>
              <w:left w:val="nil"/>
              <w:bottom w:val="single" w:sz="4" w:space="0" w:color="1A171C"/>
              <w:right w:val="single" w:sz="4" w:space="0" w:color="1A171C"/>
            </w:tcBorders>
            <w:vAlign w:val="center"/>
          </w:tcPr>
          <w:p w14:paraId="7FE1B586" w14:textId="77777777" w:rsidR="00696584" w:rsidRDefault="002C4F63">
            <w:pPr>
              <w:pStyle w:val="P68B1DB1-TableParagraph13"/>
              <w:spacing w:before="106"/>
              <w:ind w:left="-1"/>
            </w:pPr>
            <w:r>
              <w:t>0331</w:t>
            </w:r>
          </w:p>
        </w:tc>
        <w:tc>
          <w:tcPr>
            <w:tcW w:w="8121" w:type="dxa"/>
            <w:tcBorders>
              <w:top w:val="single" w:sz="4" w:space="0" w:color="1A171C"/>
              <w:left w:val="single" w:sz="4" w:space="0" w:color="1A171C"/>
              <w:bottom w:val="single" w:sz="4" w:space="0" w:color="1A171C"/>
              <w:right w:val="nil"/>
            </w:tcBorders>
            <w:vAlign w:val="center"/>
          </w:tcPr>
          <w:p w14:paraId="7FE1B587" w14:textId="77777777" w:rsidR="00696584" w:rsidRDefault="002C4F63">
            <w:pPr>
              <w:pStyle w:val="P68B1DB1-TableParagraph14"/>
              <w:spacing w:before="108"/>
              <w:ind w:left="85"/>
              <w:jc w:val="both"/>
            </w:pPr>
            <w:r>
              <w:t>Summe der Nettoverbindlichkeiten unter Berücksichtigung von vertraglichen Saldierungssätzen nach Marktwert-Anpassungen und vor der Verrechnung mit Sicherheiten</w:t>
            </w:r>
          </w:p>
          <w:p w14:paraId="43E2EAD9" w14:textId="77777777" w:rsidR="00696584" w:rsidRDefault="002C4F63">
            <w:pPr>
              <w:pStyle w:val="P68B1DB1-TableParagraph17"/>
              <w:spacing w:before="108"/>
              <w:ind w:left="85"/>
              <w:jc w:val="both"/>
            </w:pPr>
            <w:r>
              <w:t xml:space="preserve">Standardmäßig wird die Summe aller Nettomarktwerte der Derivateverbindlichkeiten je vertraglichem Saldierungssatz berechnet. Lediglich wenn der Nettomarktwert eines Saldierungssatzes eine Verbindlichkeit ist, wird der Saldierungssatz angegeben. Zu diesem Zweck werden Derivate, die keiner Nettingvereinbarung unterliegen, als ein einziger Kontrakt behandelt, d. h., als würde es sich um einen Nettingsatz mit nur einem Derivat handeln. </w:t>
            </w:r>
          </w:p>
          <w:p w14:paraId="7FE1B588" w14:textId="07C2ADA5" w:rsidR="00696584" w:rsidRDefault="002C4F63">
            <w:pPr>
              <w:pStyle w:val="P68B1DB1-TableParagraph17"/>
              <w:spacing w:before="108"/>
              <w:ind w:left="85"/>
              <w:jc w:val="both"/>
              <w:rPr>
                <w:b/>
                <w:bCs/>
              </w:rPr>
            </w:pPr>
            <w:r>
              <w:t>Geben Sie nur Werte im Feld „Ausstehender Betrag“ an.</w:t>
            </w:r>
          </w:p>
        </w:tc>
      </w:tr>
      <w:tr w:rsidR="00696584" w14:paraId="7FE1B58D" w14:textId="77777777">
        <w:tc>
          <w:tcPr>
            <w:tcW w:w="905" w:type="dxa"/>
            <w:tcBorders>
              <w:top w:val="single" w:sz="4" w:space="0" w:color="1A171C"/>
              <w:left w:val="nil"/>
              <w:bottom w:val="single" w:sz="4" w:space="0" w:color="1A171C"/>
              <w:right w:val="single" w:sz="4" w:space="0" w:color="1A171C"/>
            </w:tcBorders>
            <w:vAlign w:val="center"/>
          </w:tcPr>
          <w:p w14:paraId="7FE1B58A" w14:textId="77777777" w:rsidR="00696584" w:rsidRDefault="002C4F63">
            <w:pPr>
              <w:pStyle w:val="P68B1DB1-TableParagraph13"/>
              <w:spacing w:before="106"/>
              <w:ind w:left="-1"/>
            </w:pPr>
            <w:r>
              <w:t>0332</w:t>
            </w:r>
          </w:p>
        </w:tc>
        <w:tc>
          <w:tcPr>
            <w:tcW w:w="8121" w:type="dxa"/>
            <w:tcBorders>
              <w:top w:val="single" w:sz="4" w:space="0" w:color="1A171C"/>
              <w:left w:val="single" w:sz="4" w:space="0" w:color="1A171C"/>
              <w:bottom w:val="single" w:sz="4" w:space="0" w:color="1A171C"/>
              <w:right w:val="nil"/>
            </w:tcBorders>
            <w:vAlign w:val="center"/>
          </w:tcPr>
          <w:p w14:paraId="7FE1B58B" w14:textId="77777777" w:rsidR="00696584" w:rsidRDefault="002C4F63">
            <w:pPr>
              <w:pStyle w:val="P68B1DB1-TableParagraph14"/>
              <w:spacing w:before="108"/>
              <w:ind w:left="85"/>
              <w:jc w:val="both"/>
            </w:pPr>
            <w:r>
              <w:t>Summe der Nettoverbindlichkeiten unter Berücksichtigung von vertraglichen Saldierungssätzen nach Marktwert-Anpassungen und nach der Verrechnung mit Sicherheiten</w:t>
            </w:r>
          </w:p>
          <w:p w14:paraId="5A26CA7C" w14:textId="050E6C2B" w:rsidR="00696584" w:rsidRDefault="002C4F63">
            <w:pPr>
              <w:pStyle w:val="P68B1DB1-TableParagraph17"/>
              <w:spacing w:before="108"/>
              <w:ind w:left="85"/>
              <w:jc w:val="both"/>
            </w:pPr>
            <w:r>
              <w:t>Für die Bewertung in Zeile 0331 ist eine Anpassung um eine zur Besicherung dieser Position gestellten Sicherheit vorgesehen.</w:t>
            </w:r>
            <w:r w:rsidR="004559DD">
              <w:t xml:space="preserve"> </w:t>
            </w:r>
            <w:r>
              <w:t xml:space="preserve">Für diese Zeile wird die Summe dieser Nettomarktwerte mit dem Marktwert dieser Sicherheit verrechnet. Nur diese vertraglichen Nettingsätze, für die die Verbindlichkeitsposition nach Marktwertbereinigung und Verrechnung hinterlegter Sicherheiten ein positiver Betrag ist, sollten in dieser Zeile gemeldet werden (d. h., nur wenn der Nettowert zu Marktpreisen (c0120 von Z15.00) höher als der Wert der hinterlegten Nettosicherheit (c0130 von Z15.00) ist. </w:t>
            </w:r>
          </w:p>
          <w:p w14:paraId="7FE1B58C" w14:textId="453C45AE" w:rsidR="00696584" w:rsidRDefault="002C4F63">
            <w:pPr>
              <w:pStyle w:val="P68B1DB1-TableParagraph17"/>
              <w:spacing w:before="108"/>
              <w:ind w:left="85"/>
              <w:jc w:val="both"/>
            </w:pPr>
            <w:r>
              <w:t>Geben Sie nur Werte im Feld „Ausstehender Betrag“ an.</w:t>
            </w:r>
          </w:p>
        </w:tc>
      </w:tr>
      <w:tr w:rsidR="00696584" w14:paraId="7FE1B592" w14:textId="77777777">
        <w:tc>
          <w:tcPr>
            <w:tcW w:w="905" w:type="dxa"/>
            <w:tcBorders>
              <w:top w:val="single" w:sz="4" w:space="0" w:color="1A171C"/>
              <w:left w:val="nil"/>
              <w:bottom w:val="single" w:sz="4" w:space="0" w:color="1A171C"/>
              <w:right w:val="single" w:sz="4" w:space="0" w:color="1A171C"/>
            </w:tcBorders>
            <w:vAlign w:val="center"/>
          </w:tcPr>
          <w:p w14:paraId="7FE1B58E" w14:textId="77777777" w:rsidR="00696584" w:rsidRDefault="002C4F63">
            <w:pPr>
              <w:pStyle w:val="P68B1DB1-TableParagraph13"/>
              <w:spacing w:before="106"/>
              <w:ind w:left="-1"/>
            </w:pPr>
            <w:r>
              <w:t>0333</w:t>
            </w:r>
          </w:p>
        </w:tc>
        <w:tc>
          <w:tcPr>
            <w:tcW w:w="8121" w:type="dxa"/>
            <w:tcBorders>
              <w:top w:val="single" w:sz="4" w:space="0" w:color="1A171C"/>
              <w:left w:val="single" w:sz="4" w:space="0" w:color="1A171C"/>
              <w:bottom w:val="single" w:sz="4" w:space="0" w:color="1A171C"/>
              <w:right w:val="nil"/>
            </w:tcBorders>
            <w:vAlign w:val="center"/>
          </w:tcPr>
          <w:p w14:paraId="7FE1B58F" w14:textId="77777777" w:rsidR="00696584" w:rsidRDefault="002C4F63">
            <w:pPr>
              <w:pStyle w:val="P68B1DB1-TableParagraph14"/>
              <w:spacing w:before="108"/>
              <w:ind w:left="85"/>
              <w:jc w:val="both"/>
            </w:pPr>
            <w:r>
              <w:t>Summe der Nettoverbindlichkeiten unter Berücksichtigung von vertraglichen Saldierungssätzen nach Marktwert-Anpassungen und nach der Verrechnung mit Sicherheiten und unter Berücksichtigung der geschätzten Close-Out-Beträge</w:t>
            </w:r>
          </w:p>
          <w:p w14:paraId="7FE1B590" w14:textId="77777777" w:rsidR="00696584" w:rsidRDefault="002C4F63">
            <w:pPr>
              <w:pStyle w:val="TableParagraph"/>
              <w:spacing w:before="108"/>
              <w:ind w:left="85"/>
              <w:jc w:val="both"/>
              <w:rPr>
                <w:rFonts w:ascii="Times New Roman" w:eastAsia="Cambria" w:hAnsi="Times New Roman" w:cs="Times New Roman"/>
                <w:color w:val="000000" w:themeColor="text1"/>
                <w:sz w:val="20"/>
                <w:szCs w:val="20"/>
              </w:rPr>
            </w:pPr>
            <w:r>
              <w:rPr>
                <w:rFonts w:ascii="Times New Roman" w:eastAsia="Cambria" w:hAnsi="Times New Roman" w:cs="Times New Roman"/>
                <w:color w:val="000000" w:themeColor="text1"/>
                <w:sz w:val="20"/>
                <w:szCs w:val="20"/>
              </w:rPr>
              <w:t>Im Einklang mit der Delegierten Verordnung 2016/1401 der Kommission</w:t>
            </w:r>
            <w:r>
              <w:rPr>
                <w:rStyle w:val="FootnoteReference"/>
                <w:rFonts w:ascii="Times New Roman" w:eastAsia="Cambria" w:hAnsi="Times New Roman" w:cs="Times New Roman"/>
                <w:color w:val="1A171C"/>
              </w:rPr>
              <w:footnoteReference w:id="16"/>
            </w:r>
            <w:r>
              <w:rPr>
                <w:rFonts w:ascii="Times New Roman" w:eastAsia="Cambria" w:hAnsi="Times New Roman" w:cs="Times New Roman"/>
                <w:color w:val="000000" w:themeColor="text1"/>
                <w:sz w:val="20"/>
                <w:szCs w:val="20"/>
              </w:rPr>
              <w:t xml:space="preserve"> über die Bewertung von aus Derivaten entstehenden Verbindlichkeiten wird ein zusätzlicher Close-Out-Betrag berechnet, der den Betrag der Verluste oder Kosten von Gegenparteien der Derivate oder von ihnen realisierte Gewinne umfasst, wobei der ökonomische Gegenwert der Kontrakte und Optionsrechte der Parteien in materieller Hinsicht für die gekündigten Kontrakte ersetzt wird oder sie diesen erhalten.</w:t>
            </w:r>
          </w:p>
          <w:p w14:paraId="00480641" w14:textId="2B7C2F6F" w:rsidR="00696584" w:rsidRDefault="002C4F63">
            <w:pPr>
              <w:pStyle w:val="TableParagraph"/>
              <w:spacing w:before="108"/>
              <w:ind w:left="85"/>
              <w:jc w:val="both"/>
              <w:rPr>
                <w:rFonts w:ascii="Times New Roman" w:eastAsia="Cambria" w:hAnsi="Times New Roman" w:cs="Times New Roman"/>
                <w:color w:val="000000" w:themeColor="text1"/>
                <w:sz w:val="20"/>
                <w:szCs w:val="20"/>
              </w:rPr>
            </w:pPr>
            <w:r>
              <w:rPr>
                <w:rFonts w:ascii="Times New Roman" w:eastAsia="Cambria" w:hAnsi="Times New Roman" w:cs="Times New Roman"/>
                <w:color w:val="000000" w:themeColor="text1"/>
                <w:sz w:val="20"/>
                <w:szCs w:val="20"/>
              </w:rPr>
              <w:t>Die zur Bestimmung des Close-Out-Betrags gemäß der oben genannten Verordnung erforderlichen Schätzungen können sich in Einzelfällen als sehr schwierig erweisen. Daher können Näherungswerte herangezogen werden, die auf verfügbaren Daten wie den Aufsichtsanforderungen für Marktrisiken beruhen können. Falls es sich als unmöglich erweist, den Close-Out-Betrag für die Derivate-Verbindlichkeiten zu berechnen, hat der gemeldete Betrag dem in Zeile 0332 ausgewiesenen Betrag zu entsprechen.</w:t>
            </w:r>
            <w:r>
              <w:t xml:space="preserve"> </w:t>
            </w:r>
            <w:r>
              <w:rPr>
                <w:rFonts w:ascii="Times New Roman" w:eastAsia="Cambria" w:hAnsi="Times New Roman" w:cs="Times New Roman"/>
                <w:color w:val="000000" w:themeColor="text1"/>
                <w:sz w:val="20"/>
                <w:szCs w:val="20"/>
              </w:rPr>
              <w:t>Nur die vertraglichen Nettingsätze, für die die Verbindlichkeitsposition nach Marktwertbereinigungen, Verrechnung hinterlegter Sicherheiten und Berücksichtigung geschätzter Close-Out-Beträge ein positiver Betrag ist, sollten in dieser Zeile gemeldet werden (d. h., nur wenn der geschätzte Betrag der vorzeitigen Kündigung (c0150 von Z15.00) positiv ist).</w:t>
            </w:r>
          </w:p>
          <w:p w14:paraId="7FE1B591" w14:textId="3F2EA3D4" w:rsidR="00696584" w:rsidRDefault="002C4F63">
            <w:pPr>
              <w:pStyle w:val="P68B1DB1-TableParagraph17"/>
              <w:spacing w:before="108"/>
              <w:ind w:left="85"/>
              <w:jc w:val="both"/>
            </w:pPr>
            <w:r>
              <w:lastRenderedPageBreak/>
              <w:t>Geben Sie nur Werte im Feld „Ausstehender Betrag“ an.</w:t>
            </w:r>
          </w:p>
        </w:tc>
      </w:tr>
      <w:tr w:rsidR="00696584" w14:paraId="7FE1B596" w14:textId="77777777">
        <w:tc>
          <w:tcPr>
            <w:tcW w:w="905" w:type="dxa"/>
            <w:tcBorders>
              <w:top w:val="single" w:sz="4" w:space="0" w:color="1A171C"/>
              <w:left w:val="nil"/>
              <w:bottom w:val="single" w:sz="4" w:space="0" w:color="1A171C"/>
              <w:right w:val="single" w:sz="4" w:space="0" w:color="1A171C"/>
            </w:tcBorders>
            <w:vAlign w:val="center"/>
          </w:tcPr>
          <w:p w14:paraId="7FE1B593" w14:textId="77777777" w:rsidR="00696584" w:rsidRDefault="002C4F63">
            <w:pPr>
              <w:pStyle w:val="P68B1DB1-TableParagraph13"/>
              <w:spacing w:before="106"/>
              <w:ind w:left="-1"/>
            </w:pPr>
            <w:r>
              <w:lastRenderedPageBreak/>
              <w:t>0334</w:t>
            </w:r>
          </w:p>
        </w:tc>
        <w:tc>
          <w:tcPr>
            <w:tcW w:w="8121" w:type="dxa"/>
            <w:tcBorders>
              <w:top w:val="single" w:sz="4" w:space="0" w:color="1A171C"/>
              <w:left w:val="single" w:sz="4" w:space="0" w:color="1A171C"/>
              <w:bottom w:val="single" w:sz="4" w:space="0" w:color="1A171C"/>
              <w:right w:val="nil"/>
            </w:tcBorders>
            <w:vAlign w:val="center"/>
          </w:tcPr>
          <w:p w14:paraId="7FE1B594" w14:textId="77777777" w:rsidR="00696584" w:rsidRDefault="002C4F63">
            <w:pPr>
              <w:pStyle w:val="P68B1DB1-TableParagraph14"/>
              <w:spacing w:before="108"/>
              <w:ind w:left="85"/>
              <w:jc w:val="both"/>
              <w:rPr>
                <w:bCs/>
              </w:rPr>
            </w:pPr>
            <w:r>
              <w:t>Summe der Nettoverbindlichkeiten unter Berücksichtigung aufsichtlicher Saldierungsregeln</w:t>
            </w:r>
          </w:p>
          <w:p w14:paraId="225BC2D2" w14:textId="5634735D" w:rsidR="00696584" w:rsidRDefault="002C4F63">
            <w:pPr>
              <w:pStyle w:val="P68B1DB1-TableParagraph17"/>
              <w:spacing w:before="108"/>
              <w:ind w:left="85"/>
              <w:jc w:val="both"/>
            </w:pPr>
            <w:r>
              <w:t>Hier ist die Nettoposition der Verbindlichkeiten für Derivate unter Berücksichtigung der aufsichtlichen Saldierungsregeln gemäß Artikel 429 der Verordnung (EU) Nr. 575/2013 (Berechnung der Gesamtrisikopositionsmessgröße der Verschuldungsquote) zu melden.</w:t>
            </w:r>
          </w:p>
          <w:p w14:paraId="7FE1B595" w14:textId="1E8C2F86" w:rsidR="00696584" w:rsidRDefault="002C4F63">
            <w:pPr>
              <w:pStyle w:val="P68B1DB1-TableParagraph17"/>
              <w:spacing w:before="108"/>
              <w:ind w:left="85"/>
              <w:jc w:val="both"/>
              <w:rPr>
                <w:b/>
                <w:bCs/>
              </w:rPr>
            </w:pPr>
            <w:r>
              <w:t>Geben Sie nur Werte im Feld „Ausstehender Betrag“ an.</w:t>
            </w:r>
          </w:p>
        </w:tc>
      </w:tr>
      <w:tr w:rsidR="00696584" w14:paraId="7FE1B59A" w14:textId="77777777">
        <w:tc>
          <w:tcPr>
            <w:tcW w:w="905" w:type="dxa"/>
            <w:tcBorders>
              <w:top w:val="single" w:sz="4" w:space="0" w:color="1A171C"/>
              <w:left w:val="nil"/>
              <w:bottom w:val="single" w:sz="4" w:space="0" w:color="1A171C"/>
              <w:right w:val="single" w:sz="4" w:space="0" w:color="1A171C"/>
            </w:tcBorders>
            <w:vAlign w:val="center"/>
          </w:tcPr>
          <w:p w14:paraId="7FE1B597" w14:textId="77777777" w:rsidR="00696584" w:rsidRDefault="002C4F63">
            <w:pPr>
              <w:pStyle w:val="P68B1DB1-TableParagraph13"/>
              <w:spacing w:before="106"/>
              <w:ind w:left="-1"/>
            </w:pPr>
            <w:r>
              <w:t>0340 – 0344</w:t>
            </w:r>
          </w:p>
        </w:tc>
        <w:tc>
          <w:tcPr>
            <w:tcW w:w="8121" w:type="dxa"/>
            <w:tcBorders>
              <w:top w:val="single" w:sz="4" w:space="0" w:color="1A171C"/>
              <w:left w:val="single" w:sz="4" w:space="0" w:color="1A171C"/>
              <w:bottom w:val="single" w:sz="4" w:space="0" w:color="1A171C"/>
              <w:right w:val="nil"/>
            </w:tcBorders>
            <w:vAlign w:val="center"/>
          </w:tcPr>
          <w:p w14:paraId="7FE1B598" w14:textId="71C7FE19" w:rsidR="00696584" w:rsidRDefault="002C4F63">
            <w:pPr>
              <w:pStyle w:val="P68B1DB1-TableParagraph14"/>
              <w:spacing w:before="108"/>
              <w:ind w:left="85"/>
              <w:jc w:val="both"/>
              <w:rPr>
                <w:bCs/>
              </w:rPr>
            </w:pPr>
            <w:r>
              <w:t>Teil der besicherten Verbindlichkeiten, für den keine Sicherheit gestellt wurde</w:t>
            </w:r>
          </w:p>
          <w:p w14:paraId="7FE1B599" w14:textId="77777777" w:rsidR="00696584" w:rsidRDefault="002C4F63">
            <w:pPr>
              <w:pStyle w:val="P68B1DB1-TableParagraph13"/>
              <w:spacing w:before="108"/>
              <w:ind w:left="85"/>
              <w:jc w:val="both"/>
              <w:rPr>
                <w:b/>
                <w:bCs/>
              </w:rPr>
            </w:pPr>
            <w:r>
              <w:t>Der Teil der besicherten Verbindlichkeiten oder der Verbindlichkeiten, für die eine Pfandsicherheit gestellt wurde, der den Wert der Vermögenswerte, des als Sicherheit gestellten Pfands, des Zurückbehaltungsrechts oder der Sicherheit, gegen die sie besichert ist, übersteigt. Hierbei handelt es sich um den unterbesicherten Teil einer besicherten Verbindlichkeit, z. B. den unterbesicherten Teil gedeckter Schuldverschreibungen oder Pensionsgeschäfte.</w:t>
            </w:r>
          </w:p>
        </w:tc>
      </w:tr>
      <w:tr w:rsidR="00696584" w14:paraId="7FE1B59E" w14:textId="77777777">
        <w:tc>
          <w:tcPr>
            <w:tcW w:w="905" w:type="dxa"/>
            <w:tcBorders>
              <w:top w:val="single" w:sz="4" w:space="0" w:color="1A171C"/>
              <w:left w:val="nil"/>
              <w:bottom w:val="single" w:sz="4" w:space="0" w:color="1A171C"/>
              <w:right w:val="single" w:sz="4" w:space="0" w:color="1A171C"/>
            </w:tcBorders>
            <w:vAlign w:val="center"/>
          </w:tcPr>
          <w:p w14:paraId="7FE1B59B" w14:textId="77777777" w:rsidR="00696584" w:rsidRDefault="002C4F63">
            <w:pPr>
              <w:pStyle w:val="P68B1DB1-TableParagraph13"/>
              <w:spacing w:before="106"/>
              <w:ind w:left="-1"/>
            </w:pPr>
            <w:r>
              <w:t>0350-0354</w:t>
            </w:r>
          </w:p>
        </w:tc>
        <w:tc>
          <w:tcPr>
            <w:tcW w:w="8121" w:type="dxa"/>
            <w:tcBorders>
              <w:top w:val="single" w:sz="4" w:space="0" w:color="1A171C"/>
              <w:left w:val="single" w:sz="4" w:space="0" w:color="1A171C"/>
              <w:bottom w:val="single" w:sz="4" w:space="0" w:color="1A171C"/>
              <w:right w:val="nil"/>
            </w:tcBorders>
            <w:vAlign w:val="center"/>
          </w:tcPr>
          <w:p w14:paraId="7FE1B59C" w14:textId="77777777" w:rsidR="00696584" w:rsidRDefault="002C4F63">
            <w:pPr>
              <w:pStyle w:val="P68B1DB1-TableParagraph14"/>
              <w:spacing w:before="108"/>
              <w:ind w:left="85"/>
              <w:jc w:val="both"/>
              <w:rPr>
                <w:bCs/>
              </w:rPr>
            </w:pPr>
            <w:r>
              <w:t>Strukturierte Schuldtitel</w:t>
            </w:r>
          </w:p>
          <w:p w14:paraId="7FE1B59D" w14:textId="77777777" w:rsidR="00696584" w:rsidRDefault="002C4F63">
            <w:pPr>
              <w:pStyle w:val="P68B1DB1-TableParagraph17"/>
              <w:spacing w:before="108"/>
              <w:ind w:left="85"/>
              <w:jc w:val="both"/>
              <w:rPr>
                <w:b/>
                <w:bCs/>
              </w:rPr>
            </w:pPr>
            <w:r>
              <w:t>Als strukturierte Schuldtitel gelten hier Schuldverpflichtungen, die eine eingebettete Derivatkomponente enthalten und deren Renditen von einem zugrunde liegenden Wertpapier oder Index (öffentlicher oder spezieller Index, z. B. basierend auf Aktien oder Schuldverschreibungen, festverzinslichen Anlagen oder Krediten, Devisen, Waren usw.) bestimmt werden. Strukturierte Schuldtitel umfassen keine Schuldtitel, die nur Kauf- oder Verkaufsoptionen beinhalten, d. h. der Wert des Titels hängt nicht von einer eingebetteten Derivatkomponente ab.</w:t>
            </w:r>
          </w:p>
        </w:tc>
      </w:tr>
      <w:tr w:rsidR="00696584" w14:paraId="7FE1B5A2" w14:textId="77777777">
        <w:tc>
          <w:tcPr>
            <w:tcW w:w="905" w:type="dxa"/>
            <w:tcBorders>
              <w:top w:val="single" w:sz="4" w:space="0" w:color="1A171C"/>
              <w:left w:val="nil"/>
              <w:bottom w:val="single" w:sz="4" w:space="0" w:color="1A171C"/>
              <w:right w:val="single" w:sz="4" w:space="0" w:color="1A171C"/>
            </w:tcBorders>
            <w:vAlign w:val="center"/>
          </w:tcPr>
          <w:p w14:paraId="7FE1B59F" w14:textId="77777777" w:rsidR="00696584" w:rsidRDefault="002C4F63">
            <w:pPr>
              <w:pStyle w:val="P68B1DB1-TableParagraph13"/>
              <w:spacing w:before="106"/>
              <w:ind w:left="-1"/>
            </w:pPr>
            <w:r>
              <w:t>0360-0364</w:t>
            </w:r>
          </w:p>
        </w:tc>
        <w:tc>
          <w:tcPr>
            <w:tcW w:w="8121" w:type="dxa"/>
            <w:tcBorders>
              <w:top w:val="single" w:sz="4" w:space="0" w:color="1A171C"/>
              <w:left w:val="single" w:sz="4" w:space="0" w:color="1A171C"/>
              <w:bottom w:val="single" w:sz="4" w:space="0" w:color="1A171C"/>
              <w:right w:val="nil"/>
            </w:tcBorders>
            <w:vAlign w:val="center"/>
          </w:tcPr>
          <w:p w14:paraId="7FE1B5A0" w14:textId="77777777" w:rsidR="00696584" w:rsidRDefault="002C4F63">
            <w:pPr>
              <w:pStyle w:val="P68B1DB1-TableParagraph14"/>
              <w:spacing w:before="108"/>
              <w:ind w:left="85"/>
              <w:jc w:val="both"/>
              <w:rPr>
                <w:bCs/>
              </w:rPr>
            </w:pPr>
            <w:r>
              <w:t>Vorrangige unbesicherte Verbindlichkeiten</w:t>
            </w:r>
          </w:p>
          <w:p w14:paraId="7FE1B5A1" w14:textId="2515816B" w:rsidR="00696584" w:rsidRDefault="002C4F63">
            <w:pPr>
              <w:pStyle w:val="P68B1DB1-TableParagraph17"/>
              <w:spacing w:before="108"/>
              <w:ind w:left="85"/>
              <w:jc w:val="both"/>
              <w:rPr>
                <w:b/>
                <w:bCs/>
              </w:rPr>
            </w:pPr>
            <w:r>
              <w:t>Hier sind alle vorrangigen, unbesicherten Instrumente zu erfassen, die nicht in anderen Kategorien enthalten sind.</w:t>
            </w:r>
          </w:p>
        </w:tc>
      </w:tr>
      <w:tr w:rsidR="00696584" w14:paraId="7FE1B5A9" w14:textId="77777777">
        <w:tc>
          <w:tcPr>
            <w:tcW w:w="905" w:type="dxa"/>
            <w:tcBorders>
              <w:top w:val="single" w:sz="4" w:space="0" w:color="1A171C"/>
              <w:left w:val="nil"/>
              <w:bottom w:val="single" w:sz="4" w:space="0" w:color="1A171C"/>
              <w:right w:val="single" w:sz="4" w:space="0" w:color="1A171C"/>
            </w:tcBorders>
            <w:vAlign w:val="center"/>
          </w:tcPr>
          <w:p w14:paraId="7FE1B5A3" w14:textId="77777777" w:rsidR="00696584" w:rsidRDefault="002C4F63">
            <w:pPr>
              <w:pStyle w:val="P68B1DB1-TableParagraph13"/>
              <w:spacing w:before="106"/>
              <w:ind w:left="-1"/>
            </w:pPr>
            <w:r>
              <w:t>0365-0369</w:t>
            </w:r>
          </w:p>
        </w:tc>
        <w:tc>
          <w:tcPr>
            <w:tcW w:w="8121" w:type="dxa"/>
            <w:tcBorders>
              <w:top w:val="single" w:sz="4" w:space="0" w:color="1A171C"/>
              <w:left w:val="single" w:sz="4" w:space="0" w:color="1A171C"/>
              <w:bottom w:val="single" w:sz="4" w:space="0" w:color="1A171C"/>
              <w:right w:val="nil"/>
            </w:tcBorders>
            <w:vAlign w:val="center"/>
          </w:tcPr>
          <w:p w14:paraId="7FE1B5A4" w14:textId="77777777" w:rsidR="00696584" w:rsidRDefault="002C4F63">
            <w:pPr>
              <w:pStyle w:val="P68B1DB1-TableParagraph14"/>
              <w:spacing w:before="108"/>
              <w:ind w:left="85"/>
              <w:jc w:val="both"/>
            </w:pPr>
            <w:r>
              <w:t>Vorrangige nicht bevorrechtigte Verbindlichkeiten</w:t>
            </w:r>
          </w:p>
          <w:p w14:paraId="7FE1B5A5" w14:textId="77777777" w:rsidR="00696584" w:rsidRDefault="002C4F63">
            <w:pPr>
              <w:pStyle w:val="P68B1DB1-TableParagraph13"/>
              <w:spacing w:before="108"/>
              <w:ind w:left="85"/>
              <w:jc w:val="both"/>
            </w:pPr>
            <w:r>
              <w:t>Dies umfasst Beträge folgender Verbindlichkeiten:</w:t>
            </w:r>
          </w:p>
          <w:p w14:paraId="7FE1B5A6" w14:textId="51806099" w:rsidR="00696584" w:rsidRDefault="002C4F63">
            <w:pPr>
              <w:pStyle w:val="P68B1DB1-TableParagraph13"/>
              <w:numPr>
                <w:ilvl w:val="0"/>
                <w:numId w:val="69"/>
              </w:numPr>
              <w:spacing w:before="108"/>
              <w:jc w:val="both"/>
            </w:pPr>
            <w:r>
              <w:t xml:space="preserve">Unbesicherte Forderungen aus Schuldtiteln, die die in Artikel 108 Absatz 2 Buchstaben a, b und c und Absatz 3 der Richtlinie 2014/59/EU festgelegten Bedingungen erfüllen; </w:t>
            </w:r>
          </w:p>
          <w:p w14:paraId="7FE1B5A7" w14:textId="77777777" w:rsidR="00696584" w:rsidRDefault="002C4F63">
            <w:pPr>
              <w:pStyle w:val="P68B1DB1-TableParagraph13"/>
              <w:numPr>
                <w:ilvl w:val="0"/>
                <w:numId w:val="69"/>
              </w:numPr>
              <w:spacing w:before="108"/>
              <w:jc w:val="both"/>
            </w:pPr>
            <w:r>
              <w:t>Unbesicherte Forderungen aus Schuldtiteln nach Artikel 108 Absatz 5 Unterabsatz 1 Buchstabe b der Richtlinie 2014/59/EU, oder</w:t>
            </w:r>
          </w:p>
          <w:p w14:paraId="7FE1B5A8" w14:textId="77777777" w:rsidR="00696584" w:rsidRDefault="002C4F63">
            <w:pPr>
              <w:pStyle w:val="P68B1DB1-TableParagraph13"/>
              <w:numPr>
                <w:ilvl w:val="0"/>
                <w:numId w:val="69"/>
              </w:numPr>
              <w:spacing w:before="108"/>
              <w:jc w:val="both"/>
            </w:pPr>
            <w:r>
              <w:t>Schuldtitel mit der niedrigsten Prioritätsstufe unter gewöhnlichen unbesicherten Forderungen aus Schuldtiteln, auf die in Artikel 108 Absatz 7 der Richtlinie 2014/59/EU Bezug genommen wird, für die ein Mitgliedstaat in Übereinstimmung mit diesem Absatz festgelegt hat, dass sie die gleiche Rangfolge haben wie die Forderungen, die den Bestimmungen in Artikel 108 Absatz 2 Buchstabe a, Buchstabe b und Buchstabe c sowie Absatz 3 Buchstabe a, Buchstabe b und Buchstabe c der Richtlinie 2014/59/EU entsprechen.</w:t>
            </w:r>
          </w:p>
        </w:tc>
      </w:tr>
      <w:tr w:rsidR="00696584" w14:paraId="7FE1B5AF" w14:textId="77777777">
        <w:tc>
          <w:tcPr>
            <w:tcW w:w="905" w:type="dxa"/>
            <w:tcBorders>
              <w:top w:val="single" w:sz="4" w:space="0" w:color="1A171C"/>
              <w:left w:val="nil"/>
              <w:bottom w:val="single" w:sz="4" w:space="0" w:color="1A171C"/>
              <w:right w:val="single" w:sz="4" w:space="0" w:color="1A171C"/>
            </w:tcBorders>
            <w:vAlign w:val="center"/>
          </w:tcPr>
          <w:p w14:paraId="7FE1B5AA" w14:textId="77777777" w:rsidR="00696584" w:rsidRDefault="002C4F63">
            <w:pPr>
              <w:pStyle w:val="P68B1DB1-TableParagraph13"/>
              <w:spacing w:before="106"/>
              <w:ind w:left="-1"/>
            </w:pPr>
            <w:r>
              <w:t>0370-0374</w:t>
            </w:r>
          </w:p>
        </w:tc>
        <w:tc>
          <w:tcPr>
            <w:tcW w:w="8121" w:type="dxa"/>
            <w:tcBorders>
              <w:top w:val="single" w:sz="4" w:space="0" w:color="1A171C"/>
              <w:left w:val="single" w:sz="4" w:space="0" w:color="1A171C"/>
              <w:bottom w:val="single" w:sz="4" w:space="0" w:color="1A171C"/>
              <w:right w:val="nil"/>
            </w:tcBorders>
            <w:vAlign w:val="center"/>
          </w:tcPr>
          <w:p w14:paraId="7FE1B5AB" w14:textId="77777777" w:rsidR="00696584" w:rsidRDefault="002C4F63">
            <w:pPr>
              <w:pStyle w:val="P68B1DB1-TableParagraph14"/>
              <w:spacing w:before="108"/>
              <w:ind w:left="85"/>
              <w:jc w:val="both"/>
              <w:rPr>
                <w:bCs/>
              </w:rPr>
            </w:pPr>
            <w:r>
              <w:t>(Nicht zu den Eigenmitteln gehörende) nachrangige Verbindlichkeiten</w:t>
            </w:r>
          </w:p>
          <w:p w14:paraId="7FE1B5AC" w14:textId="77777777" w:rsidR="00696584" w:rsidRDefault="002C4F63">
            <w:pPr>
              <w:pStyle w:val="P68B1DB1-TableParagraph17"/>
              <w:spacing w:before="108"/>
              <w:ind w:left="85"/>
              <w:jc w:val="both"/>
            </w:pPr>
            <w:r>
              <w:t>Verbindlichkeiten, die nach dem nationalen Insolvenzrecht erst nach der vollständigen Befriedigung aller Kategorien von gewöhnlichen und vorrangigen nicht bevorrechtigten Gläubigern zurückgezahlt werden. Dies umfasst sowohl vertraglich als auch gesetzlich nachrangige Verbindlichkeiten. Im Falle von Holdinggesellschaften können auch nicht nachrangige Schuldtitel in dieser Kategorie angegeben werden (strukturelle Nachrangigkeit).</w:t>
            </w:r>
          </w:p>
          <w:p w14:paraId="7FE1B5AD" w14:textId="77777777" w:rsidR="00696584" w:rsidRDefault="002C4F63">
            <w:pPr>
              <w:pStyle w:val="P68B1DB1-TableParagraph17"/>
              <w:spacing w:before="108"/>
              <w:ind w:left="85"/>
              <w:jc w:val="both"/>
            </w:pPr>
            <w:r>
              <w:t xml:space="preserve">In diese Kategorie sind lediglich nachrangige Instrumente aufzunehmen, die nicht als Eigenmittel gelten. </w:t>
            </w:r>
          </w:p>
          <w:p w14:paraId="7FE1B5AE" w14:textId="77777777" w:rsidR="00696584" w:rsidRDefault="002C4F63">
            <w:pPr>
              <w:pStyle w:val="P68B1DB1-TableParagraph17"/>
              <w:spacing w:before="108"/>
              <w:ind w:left="85"/>
              <w:jc w:val="both"/>
              <w:rPr>
                <w:b/>
                <w:bCs/>
              </w:rPr>
            </w:pPr>
            <w:r>
              <w:lastRenderedPageBreak/>
              <w:t xml:space="preserve">Diese Zeile umfasst auch den Teil der nachrangigen Verbindlichkeiten, bei dem es sich grundsätzlich um Eigenmittel handelt, der aber aufgrund von Auslaufregelungen – wie Artikel 64 der Verordnung (EU) Nr. 575/2013 (Restlaufzeit) oder Teil 10 der Verordnung (EU) Nr. 575/2013 (Bestandsschutz) – nicht in den Eigenmitteln erfasst wird. </w:t>
            </w:r>
          </w:p>
        </w:tc>
      </w:tr>
      <w:tr w:rsidR="00696584" w14:paraId="7FE1B5B3" w14:textId="77777777">
        <w:tc>
          <w:tcPr>
            <w:tcW w:w="905" w:type="dxa"/>
            <w:tcBorders>
              <w:top w:val="single" w:sz="4" w:space="0" w:color="1A171C"/>
              <w:left w:val="nil"/>
              <w:bottom w:val="single" w:sz="4" w:space="0" w:color="1A171C"/>
              <w:right w:val="single" w:sz="4" w:space="0" w:color="1A171C"/>
            </w:tcBorders>
            <w:vAlign w:val="center"/>
          </w:tcPr>
          <w:p w14:paraId="7FE1B5B0" w14:textId="77777777" w:rsidR="00696584" w:rsidRDefault="002C4F63">
            <w:pPr>
              <w:pStyle w:val="P68B1DB1-TableParagraph13"/>
              <w:spacing w:before="106"/>
              <w:ind w:left="-1"/>
            </w:pPr>
            <w:r>
              <w:lastRenderedPageBreak/>
              <w:t>0380-0382</w:t>
            </w:r>
          </w:p>
        </w:tc>
        <w:tc>
          <w:tcPr>
            <w:tcW w:w="8121" w:type="dxa"/>
            <w:tcBorders>
              <w:top w:val="single" w:sz="4" w:space="0" w:color="1A171C"/>
              <w:left w:val="single" w:sz="4" w:space="0" w:color="1A171C"/>
              <w:bottom w:val="single" w:sz="4" w:space="0" w:color="1A171C"/>
              <w:right w:val="nil"/>
            </w:tcBorders>
            <w:vAlign w:val="center"/>
          </w:tcPr>
          <w:p w14:paraId="7FE1B5B1" w14:textId="77777777" w:rsidR="00696584" w:rsidRDefault="002C4F63">
            <w:pPr>
              <w:pStyle w:val="P68B1DB1-TableParagraph14"/>
              <w:spacing w:before="108"/>
              <w:ind w:left="85"/>
              <w:jc w:val="both"/>
              <w:rPr>
                <w:bCs/>
              </w:rPr>
            </w:pPr>
            <w:r>
              <w:t>Sonstige auf die MREL anrechenbare Verbindlichkeiten</w:t>
            </w:r>
          </w:p>
          <w:p w14:paraId="7FE1B5B2" w14:textId="4506AA1E" w:rsidR="00696584" w:rsidRDefault="002C4F63">
            <w:pPr>
              <w:pStyle w:val="P68B1DB1-TableParagraph13"/>
              <w:spacing w:before="108"/>
              <w:ind w:left="85"/>
              <w:jc w:val="both"/>
              <w:rPr>
                <w:b/>
                <w:bCs/>
              </w:rPr>
            </w:pPr>
            <w:r>
              <w:t>Der Betrag der Verbindlichkeiten, der für die Zwecke der Erfüllung der Anforderung des Artikels 45 der Richtlinie 2014/59/EU gemäß deren Artikel 45e bzw. 45f durch das berichtende Unternehmen berücksichtigungsfähig ist, aber nicht in den Zeilen 0320 und 0340 bis 0370 erfasst wird.</w:t>
            </w:r>
          </w:p>
        </w:tc>
      </w:tr>
      <w:tr w:rsidR="00696584" w14:paraId="7FE1B5B7" w14:textId="77777777">
        <w:tc>
          <w:tcPr>
            <w:tcW w:w="905" w:type="dxa"/>
            <w:tcBorders>
              <w:top w:val="single" w:sz="4" w:space="0" w:color="1A171C"/>
              <w:left w:val="nil"/>
              <w:bottom w:val="single" w:sz="4" w:space="0" w:color="1A171C"/>
              <w:right w:val="single" w:sz="4" w:space="0" w:color="1A171C"/>
            </w:tcBorders>
            <w:vAlign w:val="center"/>
          </w:tcPr>
          <w:p w14:paraId="7FE1B5B4" w14:textId="77777777" w:rsidR="00696584" w:rsidRDefault="002C4F63">
            <w:pPr>
              <w:pStyle w:val="P68B1DB1-TableParagraph13"/>
              <w:spacing w:before="106"/>
              <w:ind w:left="-1"/>
            </w:pPr>
            <w:r>
              <w:t>0390</w:t>
            </w:r>
          </w:p>
        </w:tc>
        <w:tc>
          <w:tcPr>
            <w:tcW w:w="8121" w:type="dxa"/>
            <w:tcBorders>
              <w:top w:val="single" w:sz="4" w:space="0" w:color="1A171C"/>
              <w:left w:val="single" w:sz="4" w:space="0" w:color="1A171C"/>
              <w:bottom w:val="single" w:sz="4" w:space="0" w:color="1A171C"/>
              <w:right w:val="nil"/>
            </w:tcBorders>
            <w:vAlign w:val="center"/>
          </w:tcPr>
          <w:p w14:paraId="7FE1B5B5" w14:textId="77777777" w:rsidR="00696584" w:rsidRDefault="002C4F63">
            <w:pPr>
              <w:pStyle w:val="P68B1DB1-TableParagraph14"/>
              <w:spacing w:before="108"/>
              <w:ind w:left="85"/>
              <w:jc w:val="both"/>
              <w:rPr>
                <w:bCs/>
              </w:rPr>
            </w:pPr>
            <w:r>
              <w:t>Nichtfinanzielle Verbindlichkeiten</w:t>
            </w:r>
          </w:p>
          <w:p w14:paraId="7FE1B5B6" w14:textId="2BB92741" w:rsidR="00696584" w:rsidRDefault="002C4F63">
            <w:pPr>
              <w:pStyle w:val="P68B1DB1-TableParagraph17"/>
              <w:spacing w:before="108"/>
              <w:ind w:left="85"/>
              <w:jc w:val="both"/>
              <w:rPr>
                <w:b/>
                <w:bCs/>
              </w:rPr>
            </w:pPr>
            <w:r>
              <w:t xml:space="preserve">Der Betrag der Verbindlichkeiten, die nicht als finanzielle Verbindlichkeiten im Einklang mit dem geltenden Rechnungslegungsrahmen gelten, z. B. Rückstellungen im Zusammenhang mit Rechtsstreitigkeiten, denen das Unternehmen unterliegt. </w:t>
            </w:r>
          </w:p>
        </w:tc>
      </w:tr>
      <w:tr w:rsidR="00696584" w14:paraId="7FE1B5BB" w14:textId="77777777">
        <w:tc>
          <w:tcPr>
            <w:tcW w:w="905" w:type="dxa"/>
            <w:tcBorders>
              <w:top w:val="single" w:sz="4" w:space="0" w:color="1A171C"/>
              <w:left w:val="nil"/>
              <w:bottom w:val="single" w:sz="4" w:space="0" w:color="1A171C"/>
              <w:right w:val="single" w:sz="4" w:space="0" w:color="1A171C"/>
            </w:tcBorders>
            <w:vAlign w:val="center"/>
          </w:tcPr>
          <w:p w14:paraId="7FE1B5B8" w14:textId="77777777" w:rsidR="00696584" w:rsidRDefault="002C4F63">
            <w:pPr>
              <w:pStyle w:val="P68B1DB1-TableParagraph13"/>
              <w:spacing w:before="106"/>
              <w:ind w:left="-1"/>
            </w:pPr>
            <w:r>
              <w:t>0400</w:t>
            </w:r>
          </w:p>
        </w:tc>
        <w:tc>
          <w:tcPr>
            <w:tcW w:w="8121" w:type="dxa"/>
            <w:tcBorders>
              <w:top w:val="single" w:sz="4" w:space="0" w:color="1A171C"/>
              <w:left w:val="single" w:sz="4" w:space="0" w:color="1A171C"/>
              <w:bottom w:val="single" w:sz="4" w:space="0" w:color="1A171C"/>
              <w:right w:val="nil"/>
            </w:tcBorders>
            <w:vAlign w:val="center"/>
          </w:tcPr>
          <w:p w14:paraId="7FE1B5B9" w14:textId="77777777" w:rsidR="00696584" w:rsidRDefault="002C4F63">
            <w:pPr>
              <w:pStyle w:val="P68B1DB1-TableParagraph14"/>
              <w:spacing w:before="108"/>
              <w:ind w:left="85"/>
              <w:jc w:val="both"/>
              <w:rPr>
                <w:bCs/>
              </w:rPr>
            </w:pPr>
            <w:r>
              <w:t>Sonstige Verbindlichkeiten</w:t>
            </w:r>
          </w:p>
          <w:p w14:paraId="7FE1B5BA" w14:textId="66DA2802" w:rsidR="00696584" w:rsidRDefault="002C4F63">
            <w:pPr>
              <w:pStyle w:val="P68B1DB1-TableParagraph17"/>
              <w:spacing w:before="108"/>
              <w:ind w:left="85"/>
              <w:jc w:val="both"/>
              <w:rPr>
                <w:b/>
                <w:bCs/>
              </w:rPr>
            </w:pPr>
            <w:r>
              <w:t xml:space="preserve">Höhe der Verbindlichkeiten, die nicht in den Zeilen 0100 bis 0390 erfasst sind. </w:t>
            </w:r>
          </w:p>
        </w:tc>
      </w:tr>
      <w:tr w:rsidR="00696584" w:rsidRPr="002872FC" w14:paraId="7FE1B5C0" w14:textId="77777777">
        <w:tc>
          <w:tcPr>
            <w:tcW w:w="905" w:type="dxa"/>
            <w:tcBorders>
              <w:top w:val="single" w:sz="4" w:space="0" w:color="1A171C"/>
              <w:left w:val="nil"/>
              <w:bottom w:val="single" w:sz="4" w:space="0" w:color="1A171C"/>
              <w:right w:val="single" w:sz="4" w:space="0" w:color="1A171C"/>
            </w:tcBorders>
            <w:vAlign w:val="center"/>
          </w:tcPr>
          <w:p w14:paraId="7FE1B5BC" w14:textId="77777777" w:rsidR="00696584" w:rsidRDefault="002C4F63">
            <w:pPr>
              <w:pStyle w:val="P68B1DB1-TableParagraph13"/>
              <w:spacing w:before="106"/>
              <w:ind w:left="-1"/>
            </w:pPr>
            <w:r>
              <w:t>0500</w:t>
            </w:r>
          </w:p>
        </w:tc>
        <w:tc>
          <w:tcPr>
            <w:tcW w:w="8121" w:type="dxa"/>
            <w:tcBorders>
              <w:top w:val="single" w:sz="4" w:space="0" w:color="1A171C"/>
              <w:left w:val="single" w:sz="4" w:space="0" w:color="1A171C"/>
              <w:bottom w:val="single" w:sz="4" w:space="0" w:color="1A171C"/>
              <w:right w:val="nil"/>
            </w:tcBorders>
            <w:vAlign w:val="center"/>
          </w:tcPr>
          <w:p w14:paraId="7FE1B5BD" w14:textId="77777777" w:rsidR="00696584" w:rsidRDefault="002C4F63">
            <w:pPr>
              <w:pStyle w:val="P68B1DB1-TableParagraph14"/>
              <w:spacing w:before="108"/>
              <w:ind w:left="85"/>
              <w:jc w:val="both"/>
            </w:pPr>
            <w:r>
              <w:t>Eigenmittel</w:t>
            </w:r>
          </w:p>
          <w:p w14:paraId="7FE1B5BE" w14:textId="77777777" w:rsidR="00696584" w:rsidRDefault="002C4F63">
            <w:pPr>
              <w:pStyle w:val="P68B1DB1-TableParagraph17"/>
              <w:spacing w:before="108"/>
              <w:ind w:left="85"/>
              <w:jc w:val="both"/>
            </w:pPr>
            <w:r>
              <w:t>Artikel 4 Absatz 1 Buchstabe 118 und Artikel 72 der Verordnung (EU) Nr. 575/2013</w:t>
            </w:r>
          </w:p>
          <w:p w14:paraId="7FE1B5BF" w14:textId="6C192792" w:rsidR="00696584" w:rsidRPr="000D7090" w:rsidRDefault="002C4F63">
            <w:pPr>
              <w:pStyle w:val="P68B1DB1-TableParagraph17"/>
              <w:spacing w:before="108"/>
              <w:ind w:left="85"/>
              <w:jc w:val="both"/>
              <w:rPr>
                <w:lang w:val="en-GB"/>
              </w:rPr>
            </w:pPr>
            <w:r w:rsidRPr="000D7090">
              <w:rPr>
                <w:lang w:val="en-GB"/>
              </w:rPr>
              <w:t xml:space="preserve">Wie </w:t>
            </w:r>
            <w:r w:rsidR="008029DD">
              <w:rPr>
                <w:lang w:val="en-GB"/>
              </w:rPr>
              <w:t xml:space="preserve">COREP (OF): {C </w:t>
            </w:r>
            <w:r w:rsidRPr="000D7090">
              <w:rPr>
                <w:lang w:val="en-GB"/>
              </w:rPr>
              <w:t>01.00;010;</w:t>
            </w:r>
            <w:r w:rsidR="008029DD">
              <w:rPr>
                <w:lang w:val="en-GB"/>
              </w:rPr>
              <w:t>010}</w:t>
            </w:r>
          </w:p>
        </w:tc>
      </w:tr>
      <w:tr w:rsidR="00696584" w:rsidRPr="002872FC" w14:paraId="7FE1B5C5" w14:textId="77777777">
        <w:tc>
          <w:tcPr>
            <w:tcW w:w="905" w:type="dxa"/>
            <w:tcBorders>
              <w:top w:val="single" w:sz="4" w:space="0" w:color="1A171C"/>
              <w:left w:val="nil"/>
              <w:bottom w:val="single" w:sz="4" w:space="0" w:color="1A171C"/>
              <w:right w:val="single" w:sz="4" w:space="0" w:color="1A171C"/>
            </w:tcBorders>
            <w:vAlign w:val="center"/>
          </w:tcPr>
          <w:p w14:paraId="7FE1B5C1" w14:textId="77777777" w:rsidR="00696584" w:rsidRDefault="002C4F63">
            <w:pPr>
              <w:pStyle w:val="P68B1DB1-TableParagraph13"/>
              <w:spacing w:before="106"/>
              <w:ind w:left="-1"/>
            </w:pPr>
            <w:r>
              <w:t>0510</w:t>
            </w:r>
          </w:p>
        </w:tc>
        <w:tc>
          <w:tcPr>
            <w:tcW w:w="8121" w:type="dxa"/>
            <w:tcBorders>
              <w:top w:val="single" w:sz="4" w:space="0" w:color="1A171C"/>
              <w:left w:val="single" w:sz="4" w:space="0" w:color="1A171C"/>
              <w:bottom w:val="single" w:sz="4" w:space="0" w:color="1A171C"/>
              <w:right w:val="nil"/>
            </w:tcBorders>
            <w:vAlign w:val="center"/>
          </w:tcPr>
          <w:p w14:paraId="7FE1B5C2" w14:textId="77777777" w:rsidR="00696584" w:rsidRDefault="002C4F63">
            <w:pPr>
              <w:pStyle w:val="P68B1DB1-TableParagraph14"/>
              <w:spacing w:before="108"/>
              <w:ind w:left="85"/>
              <w:jc w:val="both"/>
              <w:rPr>
                <w:bCs/>
              </w:rPr>
            </w:pPr>
            <w:r>
              <w:t>Hartes Kernkapital (CET1)</w:t>
            </w:r>
          </w:p>
          <w:p w14:paraId="7FE1B5C3" w14:textId="77777777" w:rsidR="00696584" w:rsidRDefault="002C4F63">
            <w:pPr>
              <w:pStyle w:val="P68B1DB1-TableParagraph17"/>
              <w:spacing w:before="108"/>
              <w:ind w:left="85"/>
              <w:jc w:val="both"/>
            </w:pPr>
            <w:r>
              <w:t>Artikel 50 der Verordnung (EU) Nr. 575/2013</w:t>
            </w:r>
          </w:p>
          <w:p w14:paraId="7FE1B5C4" w14:textId="2C42B469" w:rsidR="00696584" w:rsidRPr="000D7090" w:rsidRDefault="002C4F63">
            <w:pPr>
              <w:pStyle w:val="P68B1DB1-TableParagraph17"/>
              <w:spacing w:before="108"/>
              <w:ind w:left="85"/>
              <w:jc w:val="both"/>
              <w:rPr>
                <w:b/>
                <w:bCs/>
                <w:lang w:val="en-GB"/>
              </w:rPr>
            </w:pPr>
            <w:r w:rsidRPr="000D7090">
              <w:rPr>
                <w:lang w:val="en-GB"/>
              </w:rPr>
              <w:t xml:space="preserve">Wie </w:t>
            </w:r>
            <w:r w:rsidR="008029DD">
              <w:rPr>
                <w:lang w:val="en-GB"/>
              </w:rPr>
              <w:t xml:space="preserve">COREP (OF): {C </w:t>
            </w:r>
            <w:r w:rsidRPr="000D7090">
              <w:rPr>
                <w:lang w:val="en-GB"/>
              </w:rPr>
              <w:t>01.00;020;</w:t>
            </w:r>
            <w:r w:rsidR="008029DD">
              <w:rPr>
                <w:lang w:val="en-GB"/>
              </w:rPr>
              <w:t>010}</w:t>
            </w:r>
          </w:p>
        </w:tc>
      </w:tr>
      <w:tr w:rsidR="00696584" w14:paraId="7FE1B5CA" w14:textId="77777777">
        <w:tc>
          <w:tcPr>
            <w:tcW w:w="905" w:type="dxa"/>
            <w:tcBorders>
              <w:top w:val="single" w:sz="4" w:space="0" w:color="1A171C"/>
              <w:left w:val="nil"/>
              <w:bottom w:val="single" w:sz="4" w:space="0" w:color="1A171C"/>
              <w:right w:val="single" w:sz="4" w:space="0" w:color="1A171C"/>
            </w:tcBorders>
            <w:vAlign w:val="center"/>
          </w:tcPr>
          <w:p w14:paraId="7FE1B5C6" w14:textId="77777777" w:rsidR="00696584" w:rsidRDefault="002C4F63">
            <w:pPr>
              <w:pStyle w:val="P68B1DB1-TableParagraph13"/>
              <w:spacing w:before="106"/>
              <w:ind w:left="-1"/>
            </w:pPr>
            <w:r>
              <w:t>0511</w:t>
            </w:r>
          </w:p>
        </w:tc>
        <w:tc>
          <w:tcPr>
            <w:tcW w:w="8121" w:type="dxa"/>
            <w:tcBorders>
              <w:top w:val="single" w:sz="4" w:space="0" w:color="1A171C"/>
              <w:left w:val="single" w:sz="4" w:space="0" w:color="1A171C"/>
              <w:bottom w:val="single" w:sz="4" w:space="0" w:color="1A171C"/>
              <w:right w:val="nil"/>
            </w:tcBorders>
            <w:vAlign w:val="center"/>
          </w:tcPr>
          <w:p w14:paraId="7FE1B5C7" w14:textId="77777777" w:rsidR="00696584" w:rsidRDefault="002C4F63">
            <w:pPr>
              <w:pStyle w:val="P68B1DB1-TableParagraph14"/>
              <w:spacing w:before="108"/>
              <w:ind w:left="85"/>
              <w:jc w:val="both"/>
              <w:rPr>
                <w:bCs/>
              </w:rPr>
            </w:pPr>
            <w:r>
              <w:t>Davon: Kapitalinstrumente/Aktienkapital</w:t>
            </w:r>
          </w:p>
          <w:p w14:paraId="7FE1B5C8" w14:textId="77777777" w:rsidR="00696584" w:rsidRDefault="002C4F63">
            <w:pPr>
              <w:pStyle w:val="P68B1DB1-TableParagraph17"/>
              <w:spacing w:before="108"/>
              <w:ind w:left="85"/>
              <w:jc w:val="both"/>
            </w:pPr>
            <w:r>
              <w:t>Rechtsinstrumente in Form von Kapitalinstrumenten/Stammaktien, aus denen das CET1-Kapital (ausschließlich oder zum Teil) besteht</w:t>
            </w:r>
          </w:p>
          <w:p w14:paraId="7FE1B5C9" w14:textId="5FEBCA71" w:rsidR="00696584" w:rsidRDefault="002C4F63">
            <w:pPr>
              <w:pStyle w:val="P68B1DB1-TableParagraph13"/>
              <w:spacing w:before="108"/>
              <w:ind w:left="85"/>
              <w:jc w:val="both"/>
            </w:pPr>
            <w:r>
              <w:t>Der Buchwert (FINREP F01.03</w:t>
            </w:r>
            <w:r w:rsidR="006912B4">
              <w:t>;</w:t>
            </w:r>
            <w:r>
              <w:t>020</w:t>
            </w:r>
            <w:r w:rsidR="006912B4">
              <w:t>;</w:t>
            </w:r>
            <w:r>
              <w:t>010 + F01.03</w:t>
            </w:r>
            <w:r w:rsidR="006912B4">
              <w:t>;</w:t>
            </w:r>
            <w:r>
              <w:t>040</w:t>
            </w:r>
            <w:r w:rsidR="006912B4">
              <w:t>;</w:t>
            </w:r>
            <w:r>
              <w:t>010) wird als Nennwert der Instrumente verstanden, während der ausstehende Betrag die Restforderung von Anteilen auf das gesamte bilanzielle Eigenkapital darstellt, d. h. einschließlich der Rücklagen des Unternehmens/der Gruppe.</w:t>
            </w:r>
          </w:p>
        </w:tc>
      </w:tr>
      <w:tr w:rsidR="00696584" w14:paraId="7FE1B5CE" w14:textId="77777777">
        <w:tc>
          <w:tcPr>
            <w:tcW w:w="905" w:type="dxa"/>
            <w:tcBorders>
              <w:top w:val="single" w:sz="4" w:space="0" w:color="1A171C"/>
              <w:left w:val="nil"/>
              <w:bottom w:val="single" w:sz="4" w:space="0" w:color="1A171C"/>
              <w:right w:val="single" w:sz="4" w:space="0" w:color="1A171C"/>
            </w:tcBorders>
            <w:vAlign w:val="center"/>
          </w:tcPr>
          <w:p w14:paraId="7FE1B5CB" w14:textId="77777777" w:rsidR="00696584" w:rsidRDefault="002C4F63">
            <w:pPr>
              <w:pStyle w:val="P68B1DB1-TableParagraph13"/>
              <w:spacing w:before="106"/>
              <w:ind w:left="-1"/>
            </w:pPr>
            <w:r>
              <w:t>0512</w:t>
            </w:r>
          </w:p>
        </w:tc>
        <w:tc>
          <w:tcPr>
            <w:tcW w:w="8121" w:type="dxa"/>
            <w:tcBorders>
              <w:top w:val="single" w:sz="4" w:space="0" w:color="1A171C"/>
              <w:left w:val="single" w:sz="4" w:space="0" w:color="1A171C"/>
              <w:bottom w:val="single" w:sz="4" w:space="0" w:color="1A171C"/>
              <w:right w:val="nil"/>
            </w:tcBorders>
            <w:vAlign w:val="center"/>
          </w:tcPr>
          <w:p w14:paraId="7FE1B5CC" w14:textId="77777777" w:rsidR="00696584" w:rsidRDefault="002C4F63">
            <w:pPr>
              <w:pStyle w:val="P68B1DB1-TableParagraph14"/>
              <w:spacing w:before="108"/>
              <w:ind w:left="85"/>
              <w:jc w:val="both"/>
              <w:rPr>
                <w:bCs/>
              </w:rPr>
            </w:pPr>
            <w:r>
              <w:t>Davon: Instrumente, die Stammaktien gleichrangig sind</w:t>
            </w:r>
          </w:p>
          <w:p w14:paraId="7FE1B5CD" w14:textId="0D41ACA0" w:rsidR="00696584" w:rsidRDefault="002C4F63">
            <w:pPr>
              <w:pStyle w:val="TableParagraph"/>
              <w:spacing w:before="108"/>
              <w:ind w:left="85"/>
              <w:jc w:val="both"/>
              <w:rPr>
                <w:rFonts w:ascii="Times New Roman" w:hAnsi="Times New Roman" w:cs="Times New Roman"/>
                <w:b/>
                <w:bCs/>
                <w:color w:val="000000" w:themeColor="text1"/>
                <w:sz w:val="20"/>
                <w:szCs w:val="20"/>
              </w:rPr>
            </w:pPr>
            <w:r>
              <w:rPr>
                <w:rFonts w:ascii="Times New Roman" w:eastAsia="Cambria" w:hAnsi="Times New Roman" w:cs="Times New Roman"/>
                <w:color w:val="000000" w:themeColor="text1"/>
                <w:sz w:val="20"/>
                <w:szCs w:val="20"/>
              </w:rPr>
              <w:t>Rechtsinstrumente, aus denen das CET1-Kapital (ausschließlich oder zum Teil) besteht, bei denen es sich nicht um Kapitalinstrumente/Stammaktien handelt und die diesen dennoch gleichrangig sind</w:t>
            </w:r>
            <w:r>
              <w:rPr>
                <w:rFonts w:ascii="Times New Roman" w:hAnsi="Times New Roman" w:cs="Times New Roman"/>
              </w:rPr>
              <w:t xml:space="preserve"> </w:t>
            </w:r>
            <w:bookmarkStart w:id="56" w:name="_Hlk170122776"/>
            <w:r>
              <w:rPr>
                <w:rFonts w:ascii="Times New Roman" w:eastAsia="Cambria" w:hAnsi="Times New Roman" w:cs="Times New Roman"/>
                <w:color w:val="000000" w:themeColor="text1"/>
                <w:sz w:val="20"/>
                <w:szCs w:val="20"/>
              </w:rPr>
              <w:t>Einbehaltene Gewinne und Rücklagen sind in dieser Zeile nicht auszuweisen.</w:t>
            </w:r>
            <w:bookmarkEnd w:id="56"/>
          </w:p>
        </w:tc>
      </w:tr>
      <w:tr w:rsidR="00696584" w:rsidRPr="002872FC" w14:paraId="7FE1B5D3" w14:textId="77777777">
        <w:tc>
          <w:tcPr>
            <w:tcW w:w="905" w:type="dxa"/>
            <w:tcBorders>
              <w:top w:val="single" w:sz="4" w:space="0" w:color="1A171C"/>
              <w:left w:val="nil"/>
              <w:bottom w:val="single" w:sz="4" w:space="0" w:color="1A171C"/>
              <w:right w:val="single" w:sz="4" w:space="0" w:color="1A171C"/>
            </w:tcBorders>
            <w:vAlign w:val="center"/>
          </w:tcPr>
          <w:p w14:paraId="7FE1B5CF" w14:textId="77777777" w:rsidR="00696584" w:rsidRDefault="002C4F63">
            <w:pPr>
              <w:pStyle w:val="P68B1DB1-TableParagraph13"/>
              <w:spacing w:before="106"/>
              <w:ind w:left="-1"/>
            </w:pPr>
            <w:r>
              <w:t>0520</w:t>
            </w:r>
          </w:p>
        </w:tc>
        <w:tc>
          <w:tcPr>
            <w:tcW w:w="8121" w:type="dxa"/>
            <w:tcBorders>
              <w:top w:val="single" w:sz="4" w:space="0" w:color="1A171C"/>
              <w:left w:val="single" w:sz="4" w:space="0" w:color="1A171C"/>
              <w:bottom w:val="single" w:sz="4" w:space="0" w:color="1A171C"/>
              <w:right w:val="nil"/>
            </w:tcBorders>
            <w:vAlign w:val="center"/>
          </w:tcPr>
          <w:p w14:paraId="7FE1B5D0" w14:textId="77777777" w:rsidR="00696584" w:rsidRDefault="002C4F63">
            <w:pPr>
              <w:pStyle w:val="P68B1DB1-TableParagraph14"/>
              <w:spacing w:before="108"/>
              <w:ind w:left="85"/>
              <w:jc w:val="both"/>
              <w:rPr>
                <w:bCs/>
              </w:rPr>
            </w:pPr>
            <w:r>
              <w:t>Zusätzliches Kernkapital</w:t>
            </w:r>
          </w:p>
          <w:p w14:paraId="7FE1B5D1" w14:textId="77777777" w:rsidR="00696584" w:rsidRDefault="002C4F63">
            <w:pPr>
              <w:pStyle w:val="P68B1DB1-TableParagraph17"/>
              <w:spacing w:before="108"/>
              <w:ind w:left="85"/>
              <w:jc w:val="both"/>
            </w:pPr>
            <w:r>
              <w:t>Artikel 61 der Verordnung (EU) Nr. 575/2013</w:t>
            </w:r>
          </w:p>
          <w:p w14:paraId="7FE1B5D2" w14:textId="7DE83C7C" w:rsidR="00696584" w:rsidRPr="000D7090" w:rsidRDefault="002C4F63">
            <w:pPr>
              <w:pStyle w:val="P68B1DB1-TableParagraph17"/>
              <w:spacing w:before="108"/>
              <w:ind w:left="85"/>
              <w:jc w:val="both"/>
              <w:rPr>
                <w:b/>
                <w:bCs/>
                <w:lang w:val="en-GB"/>
              </w:rPr>
            </w:pPr>
            <w:r w:rsidRPr="000D7090">
              <w:rPr>
                <w:lang w:val="en-GB"/>
              </w:rPr>
              <w:t xml:space="preserve">Wie </w:t>
            </w:r>
            <w:r w:rsidR="008029DD">
              <w:rPr>
                <w:lang w:val="en-GB"/>
              </w:rPr>
              <w:t xml:space="preserve">COREP (OF): {C </w:t>
            </w:r>
            <w:r w:rsidRPr="000D7090">
              <w:rPr>
                <w:lang w:val="en-GB"/>
              </w:rPr>
              <w:t>01.00;530;</w:t>
            </w:r>
            <w:r w:rsidR="008029DD">
              <w:rPr>
                <w:lang w:val="en-GB"/>
              </w:rPr>
              <w:t>010}</w:t>
            </w:r>
          </w:p>
        </w:tc>
      </w:tr>
      <w:tr w:rsidR="00696584" w14:paraId="7FE1B5D7" w14:textId="77777777">
        <w:tc>
          <w:tcPr>
            <w:tcW w:w="905" w:type="dxa"/>
            <w:tcBorders>
              <w:top w:val="single" w:sz="4" w:space="0" w:color="1A171C"/>
              <w:left w:val="nil"/>
              <w:bottom w:val="single" w:sz="4" w:space="0" w:color="1A171C"/>
              <w:right w:val="single" w:sz="4" w:space="0" w:color="1A171C"/>
            </w:tcBorders>
            <w:vAlign w:val="center"/>
          </w:tcPr>
          <w:p w14:paraId="7FE1B5D4" w14:textId="77777777" w:rsidR="00696584" w:rsidRDefault="002C4F63">
            <w:pPr>
              <w:pStyle w:val="P68B1DB1-TableParagraph13"/>
              <w:spacing w:before="106"/>
              <w:ind w:left="-1"/>
            </w:pPr>
            <w:r>
              <w:t>0521</w:t>
            </w:r>
          </w:p>
        </w:tc>
        <w:tc>
          <w:tcPr>
            <w:tcW w:w="8121" w:type="dxa"/>
            <w:tcBorders>
              <w:top w:val="single" w:sz="4" w:space="0" w:color="1A171C"/>
              <w:left w:val="single" w:sz="4" w:space="0" w:color="1A171C"/>
              <w:bottom w:val="single" w:sz="4" w:space="0" w:color="1A171C"/>
              <w:right w:val="nil"/>
            </w:tcBorders>
            <w:vAlign w:val="center"/>
          </w:tcPr>
          <w:p w14:paraId="7FE1B5D5" w14:textId="77777777" w:rsidR="00696584" w:rsidRDefault="002C4F63">
            <w:pPr>
              <w:pStyle w:val="P68B1DB1-TableParagraph14"/>
              <w:spacing w:before="108"/>
              <w:ind w:left="85"/>
              <w:jc w:val="both"/>
              <w:rPr>
                <w:bCs/>
              </w:rPr>
            </w:pPr>
            <w:r>
              <w:t>Davon: (Teil der) zu den Eigenmitteln gehörenden nachrangigen Verbindlichkeiten</w:t>
            </w:r>
          </w:p>
          <w:p w14:paraId="7FE1B5D6" w14:textId="77777777" w:rsidR="00696584" w:rsidRDefault="002C4F63">
            <w:pPr>
              <w:pStyle w:val="P68B1DB1-TableParagraph17"/>
              <w:spacing w:before="108"/>
              <w:ind w:left="85"/>
              <w:jc w:val="both"/>
              <w:rPr>
                <w:b/>
                <w:bCs/>
              </w:rPr>
            </w:pPr>
            <w:r>
              <w:t>Rechtsinstrumente, aus denen das zusätzliche Kernkapital (ausschließlich oder zum Teil) besteht.</w:t>
            </w:r>
          </w:p>
        </w:tc>
      </w:tr>
      <w:tr w:rsidR="00696584" w:rsidRPr="002872FC" w14:paraId="7FE1B5DC" w14:textId="77777777">
        <w:tc>
          <w:tcPr>
            <w:tcW w:w="905" w:type="dxa"/>
            <w:tcBorders>
              <w:top w:val="single" w:sz="4" w:space="0" w:color="1A171C"/>
              <w:left w:val="nil"/>
              <w:bottom w:val="single" w:sz="4" w:space="0" w:color="1A171C"/>
              <w:right w:val="single" w:sz="4" w:space="0" w:color="1A171C"/>
            </w:tcBorders>
            <w:vAlign w:val="center"/>
          </w:tcPr>
          <w:p w14:paraId="7FE1B5D8" w14:textId="77777777" w:rsidR="00696584" w:rsidRDefault="002C4F63">
            <w:pPr>
              <w:pStyle w:val="P68B1DB1-TableParagraph13"/>
              <w:spacing w:before="106"/>
              <w:ind w:left="-1"/>
            </w:pPr>
            <w:r>
              <w:t>0530</w:t>
            </w:r>
          </w:p>
        </w:tc>
        <w:tc>
          <w:tcPr>
            <w:tcW w:w="8121" w:type="dxa"/>
            <w:tcBorders>
              <w:top w:val="single" w:sz="4" w:space="0" w:color="1A171C"/>
              <w:left w:val="single" w:sz="4" w:space="0" w:color="1A171C"/>
              <w:bottom w:val="single" w:sz="4" w:space="0" w:color="1A171C"/>
              <w:right w:val="nil"/>
            </w:tcBorders>
            <w:vAlign w:val="center"/>
          </w:tcPr>
          <w:p w14:paraId="7FE1B5D9" w14:textId="77777777" w:rsidR="00696584" w:rsidRDefault="002C4F63">
            <w:pPr>
              <w:pStyle w:val="P68B1DB1-TableParagraph14"/>
              <w:spacing w:before="108"/>
              <w:ind w:left="85"/>
              <w:jc w:val="both"/>
              <w:rPr>
                <w:bCs/>
              </w:rPr>
            </w:pPr>
            <w:r>
              <w:t>Ergänzungskapital</w:t>
            </w:r>
          </w:p>
          <w:p w14:paraId="7FE1B5DA" w14:textId="77777777" w:rsidR="00696584" w:rsidRDefault="002C4F63">
            <w:pPr>
              <w:pStyle w:val="P68B1DB1-TableParagraph17"/>
              <w:spacing w:before="108"/>
              <w:ind w:left="85"/>
              <w:jc w:val="both"/>
            </w:pPr>
            <w:r>
              <w:t>Artikel 71 der Verordnung (EU) Nr. 575/2013</w:t>
            </w:r>
          </w:p>
          <w:p w14:paraId="7FE1B5DB" w14:textId="37CF7754" w:rsidR="00696584" w:rsidRPr="000D7090" w:rsidRDefault="002C4F63">
            <w:pPr>
              <w:pStyle w:val="P68B1DB1-TableParagraph17"/>
              <w:spacing w:before="108"/>
              <w:ind w:left="85"/>
              <w:jc w:val="both"/>
              <w:rPr>
                <w:b/>
                <w:bCs/>
                <w:lang w:val="en-GB"/>
              </w:rPr>
            </w:pPr>
            <w:r w:rsidRPr="000D7090">
              <w:rPr>
                <w:lang w:val="en-GB"/>
              </w:rPr>
              <w:t xml:space="preserve">Wie </w:t>
            </w:r>
            <w:r w:rsidR="008029DD">
              <w:rPr>
                <w:lang w:val="en-GB"/>
              </w:rPr>
              <w:t xml:space="preserve">COREP (OF): {C </w:t>
            </w:r>
            <w:r w:rsidRPr="000D7090">
              <w:rPr>
                <w:lang w:val="en-GB"/>
              </w:rPr>
              <w:t>01.00;750;</w:t>
            </w:r>
            <w:r w:rsidR="008029DD">
              <w:rPr>
                <w:lang w:val="en-GB"/>
              </w:rPr>
              <w:t>010}</w:t>
            </w:r>
          </w:p>
        </w:tc>
      </w:tr>
      <w:tr w:rsidR="00696584" w14:paraId="7FE1B5E0" w14:textId="77777777">
        <w:tc>
          <w:tcPr>
            <w:tcW w:w="905" w:type="dxa"/>
            <w:tcBorders>
              <w:top w:val="single" w:sz="4" w:space="0" w:color="1A171C"/>
              <w:left w:val="nil"/>
              <w:bottom w:val="single" w:sz="4" w:space="0" w:color="1A171C"/>
              <w:right w:val="single" w:sz="4" w:space="0" w:color="1A171C"/>
            </w:tcBorders>
            <w:vAlign w:val="center"/>
          </w:tcPr>
          <w:p w14:paraId="7FE1B5DD" w14:textId="77777777" w:rsidR="00696584" w:rsidRDefault="002C4F63">
            <w:pPr>
              <w:pStyle w:val="P68B1DB1-TableParagraph13"/>
              <w:spacing w:before="106"/>
              <w:ind w:left="-1"/>
            </w:pPr>
            <w:r>
              <w:lastRenderedPageBreak/>
              <w:t>0531</w:t>
            </w:r>
          </w:p>
        </w:tc>
        <w:tc>
          <w:tcPr>
            <w:tcW w:w="8121" w:type="dxa"/>
            <w:tcBorders>
              <w:top w:val="single" w:sz="4" w:space="0" w:color="1A171C"/>
              <w:left w:val="single" w:sz="4" w:space="0" w:color="1A171C"/>
              <w:bottom w:val="single" w:sz="4" w:space="0" w:color="1A171C"/>
              <w:right w:val="nil"/>
            </w:tcBorders>
            <w:vAlign w:val="center"/>
          </w:tcPr>
          <w:p w14:paraId="7FE1B5DE" w14:textId="77777777" w:rsidR="00696584" w:rsidRDefault="002C4F63">
            <w:pPr>
              <w:pStyle w:val="P68B1DB1-TableParagraph14"/>
              <w:spacing w:before="108"/>
              <w:ind w:left="85"/>
              <w:jc w:val="both"/>
              <w:rPr>
                <w:bCs/>
              </w:rPr>
            </w:pPr>
            <w:r>
              <w:t>Davon: (Teil der) zu den Eigenmitteln gehörenden nachrangigen Verbindlichkeiten</w:t>
            </w:r>
          </w:p>
          <w:p w14:paraId="7FE1B5DF" w14:textId="77777777" w:rsidR="00696584" w:rsidRDefault="002C4F63">
            <w:pPr>
              <w:pStyle w:val="P68B1DB1-TableParagraph17"/>
              <w:spacing w:before="108"/>
              <w:ind w:left="85"/>
              <w:jc w:val="both"/>
              <w:rPr>
                <w:b/>
                <w:bCs/>
              </w:rPr>
            </w:pPr>
            <w:r>
              <w:t>Hier werden die Rechtsinstrumente aufgeschlüsselt, aus denen das Ergänzungskapital (ausschließlich oder zum Teil) besteht.</w:t>
            </w:r>
          </w:p>
        </w:tc>
      </w:tr>
      <w:tr w:rsidR="00696584" w14:paraId="7FE1B5E4" w14:textId="77777777">
        <w:tc>
          <w:tcPr>
            <w:tcW w:w="905" w:type="dxa"/>
            <w:tcBorders>
              <w:top w:val="single" w:sz="4" w:space="0" w:color="1A171C"/>
              <w:left w:val="nil"/>
              <w:bottom w:val="single" w:sz="4" w:space="0" w:color="1A171C"/>
              <w:right w:val="single" w:sz="4" w:space="0" w:color="1A171C"/>
            </w:tcBorders>
            <w:vAlign w:val="center"/>
          </w:tcPr>
          <w:p w14:paraId="7FE1B5E1" w14:textId="77777777" w:rsidR="00696584" w:rsidRDefault="002C4F63">
            <w:pPr>
              <w:pStyle w:val="P68B1DB1-TableParagraph13"/>
              <w:spacing w:before="106"/>
              <w:ind w:left="-1"/>
            </w:pPr>
            <w:r>
              <w:t>0600</w:t>
            </w:r>
          </w:p>
        </w:tc>
        <w:tc>
          <w:tcPr>
            <w:tcW w:w="8121" w:type="dxa"/>
            <w:tcBorders>
              <w:top w:val="single" w:sz="4" w:space="0" w:color="1A171C"/>
              <w:left w:val="single" w:sz="4" w:space="0" w:color="1A171C"/>
              <w:bottom w:val="single" w:sz="4" w:space="0" w:color="1A171C"/>
              <w:right w:val="nil"/>
            </w:tcBorders>
            <w:vAlign w:val="center"/>
          </w:tcPr>
          <w:p w14:paraId="7FE1B5E2" w14:textId="77777777" w:rsidR="00696584" w:rsidRDefault="002C4F63">
            <w:pPr>
              <w:pStyle w:val="P68B1DB1-TableParagraph14"/>
              <w:spacing w:before="108"/>
              <w:ind w:left="85"/>
              <w:jc w:val="both"/>
              <w:rPr>
                <w:bCs/>
              </w:rPr>
            </w:pPr>
            <w:r>
              <w:t>Gesamte Verbindlichkeiten und Eigenmittel einschließlich Derivateverbindlichkeiten</w:t>
            </w:r>
          </w:p>
          <w:p w14:paraId="7FE1B5E3" w14:textId="77777777" w:rsidR="00696584" w:rsidRDefault="002C4F63">
            <w:pPr>
              <w:pStyle w:val="P68B1DB1-TableParagraph17"/>
              <w:spacing w:before="108"/>
              <w:ind w:left="85"/>
              <w:jc w:val="both"/>
              <w:rPr>
                <w:b/>
                <w:bCs/>
              </w:rPr>
            </w:pPr>
            <w:r>
              <w:t>Summe aller in diesem Meldebogen gemeldeten Verbindlichkeiten und des Betrags der aufsichtsrechtlichen Eigenmittel. Der Betrag ergibt sich durch Addition der Beträge der vorstehenden Zeilen. Für die Derivative ist der in Zeile 0334 „Summe der Nettoverbindlichkeiten unter Berücksichtigung aufsichtlicher Saldierungsregeln“ verzeichnete Wert zu verwenden.</w:t>
            </w:r>
          </w:p>
        </w:tc>
      </w:tr>
      <w:tr w:rsidR="00696584" w14:paraId="7FE1B607" w14:textId="77777777">
        <w:tc>
          <w:tcPr>
            <w:tcW w:w="905" w:type="dxa"/>
            <w:tcBorders>
              <w:top w:val="single" w:sz="4" w:space="0" w:color="1A171C"/>
              <w:left w:val="nil"/>
              <w:bottom w:val="single" w:sz="4" w:space="0" w:color="1A171C"/>
              <w:right w:val="single" w:sz="4" w:space="0" w:color="1A171C"/>
            </w:tcBorders>
            <w:vAlign w:val="center"/>
          </w:tcPr>
          <w:p w14:paraId="7FE1B602" w14:textId="77777777" w:rsidR="00696584" w:rsidRDefault="002C4F63">
            <w:pPr>
              <w:pStyle w:val="P68B1DB1-TableParagraph13"/>
            </w:pPr>
            <w:r>
              <w:t>0800</w:t>
            </w:r>
          </w:p>
        </w:tc>
        <w:tc>
          <w:tcPr>
            <w:tcW w:w="8121" w:type="dxa"/>
            <w:tcBorders>
              <w:top w:val="single" w:sz="4" w:space="0" w:color="1A171C"/>
              <w:left w:val="single" w:sz="4" w:space="0" w:color="1A171C"/>
              <w:bottom w:val="single" w:sz="4" w:space="0" w:color="1A171C"/>
              <w:right w:val="nil"/>
            </w:tcBorders>
            <w:vAlign w:val="center"/>
          </w:tcPr>
          <w:p w14:paraId="7FE1B603" w14:textId="2D219AA6" w:rsidR="00696584" w:rsidRDefault="004559DD">
            <w:pPr>
              <w:pStyle w:val="P68B1DB1-TableParagraph14"/>
              <w:jc w:val="both"/>
              <w:rPr>
                <w:bCs/>
              </w:rPr>
            </w:pPr>
            <w:r>
              <w:t xml:space="preserve">Gesamtes </w:t>
            </w:r>
            <w:r w:rsidR="002C4F63">
              <w:t>Eigenkapital</w:t>
            </w:r>
          </w:p>
          <w:p w14:paraId="7FE1B604" w14:textId="315508B5" w:rsidR="00696584" w:rsidRDefault="002C4F63">
            <w:pPr>
              <w:pStyle w:val="P68B1DB1-Normal21"/>
              <w:spacing w:line="276" w:lineRule="auto"/>
              <w:jc w:val="both"/>
            </w:pPr>
            <w:r>
              <w:t>(FINREP F01.03</w:t>
            </w:r>
            <w:r w:rsidR="006912B4">
              <w:t>;</w:t>
            </w:r>
            <w:r>
              <w:t>300</w:t>
            </w:r>
            <w:r w:rsidR="006912B4">
              <w:t>;</w:t>
            </w:r>
            <w:r>
              <w:t>010) für den Buchwert.</w:t>
            </w:r>
          </w:p>
          <w:p w14:paraId="7FE1B605" w14:textId="44D71F77" w:rsidR="00696584" w:rsidRDefault="002C4F63">
            <w:pPr>
              <w:pStyle w:val="P68B1DB1-Normal21"/>
              <w:spacing w:line="276" w:lineRule="auto"/>
              <w:jc w:val="both"/>
            </w:pPr>
            <w:r>
              <w:t>Diese Gesamtsumme entspricht dem gesamten Eigenkapital der Bilanz.</w:t>
            </w:r>
          </w:p>
          <w:p w14:paraId="7FE1B606" w14:textId="77777777" w:rsidR="00696584" w:rsidRDefault="00696584">
            <w:pPr>
              <w:pStyle w:val="TableParagraph"/>
              <w:jc w:val="both"/>
              <w:rPr>
                <w:rFonts w:ascii="Times New Roman" w:hAnsi="Times New Roman" w:cs="Times New Roman"/>
                <w:b/>
                <w:bCs/>
                <w:color w:val="000000" w:themeColor="text1"/>
                <w:sz w:val="20"/>
                <w:szCs w:val="20"/>
              </w:rPr>
            </w:pPr>
          </w:p>
        </w:tc>
      </w:tr>
    </w:tbl>
    <w:p w14:paraId="7FE1B60E" w14:textId="77777777" w:rsidR="00696584" w:rsidRDefault="00696584">
      <w:pPr>
        <w:rPr>
          <w:rFonts w:ascii="Times New Roman" w:hAnsi="Times New Roman" w:cs="Times New Roman"/>
        </w:rPr>
      </w:pPr>
    </w:p>
    <w:p w14:paraId="7FE1B60F" w14:textId="1DD0504B" w:rsidR="00696584" w:rsidRDefault="002C4F63">
      <w:pPr>
        <w:pStyle w:val="P68B1DB1-Instructionsberschrift25"/>
        <w:numPr>
          <w:ilvl w:val="1"/>
          <w:numId w:val="49"/>
        </w:numPr>
        <w:ind w:left="357" w:hanging="357"/>
      </w:pPr>
      <w:bookmarkStart w:id="57" w:name="_Toc492542323"/>
      <w:bookmarkStart w:id="58" w:name="_Toc81454181"/>
      <w:bookmarkStart w:id="59" w:name="_Toc209533584"/>
      <w:r>
        <w:t>Z 03.01 – Eigenmittelanforderungen – Kreditinstitute (LIAB 2)</w:t>
      </w:r>
      <w:bookmarkEnd w:id="57"/>
      <w:bookmarkEnd w:id="58"/>
      <w:bookmarkEnd w:id="59"/>
    </w:p>
    <w:p w14:paraId="7FE1B610" w14:textId="77777777" w:rsidR="00696584" w:rsidRDefault="002C4F63">
      <w:pPr>
        <w:pStyle w:val="Instructionsberschrift3"/>
      </w:pPr>
      <w:r>
        <w:t>Allgemeine Bemerkungen</w:t>
      </w:r>
    </w:p>
    <w:p w14:paraId="7FE1B611" w14:textId="77777777" w:rsidR="00696584" w:rsidRDefault="002C4F63">
      <w:pPr>
        <w:pStyle w:val="P68B1DB1-InstructionsText26"/>
        <w:numPr>
          <w:ilvl w:val="0"/>
          <w:numId w:val="232"/>
        </w:numPr>
        <w:spacing w:before="0"/>
      </w:pPr>
      <w:r>
        <w:t>Dieser Meldebogen umfasst Angaben zu den Eigenmittelanforderungen eines Unternehmens oder einer Gruppe.</w:t>
      </w:r>
    </w:p>
    <w:p w14:paraId="7FE1B612" w14:textId="77777777" w:rsidR="00696584" w:rsidRDefault="002C4F63">
      <w:pPr>
        <w:pStyle w:val="P68B1DB1-InstructionsText26"/>
        <w:numPr>
          <w:ilvl w:val="0"/>
          <w:numId w:val="232"/>
        </w:numPr>
        <w:spacing w:before="0"/>
      </w:pPr>
      <w:r>
        <w:t>Für sämtliche verlangten Angaben sind die zum Meldestichtag geltenden Eigenmittelanforderungen maßgeblich.</w:t>
      </w:r>
    </w:p>
    <w:p w14:paraId="7FE1B613" w14:textId="1B7809D4" w:rsidR="00696584" w:rsidRDefault="002C4F63">
      <w:pPr>
        <w:pStyle w:val="P68B1DB1-InstructionsText26"/>
        <w:numPr>
          <w:ilvl w:val="0"/>
          <w:numId w:val="232"/>
        </w:numPr>
        <w:spacing w:before="0"/>
      </w:pPr>
      <w:r>
        <w:t>In Ausnahmefällen müssen die in diesem Meldebogen angegebenen Angaben zur SREP-Gesamtkapitalanforderung (SREP-Gesamtquote) auf der letzten verfügbaren offiziellen SREP-Entscheidung beruhen, die von der zuständigen Behörde bis zum Einreichungsdatum dieses Berichts übermittelt wurde.</w:t>
      </w:r>
    </w:p>
    <w:p w14:paraId="7FE1B614" w14:textId="77777777" w:rsidR="00696584" w:rsidRDefault="002C4F63">
      <w:pPr>
        <w:pStyle w:val="P68B1DB1-InstructionsText26"/>
        <w:numPr>
          <w:ilvl w:val="0"/>
          <w:numId w:val="232"/>
        </w:numPr>
        <w:spacing w:before="0"/>
      </w:pPr>
      <w:r>
        <w:t>Für Meldungen auf konsolidierter oder individueller Basis muss das berichtende Unternehmen diese Datenpunkte nicht ein zweites Mal melden, wenn diese Datenpunkte bereits von dem Unternehmen in FINREP oder COREP für denselben Stichtag und denselben Meldeumfang gemeldet wurden (siehe Verweise auf COREP/FINREP in den Erläuterungen). Daten müssen nur gemeldet werden, z. B. wenn das meldende Unternehmen von den finanziellen oder aufsichtsrechtlichen Berichtspflichten befreit wurde; in diesem Fall ist dieser Bericht die einzige Datenquelle für die Abwicklungsbehörden für diese Datenpunkte.</w:t>
      </w:r>
    </w:p>
    <w:p w14:paraId="7FE1B615" w14:textId="77777777" w:rsidR="00696584" w:rsidRDefault="00696584">
      <w:pPr>
        <w:pStyle w:val="InstructionsText2"/>
        <w:numPr>
          <w:ilvl w:val="0"/>
          <w:numId w:val="0"/>
        </w:numPr>
        <w:spacing w:before="0"/>
        <w:ind w:left="1440"/>
        <w:rPr>
          <w:rFonts w:ascii="Times New Roman" w:hAnsi="Times New Roman" w:cs="Times New Roman"/>
          <w:sz w:val="20"/>
          <w:szCs w:val="20"/>
        </w:rPr>
      </w:pPr>
    </w:p>
    <w:p w14:paraId="7FE1B61B" w14:textId="77777777" w:rsidR="00696584" w:rsidRDefault="002C4F63">
      <w:pPr>
        <w:pStyle w:val="Instructionsberschrift3"/>
      </w:pPr>
      <w:r>
        <w:t>Erläuterungen zu bestimmten Positionen</w:t>
      </w:r>
    </w:p>
    <w:p w14:paraId="7FE1B61C" w14:textId="77777777" w:rsidR="00696584" w:rsidRDefault="00696584">
      <w:pPr>
        <w:pStyle w:val="Instructionsberschrift3"/>
        <w:numPr>
          <w:ilvl w:val="0"/>
          <w:numId w:val="0"/>
        </w:numPr>
      </w:pPr>
    </w:p>
    <w:tbl>
      <w:tblPr>
        <w:tblW w:w="0" w:type="auto"/>
        <w:tblCellMar>
          <w:top w:w="57" w:type="dxa"/>
          <w:left w:w="57" w:type="dxa"/>
          <w:bottom w:w="57" w:type="dxa"/>
          <w:right w:w="0" w:type="dxa"/>
        </w:tblCellMar>
        <w:tblLook w:val="01E0" w:firstRow="1" w:lastRow="1" w:firstColumn="1" w:lastColumn="1" w:noHBand="0" w:noVBand="0"/>
      </w:tblPr>
      <w:tblGrid>
        <w:gridCol w:w="856"/>
        <w:gridCol w:w="8170"/>
      </w:tblGrid>
      <w:tr w:rsidR="00696584" w14:paraId="7FE1B61F" w14:textId="77777777">
        <w:trPr>
          <w:tblHeader/>
        </w:trPr>
        <w:tc>
          <w:tcPr>
            <w:tcW w:w="856" w:type="dxa"/>
            <w:tcBorders>
              <w:top w:val="single" w:sz="4" w:space="0" w:color="1A171C"/>
              <w:left w:val="nil"/>
              <w:bottom w:val="single" w:sz="4" w:space="0" w:color="1A171C"/>
              <w:right w:val="single" w:sz="4" w:space="0" w:color="1A171C"/>
            </w:tcBorders>
            <w:shd w:val="clear" w:color="auto" w:fill="E4E5E5"/>
          </w:tcPr>
          <w:p w14:paraId="7FE1B61D" w14:textId="77777777" w:rsidR="00696584" w:rsidRDefault="002C4F63">
            <w:pPr>
              <w:pStyle w:val="P68B1DB1-TableParagraph13"/>
              <w:spacing w:before="66"/>
              <w:rPr>
                <w:rFonts w:eastAsia="Cambria"/>
              </w:rPr>
            </w:pPr>
            <w:r>
              <w:t>Zeilen</w:t>
            </w:r>
          </w:p>
        </w:tc>
        <w:tc>
          <w:tcPr>
            <w:tcW w:w="8170" w:type="dxa"/>
            <w:tcBorders>
              <w:top w:val="single" w:sz="4" w:space="0" w:color="1A171C"/>
              <w:left w:val="single" w:sz="4" w:space="0" w:color="1A171C"/>
              <w:bottom w:val="single" w:sz="4" w:space="0" w:color="1A171C"/>
              <w:right w:val="nil"/>
            </w:tcBorders>
            <w:shd w:val="clear" w:color="auto" w:fill="E4E5E5"/>
          </w:tcPr>
          <w:p w14:paraId="7FE1B61E" w14:textId="77777777" w:rsidR="00696584" w:rsidRDefault="002C4F63">
            <w:pPr>
              <w:pStyle w:val="P68B1DB1-TableParagraph13"/>
              <w:spacing w:before="66"/>
              <w:ind w:right="1"/>
              <w:jc w:val="center"/>
              <w:rPr>
                <w:rFonts w:eastAsia="Cambria"/>
              </w:rPr>
            </w:pPr>
            <w:r>
              <w:t>Erläuterungen</w:t>
            </w:r>
          </w:p>
        </w:tc>
      </w:tr>
      <w:tr w:rsidR="00696584" w14:paraId="7FE1B623" w14:textId="77777777">
        <w:tc>
          <w:tcPr>
            <w:tcW w:w="856" w:type="dxa"/>
            <w:tcBorders>
              <w:top w:val="single" w:sz="4" w:space="0" w:color="1A171C"/>
              <w:left w:val="nil"/>
              <w:bottom w:val="single" w:sz="4" w:space="0" w:color="1A171C"/>
              <w:right w:val="single" w:sz="4" w:space="0" w:color="1A171C"/>
            </w:tcBorders>
            <w:vAlign w:val="center"/>
          </w:tcPr>
          <w:p w14:paraId="7FE1B620" w14:textId="77777777" w:rsidR="00696584" w:rsidRDefault="002C4F63">
            <w:pPr>
              <w:pStyle w:val="P68B1DB1-TableParagraph13"/>
              <w:spacing w:before="106"/>
              <w:ind w:left="-1"/>
              <w:rPr>
                <w:rFonts w:eastAsia="Cambria"/>
                <w:b/>
              </w:rPr>
            </w:pPr>
            <w:r>
              <w:t>0100</w:t>
            </w:r>
          </w:p>
        </w:tc>
        <w:tc>
          <w:tcPr>
            <w:tcW w:w="8170" w:type="dxa"/>
            <w:tcBorders>
              <w:top w:val="single" w:sz="4" w:space="0" w:color="1A171C"/>
              <w:left w:val="single" w:sz="4" w:space="0" w:color="1A171C"/>
              <w:bottom w:val="single" w:sz="4" w:space="0" w:color="1A171C"/>
              <w:right w:val="nil"/>
            </w:tcBorders>
            <w:vAlign w:val="center"/>
          </w:tcPr>
          <w:p w14:paraId="7FE1B621" w14:textId="77777777" w:rsidR="00696584" w:rsidRDefault="002C4F63">
            <w:pPr>
              <w:pStyle w:val="P68B1DB1-TableParagraph14"/>
              <w:spacing w:before="108"/>
              <w:rPr>
                <w:bCs/>
              </w:rPr>
            </w:pPr>
            <w:r>
              <w:t>Gesamtrisikobetrag</w:t>
            </w:r>
          </w:p>
          <w:p w14:paraId="7FE1B622" w14:textId="77777777" w:rsidR="00696584" w:rsidRDefault="002C4F63">
            <w:pPr>
              <w:pStyle w:val="P68B1DB1-TableParagraph17"/>
              <w:spacing w:before="108"/>
            </w:pPr>
            <w:r>
              <w:t>Die in Artikel 45 Absatz 2 Buchstabe a der Richtlinie 2014/59/EU genannte Summe, berechnet gemäß Artikel 92 Absatz 3 der Verordnung (EU) Nr. 575/2013.</w:t>
            </w:r>
          </w:p>
        </w:tc>
      </w:tr>
      <w:tr w:rsidR="00696584" w14:paraId="7FE1B627" w14:textId="77777777">
        <w:tc>
          <w:tcPr>
            <w:tcW w:w="856" w:type="dxa"/>
            <w:tcBorders>
              <w:top w:val="single" w:sz="4" w:space="0" w:color="1A171C"/>
              <w:left w:val="nil"/>
              <w:bottom w:val="single" w:sz="4" w:space="0" w:color="1A171C"/>
              <w:right w:val="single" w:sz="4" w:space="0" w:color="1A171C"/>
            </w:tcBorders>
            <w:vAlign w:val="center"/>
          </w:tcPr>
          <w:p w14:paraId="7FE1B624" w14:textId="77777777" w:rsidR="00696584" w:rsidRDefault="002C4F63">
            <w:pPr>
              <w:pStyle w:val="P68B1DB1-TableParagraph13"/>
              <w:spacing w:before="106"/>
              <w:ind w:left="-1"/>
            </w:pPr>
            <w:r>
              <w:lastRenderedPageBreak/>
              <w:t>0120</w:t>
            </w:r>
          </w:p>
        </w:tc>
        <w:tc>
          <w:tcPr>
            <w:tcW w:w="8170" w:type="dxa"/>
            <w:tcBorders>
              <w:top w:val="single" w:sz="4" w:space="0" w:color="1A171C"/>
              <w:left w:val="single" w:sz="4" w:space="0" w:color="1A171C"/>
              <w:bottom w:val="single" w:sz="4" w:space="0" w:color="1A171C"/>
              <w:right w:val="nil"/>
            </w:tcBorders>
            <w:vAlign w:val="center"/>
          </w:tcPr>
          <w:p w14:paraId="7FE1B625" w14:textId="77777777" w:rsidR="00696584" w:rsidRDefault="002C4F63">
            <w:pPr>
              <w:pStyle w:val="P68B1DB1-TableParagraph14"/>
              <w:spacing w:before="108"/>
              <w:jc w:val="both"/>
              <w:rPr>
                <w:bCs/>
              </w:rPr>
            </w:pPr>
            <w:r>
              <w:t>Gesamtrisikopositionsmessgröße</w:t>
            </w:r>
          </w:p>
          <w:p w14:paraId="7FE1B626" w14:textId="77777777" w:rsidR="00696584" w:rsidRDefault="002C4F63">
            <w:pPr>
              <w:pStyle w:val="P68B1DB1-TableParagraph17"/>
              <w:spacing w:before="108"/>
              <w:jc w:val="both"/>
              <w:rPr>
                <w:b/>
                <w:bCs/>
              </w:rPr>
            </w:pPr>
            <w:r>
              <w:t>Die in Artikel 45 Absatz 2 Buchstabe b der Richtlinie 2014/59/EU genannte Summe, berechnet gemäß Artikel 429 Absatz 4 und Artikel 429a der Verordnung (EU) Nr. 575/2013.</w:t>
            </w:r>
          </w:p>
        </w:tc>
      </w:tr>
      <w:tr w:rsidR="00696584" w14:paraId="7FE1B62A" w14:textId="77777777">
        <w:tc>
          <w:tcPr>
            <w:tcW w:w="856" w:type="dxa"/>
            <w:tcBorders>
              <w:top w:val="single" w:sz="4" w:space="0" w:color="1A171C"/>
              <w:left w:val="nil"/>
              <w:bottom w:val="single" w:sz="4" w:space="0" w:color="1A171C"/>
              <w:right w:val="single" w:sz="4" w:space="0" w:color="1A171C"/>
            </w:tcBorders>
            <w:vAlign w:val="center"/>
          </w:tcPr>
          <w:p w14:paraId="7FE1B628" w14:textId="77777777" w:rsidR="00696584" w:rsidRDefault="002C4F63">
            <w:pPr>
              <w:pStyle w:val="P68B1DB1-TableParagraph13"/>
              <w:spacing w:before="106"/>
              <w:ind w:left="-1"/>
            </w:pPr>
            <w:r>
              <w:t>0210 – 0220</w:t>
            </w:r>
          </w:p>
        </w:tc>
        <w:tc>
          <w:tcPr>
            <w:tcW w:w="8170" w:type="dxa"/>
            <w:tcBorders>
              <w:top w:val="single" w:sz="4" w:space="0" w:color="1A171C"/>
              <w:left w:val="single" w:sz="4" w:space="0" w:color="1A171C"/>
              <w:bottom w:val="single" w:sz="4" w:space="0" w:color="1A171C"/>
              <w:right w:val="nil"/>
            </w:tcBorders>
            <w:vAlign w:val="center"/>
          </w:tcPr>
          <w:p w14:paraId="7FE1B629" w14:textId="77777777" w:rsidR="00696584" w:rsidRDefault="002C4F63">
            <w:pPr>
              <w:pStyle w:val="P68B1DB1-TableParagraph14"/>
              <w:spacing w:before="108"/>
              <w:jc w:val="both"/>
              <w:rPr>
                <w:bCs/>
              </w:rPr>
            </w:pPr>
            <w:r>
              <w:t>Anforderungen bezüglich des Anfangskapitals und der Verschuldungsquote</w:t>
            </w:r>
          </w:p>
        </w:tc>
      </w:tr>
      <w:tr w:rsidR="00696584" w14:paraId="7FE1B62F" w14:textId="77777777">
        <w:tc>
          <w:tcPr>
            <w:tcW w:w="856" w:type="dxa"/>
            <w:tcBorders>
              <w:top w:val="single" w:sz="4" w:space="0" w:color="1A171C"/>
              <w:left w:val="nil"/>
              <w:bottom w:val="single" w:sz="4" w:space="0" w:color="1A171C"/>
              <w:right w:val="single" w:sz="4" w:space="0" w:color="1A171C"/>
            </w:tcBorders>
            <w:vAlign w:val="center"/>
          </w:tcPr>
          <w:p w14:paraId="7FE1B62B" w14:textId="77777777" w:rsidR="00696584" w:rsidRDefault="002C4F63">
            <w:pPr>
              <w:pStyle w:val="P68B1DB1-TableParagraph13"/>
              <w:spacing w:before="106"/>
              <w:ind w:left="-1"/>
            </w:pPr>
            <w:r>
              <w:t>0210</w:t>
            </w:r>
          </w:p>
        </w:tc>
        <w:tc>
          <w:tcPr>
            <w:tcW w:w="8170" w:type="dxa"/>
            <w:tcBorders>
              <w:top w:val="single" w:sz="4" w:space="0" w:color="1A171C"/>
              <w:left w:val="single" w:sz="4" w:space="0" w:color="1A171C"/>
              <w:bottom w:val="single" w:sz="4" w:space="0" w:color="1A171C"/>
              <w:right w:val="nil"/>
            </w:tcBorders>
            <w:vAlign w:val="center"/>
          </w:tcPr>
          <w:p w14:paraId="7FE1B62C" w14:textId="77777777" w:rsidR="00696584" w:rsidRDefault="002C4F63">
            <w:pPr>
              <w:pStyle w:val="P68B1DB1-TableParagraph14"/>
              <w:spacing w:before="108"/>
              <w:jc w:val="both"/>
              <w:rPr>
                <w:bCs/>
              </w:rPr>
            </w:pPr>
            <w:r>
              <w:t>Anfangskapital</w:t>
            </w:r>
          </w:p>
          <w:p w14:paraId="7FE1B62D" w14:textId="77777777" w:rsidR="00696584" w:rsidRDefault="002C4F63">
            <w:pPr>
              <w:pStyle w:val="P68B1DB1-TableParagraph17"/>
              <w:spacing w:before="108"/>
              <w:jc w:val="both"/>
            </w:pPr>
            <w:r>
              <w:t>Der in Artikel 12 der Richtlinie 2013/36/EU, Artikel 93 der Verordnung (EU) Nr. 575/2013 genannte Betrag.</w:t>
            </w:r>
          </w:p>
          <w:p w14:paraId="7FE1B62E" w14:textId="77777777" w:rsidR="00696584" w:rsidRDefault="002C4F63">
            <w:pPr>
              <w:pStyle w:val="P68B1DB1-TableParagraph17"/>
              <w:spacing w:before="108"/>
              <w:jc w:val="both"/>
              <w:rPr>
                <w:b/>
                <w:bCs/>
              </w:rPr>
            </w:pPr>
            <w:r>
              <w:t>Dasjenige Anfangskapital, das die Voraussetzung für die Zulassung für die Aufnahme der Tätigkeit eines Kreditinstituts bildet.</w:t>
            </w:r>
          </w:p>
        </w:tc>
      </w:tr>
      <w:tr w:rsidR="00696584" w14:paraId="7FE1B633" w14:textId="77777777">
        <w:tc>
          <w:tcPr>
            <w:tcW w:w="856" w:type="dxa"/>
            <w:tcBorders>
              <w:top w:val="single" w:sz="4" w:space="0" w:color="1A171C"/>
              <w:left w:val="nil"/>
              <w:bottom w:val="single" w:sz="4" w:space="0" w:color="1A171C"/>
              <w:right w:val="single" w:sz="4" w:space="0" w:color="1A171C"/>
            </w:tcBorders>
            <w:vAlign w:val="center"/>
          </w:tcPr>
          <w:p w14:paraId="7FE1B630" w14:textId="77777777" w:rsidR="00696584" w:rsidRDefault="002C4F63">
            <w:pPr>
              <w:pStyle w:val="P68B1DB1-TableParagraph13"/>
              <w:spacing w:before="106"/>
              <w:ind w:left="-1"/>
            </w:pPr>
            <w:r>
              <w:t>0220</w:t>
            </w:r>
          </w:p>
        </w:tc>
        <w:tc>
          <w:tcPr>
            <w:tcW w:w="8170" w:type="dxa"/>
            <w:tcBorders>
              <w:top w:val="single" w:sz="4" w:space="0" w:color="1A171C"/>
              <w:left w:val="single" w:sz="4" w:space="0" w:color="1A171C"/>
              <w:bottom w:val="single" w:sz="4" w:space="0" w:color="1A171C"/>
              <w:right w:val="nil"/>
            </w:tcBorders>
            <w:vAlign w:val="center"/>
          </w:tcPr>
          <w:p w14:paraId="7FE1B631" w14:textId="77777777" w:rsidR="00696584" w:rsidRDefault="002C4F63">
            <w:pPr>
              <w:pStyle w:val="P68B1DB1-TableParagraph14"/>
              <w:spacing w:before="108"/>
              <w:jc w:val="both"/>
              <w:rPr>
                <w:bCs/>
              </w:rPr>
            </w:pPr>
            <w:r>
              <w:t>Verschuldungsquote</w:t>
            </w:r>
          </w:p>
          <w:p w14:paraId="7FE1B632" w14:textId="77777777" w:rsidR="00696584" w:rsidRDefault="002C4F63">
            <w:pPr>
              <w:pStyle w:val="P68B1DB1-TableParagraph13"/>
              <w:spacing w:before="108"/>
              <w:jc w:val="both"/>
            </w:pPr>
            <w:r>
              <w:t>Die Anforderung bezüglich der Verschuldungsquote, ausgenommen die Anforderung gemäß Artikel 92 Absatz 1a der Verordnung (EU) Nr. 575/2013, die für das Unternehmen oder die Gruppe gilt, ausgedrückt als Prozentsatz der Gesamtrisikopositionsmessgröße. Gibt es keine offizielle Anforderung, ist dies Feld leer zu lassen.</w:t>
            </w:r>
          </w:p>
        </w:tc>
      </w:tr>
      <w:tr w:rsidR="00696584" w14:paraId="7FE1B63D" w14:textId="77777777">
        <w:tc>
          <w:tcPr>
            <w:tcW w:w="856" w:type="dxa"/>
            <w:tcBorders>
              <w:top w:val="single" w:sz="4" w:space="0" w:color="1A171C"/>
              <w:left w:val="nil"/>
              <w:bottom w:val="single" w:sz="4" w:space="0" w:color="1A171C"/>
              <w:right w:val="single" w:sz="4" w:space="0" w:color="1A171C"/>
            </w:tcBorders>
            <w:vAlign w:val="center"/>
          </w:tcPr>
          <w:p w14:paraId="7FE1B634" w14:textId="77777777" w:rsidR="00696584" w:rsidRDefault="002C4F63">
            <w:pPr>
              <w:pStyle w:val="P68B1DB1-TableParagraph13"/>
              <w:spacing w:before="106"/>
              <w:ind w:left="-1"/>
            </w:pPr>
            <w:r>
              <w:t>0300</w:t>
            </w:r>
          </w:p>
        </w:tc>
        <w:tc>
          <w:tcPr>
            <w:tcW w:w="8170" w:type="dxa"/>
            <w:tcBorders>
              <w:top w:val="single" w:sz="4" w:space="0" w:color="1A171C"/>
              <w:left w:val="single" w:sz="4" w:space="0" w:color="1A171C"/>
              <w:bottom w:val="single" w:sz="4" w:space="0" w:color="1A171C"/>
              <w:right w:val="nil"/>
            </w:tcBorders>
            <w:vAlign w:val="center"/>
          </w:tcPr>
          <w:p w14:paraId="7FE1B635" w14:textId="77777777" w:rsidR="00696584" w:rsidRDefault="002C4F63">
            <w:pPr>
              <w:pStyle w:val="P68B1DB1-TableParagraph14"/>
              <w:spacing w:before="108"/>
              <w:jc w:val="both"/>
              <w:rPr>
                <w:bCs/>
              </w:rPr>
            </w:pPr>
            <w:r>
              <w:t xml:space="preserve">SREP-Gesamtkapitalanforderung (TSCR) </w:t>
            </w:r>
          </w:p>
          <w:p w14:paraId="7FE1B636" w14:textId="5F8CF572" w:rsidR="00696584" w:rsidRDefault="008029DD">
            <w:pPr>
              <w:pStyle w:val="P68B1DB1-TableParagraph13"/>
              <w:spacing w:before="108"/>
              <w:jc w:val="both"/>
            </w:pPr>
            <w:r>
              <w:t xml:space="preserve">COREP (OF): {C </w:t>
            </w:r>
            <w:r w:rsidR="002C4F63">
              <w:t>03.00;130;</w:t>
            </w:r>
            <w:r>
              <w:t>010}</w:t>
            </w:r>
          </w:p>
          <w:p w14:paraId="7FE1B637" w14:textId="77777777" w:rsidR="00696584" w:rsidRDefault="002C4F63">
            <w:pPr>
              <w:pStyle w:val="P68B1DB1-InstructionsText22"/>
              <w:ind w:firstLine="0"/>
            </w:pPr>
            <w:r>
              <w:t>Summe aus i) und ii):</w:t>
            </w:r>
          </w:p>
          <w:p w14:paraId="7FE1B638" w14:textId="77777777" w:rsidR="00696584" w:rsidRDefault="002C4F63">
            <w:pPr>
              <w:pStyle w:val="P68B1DB1-InstructionsText22"/>
              <w:numPr>
                <w:ilvl w:val="3"/>
                <w:numId w:val="49"/>
              </w:numPr>
            </w:pPr>
            <w:r>
              <w:t xml:space="preserve">Gesamtkapitalquote (8 %) gemäß Artikel 92 Absatz 1 Buchstabe c der Verordnung (EU) Nr. 575/2013, </w:t>
            </w:r>
          </w:p>
          <w:p w14:paraId="7FE1B639" w14:textId="4922F218" w:rsidR="00696584" w:rsidRDefault="002C4F63">
            <w:pPr>
              <w:pStyle w:val="P68B1DB1-InstructionsText22"/>
              <w:numPr>
                <w:ilvl w:val="3"/>
                <w:numId w:val="49"/>
              </w:numPr>
            </w:pPr>
            <w:r>
              <w:t xml:space="preserve">Quote der zusätzlichen Eigenmittelanforderungen (Anforderung nach Säule 2 – P2R), bestimmt gemäß den Kriterien der </w:t>
            </w:r>
            <w:r>
              <w:rPr>
                <w:i/>
              </w:rPr>
              <w:t xml:space="preserve">EBA-Leitlinien </w:t>
            </w:r>
            <w:r w:rsidR="008029DD" w:rsidRPr="008029DD">
              <w:rPr>
                <w:i/>
              </w:rPr>
              <w:t xml:space="preserve">zu gemeinsamen Verfahren und Methoden für den aufsichtlichen Überprüfungs- und Bewertungsprozess (Supervisory Review and Evaluation Process, SREP) sowie für die aufsichtlichen Stresstests </w:t>
            </w:r>
            <w:r>
              <w:t xml:space="preserve"> (EBA SREP GL).</w:t>
            </w:r>
          </w:p>
          <w:p w14:paraId="7FE1B63A" w14:textId="77777777" w:rsidR="00696584" w:rsidRDefault="002C4F63">
            <w:pPr>
              <w:pStyle w:val="P68B1DB1-InstructionsText22"/>
              <w:ind w:firstLine="0"/>
            </w:pPr>
            <w:r>
              <w:t>In diesem Posten ist die letzte SREP-Kapitalanforderung (SREP-Gesamtkapitalanforderung) zum Zeitpunkt der Überweisung widerzuspiegeln, die dem Institut von der zuständigen Behörde mitgeteilt wurde, d. h. für die Übermittlung mit dem 31. Dezember eines bestimmten Jahres ist die im folgenden Jahr geltende P2R anzugeben. Die TSCR wird in Abschnitt 1.2 der EBA SREP GL definiert.</w:t>
            </w:r>
          </w:p>
          <w:p w14:paraId="7FE1B63B" w14:textId="284FA98E" w:rsidR="00696584" w:rsidRDefault="002C4F63">
            <w:pPr>
              <w:pStyle w:val="P68B1DB1-InstructionsText22"/>
              <w:ind w:firstLine="0"/>
            </w:pPr>
            <w:r>
              <w:t xml:space="preserve">Handelt es sich bei einem </w:t>
            </w:r>
            <w:r w:rsidR="006F02B1">
              <w:t>meldenden</w:t>
            </w:r>
            <w:r>
              <w:t xml:space="preserve"> Unternehmen um eine Abwicklungseinheit, die auf konsolidierter Ebene der Abwicklungsgruppe keiner zusätzlichen Eigenmittelanforderung gemäß Artikel 104a der Richtlinie 2013/36/EU unterlag, wird davon ausgegangen, dass der für ii) gemeldete Wert das Ergebnis der in Artikel 1 der Delegierten Verordnung (EU) 2021/1118 der Kommission genannten Schätzung ist, die aber vom </w:t>
            </w:r>
            <w:r w:rsidR="006F02B1">
              <w:t xml:space="preserve">meldenden </w:t>
            </w:r>
            <w:r>
              <w:t>Unternehmen vorläufig durchgeführt wurde.</w:t>
            </w:r>
          </w:p>
          <w:p w14:paraId="7FE1B63C" w14:textId="77777777" w:rsidR="00696584" w:rsidRDefault="002C4F63">
            <w:pPr>
              <w:pStyle w:val="P68B1DB1-TableParagraph13"/>
              <w:spacing w:before="108"/>
              <w:jc w:val="both"/>
              <w:rPr>
                <w:b/>
                <w:bCs/>
              </w:rPr>
            </w:pPr>
            <w:r>
              <w:t>Hat die zuständige Behörde keine zusätzlichen Eigenmittelanforderungen mitgeteilt und ist die vorstehende Ziffer nicht anwendbar, ist hier nur Ziffer i auszuweisen.</w:t>
            </w:r>
          </w:p>
        </w:tc>
      </w:tr>
      <w:tr w:rsidR="00696584" w14:paraId="7FE1B643" w14:textId="77777777">
        <w:tc>
          <w:tcPr>
            <w:tcW w:w="856" w:type="dxa"/>
            <w:tcBorders>
              <w:top w:val="single" w:sz="4" w:space="0" w:color="1A171C"/>
              <w:left w:val="nil"/>
              <w:bottom w:val="single" w:sz="4" w:space="0" w:color="1A171C"/>
              <w:right w:val="single" w:sz="4" w:space="0" w:color="1A171C"/>
            </w:tcBorders>
            <w:vAlign w:val="center"/>
          </w:tcPr>
          <w:p w14:paraId="7FE1B63E" w14:textId="77777777" w:rsidR="00696584" w:rsidRDefault="002C4F63">
            <w:pPr>
              <w:pStyle w:val="P68B1DB1-TableParagraph13"/>
              <w:spacing w:before="106"/>
              <w:ind w:left="-1"/>
            </w:pPr>
            <w:r>
              <w:t>0400</w:t>
            </w:r>
          </w:p>
        </w:tc>
        <w:tc>
          <w:tcPr>
            <w:tcW w:w="8170" w:type="dxa"/>
            <w:tcBorders>
              <w:top w:val="single" w:sz="4" w:space="0" w:color="1A171C"/>
              <w:left w:val="single" w:sz="4" w:space="0" w:color="1A171C"/>
              <w:bottom w:val="single" w:sz="4" w:space="0" w:color="1A171C"/>
              <w:right w:val="nil"/>
            </w:tcBorders>
            <w:vAlign w:val="center"/>
          </w:tcPr>
          <w:p w14:paraId="7FE1B63F" w14:textId="77777777" w:rsidR="00696584" w:rsidRDefault="002C4F63">
            <w:pPr>
              <w:pStyle w:val="P68B1DB1-TableParagraph14"/>
              <w:spacing w:before="108"/>
              <w:jc w:val="both"/>
              <w:rPr>
                <w:bCs/>
              </w:rPr>
            </w:pPr>
            <w:r>
              <w:t>Kombinierte Kapitalpufferanforderung</w:t>
            </w:r>
          </w:p>
          <w:p w14:paraId="7FE1B640" w14:textId="13286A68" w:rsidR="00696584" w:rsidRDefault="002C4F63">
            <w:pPr>
              <w:pStyle w:val="P68B1DB1-TableParagraph13"/>
              <w:spacing w:before="108"/>
              <w:jc w:val="both"/>
            </w:pPr>
            <w:r>
              <w:t>COREP (OF): {C 04.00;740;010}.</w:t>
            </w:r>
          </w:p>
          <w:p w14:paraId="7FE1B641" w14:textId="064BDDF5" w:rsidR="00696584" w:rsidRDefault="002C4F63">
            <w:pPr>
              <w:pStyle w:val="TableParagraph"/>
              <w:spacing w:before="108"/>
              <w:jc w:val="both"/>
              <w:rPr>
                <w:rFonts w:ascii="Times New Roman" w:eastAsia="Cambria" w:hAnsi="Times New Roman" w:cs="Times New Roman"/>
                <w:color w:val="000000" w:themeColor="text1"/>
                <w:sz w:val="20"/>
                <w:szCs w:val="20"/>
              </w:rPr>
            </w:pPr>
            <w:r>
              <w:rPr>
                <w:rFonts w:ascii="Times New Roman" w:eastAsia="Cambria" w:hAnsi="Times New Roman" w:cs="Times New Roman"/>
                <w:color w:val="000000" w:themeColor="text1"/>
                <w:sz w:val="20"/>
                <w:szCs w:val="20"/>
              </w:rPr>
              <w:t>Erfordernis gemäß</w:t>
            </w:r>
            <w:r>
              <w:rPr>
                <w:rStyle w:val="InstructionsTabelleberschrift"/>
                <w:rFonts w:ascii="Times New Roman" w:hAnsi="Times New Roman"/>
                <w:b w:val="0"/>
                <w:color w:val="000000" w:themeColor="text1"/>
                <w:szCs w:val="20"/>
                <w:u w:val="none"/>
              </w:rPr>
              <w:t xml:space="preserve"> Artikel</w:t>
            </w:r>
            <w:r w:rsidR="00896925">
              <w:rPr>
                <w:rStyle w:val="InstructionsTabelleberschrift"/>
                <w:rFonts w:ascii="Times New Roman" w:hAnsi="Times New Roman"/>
                <w:b w:val="0"/>
                <w:color w:val="000000" w:themeColor="text1"/>
                <w:szCs w:val="20"/>
                <w:u w:val="none"/>
              </w:rPr>
              <w:t xml:space="preserve"> </w:t>
            </w:r>
            <w:r>
              <w:rPr>
                <w:rFonts w:ascii="Times New Roman" w:eastAsia="Cambria" w:hAnsi="Times New Roman" w:cs="Times New Roman"/>
                <w:color w:val="000000" w:themeColor="text1"/>
                <w:sz w:val="20"/>
                <w:szCs w:val="20"/>
              </w:rPr>
              <w:t>128 Unterabsatz 1 Nummer 6 der Richtlinie 2013/36/EU.</w:t>
            </w:r>
          </w:p>
          <w:p w14:paraId="7FE1B642" w14:textId="37B6D097" w:rsidR="00696584" w:rsidRDefault="002C4F63">
            <w:pPr>
              <w:pStyle w:val="P68B1DB1-TableParagraph13"/>
              <w:spacing w:before="108"/>
              <w:jc w:val="both"/>
            </w:pPr>
            <w:r>
              <w:t xml:space="preserve">Weicht der Abwicklungsumfang vom aufsichtlichen Bereich ab, so folgt die Schätzung der Elemente der kombinierten Kapitalpufferanforderung der Abwicklungseinheit auf konsolidierter Ebene der Abwicklungsgruppe Artikel 3 Absatz 1 der Delegierten Verordnung (EU) 2021/1118 der Kommission, sollte jedoch vom meldenden Unternehmen vorläufig vorgenommen werden. </w:t>
            </w:r>
          </w:p>
        </w:tc>
      </w:tr>
      <w:tr w:rsidR="00696584" w14:paraId="7FE1B649" w14:textId="77777777">
        <w:tc>
          <w:tcPr>
            <w:tcW w:w="856" w:type="dxa"/>
            <w:tcBorders>
              <w:top w:val="single" w:sz="4" w:space="0" w:color="1A171C"/>
              <w:left w:val="nil"/>
              <w:bottom w:val="single" w:sz="4" w:space="0" w:color="1A171C"/>
              <w:right w:val="single" w:sz="4" w:space="0" w:color="1A171C"/>
            </w:tcBorders>
            <w:vAlign w:val="center"/>
          </w:tcPr>
          <w:p w14:paraId="7FE1B644" w14:textId="77777777" w:rsidR="00696584" w:rsidRDefault="002C4F63">
            <w:pPr>
              <w:pStyle w:val="P68B1DB1-TableParagraph13"/>
              <w:spacing w:before="106"/>
              <w:ind w:left="-1"/>
            </w:pPr>
            <w:r>
              <w:lastRenderedPageBreak/>
              <w:t>0410</w:t>
            </w:r>
          </w:p>
        </w:tc>
        <w:tc>
          <w:tcPr>
            <w:tcW w:w="8170" w:type="dxa"/>
            <w:tcBorders>
              <w:top w:val="single" w:sz="4" w:space="0" w:color="1A171C"/>
              <w:left w:val="single" w:sz="4" w:space="0" w:color="1A171C"/>
              <w:bottom w:val="single" w:sz="4" w:space="0" w:color="1A171C"/>
              <w:right w:val="nil"/>
            </w:tcBorders>
            <w:vAlign w:val="center"/>
          </w:tcPr>
          <w:p w14:paraId="7FE1B645" w14:textId="77777777" w:rsidR="00696584" w:rsidRDefault="002C4F63">
            <w:pPr>
              <w:pStyle w:val="P68B1DB1-TableParagraph14"/>
              <w:spacing w:before="108"/>
              <w:jc w:val="both"/>
              <w:rPr>
                <w:bCs/>
              </w:rPr>
            </w:pPr>
            <w:r>
              <w:t>Kapitalerhaltungspuffer</w:t>
            </w:r>
          </w:p>
          <w:p w14:paraId="7FE1B646" w14:textId="1086C5A4" w:rsidR="00696584" w:rsidRDefault="002C4F63">
            <w:pPr>
              <w:pStyle w:val="P68B1DB1-TableParagraph13"/>
              <w:spacing w:before="108"/>
              <w:jc w:val="both"/>
            </w:pPr>
            <w:r>
              <w:t>COREP (OF): {C 04.00;750;010}</w:t>
            </w:r>
            <w:r w:rsidR="001E0B2B">
              <w:t xml:space="preserve"> </w:t>
            </w:r>
            <w:r>
              <w:t>.</w:t>
            </w:r>
          </w:p>
          <w:p w14:paraId="7FE1B647" w14:textId="77777777" w:rsidR="00696584" w:rsidRDefault="002C4F63">
            <w:pPr>
              <w:pStyle w:val="TableParagraph"/>
              <w:spacing w:before="108"/>
              <w:jc w:val="both"/>
              <w:rPr>
                <w:rFonts w:ascii="Times New Roman" w:eastAsia="Cambria" w:hAnsi="Times New Roman" w:cs="Times New Roman"/>
                <w:color w:val="000000" w:themeColor="text1"/>
                <w:sz w:val="20"/>
                <w:szCs w:val="20"/>
              </w:rPr>
            </w:pPr>
            <w:r>
              <w:rPr>
                <w:rFonts w:ascii="Times New Roman" w:eastAsia="Cambria" w:hAnsi="Times New Roman" w:cs="Times New Roman"/>
                <w:color w:val="000000" w:themeColor="text1"/>
                <w:sz w:val="20"/>
                <w:szCs w:val="20"/>
              </w:rPr>
              <w:t>Anforderung nach</w:t>
            </w:r>
            <w:r>
              <w:rPr>
                <w:rStyle w:val="InstructionsTabelleberschrift"/>
                <w:rFonts w:ascii="Times New Roman" w:hAnsi="Times New Roman"/>
                <w:b w:val="0"/>
                <w:color w:val="000000" w:themeColor="text1"/>
                <w:szCs w:val="20"/>
                <w:u w:val="none"/>
              </w:rPr>
              <w:t xml:space="preserve"> </w:t>
            </w:r>
            <w:r>
              <w:rPr>
                <w:rFonts w:ascii="Times New Roman" w:eastAsia="Cambria" w:hAnsi="Times New Roman" w:cs="Times New Roman"/>
                <w:color w:val="000000" w:themeColor="text1"/>
                <w:sz w:val="20"/>
                <w:szCs w:val="20"/>
              </w:rPr>
              <w:t>Artikel 128 Nummer 1 und Artikel 129 der Richtlinie 2013/36/EU.</w:t>
            </w:r>
          </w:p>
          <w:p w14:paraId="7FE1B648" w14:textId="77777777" w:rsidR="00696584" w:rsidRDefault="002C4F63">
            <w:pPr>
              <w:pStyle w:val="P68B1DB1-TableParagraph13"/>
              <w:spacing w:before="108"/>
              <w:jc w:val="both"/>
              <w:rPr>
                <w:rFonts w:eastAsia="Cambria"/>
              </w:rPr>
            </w:pPr>
            <w:r>
              <w:t>Weicht der Abwicklungsumfang von der aufsichtlichen Anforderung ab, so folgt die Schätzung dieser Pufferanforderung für die Abwicklungseinheit auf konsolidierter Ebene der Abwicklungsgruppe gemäß Artikel 3 Absatz 2 der Delegierten Verordnung (EU) 2021/1118 der Kommission, sollte jedoch vom meldenden Unternehmen vorläufig vorgenommen werden.</w:t>
            </w:r>
          </w:p>
        </w:tc>
      </w:tr>
      <w:tr w:rsidR="00696584" w14:paraId="7FE1B64F" w14:textId="77777777">
        <w:tc>
          <w:tcPr>
            <w:tcW w:w="856" w:type="dxa"/>
            <w:tcBorders>
              <w:top w:val="single" w:sz="4" w:space="0" w:color="1A171C"/>
              <w:left w:val="nil"/>
              <w:bottom w:val="single" w:sz="4" w:space="0" w:color="1A171C"/>
              <w:right w:val="single" w:sz="4" w:space="0" w:color="1A171C"/>
            </w:tcBorders>
            <w:vAlign w:val="center"/>
          </w:tcPr>
          <w:p w14:paraId="7FE1B64A" w14:textId="77777777" w:rsidR="00696584" w:rsidRDefault="002C4F63">
            <w:pPr>
              <w:pStyle w:val="P68B1DB1-TableParagraph13"/>
              <w:spacing w:before="106"/>
              <w:ind w:left="-1"/>
            </w:pPr>
            <w:r>
              <w:t>0420</w:t>
            </w:r>
          </w:p>
        </w:tc>
        <w:tc>
          <w:tcPr>
            <w:tcW w:w="8170" w:type="dxa"/>
            <w:tcBorders>
              <w:top w:val="single" w:sz="4" w:space="0" w:color="1A171C"/>
              <w:left w:val="single" w:sz="4" w:space="0" w:color="1A171C"/>
              <w:bottom w:val="single" w:sz="4" w:space="0" w:color="1A171C"/>
              <w:right w:val="nil"/>
            </w:tcBorders>
            <w:vAlign w:val="center"/>
          </w:tcPr>
          <w:p w14:paraId="7FE1B64B" w14:textId="77777777" w:rsidR="00696584" w:rsidRDefault="002C4F63">
            <w:pPr>
              <w:rPr>
                <w:rStyle w:val="InstructionsTabelleberschrift"/>
                <w:rFonts w:ascii="Times New Roman" w:hAnsi="Times New Roman"/>
                <w:color w:val="000000" w:themeColor="text1"/>
                <w:szCs w:val="20"/>
                <w:u w:val="none"/>
              </w:rPr>
            </w:pPr>
            <w:r>
              <w:rPr>
                <w:rStyle w:val="InstructionsTabelleberschrift"/>
                <w:rFonts w:ascii="Times New Roman" w:hAnsi="Times New Roman"/>
                <w:color w:val="000000" w:themeColor="text1"/>
                <w:szCs w:val="20"/>
                <w:u w:val="none"/>
              </w:rPr>
              <w:t>Kapitalerhaltungspuffer aufgrund von Makroaufsichtsrisiken oder Systemrisiken auf Ebene eines Mitgliedstaats</w:t>
            </w:r>
          </w:p>
          <w:p w14:paraId="7FE1B64C" w14:textId="1D58DE5A" w:rsidR="00696584" w:rsidRDefault="002C4F63">
            <w:pPr>
              <w:rPr>
                <w:rStyle w:val="InstructionsTabelleberschrift"/>
                <w:rFonts w:ascii="Times New Roman" w:hAnsi="Times New Roman"/>
                <w:b w:val="0"/>
                <w:bCs w:val="0"/>
                <w:color w:val="000000" w:themeColor="text1"/>
                <w:szCs w:val="20"/>
                <w:u w:val="none"/>
              </w:rPr>
            </w:pPr>
            <w:r>
              <w:rPr>
                <w:rStyle w:val="InstructionsTabelleberschrift"/>
                <w:rFonts w:ascii="Times New Roman" w:hAnsi="Times New Roman"/>
                <w:b w:val="0"/>
                <w:bCs w:val="0"/>
                <w:color w:val="000000" w:themeColor="text1"/>
                <w:szCs w:val="20"/>
                <w:u w:val="none"/>
              </w:rPr>
              <w:t>COREP (OF): {C 04.00;760;010}</w:t>
            </w:r>
            <w:r w:rsidR="00D913E7">
              <w:rPr>
                <w:rStyle w:val="InstructionsTabelleberschrift"/>
                <w:rFonts w:ascii="Times New Roman" w:hAnsi="Times New Roman"/>
                <w:b w:val="0"/>
                <w:bCs w:val="0"/>
                <w:color w:val="000000" w:themeColor="text1"/>
                <w:szCs w:val="20"/>
                <w:u w:val="none"/>
              </w:rPr>
              <w:t>)</w:t>
            </w:r>
            <w:r>
              <w:rPr>
                <w:rStyle w:val="InstructionsTabelleberschrift"/>
                <w:rFonts w:ascii="Times New Roman" w:hAnsi="Times New Roman"/>
                <w:b w:val="0"/>
                <w:bCs w:val="0"/>
                <w:color w:val="000000" w:themeColor="text1"/>
                <w:szCs w:val="20"/>
                <w:u w:val="none"/>
              </w:rPr>
              <w:t>.</w:t>
            </w:r>
          </w:p>
          <w:p w14:paraId="7FE1B64D" w14:textId="1D29CF6A" w:rsidR="00696584" w:rsidRDefault="002C4F63">
            <w:pPr>
              <w:rPr>
                <w:rStyle w:val="InstructionsTabelleberschrift"/>
                <w:rFonts w:ascii="Times New Roman" w:hAnsi="Times New Roman"/>
                <w:b w:val="0"/>
                <w:color w:val="000000" w:themeColor="text1"/>
                <w:szCs w:val="20"/>
                <w:u w:val="none"/>
              </w:rPr>
            </w:pPr>
            <w:r>
              <w:rPr>
                <w:rFonts w:ascii="Times New Roman" w:eastAsia="Cambria" w:hAnsi="Times New Roman" w:cs="Times New Roman"/>
                <w:color w:val="000000" w:themeColor="text1"/>
                <w:sz w:val="20"/>
                <w:szCs w:val="20"/>
              </w:rPr>
              <w:t>Anforderung gemäß</w:t>
            </w:r>
            <w:r>
              <w:rPr>
                <w:rStyle w:val="InstructionsTabelleberschrift"/>
                <w:rFonts w:ascii="Times New Roman" w:hAnsi="Times New Roman"/>
                <w:b w:val="0"/>
                <w:color w:val="000000" w:themeColor="text1"/>
                <w:szCs w:val="20"/>
                <w:u w:val="none"/>
              </w:rPr>
              <w:t xml:space="preserve"> Artikel 458 Absatz 2 Buchstabe d Ziffer vi</w:t>
            </w:r>
            <w:r>
              <w:rPr>
                <w:rStyle w:val="FootnoteReference"/>
                <w:rFonts w:cs="Times New Roman"/>
                <w:color w:val="000000" w:themeColor="text1"/>
              </w:rPr>
              <w:footnoteReference w:id="17"/>
            </w:r>
            <w:r>
              <w:rPr>
                <w:rStyle w:val="InstructionsTabelleberschrift"/>
                <w:rFonts w:ascii="Times New Roman" w:hAnsi="Times New Roman"/>
                <w:b w:val="0"/>
                <w:color w:val="000000" w:themeColor="text1"/>
                <w:szCs w:val="20"/>
                <w:u w:val="none"/>
              </w:rPr>
              <w:t xml:space="preserve"> der Verordnung (EU) Nr. 575/2013</w:t>
            </w:r>
          </w:p>
          <w:p w14:paraId="7FE1B64E" w14:textId="77777777" w:rsidR="00696584" w:rsidRDefault="002C4F63">
            <w:pPr>
              <w:pStyle w:val="P68B1DB1-TableParagraph13"/>
              <w:spacing w:before="108"/>
              <w:jc w:val="both"/>
              <w:rPr>
                <w:rFonts w:eastAsia="Cambria"/>
              </w:rPr>
            </w:pPr>
            <w:r>
              <w:t>Weicht der Abwicklungsumfang vom aufsichtlichen Umfang ab, entspricht der gemeldete Betrag dem Puffer, der für die Risikopositionen der Abwicklungsgruppe gilt.</w:t>
            </w:r>
          </w:p>
        </w:tc>
      </w:tr>
      <w:tr w:rsidR="00696584" w14:paraId="7FE1B655" w14:textId="77777777">
        <w:tc>
          <w:tcPr>
            <w:tcW w:w="856" w:type="dxa"/>
            <w:tcBorders>
              <w:top w:val="single" w:sz="4" w:space="0" w:color="1A171C"/>
              <w:left w:val="nil"/>
              <w:bottom w:val="single" w:sz="4" w:space="0" w:color="1A171C"/>
              <w:right w:val="single" w:sz="4" w:space="0" w:color="1A171C"/>
            </w:tcBorders>
            <w:vAlign w:val="center"/>
          </w:tcPr>
          <w:p w14:paraId="7FE1B650" w14:textId="77777777" w:rsidR="00696584" w:rsidRDefault="002C4F63">
            <w:pPr>
              <w:pStyle w:val="P68B1DB1-TableParagraph13"/>
              <w:spacing w:before="106"/>
              <w:ind w:left="-1"/>
            </w:pPr>
            <w:r>
              <w:t>0430</w:t>
            </w:r>
          </w:p>
        </w:tc>
        <w:tc>
          <w:tcPr>
            <w:tcW w:w="8170" w:type="dxa"/>
            <w:tcBorders>
              <w:top w:val="single" w:sz="4" w:space="0" w:color="1A171C"/>
              <w:left w:val="single" w:sz="4" w:space="0" w:color="1A171C"/>
              <w:bottom w:val="single" w:sz="4" w:space="0" w:color="1A171C"/>
              <w:right w:val="nil"/>
            </w:tcBorders>
            <w:vAlign w:val="center"/>
          </w:tcPr>
          <w:p w14:paraId="7FE1B651" w14:textId="77777777" w:rsidR="00696584" w:rsidRDefault="002C4F63">
            <w:pPr>
              <w:pStyle w:val="P68B1DB1-TableParagraph14"/>
              <w:spacing w:before="108"/>
              <w:jc w:val="both"/>
              <w:rPr>
                <w:bCs/>
              </w:rPr>
            </w:pPr>
            <w:r>
              <w:t xml:space="preserve">Institutsspezifischer antizyklischer Kapitalpuffer </w:t>
            </w:r>
          </w:p>
          <w:p w14:paraId="7FE1B652" w14:textId="77777777" w:rsidR="00696584" w:rsidRDefault="002C4F63">
            <w:pPr>
              <w:rPr>
                <w:rStyle w:val="InstructionsTabelleberschrift"/>
                <w:rFonts w:ascii="Times New Roman" w:hAnsi="Times New Roman"/>
                <w:b w:val="0"/>
                <w:bCs w:val="0"/>
                <w:color w:val="000000" w:themeColor="text1"/>
                <w:szCs w:val="20"/>
                <w:u w:val="none"/>
              </w:rPr>
            </w:pPr>
            <w:r>
              <w:rPr>
                <w:rStyle w:val="InstructionsTabelleberschrift"/>
                <w:rFonts w:ascii="Times New Roman" w:hAnsi="Times New Roman"/>
                <w:b w:val="0"/>
                <w:bCs w:val="0"/>
                <w:color w:val="000000" w:themeColor="text1"/>
                <w:szCs w:val="20"/>
                <w:u w:val="none"/>
              </w:rPr>
              <w:t>(Siehe COREP (OF): {C 04.00;770;010}).</w:t>
            </w:r>
          </w:p>
          <w:p w14:paraId="7FE1B653" w14:textId="77777777" w:rsidR="00696584" w:rsidRDefault="002C4F63">
            <w:pPr>
              <w:pStyle w:val="P68B1DB1-TableParagraph17"/>
              <w:spacing w:before="108"/>
              <w:jc w:val="both"/>
            </w:pPr>
            <w:r>
              <w:t>Anforderung gemäß Artikel 128 Nummer 2, Artikel 130 und Artikel 135 bis 140 der Richtlinie 2013/36/EU.</w:t>
            </w:r>
          </w:p>
          <w:p w14:paraId="7FE1B654" w14:textId="77777777" w:rsidR="00696584" w:rsidRDefault="002C4F63">
            <w:pPr>
              <w:pStyle w:val="P68B1DB1-TableParagraph13"/>
              <w:spacing w:before="108"/>
              <w:jc w:val="both"/>
              <w:rPr>
                <w:rFonts w:eastAsia="Cambria"/>
              </w:rPr>
            </w:pPr>
            <w:r>
              <w:t>Weicht der Abwicklungsumfang vom aufsichtlichen Umfang ab, entspricht der gemeldete Betrag der Pufferanforderung, die für die Risikopositionen der Abwicklungsgruppe gilt.</w:t>
            </w:r>
          </w:p>
        </w:tc>
      </w:tr>
      <w:tr w:rsidR="00696584" w14:paraId="7FE1B65B" w14:textId="77777777">
        <w:tc>
          <w:tcPr>
            <w:tcW w:w="856" w:type="dxa"/>
            <w:tcBorders>
              <w:top w:val="single" w:sz="4" w:space="0" w:color="1A171C"/>
              <w:left w:val="nil"/>
              <w:bottom w:val="single" w:sz="4" w:space="0" w:color="1A171C"/>
              <w:right w:val="single" w:sz="4" w:space="0" w:color="1A171C"/>
            </w:tcBorders>
            <w:vAlign w:val="center"/>
          </w:tcPr>
          <w:p w14:paraId="7FE1B656" w14:textId="77777777" w:rsidR="00696584" w:rsidRDefault="002C4F63">
            <w:pPr>
              <w:pStyle w:val="P68B1DB1-TableParagraph13"/>
              <w:spacing w:before="106"/>
              <w:ind w:left="-1"/>
            </w:pPr>
            <w:r>
              <w:t>0440</w:t>
            </w:r>
          </w:p>
        </w:tc>
        <w:tc>
          <w:tcPr>
            <w:tcW w:w="8170" w:type="dxa"/>
            <w:tcBorders>
              <w:top w:val="single" w:sz="4" w:space="0" w:color="1A171C"/>
              <w:left w:val="single" w:sz="4" w:space="0" w:color="1A171C"/>
              <w:bottom w:val="single" w:sz="4" w:space="0" w:color="1A171C"/>
              <w:right w:val="nil"/>
            </w:tcBorders>
            <w:vAlign w:val="center"/>
          </w:tcPr>
          <w:p w14:paraId="7FE1B657" w14:textId="77777777" w:rsidR="00696584" w:rsidRPr="000D7090" w:rsidRDefault="002C4F63">
            <w:pPr>
              <w:pStyle w:val="P68B1DB1-TableParagraph14"/>
              <w:spacing w:before="108"/>
              <w:jc w:val="both"/>
              <w:rPr>
                <w:bCs/>
                <w:lang w:val="en-GB"/>
              </w:rPr>
            </w:pPr>
            <w:r w:rsidRPr="000D7090">
              <w:rPr>
                <w:lang w:val="en-GB"/>
              </w:rPr>
              <w:t>Systemrisikopuffer</w:t>
            </w:r>
          </w:p>
          <w:p w14:paraId="7FE1B658" w14:textId="77777777" w:rsidR="00696584" w:rsidRPr="000D7090" w:rsidRDefault="002C4F63">
            <w:pPr>
              <w:pStyle w:val="P68B1DB1-TableParagraph13"/>
              <w:spacing w:before="108"/>
              <w:jc w:val="both"/>
              <w:rPr>
                <w:lang w:val="en-GB"/>
              </w:rPr>
            </w:pPr>
            <w:r w:rsidRPr="000D7090">
              <w:rPr>
                <w:lang w:val="en-GB"/>
              </w:rPr>
              <w:t>(Siehe COREP (OF): {C 04.00;780;010})</w:t>
            </w:r>
          </w:p>
          <w:p w14:paraId="7FE1B659" w14:textId="77777777" w:rsidR="00696584" w:rsidRDefault="002C4F63">
            <w:pPr>
              <w:pStyle w:val="P68B1DB1-TableParagraph17"/>
              <w:spacing w:before="108"/>
              <w:jc w:val="both"/>
            </w:pPr>
            <w:r>
              <w:t>Anforderung nach Artikel 128 Nummer 5, Artikel 133 und Artikel 134 der Richtlinie 2013/36/EU</w:t>
            </w:r>
          </w:p>
          <w:p w14:paraId="7FE1B65A" w14:textId="77777777" w:rsidR="00696584" w:rsidRDefault="002C4F63">
            <w:pPr>
              <w:pStyle w:val="TableParagraph"/>
              <w:spacing w:before="108"/>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Weicht der Abwicklungsumfang von der aufsichtlichen Anforderung ab, so folgt die Schätzung dieser Pufferanforderung für die Abwicklungseinheit auf konsolidierter Ebene der Abwicklungsgruppe gemäß Artikel 3 Absatz 5 der Delegierten Verordnung (EU) 2021/1118 der Kommission,</w:t>
            </w:r>
            <w:r>
              <w:t xml:space="preserve"> </w:t>
            </w:r>
            <w:r>
              <w:rPr>
                <w:rFonts w:ascii="Times New Roman" w:hAnsi="Times New Roman" w:cs="Times New Roman"/>
                <w:color w:val="000000" w:themeColor="text1"/>
                <w:sz w:val="20"/>
                <w:szCs w:val="20"/>
              </w:rPr>
              <w:t xml:space="preserve">sollte jedoch vom meldenden Unternehmen vorläufig vorgenommen werden. </w:t>
            </w:r>
          </w:p>
        </w:tc>
      </w:tr>
      <w:tr w:rsidR="00696584" w14:paraId="7FE1B661" w14:textId="77777777">
        <w:tc>
          <w:tcPr>
            <w:tcW w:w="856" w:type="dxa"/>
            <w:tcBorders>
              <w:top w:val="single" w:sz="4" w:space="0" w:color="1A171C"/>
              <w:left w:val="nil"/>
              <w:bottom w:val="single" w:sz="4" w:space="0" w:color="1A171C"/>
              <w:right w:val="single" w:sz="4" w:space="0" w:color="1A171C"/>
            </w:tcBorders>
            <w:vAlign w:val="center"/>
          </w:tcPr>
          <w:p w14:paraId="7FE1B65C" w14:textId="77777777" w:rsidR="00696584" w:rsidRDefault="002C4F63">
            <w:pPr>
              <w:pStyle w:val="P68B1DB1-TableParagraph13"/>
              <w:spacing w:before="106"/>
              <w:ind w:left="-1"/>
            </w:pPr>
            <w:r>
              <w:t>0450</w:t>
            </w:r>
          </w:p>
        </w:tc>
        <w:tc>
          <w:tcPr>
            <w:tcW w:w="8170" w:type="dxa"/>
            <w:tcBorders>
              <w:top w:val="single" w:sz="4" w:space="0" w:color="1A171C"/>
              <w:left w:val="single" w:sz="4" w:space="0" w:color="1A171C"/>
              <w:bottom w:val="single" w:sz="4" w:space="0" w:color="1A171C"/>
              <w:right w:val="nil"/>
            </w:tcBorders>
            <w:vAlign w:val="center"/>
          </w:tcPr>
          <w:p w14:paraId="7FE1B65D" w14:textId="77777777" w:rsidR="00696584" w:rsidRPr="000D7090" w:rsidRDefault="002C4F63">
            <w:pPr>
              <w:pStyle w:val="P68B1DB1-TableParagraph14"/>
              <w:spacing w:before="108"/>
              <w:jc w:val="both"/>
              <w:rPr>
                <w:bCs/>
                <w:lang w:val="en-GB"/>
              </w:rPr>
            </w:pPr>
            <w:r w:rsidRPr="000D7090">
              <w:rPr>
                <w:lang w:val="en-GB"/>
              </w:rPr>
              <w:t>Puffer für global systemrelevante Institute</w:t>
            </w:r>
          </w:p>
          <w:p w14:paraId="7FE1B65E" w14:textId="1FA544AF" w:rsidR="00696584" w:rsidRPr="000D7090" w:rsidRDefault="008029DD">
            <w:pPr>
              <w:pStyle w:val="P68B1DB1-TableParagraph17"/>
              <w:spacing w:before="108"/>
              <w:jc w:val="both"/>
              <w:rPr>
                <w:lang w:val="en-GB"/>
              </w:rPr>
            </w:pPr>
            <w:r>
              <w:rPr>
                <w:lang w:val="en-GB"/>
              </w:rPr>
              <w:t xml:space="preserve">COREP (OF): {C </w:t>
            </w:r>
            <w:r w:rsidR="002C4F63" w:rsidRPr="000D7090">
              <w:rPr>
                <w:lang w:val="en-GB"/>
              </w:rPr>
              <w:t>04.00;800;</w:t>
            </w:r>
            <w:r>
              <w:rPr>
                <w:lang w:val="en-GB"/>
              </w:rPr>
              <w:t>010}</w:t>
            </w:r>
          </w:p>
          <w:p w14:paraId="7FE1B65F" w14:textId="77777777" w:rsidR="00696584" w:rsidRDefault="002C4F63">
            <w:pPr>
              <w:pStyle w:val="P68B1DB1-TableParagraph17"/>
              <w:spacing w:before="108"/>
              <w:jc w:val="both"/>
            </w:pPr>
            <w:r>
              <w:t>Die in Artikel 128 Nummer 3 und Artikel 131 der Richtlinie 2013/36/EU genannte Anforderung.</w:t>
            </w:r>
          </w:p>
          <w:p w14:paraId="7FE1B660" w14:textId="77777777" w:rsidR="00696584" w:rsidRDefault="002C4F63">
            <w:pPr>
              <w:pStyle w:val="TableParagraph"/>
              <w:spacing w:before="108"/>
              <w:jc w:val="both"/>
              <w:rPr>
                <w:rFonts w:ascii="Times New Roman" w:eastAsia="Cambria" w:hAnsi="Times New Roman" w:cs="Times New Roman"/>
                <w:color w:val="000000" w:themeColor="text1"/>
                <w:sz w:val="20"/>
                <w:szCs w:val="20"/>
              </w:rPr>
            </w:pPr>
            <w:r>
              <w:rPr>
                <w:rFonts w:ascii="Times New Roman" w:hAnsi="Times New Roman" w:cs="Times New Roman"/>
                <w:color w:val="000000" w:themeColor="text1"/>
                <w:sz w:val="20"/>
                <w:szCs w:val="20"/>
              </w:rPr>
              <w:t>Weicht der Abwicklungsumfang von der aufsichtlichen Anforderung ab, so folgt die Schätzung dieser Pufferanforderung für die Abwicklungseinheit auf konsolidierter Ebene der Abwicklungsgruppe gemäß Artikel 3 Absatz 3 der Delegierten Verordnung (EU) 2021/1118 der Kommission,</w:t>
            </w:r>
            <w:r>
              <w:t xml:space="preserve"> </w:t>
            </w:r>
            <w:r>
              <w:rPr>
                <w:rFonts w:ascii="Times New Roman" w:hAnsi="Times New Roman" w:cs="Times New Roman"/>
                <w:color w:val="000000" w:themeColor="text1"/>
                <w:sz w:val="20"/>
                <w:szCs w:val="20"/>
              </w:rPr>
              <w:t xml:space="preserve">sollte jedoch vom meldenden Unternehmen vorläufig vorgenommen werden. </w:t>
            </w:r>
          </w:p>
        </w:tc>
      </w:tr>
      <w:tr w:rsidR="00696584" w14:paraId="7FE1B667" w14:textId="77777777">
        <w:tc>
          <w:tcPr>
            <w:tcW w:w="856" w:type="dxa"/>
            <w:tcBorders>
              <w:top w:val="single" w:sz="4" w:space="0" w:color="1A171C"/>
              <w:left w:val="nil"/>
              <w:bottom w:val="single" w:sz="4" w:space="0" w:color="1A171C"/>
              <w:right w:val="single" w:sz="4" w:space="0" w:color="1A171C"/>
            </w:tcBorders>
            <w:vAlign w:val="center"/>
          </w:tcPr>
          <w:p w14:paraId="7FE1B662" w14:textId="77777777" w:rsidR="00696584" w:rsidRDefault="002C4F63">
            <w:pPr>
              <w:pStyle w:val="P68B1DB1-TableParagraph13"/>
              <w:spacing w:before="106"/>
              <w:ind w:left="-1"/>
            </w:pPr>
            <w:r>
              <w:t>0460</w:t>
            </w:r>
          </w:p>
        </w:tc>
        <w:tc>
          <w:tcPr>
            <w:tcW w:w="8170" w:type="dxa"/>
            <w:tcBorders>
              <w:top w:val="single" w:sz="4" w:space="0" w:color="1A171C"/>
              <w:left w:val="single" w:sz="4" w:space="0" w:color="1A171C"/>
              <w:bottom w:val="single" w:sz="4" w:space="0" w:color="1A171C"/>
              <w:right w:val="nil"/>
            </w:tcBorders>
            <w:vAlign w:val="center"/>
          </w:tcPr>
          <w:p w14:paraId="7FE1B664" w14:textId="2FE764E0" w:rsidR="00696584" w:rsidRDefault="002C4F63">
            <w:pPr>
              <w:pStyle w:val="P68B1DB1-TableParagraph13"/>
              <w:spacing w:before="108"/>
              <w:jc w:val="both"/>
            </w:pPr>
            <w:r>
              <w:rPr>
                <w:b/>
              </w:rPr>
              <w:t>Puffer für sonstige systemrelevante Institute</w:t>
            </w:r>
            <w:r w:rsidR="001E0B2B">
              <w:rPr>
                <w:b/>
              </w:rPr>
              <w:t xml:space="preserve"> </w:t>
            </w:r>
            <w:r>
              <w:t xml:space="preserve">Artikel 128 Nummer 4 und Artikel 131 der Richtlinie 2013/36/EU </w:t>
            </w:r>
          </w:p>
          <w:p w14:paraId="7FE1B665" w14:textId="5A53DEFE" w:rsidR="00696584" w:rsidRDefault="008029DD">
            <w:pPr>
              <w:pStyle w:val="P68B1DB1-TableParagraph13"/>
              <w:spacing w:before="108"/>
              <w:jc w:val="both"/>
            </w:pPr>
            <w:r>
              <w:t xml:space="preserve">COREP (OF): {C </w:t>
            </w:r>
            <w:r w:rsidR="002C4F63">
              <w:t>04.00;810;</w:t>
            </w:r>
            <w:r>
              <w:t>010}</w:t>
            </w:r>
            <w:r w:rsidR="002C4F63">
              <w:t xml:space="preserve"> </w:t>
            </w:r>
          </w:p>
          <w:p w14:paraId="7FE1B666" w14:textId="77777777" w:rsidR="00696584" w:rsidRDefault="002C4F63">
            <w:pPr>
              <w:pStyle w:val="P68B1DB1-TableParagraph13"/>
              <w:spacing w:before="108"/>
              <w:jc w:val="both"/>
              <w:rPr>
                <w:b/>
                <w:bCs/>
              </w:rPr>
            </w:pPr>
            <w:r>
              <w:t>Der ausgewiesene Betrag muss dem Betrag an Eigenmitteln entsprechen, der zur Erfüllung der jeweiligen Kapitalpufferanforderung zum Meldestichtag erforderlich ist.</w:t>
            </w:r>
          </w:p>
        </w:tc>
      </w:tr>
      <w:tr w:rsidR="00696584" w14:paraId="7FE1B670" w14:textId="77777777">
        <w:tc>
          <w:tcPr>
            <w:tcW w:w="856" w:type="dxa"/>
            <w:tcBorders>
              <w:top w:val="single" w:sz="4" w:space="0" w:color="1A171C"/>
              <w:left w:val="nil"/>
              <w:bottom w:val="single" w:sz="4" w:space="0" w:color="1A171C"/>
              <w:right w:val="single" w:sz="4" w:space="0" w:color="1A171C"/>
            </w:tcBorders>
            <w:vAlign w:val="center"/>
          </w:tcPr>
          <w:p w14:paraId="7FE1B668" w14:textId="77777777" w:rsidR="00696584" w:rsidRDefault="002C4F63">
            <w:pPr>
              <w:pStyle w:val="P68B1DB1-TableParagraph13"/>
              <w:spacing w:before="106"/>
              <w:ind w:left="-1"/>
            </w:pPr>
            <w:r>
              <w:lastRenderedPageBreak/>
              <w:t>0500</w:t>
            </w:r>
          </w:p>
        </w:tc>
        <w:tc>
          <w:tcPr>
            <w:tcW w:w="8170" w:type="dxa"/>
            <w:tcBorders>
              <w:top w:val="single" w:sz="4" w:space="0" w:color="1A171C"/>
              <w:left w:val="single" w:sz="4" w:space="0" w:color="1A171C"/>
              <w:bottom w:val="single" w:sz="4" w:space="0" w:color="1A171C"/>
              <w:right w:val="nil"/>
            </w:tcBorders>
            <w:vAlign w:val="center"/>
          </w:tcPr>
          <w:p w14:paraId="7FE1B669" w14:textId="77777777" w:rsidR="00696584" w:rsidRDefault="002C4F63">
            <w:pPr>
              <w:pStyle w:val="P68B1DB1-TableParagraph14"/>
              <w:spacing w:before="108"/>
              <w:jc w:val="both"/>
              <w:rPr>
                <w:bCs/>
              </w:rPr>
            </w:pPr>
            <w:r>
              <w:t xml:space="preserve">Gesamtkapitalanforderung (OCR) </w:t>
            </w:r>
          </w:p>
          <w:p w14:paraId="7FE1B66A" w14:textId="066CDECB" w:rsidR="00696584" w:rsidRDefault="008029DD">
            <w:pPr>
              <w:pStyle w:val="P68B1DB1-TableParagraph13"/>
              <w:spacing w:before="108"/>
              <w:jc w:val="both"/>
            </w:pPr>
            <w:r>
              <w:t xml:space="preserve">COREP (OF): {C </w:t>
            </w:r>
            <w:r w:rsidR="002C4F63">
              <w:t>03.00;160;</w:t>
            </w:r>
            <w:r>
              <w:t>010}</w:t>
            </w:r>
            <w:r w:rsidR="002C4F63">
              <w:t xml:space="preserve"> </w:t>
            </w:r>
          </w:p>
          <w:p w14:paraId="7FE1B66B" w14:textId="77777777" w:rsidR="00696584" w:rsidRDefault="002C4F63">
            <w:pPr>
              <w:pStyle w:val="P68B1DB1-TableParagraph13"/>
              <w:spacing w:before="108"/>
              <w:jc w:val="both"/>
            </w:pPr>
            <w:r>
              <w:t xml:space="preserve">Summe aus i) und ii): </w:t>
            </w:r>
          </w:p>
          <w:p w14:paraId="7FE1B66C" w14:textId="77777777" w:rsidR="00696584" w:rsidRDefault="002C4F63">
            <w:pPr>
              <w:pStyle w:val="P68B1DB1-TableParagraph13"/>
              <w:numPr>
                <w:ilvl w:val="3"/>
                <w:numId w:val="211"/>
              </w:numPr>
              <w:spacing w:before="108"/>
              <w:ind w:left="931" w:hanging="567"/>
              <w:jc w:val="both"/>
            </w:pPr>
            <w:r>
              <w:t xml:space="preserve">in Zeile 0300 ausgewiesene TSCR, </w:t>
            </w:r>
          </w:p>
          <w:p w14:paraId="7FE1B66D" w14:textId="77777777" w:rsidR="00696584" w:rsidRDefault="002C4F63">
            <w:pPr>
              <w:pStyle w:val="P68B1DB1-TableParagraph13"/>
              <w:numPr>
                <w:ilvl w:val="3"/>
                <w:numId w:val="211"/>
              </w:numPr>
              <w:spacing w:before="108"/>
              <w:ind w:left="931" w:hanging="567"/>
              <w:jc w:val="both"/>
            </w:pPr>
            <w:r>
              <w:t xml:space="preserve">kombinierte Kapitalpufferanforderung im Sinne von Artikel 128 Nummer 6 der Richtlinie 2013/36/EU, soweit sie rechtlich anwendbar ist. </w:t>
            </w:r>
          </w:p>
          <w:p w14:paraId="7FE1B66E" w14:textId="77777777" w:rsidR="00696584" w:rsidRDefault="002C4F63">
            <w:pPr>
              <w:pStyle w:val="P68B1DB1-TableParagraph13"/>
              <w:spacing w:before="108"/>
              <w:jc w:val="both"/>
            </w:pPr>
            <w:r>
              <w:t xml:space="preserve">Dieser Posten spiegelt die Gesamtkapitalanforderung (OCR) gemäß der Definition in Abschnitt 1.2 der EBA-SREP-Leitlinien wider. </w:t>
            </w:r>
          </w:p>
          <w:p w14:paraId="7FE1B66F" w14:textId="77777777" w:rsidR="00696584" w:rsidRDefault="002C4F63">
            <w:pPr>
              <w:pStyle w:val="P68B1DB1-TableParagraph13"/>
              <w:spacing w:before="108"/>
              <w:jc w:val="both"/>
              <w:rPr>
                <w:b/>
                <w:bCs/>
              </w:rPr>
            </w:pPr>
            <w:r>
              <w:t>Ist keine Kapitalpufferanforderung anwendbar, ist nur Ziffer i zu melden.</w:t>
            </w:r>
          </w:p>
        </w:tc>
      </w:tr>
    </w:tbl>
    <w:p w14:paraId="7FE1B712" w14:textId="77777777" w:rsidR="00696584" w:rsidRDefault="00696584">
      <w:pPr>
        <w:rPr>
          <w:rFonts w:ascii="Times New Roman" w:hAnsi="Times New Roman" w:cs="Times New Roman"/>
        </w:rPr>
      </w:pPr>
    </w:p>
    <w:p w14:paraId="7FE1B713" w14:textId="77777777" w:rsidR="00696584" w:rsidRDefault="00696584">
      <w:pPr>
        <w:rPr>
          <w:rFonts w:ascii="Times New Roman" w:hAnsi="Times New Roman" w:cs="Times New Roman"/>
        </w:rPr>
      </w:pPr>
    </w:p>
    <w:p w14:paraId="7FE1B714" w14:textId="77777777" w:rsidR="00696584" w:rsidRDefault="002C4F63">
      <w:pPr>
        <w:pStyle w:val="P68B1DB1-Instructionsberschrift25"/>
        <w:numPr>
          <w:ilvl w:val="1"/>
          <w:numId w:val="49"/>
        </w:numPr>
        <w:ind w:left="357" w:hanging="357"/>
      </w:pPr>
      <w:bookmarkStart w:id="60" w:name="_Toc209533585"/>
      <w:r>
        <w:t>Z 03.02 – Eigenmittelanforderungen – Wertpapierfirmen (LIAB 3)</w:t>
      </w:r>
      <w:bookmarkEnd w:id="60"/>
    </w:p>
    <w:p w14:paraId="7FE1B715" w14:textId="77777777" w:rsidR="00696584" w:rsidRDefault="002C4F63">
      <w:pPr>
        <w:pStyle w:val="Instructionsberschrift3"/>
      </w:pPr>
      <w:r>
        <w:t>Allgemeine Bemerkungen</w:t>
      </w:r>
    </w:p>
    <w:p w14:paraId="7FE1B716" w14:textId="77777777" w:rsidR="00696584" w:rsidRDefault="002C4F63">
      <w:pPr>
        <w:pStyle w:val="Instructionsberschrift3"/>
        <w:numPr>
          <w:ilvl w:val="4"/>
          <w:numId w:val="260"/>
        </w:numPr>
      </w:pPr>
      <w:r>
        <w:t>Dieser Meldebogen umfasst Angaben zu den Eigenmittelanforderungen eines Unternehmens oder einer Gruppe.</w:t>
      </w:r>
    </w:p>
    <w:p w14:paraId="7FE1B717" w14:textId="1213D388" w:rsidR="00696584" w:rsidRDefault="002C4F63">
      <w:pPr>
        <w:pStyle w:val="Instructionsberschrift3"/>
        <w:numPr>
          <w:ilvl w:val="4"/>
          <w:numId w:val="260"/>
        </w:numPr>
      </w:pPr>
      <w:r>
        <w:t>Für sämtliche verlangten Angaben sind die zum Meldestichtag geltenden Eigenmittelanforderungen maßgeblich.</w:t>
      </w:r>
    </w:p>
    <w:p w14:paraId="666AF7EE" w14:textId="2B6DCE12" w:rsidR="00696584" w:rsidRDefault="002C4F63">
      <w:pPr>
        <w:pStyle w:val="P68B1DB1-ListParagraph23"/>
        <w:numPr>
          <w:ilvl w:val="4"/>
          <w:numId w:val="260"/>
        </w:numPr>
      </w:pPr>
      <w:r>
        <w:t>Für Meldungen auf konsolidierter oder individueller Basis ist das berichtende Unternehmen nicht verpflichtet, diese Datenpunkte ein zweites Mal zu melden, wenn diese Datenpunkte bereits von dem Unternehmen im IFREP für denselben Stichtag und denselben Meldeumfang gemeldet wurden (siehe IFREP-Verweise in den Erläuterungen). Daten müssen nur gemeldet werden, z. B. wenn das meldende Unternehmen von den finanziellen oder aufsichtsrechtlichen Berichtspflichten befreit wurde; in diesem Fall ist dieser Bericht die einzige Datenquelle für die Abwicklungsbehörden für diese Datenpunkte.</w:t>
      </w:r>
    </w:p>
    <w:p w14:paraId="1DA6CBB2" w14:textId="77777777" w:rsidR="00696584" w:rsidRDefault="00696584" w:rsidP="000D7090">
      <w:pPr>
        <w:pStyle w:val="Instructionsberschrift3"/>
        <w:numPr>
          <w:ilvl w:val="0"/>
          <w:numId w:val="0"/>
        </w:numPr>
        <w:ind w:left="1008"/>
      </w:pPr>
    </w:p>
    <w:p w14:paraId="7FE1B718" w14:textId="4C8CE473" w:rsidR="00696584" w:rsidRDefault="00696584">
      <w:pPr>
        <w:pStyle w:val="InstructionsText2"/>
        <w:numPr>
          <w:ilvl w:val="0"/>
          <w:numId w:val="0"/>
        </w:numPr>
        <w:spacing w:before="0"/>
        <w:ind w:left="1440"/>
        <w:rPr>
          <w:rFonts w:ascii="Times New Roman" w:hAnsi="Times New Roman" w:cs="Times New Roman"/>
          <w:sz w:val="20"/>
          <w:szCs w:val="20"/>
        </w:rPr>
      </w:pPr>
    </w:p>
    <w:p w14:paraId="7FE1B719" w14:textId="77777777" w:rsidR="00696584" w:rsidRDefault="002C4F63">
      <w:pPr>
        <w:pStyle w:val="Instructionsberschrift3"/>
      </w:pPr>
      <w:r>
        <w:t>Erläuterungen zu bestimmten Positionen</w:t>
      </w:r>
    </w:p>
    <w:p w14:paraId="7FE1B71A" w14:textId="77777777" w:rsidR="00696584" w:rsidRDefault="00696584">
      <w:pPr>
        <w:pStyle w:val="Instructionsberschrift3"/>
        <w:numPr>
          <w:ilvl w:val="0"/>
          <w:numId w:val="0"/>
        </w:numPr>
        <w:ind w:left="720" w:hanging="432"/>
      </w:pPr>
    </w:p>
    <w:tbl>
      <w:tblPr>
        <w:tblW w:w="0" w:type="auto"/>
        <w:tblCellMar>
          <w:top w:w="57" w:type="dxa"/>
          <w:left w:w="57" w:type="dxa"/>
          <w:bottom w:w="57" w:type="dxa"/>
          <w:right w:w="0" w:type="dxa"/>
        </w:tblCellMar>
        <w:tblLook w:val="01E0" w:firstRow="1" w:lastRow="1" w:firstColumn="1" w:lastColumn="1" w:noHBand="0" w:noVBand="0"/>
      </w:tblPr>
      <w:tblGrid>
        <w:gridCol w:w="856"/>
        <w:gridCol w:w="8170"/>
      </w:tblGrid>
      <w:tr w:rsidR="00696584" w14:paraId="7FE1B71D" w14:textId="77777777">
        <w:trPr>
          <w:tblHeader/>
        </w:trPr>
        <w:tc>
          <w:tcPr>
            <w:tcW w:w="856" w:type="dxa"/>
            <w:tcBorders>
              <w:top w:val="single" w:sz="4" w:space="0" w:color="1A171C"/>
              <w:left w:val="nil"/>
              <w:bottom w:val="single" w:sz="4" w:space="0" w:color="1A171C"/>
              <w:right w:val="single" w:sz="4" w:space="0" w:color="1A171C"/>
            </w:tcBorders>
            <w:shd w:val="clear" w:color="auto" w:fill="E4E5E5"/>
          </w:tcPr>
          <w:p w14:paraId="7FE1B71B" w14:textId="77777777" w:rsidR="00696584" w:rsidRDefault="002C4F63">
            <w:pPr>
              <w:pStyle w:val="P68B1DB1-TableParagraph13"/>
              <w:spacing w:before="66"/>
              <w:rPr>
                <w:rFonts w:eastAsia="Cambria"/>
              </w:rPr>
            </w:pPr>
            <w:r>
              <w:t>Zeilen</w:t>
            </w:r>
          </w:p>
        </w:tc>
        <w:tc>
          <w:tcPr>
            <w:tcW w:w="8170" w:type="dxa"/>
            <w:tcBorders>
              <w:top w:val="single" w:sz="4" w:space="0" w:color="1A171C"/>
              <w:left w:val="single" w:sz="4" w:space="0" w:color="1A171C"/>
              <w:bottom w:val="single" w:sz="4" w:space="0" w:color="1A171C"/>
              <w:right w:val="nil"/>
            </w:tcBorders>
            <w:shd w:val="clear" w:color="auto" w:fill="E4E5E5"/>
          </w:tcPr>
          <w:p w14:paraId="7FE1B71C" w14:textId="77777777" w:rsidR="00696584" w:rsidRDefault="002C4F63">
            <w:pPr>
              <w:pStyle w:val="P68B1DB1-TableParagraph13"/>
              <w:spacing w:before="66"/>
              <w:ind w:right="1"/>
              <w:jc w:val="center"/>
              <w:rPr>
                <w:rFonts w:eastAsia="Cambria"/>
              </w:rPr>
            </w:pPr>
            <w:r>
              <w:t>Erläuterungen</w:t>
            </w:r>
          </w:p>
        </w:tc>
      </w:tr>
      <w:tr w:rsidR="00696584" w14:paraId="7FE1B722" w14:textId="77777777">
        <w:tc>
          <w:tcPr>
            <w:tcW w:w="856" w:type="dxa"/>
            <w:tcBorders>
              <w:top w:val="single" w:sz="4" w:space="0" w:color="1A171C"/>
              <w:left w:val="nil"/>
              <w:bottom w:val="single" w:sz="4" w:space="0" w:color="1A171C"/>
              <w:right w:val="single" w:sz="4" w:space="0" w:color="1A171C"/>
            </w:tcBorders>
            <w:vAlign w:val="center"/>
          </w:tcPr>
          <w:p w14:paraId="7FE1B71E" w14:textId="77777777" w:rsidR="00696584" w:rsidRDefault="002C4F63">
            <w:pPr>
              <w:pStyle w:val="P68B1DB1-TableParagraph13"/>
              <w:spacing w:before="106"/>
              <w:ind w:left="-1"/>
              <w:rPr>
                <w:rFonts w:eastAsia="Cambria"/>
                <w:b/>
              </w:rPr>
            </w:pPr>
            <w:r>
              <w:t>0100</w:t>
            </w:r>
          </w:p>
        </w:tc>
        <w:tc>
          <w:tcPr>
            <w:tcW w:w="8170" w:type="dxa"/>
            <w:tcBorders>
              <w:top w:val="single" w:sz="4" w:space="0" w:color="1A171C"/>
              <w:left w:val="single" w:sz="4" w:space="0" w:color="1A171C"/>
              <w:bottom w:val="single" w:sz="4" w:space="0" w:color="1A171C"/>
              <w:right w:val="nil"/>
            </w:tcBorders>
            <w:vAlign w:val="center"/>
          </w:tcPr>
          <w:p w14:paraId="0E4C8C5E" w14:textId="5424F59B" w:rsidR="00696584" w:rsidRDefault="002C4F63">
            <w:pPr>
              <w:rPr>
                <w:rStyle w:val="InstructionsTabelleberschrift"/>
                <w:rFonts w:ascii="Times New Roman" w:hAnsi="Times New Roman"/>
                <w:color w:val="000000" w:themeColor="text1"/>
                <w:szCs w:val="20"/>
                <w:u w:val="none"/>
              </w:rPr>
            </w:pPr>
            <w:r>
              <w:rPr>
                <w:rStyle w:val="InstructionsTabelleberschrift"/>
                <w:rFonts w:ascii="Times New Roman" w:hAnsi="Times New Roman"/>
                <w:color w:val="000000" w:themeColor="text1"/>
                <w:szCs w:val="20"/>
                <w:u w:val="none"/>
              </w:rPr>
              <w:t xml:space="preserve">Eigenmittelanforderung insgesamt </w:t>
            </w:r>
            <w:r>
              <w:rPr>
                <w:rStyle w:val="InstructionsTabelleberschrift"/>
                <w:rFonts w:ascii="Times New Roman" w:hAnsi="Times New Roman"/>
                <w:color w:val="000000" w:themeColor="text1"/>
                <w:szCs w:val="20"/>
              </w:rPr>
              <w:t>(IFREP I 02.01 r0130)</w:t>
            </w:r>
          </w:p>
          <w:p w14:paraId="29B1A135" w14:textId="77777777" w:rsidR="00696584" w:rsidRDefault="00696584">
            <w:pPr>
              <w:rPr>
                <w:rStyle w:val="InstructionsTabelleberschrift"/>
                <w:rFonts w:ascii="Times New Roman" w:hAnsi="Times New Roman"/>
                <w:color w:val="000000" w:themeColor="text1"/>
                <w:szCs w:val="20"/>
                <w:u w:val="none"/>
              </w:rPr>
            </w:pPr>
          </w:p>
          <w:p w14:paraId="4F8C79FA" w14:textId="19ABCD77" w:rsidR="00696584" w:rsidRDefault="002C4F63">
            <w:pPr>
              <w:pStyle w:val="P68B1DB1-TableParagraph17"/>
              <w:spacing w:before="108"/>
            </w:pPr>
            <w:r>
              <w:t>Die gesamten Eigenmittelanforderungen einer Wertpapierfirma setzen sich aus der Summe ihrer Eigenmittelanforderungen am Meldestichtag, den zusätzlichen Eigenmittelanforderungen, wie in Zeile 0120 angegeben und den Empfehlungen zu zusätzlichen Eigenmitteln, wie in Zeile 0130 angegeben, zusammen.</w:t>
            </w:r>
          </w:p>
          <w:p w14:paraId="7FE1B721" w14:textId="77777777" w:rsidR="00696584" w:rsidRDefault="00696584">
            <w:pPr>
              <w:pStyle w:val="TableParagraph"/>
              <w:spacing w:before="108"/>
              <w:rPr>
                <w:rFonts w:ascii="Times New Roman" w:hAnsi="Times New Roman" w:cs="Times New Roman"/>
                <w:color w:val="000000" w:themeColor="text1"/>
                <w:sz w:val="20"/>
                <w:szCs w:val="20"/>
              </w:rPr>
            </w:pPr>
          </w:p>
        </w:tc>
      </w:tr>
      <w:tr w:rsidR="00696584" w14:paraId="7FE1B728" w14:textId="77777777">
        <w:tc>
          <w:tcPr>
            <w:tcW w:w="856" w:type="dxa"/>
            <w:tcBorders>
              <w:top w:val="single" w:sz="4" w:space="0" w:color="1A171C"/>
              <w:left w:val="nil"/>
              <w:bottom w:val="single" w:sz="4" w:space="0" w:color="1A171C"/>
              <w:right w:val="single" w:sz="4" w:space="0" w:color="1A171C"/>
            </w:tcBorders>
            <w:vAlign w:val="center"/>
          </w:tcPr>
          <w:p w14:paraId="7FE1B723" w14:textId="6F3D19E1" w:rsidR="00696584" w:rsidRDefault="002C4F63">
            <w:pPr>
              <w:pStyle w:val="P68B1DB1-TableParagraph13"/>
              <w:spacing w:before="106"/>
              <w:ind w:left="-1"/>
            </w:pPr>
            <w:r>
              <w:t>0110</w:t>
            </w:r>
          </w:p>
        </w:tc>
        <w:tc>
          <w:tcPr>
            <w:tcW w:w="8170" w:type="dxa"/>
            <w:tcBorders>
              <w:top w:val="single" w:sz="4" w:space="0" w:color="1A171C"/>
              <w:left w:val="single" w:sz="4" w:space="0" w:color="1A171C"/>
              <w:bottom w:val="single" w:sz="4" w:space="0" w:color="1A171C"/>
              <w:right w:val="nil"/>
            </w:tcBorders>
            <w:vAlign w:val="center"/>
          </w:tcPr>
          <w:p w14:paraId="1CBC0494" w14:textId="6EF61F27" w:rsidR="00696584" w:rsidRDefault="002C4F63">
            <w:pPr>
              <w:pStyle w:val="TableParagraph"/>
              <w:spacing w:before="108"/>
              <w:rPr>
                <w:rFonts w:ascii="Times New Roman" w:hAnsi="Times New Roman" w:cs="Times New Roman"/>
                <w:b/>
                <w:bCs/>
                <w:color w:val="000000" w:themeColor="text1"/>
                <w:sz w:val="20"/>
                <w:szCs w:val="20"/>
              </w:rPr>
            </w:pPr>
            <w:r>
              <w:rPr>
                <w:rFonts w:ascii="Times New Roman" w:hAnsi="Times New Roman" w:cs="Times New Roman"/>
                <w:b/>
                <w:color w:val="000000" w:themeColor="text1"/>
                <w:sz w:val="20"/>
                <w:szCs w:val="20"/>
              </w:rPr>
              <w:t>Eigenmittelanforderung (</w:t>
            </w:r>
            <w:r>
              <w:rPr>
                <w:rStyle w:val="InstructionsTabelleberschrift"/>
                <w:rFonts w:ascii="Times New Roman" w:hAnsi="Times New Roman"/>
                <w:color w:val="000000" w:themeColor="text1"/>
                <w:szCs w:val="20"/>
              </w:rPr>
              <w:t>IFREP I 02.01 r0010)</w:t>
            </w:r>
          </w:p>
          <w:p w14:paraId="74086713" w14:textId="7F827C2E" w:rsidR="00696584" w:rsidRDefault="002C4F63">
            <w:pPr>
              <w:pStyle w:val="P68B1DB1-TableParagraph17"/>
              <w:spacing w:before="108"/>
            </w:pPr>
            <w:r>
              <w:t>Artikel 11 Absatz 1 der Verordnung (EU) 2019/2033.</w:t>
            </w:r>
          </w:p>
          <w:p w14:paraId="016729EC" w14:textId="77777777" w:rsidR="00696584" w:rsidRDefault="002C4F63">
            <w:pPr>
              <w:pStyle w:val="P68B1DB1-TableParagraph17"/>
              <w:spacing w:before="108"/>
            </w:pPr>
            <w:r>
              <w:lastRenderedPageBreak/>
              <w:t>Der Betrag entspricht dem Betrag ohne Anwendung von Artikel 57 Absätze 3, 4 oder 6 der Verordnung (EU) 2019/2033.</w:t>
            </w:r>
          </w:p>
          <w:p w14:paraId="7FE1B727" w14:textId="77777777" w:rsidR="00696584" w:rsidRDefault="00696584">
            <w:pPr>
              <w:pStyle w:val="TableParagraph"/>
              <w:spacing w:before="108"/>
              <w:jc w:val="both"/>
              <w:rPr>
                <w:rFonts w:ascii="Times New Roman" w:eastAsia="Cambria" w:hAnsi="Times New Roman" w:cs="Times New Roman"/>
                <w:color w:val="000000" w:themeColor="text1"/>
                <w:sz w:val="20"/>
                <w:szCs w:val="20"/>
              </w:rPr>
            </w:pPr>
          </w:p>
        </w:tc>
      </w:tr>
      <w:tr w:rsidR="00696584" w14:paraId="7FE1B72F" w14:textId="77777777">
        <w:tc>
          <w:tcPr>
            <w:tcW w:w="856" w:type="dxa"/>
            <w:tcBorders>
              <w:top w:val="single" w:sz="4" w:space="0" w:color="1A171C"/>
              <w:left w:val="nil"/>
              <w:bottom w:val="single" w:sz="4" w:space="0" w:color="1A171C"/>
              <w:right w:val="single" w:sz="4" w:space="0" w:color="1A171C"/>
            </w:tcBorders>
            <w:vAlign w:val="center"/>
          </w:tcPr>
          <w:p w14:paraId="7FE1B729" w14:textId="4BE2E84C" w:rsidR="00696584" w:rsidRDefault="002C4F63">
            <w:pPr>
              <w:pStyle w:val="P68B1DB1-TableParagraph13"/>
              <w:spacing w:before="106"/>
              <w:ind w:left="-1"/>
            </w:pPr>
            <w:r>
              <w:lastRenderedPageBreak/>
              <w:t>0120</w:t>
            </w:r>
          </w:p>
        </w:tc>
        <w:tc>
          <w:tcPr>
            <w:tcW w:w="8170" w:type="dxa"/>
            <w:tcBorders>
              <w:top w:val="single" w:sz="4" w:space="0" w:color="1A171C"/>
              <w:left w:val="single" w:sz="4" w:space="0" w:color="1A171C"/>
              <w:bottom w:val="single" w:sz="4" w:space="0" w:color="1A171C"/>
              <w:right w:val="nil"/>
            </w:tcBorders>
            <w:vAlign w:val="center"/>
          </w:tcPr>
          <w:p w14:paraId="694F6CD4" w14:textId="5AF6818D" w:rsidR="00696584" w:rsidRDefault="002C4F63">
            <w:pPr>
              <w:pStyle w:val="TableParagraph"/>
              <w:spacing w:before="108"/>
              <w:jc w:val="both"/>
              <w:rPr>
                <w:rFonts w:ascii="Times New Roman" w:hAnsi="Times New Roman" w:cs="Times New Roman"/>
                <w:b/>
                <w:bCs/>
                <w:color w:val="000000" w:themeColor="text1"/>
                <w:sz w:val="20"/>
                <w:szCs w:val="20"/>
              </w:rPr>
            </w:pPr>
            <w:r>
              <w:rPr>
                <w:rFonts w:ascii="Times New Roman" w:hAnsi="Times New Roman" w:cs="Times New Roman"/>
                <w:b/>
                <w:color w:val="000000" w:themeColor="text1"/>
                <w:sz w:val="20"/>
                <w:szCs w:val="20"/>
              </w:rPr>
              <w:t xml:space="preserve">Zusätzliche Eigenmittelanforderung </w:t>
            </w:r>
            <w:r>
              <w:rPr>
                <w:rStyle w:val="InstructionsTabelleberschrift"/>
                <w:rFonts w:ascii="Times New Roman" w:hAnsi="Times New Roman"/>
                <w:color w:val="000000" w:themeColor="text1"/>
                <w:szCs w:val="20"/>
              </w:rPr>
              <w:t>(IFREP I 02.01 r0110)</w:t>
            </w:r>
          </w:p>
          <w:p w14:paraId="05BFD23E" w14:textId="06165C78" w:rsidR="00696584" w:rsidRDefault="002C4F63">
            <w:pPr>
              <w:pStyle w:val="P68B1DB1-TableParagraph17"/>
              <w:spacing w:before="108"/>
              <w:jc w:val="both"/>
            </w:pPr>
            <w:r>
              <w:t>Artikel 40 der Richtlinie (EU) 2019/2034.</w:t>
            </w:r>
          </w:p>
          <w:p w14:paraId="2AF15530" w14:textId="77777777" w:rsidR="00696584" w:rsidRDefault="002C4F63">
            <w:pPr>
              <w:pStyle w:val="P68B1DB1-TableParagraph13"/>
              <w:spacing w:before="108"/>
              <w:jc w:val="both"/>
            </w:pPr>
            <w:r>
              <w:t xml:space="preserve">Zusätzliche erforderliche Eigenmittel gemäß dem SREP </w:t>
            </w:r>
          </w:p>
          <w:p w14:paraId="7FE1B72E" w14:textId="77777777" w:rsidR="00696584" w:rsidRDefault="00696584">
            <w:pPr>
              <w:pStyle w:val="TableParagraph"/>
              <w:spacing w:before="108"/>
              <w:rPr>
                <w:rFonts w:ascii="Times New Roman" w:eastAsia="Cambria" w:hAnsi="Times New Roman" w:cs="Times New Roman"/>
                <w:color w:val="000000" w:themeColor="text1"/>
                <w:sz w:val="20"/>
                <w:szCs w:val="20"/>
              </w:rPr>
            </w:pPr>
          </w:p>
        </w:tc>
      </w:tr>
      <w:tr w:rsidR="00696584" w14:paraId="7FE1B738" w14:textId="77777777">
        <w:tc>
          <w:tcPr>
            <w:tcW w:w="856" w:type="dxa"/>
            <w:tcBorders>
              <w:top w:val="single" w:sz="4" w:space="0" w:color="1A171C"/>
              <w:left w:val="nil"/>
              <w:bottom w:val="single" w:sz="4" w:space="0" w:color="1A171C"/>
              <w:right w:val="single" w:sz="4" w:space="0" w:color="1A171C"/>
            </w:tcBorders>
            <w:vAlign w:val="center"/>
          </w:tcPr>
          <w:p w14:paraId="7FE1B730" w14:textId="22E6147A" w:rsidR="00696584" w:rsidRDefault="002C4F63">
            <w:pPr>
              <w:pStyle w:val="P68B1DB1-TableParagraph13"/>
              <w:spacing w:before="106"/>
              <w:ind w:left="-1"/>
            </w:pPr>
            <w:r>
              <w:t>0130</w:t>
            </w:r>
          </w:p>
        </w:tc>
        <w:tc>
          <w:tcPr>
            <w:tcW w:w="8170" w:type="dxa"/>
            <w:tcBorders>
              <w:top w:val="single" w:sz="4" w:space="0" w:color="1A171C"/>
              <w:left w:val="single" w:sz="4" w:space="0" w:color="1A171C"/>
              <w:bottom w:val="single" w:sz="4" w:space="0" w:color="1A171C"/>
              <w:right w:val="nil"/>
            </w:tcBorders>
            <w:vAlign w:val="center"/>
          </w:tcPr>
          <w:p w14:paraId="721CC100" w14:textId="7315FB99" w:rsidR="00696584" w:rsidRDefault="002C4F63">
            <w:pPr>
              <w:pStyle w:val="TableParagraph"/>
              <w:spacing w:before="108"/>
              <w:jc w:val="both"/>
              <w:rPr>
                <w:rFonts w:ascii="Times New Roman" w:hAnsi="Times New Roman" w:cs="Times New Roman"/>
                <w:b/>
                <w:bCs/>
                <w:color w:val="000000" w:themeColor="text1"/>
                <w:sz w:val="20"/>
                <w:szCs w:val="20"/>
              </w:rPr>
            </w:pPr>
            <w:r>
              <w:rPr>
                <w:rFonts w:ascii="Times New Roman" w:hAnsi="Times New Roman" w:cs="Times New Roman"/>
                <w:b/>
                <w:color w:val="000000" w:themeColor="text1"/>
                <w:sz w:val="20"/>
                <w:szCs w:val="20"/>
              </w:rPr>
              <w:t>Zusätzliche Eigenmittelleitlinien (</w:t>
            </w:r>
            <w:r>
              <w:rPr>
                <w:rStyle w:val="InstructionsTabelleberschrift"/>
                <w:rFonts w:ascii="Times New Roman" w:hAnsi="Times New Roman"/>
                <w:color w:val="000000" w:themeColor="text1"/>
                <w:szCs w:val="20"/>
              </w:rPr>
              <w:t>IFREP I 02.01 r0120)</w:t>
            </w:r>
          </w:p>
          <w:p w14:paraId="4094919F" w14:textId="67C4E4FA" w:rsidR="00696584" w:rsidRDefault="002C4F63">
            <w:pPr>
              <w:pStyle w:val="P68B1DB1-TableParagraph17"/>
              <w:spacing w:before="108"/>
            </w:pPr>
            <w:r>
              <w:t>Artikel 41 der Richtlinie (EU) 2019/2034.</w:t>
            </w:r>
          </w:p>
          <w:p w14:paraId="1EA34579" w14:textId="77777777" w:rsidR="00696584" w:rsidRDefault="002C4F63">
            <w:pPr>
              <w:pStyle w:val="P68B1DB1-TableParagraph17"/>
              <w:spacing w:before="108"/>
            </w:pPr>
            <w:r>
              <w:t>Zusätzliche erforderliche Eigenmittel nach Empfehlungen zu zusätzlichen Eigenmitteln.</w:t>
            </w:r>
          </w:p>
          <w:p w14:paraId="7FE1B736" w14:textId="77777777" w:rsidR="00696584" w:rsidRDefault="00696584">
            <w:pPr>
              <w:pStyle w:val="TableParagraph"/>
              <w:spacing w:before="108"/>
              <w:jc w:val="both"/>
              <w:rPr>
                <w:rStyle w:val="InstructionsTabelleberschrift"/>
                <w:rFonts w:ascii="Times New Roman" w:eastAsia="Cambria" w:hAnsi="Times New Roman"/>
                <w:b w:val="0"/>
                <w:bCs w:val="0"/>
                <w:color w:val="000000" w:themeColor="text1"/>
                <w:szCs w:val="20"/>
                <w:u w:val="none"/>
              </w:rPr>
            </w:pPr>
          </w:p>
          <w:p w14:paraId="7FE1B737" w14:textId="77777777" w:rsidR="00696584" w:rsidRDefault="00696584">
            <w:pPr>
              <w:pStyle w:val="TableParagraph"/>
              <w:spacing w:before="108"/>
              <w:jc w:val="both"/>
              <w:rPr>
                <w:rFonts w:ascii="Times New Roman" w:hAnsi="Times New Roman" w:cs="Times New Roman"/>
                <w:b/>
                <w:bCs/>
                <w:color w:val="000000" w:themeColor="text1"/>
                <w:sz w:val="20"/>
                <w:szCs w:val="20"/>
              </w:rPr>
            </w:pPr>
          </w:p>
        </w:tc>
      </w:tr>
    </w:tbl>
    <w:p w14:paraId="7FE1B741" w14:textId="77777777" w:rsidR="00696584" w:rsidRDefault="00696584">
      <w:pPr>
        <w:pStyle w:val="Instructionsberschrift3"/>
        <w:numPr>
          <w:ilvl w:val="0"/>
          <w:numId w:val="0"/>
        </w:numPr>
        <w:ind w:left="720" w:hanging="432"/>
      </w:pPr>
    </w:p>
    <w:p w14:paraId="7FE1B742" w14:textId="77777777" w:rsidR="00696584" w:rsidRDefault="00696584">
      <w:pPr>
        <w:pStyle w:val="Instructionsberschrift3"/>
        <w:numPr>
          <w:ilvl w:val="0"/>
          <w:numId w:val="0"/>
        </w:numPr>
        <w:ind w:left="720" w:hanging="432"/>
      </w:pPr>
    </w:p>
    <w:p w14:paraId="7FE1B743" w14:textId="77777777" w:rsidR="00696584" w:rsidRDefault="00696584">
      <w:pPr>
        <w:pStyle w:val="Instructionsberschrift3"/>
        <w:numPr>
          <w:ilvl w:val="0"/>
          <w:numId w:val="0"/>
        </w:numPr>
        <w:ind w:left="720" w:hanging="432"/>
      </w:pPr>
    </w:p>
    <w:p w14:paraId="7FE1B744" w14:textId="49BA0C03" w:rsidR="00696584" w:rsidRDefault="00696584">
      <w:pPr>
        <w:rPr>
          <w:rFonts w:ascii="Times New Roman" w:hAnsi="Times New Roman" w:cs="Times New Roman"/>
          <w:color w:val="000000" w:themeColor="text1"/>
          <w:sz w:val="20"/>
          <w:szCs w:val="20"/>
        </w:rPr>
      </w:pPr>
    </w:p>
    <w:p w14:paraId="7FE1B745" w14:textId="016BA1E4" w:rsidR="00696584" w:rsidRDefault="002C4F63">
      <w:pPr>
        <w:pStyle w:val="P68B1DB1-Instructionsberschrift25"/>
        <w:numPr>
          <w:ilvl w:val="1"/>
          <w:numId w:val="49"/>
        </w:numPr>
        <w:ind w:left="357" w:hanging="357"/>
      </w:pPr>
      <w:bookmarkStart w:id="61" w:name="_Toc492542324"/>
      <w:bookmarkStart w:id="62" w:name="_Toc81454182"/>
      <w:bookmarkStart w:id="63" w:name="_Toc209533586"/>
      <w:r>
        <w:t>Z 04.00 – Finanzielle Verflechtungen innerhalb der Gruppe (LIAB 4)</w:t>
      </w:r>
      <w:bookmarkEnd w:id="61"/>
      <w:bookmarkEnd w:id="62"/>
      <w:bookmarkEnd w:id="63"/>
    </w:p>
    <w:p w14:paraId="7FE1B746" w14:textId="77777777" w:rsidR="00696584" w:rsidRDefault="002C4F63">
      <w:pPr>
        <w:pStyle w:val="Instructionsberschrift3"/>
      </w:pPr>
      <w:r>
        <w:t>Allgemeine Bemerkungen</w:t>
      </w:r>
    </w:p>
    <w:p w14:paraId="7FE1B747" w14:textId="3BB98E0B" w:rsidR="00696584" w:rsidRDefault="002C4F63">
      <w:pPr>
        <w:pStyle w:val="P68B1DB1-InstructionsText26"/>
        <w:numPr>
          <w:ilvl w:val="0"/>
          <w:numId w:val="232"/>
        </w:numPr>
        <w:spacing w:before="0"/>
      </w:pPr>
      <w:r>
        <w:t xml:space="preserve">In diesem Meldebogen sind Angaben über gruppeninterne Verbindlichkeiten, Kapitalinstrumente und Garantien zu machen. </w:t>
      </w:r>
    </w:p>
    <w:p w14:paraId="7FE1B748" w14:textId="2D621418" w:rsidR="00696584" w:rsidRDefault="002C4F63">
      <w:pPr>
        <w:pStyle w:val="P68B1DB1-InstructionsText26"/>
        <w:numPr>
          <w:ilvl w:val="0"/>
          <w:numId w:val="232"/>
        </w:numPr>
        <w:spacing w:before="0"/>
      </w:pPr>
      <w:r>
        <w:t>Alle finanziellen Verflechtungen zwischen im Konzernabschluss erfassten Rechtsträgern sind zu melden. Die zu meldende</w:t>
      </w:r>
      <w:r w:rsidR="00896925">
        <w:t>n</w:t>
      </w:r>
      <w:r>
        <w:t xml:space="preserve"> Beträge werden aggregiert, wenn sie dieselben Gegenparteien (sowohl Emittent oder Garantienehmer als auch Gläubiger, Inhaber oder Garantiegeber) und die gleiche Art von Verbindlichkeiten, Kapitalinstrumenten oder Garantien betreffen.</w:t>
      </w:r>
    </w:p>
    <w:p w14:paraId="7FE1B749" w14:textId="77777777" w:rsidR="00696584" w:rsidRDefault="002C4F63">
      <w:pPr>
        <w:pStyle w:val="P68B1DB1-InstructionsText26"/>
        <w:numPr>
          <w:ilvl w:val="0"/>
          <w:numId w:val="232"/>
        </w:numPr>
        <w:spacing w:before="0"/>
      </w:pPr>
      <w:r>
        <w:t>Die Kombination der Werte der Spalten 0020, 0040 und 0050 dieses Meldebogens bildet einen Primärschlüssel, der jeweils eine spezifische Zeile des Meldebogens bezeichnet.</w:t>
      </w:r>
    </w:p>
    <w:p w14:paraId="7FE1B74A" w14:textId="77777777" w:rsidR="00696584" w:rsidRDefault="002C4F63">
      <w:pPr>
        <w:pStyle w:val="P68B1DB1-Instructionsberschrift312"/>
      </w:pPr>
      <w:r>
        <w:t>Erläuterungen zu bestimmten Positionen</w:t>
      </w:r>
    </w:p>
    <w:tbl>
      <w:tblPr>
        <w:tblW w:w="0" w:type="auto"/>
        <w:tblCellMar>
          <w:top w:w="57" w:type="dxa"/>
          <w:left w:w="57" w:type="dxa"/>
          <w:bottom w:w="57" w:type="dxa"/>
          <w:right w:w="0" w:type="dxa"/>
        </w:tblCellMar>
        <w:tblLook w:val="01E0" w:firstRow="1" w:lastRow="1" w:firstColumn="1" w:lastColumn="1" w:noHBand="0" w:noVBand="0"/>
      </w:tblPr>
      <w:tblGrid>
        <w:gridCol w:w="907"/>
        <w:gridCol w:w="8119"/>
      </w:tblGrid>
      <w:tr w:rsidR="00696584" w14:paraId="7FE1B74D" w14:textId="77777777">
        <w:trPr>
          <w:tblHeader/>
        </w:trPr>
        <w:tc>
          <w:tcPr>
            <w:tcW w:w="907" w:type="dxa"/>
            <w:tcBorders>
              <w:top w:val="single" w:sz="4" w:space="0" w:color="1A171C"/>
              <w:left w:val="nil"/>
              <w:bottom w:val="single" w:sz="4" w:space="0" w:color="1A171C"/>
              <w:right w:val="single" w:sz="4" w:space="0" w:color="1A171C"/>
            </w:tcBorders>
            <w:shd w:val="clear" w:color="auto" w:fill="E4E5E5"/>
          </w:tcPr>
          <w:p w14:paraId="7FE1B74B" w14:textId="77777777" w:rsidR="00696584" w:rsidRDefault="002C4F63">
            <w:pPr>
              <w:pStyle w:val="P68B1DB1-TableParagraph13"/>
              <w:spacing w:before="66"/>
              <w:rPr>
                <w:rFonts w:eastAsia="Cambria"/>
              </w:rPr>
            </w:pPr>
            <w:r>
              <w:t>Spalten</w:t>
            </w:r>
          </w:p>
        </w:tc>
        <w:tc>
          <w:tcPr>
            <w:tcW w:w="8119" w:type="dxa"/>
            <w:tcBorders>
              <w:top w:val="single" w:sz="4" w:space="0" w:color="1A171C"/>
              <w:left w:val="single" w:sz="4" w:space="0" w:color="1A171C"/>
              <w:bottom w:val="single" w:sz="4" w:space="0" w:color="1A171C"/>
              <w:right w:val="nil"/>
            </w:tcBorders>
            <w:shd w:val="clear" w:color="auto" w:fill="E4E5E5"/>
          </w:tcPr>
          <w:p w14:paraId="7FE1B74C" w14:textId="77777777" w:rsidR="00696584" w:rsidRDefault="002C4F63">
            <w:pPr>
              <w:pStyle w:val="P68B1DB1-TableParagraph13"/>
              <w:spacing w:before="66"/>
              <w:ind w:right="1"/>
              <w:jc w:val="center"/>
              <w:rPr>
                <w:rFonts w:eastAsia="Cambria"/>
              </w:rPr>
            </w:pPr>
            <w:r>
              <w:t>Erläuterungen</w:t>
            </w:r>
          </w:p>
        </w:tc>
      </w:tr>
      <w:tr w:rsidR="00696584" w14:paraId="7FE1B751" w14:textId="77777777">
        <w:tc>
          <w:tcPr>
            <w:tcW w:w="907" w:type="dxa"/>
            <w:tcBorders>
              <w:top w:val="single" w:sz="4" w:space="0" w:color="1A171C"/>
              <w:left w:val="nil"/>
              <w:bottom w:val="single" w:sz="4" w:space="0" w:color="1A171C"/>
              <w:right w:val="single" w:sz="4" w:space="0" w:color="1A171C"/>
            </w:tcBorders>
            <w:vAlign w:val="center"/>
          </w:tcPr>
          <w:p w14:paraId="7FE1B74E" w14:textId="6C279506" w:rsidR="00696584" w:rsidRDefault="002C4F63">
            <w:pPr>
              <w:pStyle w:val="P68B1DB1-TableParagraph13"/>
              <w:spacing w:before="106"/>
              <w:ind w:left="-1"/>
            </w:pPr>
            <w:r>
              <w:t xml:space="preserve">0010-0025 </w:t>
            </w:r>
          </w:p>
        </w:tc>
        <w:tc>
          <w:tcPr>
            <w:tcW w:w="8119" w:type="dxa"/>
            <w:tcBorders>
              <w:top w:val="single" w:sz="4" w:space="0" w:color="1A171C"/>
              <w:left w:val="single" w:sz="4" w:space="0" w:color="1A171C"/>
              <w:bottom w:val="single" w:sz="4" w:space="0" w:color="1A171C"/>
              <w:right w:val="nil"/>
            </w:tcBorders>
            <w:vAlign w:val="center"/>
          </w:tcPr>
          <w:p w14:paraId="7FE1B74F" w14:textId="77777777" w:rsidR="00696584" w:rsidRDefault="002C4F63">
            <w:pPr>
              <w:pStyle w:val="P68B1DB1-TableParagraph14"/>
              <w:spacing w:before="108"/>
              <w:ind w:left="85"/>
              <w:jc w:val="both"/>
              <w:rPr>
                <w:bCs/>
              </w:rPr>
            </w:pPr>
            <w:r>
              <w:t>Emittent oder Garantienehmer</w:t>
            </w:r>
          </w:p>
          <w:p w14:paraId="7FE1B750" w14:textId="77777777" w:rsidR="00696584" w:rsidRDefault="002C4F63">
            <w:pPr>
              <w:pStyle w:val="P68B1DB1-TableParagraph17"/>
              <w:spacing w:before="108"/>
              <w:ind w:left="85"/>
              <w:jc w:val="both"/>
            </w:pPr>
            <w:r>
              <w:t>Rechtsträger, der die Verbindlichkeiten oder das Kapitalinstrument ausgibt oder der Garantienehmer ist.</w:t>
            </w:r>
          </w:p>
        </w:tc>
      </w:tr>
      <w:tr w:rsidR="00696584" w14:paraId="7FE1B755" w14:textId="77777777">
        <w:tc>
          <w:tcPr>
            <w:tcW w:w="907" w:type="dxa"/>
            <w:tcBorders>
              <w:top w:val="single" w:sz="4" w:space="0" w:color="1A171C"/>
              <w:left w:val="nil"/>
              <w:bottom w:val="single" w:sz="4" w:space="0" w:color="1A171C"/>
              <w:right w:val="single" w:sz="4" w:space="0" w:color="1A171C"/>
            </w:tcBorders>
            <w:vAlign w:val="center"/>
          </w:tcPr>
          <w:p w14:paraId="7FE1B752" w14:textId="77777777" w:rsidR="00696584" w:rsidRDefault="002C4F63">
            <w:pPr>
              <w:pStyle w:val="P68B1DB1-TableParagraph13"/>
              <w:spacing w:before="106"/>
              <w:ind w:left="-1"/>
            </w:pPr>
            <w:r>
              <w:t xml:space="preserve">0010 </w:t>
            </w:r>
          </w:p>
        </w:tc>
        <w:tc>
          <w:tcPr>
            <w:tcW w:w="8119" w:type="dxa"/>
            <w:tcBorders>
              <w:top w:val="single" w:sz="4" w:space="0" w:color="1A171C"/>
              <w:left w:val="single" w:sz="4" w:space="0" w:color="1A171C"/>
              <w:bottom w:val="single" w:sz="4" w:space="0" w:color="1A171C"/>
              <w:right w:val="nil"/>
            </w:tcBorders>
            <w:vAlign w:val="center"/>
          </w:tcPr>
          <w:p w14:paraId="7FE1B753" w14:textId="77777777" w:rsidR="00696584" w:rsidRDefault="002C4F63">
            <w:pPr>
              <w:pStyle w:val="P68B1DB1-TableParagraph14"/>
              <w:spacing w:before="108"/>
              <w:ind w:left="85"/>
              <w:jc w:val="both"/>
              <w:rPr>
                <w:bCs/>
              </w:rPr>
            </w:pPr>
            <w:r>
              <w:t xml:space="preserve">Name des Unternehmens </w:t>
            </w:r>
          </w:p>
          <w:p w14:paraId="7FE1B754" w14:textId="77777777" w:rsidR="00696584" w:rsidRDefault="002C4F63">
            <w:pPr>
              <w:pStyle w:val="P68B1DB1-TableParagraph17"/>
              <w:spacing w:before="108"/>
              <w:ind w:left="85"/>
              <w:jc w:val="both"/>
            </w:pPr>
            <w:r>
              <w:t xml:space="preserve">Darf nicht mit dem in Spalte 0030 angegebenen Namen identisch sein. </w:t>
            </w:r>
          </w:p>
        </w:tc>
      </w:tr>
      <w:tr w:rsidR="00696584" w14:paraId="7FE1B75C" w14:textId="77777777">
        <w:tc>
          <w:tcPr>
            <w:tcW w:w="907" w:type="dxa"/>
            <w:tcBorders>
              <w:top w:val="single" w:sz="4" w:space="0" w:color="1A171C"/>
              <w:left w:val="nil"/>
              <w:bottom w:val="single" w:sz="4" w:space="0" w:color="1A171C"/>
              <w:right w:val="single" w:sz="4" w:space="0" w:color="1A171C"/>
            </w:tcBorders>
            <w:vAlign w:val="center"/>
          </w:tcPr>
          <w:p w14:paraId="7FE1B756" w14:textId="77777777" w:rsidR="00696584" w:rsidRDefault="002C4F63">
            <w:pPr>
              <w:pStyle w:val="P68B1DB1-TableParagraph13"/>
              <w:spacing w:before="106"/>
              <w:ind w:left="-1"/>
            </w:pPr>
            <w:r>
              <w:lastRenderedPageBreak/>
              <w:t xml:space="preserve">0020 </w:t>
            </w:r>
          </w:p>
        </w:tc>
        <w:tc>
          <w:tcPr>
            <w:tcW w:w="8119" w:type="dxa"/>
            <w:tcBorders>
              <w:top w:val="single" w:sz="4" w:space="0" w:color="1A171C"/>
              <w:left w:val="single" w:sz="4" w:space="0" w:color="1A171C"/>
              <w:bottom w:val="single" w:sz="4" w:space="0" w:color="1A171C"/>
              <w:right w:val="nil"/>
            </w:tcBorders>
            <w:vAlign w:val="center"/>
          </w:tcPr>
          <w:p w14:paraId="7FE1B757" w14:textId="26A9ABC5" w:rsidR="00696584" w:rsidRDefault="002C4F63">
            <w:pPr>
              <w:pStyle w:val="P68B1DB1-TableParagraph14"/>
              <w:spacing w:before="108"/>
              <w:ind w:left="85"/>
              <w:jc w:val="both"/>
              <w:rPr>
                <w:bCs/>
              </w:rPr>
            </w:pPr>
            <w:r>
              <w:t>Code</w:t>
            </w:r>
          </w:p>
          <w:p w14:paraId="22E99FB3" w14:textId="77777777" w:rsidR="00696584" w:rsidRDefault="002C4F63">
            <w:pPr>
              <w:pStyle w:val="P68B1DB1-TableParagraph17"/>
              <w:spacing w:before="108"/>
              <w:ind w:left="85"/>
              <w:jc w:val="both"/>
            </w:pPr>
            <w:r>
              <w:t xml:space="preserve">Kennung des Emittenten oder Garantienehmers. </w:t>
            </w:r>
          </w:p>
          <w:p w14:paraId="4BE5BA2E" w14:textId="5E7AE5A4" w:rsidR="00696584" w:rsidRDefault="002C4F63">
            <w:pPr>
              <w:pStyle w:val="P68B1DB1-TableParagraph17"/>
              <w:spacing w:before="108"/>
              <w:ind w:left="85"/>
              <w:jc w:val="both"/>
            </w:pPr>
            <w:r>
              <w:t>Bei Instituten mit Rechtsträgerkennung (LEI) der 20-stellige alphanumerische LEI-Code;</w:t>
            </w:r>
          </w:p>
          <w:p w14:paraId="7FE1B758" w14:textId="458CE8E3" w:rsidR="00696584" w:rsidRDefault="002C4F63">
            <w:pPr>
              <w:pStyle w:val="P68B1DB1-TableParagraph17"/>
              <w:spacing w:before="108"/>
              <w:ind w:left="85"/>
              <w:jc w:val="both"/>
            </w:pPr>
            <w:r>
              <w:t>Falls nicht verfügbar, ist der MFI-Code oder ein in der Union einheitlicher Code zu verwenden.</w:t>
            </w:r>
          </w:p>
          <w:p w14:paraId="7FE1B759" w14:textId="77777777" w:rsidR="00696584" w:rsidRDefault="002C4F63">
            <w:pPr>
              <w:pStyle w:val="P68B1DB1-TableParagraph17"/>
              <w:spacing w:before="108"/>
              <w:ind w:left="85"/>
              <w:jc w:val="both"/>
            </w:pPr>
            <w:r>
              <w:t>Der Code ist spezifisch und wird durchgängig in allen Meldebögen verwendet.</w:t>
            </w:r>
          </w:p>
          <w:p w14:paraId="7FE1B75A" w14:textId="77777777" w:rsidR="00696584" w:rsidRDefault="002C4F63">
            <w:pPr>
              <w:pStyle w:val="P68B1DB1-TableParagraph17"/>
              <w:spacing w:before="108"/>
              <w:ind w:left="85"/>
              <w:jc w:val="both"/>
            </w:pPr>
            <w:r>
              <w:t>Darf nicht mit der in Spalte 0040 angegebenen Kennung identisch sein.</w:t>
            </w:r>
          </w:p>
          <w:p w14:paraId="7FE1B75B" w14:textId="77777777" w:rsidR="00696584" w:rsidRDefault="00696584">
            <w:pPr>
              <w:pStyle w:val="TableParagraph"/>
              <w:spacing w:before="108"/>
              <w:ind w:left="85"/>
              <w:jc w:val="both"/>
              <w:rPr>
                <w:rFonts w:ascii="Times New Roman" w:eastAsia="Cambria" w:hAnsi="Times New Roman" w:cs="Times New Roman"/>
                <w:color w:val="000000" w:themeColor="text1"/>
                <w:sz w:val="20"/>
                <w:szCs w:val="20"/>
              </w:rPr>
            </w:pPr>
          </w:p>
        </w:tc>
      </w:tr>
      <w:tr w:rsidR="00696584" w14:paraId="7FE1B763" w14:textId="77777777">
        <w:tc>
          <w:tcPr>
            <w:tcW w:w="907" w:type="dxa"/>
            <w:tcBorders>
              <w:top w:val="single" w:sz="4" w:space="0" w:color="1A171C"/>
              <w:left w:val="nil"/>
              <w:bottom w:val="single" w:sz="4" w:space="0" w:color="1A171C"/>
              <w:right w:val="single" w:sz="4" w:space="0" w:color="1A171C"/>
            </w:tcBorders>
            <w:vAlign w:val="center"/>
          </w:tcPr>
          <w:p w14:paraId="7FE1B75D" w14:textId="77777777" w:rsidR="00696584" w:rsidRDefault="002C4F63">
            <w:pPr>
              <w:pStyle w:val="P68B1DB1-TableParagraph13"/>
              <w:spacing w:before="106"/>
              <w:ind w:left="-1"/>
            </w:pPr>
            <w:r>
              <w:t>0025</w:t>
            </w:r>
          </w:p>
        </w:tc>
        <w:tc>
          <w:tcPr>
            <w:tcW w:w="8119" w:type="dxa"/>
            <w:tcBorders>
              <w:top w:val="single" w:sz="4" w:space="0" w:color="1A171C"/>
              <w:left w:val="single" w:sz="4" w:space="0" w:color="1A171C"/>
              <w:bottom w:val="single" w:sz="4" w:space="0" w:color="1A171C"/>
              <w:right w:val="nil"/>
            </w:tcBorders>
            <w:vAlign w:val="center"/>
          </w:tcPr>
          <w:p w14:paraId="7FE1B75E" w14:textId="77777777" w:rsidR="00696584" w:rsidRDefault="002C4F63">
            <w:pPr>
              <w:pStyle w:val="P68B1DB1-TableParagraph14"/>
              <w:spacing w:before="108"/>
              <w:ind w:left="85"/>
              <w:jc w:val="both"/>
              <w:rPr>
                <w:bCs/>
              </w:rPr>
            </w:pPr>
            <w:r>
              <w:t>Art des Codes</w:t>
            </w:r>
          </w:p>
          <w:p w14:paraId="7FE1B75F" w14:textId="2A2E5952" w:rsidR="00696584" w:rsidRDefault="002C4F63">
            <w:pPr>
              <w:pStyle w:val="P68B1DB1-TableParagraph13"/>
              <w:spacing w:before="108"/>
              <w:ind w:left="85"/>
              <w:jc w:val="both"/>
              <w:rPr>
                <w:bCs/>
              </w:rPr>
            </w:pPr>
            <w:r>
              <w:t xml:space="preserve">Der Code muss mit dem im Meldebogen Z 01.01 (ORG 1) angegebenen Code übereinstimmen. </w:t>
            </w:r>
          </w:p>
          <w:p w14:paraId="7FE1B761" w14:textId="635A8A91" w:rsidR="00696584" w:rsidRDefault="002C4F63">
            <w:pPr>
              <w:pStyle w:val="P68B1DB1-TableParagraph13"/>
              <w:spacing w:before="108"/>
              <w:ind w:left="85"/>
              <w:jc w:val="both"/>
              <w:rPr>
                <w:bCs/>
              </w:rPr>
            </w:pPr>
            <w:r>
              <w:t>Auswahl unter folgenden Optionen: „LEI-Code“, „MFI-Code“ oder „Andere Art der Kennung als LEI-Code oder MFI-Code“.</w:t>
            </w:r>
          </w:p>
          <w:p w14:paraId="7FE1B762" w14:textId="562F703E" w:rsidR="00696584" w:rsidRDefault="002C4F63">
            <w:pPr>
              <w:pStyle w:val="P68B1DB1-TableParagraph13"/>
              <w:spacing w:before="108"/>
              <w:ind w:left="85"/>
              <w:jc w:val="both"/>
              <w:rPr>
                <w:b/>
                <w:bCs/>
              </w:rPr>
            </w:pPr>
            <w:r>
              <w:t xml:space="preserve">Zur Identifizierung von Unternehmen oder Beteiligungsunternehmen sind in allen Meldebögen </w:t>
            </w:r>
            <w:r w:rsidR="00896925">
              <w:t>die Kombination aus</w:t>
            </w:r>
            <w:r>
              <w:t xml:space="preserve"> Code und Typ einheitlich zu verwenden.</w:t>
            </w:r>
          </w:p>
        </w:tc>
      </w:tr>
      <w:tr w:rsidR="00696584" w14:paraId="7FE1B767" w14:textId="77777777">
        <w:tc>
          <w:tcPr>
            <w:tcW w:w="907" w:type="dxa"/>
            <w:tcBorders>
              <w:top w:val="single" w:sz="4" w:space="0" w:color="1A171C"/>
              <w:left w:val="nil"/>
              <w:bottom w:val="single" w:sz="4" w:space="0" w:color="1A171C"/>
              <w:right w:val="single" w:sz="4" w:space="0" w:color="1A171C"/>
            </w:tcBorders>
            <w:vAlign w:val="center"/>
          </w:tcPr>
          <w:p w14:paraId="7FE1B764" w14:textId="2382C727" w:rsidR="00696584" w:rsidRDefault="002C4F63">
            <w:pPr>
              <w:pStyle w:val="P68B1DB1-TableParagraph13"/>
              <w:spacing w:before="106"/>
              <w:ind w:left="-1"/>
            </w:pPr>
            <w:r>
              <w:t xml:space="preserve">0030-0045 </w:t>
            </w:r>
          </w:p>
        </w:tc>
        <w:tc>
          <w:tcPr>
            <w:tcW w:w="8119" w:type="dxa"/>
            <w:tcBorders>
              <w:top w:val="single" w:sz="4" w:space="0" w:color="1A171C"/>
              <w:left w:val="single" w:sz="4" w:space="0" w:color="1A171C"/>
              <w:bottom w:val="single" w:sz="4" w:space="0" w:color="1A171C"/>
              <w:right w:val="nil"/>
            </w:tcBorders>
            <w:vAlign w:val="center"/>
          </w:tcPr>
          <w:p w14:paraId="7FE1B765" w14:textId="77777777" w:rsidR="00696584" w:rsidRDefault="002C4F63">
            <w:pPr>
              <w:pStyle w:val="P68B1DB1-TableParagraph14"/>
              <w:spacing w:before="108"/>
              <w:ind w:left="85"/>
              <w:jc w:val="both"/>
              <w:rPr>
                <w:bCs/>
              </w:rPr>
            </w:pPr>
            <w:r>
              <w:t>Gläubiger, Inhaber oder Garantiegeber</w:t>
            </w:r>
          </w:p>
          <w:p w14:paraId="7FE1B766" w14:textId="77777777" w:rsidR="00696584" w:rsidRDefault="002C4F63">
            <w:pPr>
              <w:pStyle w:val="P68B1DB1-TableParagraph17"/>
              <w:spacing w:before="108"/>
              <w:ind w:left="85"/>
              <w:jc w:val="both"/>
            </w:pPr>
            <w:r>
              <w:t>Rechtsträger, der der Gläubiger der Verbindlichkeit ist, das Kapitalinstrument hält oder die Garantie stellt.</w:t>
            </w:r>
          </w:p>
        </w:tc>
      </w:tr>
      <w:tr w:rsidR="00696584" w14:paraId="7FE1B76B" w14:textId="77777777">
        <w:tc>
          <w:tcPr>
            <w:tcW w:w="907" w:type="dxa"/>
            <w:tcBorders>
              <w:top w:val="single" w:sz="4" w:space="0" w:color="1A171C"/>
              <w:left w:val="nil"/>
              <w:bottom w:val="single" w:sz="4" w:space="0" w:color="1A171C"/>
              <w:right w:val="single" w:sz="4" w:space="0" w:color="1A171C"/>
            </w:tcBorders>
            <w:vAlign w:val="center"/>
          </w:tcPr>
          <w:p w14:paraId="7FE1B768" w14:textId="77777777" w:rsidR="00696584" w:rsidRDefault="002C4F63">
            <w:pPr>
              <w:pStyle w:val="P68B1DB1-TableParagraph13"/>
              <w:spacing w:before="106"/>
              <w:ind w:left="-1"/>
            </w:pPr>
            <w:r>
              <w:t xml:space="preserve">0030 </w:t>
            </w:r>
          </w:p>
        </w:tc>
        <w:tc>
          <w:tcPr>
            <w:tcW w:w="8119" w:type="dxa"/>
            <w:tcBorders>
              <w:top w:val="single" w:sz="4" w:space="0" w:color="1A171C"/>
              <w:left w:val="single" w:sz="4" w:space="0" w:color="1A171C"/>
              <w:bottom w:val="single" w:sz="4" w:space="0" w:color="1A171C"/>
              <w:right w:val="nil"/>
            </w:tcBorders>
            <w:vAlign w:val="center"/>
          </w:tcPr>
          <w:p w14:paraId="7FE1B769" w14:textId="77777777" w:rsidR="00696584" w:rsidRDefault="002C4F63">
            <w:pPr>
              <w:pStyle w:val="P68B1DB1-TableParagraph14"/>
              <w:spacing w:before="108"/>
              <w:ind w:left="85"/>
              <w:jc w:val="both"/>
              <w:rPr>
                <w:bCs/>
              </w:rPr>
            </w:pPr>
            <w:r>
              <w:t xml:space="preserve">Name des Unternehmens </w:t>
            </w:r>
          </w:p>
          <w:p w14:paraId="7FE1B76A" w14:textId="77777777" w:rsidR="00696584" w:rsidRDefault="002C4F63">
            <w:pPr>
              <w:pStyle w:val="P68B1DB1-TableParagraph17"/>
              <w:spacing w:before="108"/>
              <w:ind w:left="85"/>
              <w:jc w:val="both"/>
            </w:pPr>
            <w:r>
              <w:t xml:space="preserve">Darf nicht mit dem in Spalte 0010 angegebenen Namen identisch sein. </w:t>
            </w:r>
          </w:p>
        </w:tc>
      </w:tr>
      <w:tr w:rsidR="00696584" w14:paraId="7FE1B771" w14:textId="77777777">
        <w:tc>
          <w:tcPr>
            <w:tcW w:w="907" w:type="dxa"/>
            <w:tcBorders>
              <w:top w:val="single" w:sz="4" w:space="0" w:color="1A171C"/>
              <w:left w:val="nil"/>
              <w:bottom w:val="single" w:sz="4" w:space="0" w:color="1A171C"/>
              <w:right w:val="single" w:sz="4" w:space="0" w:color="1A171C"/>
            </w:tcBorders>
            <w:vAlign w:val="center"/>
          </w:tcPr>
          <w:p w14:paraId="7FE1B76C" w14:textId="77777777" w:rsidR="00696584" w:rsidRDefault="002C4F63">
            <w:pPr>
              <w:pStyle w:val="P68B1DB1-TableParagraph13"/>
              <w:spacing w:before="106"/>
              <w:ind w:left="-1"/>
            </w:pPr>
            <w:r>
              <w:t xml:space="preserve">0040 </w:t>
            </w:r>
          </w:p>
        </w:tc>
        <w:tc>
          <w:tcPr>
            <w:tcW w:w="8119" w:type="dxa"/>
            <w:tcBorders>
              <w:top w:val="single" w:sz="4" w:space="0" w:color="1A171C"/>
              <w:left w:val="single" w:sz="4" w:space="0" w:color="1A171C"/>
              <w:bottom w:val="single" w:sz="4" w:space="0" w:color="1A171C"/>
              <w:right w:val="nil"/>
            </w:tcBorders>
            <w:vAlign w:val="center"/>
          </w:tcPr>
          <w:p w14:paraId="7FE1B76D" w14:textId="74F1E5E5" w:rsidR="00696584" w:rsidRDefault="002C4F63">
            <w:pPr>
              <w:pStyle w:val="P68B1DB1-TableParagraph14"/>
              <w:spacing w:before="108"/>
              <w:ind w:left="85"/>
              <w:jc w:val="both"/>
              <w:rPr>
                <w:bCs/>
              </w:rPr>
            </w:pPr>
            <w:r>
              <w:t>Code</w:t>
            </w:r>
          </w:p>
          <w:p w14:paraId="07AEB6DE" w14:textId="77777777" w:rsidR="00696584" w:rsidRDefault="002C4F63">
            <w:pPr>
              <w:pStyle w:val="P68B1DB1-TableParagraph17"/>
              <w:spacing w:before="108"/>
              <w:ind w:left="85"/>
              <w:jc w:val="both"/>
            </w:pPr>
            <w:r>
              <w:t xml:space="preserve">Kennung des Gläubigers, Inhabers oder Garantiegebers. </w:t>
            </w:r>
          </w:p>
          <w:p w14:paraId="706B20DB" w14:textId="77777777" w:rsidR="00696584" w:rsidRDefault="002C4F63">
            <w:pPr>
              <w:pStyle w:val="P68B1DB1-TableParagraph17"/>
              <w:spacing w:before="108"/>
              <w:ind w:left="85"/>
              <w:jc w:val="both"/>
            </w:pPr>
            <w:r>
              <w:t>Bei Instituten mit Rechtsträgerkennung (LEI) der 20-stellige alphanumerische LEI-Code;</w:t>
            </w:r>
          </w:p>
          <w:p w14:paraId="69DCA339" w14:textId="67781040" w:rsidR="00696584" w:rsidRDefault="002C4F63">
            <w:pPr>
              <w:pStyle w:val="P68B1DB1-TableParagraph17"/>
              <w:spacing w:before="108"/>
              <w:ind w:left="85"/>
              <w:jc w:val="both"/>
            </w:pPr>
            <w:r>
              <w:t>Falls nicht verfügbar, ist der MFI-Code oder ein in der Union einheitlicher Code zu verwenden.</w:t>
            </w:r>
          </w:p>
          <w:p w14:paraId="7FE1B76F" w14:textId="02D6147D" w:rsidR="00696584" w:rsidRDefault="002C4F63">
            <w:pPr>
              <w:pStyle w:val="P68B1DB1-TableParagraph17"/>
              <w:spacing w:before="108"/>
              <w:ind w:left="85"/>
              <w:jc w:val="both"/>
            </w:pPr>
            <w:r>
              <w:t>Der Code ist spezifisch und wird durchgängig in allen Meldebögen verwendet.</w:t>
            </w:r>
          </w:p>
          <w:p w14:paraId="1E86BFA0" w14:textId="77777777" w:rsidR="00696584" w:rsidRDefault="002C4F63">
            <w:pPr>
              <w:pStyle w:val="P68B1DB1-TableParagraph17"/>
              <w:spacing w:before="108"/>
              <w:ind w:left="85"/>
              <w:jc w:val="both"/>
            </w:pPr>
            <w:r>
              <w:t>Darf nicht mit der in Spalte 0020 angegebenen Kennung identisch sein.</w:t>
            </w:r>
          </w:p>
          <w:p w14:paraId="7FE1B770" w14:textId="7F0D6731" w:rsidR="00696584" w:rsidRDefault="002C4F63">
            <w:pPr>
              <w:pStyle w:val="P68B1DB1-TableParagraph13"/>
              <w:spacing w:before="108"/>
              <w:ind w:left="85"/>
              <w:jc w:val="both"/>
              <w:rPr>
                <w:rFonts w:eastAsia="Cambria"/>
              </w:rPr>
            </w:pPr>
            <w:r>
              <w:t xml:space="preserve">Ist der Kreditgeber, Inhaber oder Garantiegeber ein Unternehmen der Gruppe, so muss die Kennung mit der im Meldebogen Z 01.01 (ORG 1) angegebenen Kennung übereinstimmen. Zur Identifizierung von Unternehmen oder Beteiligungsunternehmen sind in allen Meldebögen </w:t>
            </w:r>
            <w:r w:rsidR="00896925">
              <w:t>die Kombination aus</w:t>
            </w:r>
            <w:r>
              <w:t xml:space="preserve"> Code und Typ einheitlich zu verwenden.</w:t>
            </w:r>
          </w:p>
        </w:tc>
      </w:tr>
      <w:tr w:rsidR="00696584" w14:paraId="7FE1B778" w14:textId="77777777">
        <w:tc>
          <w:tcPr>
            <w:tcW w:w="907" w:type="dxa"/>
            <w:tcBorders>
              <w:top w:val="single" w:sz="4" w:space="0" w:color="1A171C"/>
              <w:left w:val="nil"/>
              <w:bottom w:val="single" w:sz="4" w:space="0" w:color="1A171C"/>
              <w:right w:val="single" w:sz="4" w:space="0" w:color="1A171C"/>
            </w:tcBorders>
            <w:vAlign w:val="center"/>
          </w:tcPr>
          <w:p w14:paraId="7FE1B772" w14:textId="77777777" w:rsidR="00696584" w:rsidRDefault="002C4F63">
            <w:pPr>
              <w:pStyle w:val="P68B1DB1-TableParagraph13"/>
              <w:spacing w:before="106"/>
              <w:ind w:left="-1"/>
            </w:pPr>
            <w:r>
              <w:t>0045</w:t>
            </w:r>
          </w:p>
        </w:tc>
        <w:tc>
          <w:tcPr>
            <w:tcW w:w="8119" w:type="dxa"/>
            <w:tcBorders>
              <w:top w:val="single" w:sz="4" w:space="0" w:color="1A171C"/>
              <w:left w:val="single" w:sz="4" w:space="0" w:color="1A171C"/>
              <w:bottom w:val="single" w:sz="4" w:space="0" w:color="1A171C"/>
              <w:right w:val="nil"/>
            </w:tcBorders>
            <w:vAlign w:val="center"/>
          </w:tcPr>
          <w:p w14:paraId="7FE1B773" w14:textId="77777777" w:rsidR="00696584" w:rsidRDefault="002C4F63">
            <w:pPr>
              <w:pStyle w:val="P68B1DB1-TableParagraph14"/>
              <w:spacing w:before="108"/>
              <w:ind w:left="85"/>
              <w:jc w:val="both"/>
              <w:rPr>
                <w:bCs/>
              </w:rPr>
            </w:pPr>
            <w:r>
              <w:t>Art des Codes</w:t>
            </w:r>
          </w:p>
          <w:p w14:paraId="00DFF190" w14:textId="04144C55" w:rsidR="00696584" w:rsidRDefault="00696584">
            <w:pPr>
              <w:pStyle w:val="TableParagraph"/>
              <w:spacing w:before="108"/>
              <w:ind w:left="85"/>
              <w:jc w:val="both"/>
              <w:rPr>
                <w:rFonts w:ascii="Times New Roman" w:hAnsi="Times New Roman" w:cs="Times New Roman"/>
                <w:bCs/>
                <w:color w:val="000000" w:themeColor="text1"/>
                <w:sz w:val="20"/>
                <w:szCs w:val="20"/>
              </w:rPr>
            </w:pPr>
          </w:p>
          <w:p w14:paraId="1CBCA0DC" w14:textId="04764F45" w:rsidR="00696584" w:rsidRDefault="002C4F63">
            <w:pPr>
              <w:pStyle w:val="P68B1DB1-TableParagraph13"/>
              <w:spacing w:before="108" w:line="276" w:lineRule="auto"/>
              <w:ind w:left="85"/>
              <w:jc w:val="both"/>
              <w:rPr>
                <w:color w:val="000000"/>
              </w:rPr>
            </w:pPr>
            <w:bookmarkStart w:id="64" w:name="_Hlk191377037"/>
            <w:r>
              <w:t>Auswahl unter folgenden Optionen: „LEI-Code“, „MFI-Code“ oder „Andere Art der Kennung als LEI-Code oder MFI-Code“.</w:t>
            </w:r>
            <w:bookmarkEnd w:id="64"/>
          </w:p>
          <w:p w14:paraId="072CFC22" w14:textId="7B94F65F" w:rsidR="00696584" w:rsidRDefault="002C4F63">
            <w:pPr>
              <w:pStyle w:val="P68B1DB1-TableParagraph13"/>
              <w:spacing w:before="108" w:line="276" w:lineRule="auto"/>
              <w:ind w:left="85"/>
              <w:jc w:val="both"/>
              <w:rPr>
                <w:color w:val="000000"/>
              </w:rPr>
            </w:pPr>
            <w:r>
              <w:t>Die Art des Codes ist stets anzugeben.</w:t>
            </w:r>
          </w:p>
          <w:p w14:paraId="63D16443" w14:textId="77777777" w:rsidR="00696584" w:rsidRDefault="002C4F63">
            <w:pPr>
              <w:pStyle w:val="P68B1DB1-TableParagraph13"/>
              <w:spacing w:before="108" w:line="276" w:lineRule="auto"/>
              <w:ind w:left="85"/>
              <w:jc w:val="both"/>
              <w:rPr>
                <w:color w:val="000000"/>
              </w:rPr>
            </w:pPr>
            <w:r>
              <w:t>Handelt es sich bei dem Gläubiger, dem Inhaber oder dem Garantiegeber nicht um ein Unternehmen der Gruppe, so ist die Art des Codes vorzugsweise der LEI-Code.</w:t>
            </w:r>
          </w:p>
          <w:p w14:paraId="7FE1B777" w14:textId="69660BC3" w:rsidR="00696584" w:rsidRDefault="00696584">
            <w:pPr>
              <w:pStyle w:val="TableParagraph"/>
              <w:spacing w:before="108"/>
              <w:ind w:left="85"/>
              <w:jc w:val="both"/>
              <w:rPr>
                <w:rFonts w:ascii="Times New Roman" w:hAnsi="Times New Roman" w:cs="Times New Roman"/>
                <w:b/>
                <w:bCs/>
                <w:color w:val="000000" w:themeColor="text1"/>
                <w:sz w:val="20"/>
                <w:szCs w:val="20"/>
              </w:rPr>
            </w:pPr>
          </w:p>
        </w:tc>
      </w:tr>
      <w:tr w:rsidR="00696584" w14:paraId="7FE1B77C" w14:textId="77777777">
        <w:tc>
          <w:tcPr>
            <w:tcW w:w="907" w:type="dxa"/>
            <w:tcBorders>
              <w:top w:val="single" w:sz="4" w:space="0" w:color="1A171C"/>
              <w:left w:val="nil"/>
              <w:bottom w:val="single" w:sz="4" w:space="0" w:color="1A171C"/>
              <w:right w:val="single" w:sz="4" w:space="0" w:color="1A171C"/>
            </w:tcBorders>
            <w:vAlign w:val="center"/>
          </w:tcPr>
          <w:p w14:paraId="7FE1B779" w14:textId="77777777" w:rsidR="00696584" w:rsidRDefault="002C4F63">
            <w:pPr>
              <w:pStyle w:val="P68B1DB1-TableParagraph13"/>
              <w:spacing w:before="106"/>
              <w:ind w:left="-1"/>
            </w:pPr>
            <w:r>
              <w:t xml:space="preserve">0050-0080 </w:t>
            </w:r>
          </w:p>
        </w:tc>
        <w:tc>
          <w:tcPr>
            <w:tcW w:w="8119" w:type="dxa"/>
            <w:tcBorders>
              <w:top w:val="single" w:sz="4" w:space="0" w:color="1A171C"/>
              <w:left w:val="single" w:sz="4" w:space="0" w:color="1A171C"/>
              <w:bottom w:val="single" w:sz="4" w:space="0" w:color="1A171C"/>
              <w:right w:val="nil"/>
            </w:tcBorders>
            <w:vAlign w:val="center"/>
          </w:tcPr>
          <w:p w14:paraId="7FE1B77A" w14:textId="77777777" w:rsidR="00696584" w:rsidRDefault="002C4F63">
            <w:pPr>
              <w:pStyle w:val="P68B1DB1-TableParagraph14"/>
              <w:spacing w:before="108"/>
              <w:ind w:left="85"/>
              <w:jc w:val="both"/>
              <w:rPr>
                <w:bCs/>
              </w:rPr>
            </w:pPr>
            <w:r>
              <w:t>Finanzielle Verflechtungen</w:t>
            </w:r>
          </w:p>
          <w:p w14:paraId="7FE1B77B" w14:textId="079D8C41" w:rsidR="00696584" w:rsidRDefault="002C4F63">
            <w:pPr>
              <w:pStyle w:val="P68B1DB1-TableParagraph17"/>
              <w:spacing w:before="108"/>
              <w:ind w:left="85"/>
              <w:jc w:val="both"/>
            </w:pPr>
            <w:r>
              <w:lastRenderedPageBreak/>
              <w:t>In diesem Feld werden finanzielle Verflechtungen zwischen allen Rechtsträgern beschrieben.</w:t>
            </w:r>
          </w:p>
        </w:tc>
      </w:tr>
      <w:tr w:rsidR="00696584" w14:paraId="7FE1B7A9" w14:textId="77777777">
        <w:tc>
          <w:tcPr>
            <w:tcW w:w="907" w:type="dxa"/>
            <w:tcBorders>
              <w:top w:val="single" w:sz="4" w:space="0" w:color="1A171C"/>
              <w:left w:val="nil"/>
              <w:bottom w:val="single" w:sz="4" w:space="0" w:color="1A171C"/>
              <w:right w:val="single" w:sz="4" w:space="0" w:color="1A171C"/>
            </w:tcBorders>
            <w:vAlign w:val="center"/>
          </w:tcPr>
          <w:p w14:paraId="7FE1B77D" w14:textId="77777777" w:rsidR="00696584" w:rsidRDefault="002C4F63">
            <w:pPr>
              <w:pStyle w:val="P68B1DB1-TableParagraph13"/>
              <w:spacing w:before="106"/>
              <w:ind w:left="-1"/>
            </w:pPr>
            <w:r>
              <w:lastRenderedPageBreak/>
              <w:t xml:space="preserve">0050 </w:t>
            </w:r>
          </w:p>
        </w:tc>
        <w:tc>
          <w:tcPr>
            <w:tcW w:w="8119" w:type="dxa"/>
            <w:tcBorders>
              <w:top w:val="single" w:sz="4" w:space="0" w:color="1A171C"/>
              <w:left w:val="single" w:sz="4" w:space="0" w:color="1A171C"/>
              <w:bottom w:val="single" w:sz="4" w:space="0" w:color="1A171C"/>
              <w:right w:val="nil"/>
            </w:tcBorders>
            <w:vAlign w:val="center"/>
          </w:tcPr>
          <w:p w14:paraId="7FE1B77E" w14:textId="77777777" w:rsidR="00696584" w:rsidRDefault="002C4F63">
            <w:pPr>
              <w:pStyle w:val="P68B1DB1-TableParagraph14"/>
              <w:spacing w:before="108"/>
              <w:ind w:left="85"/>
              <w:jc w:val="both"/>
              <w:rPr>
                <w:bCs/>
              </w:rPr>
            </w:pPr>
            <w:r>
              <w:t>Art</w:t>
            </w:r>
          </w:p>
          <w:p w14:paraId="7FE1B77F" w14:textId="77777777" w:rsidR="00696584" w:rsidRDefault="002C4F63">
            <w:pPr>
              <w:pStyle w:val="P68B1DB1-TableParagraph17"/>
              <w:spacing w:before="108"/>
              <w:ind w:left="85"/>
              <w:jc w:val="both"/>
            </w:pPr>
            <w:r>
              <w:t>Unter folgenden Arten ist auszuwählen:</w:t>
            </w:r>
          </w:p>
          <w:p w14:paraId="7FE1B780" w14:textId="77777777" w:rsidR="00696584" w:rsidRDefault="002C4F63">
            <w:pPr>
              <w:pStyle w:val="P68B1DB1-TableParagraph24"/>
              <w:spacing w:before="108"/>
              <w:ind w:left="85"/>
              <w:jc w:val="both"/>
            </w:pPr>
            <w:r>
              <w:t>Gruppeninterne Verbindlichkeiten</w:t>
            </w:r>
          </w:p>
          <w:p w14:paraId="7FE1B781" w14:textId="77777777" w:rsidR="00696584" w:rsidRDefault="00696584">
            <w:pPr>
              <w:pStyle w:val="TableParagraph"/>
              <w:spacing w:before="108"/>
              <w:ind w:left="85"/>
              <w:jc w:val="both"/>
              <w:rPr>
                <w:rFonts w:ascii="Times New Roman" w:eastAsia="Cambria" w:hAnsi="Times New Roman" w:cs="Times New Roman"/>
                <w:color w:val="000000" w:themeColor="text1"/>
                <w:sz w:val="20"/>
                <w:szCs w:val="20"/>
                <w:u w:val="single"/>
              </w:rPr>
            </w:pPr>
          </w:p>
          <w:p w14:paraId="7FE1B782" w14:textId="421A42AD" w:rsidR="00696584" w:rsidRDefault="002C4F63">
            <w:pPr>
              <w:pStyle w:val="P68B1DB1-ListParagraph25"/>
              <w:numPr>
                <w:ilvl w:val="0"/>
                <w:numId w:val="54"/>
              </w:numPr>
              <w:autoSpaceDE w:val="0"/>
              <w:autoSpaceDN w:val="0"/>
              <w:adjustRightInd w:val="0"/>
              <w:ind w:left="539" w:hanging="454"/>
              <w:contextualSpacing/>
              <w:jc w:val="both"/>
            </w:pPr>
            <w:r>
              <w:t xml:space="preserve">Vom Bail-in ausgeschlossene Verbindlichkeiten </w:t>
            </w:r>
          </w:p>
          <w:p w14:paraId="7FE1B783" w14:textId="047CAF02" w:rsidR="00696584" w:rsidRDefault="002C4F63">
            <w:pPr>
              <w:pStyle w:val="P68B1DB1-ListParagraph25"/>
              <w:autoSpaceDE w:val="0"/>
              <w:autoSpaceDN w:val="0"/>
              <w:adjustRightInd w:val="0"/>
              <w:ind w:left="539"/>
              <w:contextualSpacing/>
              <w:jc w:val="both"/>
            </w:pPr>
            <w:r>
              <w:t>Wie Z 02.00 (LIAB 1) Zeile 0100</w:t>
            </w:r>
          </w:p>
          <w:p w14:paraId="7FE1B784" w14:textId="77777777" w:rsidR="00696584" w:rsidRDefault="002C4F63">
            <w:pPr>
              <w:pStyle w:val="P68B1DB1-ListParagraph25"/>
              <w:numPr>
                <w:ilvl w:val="0"/>
                <w:numId w:val="54"/>
              </w:numPr>
              <w:autoSpaceDE w:val="0"/>
              <w:autoSpaceDN w:val="0"/>
              <w:adjustRightInd w:val="0"/>
              <w:ind w:left="539" w:hanging="454"/>
              <w:contextualSpacing/>
              <w:jc w:val="both"/>
            </w:pPr>
            <w:r>
              <w:t>Nicht gedeckte vorrangige Einlagen</w:t>
            </w:r>
          </w:p>
          <w:p w14:paraId="7FE1B785" w14:textId="69E9007C" w:rsidR="00696584" w:rsidRDefault="002C4F63">
            <w:pPr>
              <w:pStyle w:val="P68B1DB1-ListParagraph25"/>
              <w:autoSpaceDE w:val="0"/>
              <w:autoSpaceDN w:val="0"/>
              <w:adjustRightInd w:val="0"/>
              <w:ind w:left="539"/>
              <w:jc w:val="both"/>
            </w:pPr>
            <w:r>
              <w:t>Wie Z 02.00 (LIAB 1) Zeile 0310</w:t>
            </w:r>
          </w:p>
          <w:p w14:paraId="7FE1B786" w14:textId="77777777" w:rsidR="00696584" w:rsidRDefault="002C4F63">
            <w:pPr>
              <w:pStyle w:val="P68B1DB1-ListParagraph25"/>
              <w:numPr>
                <w:ilvl w:val="0"/>
                <w:numId w:val="54"/>
              </w:numPr>
              <w:autoSpaceDE w:val="0"/>
              <w:autoSpaceDN w:val="0"/>
              <w:adjustRightInd w:val="0"/>
              <w:ind w:left="539" w:hanging="454"/>
              <w:contextualSpacing/>
              <w:jc w:val="both"/>
            </w:pPr>
            <w:r>
              <w:t>Nicht gedeckte nicht vorrangige Einlagen</w:t>
            </w:r>
          </w:p>
          <w:p w14:paraId="7FE1B787" w14:textId="4FA7AC10" w:rsidR="00696584" w:rsidRDefault="002C4F63">
            <w:pPr>
              <w:pStyle w:val="P68B1DB1-ListParagraph25"/>
              <w:autoSpaceDE w:val="0"/>
              <w:autoSpaceDN w:val="0"/>
              <w:adjustRightInd w:val="0"/>
              <w:ind w:left="539"/>
              <w:jc w:val="both"/>
            </w:pPr>
            <w:r>
              <w:t>Wie Z 02.00 (LIAB 1) Zeile 0320</w:t>
            </w:r>
          </w:p>
          <w:p w14:paraId="7FE1B788" w14:textId="77777777" w:rsidR="00696584" w:rsidRDefault="002C4F63">
            <w:pPr>
              <w:pStyle w:val="P68B1DB1-ListParagraph25"/>
              <w:numPr>
                <w:ilvl w:val="0"/>
                <w:numId w:val="54"/>
              </w:numPr>
              <w:autoSpaceDE w:val="0"/>
              <w:autoSpaceDN w:val="0"/>
              <w:adjustRightInd w:val="0"/>
              <w:ind w:left="539" w:hanging="454"/>
              <w:contextualSpacing/>
              <w:jc w:val="both"/>
            </w:pPr>
            <w:r>
              <w:t>Verbindlichkeiten aus Derivaten (Close-Out-Beträge)</w:t>
            </w:r>
          </w:p>
          <w:p w14:paraId="7FE1B789" w14:textId="5DAB7051" w:rsidR="00696584" w:rsidRDefault="002C4F63">
            <w:pPr>
              <w:pStyle w:val="P68B1DB1-ListParagraph25"/>
              <w:autoSpaceDE w:val="0"/>
              <w:autoSpaceDN w:val="0"/>
              <w:adjustRightInd w:val="0"/>
              <w:ind w:left="539"/>
              <w:jc w:val="both"/>
            </w:pPr>
            <w:r>
              <w:t>Wie Z 02.00 (LIAB 1) Zeile 0330</w:t>
            </w:r>
          </w:p>
          <w:p w14:paraId="7FE1B78A" w14:textId="77777777" w:rsidR="00696584" w:rsidRDefault="002C4F63">
            <w:pPr>
              <w:pStyle w:val="P68B1DB1-ListParagraph25"/>
              <w:numPr>
                <w:ilvl w:val="0"/>
                <w:numId w:val="54"/>
              </w:numPr>
              <w:autoSpaceDE w:val="0"/>
              <w:autoSpaceDN w:val="0"/>
              <w:adjustRightInd w:val="0"/>
              <w:ind w:left="539" w:hanging="454"/>
              <w:contextualSpacing/>
              <w:jc w:val="both"/>
            </w:pPr>
            <w:r>
              <w:t>L.4 Teil der besicherten Verbindlichkeiten, für den keine Sicherheit gestellt wurde</w:t>
            </w:r>
          </w:p>
          <w:p w14:paraId="7FE1B78B" w14:textId="5B0021F4" w:rsidR="00696584" w:rsidRDefault="002C4F63">
            <w:pPr>
              <w:pStyle w:val="P68B1DB1-ListParagraph25"/>
              <w:autoSpaceDE w:val="0"/>
              <w:autoSpaceDN w:val="0"/>
              <w:adjustRightInd w:val="0"/>
              <w:ind w:left="539"/>
              <w:jc w:val="both"/>
            </w:pPr>
            <w:r>
              <w:t>Wie Z 02.00 (LIAB 1) Zeile 0340</w:t>
            </w:r>
          </w:p>
          <w:p w14:paraId="7FE1B78C" w14:textId="77777777" w:rsidR="00696584" w:rsidRDefault="002C4F63">
            <w:pPr>
              <w:pStyle w:val="P68B1DB1-ListParagraph25"/>
              <w:numPr>
                <w:ilvl w:val="0"/>
                <w:numId w:val="54"/>
              </w:numPr>
              <w:autoSpaceDE w:val="0"/>
              <w:autoSpaceDN w:val="0"/>
              <w:adjustRightInd w:val="0"/>
              <w:ind w:left="539" w:hanging="454"/>
              <w:contextualSpacing/>
              <w:jc w:val="both"/>
            </w:pPr>
            <w:r>
              <w:t>Strukturierte Schuldtitel</w:t>
            </w:r>
          </w:p>
          <w:p w14:paraId="7FE1B78D" w14:textId="7DF4D7F4" w:rsidR="00696584" w:rsidRDefault="002C4F63">
            <w:pPr>
              <w:pStyle w:val="P68B1DB1-ListParagraph25"/>
              <w:autoSpaceDE w:val="0"/>
              <w:autoSpaceDN w:val="0"/>
              <w:adjustRightInd w:val="0"/>
              <w:ind w:left="539"/>
              <w:jc w:val="both"/>
            </w:pPr>
            <w:r>
              <w:t>Wie Z 02.00 (LIAB 1) Zeile 0350</w:t>
            </w:r>
          </w:p>
          <w:p w14:paraId="7FE1B78E" w14:textId="77777777" w:rsidR="00696584" w:rsidRDefault="002C4F63">
            <w:pPr>
              <w:pStyle w:val="P68B1DB1-ListParagraph25"/>
              <w:numPr>
                <w:ilvl w:val="0"/>
                <w:numId w:val="54"/>
              </w:numPr>
              <w:autoSpaceDE w:val="0"/>
              <w:autoSpaceDN w:val="0"/>
              <w:adjustRightInd w:val="0"/>
              <w:ind w:left="539" w:hanging="454"/>
              <w:contextualSpacing/>
              <w:jc w:val="both"/>
            </w:pPr>
            <w:r>
              <w:t>Vorrangige unbesicherte Verbindlichkeiten</w:t>
            </w:r>
          </w:p>
          <w:p w14:paraId="7FE1B78F" w14:textId="67CE577E" w:rsidR="00696584" w:rsidRDefault="002C4F63">
            <w:pPr>
              <w:pStyle w:val="P68B1DB1-ListParagraph25"/>
              <w:autoSpaceDE w:val="0"/>
              <w:autoSpaceDN w:val="0"/>
              <w:adjustRightInd w:val="0"/>
              <w:ind w:left="539"/>
              <w:jc w:val="both"/>
            </w:pPr>
            <w:r>
              <w:t>Wie Z 02.00 (LIAB 1) Zeile 0360</w:t>
            </w:r>
          </w:p>
          <w:p w14:paraId="7FE1B790" w14:textId="77777777" w:rsidR="00696584" w:rsidRDefault="002C4F63">
            <w:pPr>
              <w:pStyle w:val="P68B1DB1-ListParagraph25"/>
              <w:numPr>
                <w:ilvl w:val="0"/>
                <w:numId w:val="54"/>
              </w:numPr>
              <w:autoSpaceDE w:val="0"/>
              <w:autoSpaceDN w:val="0"/>
              <w:adjustRightInd w:val="0"/>
              <w:ind w:left="539" w:hanging="454"/>
              <w:contextualSpacing/>
              <w:jc w:val="both"/>
            </w:pPr>
            <w:r>
              <w:t>Vorrangige nicht bevorrechtigte Verbindlichkeiten</w:t>
            </w:r>
          </w:p>
          <w:p w14:paraId="7FE1B791" w14:textId="6BECB3BB" w:rsidR="00696584" w:rsidRDefault="002C4F63">
            <w:pPr>
              <w:pStyle w:val="P68B1DB1-ListParagraph25"/>
              <w:autoSpaceDE w:val="0"/>
              <w:autoSpaceDN w:val="0"/>
              <w:adjustRightInd w:val="0"/>
              <w:ind w:left="539"/>
              <w:contextualSpacing/>
              <w:jc w:val="both"/>
            </w:pPr>
            <w:r>
              <w:t>Wie Z 02.00 (LIAB 1) Zeile 0365</w:t>
            </w:r>
          </w:p>
          <w:p w14:paraId="7FE1B792" w14:textId="77777777" w:rsidR="00696584" w:rsidRDefault="002C4F63">
            <w:pPr>
              <w:pStyle w:val="P68B1DB1-ListParagraph25"/>
              <w:numPr>
                <w:ilvl w:val="0"/>
                <w:numId w:val="54"/>
              </w:numPr>
              <w:autoSpaceDE w:val="0"/>
              <w:autoSpaceDN w:val="0"/>
              <w:adjustRightInd w:val="0"/>
              <w:ind w:left="539" w:hanging="454"/>
              <w:contextualSpacing/>
              <w:jc w:val="both"/>
            </w:pPr>
            <w:r>
              <w:t>Nachrangige Verbindlichkeiten</w:t>
            </w:r>
          </w:p>
          <w:p w14:paraId="7FE1B793" w14:textId="1719A947" w:rsidR="00696584" w:rsidRDefault="002C4F63">
            <w:pPr>
              <w:pStyle w:val="P68B1DB1-ListParagraph25"/>
              <w:autoSpaceDE w:val="0"/>
              <w:autoSpaceDN w:val="0"/>
              <w:adjustRightInd w:val="0"/>
              <w:ind w:left="539"/>
              <w:jc w:val="both"/>
            </w:pPr>
            <w:r>
              <w:t>Wie Z 02.00 (LIAB 1) Zeile 0370</w:t>
            </w:r>
          </w:p>
          <w:p w14:paraId="7FE1B794" w14:textId="77777777" w:rsidR="00696584" w:rsidRDefault="002C4F63">
            <w:pPr>
              <w:pStyle w:val="P68B1DB1-ListParagraph25"/>
              <w:numPr>
                <w:ilvl w:val="0"/>
                <w:numId w:val="54"/>
              </w:numPr>
              <w:autoSpaceDE w:val="0"/>
              <w:autoSpaceDN w:val="0"/>
              <w:adjustRightInd w:val="0"/>
              <w:ind w:left="539" w:hanging="454"/>
              <w:contextualSpacing/>
              <w:jc w:val="both"/>
            </w:pPr>
            <w:r>
              <w:t>Sonstige auf die MREL anrechenbare Verbindlichkeiten</w:t>
            </w:r>
          </w:p>
          <w:p w14:paraId="7FE1B795" w14:textId="18D60D2B" w:rsidR="00696584" w:rsidRDefault="002C4F63">
            <w:pPr>
              <w:pStyle w:val="P68B1DB1-ListParagraph25"/>
              <w:autoSpaceDE w:val="0"/>
              <w:autoSpaceDN w:val="0"/>
              <w:adjustRightInd w:val="0"/>
              <w:ind w:left="539"/>
              <w:jc w:val="both"/>
            </w:pPr>
            <w:r>
              <w:t>Wie Z 02.00 (LIAB 1) Zeile 0380</w:t>
            </w:r>
          </w:p>
          <w:p w14:paraId="7FE1B796" w14:textId="77777777" w:rsidR="00696584" w:rsidRDefault="002C4F63">
            <w:pPr>
              <w:pStyle w:val="P68B1DB1-ListParagraph25"/>
              <w:numPr>
                <w:ilvl w:val="0"/>
                <w:numId w:val="54"/>
              </w:numPr>
              <w:autoSpaceDE w:val="0"/>
              <w:autoSpaceDN w:val="0"/>
              <w:adjustRightInd w:val="0"/>
              <w:ind w:left="539" w:hanging="454"/>
              <w:contextualSpacing/>
              <w:jc w:val="both"/>
            </w:pPr>
            <w:r>
              <w:t>Nichtfinanzielle Verbindlichkeiten</w:t>
            </w:r>
          </w:p>
          <w:p w14:paraId="7FE1B797" w14:textId="03D8AF00" w:rsidR="00696584" w:rsidRDefault="002C4F63">
            <w:pPr>
              <w:pStyle w:val="P68B1DB1-ListParagraph25"/>
              <w:autoSpaceDE w:val="0"/>
              <w:autoSpaceDN w:val="0"/>
              <w:adjustRightInd w:val="0"/>
              <w:ind w:left="539"/>
              <w:jc w:val="both"/>
            </w:pPr>
            <w:r>
              <w:t>Wie Z 02.00 (LIAB 1) Zeile 0390</w:t>
            </w:r>
          </w:p>
          <w:p w14:paraId="7FE1B798" w14:textId="77777777" w:rsidR="00696584" w:rsidRDefault="002C4F63">
            <w:pPr>
              <w:pStyle w:val="P68B1DB1-ListParagraph25"/>
              <w:numPr>
                <w:ilvl w:val="0"/>
                <w:numId w:val="54"/>
              </w:numPr>
              <w:autoSpaceDE w:val="0"/>
              <w:autoSpaceDN w:val="0"/>
              <w:adjustRightInd w:val="0"/>
              <w:ind w:left="539" w:hanging="454"/>
              <w:contextualSpacing/>
              <w:jc w:val="both"/>
            </w:pPr>
            <w:r>
              <w:t>Sonstige Verbindlichkeiten</w:t>
            </w:r>
          </w:p>
          <w:p w14:paraId="7FE1B799" w14:textId="5E01E641" w:rsidR="00696584" w:rsidRDefault="002C4F63">
            <w:pPr>
              <w:pStyle w:val="P68B1DB1-ListParagraph25"/>
              <w:autoSpaceDE w:val="0"/>
              <w:autoSpaceDN w:val="0"/>
              <w:adjustRightInd w:val="0"/>
              <w:ind w:left="539"/>
              <w:jc w:val="both"/>
            </w:pPr>
            <w:r>
              <w:t>Wie Z 02.00 (LIAB 1) Zeile 0400 Verbindlichkeiten, die keinem der vorgenannten Posten zugeordnet werden können</w:t>
            </w:r>
          </w:p>
          <w:p w14:paraId="7FE1B79A" w14:textId="77777777" w:rsidR="00696584" w:rsidRDefault="002C4F63">
            <w:pPr>
              <w:pStyle w:val="P68B1DB1-ListParagraph25"/>
              <w:numPr>
                <w:ilvl w:val="0"/>
                <w:numId w:val="54"/>
              </w:numPr>
              <w:autoSpaceDE w:val="0"/>
              <w:autoSpaceDN w:val="0"/>
              <w:adjustRightInd w:val="0"/>
              <w:ind w:left="539" w:hanging="454"/>
              <w:contextualSpacing/>
              <w:jc w:val="both"/>
            </w:pPr>
            <w:r>
              <w:t>Ergänzungskapital</w:t>
            </w:r>
          </w:p>
          <w:p w14:paraId="7FE1B79B" w14:textId="1DC09C8A" w:rsidR="00696584" w:rsidRDefault="002C4F63">
            <w:pPr>
              <w:pStyle w:val="P68B1DB1-ListParagraph25"/>
              <w:autoSpaceDE w:val="0"/>
              <w:autoSpaceDN w:val="0"/>
              <w:adjustRightInd w:val="0"/>
              <w:ind w:left="539"/>
              <w:jc w:val="both"/>
            </w:pPr>
            <w:r>
              <w:t>Wie Z 02.00 (LIAB 1) Zeile 0530</w:t>
            </w:r>
          </w:p>
          <w:p w14:paraId="7FE1B79C" w14:textId="77777777" w:rsidR="00696584" w:rsidRDefault="002C4F63">
            <w:pPr>
              <w:pStyle w:val="P68B1DB1-ListParagraph25"/>
              <w:numPr>
                <w:ilvl w:val="0"/>
                <w:numId w:val="54"/>
              </w:numPr>
              <w:autoSpaceDE w:val="0"/>
              <w:autoSpaceDN w:val="0"/>
              <w:adjustRightInd w:val="0"/>
              <w:ind w:left="539" w:hanging="454"/>
              <w:contextualSpacing/>
              <w:jc w:val="both"/>
            </w:pPr>
            <w:r>
              <w:t>Zusätzliches Kernkapital</w:t>
            </w:r>
          </w:p>
          <w:p w14:paraId="7FE1B79D" w14:textId="5EB7A3D7" w:rsidR="00696584" w:rsidRDefault="002C4F63">
            <w:pPr>
              <w:pStyle w:val="P68B1DB1-ListParagraph25"/>
              <w:autoSpaceDE w:val="0"/>
              <w:autoSpaceDN w:val="0"/>
              <w:adjustRightInd w:val="0"/>
              <w:ind w:left="539"/>
              <w:jc w:val="both"/>
            </w:pPr>
            <w:r>
              <w:t>Wie Z 02.00 (LIAB 1) Zeile 0520</w:t>
            </w:r>
          </w:p>
          <w:p w14:paraId="7FE1B79E" w14:textId="77777777" w:rsidR="00696584" w:rsidRDefault="002C4F63">
            <w:pPr>
              <w:pStyle w:val="P68B1DB1-ListParagraph25"/>
              <w:numPr>
                <w:ilvl w:val="0"/>
                <w:numId w:val="54"/>
              </w:numPr>
              <w:autoSpaceDE w:val="0"/>
              <w:autoSpaceDN w:val="0"/>
              <w:adjustRightInd w:val="0"/>
              <w:ind w:left="539" w:hanging="454"/>
              <w:contextualSpacing/>
              <w:jc w:val="both"/>
            </w:pPr>
            <w:r>
              <w:t>Hartes Kernkapital (CET1)</w:t>
            </w:r>
          </w:p>
          <w:p w14:paraId="7FE1B79F" w14:textId="3DF796DF" w:rsidR="00696584" w:rsidRDefault="002C4F63">
            <w:pPr>
              <w:pStyle w:val="P68B1DB1-ListParagraph25"/>
              <w:autoSpaceDE w:val="0"/>
              <w:autoSpaceDN w:val="0"/>
              <w:adjustRightInd w:val="0"/>
              <w:ind w:left="539"/>
              <w:jc w:val="both"/>
            </w:pPr>
            <w:r>
              <w:t>Wie Z 02.00 (LIAB 1) Zeile 0510</w:t>
            </w:r>
          </w:p>
          <w:p w14:paraId="7FE1B7A0" w14:textId="77777777" w:rsidR="00696584" w:rsidRDefault="002C4F63">
            <w:pPr>
              <w:pStyle w:val="P68B1DB1-TableParagraph24"/>
              <w:spacing w:before="108"/>
              <w:ind w:left="85"/>
              <w:jc w:val="both"/>
            </w:pPr>
            <w:r>
              <w:t>Gruppeninterne Garantien</w:t>
            </w:r>
          </w:p>
          <w:p w14:paraId="7FE1B7A1" w14:textId="426DD2CE" w:rsidR="00696584" w:rsidRDefault="002C4F63">
            <w:pPr>
              <w:pStyle w:val="P68B1DB1-ListParagraph25"/>
              <w:numPr>
                <w:ilvl w:val="0"/>
                <w:numId w:val="55"/>
              </w:numPr>
              <w:autoSpaceDE w:val="0"/>
              <w:autoSpaceDN w:val="0"/>
              <w:adjustRightInd w:val="0"/>
              <w:ind w:left="539" w:hanging="454"/>
              <w:contextualSpacing/>
              <w:jc w:val="both"/>
            </w:pPr>
            <w:r>
              <w:t>Emissionsgarantien</w:t>
            </w:r>
          </w:p>
          <w:p w14:paraId="7FE1B7A2" w14:textId="77777777" w:rsidR="00696584" w:rsidRDefault="002C4F63">
            <w:pPr>
              <w:pStyle w:val="P68B1DB1-ListParagraph25"/>
              <w:autoSpaceDE w:val="0"/>
              <w:autoSpaceDN w:val="0"/>
              <w:adjustRightInd w:val="0"/>
              <w:ind w:left="539"/>
              <w:jc w:val="both"/>
            </w:pPr>
            <w:r>
              <w:t>Garantien für bestimmte begebene Instrumente/Verbindlichkeiten</w:t>
            </w:r>
          </w:p>
          <w:p w14:paraId="7FE1B7A3" w14:textId="71CD6004" w:rsidR="00696584" w:rsidRDefault="002C4F63">
            <w:pPr>
              <w:pStyle w:val="P68B1DB1-ListParagraph25"/>
              <w:numPr>
                <w:ilvl w:val="0"/>
                <w:numId w:val="55"/>
              </w:numPr>
              <w:autoSpaceDE w:val="0"/>
              <w:autoSpaceDN w:val="0"/>
              <w:adjustRightInd w:val="0"/>
              <w:ind w:left="539" w:hanging="454"/>
              <w:contextualSpacing/>
              <w:jc w:val="both"/>
            </w:pPr>
            <w:r>
              <w:t>Garantien für Gegenparteien</w:t>
            </w:r>
          </w:p>
          <w:p w14:paraId="7FE1B7A4" w14:textId="77777777" w:rsidR="00696584" w:rsidRDefault="002C4F63">
            <w:pPr>
              <w:pStyle w:val="P68B1DB1-ListParagraph25"/>
              <w:autoSpaceDE w:val="0"/>
              <w:autoSpaceDN w:val="0"/>
              <w:adjustRightInd w:val="0"/>
              <w:ind w:left="539"/>
              <w:jc w:val="both"/>
            </w:pPr>
            <w:r>
              <w:t>Garantien, die einer bestimmten Gegenpartei des Instituts gewährt wurden</w:t>
            </w:r>
          </w:p>
          <w:p w14:paraId="7FE1B7A5" w14:textId="50A984E1" w:rsidR="00696584" w:rsidRDefault="002C4F63">
            <w:pPr>
              <w:pStyle w:val="P68B1DB1-ListParagraph25"/>
              <w:numPr>
                <w:ilvl w:val="0"/>
                <w:numId w:val="55"/>
              </w:numPr>
              <w:autoSpaceDE w:val="0"/>
              <w:autoSpaceDN w:val="0"/>
              <w:adjustRightInd w:val="0"/>
              <w:ind w:left="539" w:hanging="454"/>
              <w:contextualSpacing/>
              <w:jc w:val="both"/>
            </w:pPr>
            <w:r>
              <w:t>Unbegrenzte Garantien</w:t>
            </w:r>
          </w:p>
          <w:p w14:paraId="7FE1B7A6" w14:textId="77777777" w:rsidR="00696584" w:rsidRDefault="002C4F63">
            <w:pPr>
              <w:pStyle w:val="P68B1DB1-ListParagraph25"/>
              <w:autoSpaceDE w:val="0"/>
              <w:autoSpaceDN w:val="0"/>
              <w:adjustRightInd w:val="0"/>
              <w:ind w:left="539"/>
              <w:jc w:val="both"/>
            </w:pPr>
            <w:r>
              <w:t xml:space="preserve">Allgemeine Garantien, die nicht auf einen bestimmten Betrag beschränkt sind </w:t>
            </w:r>
          </w:p>
          <w:p w14:paraId="7FE1B7A7" w14:textId="391BAF8D" w:rsidR="00696584" w:rsidRDefault="002C4F63">
            <w:pPr>
              <w:pStyle w:val="P68B1DB1-ListParagraph25"/>
              <w:numPr>
                <w:ilvl w:val="0"/>
                <w:numId w:val="55"/>
              </w:numPr>
              <w:autoSpaceDE w:val="0"/>
              <w:autoSpaceDN w:val="0"/>
              <w:adjustRightInd w:val="0"/>
              <w:ind w:left="539" w:hanging="454"/>
              <w:contextualSpacing/>
              <w:jc w:val="both"/>
            </w:pPr>
            <w:r>
              <w:t>Sonstige Garantien</w:t>
            </w:r>
          </w:p>
          <w:p w14:paraId="7FE1B7A8" w14:textId="77777777" w:rsidR="00696584" w:rsidRDefault="002C4F63">
            <w:pPr>
              <w:pStyle w:val="P68B1DB1-ListParagraph25"/>
              <w:autoSpaceDE w:val="0"/>
              <w:autoSpaceDN w:val="0"/>
              <w:adjustRightInd w:val="0"/>
              <w:ind w:left="539"/>
              <w:jc w:val="both"/>
            </w:pPr>
            <w:r>
              <w:t xml:space="preserve">Garantien, die keiner der vorgenannten Arten zugeordnet werden können </w:t>
            </w:r>
          </w:p>
        </w:tc>
      </w:tr>
      <w:tr w:rsidR="00696584" w14:paraId="7FE1B7AE" w14:textId="77777777">
        <w:tc>
          <w:tcPr>
            <w:tcW w:w="907" w:type="dxa"/>
            <w:tcBorders>
              <w:top w:val="single" w:sz="4" w:space="0" w:color="1A171C"/>
              <w:left w:val="nil"/>
              <w:bottom w:val="single" w:sz="4" w:space="0" w:color="1A171C"/>
              <w:right w:val="single" w:sz="4" w:space="0" w:color="1A171C"/>
            </w:tcBorders>
            <w:vAlign w:val="center"/>
          </w:tcPr>
          <w:p w14:paraId="7FE1B7AA" w14:textId="0E2AA2E7" w:rsidR="00696584" w:rsidRDefault="002C4F63">
            <w:pPr>
              <w:pStyle w:val="P68B1DB1-TableParagraph13"/>
              <w:spacing w:before="106"/>
              <w:ind w:left="-1"/>
            </w:pPr>
            <w:r>
              <w:t>0060-0080</w:t>
            </w:r>
          </w:p>
        </w:tc>
        <w:tc>
          <w:tcPr>
            <w:tcW w:w="8119" w:type="dxa"/>
            <w:tcBorders>
              <w:top w:val="single" w:sz="4" w:space="0" w:color="1A171C"/>
              <w:left w:val="single" w:sz="4" w:space="0" w:color="1A171C"/>
              <w:bottom w:val="single" w:sz="4" w:space="0" w:color="1A171C"/>
              <w:right w:val="nil"/>
            </w:tcBorders>
            <w:vAlign w:val="center"/>
          </w:tcPr>
          <w:p w14:paraId="7FE1B7AB" w14:textId="77777777" w:rsidR="00696584" w:rsidRDefault="002C4F63">
            <w:pPr>
              <w:pStyle w:val="P68B1DB1-TableParagraph14"/>
              <w:spacing w:before="108"/>
              <w:ind w:left="85"/>
              <w:jc w:val="both"/>
              <w:rPr>
                <w:bCs/>
              </w:rPr>
            </w:pPr>
            <w:r>
              <w:t>Ausstehender Betrag</w:t>
            </w:r>
          </w:p>
          <w:p w14:paraId="7FE1B7AC" w14:textId="0BB5F57D" w:rsidR="00696584" w:rsidRDefault="002C4F63">
            <w:pPr>
              <w:pStyle w:val="P68B1DB1-TableParagraph17"/>
              <w:spacing w:before="108"/>
              <w:ind w:left="85"/>
              <w:jc w:val="both"/>
            </w:pPr>
            <w:r>
              <w:t>Für Verbindlichkeiten in Spalte 0050 den ausstehenden Betrag der gruppeninternen Verbindlichkeiten; Für Verbindlichkeiten aus Derivaten die Close-Out-Beträge wie im Meldebogen Z 02.00 (LIAB 1) Zeile 0333.</w:t>
            </w:r>
          </w:p>
          <w:p w14:paraId="7FE1B7AD" w14:textId="75442B42" w:rsidR="00696584" w:rsidRDefault="002C4F63">
            <w:pPr>
              <w:pStyle w:val="P68B1DB1-TableParagraph17"/>
              <w:spacing w:before="108"/>
              <w:ind w:left="85"/>
              <w:jc w:val="both"/>
            </w:pPr>
            <w:r>
              <w:lastRenderedPageBreak/>
              <w:t xml:space="preserve">Für Garantien in Spalte 0050 der maximale potenzielle Betrag künftiger Zahlungen im Rahmen der Garantie </w:t>
            </w:r>
          </w:p>
        </w:tc>
      </w:tr>
      <w:tr w:rsidR="00696584" w14:paraId="7FE1B7B2" w14:textId="77777777">
        <w:tc>
          <w:tcPr>
            <w:tcW w:w="907" w:type="dxa"/>
            <w:tcBorders>
              <w:top w:val="single" w:sz="4" w:space="0" w:color="1A171C"/>
              <w:left w:val="nil"/>
              <w:bottom w:val="single" w:sz="4" w:space="0" w:color="1A171C"/>
              <w:right w:val="single" w:sz="4" w:space="0" w:color="1A171C"/>
            </w:tcBorders>
            <w:vAlign w:val="center"/>
          </w:tcPr>
          <w:p w14:paraId="7FE1B7AF" w14:textId="77777777" w:rsidR="00696584" w:rsidRDefault="002C4F63">
            <w:pPr>
              <w:pStyle w:val="P68B1DB1-TableParagraph13"/>
              <w:spacing w:before="106"/>
              <w:ind w:left="-1"/>
            </w:pPr>
            <w:r>
              <w:lastRenderedPageBreak/>
              <w:t>0070</w:t>
            </w:r>
          </w:p>
        </w:tc>
        <w:tc>
          <w:tcPr>
            <w:tcW w:w="8119" w:type="dxa"/>
            <w:tcBorders>
              <w:top w:val="single" w:sz="4" w:space="0" w:color="1A171C"/>
              <w:left w:val="single" w:sz="4" w:space="0" w:color="1A171C"/>
              <w:bottom w:val="single" w:sz="4" w:space="0" w:color="1A171C"/>
              <w:right w:val="nil"/>
            </w:tcBorders>
            <w:vAlign w:val="center"/>
          </w:tcPr>
          <w:p w14:paraId="7FE1B7B0" w14:textId="0B4BD29D" w:rsidR="00696584" w:rsidRDefault="002C4F63">
            <w:pPr>
              <w:pStyle w:val="P68B1DB1-TableParagraph14"/>
              <w:spacing w:before="108"/>
              <w:ind w:left="85"/>
              <w:jc w:val="both"/>
              <w:rPr>
                <w:bCs/>
              </w:rPr>
            </w:pPr>
            <w:r>
              <w:t>davon:</w:t>
            </w:r>
            <w:r w:rsidR="001E0B2B">
              <w:t xml:space="preserve"> </w:t>
            </w:r>
            <w:r>
              <w:t>dem Recht eines Drittlands unterliegende Beträge</w:t>
            </w:r>
          </w:p>
          <w:p w14:paraId="7FE1B7B1" w14:textId="77777777" w:rsidR="00696584" w:rsidRDefault="002C4F63">
            <w:pPr>
              <w:pStyle w:val="P68B1DB1-TableParagraph13"/>
              <w:spacing w:before="108"/>
              <w:ind w:left="85"/>
              <w:jc w:val="both"/>
              <w:rPr>
                <w:bCs/>
              </w:rPr>
            </w:pPr>
            <w:r>
              <w:t>Der Anteil (Geldbetrag) des ausstehenden Betrags, der dem Recht eines Drittlands unterliegt</w:t>
            </w:r>
          </w:p>
        </w:tc>
      </w:tr>
      <w:tr w:rsidR="00696584" w14:paraId="7FE1B7B6" w14:textId="77777777">
        <w:tc>
          <w:tcPr>
            <w:tcW w:w="907" w:type="dxa"/>
            <w:tcBorders>
              <w:top w:val="single" w:sz="4" w:space="0" w:color="1A171C"/>
              <w:left w:val="nil"/>
              <w:bottom w:val="single" w:sz="4" w:space="0" w:color="1A171C"/>
              <w:right w:val="single" w:sz="4" w:space="0" w:color="1A171C"/>
            </w:tcBorders>
            <w:vAlign w:val="center"/>
          </w:tcPr>
          <w:p w14:paraId="7FE1B7B3" w14:textId="77777777" w:rsidR="00696584" w:rsidRDefault="002C4F63">
            <w:pPr>
              <w:pStyle w:val="P68B1DB1-TableParagraph13"/>
              <w:spacing w:before="106"/>
              <w:ind w:left="-1"/>
            </w:pPr>
            <w:r>
              <w:t>0080</w:t>
            </w:r>
          </w:p>
        </w:tc>
        <w:tc>
          <w:tcPr>
            <w:tcW w:w="8119" w:type="dxa"/>
            <w:tcBorders>
              <w:top w:val="single" w:sz="4" w:space="0" w:color="1A171C"/>
              <w:left w:val="single" w:sz="4" w:space="0" w:color="1A171C"/>
              <w:bottom w:val="single" w:sz="4" w:space="0" w:color="1A171C"/>
              <w:right w:val="nil"/>
            </w:tcBorders>
            <w:vAlign w:val="center"/>
          </w:tcPr>
          <w:p w14:paraId="7FE1B7B4" w14:textId="77777777" w:rsidR="00696584" w:rsidRDefault="002C4F63">
            <w:pPr>
              <w:pStyle w:val="P68B1DB1-TableParagraph14"/>
              <w:spacing w:before="108"/>
              <w:ind w:left="85"/>
              <w:jc w:val="both"/>
              <w:rPr>
                <w:rFonts w:eastAsia="Cambria"/>
              </w:rPr>
            </w:pPr>
            <w:r>
              <w:t>davon: Auf die MREL anrechenbar</w:t>
            </w:r>
          </w:p>
          <w:p w14:paraId="7FE1B7B5" w14:textId="77777777" w:rsidR="00696584" w:rsidRDefault="002C4F63">
            <w:pPr>
              <w:pStyle w:val="TableParagraph"/>
              <w:spacing w:before="108"/>
              <w:ind w:left="85"/>
              <w:jc w:val="both"/>
              <w:rPr>
                <w:rFonts w:ascii="Times New Roman" w:eastAsia="Cambria" w:hAnsi="Times New Roman" w:cs="Times New Roman"/>
                <w:color w:val="000000" w:themeColor="text1"/>
                <w:sz w:val="20"/>
                <w:szCs w:val="20"/>
              </w:rPr>
            </w:pPr>
            <w:r>
              <w:rPr>
                <w:rFonts w:ascii="Times New Roman" w:eastAsia="Cambria" w:hAnsi="Times New Roman" w:cs="Times New Roman"/>
                <w:color w:val="000000" w:themeColor="text1"/>
                <w:sz w:val="20"/>
                <w:szCs w:val="20"/>
              </w:rPr>
              <w:t>Der Betrag der Eigenmittel und berücksichtigungsfähigen Verbindlichkeiten, der die Anforderung von Artikel 45 der Richtlinie 2014/59/EU gemäß Artikel 45e oder 45f der genannten Richtlinie erfüllt.</w:t>
            </w:r>
            <w:r>
              <w:rPr>
                <w:rFonts w:ascii="Times New Roman" w:hAnsi="Times New Roman" w:cs="Times New Roman"/>
              </w:rPr>
              <w:t xml:space="preserve"> </w:t>
            </w:r>
            <w:r>
              <w:rPr>
                <w:rFonts w:ascii="Times New Roman" w:eastAsia="Cambria" w:hAnsi="Times New Roman" w:cs="Times New Roman"/>
                <w:color w:val="000000" w:themeColor="text1"/>
                <w:sz w:val="20"/>
                <w:szCs w:val="20"/>
              </w:rPr>
              <w:t>Es werden nur Eigenmittel und Verbindlichkeiten gemeldet, die die Kriterien des Artikels 45b bzw. des Artikels 45f Absatz 2 der Richtlinie 2014/59/EU erfüllen, wobei gegebenenfalls Artikel 89 Absatz 2 BRRD und Artikel 55 BRRD zu berücksichtigen sind.</w:t>
            </w:r>
          </w:p>
        </w:tc>
      </w:tr>
    </w:tbl>
    <w:p w14:paraId="7FE1B7B7" w14:textId="77777777" w:rsidR="00696584" w:rsidRDefault="00696584">
      <w:pPr>
        <w:jc w:val="both"/>
        <w:rPr>
          <w:rFonts w:ascii="Times New Roman" w:hAnsi="Times New Roman" w:cs="Times New Roman"/>
          <w:color w:val="000000" w:themeColor="text1"/>
          <w:sz w:val="20"/>
          <w:szCs w:val="20"/>
        </w:rPr>
      </w:pPr>
    </w:p>
    <w:p w14:paraId="7FE1B7B8" w14:textId="548121DF" w:rsidR="00696584" w:rsidRDefault="002C4F63">
      <w:pPr>
        <w:pStyle w:val="P68B1DB1-Instructionsberschrift25"/>
        <w:numPr>
          <w:ilvl w:val="1"/>
          <w:numId w:val="49"/>
        </w:numPr>
        <w:ind w:left="357" w:hanging="357"/>
      </w:pPr>
      <w:bookmarkStart w:id="65" w:name="_Toc492542325"/>
      <w:bookmarkStart w:id="66" w:name="_Toc81454183"/>
      <w:bookmarkStart w:id="67" w:name="_Toc209533587"/>
      <w:r>
        <w:t>Wichtige Gegenparteien (LIAB 5 &amp; 6)</w:t>
      </w:r>
      <w:bookmarkEnd w:id="65"/>
      <w:bookmarkEnd w:id="66"/>
      <w:bookmarkEnd w:id="67"/>
    </w:p>
    <w:p w14:paraId="7FE1B7B9" w14:textId="77777777" w:rsidR="00696584" w:rsidRDefault="002C4F63">
      <w:pPr>
        <w:pStyle w:val="Instructionsberschrift3"/>
      </w:pPr>
      <w:r>
        <w:t>Allgemeine Bemerkungen</w:t>
      </w:r>
    </w:p>
    <w:p w14:paraId="7FE1B7BA" w14:textId="403CBD4F" w:rsidR="00696584" w:rsidRDefault="002C4F63">
      <w:pPr>
        <w:pStyle w:val="P68B1DB1-InstructionsText26"/>
        <w:numPr>
          <w:ilvl w:val="0"/>
          <w:numId w:val="232"/>
        </w:numPr>
        <w:spacing w:before="0"/>
      </w:pPr>
      <w:r>
        <w:t>In diesen Meldebögen sind Angaben zu den Verbindlichkeiten gegenüber wichtigen Gegenparteien (Z 05.01) und zu den außerbilanziellen Posten von wichtigen Gegenparteien (Z 05.02) zu machen. Die zu meldende</w:t>
      </w:r>
      <w:r w:rsidR="00896925">
        <w:t>n</w:t>
      </w:r>
      <w:r>
        <w:t xml:space="preserve"> Beträge werden aggregiert, wenn sie dieselbe Gegenpartei und die gleiche Art von Verbindlichkeiten oder außerbilanziellen Posten betreffen.</w:t>
      </w:r>
    </w:p>
    <w:p w14:paraId="7FE1B7BB" w14:textId="77777777" w:rsidR="00696584" w:rsidRDefault="002C4F63">
      <w:pPr>
        <w:pStyle w:val="P68B1DB1-InstructionsText26"/>
        <w:numPr>
          <w:ilvl w:val="0"/>
          <w:numId w:val="232"/>
        </w:numPr>
        <w:spacing w:before="0"/>
      </w:pPr>
      <w:r>
        <w:t>Verbindlichkeiten und außerbilanzielle Posten, für die die Gegenpartei nicht ermittelt werden kann, werden in diesen Meldebögen nicht ausgewiesen. Verbindlichkeiten und außerbilanzielle Posten, deren Gegenpartei ein im Konzernabschluss erfasster Rechtsträger ist, sind nicht zu melden.</w:t>
      </w:r>
    </w:p>
    <w:p w14:paraId="7FE1B7BC" w14:textId="04BE316A" w:rsidR="00696584" w:rsidRDefault="00696584">
      <w:pPr>
        <w:pStyle w:val="InstructionsText2"/>
        <w:numPr>
          <w:ilvl w:val="0"/>
          <w:numId w:val="0"/>
        </w:numPr>
        <w:spacing w:before="0"/>
        <w:ind w:left="753" w:hanging="720"/>
        <w:rPr>
          <w:rFonts w:ascii="Times New Roman" w:hAnsi="Times New Roman" w:cs="Times New Roman"/>
          <w:sz w:val="20"/>
          <w:szCs w:val="20"/>
        </w:rPr>
      </w:pPr>
    </w:p>
    <w:p w14:paraId="7FE1B7BD" w14:textId="77777777" w:rsidR="00696584" w:rsidRDefault="002C4F63">
      <w:pPr>
        <w:pStyle w:val="P68B1DB1-Instructionsberschrift25"/>
        <w:numPr>
          <w:ilvl w:val="1"/>
          <w:numId w:val="49"/>
        </w:numPr>
        <w:ind w:left="357" w:hanging="357"/>
      </w:pPr>
      <w:bookmarkStart w:id="68" w:name="_Toc209533588"/>
      <w:bookmarkStart w:id="69" w:name="_Toc81454184"/>
      <w:r>
        <w:t>Z 05.01 – Verbindlichkeiten gegenüber wichtigen Gegenparteien (MCP 1)</w:t>
      </w:r>
      <w:bookmarkEnd w:id="68"/>
    </w:p>
    <w:p w14:paraId="7FE1B7BE" w14:textId="0F7A6C34" w:rsidR="00696584" w:rsidRDefault="002C4F63">
      <w:pPr>
        <w:pStyle w:val="P68B1DB1-body26"/>
      </w:pPr>
      <w:r>
        <w:t>Erläuterungen zu bestimmten Positionen</w:t>
      </w:r>
      <w:bookmarkEnd w:id="69"/>
    </w:p>
    <w:p w14:paraId="7FE1B7BF" w14:textId="77777777" w:rsidR="00696584" w:rsidRDefault="002C4F63">
      <w:pPr>
        <w:pStyle w:val="P68B1DB1-InstructionsText26"/>
        <w:numPr>
          <w:ilvl w:val="0"/>
          <w:numId w:val="232"/>
        </w:numPr>
        <w:spacing w:before="0"/>
      </w:pPr>
      <w:r>
        <w:t>Die Kombination der Werte der Spalten 0020 und 0060 dieses Meldebogens bildet einen Primärschlüssel, der jeweils eine spezifische Zeile des Meldebogens bezeichnet.</w:t>
      </w:r>
    </w:p>
    <w:tbl>
      <w:tblPr>
        <w:tblW w:w="0" w:type="auto"/>
        <w:tblCellMar>
          <w:top w:w="57" w:type="dxa"/>
          <w:left w:w="57" w:type="dxa"/>
          <w:bottom w:w="57" w:type="dxa"/>
          <w:right w:w="0" w:type="dxa"/>
        </w:tblCellMar>
        <w:tblLook w:val="01E0" w:firstRow="1" w:lastRow="1" w:firstColumn="1" w:lastColumn="1" w:noHBand="0" w:noVBand="0"/>
      </w:tblPr>
      <w:tblGrid>
        <w:gridCol w:w="907"/>
        <w:gridCol w:w="8119"/>
      </w:tblGrid>
      <w:tr w:rsidR="00696584" w14:paraId="7FE1B7C2" w14:textId="77777777">
        <w:trPr>
          <w:tblHeader/>
        </w:trPr>
        <w:tc>
          <w:tcPr>
            <w:tcW w:w="907" w:type="dxa"/>
            <w:tcBorders>
              <w:top w:val="single" w:sz="4" w:space="0" w:color="1A171C"/>
              <w:left w:val="nil"/>
              <w:bottom w:val="single" w:sz="4" w:space="0" w:color="1A171C"/>
              <w:right w:val="single" w:sz="4" w:space="0" w:color="1A171C"/>
            </w:tcBorders>
            <w:shd w:val="clear" w:color="auto" w:fill="E4E5E5"/>
          </w:tcPr>
          <w:p w14:paraId="7FE1B7C0" w14:textId="77777777" w:rsidR="00696584" w:rsidRDefault="002C4F63">
            <w:pPr>
              <w:pStyle w:val="P68B1DB1-TableParagraph13"/>
              <w:spacing w:before="66"/>
              <w:rPr>
                <w:rFonts w:eastAsia="Cambria"/>
              </w:rPr>
            </w:pPr>
            <w:r>
              <w:t>Spalten</w:t>
            </w:r>
          </w:p>
        </w:tc>
        <w:tc>
          <w:tcPr>
            <w:tcW w:w="8119" w:type="dxa"/>
            <w:tcBorders>
              <w:top w:val="single" w:sz="4" w:space="0" w:color="1A171C"/>
              <w:left w:val="single" w:sz="4" w:space="0" w:color="1A171C"/>
              <w:bottom w:val="single" w:sz="4" w:space="0" w:color="1A171C"/>
              <w:right w:val="nil"/>
            </w:tcBorders>
            <w:shd w:val="clear" w:color="auto" w:fill="E4E5E5"/>
          </w:tcPr>
          <w:p w14:paraId="7FE1B7C1" w14:textId="77777777" w:rsidR="00696584" w:rsidRDefault="002C4F63">
            <w:pPr>
              <w:pStyle w:val="P68B1DB1-TableParagraph13"/>
              <w:spacing w:before="66"/>
              <w:ind w:right="1"/>
              <w:jc w:val="center"/>
              <w:rPr>
                <w:rFonts w:eastAsia="Cambria"/>
              </w:rPr>
            </w:pPr>
            <w:r>
              <w:t>Erläuterungen</w:t>
            </w:r>
          </w:p>
        </w:tc>
      </w:tr>
      <w:tr w:rsidR="00696584" w14:paraId="7FE1B7CC" w14:textId="77777777">
        <w:tc>
          <w:tcPr>
            <w:tcW w:w="907" w:type="dxa"/>
            <w:tcBorders>
              <w:top w:val="single" w:sz="4" w:space="0" w:color="1A171C"/>
              <w:left w:val="nil"/>
              <w:bottom w:val="single" w:sz="4" w:space="0" w:color="1A171C"/>
              <w:right w:val="single" w:sz="4" w:space="0" w:color="1A171C"/>
            </w:tcBorders>
            <w:vAlign w:val="center"/>
          </w:tcPr>
          <w:p w14:paraId="7FE1B7C3" w14:textId="77777777" w:rsidR="00696584" w:rsidRDefault="002C4F63">
            <w:pPr>
              <w:pStyle w:val="P68B1DB1-TableParagraph17"/>
              <w:spacing w:before="108"/>
              <w:ind w:left="85"/>
              <w:jc w:val="both"/>
            </w:pPr>
            <w:r>
              <w:t>0010-0050</w:t>
            </w:r>
          </w:p>
        </w:tc>
        <w:tc>
          <w:tcPr>
            <w:tcW w:w="8119" w:type="dxa"/>
            <w:tcBorders>
              <w:top w:val="single" w:sz="4" w:space="0" w:color="1A171C"/>
              <w:left w:val="single" w:sz="4" w:space="0" w:color="1A171C"/>
              <w:bottom w:val="single" w:sz="4" w:space="0" w:color="1A171C"/>
              <w:right w:val="nil"/>
            </w:tcBorders>
            <w:vAlign w:val="center"/>
          </w:tcPr>
          <w:p w14:paraId="7FE1B7C4" w14:textId="77777777" w:rsidR="00696584" w:rsidRDefault="002C4F63">
            <w:pPr>
              <w:pStyle w:val="P68B1DB1-TableParagraph14"/>
              <w:spacing w:before="108"/>
              <w:ind w:left="85"/>
              <w:jc w:val="both"/>
              <w:rPr>
                <w:bCs/>
              </w:rPr>
            </w:pPr>
            <w:r>
              <w:t>Gegenpartei</w:t>
            </w:r>
          </w:p>
          <w:p w14:paraId="7FE1B7C5" w14:textId="77777777" w:rsidR="00696584" w:rsidRDefault="002C4F63">
            <w:pPr>
              <w:pStyle w:val="P68B1DB1-TableParagraph17"/>
              <w:spacing w:before="108"/>
              <w:ind w:left="85"/>
              <w:jc w:val="both"/>
            </w:pPr>
            <w:r>
              <w:t xml:space="preserve">Angaben zu wichtigen Gegenparteien, gegenüber denen Verbindlichkeiten bestehen. </w:t>
            </w:r>
          </w:p>
          <w:p w14:paraId="7FE1B7C6" w14:textId="28D8963F" w:rsidR="00696584" w:rsidRDefault="002C4F63">
            <w:pPr>
              <w:pStyle w:val="P68B1DB1-TableParagraph17"/>
              <w:spacing w:before="108"/>
              <w:ind w:left="85"/>
              <w:jc w:val="both"/>
            </w:pPr>
            <w:r>
              <w:t>Um zu ermitteln, ob es sich bei einer Gegenpartei um eine wichtige Gegenpartei handelt, werden die ausstehenden Beträge aller Verbindlichkeiten des Unternehmens oder der Gruppe, auf die sich die Meldungen beziehen, für jede Gegenpartei oder Gruppe verbundener Kunden summiert, mit Ausnahme der Verbindlichkeiten gegenüber im Konzernabschluss erfassten Unternehmen.</w:t>
            </w:r>
            <w:r w:rsidR="001E0B2B">
              <w:t xml:space="preserve"> </w:t>
            </w:r>
            <w:r>
              <w:t>Die Gegenparteien und Gruppen verbundener Gegenparteien werden nach aggregierten ausstehenden Beträgen geordnet.</w:t>
            </w:r>
          </w:p>
          <w:p w14:paraId="7FE1B7C7" w14:textId="525AEA55" w:rsidR="00696584" w:rsidRDefault="002C4F63">
            <w:pPr>
              <w:pStyle w:val="P68B1DB1-TableParagraph17"/>
              <w:spacing w:before="108"/>
              <w:ind w:left="85"/>
              <w:jc w:val="both"/>
            </w:pPr>
            <w:r>
              <w:t>Die Gegenparteien und Gruppen verbundener Gegenparteien werden nach aggregierten ausstehenden Beträgen geordnet.</w:t>
            </w:r>
            <w:r w:rsidR="001E0B2B">
              <w:t xml:space="preserve"> </w:t>
            </w:r>
            <w:r>
              <w:t>Für die ersten 10 dieser Gegenparteien sind in diesem Meldebogen Angaben zu machen.</w:t>
            </w:r>
          </w:p>
          <w:p w14:paraId="7FE1B7CB" w14:textId="1879B990" w:rsidR="00696584" w:rsidRDefault="002C4F63">
            <w:pPr>
              <w:pStyle w:val="P68B1DB1-TableParagraph17"/>
              <w:spacing w:before="108"/>
              <w:ind w:left="85"/>
              <w:jc w:val="both"/>
              <w:rPr>
                <w:b/>
                <w:bCs/>
              </w:rPr>
            </w:pPr>
            <w:r>
              <w:lastRenderedPageBreak/>
              <w:t xml:space="preserve">Für den Ausdruck „Gruppe verbundener Gegenparteien“ gilt die in Artikel 4 Absatz 1 Nummer 39 der Verordnung (EU) Nr. 575/2013 festgelegte Begriffsbestimmung für „Gruppe verbundener Kunden“. </w:t>
            </w:r>
          </w:p>
        </w:tc>
      </w:tr>
      <w:tr w:rsidR="00696584" w14:paraId="7FE1B7D1" w14:textId="77777777">
        <w:tc>
          <w:tcPr>
            <w:tcW w:w="907" w:type="dxa"/>
            <w:tcBorders>
              <w:top w:val="single" w:sz="4" w:space="0" w:color="1A171C"/>
              <w:left w:val="nil"/>
              <w:bottom w:val="single" w:sz="4" w:space="0" w:color="1A171C"/>
              <w:right w:val="single" w:sz="4" w:space="0" w:color="1A171C"/>
            </w:tcBorders>
            <w:vAlign w:val="center"/>
          </w:tcPr>
          <w:p w14:paraId="7FE1B7CD" w14:textId="77777777" w:rsidR="00696584" w:rsidRDefault="002C4F63">
            <w:pPr>
              <w:pStyle w:val="P68B1DB1-TableParagraph17"/>
              <w:spacing w:before="108"/>
              <w:ind w:left="85"/>
              <w:jc w:val="both"/>
            </w:pPr>
            <w:r>
              <w:lastRenderedPageBreak/>
              <w:t>0010</w:t>
            </w:r>
          </w:p>
        </w:tc>
        <w:tc>
          <w:tcPr>
            <w:tcW w:w="8119" w:type="dxa"/>
            <w:tcBorders>
              <w:top w:val="single" w:sz="4" w:space="0" w:color="1A171C"/>
              <w:left w:val="single" w:sz="4" w:space="0" w:color="1A171C"/>
              <w:bottom w:val="single" w:sz="4" w:space="0" w:color="1A171C"/>
              <w:right w:val="nil"/>
            </w:tcBorders>
            <w:vAlign w:val="center"/>
          </w:tcPr>
          <w:p w14:paraId="7FE1B7CE" w14:textId="77777777" w:rsidR="00696584" w:rsidRDefault="002C4F63">
            <w:pPr>
              <w:pStyle w:val="P68B1DB1-TableParagraph14"/>
              <w:spacing w:before="108"/>
              <w:ind w:left="85"/>
              <w:jc w:val="both"/>
              <w:rPr>
                <w:bCs/>
              </w:rPr>
            </w:pPr>
            <w:r>
              <w:t>Name des Unternehmens</w:t>
            </w:r>
          </w:p>
          <w:p w14:paraId="7FE1B7CF" w14:textId="77777777" w:rsidR="00696584" w:rsidRDefault="002C4F63">
            <w:pPr>
              <w:pStyle w:val="P68B1DB1-Normal18"/>
              <w:spacing w:before="108"/>
              <w:ind w:left="85"/>
              <w:jc w:val="both"/>
            </w:pPr>
            <w:r>
              <w:t>Bezeichnung der wichtigen Gegenpartei bzw. der Gruppe verbundener Kunden.</w:t>
            </w:r>
          </w:p>
          <w:p w14:paraId="7FE1B7D0" w14:textId="77777777" w:rsidR="00696584" w:rsidRDefault="002C4F63">
            <w:pPr>
              <w:pStyle w:val="P68B1DB1-TableParagraph17"/>
              <w:spacing w:before="108"/>
              <w:ind w:left="85"/>
              <w:jc w:val="both"/>
            </w:pPr>
            <w:r>
              <w:t>Im Falle einer Gruppe verbundener Kunden ist die Bezeichnung der Muttergesellschaft oder, wenn die Gruppe verbundener Kunden keine Muttergesellschaft hat, der Firmenname der Gruppe anzugeben.</w:t>
            </w:r>
          </w:p>
        </w:tc>
      </w:tr>
      <w:tr w:rsidR="00696584" w14:paraId="7FE1B7D6" w14:textId="77777777">
        <w:tc>
          <w:tcPr>
            <w:tcW w:w="907" w:type="dxa"/>
            <w:tcBorders>
              <w:top w:val="single" w:sz="4" w:space="0" w:color="1A171C"/>
              <w:left w:val="nil"/>
              <w:bottom w:val="single" w:sz="4" w:space="0" w:color="1A171C"/>
              <w:right w:val="single" w:sz="4" w:space="0" w:color="1A171C"/>
            </w:tcBorders>
            <w:vAlign w:val="center"/>
          </w:tcPr>
          <w:p w14:paraId="7FE1B7D2" w14:textId="77777777" w:rsidR="00696584" w:rsidRDefault="002C4F63">
            <w:pPr>
              <w:pStyle w:val="P68B1DB1-TableParagraph17"/>
              <w:spacing w:before="108"/>
              <w:ind w:left="85"/>
              <w:jc w:val="both"/>
            </w:pPr>
            <w:r>
              <w:t>0020</w:t>
            </w:r>
          </w:p>
        </w:tc>
        <w:tc>
          <w:tcPr>
            <w:tcW w:w="8119" w:type="dxa"/>
            <w:tcBorders>
              <w:top w:val="single" w:sz="4" w:space="0" w:color="1A171C"/>
              <w:left w:val="single" w:sz="4" w:space="0" w:color="1A171C"/>
              <w:bottom w:val="single" w:sz="4" w:space="0" w:color="1A171C"/>
              <w:right w:val="nil"/>
            </w:tcBorders>
            <w:vAlign w:val="center"/>
          </w:tcPr>
          <w:p w14:paraId="7FE1B7D3" w14:textId="753758F0" w:rsidR="00696584" w:rsidRDefault="002C4F63">
            <w:pPr>
              <w:pStyle w:val="P68B1DB1-TableParagraph14"/>
              <w:spacing w:before="108"/>
              <w:ind w:left="85"/>
              <w:jc w:val="both"/>
              <w:rPr>
                <w:bCs/>
              </w:rPr>
            </w:pPr>
            <w:r>
              <w:t>Code</w:t>
            </w:r>
          </w:p>
          <w:p w14:paraId="188AB748" w14:textId="77777777" w:rsidR="00696584" w:rsidRDefault="002C4F63">
            <w:pPr>
              <w:pStyle w:val="P68B1DB1-TableParagraph17"/>
              <w:spacing w:before="108"/>
            </w:pPr>
            <w:r>
              <w:t xml:space="preserve">Kennung der wichtigen Gegenpartei bzw. der Gruppe verbundener Kunden. </w:t>
            </w:r>
          </w:p>
          <w:p w14:paraId="0DD02B7A" w14:textId="4FE17D24" w:rsidR="00696584" w:rsidRDefault="002C4F63">
            <w:pPr>
              <w:pStyle w:val="P68B1DB1-TableParagraph13"/>
              <w:spacing w:before="108"/>
              <w:rPr>
                <w:bCs/>
              </w:rPr>
            </w:pPr>
            <w:r>
              <w:t>Bei Instituten mit Rechtsträgerkennung (LEI) der 20-stellige alphanumerische LEI-Code;</w:t>
            </w:r>
          </w:p>
          <w:p w14:paraId="7FE1B7D4" w14:textId="10D08A5A" w:rsidR="00696584" w:rsidRDefault="002C4F63">
            <w:pPr>
              <w:pStyle w:val="P68B1DB1-TableParagraph13"/>
              <w:spacing w:before="108"/>
              <w:jc w:val="both"/>
              <w:rPr>
                <w:rFonts w:eastAsia="Cambria"/>
              </w:rPr>
            </w:pPr>
            <w:r>
              <w:t>Falls nicht verfügbar, ist der MFI-Code oder ein in der Union einheitlicher Code zu verwenden.</w:t>
            </w:r>
          </w:p>
          <w:p w14:paraId="7FE1B7D5" w14:textId="77777777" w:rsidR="00696584" w:rsidRDefault="002C4F63">
            <w:pPr>
              <w:pStyle w:val="P68B1DB1-TableParagraph17"/>
              <w:spacing w:before="108"/>
              <w:ind w:left="85"/>
              <w:jc w:val="both"/>
            </w:pPr>
            <w:r>
              <w:t>Der Code ist spezifisch und wird durchgängig in allen Meldebögen verwendet.</w:t>
            </w:r>
          </w:p>
        </w:tc>
      </w:tr>
      <w:tr w:rsidR="00696584" w14:paraId="7FE1B7DB" w14:textId="77777777">
        <w:tc>
          <w:tcPr>
            <w:tcW w:w="907" w:type="dxa"/>
            <w:tcBorders>
              <w:top w:val="single" w:sz="4" w:space="0" w:color="1A171C"/>
              <w:left w:val="nil"/>
              <w:bottom w:val="single" w:sz="4" w:space="0" w:color="1A171C"/>
              <w:right w:val="single" w:sz="4" w:space="0" w:color="1A171C"/>
            </w:tcBorders>
            <w:vAlign w:val="center"/>
          </w:tcPr>
          <w:p w14:paraId="7FE1B7D7" w14:textId="77777777" w:rsidR="00696584" w:rsidRDefault="002C4F63">
            <w:pPr>
              <w:pStyle w:val="P68B1DB1-TableParagraph17"/>
              <w:spacing w:before="108"/>
              <w:ind w:left="85"/>
              <w:jc w:val="both"/>
            </w:pPr>
            <w:r>
              <w:t>0025</w:t>
            </w:r>
          </w:p>
        </w:tc>
        <w:tc>
          <w:tcPr>
            <w:tcW w:w="8119" w:type="dxa"/>
            <w:tcBorders>
              <w:top w:val="single" w:sz="4" w:space="0" w:color="1A171C"/>
              <w:left w:val="single" w:sz="4" w:space="0" w:color="1A171C"/>
              <w:bottom w:val="single" w:sz="4" w:space="0" w:color="1A171C"/>
              <w:right w:val="nil"/>
            </w:tcBorders>
            <w:vAlign w:val="center"/>
          </w:tcPr>
          <w:p w14:paraId="7FE1B7D8" w14:textId="77777777" w:rsidR="00696584" w:rsidRDefault="002C4F63">
            <w:pPr>
              <w:pStyle w:val="P68B1DB1-TableParagraph14"/>
              <w:spacing w:before="108"/>
              <w:ind w:left="85"/>
              <w:jc w:val="both"/>
              <w:rPr>
                <w:bCs/>
              </w:rPr>
            </w:pPr>
            <w:r>
              <w:t>Art des Codes</w:t>
            </w:r>
          </w:p>
          <w:p w14:paraId="2BEBBD8E" w14:textId="55A001F3" w:rsidR="00696584" w:rsidRDefault="002C4F63">
            <w:pPr>
              <w:pStyle w:val="P68B1DB1-TableParagraph13"/>
              <w:spacing w:before="108"/>
              <w:rPr>
                <w:bCs/>
              </w:rPr>
            </w:pPr>
            <w:r>
              <w:t>Auswahl unter folgenden Optionen: „LEI-Code“, „MFI-Code“ oder „Andere Art der Kennung als LEI-Code oder MFI-Code“.</w:t>
            </w:r>
          </w:p>
          <w:p w14:paraId="5CA49443" w14:textId="30D8A3AF" w:rsidR="00696584" w:rsidRDefault="002C4F63">
            <w:pPr>
              <w:pStyle w:val="P68B1DB1-TableParagraph13"/>
              <w:spacing w:before="108" w:line="276" w:lineRule="auto"/>
              <w:ind w:left="85"/>
              <w:jc w:val="both"/>
              <w:rPr>
                <w:color w:val="000000"/>
              </w:rPr>
            </w:pPr>
            <w:r>
              <w:t>Die Identifizierung der Unternehmen erfolgt über die Meldebögen hinweg einheitlich.</w:t>
            </w:r>
          </w:p>
          <w:p w14:paraId="7FE1B7DA" w14:textId="4204707F" w:rsidR="00696584" w:rsidRDefault="00696584">
            <w:pPr>
              <w:pStyle w:val="TableParagraph"/>
              <w:spacing w:before="108"/>
              <w:rPr>
                <w:rFonts w:ascii="Times New Roman" w:hAnsi="Times New Roman" w:cs="Times New Roman"/>
                <w:color w:val="000000" w:themeColor="text1"/>
                <w:sz w:val="20"/>
                <w:szCs w:val="20"/>
              </w:rPr>
            </w:pPr>
          </w:p>
        </w:tc>
      </w:tr>
      <w:tr w:rsidR="00696584" w14:paraId="7FE1B7DF" w14:textId="77777777">
        <w:tc>
          <w:tcPr>
            <w:tcW w:w="907" w:type="dxa"/>
            <w:tcBorders>
              <w:top w:val="single" w:sz="4" w:space="0" w:color="1A171C"/>
              <w:left w:val="nil"/>
              <w:bottom w:val="single" w:sz="4" w:space="0" w:color="1A171C"/>
              <w:right w:val="single" w:sz="4" w:space="0" w:color="1A171C"/>
            </w:tcBorders>
            <w:vAlign w:val="center"/>
          </w:tcPr>
          <w:p w14:paraId="7FE1B7DC" w14:textId="77777777" w:rsidR="00696584" w:rsidRDefault="002C4F63">
            <w:pPr>
              <w:pStyle w:val="P68B1DB1-TableParagraph17"/>
              <w:spacing w:before="108"/>
              <w:ind w:left="85"/>
              <w:jc w:val="both"/>
            </w:pPr>
            <w:r>
              <w:t>0030</w:t>
            </w:r>
          </w:p>
        </w:tc>
        <w:tc>
          <w:tcPr>
            <w:tcW w:w="8119" w:type="dxa"/>
            <w:tcBorders>
              <w:top w:val="single" w:sz="4" w:space="0" w:color="1A171C"/>
              <w:left w:val="single" w:sz="4" w:space="0" w:color="1A171C"/>
              <w:bottom w:val="single" w:sz="4" w:space="0" w:color="1A171C"/>
              <w:right w:val="nil"/>
            </w:tcBorders>
            <w:vAlign w:val="center"/>
          </w:tcPr>
          <w:p w14:paraId="7FE1B7DD" w14:textId="77777777" w:rsidR="00696584" w:rsidRDefault="002C4F63">
            <w:pPr>
              <w:pStyle w:val="P68B1DB1-TableParagraph14"/>
              <w:spacing w:before="108"/>
              <w:ind w:left="85"/>
              <w:jc w:val="both"/>
              <w:rPr>
                <w:bCs/>
              </w:rPr>
            </w:pPr>
            <w:r>
              <w:t>Gruppe oder einzeln</w:t>
            </w:r>
          </w:p>
          <w:p w14:paraId="4E4D0057" w14:textId="77777777" w:rsidR="00696584" w:rsidRDefault="002C4F63">
            <w:pPr>
              <w:pStyle w:val="P68B1DB1-Normal18"/>
              <w:ind w:left="85"/>
            </w:pPr>
            <w:r>
              <w:t>Die Institution sollte Folgendes melden:</w:t>
            </w:r>
          </w:p>
          <w:p w14:paraId="0242F822" w14:textId="675BD5D6" w:rsidR="00696584" w:rsidRDefault="002C4F63">
            <w:pPr>
              <w:pStyle w:val="P68B1DB1-ListParagraph25"/>
              <w:numPr>
                <w:ilvl w:val="0"/>
                <w:numId w:val="297"/>
              </w:numPr>
            </w:pPr>
            <w:r>
              <w:t>Einzelne Gegenparteien;</w:t>
            </w:r>
          </w:p>
          <w:p w14:paraId="7FE1B7DE" w14:textId="6F55D54C" w:rsidR="00696584" w:rsidRDefault="002C4F63">
            <w:pPr>
              <w:pStyle w:val="P68B1DB1-ListParagraph25"/>
              <w:numPr>
                <w:ilvl w:val="0"/>
                <w:numId w:val="297"/>
              </w:numPr>
            </w:pPr>
            <w:r>
              <w:t>Gruppen verbundener Kunden.</w:t>
            </w:r>
          </w:p>
        </w:tc>
      </w:tr>
      <w:tr w:rsidR="00696584" w14:paraId="7FE1B7E4" w14:textId="77777777">
        <w:tc>
          <w:tcPr>
            <w:tcW w:w="907" w:type="dxa"/>
            <w:tcBorders>
              <w:top w:val="single" w:sz="4" w:space="0" w:color="1A171C"/>
              <w:left w:val="nil"/>
              <w:bottom w:val="single" w:sz="4" w:space="0" w:color="1A171C"/>
              <w:right w:val="single" w:sz="4" w:space="0" w:color="1A171C"/>
            </w:tcBorders>
            <w:vAlign w:val="center"/>
          </w:tcPr>
          <w:p w14:paraId="7FE1B7E0" w14:textId="77777777" w:rsidR="00696584" w:rsidRDefault="002C4F63">
            <w:pPr>
              <w:pStyle w:val="P68B1DB1-TableParagraph17"/>
              <w:spacing w:before="108"/>
              <w:ind w:left="85"/>
              <w:jc w:val="both"/>
            </w:pPr>
            <w:r>
              <w:t>0040</w:t>
            </w:r>
          </w:p>
        </w:tc>
        <w:tc>
          <w:tcPr>
            <w:tcW w:w="8119" w:type="dxa"/>
            <w:tcBorders>
              <w:top w:val="single" w:sz="4" w:space="0" w:color="1A171C"/>
              <w:left w:val="single" w:sz="4" w:space="0" w:color="1A171C"/>
              <w:bottom w:val="single" w:sz="4" w:space="0" w:color="1A171C"/>
              <w:right w:val="nil"/>
            </w:tcBorders>
            <w:vAlign w:val="center"/>
          </w:tcPr>
          <w:p w14:paraId="7FE1B7E1" w14:textId="77777777" w:rsidR="00696584" w:rsidRDefault="002C4F63">
            <w:pPr>
              <w:pStyle w:val="P68B1DB1-TableParagraph14"/>
              <w:spacing w:before="108"/>
              <w:ind w:left="85"/>
              <w:jc w:val="both"/>
              <w:rPr>
                <w:bCs/>
              </w:rPr>
            </w:pPr>
            <w:r>
              <w:t>Land</w:t>
            </w:r>
          </w:p>
          <w:p w14:paraId="7FE1B7E2" w14:textId="49276D40" w:rsidR="00696584" w:rsidRDefault="002C4F63">
            <w:pPr>
              <w:pStyle w:val="P68B1DB1-Normal18"/>
              <w:spacing w:before="108"/>
              <w:ind w:left="85"/>
              <w:contextualSpacing/>
              <w:jc w:val="both"/>
            </w:pPr>
            <w:r>
              <w:t xml:space="preserve">Alpha-2-Ländercode nach ISO 3166-1 des </w:t>
            </w:r>
            <w:r w:rsidR="00F1241E">
              <w:t>Sitzstaat</w:t>
            </w:r>
            <w:r>
              <w:t xml:space="preserve">es der Gegenpartei. Für internationale Organisationen ist der Pseudo-ISO-Code anzugeben (siehe neueste Ausgabe des Zahlungsbilanz-Vademekums von Eurostat). </w:t>
            </w:r>
          </w:p>
          <w:p w14:paraId="7FE1B7E3" w14:textId="77777777" w:rsidR="00696584" w:rsidRDefault="002C4F63">
            <w:pPr>
              <w:pStyle w:val="P68B1DB1-TableParagraph17"/>
              <w:spacing w:before="108"/>
              <w:ind w:left="85"/>
              <w:jc w:val="both"/>
            </w:pPr>
            <w:r>
              <w:t xml:space="preserve">Es ist das Land des eingetragenen Geschäftssitzes der Gegenpartei anzugeben. Bei Gruppen verbundener Kunden ist das Gründungland der Muttergesellschaft anzugeben. </w:t>
            </w:r>
          </w:p>
        </w:tc>
      </w:tr>
      <w:tr w:rsidR="00696584" w14:paraId="7FE1B7EF" w14:textId="77777777">
        <w:tc>
          <w:tcPr>
            <w:tcW w:w="907" w:type="dxa"/>
            <w:tcBorders>
              <w:top w:val="single" w:sz="4" w:space="0" w:color="1A171C"/>
              <w:left w:val="nil"/>
              <w:bottom w:val="single" w:sz="4" w:space="0" w:color="1A171C"/>
              <w:right w:val="single" w:sz="4" w:space="0" w:color="1A171C"/>
            </w:tcBorders>
            <w:vAlign w:val="center"/>
          </w:tcPr>
          <w:p w14:paraId="7FE1B7E5" w14:textId="77777777" w:rsidR="00696584" w:rsidRDefault="002C4F63">
            <w:pPr>
              <w:pStyle w:val="P68B1DB1-TableParagraph17"/>
              <w:spacing w:before="108"/>
              <w:ind w:left="85"/>
              <w:jc w:val="both"/>
            </w:pPr>
            <w:r>
              <w:t>0050</w:t>
            </w:r>
          </w:p>
        </w:tc>
        <w:tc>
          <w:tcPr>
            <w:tcW w:w="8119" w:type="dxa"/>
            <w:tcBorders>
              <w:top w:val="single" w:sz="4" w:space="0" w:color="1A171C"/>
              <w:left w:val="single" w:sz="4" w:space="0" w:color="1A171C"/>
              <w:bottom w:val="single" w:sz="4" w:space="0" w:color="1A171C"/>
              <w:right w:val="nil"/>
            </w:tcBorders>
            <w:vAlign w:val="center"/>
          </w:tcPr>
          <w:p w14:paraId="7FE1B7E6" w14:textId="77777777" w:rsidR="00696584" w:rsidRDefault="002C4F63">
            <w:pPr>
              <w:pStyle w:val="P68B1DB1-TableParagraph14"/>
              <w:spacing w:before="108"/>
              <w:ind w:left="85"/>
              <w:jc w:val="both"/>
              <w:rPr>
                <w:bCs/>
              </w:rPr>
            </w:pPr>
            <w:r>
              <w:t>Sektor</w:t>
            </w:r>
          </w:p>
          <w:p w14:paraId="7FE1B7E7" w14:textId="77777777" w:rsidR="00696584" w:rsidRDefault="002C4F63">
            <w:pPr>
              <w:pStyle w:val="P68B1DB1-TableParagraph17"/>
              <w:spacing w:before="108"/>
              <w:ind w:left="85"/>
              <w:jc w:val="both"/>
            </w:pPr>
            <w:r>
              <w:t>Jeder Gegenpartei ist auf der Grundlage der Branchenklassen nach FINREP (Anhang V Teil 1 Kapitel 6) eine der folgenden Branchen zuzuweisen:</w:t>
            </w:r>
          </w:p>
          <w:p w14:paraId="7FE1B7E8" w14:textId="77777777" w:rsidR="00696584" w:rsidRDefault="002C4F63">
            <w:pPr>
              <w:pStyle w:val="P68B1DB1-List127"/>
              <w:numPr>
                <w:ilvl w:val="0"/>
                <w:numId w:val="64"/>
              </w:numPr>
            </w:pPr>
            <w:r>
              <w:t>Zentralbanken</w:t>
            </w:r>
          </w:p>
          <w:p w14:paraId="7FE1B7E9" w14:textId="77777777" w:rsidR="00696584" w:rsidRDefault="002C4F63">
            <w:pPr>
              <w:pStyle w:val="P68B1DB1-List127"/>
              <w:numPr>
                <w:ilvl w:val="0"/>
                <w:numId w:val="64"/>
              </w:numPr>
            </w:pPr>
            <w:r>
              <w:t>Sektor Staat</w:t>
            </w:r>
          </w:p>
          <w:p w14:paraId="7FE1B7EA" w14:textId="77777777" w:rsidR="00696584" w:rsidRDefault="002C4F63">
            <w:pPr>
              <w:pStyle w:val="P68B1DB1-List127"/>
              <w:numPr>
                <w:ilvl w:val="0"/>
                <w:numId w:val="64"/>
              </w:numPr>
            </w:pPr>
            <w:r>
              <w:t xml:space="preserve">Kreditinstitute: </w:t>
            </w:r>
          </w:p>
          <w:p w14:paraId="7FE1B7EB" w14:textId="77777777" w:rsidR="00696584" w:rsidRDefault="002C4F63">
            <w:pPr>
              <w:pStyle w:val="P68B1DB1-List127"/>
              <w:numPr>
                <w:ilvl w:val="0"/>
                <w:numId w:val="64"/>
              </w:numPr>
            </w:pPr>
            <w:r>
              <w:t>Sonstige finanzielle Kapitalgesellschaften</w:t>
            </w:r>
          </w:p>
          <w:p w14:paraId="7FE1B7EC" w14:textId="77777777" w:rsidR="00696584" w:rsidRDefault="002C4F63">
            <w:pPr>
              <w:pStyle w:val="P68B1DB1-List127"/>
              <w:numPr>
                <w:ilvl w:val="0"/>
                <w:numId w:val="64"/>
              </w:numPr>
            </w:pPr>
            <w:r>
              <w:t>Nichtfinanzielle Kapitalgesellschaften</w:t>
            </w:r>
          </w:p>
          <w:p w14:paraId="7FE1B7ED" w14:textId="77777777" w:rsidR="00696584" w:rsidRDefault="002C4F63">
            <w:pPr>
              <w:pStyle w:val="P68B1DB1-List127"/>
              <w:numPr>
                <w:ilvl w:val="0"/>
                <w:numId w:val="64"/>
              </w:numPr>
            </w:pPr>
            <w:r>
              <w:t>Private Haushalte</w:t>
            </w:r>
          </w:p>
          <w:p w14:paraId="7FE1B7EE" w14:textId="77777777" w:rsidR="00696584" w:rsidRDefault="002C4F63">
            <w:pPr>
              <w:pStyle w:val="P68B1DB1-TableParagraph17"/>
              <w:spacing w:before="108"/>
              <w:ind w:left="85"/>
              <w:jc w:val="both"/>
            </w:pPr>
            <w:r>
              <w:t>Bei Gruppen verbundener Kunden wird keine Branche gemeldet.</w:t>
            </w:r>
          </w:p>
        </w:tc>
      </w:tr>
      <w:tr w:rsidR="00696584" w14:paraId="7FE1B800" w14:textId="77777777">
        <w:tc>
          <w:tcPr>
            <w:tcW w:w="907" w:type="dxa"/>
            <w:tcBorders>
              <w:top w:val="single" w:sz="4" w:space="0" w:color="1A171C"/>
              <w:left w:val="nil"/>
              <w:bottom w:val="single" w:sz="4" w:space="0" w:color="1A171C"/>
              <w:right w:val="single" w:sz="4" w:space="0" w:color="1A171C"/>
            </w:tcBorders>
            <w:vAlign w:val="center"/>
          </w:tcPr>
          <w:p w14:paraId="7FE1B7F0" w14:textId="77777777" w:rsidR="00696584" w:rsidRDefault="002C4F63">
            <w:pPr>
              <w:pStyle w:val="P68B1DB1-TableParagraph17"/>
              <w:spacing w:before="108"/>
              <w:ind w:left="85"/>
              <w:jc w:val="both"/>
            </w:pPr>
            <w:r>
              <w:t>0060</w:t>
            </w:r>
          </w:p>
        </w:tc>
        <w:tc>
          <w:tcPr>
            <w:tcW w:w="8119" w:type="dxa"/>
            <w:tcBorders>
              <w:top w:val="single" w:sz="4" w:space="0" w:color="1A171C"/>
              <w:left w:val="single" w:sz="4" w:space="0" w:color="1A171C"/>
              <w:bottom w:val="single" w:sz="4" w:space="0" w:color="1A171C"/>
              <w:right w:val="nil"/>
            </w:tcBorders>
            <w:vAlign w:val="center"/>
          </w:tcPr>
          <w:p w14:paraId="7FE1B7F1" w14:textId="77777777" w:rsidR="00696584" w:rsidRDefault="002C4F63">
            <w:pPr>
              <w:pStyle w:val="P68B1DB1-TableParagraph14"/>
              <w:spacing w:before="108"/>
              <w:ind w:left="85"/>
              <w:jc w:val="both"/>
              <w:rPr>
                <w:bCs/>
              </w:rPr>
            </w:pPr>
            <w:r>
              <w:t>Art</w:t>
            </w:r>
          </w:p>
          <w:p w14:paraId="7FE1B7F2" w14:textId="43CE2DD3" w:rsidR="00696584" w:rsidRDefault="002C4F63">
            <w:pPr>
              <w:pStyle w:val="P68B1DB1-Normal18"/>
              <w:spacing w:before="108"/>
              <w:ind w:left="85"/>
              <w:jc w:val="both"/>
            </w:pPr>
            <w:r>
              <w:t>Art der Verbindlichkeit gemäß Meldebogen Z 02.00 – Struktur der Verbindlichkeiten (LIAB 1):</w:t>
            </w:r>
          </w:p>
          <w:p w14:paraId="7FE1B7F3" w14:textId="4AE4B095" w:rsidR="00696584" w:rsidRDefault="002C4F63">
            <w:pPr>
              <w:pStyle w:val="P68B1DB1-ListParagraph25"/>
              <w:numPr>
                <w:ilvl w:val="0"/>
                <w:numId w:val="298"/>
              </w:numPr>
              <w:spacing w:before="108"/>
              <w:jc w:val="both"/>
            </w:pPr>
            <w:r>
              <w:t>Vom Bail-in ausgeschlossene Verbindlichkeiten</w:t>
            </w:r>
          </w:p>
          <w:p w14:paraId="7FE1B7F4" w14:textId="4257143A" w:rsidR="00696584" w:rsidRDefault="002C4F63">
            <w:pPr>
              <w:pStyle w:val="P68B1DB1-ListParagraph25"/>
              <w:numPr>
                <w:ilvl w:val="0"/>
                <w:numId w:val="298"/>
              </w:numPr>
              <w:spacing w:before="108"/>
              <w:jc w:val="both"/>
            </w:pPr>
            <w:r>
              <w:lastRenderedPageBreak/>
              <w:t>Nicht gedeckte vorrangige Einlagen</w:t>
            </w:r>
          </w:p>
          <w:p w14:paraId="7FE1B7F5" w14:textId="21AFD595" w:rsidR="00696584" w:rsidRDefault="002C4F63">
            <w:pPr>
              <w:pStyle w:val="P68B1DB1-ListParagraph25"/>
              <w:numPr>
                <w:ilvl w:val="0"/>
                <w:numId w:val="298"/>
              </w:numPr>
              <w:spacing w:before="108"/>
              <w:jc w:val="both"/>
            </w:pPr>
            <w:r>
              <w:t>Nicht gedeckte nicht vorrangige Einlagen</w:t>
            </w:r>
          </w:p>
          <w:p w14:paraId="7FE1B7F6" w14:textId="71A166CE" w:rsidR="00696584" w:rsidRDefault="002C4F63">
            <w:pPr>
              <w:pStyle w:val="P68B1DB1-ListParagraph25"/>
              <w:numPr>
                <w:ilvl w:val="0"/>
                <w:numId w:val="298"/>
              </w:numPr>
              <w:spacing w:before="108"/>
              <w:jc w:val="both"/>
            </w:pPr>
            <w:r>
              <w:t>Verbindlichkeiten aus Derivaten</w:t>
            </w:r>
          </w:p>
          <w:p w14:paraId="7FE1B7F7" w14:textId="57F1D715" w:rsidR="00696584" w:rsidRDefault="002C4F63">
            <w:pPr>
              <w:pStyle w:val="P68B1DB1-ListParagraph25"/>
              <w:numPr>
                <w:ilvl w:val="0"/>
                <w:numId w:val="298"/>
              </w:numPr>
              <w:spacing w:before="108"/>
              <w:jc w:val="both"/>
            </w:pPr>
            <w:r>
              <w:t>Besicherte Verbindlichkeiten, für die keine Sicherheit gestellt wurde</w:t>
            </w:r>
          </w:p>
          <w:p w14:paraId="7FE1B7F8" w14:textId="73D53058" w:rsidR="00696584" w:rsidRDefault="002C4F63">
            <w:pPr>
              <w:pStyle w:val="P68B1DB1-ListParagraph25"/>
              <w:numPr>
                <w:ilvl w:val="0"/>
                <w:numId w:val="298"/>
              </w:numPr>
              <w:spacing w:before="108"/>
              <w:jc w:val="both"/>
            </w:pPr>
            <w:r>
              <w:t>Strukturierte Schuldtitel</w:t>
            </w:r>
          </w:p>
          <w:p w14:paraId="7FE1B7F9" w14:textId="54AC9980" w:rsidR="00696584" w:rsidRDefault="002C4F63">
            <w:pPr>
              <w:pStyle w:val="P68B1DB1-ListParagraph25"/>
              <w:numPr>
                <w:ilvl w:val="0"/>
                <w:numId w:val="298"/>
              </w:numPr>
              <w:spacing w:before="108"/>
              <w:jc w:val="both"/>
            </w:pPr>
            <w:r>
              <w:t>Vorrangige unbesicherte Verbindlichkeiten</w:t>
            </w:r>
          </w:p>
          <w:p w14:paraId="7FE1B7FA" w14:textId="7C89B550" w:rsidR="00696584" w:rsidRDefault="002C4F63">
            <w:pPr>
              <w:pStyle w:val="P68B1DB1-ListParagraph25"/>
              <w:numPr>
                <w:ilvl w:val="0"/>
                <w:numId w:val="298"/>
              </w:numPr>
              <w:spacing w:before="108"/>
              <w:jc w:val="both"/>
            </w:pPr>
            <w:r>
              <w:t>Vorrangige nicht bevorrechtigte Verbindlichkeiten</w:t>
            </w:r>
          </w:p>
          <w:p w14:paraId="7FE1B7FB" w14:textId="49FDBAE5" w:rsidR="00696584" w:rsidRDefault="002C4F63">
            <w:pPr>
              <w:pStyle w:val="P68B1DB1-ListParagraph25"/>
              <w:numPr>
                <w:ilvl w:val="0"/>
                <w:numId w:val="298"/>
              </w:numPr>
              <w:spacing w:before="108"/>
              <w:jc w:val="both"/>
            </w:pPr>
            <w:r>
              <w:t>(Nicht zu den Eigenmitteln gehörende) nachrangige Verbindlichkeiten</w:t>
            </w:r>
          </w:p>
          <w:p w14:paraId="7FE1B7FC" w14:textId="25F7AE59" w:rsidR="00696584" w:rsidRDefault="002C4F63">
            <w:pPr>
              <w:pStyle w:val="P68B1DB1-ListParagraph25"/>
              <w:numPr>
                <w:ilvl w:val="0"/>
                <w:numId w:val="298"/>
              </w:numPr>
              <w:spacing w:before="108"/>
              <w:jc w:val="both"/>
            </w:pPr>
            <w:r>
              <w:t>Sonstige auf die MREL anrechenbare Verbindlichkeiten</w:t>
            </w:r>
          </w:p>
          <w:p w14:paraId="7FE1B7FD" w14:textId="29E846ED" w:rsidR="00696584" w:rsidRDefault="002C4F63">
            <w:pPr>
              <w:pStyle w:val="P68B1DB1-ListParagraph25"/>
              <w:numPr>
                <w:ilvl w:val="0"/>
                <w:numId w:val="298"/>
              </w:numPr>
              <w:spacing w:before="108"/>
              <w:jc w:val="both"/>
            </w:pPr>
            <w:r>
              <w:t>Nichtfinanzielle Verbindlichkeiten</w:t>
            </w:r>
          </w:p>
          <w:p w14:paraId="7FE1B7FE" w14:textId="4EF5CD96" w:rsidR="00696584" w:rsidRDefault="002C4F63">
            <w:pPr>
              <w:pStyle w:val="P68B1DB1-ListParagraph25"/>
              <w:numPr>
                <w:ilvl w:val="0"/>
                <w:numId w:val="298"/>
              </w:numPr>
              <w:spacing w:before="108"/>
              <w:jc w:val="both"/>
            </w:pPr>
            <w:r>
              <w:t>Sonstige Verbindlichkeiten</w:t>
            </w:r>
          </w:p>
          <w:p w14:paraId="7FE1B7FF" w14:textId="77777777" w:rsidR="00696584" w:rsidRDefault="002C4F63">
            <w:pPr>
              <w:pStyle w:val="P68B1DB1-TableParagraph17"/>
              <w:spacing w:before="108"/>
              <w:ind w:left="85"/>
              <w:jc w:val="both"/>
            </w:pPr>
            <w:r>
              <w:t>Bestehen gegenüber einer wichtigen Gegenpartei die Verbindlichkeiten mehrerer der oben genannten Arten, wird jede Art in einer eigenen Zeile ausgewiesen.</w:t>
            </w:r>
          </w:p>
        </w:tc>
      </w:tr>
      <w:tr w:rsidR="00696584" w14:paraId="7FE1B804" w14:textId="77777777">
        <w:tc>
          <w:tcPr>
            <w:tcW w:w="907" w:type="dxa"/>
            <w:tcBorders>
              <w:top w:val="single" w:sz="4" w:space="0" w:color="1A171C"/>
              <w:left w:val="nil"/>
              <w:bottom w:val="single" w:sz="4" w:space="0" w:color="1A171C"/>
              <w:right w:val="single" w:sz="4" w:space="0" w:color="1A171C"/>
            </w:tcBorders>
            <w:vAlign w:val="center"/>
          </w:tcPr>
          <w:p w14:paraId="7FE1B801" w14:textId="77777777" w:rsidR="00696584" w:rsidRDefault="002C4F63">
            <w:pPr>
              <w:pStyle w:val="P68B1DB1-TableParagraph17"/>
              <w:spacing w:before="108"/>
              <w:ind w:left="85"/>
              <w:jc w:val="both"/>
            </w:pPr>
            <w:r>
              <w:lastRenderedPageBreak/>
              <w:t>0070</w:t>
            </w:r>
          </w:p>
        </w:tc>
        <w:tc>
          <w:tcPr>
            <w:tcW w:w="8119" w:type="dxa"/>
            <w:tcBorders>
              <w:top w:val="single" w:sz="4" w:space="0" w:color="1A171C"/>
              <w:left w:val="single" w:sz="4" w:space="0" w:color="1A171C"/>
              <w:bottom w:val="single" w:sz="4" w:space="0" w:color="1A171C"/>
              <w:right w:val="nil"/>
            </w:tcBorders>
            <w:vAlign w:val="center"/>
          </w:tcPr>
          <w:p w14:paraId="7FE1B802" w14:textId="77777777" w:rsidR="00696584" w:rsidRDefault="002C4F63">
            <w:pPr>
              <w:pStyle w:val="P68B1DB1-TableParagraph14"/>
              <w:spacing w:before="108"/>
              <w:ind w:left="85"/>
              <w:jc w:val="both"/>
              <w:rPr>
                <w:bCs/>
              </w:rPr>
            </w:pPr>
            <w:r>
              <w:t>Betrag</w:t>
            </w:r>
          </w:p>
          <w:p w14:paraId="7FE1B803" w14:textId="46DCC504" w:rsidR="00696584" w:rsidRDefault="002C4F63">
            <w:pPr>
              <w:pStyle w:val="P68B1DB1-TableParagraph17"/>
              <w:spacing w:before="108"/>
              <w:ind w:left="85"/>
              <w:jc w:val="both"/>
            </w:pPr>
            <w:r>
              <w:t>Der Betrag entspricht dem im Meldebogen Z 02.00 – Struktur der Verbindlichkeiten anzugebenden „ausstehenden Betrag“. Bei Verbindlichkeiten aus Derivaten (Art L.3) sind die Close-Out-Beträge aus Zeile 0333 des Meldebogens Z 02.00 anzugeben.</w:t>
            </w:r>
          </w:p>
        </w:tc>
      </w:tr>
    </w:tbl>
    <w:p w14:paraId="7FE1B805" w14:textId="77777777" w:rsidR="00696584" w:rsidRDefault="00696584">
      <w:pPr>
        <w:pStyle w:val="body"/>
        <w:rPr>
          <w:rFonts w:ascii="Times New Roman" w:hAnsi="Times New Roman" w:cs="Times New Roman"/>
          <w:color w:val="000000" w:themeColor="text1"/>
          <w:sz w:val="20"/>
          <w:szCs w:val="20"/>
        </w:rPr>
      </w:pPr>
    </w:p>
    <w:p w14:paraId="7FE1B806" w14:textId="1E7EF5E9" w:rsidR="00696584" w:rsidRDefault="002C4F63">
      <w:pPr>
        <w:pStyle w:val="P68B1DB1-Instructionsberschrift25"/>
        <w:numPr>
          <w:ilvl w:val="1"/>
          <w:numId w:val="49"/>
        </w:numPr>
        <w:ind w:left="357" w:hanging="357"/>
      </w:pPr>
      <w:bookmarkStart w:id="70" w:name="_Toc209533589"/>
      <w:bookmarkStart w:id="71" w:name="_Toc81454185"/>
      <w:r>
        <w:t>Z 05.02 – Außerbilanzielle Posten von wichtigen Gegenparteien (MCP 2)</w:t>
      </w:r>
      <w:bookmarkEnd w:id="70"/>
    </w:p>
    <w:p w14:paraId="7FE1B807" w14:textId="77777777" w:rsidR="00696584" w:rsidRDefault="002C4F63">
      <w:pPr>
        <w:pStyle w:val="P68B1DB1-body26"/>
      </w:pPr>
      <w:r>
        <w:t>Erläuterungen zu bestimmten Positionen</w:t>
      </w:r>
      <w:bookmarkEnd w:id="71"/>
    </w:p>
    <w:p w14:paraId="7FE1B808" w14:textId="77777777" w:rsidR="00696584" w:rsidRDefault="002C4F63">
      <w:pPr>
        <w:pStyle w:val="P68B1DB1-InstructionsText26"/>
        <w:numPr>
          <w:ilvl w:val="0"/>
          <w:numId w:val="232"/>
        </w:numPr>
        <w:spacing w:before="0"/>
      </w:pPr>
      <w:r>
        <w:t>Die Kombination der Werte der Spalten 0020 und 0060 dieses Meldebogens bildet einen Primärschlüssel, der jeweils eine spezifische Zeile des Meldebogens bezeichnet.</w:t>
      </w:r>
    </w:p>
    <w:tbl>
      <w:tblPr>
        <w:tblW w:w="0" w:type="auto"/>
        <w:tblCellMar>
          <w:top w:w="57" w:type="dxa"/>
          <w:left w:w="57" w:type="dxa"/>
          <w:bottom w:w="57" w:type="dxa"/>
          <w:right w:w="0" w:type="dxa"/>
        </w:tblCellMar>
        <w:tblLook w:val="01E0" w:firstRow="1" w:lastRow="1" w:firstColumn="1" w:lastColumn="1" w:noHBand="0" w:noVBand="0"/>
      </w:tblPr>
      <w:tblGrid>
        <w:gridCol w:w="907"/>
        <w:gridCol w:w="8119"/>
      </w:tblGrid>
      <w:tr w:rsidR="00696584" w14:paraId="7FE1B80B" w14:textId="77777777">
        <w:trPr>
          <w:tblHeader/>
        </w:trPr>
        <w:tc>
          <w:tcPr>
            <w:tcW w:w="909" w:type="dxa"/>
            <w:tcBorders>
              <w:top w:val="single" w:sz="4" w:space="0" w:color="1A171C"/>
              <w:left w:val="nil"/>
              <w:bottom w:val="single" w:sz="4" w:space="0" w:color="1A171C"/>
              <w:right w:val="single" w:sz="4" w:space="0" w:color="1A171C"/>
            </w:tcBorders>
            <w:shd w:val="clear" w:color="auto" w:fill="E4E5E5"/>
          </w:tcPr>
          <w:p w14:paraId="7FE1B809" w14:textId="77777777" w:rsidR="00696584" w:rsidRDefault="002C4F63">
            <w:pPr>
              <w:pStyle w:val="P68B1DB1-TableParagraph17"/>
              <w:spacing w:before="108"/>
              <w:ind w:left="85"/>
              <w:jc w:val="both"/>
            </w:pPr>
            <w:r>
              <w:t>Spalten</w:t>
            </w:r>
          </w:p>
        </w:tc>
        <w:tc>
          <w:tcPr>
            <w:tcW w:w="8174" w:type="dxa"/>
            <w:tcBorders>
              <w:top w:val="single" w:sz="4" w:space="0" w:color="1A171C"/>
              <w:left w:val="single" w:sz="4" w:space="0" w:color="1A171C"/>
              <w:bottom w:val="single" w:sz="4" w:space="0" w:color="1A171C"/>
              <w:right w:val="nil"/>
            </w:tcBorders>
            <w:shd w:val="clear" w:color="auto" w:fill="E4E5E5"/>
          </w:tcPr>
          <w:p w14:paraId="7FE1B80A" w14:textId="77777777" w:rsidR="00696584" w:rsidRDefault="002C4F63">
            <w:pPr>
              <w:pStyle w:val="P68B1DB1-TableParagraph17"/>
              <w:spacing w:before="108"/>
              <w:ind w:left="85" w:right="1"/>
              <w:jc w:val="both"/>
            </w:pPr>
            <w:r>
              <w:t>Erläuterungen</w:t>
            </w:r>
          </w:p>
        </w:tc>
      </w:tr>
      <w:tr w:rsidR="00696584" w14:paraId="7FE1B813" w14:textId="77777777">
        <w:tc>
          <w:tcPr>
            <w:tcW w:w="909" w:type="dxa"/>
            <w:tcBorders>
              <w:top w:val="single" w:sz="4" w:space="0" w:color="1A171C"/>
              <w:left w:val="nil"/>
              <w:bottom w:val="single" w:sz="4" w:space="0" w:color="1A171C"/>
              <w:right w:val="single" w:sz="4" w:space="0" w:color="1A171C"/>
            </w:tcBorders>
            <w:vAlign w:val="center"/>
          </w:tcPr>
          <w:p w14:paraId="7FE1B80C" w14:textId="77777777" w:rsidR="00696584" w:rsidRDefault="002C4F63">
            <w:pPr>
              <w:pStyle w:val="P68B1DB1-TableParagraph17"/>
              <w:spacing w:before="108"/>
              <w:ind w:left="85"/>
              <w:jc w:val="both"/>
            </w:pPr>
            <w:r>
              <w:t>0010-0050</w:t>
            </w:r>
          </w:p>
        </w:tc>
        <w:tc>
          <w:tcPr>
            <w:tcW w:w="8174" w:type="dxa"/>
            <w:tcBorders>
              <w:top w:val="single" w:sz="4" w:space="0" w:color="1A171C"/>
              <w:left w:val="single" w:sz="4" w:space="0" w:color="1A171C"/>
              <w:bottom w:val="single" w:sz="4" w:space="0" w:color="1A171C"/>
              <w:right w:val="nil"/>
            </w:tcBorders>
            <w:vAlign w:val="center"/>
          </w:tcPr>
          <w:p w14:paraId="7FE1B80D" w14:textId="58163846" w:rsidR="00696584" w:rsidRDefault="002C4F63">
            <w:pPr>
              <w:pStyle w:val="P68B1DB1-TableParagraph14"/>
              <w:spacing w:before="108"/>
              <w:ind w:left="85"/>
              <w:jc w:val="both"/>
              <w:rPr>
                <w:bCs/>
              </w:rPr>
            </w:pPr>
            <w:r>
              <w:t>Gegenpartei</w:t>
            </w:r>
          </w:p>
          <w:p w14:paraId="7FE1B80E" w14:textId="77777777" w:rsidR="00696584" w:rsidRDefault="002C4F63">
            <w:pPr>
              <w:pStyle w:val="P68B1DB1-TableParagraph17"/>
              <w:spacing w:before="108"/>
              <w:ind w:left="85"/>
              <w:jc w:val="both"/>
            </w:pPr>
            <w:r>
              <w:t>Angaben zu außerbilanziellen Posten von wichtigen Gegenparteien.</w:t>
            </w:r>
          </w:p>
          <w:p w14:paraId="7FE1B80F" w14:textId="78F03CE0" w:rsidR="00696584" w:rsidRDefault="002C4F63">
            <w:pPr>
              <w:pStyle w:val="P68B1DB1-TableParagraph17"/>
              <w:spacing w:before="108"/>
              <w:ind w:left="85"/>
              <w:jc w:val="both"/>
            </w:pPr>
            <w:r>
              <w:t>Um zu ermitteln, ob es sich bei einer Gegenpartei, von der außerbilanzielle Posten stammen, um eine wichtige Gegenpartei handelt, werden die Nennbeträge der erhaltenen Zusagen und Garantien (gemäß FINREP Meldebogen F 09) des Unternehmens oder der Gruppe, auf die sich die Meldungen beziehen, für jede Gegenpartei oder Gruppe verbundener Kunden summiert. Außerbilanzielle Posten, deren Gegenpartei ein im Konzernabschluss erfasster Rechtsträger ist, sind nicht zu melden. Die Gegenparteien und Gruppen verbundener Kunden werden nach aggregierten Beträgen geordnet.</w:t>
            </w:r>
            <w:r w:rsidR="001E0B2B">
              <w:t xml:space="preserve"> </w:t>
            </w:r>
            <w:r>
              <w:t>Für die ersten 10 dieser Gegenparteien sind in diesem Meldebogen Angaben zu machen.</w:t>
            </w:r>
          </w:p>
          <w:p w14:paraId="7FE1B810" w14:textId="0F5F36E1" w:rsidR="00696584" w:rsidRDefault="002C4F63">
            <w:pPr>
              <w:pStyle w:val="P68B1DB1-Normal18"/>
              <w:spacing w:line="257" w:lineRule="auto"/>
              <w:ind w:left="25"/>
              <w:jc w:val="both"/>
            </w:pPr>
            <w:r>
              <w:t>Derivate sind nicht in die oben beschriebene Top-10-Rangliste aufzunehmen: geben Sie hier eine separate Liste der fünf wichtigsten außerbilanziellen Gegenparteien von Derivaten an, um zu vermeiden, dass die Meldung Z 05.02 nur Derivatsalden enthält.</w:t>
            </w:r>
          </w:p>
          <w:p w14:paraId="7FE1B812" w14:textId="5E923404" w:rsidR="00696584" w:rsidRDefault="00696584">
            <w:pPr>
              <w:pStyle w:val="TableParagraph"/>
              <w:spacing w:before="108"/>
              <w:jc w:val="both"/>
              <w:rPr>
                <w:rFonts w:ascii="Times New Roman" w:eastAsia="Cambria" w:hAnsi="Times New Roman" w:cs="Times New Roman"/>
                <w:color w:val="000000" w:themeColor="text1"/>
                <w:sz w:val="20"/>
                <w:szCs w:val="20"/>
              </w:rPr>
            </w:pPr>
          </w:p>
        </w:tc>
      </w:tr>
      <w:tr w:rsidR="00696584" w14:paraId="7FE1B818" w14:textId="77777777">
        <w:tc>
          <w:tcPr>
            <w:tcW w:w="909" w:type="dxa"/>
            <w:tcBorders>
              <w:top w:val="single" w:sz="4" w:space="0" w:color="1A171C"/>
              <w:left w:val="nil"/>
              <w:bottom w:val="single" w:sz="4" w:space="0" w:color="1A171C"/>
              <w:right w:val="single" w:sz="4" w:space="0" w:color="1A171C"/>
            </w:tcBorders>
            <w:vAlign w:val="center"/>
          </w:tcPr>
          <w:p w14:paraId="7FE1B814" w14:textId="77777777" w:rsidR="00696584" w:rsidRDefault="002C4F63">
            <w:pPr>
              <w:pStyle w:val="P68B1DB1-TableParagraph17"/>
              <w:spacing w:before="108"/>
              <w:ind w:left="85"/>
              <w:jc w:val="both"/>
            </w:pPr>
            <w:r>
              <w:t>0010</w:t>
            </w:r>
          </w:p>
        </w:tc>
        <w:tc>
          <w:tcPr>
            <w:tcW w:w="8174" w:type="dxa"/>
            <w:tcBorders>
              <w:top w:val="single" w:sz="4" w:space="0" w:color="1A171C"/>
              <w:left w:val="single" w:sz="4" w:space="0" w:color="1A171C"/>
              <w:bottom w:val="single" w:sz="4" w:space="0" w:color="1A171C"/>
              <w:right w:val="nil"/>
            </w:tcBorders>
            <w:vAlign w:val="center"/>
          </w:tcPr>
          <w:p w14:paraId="7FE1B815" w14:textId="77777777" w:rsidR="00696584" w:rsidRDefault="002C4F63">
            <w:pPr>
              <w:pStyle w:val="P68B1DB1-TableParagraph14"/>
              <w:spacing w:before="108"/>
              <w:ind w:left="85"/>
              <w:jc w:val="both"/>
              <w:rPr>
                <w:bCs/>
              </w:rPr>
            </w:pPr>
            <w:r>
              <w:t>Name des Unternehmens</w:t>
            </w:r>
          </w:p>
          <w:p w14:paraId="7FE1B816" w14:textId="77777777" w:rsidR="00696584" w:rsidRDefault="002C4F63">
            <w:pPr>
              <w:pStyle w:val="P68B1DB1-Normal18"/>
              <w:spacing w:before="108"/>
              <w:ind w:left="85"/>
              <w:jc w:val="both"/>
            </w:pPr>
            <w:r>
              <w:lastRenderedPageBreak/>
              <w:t>Bezeichnung der wichtigen Gegenpartei bzw. der Gruppe verbundener Kunden.</w:t>
            </w:r>
          </w:p>
          <w:p w14:paraId="7FE1B817" w14:textId="29E2618F" w:rsidR="00696584" w:rsidRDefault="002C4F63">
            <w:pPr>
              <w:pStyle w:val="P68B1DB1-TableParagraph17"/>
              <w:spacing w:before="108"/>
              <w:ind w:left="85"/>
              <w:jc w:val="both"/>
            </w:pPr>
            <w:r>
              <w:t>Im Falle einer Gruppe verbundener Kunden ist die Bezeichnung der Muttergesellschaft oder, wenn die Gruppe verbundener Kunden keine Muttergesellschaft hat, der Firmenname der Gruppe anzugeben.</w:t>
            </w:r>
          </w:p>
        </w:tc>
      </w:tr>
      <w:tr w:rsidR="00696584" w14:paraId="7FE1B81D" w14:textId="77777777">
        <w:tc>
          <w:tcPr>
            <w:tcW w:w="909" w:type="dxa"/>
            <w:tcBorders>
              <w:top w:val="single" w:sz="4" w:space="0" w:color="1A171C"/>
              <w:left w:val="nil"/>
              <w:bottom w:val="single" w:sz="4" w:space="0" w:color="1A171C"/>
              <w:right w:val="single" w:sz="4" w:space="0" w:color="1A171C"/>
            </w:tcBorders>
            <w:vAlign w:val="center"/>
          </w:tcPr>
          <w:p w14:paraId="7FE1B819" w14:textId="77777777" w:rsidR="00696584" w:rsidRDefault="002C4F63">
            <w:pPr>
              <w:pStyle w:val="P68B1DB1-TableParagraph17"/>
              <w:spacing w:before="108"/>
              <w:ind w:left="85"/>
              <w:jc w:val="both"/>
            </w:pPr>
            <w:r>
              <w:lastRenderedPageBreak/>
              <w:t>0020</w:t>
            </w:r>
          </w:p>
        </w:tc>
        <w:tc>
          <w:tcPr>
            <w:tcW w:w="8174" w:type="dxa"/>
            <w:tcBorders>
              <w:top w:val="single" w:sz="4" w:space="0" w:color="1A171C"/>
              <w:left w:val="single" w:sz="4" w:space="0" w:color="1A171C"/>
              <w:bottom w:val="single" w:sz="4" w:space="0" w:color="1A171C"/>
              <w:right w:val="nil"/>
            </w:tcBorders>
            <w:vAlign w:val="center"/>
          </w:tcPr>
          <w:p w14:paraId="7FE1B81A" w14:textId="0897096B" w:rsidR="00696584" w:rsidRDefault="002C4F63">
            <w:pPr>
              <w:pStyle w:val="P68B1DB1-TableParagraph14"/>
              <w:spacing w:before="108"/>
              <w:ind w:left="85"/>
              <w:jc w:val="both"/>
              <w:rPr>
                <w:bCs/>
              </w:rPr>
            </w:pPr>
            <w:r>
              <w:t>Code</w:t>
            </w:r>
          </w:p>
          <w:p w14:paraId="7FE1B81B" w14:textId="77777777" w:rsidR="00696584" w:rsidRDefault="002C4F63">
            <w:pPr>
              <w:pStyle w:val="P68B1DB1-TableParagraph17"/>
              <w:spacing w:before="108"/>
              <w:ind w:left="85"/>
              <w:jc w:val="both"/>
            </w:pPr>
            <w:r>
              <w:t>Kennung der wichtigen Gegenpartei bzw. der Gruppe verbundener Kunden. Im Falle von Instituten entspricht der Code dem 20-stelligen alphanumerischen LEI-Code. Bei sonstigen Unternehmen handelt es sich um den 20-stelligen alphanumerischen LEI-Code, in Ermangelung dieses Codes um einen Code nach einem einheitlichen unionsweiten System oder, wenn auch kein solcher Code vorliegt, um einen Code nach einem nationalen System.</w:t>
            </w:r>
          </w:p>
          <w:p w14:paraId="7FE1B81C" w14:textId="6CC57833" w:rsidR="00696584" w:rsidRDefault="002C4F63">
            <w:pPr>
              <w:pStyle w:val="P68B1DB1-TableParagraph17"/>
              <w:spacing w:before="108"/>
              <w:ind w:left="85"/>
              <w:jc w:val="both"/>
            </w:pPr>
            <w:r>
              <w:t>Der Code ist spezifisch und wird durchgängig in allen Meldebögen verwendet.</w:t>
            </w:r>
          </w:p>
        </w:tc>
      </w:tr>
      <w:tr w:rsidR="00696584" w14:paraId="7FE1B823" w14:textId="77777777">
        <w:tc>
          <w:tcPr>
            <w:tcW w:w="909" w:type="dxa"/>
            <w:tcBorders>
              <w:top w:val="single" w:sz="4" w:space="0" w:color="1A171C"/>
              <w:left w:val="nil"/>
              <w:bottom w:val="single" w:sz="4" w:space="0" w:color="1A171C"/>
              <w:right w:val="single" w:sz="4" w:space="0" w:color="1A171C"/>
            </w:tcBorders>
            <w:vAlign w:val="center"/>
          </w:tcPr>
          <w:p w14:paraId="7FE1B81E" w14:textId="77777777" w:rsidR="00696584" w:rsidRDefault="002C4F63">
            <w:pPr>
              <w:pStyle w:val="P68B1DB1-TableParagraph17"/>
              <w:spacing w:before="108"/>
              <w:ind w:left="85"/>
              <w:jc w:val="both"/>
            </w:pPr>
            <w:r>
              <w:t>0025</w:t>
            </w:r>
          </w:p>
        </w:tc>
        <w:tc>
          <w:tcPr>
            <w:tcW w:w="8174" w:type="dxa"/>
            <w:tcBorders>
              <w:top w:val="single" w:sz="4" w:space="0" w:color="1A171C"/>
              <w:left w:val="single" w:sz="4" w:space="0" w:color="1A171C"/>
              <w:bottom w:val="single" w:sz="4" w:space="0" w:color="1A171C"/>
              <w:right w:val="nil"/>
            </w:tcBorders>
            <w:vAlign w:val="center"/>
          </w:tcPr>
          <w:p w14:paraId="7FE1B81F" w14:textId="77777777" w:rsidR="00696584" w:rsidRDefault="002C4F63">
            <w:pPr>
              <w:pStyle w:val="P68B1DB1-TableParagraph14"/>
              <w:spacing w:before="108"/>
              <w:ind w:left="85"/>
              <w:jc w:val="both"/>
              <w:rPr>
                <w:bCs/>
              </w:rPr>
            </w:pPr>
            <w:r>
              <w:t>Art des Codes</w:t>
            </w:r>
          </w:p>
          <w:p w14:paraId="7FE1B821" w14:textId="6020ACA4" w:rsidR="00696584" w:rsidRDefault="002C4F63">
            <w:pPr>
              <w:pStyle w:val="P68B1DB1-TableParagraph13"/>
              <w:spacing w:before="108"/>
            </w:pPr>
            <w:r>
              <w:t>Auswahl unter folgenden Optionen: „LEI-Code“, „MFI-Code“ oder „Andere Art der Kennung als LEI-Code oder MFI-Code“.</w:t>
            </w:r>
          </w:p>
          <w:p w14:paraId="7FE1B822" w14:textId="77777777" w:rsidR="00696584" w:rsidRDefault="002C4F63">
            <w:pPr>
              <w:pStyle w:val="P68B1DB1-TableParagraph13"/>
              <w:spacing w:before="108"/>
              <w:ind w:left="85"/>
              <w:jc w:val="both"/>
              <w:rPr>
                <w:b/>
                <w:bCs/>
              </w:rPr>
            </w:pPr>
            <w:r>
              <w:t>Die Identifizierung der Unternehmen erfolgt über die Meldebögen hinweg einheitlich.</w:t>
            </w:r>
          </w:p>
        </w:tc>
      </w:tr>
      <w:tr w:rsidR="00696584" w14:paraId="7FE1B827" w14:textId="77777777">
        <w:tc>
          <w:tcPr>
            <w:tcW w:w="909" w:type="dxa"/>
            <w:tcBorders>
              <w:top w:val="single" w:sz="4" w:space="0" w:color="1A171C"/>
              <w:left w:val="nil"/>
              <w:bottom w:val="single" w:sz="4" w:space="0" w:color="1A171C"/>
              <w:right w:val="single" w:sz="4" w:space="0" w:color="1A171C"/>
            </w:tcBorders>
            <w:vAlign w:val="center"/>
          </w:tcPr>
          <w:p w14:paraId="7FE1B824" w14:textId="77777777" w:rsidR="00696584" w:rsidRDefault="002C4F63">
            <w:pPr>
              <w:pStyle w:val="P68B1DB1-TableParagraph17"/>
              <w:spacing w:before="108"/>
              <w:ind w:left="85"/>
              <w:jc w:val="both"/>
            </w:pPr>
            <w:r>
              <w:t>0030</w:t>
            </w:r>
          </w:p>
        </w:tc>
        <w:tc>
          <w:tcPr>
            <w:tcW w:w="8174" w:type="dxa"/>
            <w:tcBorders>
              <w:top w:val="single" w:sz="4" w:space="0" w:color="1A171C"/>
              <w:left w:val="single" w:sz="4" w:space="0" w:color="1A171C"/>
              <w:bottom w:val="single" w:sz="4" w:space="0" w:color="1A171C"/>
              <w:right w:val="nil"/>
            </w:tcBorders>
            <w:vAlign w:val="center"/>
          </w:tcPr>
          <w:p w14:paraId="7FE1B825" w14:textId="77777777" w:rsidR="00696584" w:rsidRDefault="002C4F63">
            <w:pPr>
              <w:pStyle w:val="P68B1DB1-TableParagraph14"/>
              <w:spacing w:before="108"/>
              <w:ind w:left="85"/>
              <w:jc w:val="both"/>
              <w:rPr>
                <w:bCs/>
              </w:rPr>
            </w:pPr>
            <w:r>
              <w:t>Gruppe oder einzeln</w:t>
            </w:r>
          </w:p>
          <w:p w14:paraId="2E0A09DE" w14:textId="77777777" w:rsidR="00696584" w:rsidRDefault="002C4F63">
            <w:pPr>
              <w:pStyle w:val="P68B1DB1-Normal18"/>
              <w:ind w:left="85"/>
            </w:pPr>
            <w:r>
              <w:t>Die Institution sollte Folgendes melden:</w:t>
            </w:r>
          </w:p>
          <w:p w14:paraId="52295733" w14:textId="77777777" w:rsidR="00696584" w:rsidRDefault="002C4F63">
            <w:pPr>
              <w:pStyle w:val="P68B1DB1-ListParagraph25"/>
              <w:numPr>
                <w:ilvl w:val="0"/>
                <w:numId w:val="297"/>
              </w:numPr>
            </w:pPr>
            <w:r>
              <w:t>Einzelnen Gegenparteien;</w:t>
            </w:r>
          </w:p>
          <w:p w14:paraId="7FE1B826" w14:textId="76B98F2C" w:rsidR="00696584" w:rsidRDefault="002C4F63">
            <w:pPr>
              <w:pStyle w:val="P68B1DB1-TableParagraph17"/>
              <w:numPr>
                <w:ilvl w:val="0"/>
                <w:numId w:val="297"/>
              </w:numPr>
              <w:spacing w:before="108"/>
              <w:jc w:val="both"/>
            </w:pPr>
            <w:r>
              <w:t>Gruppen verbundener Kunden.</w:t>
            </w:r>
          </w:p>
        </w:tc>
      </w:tr>
      <w:tr w:rsidR="00696584" w14:paraId="7FE1B82C" w14:textId="77777777">
        <w:tc>
          <w:tcPr>
            <w:tcW w:w="909" w:type="dxa"/>
            <w:tcBorders>
              <w:top w:val="single" w:sz="4" w:space="0" w:color="1A171C"/>
              <w:left w:val="nil"/>
              <w:bottom w:val="single" w:sz="4" w:space="0" w:color="1A171C"/>
              <w:right w:val="single" w:sz="4" w:space="0" w:color="1A171C"/>
            </w:tcBorders>
            <w:vAlign w:val="center"/>
          </w:tcPr>
          <w:p w14:paraId="7FE1B828" w14:textId="77777777" w:rsidR="00696584" w:rsidRDefault="002C4F63">
            <w:pPr>
              <w:pStyle w:val="P68B1DB1-TableParagraph17"/>
              <w:spacing w:before="108"/>
              <w:ind w:left="85"/>
              <w:jc w:val="both"/>
            </w:pPr>
            <w:r>
              <w:t>0040</w:t>
            </w:r>
          </w:p>
        </w:tc>
        <w:tc>
          <w:tcPr>
            <w:tcW w:w="8174" w:type="dxa"/>
            <w:tcBorders>
              <w:top w:val="single" w:sz="4" w:space="0" w:color="1A171C"/>
              <w:left w:val="single" w:sz="4" w:space="0" w:color="1A171C"/>
              <w:bottom w:val="single" w:sz="4" w:space="0" w:color="1A171C"/>
              <w:right w:val="nil"/>
            </w:tcBorders>
            <w:vAlign w:val="center"/>
          </w:tcPr>
          <w:p w14:paraId="7FE1B829" w14:textId="77777777" w:rsidR="00696584" w:rsidRDefault="002C4F63">
            <w:pPr>
              <w:pStyle w:val="P68B1DB1-TableParagraph14"/>
              <w:spacing w:before="108"/>
              <w:ind w:left="85"/>
              <w:jc w:val="both"/>
              <w:rPr>
                <w:bCs/>
              </w:rPr>
            </w:pPr>
            <w:r>
              <w:t>Land</w:t>
            </w:r>
          </w:p>
          <w:p w14:paraId="7FE1B82A" w14:textId="25510731" w:rsidR="00696584" w:rsidRDefault="002C4F63">
            <w:pPr>
              <w:pStyle w:val="P68B1DB1-Normal18"/>
              <w:spacing w:before="108"/>
              <w:ind w:left="85"/>
              <w:contextualSpacing/>
              <w:jc w:val="both"/>
            </w:pPr>
            <w:r>
              <w:t xml:space="preserve">Alpha-2-Ländercode nach ISO 3166-1 des </w:t>
            </w:r>
            <w:r w:rsidR="00F1241E">
              <w:t>Sitzstaat</w:t>
            </w:r>
            <w:r>
              <w:t xml:space="preserve">es der Gegenpartei. Für internationale Organisationen ist der Pseudo-ISO-Code anzugeben (siehe neueste Ausgabe des Zahlungsbilanz-Vademekums von Eurostat). </w:t>
            </w:r>
          </w:p>
          <w:p w14:paraId="7FE1B82B" w14:textId="47B683FE" w:rsidR="00696584" w:rsidRDefault="002C4F63">
            <w:pPr>
              <w:pStyle w:val="P68B1DB1-TableParagraph17"/>
              <w:spacing w:before="108"/>
              <w:ind w:left="85"/>
              <w:jc w:val="both"/>
            </w:pPr>
            <w:r>
              <w:t>Es ist das Land des eingetragenen Geschäftssitzes der Gegenpartei anzugeben. Bei Gruppen verbundener Kunden ist das Gründungland der Muttergesellschaft anzugeben.</w:t>
            </w:r>
          </w:p>
        </w:tc>
      </w:tr>
      <w:tr w:rsidR="00696584" w14:paraId="7FE1B837" w14:textId="77777777">
        <w:tc>
          <w:tcPr>
            <w:tcW w:w="909" w:type="dxa"/>
            <w:tcBorders>
              <w:top w:val="single" w:sz="4" w:space="0" w:color="1A171C"/>
              <w:left w:val="nil"/>
              <w:bottom w:val="single" w:sz="4" w:space="0" w:color="1A171C"/>
              <w:right w:val="single" w:sz="4" w:space="0" w:color="1A171C"/>
            </w:tcBorders>
            <w:vAlign w:val="center"/>
          </w:tcPr>
          <w:p w14:paraId="7FE1B82D" w14:textId="77777777" w:rsidR="00696584" w:rsidRDefault="002C4F63">
            <w:pPr>
              <w:pStyle w:val="P68B1DB1-TableParagraph17"/>
              <w:spacing w:before="108"/>
              <w:ind w:left="85"/>
              <w:jc w:val="both"/>
            </w:pPr>
            <w:r>
              <w:t>0050</w:t>
            </w:r>
          </w:p>
        </w:tc>
        <w:tc>
          <w:tcPr>
            <w:tcW w:w="8174" w:type="dxa"/>
            <w:tcBorders>
              <w:top w:val="single" w:sz="4" w:space="0" w:color="1A171C"/>
              <w:left w:val="single" w:sz="4" w:space="0" w:color="1A171C"/>
              <w:bottom w:val="single" w:sz="4" w:space="0" w:color="1A171C"/>
              <w:right w:val="nil"/>
            </w:tcBorders>
            <w:vAlign w:val="center"/>
          </w:tcPr>
          <w:p w14:paraId="7FE1B82E" w14:textId="77777777" w:rsidR="00696584" w:rsidRDefault="002C4F63">
            <w:pPr>
              <w:pStyle w:val="P68B1DB1-TableParagraph14"/>
              <w:spacing w:before="108"/>
              <w:ind w:left="85"/>
              <w:jc w:val="both"/>
              <w:rPr>
                <w:bCs/>
              </w:rPr>
            </w:pPr>
            <w:r>
              <w:t>Sektor</w:t>
            </w:r>
          </w:p>
          <w:p w14:paraId="7FE1B82F" w14:textId="77777777" w:rsidR="00696584" w:rsidRDefault="002C4F63">
            <w:pPr>
              <w:pStyle w:val="P68B1DB1-TableParagraph17"/>
              <w:spacing w:before="108"/>
              <w:ind w:left="85"/>
              <w:jc w:val="both"/>
            </w:pPr>
            <w:r>
              <w:t>Jeder Gegenpartei ist auf der Grundlage der Branchenklassen nach FINREP (Anhang V Teil 1 Kapitel 6) eine der folgenden Branchen zuzuweisen:</w:t>
            </w:r>
          </w:p>
          <w:p w14:paraId="7FE1B830" w14:textId="77777777" w:rsidR="00696584" w:rsidRDefault="002C4F63">
            <w:pPr>
              <w:pStyle w:val="P68B1DB1-List127"/>
              <w:numPr>
                <w:ilvl w:val="0"/>
                <w:numId w:val="64"/>
              </w:numPr>
            </w:pPr>
            <w:r>
              <w:t>Zentralbanken</w:t>
            </w:r>
          </w:p>
          <w:p w14:paraId="7FE1B831" w14:textId="77777777" w:rsidR="00696584" w:rsidRDefault="002C4F63">
            <w:pPr>
              <w:pStyle w:val="P68B1DB1-List127"/>
              <w:numPr>
                <w:ilvl w:val="0"/>
                <w:numId w:val="64"/>
              </w:numPr>
            </w:pPr>
            <w:r>
              <w:t>Sektor Staat</w:t>
            </w:r>
          </w:p>
          <w:p w14:paraId="7FE1B832" w14:textId="77777777" w:rsidR="00696584" w:rsidRDefault="002C4F63">
            <w:pPr>
              <w:pStyle w:val="P68B1DB1-List127"/>
              <w:numPr>
                <w:ilvl w:val="0"/>
                <w:numId w:val="64"/>
              </w:numPr>
            </w:pPr>
            <w:r>
              <w:t xml:space="preserve">Kreditinstitute: </w:t>
            </w:r>
          </w:p>
          <w:p w14:paraId="7FE1B833" w14:textId="77777777" w:rsidR="00696584" w:rsidRDefault="002C4F63">
            <w:pPr>
              <w:pStyle w:val="P68B1DB1-List127"/>
              <w:numPr>
                <w:ilvl w:val="0"/>
                <w:numId w:val="64"/>
              </w:numPr>
            </w:pPr>
            <w:r>
              <w:t>Sonstige finanzielle Kapitalgesellschaften</w:t>
            </w:r>
          </w:p>
          <w:p w14:paraId="7FE1B834" w14:textId="77777777" w:rsidR="00696584" w:rsidRDefault="002C4F63">
            <w:pPr>
              <w:pStyle w:val="P68B1DB1-List127"/>
              <w:numPr>
                <w:ilvl w:val="0"/>
                <w:numId w:val="64"/>
              </w:numPr>
            </w:pPr>
            <w:r>
              <w:t>Nichtfinanzielle Kapitalgesellschaften</w:t>
            </w:r>
          </w:p>
          <w:p w14:paraId="7FE1B835" w14:textId="77777777" w:rsidR="00696584" w:rsidRDefault="002C4F63">
            <w:pPr>
              <w:pStyle w:val="P68B1DB1-List127"/>
              <w:numPr>
                <w:ilvl w:val="0"/>
                <w:numId w:val="64"/>
              </w:numPr>
            </w:pPr>
            <w:r>
              <w:t>Private Haushalte</w:t>
            </w:r>
          </w:p>
          <w:p w14:paraId="7FE1B836" w14:textId="3FF28E9A" w:rsidR="00696584" w:rsidRDefault="002C4F63">
            <w:pPr>
              <w:pStyle w:val="P68B1DB1-TableParagraph17"/>
              <w:spacing w:before="108"/>
              <w:ind w:left="85"/>
              <w:jc w:val="both"/>
            </w:pPr>
            <w:r>
              <w:t>Bei Gruppen verbundener Kunden wird keine Branche gemeldet.</w:t>
            </w:r>
          </w:p>
        </w:tc>
      </w:tr>
      <w:tr w:rsidR="00696584" w14:paraId="7FE1B840" w14:textId="77777777">
        <w:tc>
          <w:tcPr>
            <w:tcW w:w="909" w:type="dxa"/>
            <w:tcBorders>
              <w:top w:val="single" w:sz="4" w:space="0" w:color="1A171C"/>
              <w:left w:val="nil"/>
              <w:bottom w:val="single" w:sz="4" w:space="0" w:color="1A171C"/>
              <w:right w:val="single" w:sz="4" w:space="0" w:color="1A171C"/>
            </w:tcBorders>
            <w:vAlign w:val="center"/>
          </w:tcPr>
          <w:p w14:paraId="7FE1B838" w14:textId="77777777" w:rsidR="00696584" w:rsidRDefault="002C4F63">
            <w:pPr>
              <w:pStyle w:val="P68B1DB1-TableParagraph17"/>
              <w:spacing w:before="108"/>
              <w:ind w:left="85"/>
              <w:jc w:val="both"/>
            </w:pPr>
            <w:r>
              <w:t>0060</w:t>
            </w:r>
          </w:p>
        </w:tc>
        <w:tc>
          <w:tcPr>
            <w:tcW w:w="8174" w:type="dxa"/>
            <w:tcBorders>
              <w:top w:val="single" w:sz="4" w:space="0" w:color="1A171C"/>
              <w:left w:val="single" w:sz="4" w:space="0" w:color="1A171C"/>
              <w:bottom w:val="single" w:sz="4" w:space="0" w:color="1A171C"/>
              <w:right w:val="nil"/>
            </w:tcBorders>
            <w:vAlign w:val="center"/>
          </w:tcPr>
          <w:p w14:paraId="7FE1B839" w14:textId="77777777" w:rsidR="00696584" w:rsidRDefault="002C4F63">
            <w:pPr>
              <w:pStyle w:val="P68B1DB1-TableParagraph14"/>
              <w:spacing w:before="108"/>
              <w:ind w:left="85"/>
              <w:jc w:val="both"/>
              <w:rPr>
                <w:bCs/>
              </w:rPr>
            </w:pPr>
            <w:r>
              <w:t>Art</w:t>
            </w:r>
          </w:p>
          <w:p w14:paraId="7FE1B83A" w14:textId="77777777" w:rsidR="00696584" w:rsidRDefault="002C4F63">
            <w:pPr>
              <w:pStyle w:val="P68B1DB1-TableParagraph17"/>
              <w:spacing w:before="108"/>
              <w:ind w:left="85"/>
              <w:jc w:val="both"/>
            </w:pPr>
            <w:r>
              <w:t>Arten der außerbilanziellen Risikopositionen wie im FINREP-Meldebogen F 09.02:</w:t>
            </w:r>
          </w:p>
          <w:p w14:paraId="7FE1B83B" w14:textId="57556FED" w:rsidR="00696584" w:rsidRDefault="002C4F63">
            <w:pPr>
              <w:pStyle w:val="P68B1DB1-TableParagraph17"/>
              <w:numPr>
                <w:ilvl w:val="0"/>
                <w:numId w:val="299"/>
              </w:numPr>
              <w:spacing w:before="108"/>
              <w:jc w:val="both"/>
            </w:pPr>
            <w:r>
              <w:t>Empfangene Kreditzusagen</w:t>
            </w:r>
          </w:p>
          <w:p w14:paraId="7FE1B83C" w14:textId="03B3C9F7" w:rsidR="00696584" w:rsidRDefault="002C4F63">
            <w:pPr>
              <w:pStyle w:val="P68B1DB1-TableParagraph17"/>
              <w:numPr>
                <w:ilvl w:val="0"/>
                <w:numId w:val="299"/>
              </w:numPr>
              <w:spacing w:before="108"/>
              <w:jc w:val="both"/>
            </w:pPr>
            <w:r>
              <w:t>Empfangene Finanzgarantien</w:t>
            </w:r>
          </w:p>
          <w:p w14:paraId="7FE1B83D" w14:textId="2357CDAB" w:rsidR="00696584" w:rsidRDefault="002C4F63">
            <w:pPr>
              <w:pStyle w:val="P68B1DB1-TableParagraph17"/>
              <w:numPr>
                <w:ilvl w:val="0"/>
                <w:numId w:val="299"/>
              </w:numPr>
              <w:spacing w:before="108"/>
              <w:jc w:val="both"/>
            </w:pPr>
            <w:r>
              <w:t>Sonstige empfangene Zusagen</w:t>
            </w:r>
          </w:p>
          <w:p w14:paraId="7FE1B83E" w14:textId="7A79D0CA" w:rsidR="00696584" w:rsidRDefault="002C4F63">
            <w:pPr>
              <w:pStyle w:val="P68B1DB1-TableParagraph17"/>
              <w:numPr>
                <w:ilvl w:val="0"/>
                <w:numId w:val="299"/>
              </w:numPr>
              <w:spacing w:before="108"/>
              <w:jc w:val="both"/>
            </w:pPr>
            <w:r>
              <w:t>Derivate</w:t>
            </w:r>
          </w:p>
          <w:p w14:paraId="7FE1B83F" w14:textId="77777777" w:rsidR="00696584" w:rsidRDefault="002C4F63">
            <w:pPr>
              <w:pStyle w:val="P68B1DB1-TableParagraph17"/>
              <w:spacing w:before="108"/>
              <w:ind w:left="85"/>
              <w:jc w:val="both"/>
            </w:pPr>
            <w:r>
              <w:lastRenderedPageBreak/>
              <w:t>Bestehen die von einer wichtigen Gegenpartei erhaltenen außerbilanziellen Posten aus mehreren der oben genannten Arten, wird jede Art in einer eigenen Zeile ausgewiesen.</w:t>
            </w:r>
          </w:p>
        </w:tc>
      </w:tr>
      <w:tr w:rsidR="00696584" w14:paraId="7FE1B844" w14:textId="77777777">
        <w:tc>
          <w:tcPr>
            <w:tcW w:w="909" w:type="dxa"/>
            <w:tcBorders>
              <w:top w:val="single" w:sz="4" w:space="0" w:color="1A171C"/>
              <w:left w:val="nil"/>
              <w:bottom w:val="single" w:sz="4" w:space="0" w:color="1A171C"/>
              <w:right w:val="single" w:sz="4" w:space="0" w:color="1A171C"/>
            </w:tcBorders>
            <w:vAlign w:val="center"/>
          </w:tcPr>
          <w:p w14:paraId="7FE1B841" w14:textId="77777777" w:rsidR="00696584" w:rsidRDefault="002C4F63">
            <w:pPr>
              <w:pStyle w:val="P68B1DB1-TableParagraph17"/>
              <w:spacing w:before="108"/>
              <w:ind w:left="85"/>
              <w:jc w:val="both"/>
            </w:pPr>
            <w:r>
              <w:lastRenderedPageBreak/>
              <w:t>0070</w:t>
            </w:r>
          </w:p>
        </w:tc>
        <w:tc>
          <w:tcPr>
            <w:tcW w:w="8174" w:type="dxa"/>
            <w:tcBorders>
              <w:top w:val="single" w:sz="4" w:space="0" w:color="1A171C"/>
              <w:left w:val="single" w:sz="4" w:space="0" w:color="1A171C"/>
              <w:bottom w:val="single" w:sz="4" w:space="0" w:color="1A171C"/>
              <w:right w:val="nil"/>
            </w:tcBorders>
            <w:vAlign w:val="center"/>
          </w:tcPr>
          <w:p w14:paraId="7FE1B842" w14:textId="77777777" w:rsidR="00696584" w:rsidRDefault="002C4F63">
            <w:pPr>
              <w:pStyle w:val="P68B1DB1-TableParagraph14"/>
              <w:spacing w:before="108"/>
              <w:ind w:left="85"/>
              <w:jc w:val="both"/>
              <w:rPr>
                <w:bCs/>
              </w:rPr>
            </w:pPr>
            <w:r>
              <w:t xml:space="preserve">Betrag </w:t>
            </w:r>
          </w:p>
          <w:p w14:paraId="7FE1B843" w14:textId="7853FDD0" w:rsidR="00696584" w:rsidRDefault="002C4F63">
            <w:pPr>
              <w:pStyle w:val="P68B1DB1-TableParagraph17"/>
              <w:spacing w:before="108"/>
              <w:ind w:left="85"/>
              <w:jc w:val="both"/>
              <w:rPr>
                <w:bCs/>
              </w:rPr>
            </w:pPr>
            <w:r>
              <w:t>Der Betrag entspricht dem im Meldebogen F09.02 – Struktur der Verbindlichkeiten anzugebenden „ausstehenden Betrag“. Bei Verbindlichkeiten aus Derivaten sind die Close-Out-Beträge aus Zeile 0333 des Meldebogens Z 02.00 anzugeben.</w:t>
            </w:r>
          </w:p>
        </w:tc>
      </w:tr>
    </w:tbl>
    <w:p w14:paraId="7FE1B845" w14:textId="77777777" w:rsidR="00696584" w:rsidRDefault="00696584">
      <w:pPr>
        <w:rPr>
          <w:rFonts w:ascii="Times New Roman" w:hAnsi="Times New Roman" w:cs="Times New Roman"/>
          <w:color w:val="000000" w:themeColor="text1"/>
          <w:sz w:val="20"/>
          <w:szCs w:val="20"/>
        </w:rPr>
      </w:pPr>
    </w:p>
    <w:p w14:paraId="7FE1B846" w14:textId="77777777" w:rsidR="00696584" w:rsidRDefault="00696584">
      <w:pPr>
        <w:rPr>
          <w:rFonts w:ascii="Times New Roman" w:eastAsia="MS Mincho" w:hAnsi="Times New Roman" w:cs="Times New Roman"/>
          <w:color w:val="000000" w:themeColor="text1"/>
          <w:sz w:val="20"/>
          <w:szCs w:val="20"/>
        </w:rPr>
      </w:pPr>
    </w:p>
    <w:p w14:paraId="7FE1B849" w14:textId="308DBAEB" w:rsidR="00696584" w:rsidRDefault="002C4F63">
      <w:pPr>
        <w:pStyle w:val="P68B1DB1-Instructionsberschrift25"/>
        <w:numPr>
          <w:ilvl w:val="1"/>
          <w:numId w:val="49"/>
        </w:numPr>
        <w:ind w:left="357" w:hanging="357"/>
      </w:pPr>
      <w:bookmarkStart w:id="72" w:name="_Toc164271339"/>
      <w:bookmarkStart w:id="73" w:name="_Toc164271391"/>
      <w:bookmarkStart w:id="74" w:name="_Toc167799457"/>
      <w:bookmarkStart w:id="75" w:name="_Toc172723013"/>
      <w:bookmarkStart w:id="76" w:name="_Toc172723111"/>
      <w:bookmarkStart w:id="77" w:name="_Toc172723205"/>
      <w:bookmarkStart w:id="78" w:name="_Toc172723349"/>
      <w:bookmarkStart w:id="79" w:name="_Toc172723401"/>
      <w:bookmarkStart w:id="80" w:name="_Toc172723459"/>
      <w:bookmarkStart w:id="81" w:name="_Toc172723526"/>
      <w:bookmarkStart w:id="82" w:name="_Toc184218419"/>
      <w:bookmarkStart w:id="83" w:name="_Toc164271340"/>
      <w:bookmarkStart w:id="84" w:name="_Toc164271392"/>
      <w:bookmarkStart w:id="85" w:name="_Toc167799458"/>
      <w:bookmarkStart w:id="86" w:name="_Toc172723014"/>
      <w:bookmarkStart w:id="87" w:name="_Toc172723112"/>
      <w:bookmarkStart w:id="88" w:name="_Toc172723206"/>
      <w:bookmarkStart w:id="89" w:name="_Toc172723350"/>
      <w:bookmarkStart w:id="90" w:name="_Toc172723402"/>
      <w:bookmarkStart w:id="91" w:name="_Toc172723460"/>
      <w:bookmarkStart w:id="92" w:name="_Toc172723527"/>
      <w:bookmarkStart w:id="93" w:name="_Toc184218420"/>
      <w:bookmarkStart w:id="94" w:name="_Toc492542326"/>
      <w:bookmarkStart w:id="95" w:name="_Toc160027685"/>
      <w:bookmarkStart w:id="96" w:name="_Toc160027756"/>
      <w:bookmarkStart w:id="97" w:name="_Toc160027839"/>
      <w:bookmarkStart w:id="98" w:name="_Toc209533590"/>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r>
        <w:t>Z 06.00 – Einlagensicherung (LIAB 7)</w:t>
      </w:r>
      <w:bookmarkEnd w:id="94"/>
      <w:bookmarkEnd w:id="95"/>
      <w:bookmarkEnd w:id="96"/>
      <w:bookmarkEnd w:id="97"/>
      <w:bookmarkEnd w:id="98"/>
    </w:p>
    <w:p w14:paraId="7FE1B84A" w14:textId="77777777" w:rsidR="00696584" w:rsidRDefault="002C4F63">
      <w:pPr>
        <w:pStyle w:val="Instructionsberschrift3"/>
      </w:pPr>
      <w:r>
        <w:t>Allgemeine Bemerkungen</w:t>
      </w:r>
    </w:p>
    <w:p w14:paraId="7FE1B84B" w14:textId="03587D6A" w:rsidR="00696584" w:rsidRDefault="002C4F63">
      <w:pPr>
        <w:pStyle w:val="P68B1DB1-InstructionsText26"/>
        <w:numPr>
          <w:ilvl w:val="0"/>
          <w:numId w:val="71"/>
        </w:numPr>
        <w:spacing w:before="0"/>
        <w:ind w:left="714" w:hanging="357"/>
      </w:pPr>
      <w:r>
        <w:t>Dieser Meldebogen gibt eine Übersicht über die Einlagensicherung innerhalb einer Gruppe und die Einlagensicherungssysteme, denen die Kreditinstitute als relevante Rechtsträger angehören.</w:t>
      </w:r>
    </w:p>
    <w:p w14:paraId="7FE1B84C" w14:textId="77777777" w:rsidR="00696584" w:rsidRDefault="002C4F63">
      <w:pPr>
        <w:pStyle w:val="P68B1DB1-InstructionsText26"/>
        <w:numPr>
          <w:ilvl w:val="0"/>
          <w:numId w:val="71"/>
        </w:numPr>
        <w:spacing w:before="0"/>
        <w:ind w:left="714" w:hanging="357"/>
      </w:pPr>
      <w:r>
        <w:t>Für jedes Kreditinstitut der Gruppe ist eine separate Zeile zu verwenden.</w:t>
      </w:r>
    </w:p>
    <w:p w14:paraId="7FE1B84D" w14:textId="77777777" w:rsidR="00696584" w:rsidRDefault="002C4F63">
      <w:pPr>
        <w:pStyle w:val="Instructionsberschrift3"/>
        <w:numPr>
          <w:ilvl w:val="0"/>
          <w:numId w:val="0"/>
        </w:numPr>
        <w:ind w:left="720"/>
      </w:pPr>
      <w:r>
        <w:t>Erläuterungen zu bestimmten Positionen</w:t>
      </w:r>
    </w:p>
    <w:tbl>
      <w:tblPr>
        <w:tblW w:w="9083" w:type="dxa"/>
        <w:tblLayout w:type="fixed"/>
        <w:tblCellMar>
          <w:top w:w="57" w:type="dxa"/>
          <w:left w:w="57" w:type="dxa"/>
          <w:bottom w:w="57" w:type="dxa"/>
          <w:right w:w="0" w:type="dxa"/>
        </w:tblCellMar>
        <w:tblLook w:val="01E0" w:firstRow="1" w:lastRow="1" w:firstColumn="1" w:lastColumn="1" w:noHBand="0" w:noVBand="0"/>
      </w:tblPr>
      <w:tblGrid>
        <w:gridCol w:w="1191"/>
        <w:gridCol w:w="7892"/>
      </w:tblGrid>
      <w:tr w:rsidR="00696584" w14:paraId="7FE1B850" w14:textId="77777777">
        <w:tc>
          <w:tcPr>
            <w:tcW w:w="1191" w:type="dxa"/>
            <w:tcBorders>
              <w:top w:val="single" w:sz="4" w:space="0" w:color="1A171C"/>
              <w:left w:val="nil"/>
              <w:bottom w:val="single" w:sz="4" w:space="0" w:color="1A171C"/>
              <w:right w:val="single" w:sz="4" w:space="0" w:color="1A171C"/>
            </w:tcBorders>
            <w:shd w:val="clear" w:color="auto" w:fill="E4E5E5"/>
          </w:tcPr>
          <w:p w14:paraId="7FE1B84E" w14:textId="77777777" w:rsidR="00696584" w:rsidRDefault="002C4F63">
            <w:pPr>
              <w:pStyle w:val="P68B1DB1-TableParagraph17"/>
              <w:spacing w:before="108"/>
              <w:ind w:left="85"/>
              <w:jc w:val="both"/>
            </w:pPr>
            <w:r>
              <w:t>Spalten</w:t>
            </w:r>
          </w:p>
        </w:tc>
        <w:tc>
          <w:tcPr>
            <w:tcW w:w="7892" w:type="dxa"/>
            <w:tcBorders>
              <w:top w:val="single" w:sz="4" w:space="0" w:color="1A171C"/>
              <w:left w:val="single" w:sz="4" w:space="0" w:color="1A171C"/>
              <w:bottom w:val="single" w:sz="4" w:space="0" w:color="1A171C"/>
              <w:right w:val="nil"/>
            </w:tcBorders>
            <w:shd w:val="clear" w:color="auto" w:fill="E4E5E5"/>
          </w:tcPr>
          <w:p w14:paraId="7FE1B84F" w14:textId="77777777" w:rsidR="00696584" w:rsidRDefault="002C4F63">
            <w:pPr>
              <w:pStyle w:val="P68B1DB1-TableParagraph17"/>
              <w:spacing w:before="108"/>
              <w:ind w:left="85" w:right="1"/>
              <w:jc w:val="both"/>
            </w:pPr>
            <w:r>
              <w:t>Erläuterungen</w:t>
            </w:r>
          </w:p>
        </w:tc>
      </w:tr>
      <w:tr w:rsidR="00696584" w14:paraId="7FE1B853" w14:textId="77777777">
        <w:tc>
          <w:tcPr>
            <w:tcW w:w="1191" w:type="dxa"/>
            <w:tcBorders>
              <w:top w:val="single" w:sz="4" w:space="0" w:color="1A171C"/>
              <w:left w:val="nil"/>
              <w:bottom w:val="single" w:sz="4" w:space="0" w:color="1A171C"/>
              <w:right w:val="single" w:sz="4" w:space="0" w:color="1A171C"/>
            </w:tcBorders>
          </w:tcPr>
          <w:p w14:paraId="7FE1B851" w14:textId="77777777" w:rsidR="00696584" w:rsidRDefault="002C4F63">
            <w:pPr>
              <w:pStyle w:val="P68B1DB1-TableParagraph17"/>
              <w:spacing w:before="108"/>
              <w:ind w:left="85"/>
              <w:jc w:val="both"/>
            </w:pPr>
            <w:r>
              <w:t>0010-0020</w:t>
            </w:r>
          </w:p>
        </w:tc>
        <w:tc>
          <w:tcPr>
            <w:tcW w:w="7892" w:type="dxa"/>
            <w:tcBorders>
              <w:top w:val="single" w:sz="4" w:space="0" w:color="1A171C"/>
              <w:left w:val="single" w:sz="4" w:space="0" w:color="1A171C"/>
              <w:bottom w:val="single" w:sz="4" w:space="0" w:color="1A171C"/>
              <w:right w:val="nil"/>
            </w:tcBorders>
          </w:tcPr>
          <w:p w14:paraId="7FE1B852" w14:textId="5BBDBB82" w:rsidR="00696584" w:rsidRDefault="002C4F63">
            <w:pPr>
              <w:pStyle w:val="P68B1DB1-TableParagraph14"/>
              <w:spacing w:before="108"/>
              <w:ind w:left="85"/>
              <w:jc w:val="both"/>
              <w:rPr>
                <w:rFonts w:eastAsia="Cambria"/>
              </w:rPr>
            </w:pPr>
            <w:r>
              <w:t>Rechtspersönlichkeit</w:t>
            </w:r>
          </w:p>
        </w:tc>
      </w:tr>
      <w:tr w:rsidR="00696584" w14:paraId="7FE1B857" w14:textId="77777777">
        <w:tc>
          <w:tcPr>
            <w:tcW w:w="1191" w:type="dxa"/>
            <w:tcBorders>
              <w:top w:val="single" w:sz="4" w:space="0" w:color="1A171C"/>
              <w:left w:val="nil"/>
              <w:bottom w:val="single" w:sz="4" w:space="0" w:color="1A171C"/>
              <w:right w:val="single" w:sz="4" w:space="0" w:color="1A171C"/>
            </w:tcBorders>
          </w:tcPr>
          <w:p w14:paraId="7FE1B854" w14:textId="77777777" w:rsidR="00696584" w:rsidRDefault="002C4F63">
            <w:pPr>
              <w:pStyle w:val="P68B1DB1-TableParagraph17"/>
              <w:spacing w:before="108"/>
              <w:ind w:left="85"/>
              <w:jc w:val="both"/>
            </w:pPr>
            <w:r>
              <w:t>0010</w:t>
            </w:r>
          </w:p>
        </w:tc>
        <w:tc>
          <w:tcPr>
            <w:tcW w:w="7892" w:type="dxa"/>
            <w:tcBorders>
              <w:top w:val="single" w:sz="4" w:space="0" w:color="1A171C"/>
              <w:left w:val="single" w:sz="4" w:space="0" w:color="1A171C"/>
              <w:bottom w:val="single" w:sz="4" w:space="0" w:color="1A171C"/>
              <w:right w:val="nil"/>
            </w:tcBorders>
          </w:tcPr>
          <w:p w14:paraId="7FE1B855" w14:textId="77777777" w:rsidR="00696584" w:rsidRDefault="002C4F63">
            <w:pPr>
              <w:pStyle w:val="P68B1DB1-TableParagraph14"/>
              <w:spacing w:before="108"/>
              <w:ind w:left="85"/>
              <w:jc w:val="both"/>
              <w:rPr>
                <w:bCs/>
              </w:rPr>
            </w:pPr>
            <w:r>
              <w:t>Name des Unternehmens</w:t>
            </w:r>
          </w:p>
          <w:p w14:paraId="7FE1B856" w14:textId="16A1B5FB" w:rsidR="00696584" w:rsidRDefault="002C4F63">
            <w:pPr>
              <w:pStyle w:val="P68B1DB1-TableParagraph17"/>
              <w:spacing w:before="108"/>
              <w:ind w:left="85"/>
              <w:jc w:val="both"/>
            </w:pPr>
            <w:r>
              <w:t xml:space="preserve">Bezeichnung des Unternehmens gemäß Meldebogen Z 01.01 – Rechtliche Einheiten (ORG 1) </w:t>
            </w:r>
          </w:p>
        </w:tc>
      </w:tr>
      <w:tr w:rsidR="00696584" w14:paraId="7FE1B85C" w14:textId="77777777">
        <w:tc>
          <w:tcPr>
            <w:tcW w:w="1191" w:type="dxa"/>
            <w:tcBorders>
              <w:top w:val="single" w:sz="4" w:space="0" w:color="1A171C"/>
              <w:left w:val="nil"/>
              <w:bottom w:val="single" w:sz="4" w:space="0" w:color="1A171C"/>
              <w:right w:val="single" w:sz="4" w:space="0" w:color="1A171C"/>
            </w:tcBorders>
          </w:tcPr>
          <w:p w14:paraId="7FE1B858" w14:textId="77777777" w:rsidR="00696584" w:rsidRDefault="002C4F63">
            <w:pPr>
              <w:pStyle w:val="P68B1DB1-TableParagraph17"/>
              <w:spacing w:before="108"/>
              <w:ind w:left="85"/>
              <w:jc w:val="both"/>
            </w:pPr>
            <w:r>
              <w:t>0020</w:t>
            </w:r>
          </w:p>
        </w:tc>
        <w:tc>
          <w:tcPr>
            <w:tcW w:w="7892" w:type="dxa"/>
            <w:tcBorders>
              <w:top w:val="single" w:sz="4" w:space="0" w:color="1A171C"/>
              <w:left w:val="single" w:sz="4" w:space="0" w:color="1A171C"/>
              <w:bottom w:val="single" w:sz="4" w:space="0" w:color="1A171C"/>
              <w:right w:val="nil"/>
            </w:tcBorders>
          </w:tcPr>
          <w:p w14:paraId="7FE1B859" w14:textId="74CFF64A" w:rsidR="00696584" w:rsidRDefault="002C4F63">
            <w:pPr>
              <w:pStyle w:val="P68B1DB1-TableParagraph14"/>
              <w:spacing w:before="108"/>
              <w:ind w:left="85"/>
              <w:jc w:val="both"/>
              <w:rPr>
                <w:bCs/>
              </w:rPr>
            </w:pPr>
            <w:r>
              <w:t xml:space="preserve">Code </w:t>
            </w:r>
          </w:p>
          <w:p w14:paraId="7FE1B85A" w14:textId="532EB445" w:rsidR="00696584" w:rsidRDefault="002C4F63">
            <w:pPr>
              <w:pStyle w:val="P68B1DB1-TableParagraph17"/>
              <w:spacing w:before="108"/>
              <w:ind w:left="85"/>
              <w:jc w:val="both"/>
            </w:pPr>
            <w:r>
              <w:t>Kennung des Unternehmens gemäß Meldebogen Z 01.01 – Rechtsträger (ORG 1)</w:t>
            </w:r>
          </w:p>
          <w:p w14:paraId="7FE1B85B" w14:textId="77777777" w:rsidR="00696584" w:rsidRDefault="002C4F63">
            <w:pPr>
              <w:pStyle w:val="P68B1DB1-TableParagraph17"/>
              <w:spacing w:before="108"/>
              <w:ind w:left="85"/>
              <w:jc w:val="both"/>
            </w:pPr>
            <w:r>
              <w:t>Dieser Code ist eine Zeilenkennung und bezeichnet jeweils eine spezifische Zeile des Meldebogens.</w:t>
            </w:r>
          </w:p>
        </w:tc>
      </w:tr>
      <w:tr w:rsidR="00696584" w14:paraId="7FE1B85F" w14:textId="77777777">
        <w:tc>
          <w:tcPr>
            <w:tcW w:w="1191" w:type="dxa"/>
            <w:tcBorders>
              <w:top w:val="single" w:sz="4" w:space="0" w:color="1A171C"/>
              <w:left w:val="nil"/>
              <w:bottom w:val="single" w:sz="4" w:space="0" w:color="1A171C"/>
              <w:right w:val="single" w:sz="4" w:space="0" w:color="1A171C"/>
            </w:tcBorders>
          </w:tcPr>
          <w:p w14:paraId="7FE1B85D" w14:textId="77777777" w:rsidR="00696584" w:rsidRDefault="002C4F63">
            <w:pPr>
              <w:pStyle w:val="P68B1DB1-TableParagraph17"/>
              <w:spacing w:before="108"/>
              <w:ind w:left="85"/>
              <w:jc w:val="both"/>
            </w:pPr>
            <w:r>
              <w:t>0030-0040</w:t>
            </w:r>
          </w:p>
        </w:tc>
        <w:tc>
          <w:tcPr>
            <w:tcW w:w="7892" w:type="dxa"/>
            <w:tcBorders>
              <w:top w:val="single" w:sz="4" w:space="0" w:color="1A171C"/>
              <w:left w:val="single" w:sz="4" w:space="0" w:color="1A171C"/>
              <w:bottom w:val="single" w:sz="4" w:space="0" w:color="1A171C"/>
              <w:right w:val="nil"/>
            </w:tcBorders>
          </w:tcPr>
          <w:p w14:paraId="7FE1B85E" w14:textId="77777777" w:rsidR="00696584" w:rsidRDefault="002C4F63">
            <w:pPr>
              <w:pStyle w:val="P68B1DB1-TableParagraph14"/>
              <w:spacing w:before="108"/>
              <w:ind w:left="85"/>
              <w:jc w:val="both"/>
              <w:rPr>
                <w:bCs/>
              </w:rPr>
            </w:pPr>
            <w:r>
              <w:t>Mitgliedschaft in einem Einlagensicherungssystem</w:t>
            </w:r>
          </w:p>
        </w:tc>
      </w:tr>
      <w:tr w:rsidR="00696584" w14:paraId="7FE1B8AE" w14:textId="77777777">
        <w:tc>
          <w:tcPr>
            <w:tcW w:w="1191" w:type="dxa"/>
            <w:tcBorders>
              <w:top w:val="single" w:sz="4" w:space="0" w:color="1A171C"/>
              <w:left w:val="nil"/>
              <w:bottom w:val="single" w:sz="4" w:space="0" w:color="1A171C"/>
              <w:right w:val="single" w:sz="4" w:space="0" w:color="1A171C"/>
            </w:tcBorders>
          </w:tcPr>
          <w:p w14:paraId="7FE1B860" w14:textId="77777777" w:rsidR="00696584" w:rsidRDefault="002C4F63">
            <w:pPr>
              <w:pStyle w:val="P68B1DB1-TableParagraph17"/>
              <w:spacing w:before="108"/>
              <w:ind w:left="85"/>
              <w:jc w:val="both"/>
            </w:pPr>
            <w:r>
              <w:t>0030</w:t>
            </w:r>
          </w:p>
        </w:tc>
        <w:tc>
          <w:tcPr>
            <w:tcW w:w="7892" w:type="dxa"/>
            <w:tcBorders>
              <w:top w:val="single" w:sz="4" w:space="0" w:color="1A171C"/>
              <w:left w:val="single" w:sz="4" w:space="0" w:color="1A171C"/>
              <w:bottom w:val="single" w:sz="4" w:space="0" w:color="1A171C"/>
              <w:right w:val="nil"/>
            </w:tcBorders>
          </w:tcPr>
          <w:p w14:paraId="7FE1B861" w14:textId="77777777" w:rsidR="00696584" w:rsidRDefault="002C4F63">
            <w:pPr>
              <w:pStyle w:val="P68B1DB1-TableParagraph14"/>
              <w:spacing w:before="108"/>
              <w:ind w:left="85"/>
              <w:jc w:val="both"/>
              <w:rPr>
                <w:bCs/>
              </w:rPr>
            </w:pPr>
            <w:r>
              <w:t>DGS</w:t>
            </w:r>
          </w:p>
          <w:p w14:paraId="7FE1B862" w14:textId="41C69940" w:rsidR="00696584" w:rsidRDefault="002C4F63">
            <w:pPr>
              <w:pStyle w:val="P68B1DB1-TableParagraph17"/>
              <w:spacing w:before="108"/>
              <w:ind w:left="85"/>
              <w:jc w:val="both"/>
            </w:pPr>
            <w:r>
              <w:t>Artikel 4 Absatz 3 der Richtlinie 2014/49/EU</w:t>
            </w:r>
          </w:p>
          <w:p w14:paraId="7FE1B863" w14:textId="69286A38" w:rsidR="00696584" w:rsidRDefault="002C4F63">
            <w:pPr>
              <w:pStyle w:val="P68B1DB1-TableParagraph17"/>
              <w:spacing w:before="108"/>
              <w:ind w:left="85"/>
              <w:jc w:val="both"/>
            </w:pPr>
            <w:r>
              <w:t xml:space="preserve">Bezeichnung des amtlich anerkannten Einlagensicherungssystems, dem das Unternehmen im Einklang mit der Richtlinie 2014/49/EU angehört. Es handelt es sich um das Einlagensicherungssystem im </w:t>
            </w:r>
            <w:r w:rsidR="00401B63">
              <w:t>Sitzmitgliedstaat</w:t>
            </w:r>
            <w:r>
              <w:t xml:space="preserve"> des Unternehmens und nicht um andere Einlagensicherungssysteme, die den Kunden des Unternehmens in anderen Mitgliedstaaten über die dortige Zweigstelle gegebenenfalls zusätzlichen Schutz („top up“) bieten. Ist ein Institut Mitglied eines institutsbezogenen Sicherungssystems, bei dem es sich überdies um ein amtlich anerkanntes Einlagensicherungssystem im Sinne von Artikel 4 Absatz 2 der Richtlinie 2014/49/EU handelt, haben die Bezeichnungen des Einlagensicherungssystems und des in Zeile 0050 angegebenen institutsbezogenen Sicherungssystems übereinzustimmen.</w:t>
            </w:r>
          </w:p>
          <w:p w14:paraId="7FE1B864" w14:textId="4E7FD191" w:rsidR="00696584" w:rsidRDefault="002C4F63">
            <w:pPr>
              <w:pStyle w:val="P68B1DB1-TableParagraph17"/>
              <w:spacing w:before="108"/>
              <w:ind w:left="85"/>
              <w:jc w:val="both"/>
            </w:pPr>
            <w:r>
              <w:t xml:space="preserve">Das Unternehmen wählt in jedem </w:t>
            </w:r>
            <w:r w:rsidR="00F1241E">
              <w:t>Sitzstaat</w:t>
            </w:r>
            <w:r>
              <w:t xml:space="preserve"> eines der folgenden Einlagensicherungssysteme:</w:t>
            </w:r>
          </w:p>
          <w:p w14:paraId="7FE1B865" w14:textId="77777777" w:rsidR="00696584" w:rsidRDefault="002C4F63">
            <w:pPr>
              <w:pStyle w:val="P68B1DB1-TableParagraph28"/>
              <w:spacing w:before="108"/>
              <w:ind w:left="85"/>
              <w:jc w:val="both"/>
            </w:pPr>
            <w:r>
              <w:t>Österreich</w:t>
            </w:r>
          </w:p>
          <w:p w14:paraId="7FE1B866" w14:textId="06E61B6A" w:rsidR="00696584" w:rsidRDefault="00FF5CEE">
            <w:pPr>
              <w:pStyle w:val="P68B1DB1-TableParagraph17"/>
              <w:numPr>
                <w:ilvl w:val="0"/>
                <w:numId w:val="70"/>
              </w:numPr>
              <w:spacing w:before="108"/>
              <w:jc w:val="both"/>
            </w:pPr>
            <w:r>
              <w:t>„</w:t>
            </w:r>
            <w:r w:rsidR="002C4F63">
              <w:t>Einlagensicherung AUSTRIA Ges.m.b.H.</w:t>
            </w:r>
            <w:r>
              <w:t>“</w:t>
            </w:r>
            <w:r w:rsidR="002C4F63">
              <w:t xml:space="preserve">‚ </w:t>
            </w:r>
          </w:p>
          <w:p w14:paraId="7FE1B867" w14:textId="77777777" w:rsidR="00696584" w:rsidRDefault="002C4F63">
            <w:pPr>
              <w:pStyle w:val="P68B1DB1-TableParagraph17"/>
              <w:numPr>
                <w:ilvl w:val="0"/>
                <w:numId w:val="70"/>
              </w:numPr>
              <w:spacing w:before="108"/>
              <w:jc w:val="both"/>
            </w:pPr>
            <w:r>
              <w:lastRenderedPageBreak/>
              <w:t>„Sparkassen-Haftungs GmbH“</w:t>
            </w:r>
          </w:p>
          <w:p w14:paraId="7FE1B868" w14:textId="77777777" w:rsidR="00696584" w:rsidRDefault="002C4F63">
            <w:pPr>
              <w:pStyle w:val="P68B1DB1-TableParagraph17"/>
              <w:numPr>
                <w:ilvl w:val="0"/>
                <w:numId w:val="70"/>
              </w:numPr>
              <w:spacing w:before="108"/>
              <w:jc w:val="both"/>
            </w:pPr>
            <w:r>
              <w:t>„Österreichische Raiffeisen-Sicherungseinrichtung eGen“</w:t>
            </w:r>
          </w:p>
          <w:p w14:paraId="7FE1B869" w14:textId="77777777" w:rsidR="00696584" w:rsidRDefault="002C4F63">
            <w:pPr>
              <w:pStyle w:val="P68B1DB1-TableParagraph28"/>
              <w:spacing w:before="108"/>
              <w:ind w:left="85"/>
              <w:jc w:val="both"/>
            </w:pPr>
            <w:r>
              <w:t>Belgien</w:t>
            </w:r>
          </w:p>
          <w:p w14:paraId="7FE1B86A" w14:textId="77777777" w:rsidR="00696584" w:rsidRDefault="002C4F63">
            <w:pPr>
              <w:pStyle w:val="P68B1DB1-TableParagraph17"/>
              <w:numPr>
                <w:ilvl w:val="0"/>
                <w:numId w:val="70"/>
              </w:numPr>
              <w:spacing w:before="108"/>
              <w:jc w:val="both"/>
            </w:pPr>
            <w:r>
              <w:t>„Garantiefonds voor financiële diensten/Fonds de garantie pour les services financiers“</w:t>
            </w:r>
          </w:p>
          <w:p w14:paraId="7FE1B86B" w14:textId="77777777" w:rsidR="00696584" w:rsidRDefault="002C4F63">
            <w:pPr>
              <w:pStyle w:val="P68B1DB1-TableParagraph28"/>
              <w:spacing w:before="108"/>
              <w:ind w:left="85"/>
              <w:jc w:val="both"/>
            </w:pPr>
            <w:r>
              <w:t>Bulgarien</w:t>
            </w:r>
          </w:p>
          <w:p w14:paraId="7FE1B86C" w14:textId="33BABCB1" w:rsidR="00696584" w:rsidRDefault="002C4F63">
            <w:pPr>
              <w:pStyle w:val="P68B1DB1-TableParagraph17"/>
              <w:numPr>
                <w:ilvl w:val="0"/>
                <w:numId w:val="70"/>
              </w:numPr>
              <w:spacing w:before="108"/>
              <w:jc w:val="both"/>
            </w:pPr>
            <w:r>
              <w:t>„Фонд за гарантиране на влоговете в банките“</w:t>
            </w:r>
          </w:p>
          <w:p w14:paraId="7FE1B86D" w14:textId="77777777" w:rsidR="00696584" w:rsidRDefault="002C4F63">
            <w:pPr>
              <w:pStyle w:val="P68B1DB1-TableParagraph28"/>
              <w:spacing w:before="108"/>
              <w:ind w:left="85"/>
              <w:jc w:val="both"/>
            </w:pPr>
            <w:r>
              <w:t>Kroatien</w:t>
            </w:r>
          </w:p>
          <w:p w14:paraId="7FE1B86E" w14:textId="77777777" w:rsidR="00696584" w:rsidRDefault="002C4F63">
            <w:pPr>
              <w:pStyle w:val="P68B1DB1-TableParagraph17"/>
              <w:numPr>
                <w:ilvl w:val="0"/>
                <w:numId w:val="70"/>
              </w:numPr>
              <w:spacing w:before="108"/>
              <w:jc w:val="both"/>
            </w:pPr>
            <w:r>
              <w:t>„Hrvatska agencija za osiguranje depozita“</w:t>
            </w:r>
          </w:p>
          <w:p w14:paraId="7FE1B86F" w14:textId="77777777" w:rsidR="00696584" w:rsidRDefault="002C4F63">
            <w:pPr>
              <w:pStyle w:val="P68B1DB1-TableParagraph28"/>
              <w:spacing w:before="108"/>
              <w:ind w:left="85"/>
              <w:jc w:val="both"/>
            </w:pPr>
            <w:r>
              <w:t>Zypern</w:t>
            </w:r>
          </w:p>
          <w:p w14:paraId="7FE1B870" w14:textId="77777777" w:rsidR="00696584" w:rsidRDefault="002C4F63">
            <w:pPr>
              <w:pStyle w:val="P68B1DB1-TableParagraph17"/>
              <w:numPr>
                <w:ilvl w:val="0"/>
                <w:numId w:val="70"/>
              </w:numPr>
              <w:spacing w:before="108"/>
              <w:jc w:val="both"/>
            </w:pPr>
            <w:r>
              <w:t>„Σύστημα Εγγύησης των Καταθέσεων και Εξυγίανσης Πιστωτικών και Άλλων Ιδρυμάτων“</w:t>
            </w:r>
          </w:p>
          <w:p w14:paraId="7FE1B871" w14:textId="44B6638F" w:rsidR="00696584" w:rsidRDefault="00FF5CEE">
            <w:pPr>
              <w:pStyle w:val="P68B1DB1-TableParagraph28"/>
              <w:spacing w:before="108"/>
              <w:ind w:left="85"/>
              <w:jc w:val="both"/>
            </w:pPr>
            <w:r>
              <w:t>Tschechien</w:t>
            </w:r>
          </w:p>
          <w:p w14:paraId="7FE1B872" w14:textId="77777777" w:rsidR="00696584" w:rsidRDefault="002C4F63">
            <w:pPr>
              <w:pStyle w:val="P68B1DB1-TableParagraph17"/>
              <w:numPr>
                <w:ilvl w:val="0"/>
                <w:numId w:val="70"/>
              </w:numPr>
              <w:spacing w:before="108"/>
              <w:jc w:val="both"/>
            </w:pPr>
            <w:r>
              <w:t>„Garanční systém finančního trhu“</w:t>
            </w:r>
          </w:p>
          <w:p w14:paraId="7FE1B873" w14:textId="77777777" w:rsidR="00696584" w:rsidRDefault="002C4F63">
            <w:pPr>
              <w:pStyle w:val="P68B1DB1-TableParagraph28"/>
              <w:spacing w:before="108"/>
              <w:ind w:left="85"/>
              <w:jc w:val="both"/>
            </w:pPr>
            <w:r>
              <w:t>Dänemark</w:t>
            </w:r>
          </w:p>
          <w:p w14:paraId="7FE1B874" w14:textId="77777777" w:rsidR="00696584" w:rsidRDefault="002C4F63">
            <w:pPr>
              <w:pStyle w:val="P68B1DB1-TableParagraph17"/>
              <w:numPr>
                <w:ilvl w:val="0"/>
                <w:numId w:val="70"/>
              </w:numPr>
              <w:spacing w:before="108"/>
              <w:jc w:val="both"/>
            </w:pPr>
            <w:r>
              <w:t>„Garantiformuen“</w:t>
            </w:r>
          </w:p>
          <w:p w14:paraId="7FE1B875" w14:textId="77777777" w:rsidR="00696584" w:rsidRDefault="002C4F63">
            <w:pPr>
              <w:pStyle w:val="P68B1DB1-TableParagraph28"/>
              <w:spacing w:before="108"/>
              <w:ind w:left="85"/>
              <w:jc w:val="both"/>
            </w:pPr>
            <w:r>
              <w:t xml:space="preserve">Estland </w:t>
            </w:r>
          </w:p>
          <w:p w14:paraId="7FE1B876" w14:textId="77777777" w:rsidR="00696584" w:rsidRDefault="002C4F63">
            <w:pPr>
              <w:pStyle w:val="P68B1DB1-TableParagraph17"/>
              <w:numPr>
                <w:ilvl w:val="0"/>
                <w:numId w:val="70"/>
              </w:numPr>
              <w:spacing w:before="108"/>
              <w:jc w:val="both"/>
            </w:pPr>
            <w:r>
              <w:t>„Tagastisfond“</w:t>
            </w:r>
          </w:p>
          <w:p w14:paraId="7FE1B877" w14:textId="77777777" w:rsidR="00696584" w:rsidRDefault="002C4F63">
            <w:pPr>
              <w:pStyle w:val="P68B1DB1-TableParagraph28"/>
              <w:spacing w:before="108"/>
              <w:ind w:left="85"/>
              <w:jc w:val="both"/>
            </w:pPr>
            <w:r>
              <w:t xml:space="preserve">Finnland </w:t>
            </w:r>
          </w:p>
          <w:p w14:paraId="7FE1B878" w14:textId="77777777" w:rsidR="00696584" w:rsidRDefault="002C4F63">
            <w:pPr>
              <w:pStyle w:val="P68B1DB1-TableParagraph17"/>
              <w:numPr>
                <w:ilvl w:val="0"/>
                <w:numId w:val="70"/>
              </w:numPr>
              <w:spacing w:before="108"/>
              <w:jc w:val="both"/>
            </w:pPr>
            <w:r>
              <w:t>„Talletussuojarahasto“</w:t>
            </w:r>
          </w:p>
          <w:p w14:paraId="7FE1B879" w14:textId="77777777" w:rsidR="00696584" w:rsidRDefault="002C4F63">
            <w:pPr>
              <w:pStyle w:val="P68B1DB1-TableParagraph28"/>
              <w:spacing w:before="108"/>
              <w:ind w:left="85"/>
              <w:jc w:val="both"/>
            </w:pPr>
            <w:r>
              <w:t>Frankreich</w:t>
            </w:r>
          </w:p>
          <w:p w14:paraId="7FE1B87A" w14:textId="77777777" w:rsidR="00696584" w:rsidRDefault="002C4F63">
            <w:pPr>
              <w:pStyle w:val="P68B1DB1-TableParagraph17"/>
              <w:numPr>
                <w:ilvl w:val="0"/>
                <w:numId w:val="70"/>
              </w:numPr>
              <w:spacing w:before="108"/>
              <w:jc w:val="both"/>
            </w:pPr>
            <w:r>
              <w:t>„Fonds de Garantie des Dépôts et de Résolution“</w:t>
            </w:r>
          </w:p>
          <w:p w14:paraId="7FE1B87B" w14:textId="77777777" w:rsidR="00696584" w:rsidRDefault="002C4F63">
            <w:pPr>
              <w:pStyle w:val="P68B1DB1-TableParagraph28"/>
              <w:spacing w:before="108"/>
              <w:ind w:left="85"/>
              <w:jc w:val="both"/>
            </w:pPr>
            <w:r>
              <w:t xml:space="preserve">Deutschland </w:t>
            </w:r>
          </w:p>
          <w:p w14:paraId="7FE1B87C" w14:textId="77777777" w:rsidR="00696584" w:rsidRDefault="002C4F63">
            <w:pPr>
              <w:pStyle w:val="P68B1DB1-TableParagraph17"/>
              <w:numPr>
                <w:ilvl w:val="0"/>
                <w:numId w:val="70"/>
              </w:numPr>
              <w:spacing w:before="108"/>
              <w:jc w:val="both"/>
            </w:pPr>
            <w:r>
              <w:t>„Entschädigungseinrichtung deutscher Banken GmbH“</w:t>
            </w:r>
          </w:p>
          <w:p w14:paraId="7FE1B87D" w14:textId="77777777" w:rsidR="00696584" w:rsidRDefault="002C4F63">
            <w:pPr>
              <w:pStyle w:val="P68B1DB1-TableParagraph17"/>
              <w:numPr>
                <w:ilvl w:val="0"/>
                <w:numId w:val="70"/>
              </w:numPr>
              <w:spacing w:before="108"/>
              <w:jc w:val="both"/>
            </w:pPr>
            <w:r>
              <w:t>„Entschädigungseinrichtung des Bundesverbandes Öffentlicher Banken Deutschlands GmbH“</w:t>
            </w:r>
          </w:p>
          <w:p w14:paraId="7FE1B87E" w14:textId="77777777" w:rsidR="00696584" w:rsidRDefault="002C4F63">
            <w:pPr>
              <w:pStyle w:val="P68B1DB1-TableParagraph17"/>
              <w:numPr>
                <w:ilvl w:val="0"/>
                <w:numId w:val="70"/>
              </w:numPr>
              <w:spacing w:before="108"/>
              <w:jc w:val="both"/>
            </w:pPr>
            <w:r>
              <w:t>„Sicherungseinrichtung des Deutschen Sparkassen- und Giroverbandes (DSGV-Haftungsverbund)“</w:t>
            </w:r>
          </w:p>
          <w:p w14:paraId="7FE1B87F" w14:textId="77777777" w:rsidR="00696584" w:rsidRDefault="002C4F63">
            <w:pPr>
              <w:pStyle w:val="P68B1DB1-TableParagraph17"/>
              <w:numPr>
                <w:ilvl w:val="0"/>
                <w:numId w:val="70"/>
              </w:numPr>
              <w:spacing w:before="108"/>
              <w:jc w:val="both"/>
            </w:pPr>
            <w:r>
              <w:t>„BVR Institutssicherung GmbH“</w:t>
            </w:r>
          </w:p>
          <w:p w14:paraId="7FE1B882" w14:textId="77777777" w:rsidR="00696584" w:rsidRDefault="002C4F63">
            <w:pPr>
              <w:pStyle w:val="P68B1DB1-TableParagraph28"/>
              <w:spacing w:before="108"/>
              <w:ind w:left="85"/>
              <w:jc w:val="both"/>
            </w:pPr>
            <w:r>
              <w:t xml:space="preserve">Griechenland </w:t>
            </w:r>
          </w:p>
          <w:p w14:paraId="7FE1B883" w14:textId="77777777" w:rsidR="00696584" w:rsidRDefault="002C4F63">
            <w:pPr>
              <w:pStyle w:val="P68B1DB1-TableParagraph17"/>
              <w:numPr>
                <w:ilvl w:val="0"/>
                <w:numId w:val="70"/>
              </w:numPr>
              <w:spacing w:before="108"/>
              <w:jc w:val="both"/>
            </w:pPr>
            <w:r>
              <w:t>„Ταμείο Εγγύησης Καταθέσεων και Επενδύσεων“</w:t>
            </w:r>
          </w:p>
          <w:p w14:paraId="7FE1B884" w14:textId="77777777" w:rsidR="00696584" w:rsidRDefault="002C4F63">
            <w:pPr>
              <w:pStyle w:val="P68B1DB1-TableParagraph28"/>
              <w:spacing w:before="108"/>
              <w:ind w:left="85"/>
              <w:jc w:val="both"/>
            </w:pPr>
            <w:r>
              <w:t xml:space="preserve">Ungarn </w:t>
            </w:r>
          </w:p>
          <w:p w14:paraId="7FE1B885" w14:textId="77777777" w:rsidR="00696584" w:rsidRDefault="002C4F63">
            <w:pPr>
              <w:pStyle w:val="P68B1DB1-TableParagraph17"/>
              <w:numPr>
                <w:ilvl w:val="0"/>
                <w:numId w:val="70"/>
              </w:numPr>
              <w:spacing w:before="108"/>
              <w:jc w:val="both"/>
            </w:pPr>
            <w:r>
              <w:t>„Országos Betétbiztosítási Alap“</w:t>
            </w:r>
          </w:p>
          <w:p w14:paraId="7FE1B886" w14:textId="77777777" w:rsidR="00696584" w:rsidRDefault="002C4F63">
            <w:pPr>
              <w:pStyle w:val="P68B1DB1-TableParagraph28"/>
              <w:spacing w:before="108"/>
              <w:ind w:left="85"/>
              <w:jc w:val="both"/>
            </w:pPr>
            <w:r>
              <w:t>Island</w:t>
            </w:r>
          </w:p>
          <w:p w14:paraId="7FE1B887" w14:textId="44E06D46" w:rsidR="00696584" w:rsidRDefault="002C4F63">
            <w:pPr>
              <w:pStyle w:val="P68B1DB1-TableParagraph17"/>
              <w:numPr>
                <w:ilvl w:val="0"/>
                <w:numId w:val="70"/>
              </w:numPr>
              <w:spacing w:before="108"/>
              <w:jc w:val="both"/>
            </w:pPr>
            <w:r>
              <w:t>„Tryggingarsjóður vegna fjármálafyrirtækja“</w:t>
            </w:r>
          </w:p>
          <w:p w14:paraId="7FE1B888" w14:textId="77777777" w:rsidR="00696584" w:rsidRDefault="002C4F63">
            <w:pPr>
              <w:pStyle w:val="P68B1DB1-TableParagraph28"/>
              <w:spacing w:before="108"/>
              <w:ind w:left="85"/>
              <w:jc w:val="both"/>
            </w:pPr>
            <w:r>
              <w:t>Irland</w:t>
            </w:r>
          </w:p>
          <w:p w14:paraId="7FE1B889" w14:textId="77777777" w:rsidR="00696584" w:rsidRDefault="002C4F63">
            <w:pPr>
              <w:pStyle w:val="P68B1DB1-TableParagraph17"/>
              <w:numPr>
                <w:ilvl w:val="0"/>
                <w:numId w:val="70"/>
              </w:numPr>
              <w:spacing w:before="108"/>
              <w:jc w:val="both"/>
            </w:pPr>
            <w:r>
              <w:t>„Irish Deposit Protection Scheme“</w:t>
            </w:r>
          </w:p>
          <w:p w14:paraId="7FE1B88A" w14:textId="77777777" w:rsidR="00696584" w:rsidRDefault="002C4F63">
            <w:pPr>
              <w:pStyle w:val="P68B1DB1-TableParagraph28"/>
              <w:spacing w:before="108"/>
              <w:ind w:left="85"/>
              <w:jc w:val="both"/>
            </w:pPr>
            <w:r>
              <w:t xml:space="preserve">Italien </w:t>
            </w:r>
          </w:p>
          <w:p w14:paraId="7FE1B88B" w14:textId="77777777" w:rsidR="00696584" w:rsidRDefault="002C4F63">
            <w:pPr>
              <w:pStyle w:val="P68B1DB1-TableParagraph17"/>
              <w:numPr>
                <w:ilvl w:val="0"/>
                <w:numId w:val="70"/>
              </w:numPr>
              <w:spacing w:before="108"/>
              <w:jc w:val="both"/>
            </w:pPr>
            <w:r>
              <w:t>„Fondo Interbancario di Tutela dei Depositi“</w:t>
            </w:r>
          </w:p>
          <w:p w14:paraId="7FE1B88C" w14:textId="77777777" w:rsidR="00696584" w:rsidRPr="000D7090" w:rsidRDefault="002C4F63">
            <w:pPr>
              <w:pStyle w:val="P68B1DB1-TableParagraph17"/>
              <w:numPr>
                <w:ilvl w:val="0"/>
                <w:numId w:val="70"/>
              </w:numPr>
              <w:spacing w:before="108"/>
              <w:jc w:val="both"/>
              <w:rPr>
                <w:lang w:val="en-GB"/>
              </w:rPr>
            </w:pPr>
            <w:r w:rsidRPr="000D7090">
              <w:rPr>
                <w:lang w:val="en-GB"/>
              </w:rPr>
              <w:t>„Fondo di Garanzia dei Depositanti del Credito Cooperativo“</w:t>
            </w:r>
          </w:p>
          <w:p w14:paraId="7FE1B88D" w14:textId="77777777" w:rsidR="00696584" w:rsidRDefault="002C4F63">
            <w:pPr>
              <w:pStyle w:val="P68B1DB1-TableParagraph28"/>
              <w:spacing w:before="108"/>
              <w:ind w:left="85"/>
              <w:jc w:val="both"/>
            </w:pPr>
            <w:r>
              <w:t>Lettland</w:t>
            </w:r>
          </w:p>
          <w:p w14:paraId="7FE1B88E" w14:textId="77777777" w:rsidR="00696584" w:rsidRDefault="002C4F63">
            <w:pPr>
              <w:pStyle w:val="P68B1DB1-TableParagraph17"/>
              <w:numPr>
                <w:ilvl w:val="0"/>
                <w:numId w:val="70"/>
              </w:numPr>
              <w:spacing w:before="108"/>
              <w:jc w:val="both"/>
            </w:pPr>
            <w:r>
              <w:lastRenderedPageBreak/>
              <w:t>„Latvijas Noguldījumu garantiju fonds“</w:t>
            </w:r>
          </w:p>
          <w:p w14:paraId="7FE1B88F" w14:textId="77777777" w:rsidR="00696584" w:rsidRDefault="002C4F63">
            <w:pPr>
              <w:pStyle w:val="P68B1DB1-TableParagraph28"/>
              <w:spacing w:before="108"/>
              <w:ind w:left="85"/>
              <w:jc w:val="both"/>
            </w:pPr>
            <w:r>
              <w:t xml:space="preserve">Liechtenstein </w:t>
            </w:r>
          </w:p>
          <w:p w14:paraId="7FE1B890" w14:textId="77777777" w:rsidR="00696584" w:rsidRDefault="002C4F63">
            <w:pPr>
              <w:pStyle w:val="P68B1DB1-TableParagraph17"/>
              <w:numPr>
                <w:ilvl w:val="0"/>
                <w:numId w:val="70"/>
              </w:numPr>
              <w:spacing w:before="108"/>
              <w:jc w:val="both"/>
            </w:pPr>
            <w:r>
              <w:t>„Einlagensicherungs- und Anlegerentschädigungs-Stiftung SV“</w:t>
            </w:r>
          </w:p>
          <w:p w14:paraId="7FE1B891" w14:textId="77777777" w:rsidR="00696584" w:rsidRDefault="002C4F63">
            <w:pPr>
              <w:pStyle w:val="P68B1DB1-TableParagraph28"/>
              <w:spacing w:before="108"/>
              <w:ind w:left="85"/>
              <w:jc w:val="both"/>
            </w:pPr>
            <w:r>
              <w:t>Litauen</w:t>
            </w:r>
          </w:p>
          <w:p w14:paraId="7FE1B892" w14:textId="77777777" w:rsidR="00696584" w:rsidRDefault="002C4F63">
            <w:pPr>
              <w:pStyle w:val="P68B1DB1-TableParagraph17"/>
              <w:numPr>
                <w:ilvl w:val="0"/>
                <w:numId w:val="70"/>
              </w:numPr>
              <w:spacing w:before="108"/>
              <w:jc w:val="both"/>
            </w:pPr>
            <w:r>
              <w:t>„Indėlių ir investicijų draudimas“</w:t>
            </w:r>
          </w:p>
          <w:p w14:paraId="7FE1B893" w14:textId="77777777" w:rsidR="00696584" w:rsidRDefault="002C4F63">
            <w:pPr>
              <w:pStyle w:val="P68B1DB1-TableParagraph28"/>
              <w:spacing w:before="108"/>
              <w:ind w:left="85"/>
              <w:jc w:val="both"/>
            </w:pPr>
            <w:r>
              <w:t>Luxemburg</w:t>
            </w:r>
          </w:p>
          <w:p w14:paraId="7FE1B894" w14:textId="59F3019A" w:rsidR="00696584" w:rsidRDefault="002C4F63">
            <w:pPr>
              <w:pStyle w:val="P68B1DB1-TableParagraph17"/>
              <w:numPr>
                <w:ilvl w:val="0"/>
                <w:numId w:val="70"/>
              </w:numPr>
              <w:spacing w:before="108"/>
              <w:jc w:val="both"/>
            </w:pPr>
            <w:r>
              <w:t>„Fonds de garantie des dépôts Luxembourg“</w:t>
            </w:r>
          </w:p>
          <w:p w14:paraId="7FE1B895" w14:textId="77777777" w:rsidR="00696584" w:rsidRDefault="002C4F63">
            <w:pPr>
              <w:pStyle w:val="P68B1DB1-TableParagraph28"/>
              <w:spacing w:before="108"/>
              <w:ind w:left="85"/>
              <w:jc w:val="both"/>
            </w:pPr>
            <w:r>
              <w:t>Malta</w:t>
            </w:r>
          </w:p>
          <w:p w14:paraId="7FE1B896" w14:textId="77777777" w:rsidR="00696584" w:rsidRDefault="002C4F63">
            <w:pPr>
              <w:pStyle w:val="P68B1DB1-TableParagraph17"/>
              <w:numPr>
                <w:ilvl w:val="0"/>
                <w:numId w:val="70"/>
              </w:numPr>
              <w:spacing w:before="108"/>
              <w:jc w:val="both"/>
            </w:pPr>
            <w:r>
              <w:t>„Depositor Compensation Scheme“</w:t>
            </w:r>
          </w:p>
          <w:p w14:paraId="7FE1B897" w14:textId="77777777" w:rsidR="00696584" w:rsidRDefault="002C4F63">
            <w:pPr>
              <w:pStyle w:val="P68B1DB1-TableParagraph28"/>
              <w:spacing w:before="108"/>
              <w:ind w:left="85"/>
              <w:jc w:val="both"/>
            </w:pPr>
            <w:r>
              <w:t xml:space="preserve">Niederlande </w:t>
            </w:r>
          </w:p>
          <w:p w14:paraId="7FE1B898" w14:textId="77777777" w:rsidR="00696584" w:rsidRDefault="002C4F63">
            <w:pPr>
              <w:pStyle w:val="P68B1DB1-TableParagraph17"/>
              <w:numPr>
                <w:ilvl w:val="0"/>
                <w:numId w:val="70"/>
              </w:numPr>
              <w:spacing w:before="108"/>
              <w:jc w:val="both"/>
            </w:pPr>
            <w:r>
              <w:t>„De Nederlandsche Bank, Depositogarantiestelsel“</w:t>
            </w:r>
          </w:p>
          <w:p w14:paraId="7FE1B899" w14:textId="77777777" w:rsidR="00696584" w:rsidRDefault="002C4F63">
            <w:pPr>
              <w:pStyle w:val="P68B1DB1-TableParagraph28"/>
              <w:spacing w:before="108"/>
              <w:ind w:left="85"/>
              <w:jc w:val="both"/>
            </w:pPr>
            <w:r>
              <w:t>Norwegen</w:t>
            </w:r>
          </w:p>
          <w:p w14:paraId="7FE1B89A" w14:textId="77777777" w:rsidR="00696584" w:rsidRDefault="002C4F63">
            <w:pPr>
              <w:pStyle w:val="P68B1DB1-TableParagraph17"/>
              <w:numPr>
                <w:ilvl w:val="0"/>
                <w:numId w:val="70"/>
              </w:numPr>
              <w:spacing w:before="108"/>
              <w:jc w:val="both"/>
            </w:pPr>
            <w:r>
              <w:t>„Bankenes sikringsfond“</w:t>
            </w:r>
          </w:p>
          <w:p w14:paraId="7FE1B89B" w14:textId="77777777" w:rsidR="00696584" w:rsidRDefault="002C4F63">
            <w:pPr>
              <w:pStyle w:val="P68B1DB1-TableParagraph28"/>
              <w:spacing w:before="108"/>
              <w:ind w:left="85"/>
              <w:jc w:val="both"/>
            </w:pPr>
            <w:r>
              <w:t>Polen</w:t>
            </w:r>
          </w:p>
          <w:p w14:paraId="7FE1B89C" w14:textId="77777777" w:rsidR="00696584" w:rsidRDefault="002C4F63">
            <w:pPr>
              <w:pStyle w:val="P68B1DB1-TableParagraph17"/>
              <w:numPr>
                <w:ilvl w:val="0"/>
                <w:numId w:val="70"/>
              </w:numPr>
              <w:spacing w:before="108"/>
              <w:jc w:val="both"/>
            </w:pPr>
            <w:r>
              <w:t>„Bankowy Fundusz Gwarancyjny“</w:t>
            </w:r>
          </w:p>
          <w:p w14:paraId="7FE1B89D" w14:textId="77777777" w:rsidR="00696584" w:rsidRDefault="002C4F63">
            <w:pPr>
              <w:pStyle w:val="P68B1DB1-TableParagraph28"/>
              <w:spacing w:before="108"/>
              <w:ind w:left="85"/>
              <w:jc w:val="both"/>
            </w:pPr>
            <w:r>
              <w:t>Portugal</w:t>
            </w:r>
          </w:p>
          <w:p w14:paraId="7FE1B89E" w14:textId="77777777" w:rsidR="00696584" w:rsidRDefault="002C4F63">
            <w:pPr>
              <w:pStyle w:val="P68B1DB1-TableParagraph17"/>
              <w:numPr>
                <w:ilvl w:val="0"/>
                <w:numId w:val="70"/>
              </w:numPr>
              <w:spacing w:before="108"/>
              <w:jc w:val="both"/>
            </w:pPr>
            <w:r>
              <w:t>„Fundo de Garantia de Depósitos“</w:t>
            </w:r>
          </w:p>
          <w:p w14:paraId="7FE1B89F" w14:textId="77777777" w:rsidR="00696584" w:rsidRPr="000D7090" w:rsidRDefault="002C4F63">
            <w:pPr>
              <w:pStyle w:val="P68B1DB1-TableParagraph17"/>
              <w:numPr>
                <w:ilvl w:val="0"/>
                <w:numId w:val="70"/>
              </w:numPr>
              <w:spacing w:before="108"/>
              <w:jc w:val="both"/>
              <w:rPr>
                <w:lang w:val="en-GB"/>
              </w:rPr>
            </w:pPr>
            <w:r w:rsidRPr="000D7090">
              <w:rPr>
                <w:lang w:val="en-GB"/>
              </w:rPr>
              <w:t>„Fundo de Garantia do Crédito Agrícola Mútuo“</w:t>
            </w:r>
          </w:p>
          <w:p w14:paraId="7FE1B8A0" w14:textId="77777777" w:rsidR="00696584" w:rsidRDefault="002C4F63">
            <w:pPr>
              <w:pStyle w:val="P68B1DB1-TableParagraph28"/>
              <w:spacing w:before="108"/>
              <w:ind w:left="85"/>
              <w:jc w:val="both"/>
            </w:pPr>
            <w:r>
              <w:t>Rumänien</w:t>
            </w:r>
          </w:p>
          <w:p w14:paraId="7FE1B8A1" w14:textId="77777777" w:rsidR="00696584" w:rsidRDefault="002C4F63">
            <w:pPr>
              <w:pStyle w:val="P68B1DB1-TableParagraph17"/>
              <w:numPr>
                <w:ilvl w:val="0"/>
                <w:numId w:val="70"/>
              </w:numPr>
              <w:spacing w:before="108"/>
              <w:jc w:val="both"/>
            </w:pPr>
            <w:r>
              <w:t>„Fondul de Garantare a Depozitelor in Sistemul Bancar“</w:t>
            </w:r>
          </w:p>
          <w:p w14:paraId="7FE1B8A2" w14:textId="77777777" w:rsidR="00696584" w:rsidRDefault="002C4F63">
            <w:pPr>
              <w:pStyle w:val="P68B1DB1-TableParagraph28"/>
              <w:spacing w:before="108"/>
              <w:ind w:left="85"/>
              <w:jc w:val="both"/>
            </w:pPr>
            <w:r>
              <w:t>Slowakei</w:t>
            </w:r>
          </w:p>
          <w:p w14:paraId="7FE1B8A3" w14:textId="77777777" w:rsidR="00696584" w:rsidRDefault="002C4F63">
            <w:pPr>
              <w:pStyle w:val="P68B1DB1-TableParagraph17"/>
              <w:numPr>
                <w:ilvl w:val="0"/>
                <w:numId w:val="70"/>
              </w:numPr>
              <w:spacing w:before="108"/>
              <w:jc w:val="both"/>
            </w:pPr>
            <w:r>
              <w:t>„Fond ochrany vkladov“</w:t>
            </w:r>
          </w:p>
          <w:p w14:paraId="7FE1B8A4" w14:textId="77777777" w:rsidR="00696584" w:rsidRDefault="002C4F63">
            <w:pPr>
              <w:pStyle w:val="P68B1DB1-TableParagraph28"/>
              <w:spacing w:before="108"/>
              <w:ind w:left="85"/>
              <w:jc w:val="both"/>
            </w:pPr>
            <w:r>
              <w:t xml:space="preserve">Slowenien </w:t>
            </w:r>
          </w:p>
          <w:p w14:paraId="7FE1B8A5" w14:textId="77777777" w:rsidR="00696584" w:rsidRDefault="002C4F63">
            <w:pPr>
              <w:pStyle w:val="P68B1DB1-TableParagraph17"/>
              <w:numPr>
                <w:ilvl w:val="0"/>
                <w:numId w:val="70"/>
              </w:numPr>
              <w:spacing w:before="108"/>
              <w:jc w:val="both"/>
            </w:pPr>
            <w:r>
              <w:t>„Banka Slovenije“</w:t>
            </w:r>
          </w:p>
          <w:p w14:paraId="7FE1B8A6" w14:textId="77777777" w:rsidR="00696584" w:rsidRDefault="002C4F63">
            <w:pPr>
              <w:pStyle w:val="P68B1DB1-TableParagraph28"/>
              <w:spacing w:before="108"/>
              <w:ind w:left="85"/>
              <w:jc w:val="both"/>
            </w:pPr>
            <w:r>
              <w:t>Spanien</w:t>
            </w:r>
          </w:p>
          <w:p w14:paraId="7FE1B8A7" w14:textId="77777777" w:rsidR="00696584" w:rsidRDefault="002C4F63">
            <w:pPr>
              <w:pStyle w:val="P68B1DB1-TableParagraph17"/>
              <w:numPr>
                <w:ilvl w:val="0"/>
                <w:numId w:val="70"/>
              </w:numPr>
              <w:spacing w:before="108"/>
              <w:jc w:val="both"/>
            </w:pPr>
            <w:r>
              <w:t>„Fondo de Garantía de Depósitos de Entidades de Crédito“</w:t>
            </w:r>
          </w:p>
          <w:p w14:paraId="7FE1B8A8" w14:textId="77777777" w:rsidR="00696584" w:rsidRDefault="002C4F63">
            <w:pPr>
              <w:pStyle w:val="P68B1DB1-TableParagraph28"/>
              <w:spacing w:before="108"/>
              <w:ind w:left="85"/>
              <w:jc w:val="both"/>
            </w:pPr>
            <w:r>
              <w:t>Schweden</w:t>
            </w:r>
          </w:p>
          <w:p w14:paraId="7FE1B8A9" w14:textId="77777777" w:rsidR="00696584" w:rsidRDefault="002C4F63">
            <w:pPr>
              <w:pStyle w:val="P68B1DB1-TableParagraph17"/>
              <w:numPr>
                <w:ilvl w:val="0"/>
                <w:numId w:val="70"/>
              </w:numPr>
              <w:spacing w:before="108"/>
              <w:jc w:val="both"/>
            </w:pPr>
            <w:r>
              <w:t>„Riksgälden“</w:t>
            </w:r>
          </w:p>
          <w:p w14:paraId="7FE1B8AC" w14:textId="77777777" w:rsidR="00696584" w:rsidRDefault="00696584">
            <w:pPr>
              <w:pStyle w:val="TableParagraph"/>
              <w:spacing w:before="108"/>
              <w:ind w:left="85"/>
              <w:jc w:val="both"/>
              <w:rPr>
                <w:rFonts w:ascii="Times New Roman" w:eastAsia="Cambria" w:hAnsi="Times New Roman" w:cs="Times New Roman"/>
                <w:color w:val="000000" w:themeColor="text1"/>
                <w:sz w:val="20"/>
                <w:szCs w:val="20"/>
              </w:rPr>
            </w:pPr>
          </w:p>
          <w:p w14:paraId="7FE1B8AD" w14:textId="77777777" w:rsidR="00696584" w:rsidRDefault="002C4F63">
            <w:pPr>
              <w:pStyle w:val="P68B1DB1-TableParagraph17"/>
              <w:spacing w:before="108"/>
              <w:ind w:left="85"/>
              <w:jc w:val="both"/>
            </w:pPr>
            <w:r>
              <w:t>Ist das amtlich anerkannte Einlagensicherungssystem, dem das Unternehmen angehört, hier nicht angeführt, ist „Sonstige“ anzugeben.</w:t>
            </w:r>
          </w:p>
        </w:tc>
      </w:tr>
      <w:tr w:rsidR="00696584" w14:paraId="7FE1B8B3" w14:textId="77777777">
        <w:tc>
          <w:tcPr>
            <w:tcW w:w="1191" w:type="dxa"/>
            <w:tcBorders>
              <w:top w:val="single" w:sz="4" w:space="0" w:color="1A171C"/>
              <w:left w:val="nil"/>
              <w:bottom w:val="single" w:sz="4" w:space="0" w:color="1A171C"/>
              <w:right w:val="single" w:sz="4" w:space="0" w:color="1A171C"/>
            </w:tcBorders>
          </w:tcPr>
          <w:p w14:paraId="7FE1B8AF" w14:textId="77777777" w:rsidR="00696584" w:rsidRDefault="002C4F63">
            <w:pPr>
              <w:pStyle w:val="P68B1DB1-TableParagraph17"/>
              <w:spacing w:before="108"/>
              <w:ind w:left="85"/>
              <w:jc w:val="both"/>
            </w:pPr>
            <w:r>
              <w:lastRenderedPageBreak/>
              <w:t>0040</w:t>
            </w:r>
          </w:p>
        </w:tc>
        <w:tc>
          <w:tcPr>
            <w:tcW w:w="7892" w:type="dxa"/>
            <w:tcBorders>
              <w:top w:val="single" w:sz="4" w:space="0" w:color="1A171C"/>
              <w:left w:val="single" w:sz="4" w:space="0" w:color="1A171C"/>
              <w:bottom w:val="single" w:sz="4" w:space="0" w:color="1A171C"/>
              <w:right w:val="nil"/>
            </w:tcBorders>
          </w:tcPr>
          <w:p w14:paraId="7FE1B8B0" w14:textId="77777777" w:rsidR="00696584" w:rsidRDefault="002C4F63">
            <w:pPr>
              <w:pStyle w:val="P68B1DB1-TableParagraph14"/>
              <w:spacing w:before="108"/>
              <w:ind w:left="85"/>
              <w:jc w:val="both"/>
              <w:rPr>
                <w:bCs/>
              </w:rPr>
            </w:pPr>
            <w:r>
              <w:t>Gedeckte Einlagen</w:t>
            </w:r>
          </w:p>
          <w:p w14:paraId="7FE1B8B1" w14:textId="77777777" w:rsidR="00696584" w:rsidRDefault="002C4F63">
            <w:pPr>
              <w:pStyle w:val="P68B1DB1-TableParagraph17"/>
              <w:spacing w:before="108"/>
              <w:ind w:left="85"/>
            </w:pPr>
            <w:r>
              <w:t>Artikel 2 Absatz 1, Nummer 5 und Artikel 6 Absatz 2 der Richtlinie 2014/49/EU</w:t>
            </w:r>
          </w:p>
          <w:p w14:paraId="7FE1B8B2" w14:textId="77777777" w:rsidR="00696584" w:rsidRDefault="002C4F63">
            <w:pPr>
              <w:pStyle w:val="P68B1DB1-TableParagraph17"/>
              <w:spacing w:before="108"/>
              <w:ind w:left="85"/>
              <w:jc w:val="both"/>
            </w:pPr>
            <w:r>
              <w:t>Der Betrag der gedeckten Einlagen im Sinne von Artikel 2 Absatz 1 Nummer 5 in Verbindung mit Artikel 6 der Richtlinie 2014/49/EU, der unter das in Zeile 0030 angegebene Einlagensicherungssystem fällt, mit Ausnahme der in Artikel 6 Absatz 2 dieser Richtlinie genannten vorübergehend höheren Beträge.</w:t>
            </w:r>
          </w:p>
        </w:tc>
      </w:tr>
      <w:tr w:rsidR="00696584" w14:paraId="7FE1B8B9" w14:textId="77777777">
        <w:tc>
          <w:tcPr>
            <w:tcW w:w="1191" w:type="dxa"/>
            <w:tcBorders>
              <w:top w:val="single" w:sz="4" w:space="0" w:color="1A171C"/>
              <w:left w:val="nil"/>
              <w:bottom w:val="single" w:sz="4" w:space="0" w:color="1A171C"/>
              <w:right w:val="single" w:sz="4" w:space="0" w:color="1A171C"/>
            </w:tcBorders>
          </w:tcPr>
          <w:p w14:paraId="7FE1B8B4" w14:textId="77777777" w:rsidR="00696584" w:rsidRDefault="002C4F63">
            <w:pPr>
              <w:pStyle w:val="P68B1DB1-TableParagraph17"/>
              <w:spacing w:before="108"/>
              <w:ind w:left="85"/>
              <w:jc w:val="both"/>
            </w:pPr>
            <w:r>
              <w:t>0050</w:t>
            </w:r>
          </w:p>
        </w:tc>
        <w:tc>
          <w:tcPr>
            <w:tcW w:w="7892" w:type="dxa"/>
            <w:tcBorders>
              <w:top w:val="single" w:sz="4" w:space="0" w:color="1A171C"/>
              <w:left w:val="single" w:sz="4" w:space="0" w:color="1A171C"/>
              <w:bottom w:val="single" w:sz="4" w:space="0" w:color="1A171C"/>
              <w:right w:val="nil"/>
            </w:tcBorders>
          </w:tcPr>
          <w:p w14:paraId="7FE1B8B5" w14:textId="77777777" w:rsidR="00696584" w:rsidRDefault="002C4F63">
            <w:pPr>
              <w:pStyle w:val="P68B1DB1-TableParagraph14"/>
              <w:spacing w:before="108"/>
              <w:ind w:left="85"/>
              <w:jc w:val="both"/>
              <w:rPr>
                <w:bCs/>
              </w:rPr>
            </w:pPr>
            <w:r>
              <w:t>Institutsbezogenes Sicherungssystem</w:t>
            </w:r>
          </w:p>
          <w:p w14:paraId="7FE1B8B6" w14:textId="77777777" w:rsidR="00696584" w:rsidRDefault="002C4F63">
            <w:pPr>
              <w:pStyle w:val="P68B1DB1-TableParagraph17"/>
              <w:spacing w:before="108"/>
              <w:ind w:left="85"/>
            </w:pPr>
            <w:r>
              <w:t>Artikel 113 Absatz 7 der Verordnung (EU) Nr. 575/2013</w:t>
            </w:r>
          </w:p>
          <w:p w14:paraId="7FE1B8B7" w14:textId="77777777" w:rsidR="00696584" w:rsidRDefault="002C4F63">
            <w:pPr>
              <w:pStyle w:val="P68B1DB1-TableParagraph17"/>
              <w:spacing w:before="108"/>
              <w:ind w:left="85"/>
              <w:jc w:val="both"/>
            </w:pPr>
            <w:r>
              <w:lastRenderedPageBreak/>
              <w:t>Bezeichnung des institutsbezogenen Sicherungssystems im Sinne von Artikel 113 Absatz 7 der Verordnung (EU) Nr. 575/2013 dem das Unternehmen angehört. Gehört das Unternehmen keinem institutsbezogenen Sicherungssystem an, ist keine Angabe zu machen. Ist ein Institut Mitglied eines institutsbezogenen Sicherungssystems, bei dem es sich überdies um ein amtlich anerkanntes Einlagensicherungssystem im Sinne von Artikel 4 Absatz 2 der Richtlinie 2014/49/EU handelt, haben die Bezeichnungen des institutsbezogenen Sicherungssystems und des in Zeile 030 angegebenen Einlagensicherungssystems übereinzustimmen.</w:t>
            </w:r>
          </w:p>
          <w:p w14:paraId="7FE1B8B8" w14:textId="77777777" w:rsidR="00696584" w:rsidRDefault="00696584">
            <w:pPr>
              <w:pStyle w:val="TableParagraph"/>
              <w:spacing w:before="108"/>
              <w:ind w:left="85"/>
              <w:jc w:val="both"/>
              <w:rPr>
                <w:rFonts w:ascii="Times New Roman" w:eastAsia="Cambria" w:hAnsi="Times New Roman" w:cs="Times New Roman"/>
                <w:color w:val="000000" w:themeColor="text1"/>
                <w:sz w:val="20"/>
                <w:szCs w:val="20"/>
              </w:rPr>
            </w:pPr>
          </w:p>
        </w:tc>
      </w:tr>
      <w:tr w:rsidR="00696584" w14:paraId="7FE1B8BE" w14:textId="77777777">
        <w:tc>
          <w:tcPr>
            <w:tcW w:w="1191" w:type="dxa"/>
            <w:tcBorders>
              <w:top w:val="single" w:sz="4" w:space="0" w:color="1A171C"/>
              <w:left w:val="nil"/>
              <w:bottom w:val="single" w:sz="4" w:space="0" w:color="1A171C"/>
              <w:right w:val="single" w:sz="4" w:space="0" w:color="1A171C"/>
            </w:tcBorders>
          </w:tcPr>
          <w:p w14:paraId="7FE1B8BA" w14:textId="77777777" w:rsidR="00696584" w:rsidRDefault="002C4F63">
            <w:pPr>
              <w:pStyle w:val="P68B1DB1-TableParagraph17"/>
              <w:spacing w:before="108"/>
              <w:ind w:left="85"/>
              <w:jc w:val="both"/>
            </w:pPr>
            <w:r>
              <w:lastRenderedPageBreak/>
              <w:t>0060</w:t>
            </w:r>
          </w:p>
        </w:tc>
        <w:tc>
          <w:tcPr>
            <w:tcW w:w="7892" w:type="dxa"/>
            <w:tcBorders>
              <w:top w:val="single" w:sz="4" w:space="0" w:color="1A171C"/>
              <w:left w:val="single" w:sz="4" w:space="0" w:color="1A171C"/>
              <w:bottom w:val="single" w:sz="4" w:space="0" w:color="1A171C"/>
              <w:right w:val="nil"/>
            </w:tcBorders>
          </w:tcPr>
          <w:p w14:paraId="7FE1B8BB" w14:textId="77777777" w:rsidR="00696584" w:rsidRDefault="002C4F63">
            <w:pPr>
              <w:pStyle w:val="P68B1DB1-TableParagraph14"/>
              <w:spacing w:before="108"/>
              <w:ind w:left="85"/>
              <w:jc w:val="both"/>
              <w:rPr>
                <w:bCs/>
              </w:rPr>
            </w:pPr>
            <w:r>
              <w:t>Zusätzlicher Schutz im Rahmen eines vertraglichen Systems</w:t>
            </w:r>
          </w:p>
          <w:p w14:paraId="7FE1B8BC" w14:textId="77777777" w:rsidR="00696584" w:rsidRDefault="002C4F63">
            <w:pPr>
              <w:pStyle w:val="P68B1DB1-TableParagraph17"/>
              <w:spacing w:before="108"/>
              <w:ind w:left="85"/>
            </w:pPr>
            <w:r>
              <w:t>Artikel 1 Absatz 3 Buchstabe a der Richtlinie 2014/49/EU</w:t>
            </w:r>
          </w:p>
          <w:p w14:paraId="7FE1B8BD" w14:textId="77777777" w:rsidR="00696584" w:rsidRDefault="002C4F63">
            <w:pPr>
              <w:pStyle w:val="P68B1DB1-TableParagraph17"/>
              <w:spacing w:before="108"/>
              <w:ind w:left="85"/>
              <w:jc w:val="both"/>
            </w:pPr>
            <w:r>
              <w:t>Betrag der Einlagen, die durch ein vertragliches System des Unternehmens gedeckt sind.</w:t>
            </w:r>
          </w:p>
        </w:tc>
      </w:tr>
    </w:tbl>
    <w:p w14:paraId="7FE1B8BF" w14:textId="77777777" w:rsidR="00696584" w:rsidRDefault="00696584">
      <w:pPr>
        <w:rPr>
          <w:rFonts w:ascii="Times New Roman" w:hAnsi="Times New Roman" w:cs="Times New Roman"/>
          <w:b/>
          <w:color w:val="000000" w:themeColor="text1"/>
          <w:sz w:val="20"/>
          <w:szCs w:val="20"/>
          <w:u w:val="single"/>
        </w:rPr>
      </w:pPr>
    </w:p>
    <w:p w14:paraId="7FE1B8C0" w14:textId="77777777" w:rsidR="00696584" w:rsidRDefault="002C4F63">
      <w:pPr>
        <w:pStyle w:val="P68B1DB1-Instructionsberschrift25"/>
        <w:numPr>
          <w:ilvl w:val="1"/>
          <w:numId w:val="49"/>
        </w:numPr>
        <w:ind w:left="357" w:hanging="357"/>
      </w:pPr>
      <w:bookmarkStart w:id="99" w:name="_Toc492542327"/>
      <w:bookmarkStart w:id="100" w:name="_Toc81454186"/>
      <w:bookmarkStart w:id="101" w:name="_Toc209533591"/>
      <w:r>
        <w:t>Kritische Funktionen und Kerngeschäftsbereiche</w:t>
      </w:r>
      <w:bookmarkEnd w:id="99"/>
      <w:bookmarkEnd w:id="100"/>
      <w:bookmarkEnd w:id="101"/>
    </w:p>
    <w:p w14:paraId="7FE1B8C2" w14:textId="77777777" w:rsidR="00696584" w:rsidRDefault="002C4F63">
      <w:pPr>
        <w:pStyle w:val="Instructionsberschrift3"/>
      </w:pPr>
      <w:bookmarkStart w:id="102" w:name="_Toc189492773"/>
      <w:bookmarkStart w:id="103" w:name="_Toc192249050"/>
      <w:bookmarkEnd w:id="102"/>
      <w:bookmarkEnd w:id="103"/>
      <w:r>
        <w:t>Allgemeine Bemerkungen</w:t>
      </w:r>
    </w:p>
    <w:p w14:paraId="7FE1B8C3" w14:textId="249305A0" w:rsidR="00696584" w:rsidRDefault="002C4F63">
      <w:pPr>
        <w:pStyle w:val="P68B1DB1-InstructionsText26"/>
        <w:numPr>
          <w:ilvl w:val="0"/>
          <w:numId w:val="232"/>
        </w:numPr>
        <w:spacing w:before="0"/>
      </w:pPr>
      <w:r>
        <w:t>Die vier Meldebögen zu diesem Themenkreis enthalten wichtige Angaben zu den wirtschaftlichen Funktionen, die die Gruppe wahrnimmt, eine qualitative Bewertung ihrer Auswirkungen, Substituierbarkeit und Wesentlichkeit sowie eine Aufschlüsselung dieser kritischen Funktionen nach Kerngeschäftsbereichen und Rechtsträgern.</w:t>
      </w:r>
    </w:p>
    <w:p w14:paraId="7FE1B8C4" w14:textId="77777777" w:rsidR="00696584" w:rsidRDefault="002C4F63">
      <w:pPr>
        <w:pStyle w:val="P68B1DB1-InstructionsText26"/>
        <w:numPr>
          <w:ilvl w:val="0"/>
          <w:numId w:val="232"/>
        </w:numPr>
        <w:spacing w:before="0"/>
      </w:pPr>
      <w:r>
        <w:t>Die Meldebögen betreffen die folgenden Themen:</w:t>
      </w:r>
    </w:p>
    <w:p w14:paraId="7FE1B8C5" w14:textId="24164BAE" w:rsidR="00696584" w:rsidRDefault="002C4F63">
      <w:pPr>
        <w:pStyle w:val="P68B1DB1-InstructionsText26"/>
        <w:numPr>
          <w:ilvl w:val="0"/>
          <w:numId w:val="153"/>
        </w:numPr>
        <w:spacing w:before="0"/>
      </w:pPr>
      <w:r>
        <w:t xml:space="preserve">Meldebogen Z 07.01 – Kritikalitätsbewertung wirtschaftlicher Funktionen (FUNC 1) enthält die Ergebnisse der Kritikalitätsbewertung der von der Gruppe ausgeübten wirtschaftlichen Funktionen auf der Grundlage quantitativer und qualitativer Indikatoren, der ausgeübten nicht kritischen und kritischen Funktionen. Für jeden Mitgliedstaat, in dem die Gruppe tätig ist, wird von der Gruppe eine gesonderte Vorlage erwartet. Für die </w:t>
      </w:r>
      <w:r w:rsidR="003139A0">
        <w:t xml:space="preserve">Meldung </w:t>
      </w:r>
      <w:r>
        <w:t>wurden folgende Kategorien wirtschaftlicher Funktionen ermittelt:</w:t>
      </w:r>
    </w:p>
    <w:p w14:paraId="7FE1B8C6" w14:textId="43527C6F" w:rsidR="00696584" w:rsidRDefault="002C4F63">
      <w:pPr>
        <w:pStyle w:val="P68B1DB1-InstructionsText26"/>
        <w:numPr>
          <w:ilvl w:val="1"/>
          <w:numId w:val="153"/>
        </w:numPr>
        <w:spacing w:before="0"/>
      </w:pPr>
      <w:r>
        <w:t>Z 07.01.1 Einlagen</w:t>
      </w:r>
    </w:p>
    <w:p w14:paraId="7FE1B8C7" w14:textId="46AB6183" w:rsidR="00696584" w:rsidRDefault="002C4F63">
      <w:pPr>
        <w:pStyle w:val="P68B1DB1-InstructionsText26"/>
        <w:numPr>
          <w:ilvl w:val="1"/>
          <w:numId w:val="153"/>
        </w:numPr>
        <w:spacing w:before="0"/>
      </w:pPr>
      <w:r>
        <w:t>Z 07.01.2 Kreditvergabe</w:t>
      </w:r>
    </w:p>
    <w:p w14:paraId="7FE1B8C8" w14:textId="676BBF36" w:rsidR="00696584" w:rsidRDefault="008E5478">
      <w:pPr>
        <w:pStyle w:val="P68B1DB1-InstructionsText26"/>
        <w:numPr>
          <w:ilvl w:val="1"/>
          <w:numId w:val="153"/>
        </w:numPr>
        <w:spacing w:before="0"/>
      </w:pPr>
      <w:r w:rsidRPr="000D7090">
        <w:rPr>
          <w:lang w:val="de-AT"/>
        </w:rPr>
        <w:t xml:space="preserve">Z 07.01.3 </w:t>
      </w:r>
      <w:r w:rsidR="002C4F63">
        <w:t>Zahlungen, Bargeld, Abwicklung, Clearing, Verwahrung</w:t>
      </w:r>
    </w:p>
    <w:p w14:paraId="7FE1B8C9" w14:textId="12E4110D" w:rsidR="00696584" w:rsidRDefault="002C4F63">
      <w:pPr>
        <w:pStyle w:val="P68B1DB1-InstructionsText26"/>
        <w:numPr>
          <w:ilvl w:val="1"/>
          <w:numId w:val="153"/>
        </w:numPr>
        <w:spacing w:before="0"/>
      </w:pPr>
      <w:r>
        <w:t>Z 07.01.4 Kapitalmärkte</w:t>
      </w:r>
    </w:p>
    <w:p w14:paraId="7FE1B8CA" w14:textId="02162CC7" w:rsidR="00696584" w:rsidRDefault="002C4F63">
      <w:pPr>
        <w:pStyle w:val="P68B1DB1-InstructionsText26"/>
        <w:numPr>
          <w:ilvl w:val="1"/>
          <w:numId w:val="153"/>
        </w:numPr>
        <w:spacing w:before="0"/>
      </w:pPr>
      <w:r>
        <w:t>Z 07.01.5 Großhandelsfinanzierung</w:t>
      </w:r>
    </w:p>
    <w:p w14:paraId="7FE1B8CB" w14:textId="006771C1" w:rsidR="00696584" w:rsidRDefault="002C4F63">
      <w:pPr>
        <w:pStyle w:val="P68B1DB1-InstructionsText26"/>
        <w:numPr>
          <w:ilvl w:val="0"/>
          <w:numId w:val="153"/>
        </w:numPr>
        <w:spacing w:before="0"/>
      </w:pPr>
      <w:r>
        <w:t>Meldebogen Z 07.02 – Zuordnung der wirtschaftlichen Funktionen zu juristischen Personen (FUNC 2) erfasst die in Z 07.01 bewerteten wirtschaftlichen Funktionen mit juristischen Personen oder internationalen Zweigniederlassungen gemäß Z 01.01.</w:t>
      </w:r>
    </w:p>
    <w:p w14:paraId="7FE1B8CC" w14:textId="0C5FD434" w:rsidR="00696584" w:rsidRDefault="002C4F63">
      <w:pPr>
        <w:pStyle w:val="P68B1DB1-InstructionsText26"/>
        <w:numPr>
          <w:ilvl w:val="0"/>
          <w:numId w:val="153"/>
        </w:numPr>
        <w:spacing w:before="0"/>
      </w:pPr>
      <w:r>
        <w:t>Im Meldebogen Z 07.03 – Kerngeschäftsbereiche nach Rechtsträgern (FUNC3) werden die Kerngeschäftsbereiche vollständig aufgelistet und nach Rechtsträgern aufgeschlüsselt.</w:t>
      </w:r>
    </w:p>
    <w:p w14:paraId="7FE1B8CD" w14:textId="780FA7AD" w:rsidR="00696584" w:rsidRDefault="002C4F63">
      <w:pPr>
        <w:pStyle w:val="P68B1DB1-InstructionsText26"/>
        <w:numPr>
          <w:ilvl w:val="0"/>
          <w:numId w:val="153"/>
        </w:numPr>
        <w:spacing w:before="0"/>
      </w:pPr>
      <w:r>
        <w:t xml:space="preserve">Im Meldebogen Z 07.04 – Kritische Funktionen in den Kerngeschäftsbereichen (FUNC4) werden die kritischen Funktionen nach Kerngeschäftsbereichen aufgeschlüsselt. </w:t>
      </w:r>
    </w:p>
    <w:p w14:paraId="7FE1B8CE" w14:textId="0BA07F41" w:rsidR="00696584" w:rsidRDefault="002C4F63">
      <w:pPr>
        <w:pStyle w:val="P68B1DB1-InstructionsText26"/>
        <w:numPr>
          <w:ilvl w:val="0"/>
          <w:numId w:val="232"/>
        </w:numPr>
        <w:spacing w:before="0"/>
      </w:pPr>
      <w:r>
        <w:t xml:space="preserve">Nach Artikel 2 Absatz 1 Nummer 35 der Richtlinie 2014/59/EU sind „kritische Funktionen“ Tätigkeiten, Dienstleistungen oder Geschäfte, deren Einstellung aufgrund der Größe, des Marktanteils, der externen und internen Verflechtungen, der Komplexität oder </w:t>
      </w:r>
      <w:r>
        <w:lastRenderedPageBreak/>
        <w:t xml:space="preserve">der grenzüberschreitenden Tätigkeiten eines Instituts oder einer Gruppe wahrscheinlich in einem oder mehreren Mitgliedstaaten die Unterbrechung von für die Realwirtschaft wesentlichen Dienstleistungen oder eine Störung der Finanzstabilität zur Folge hat, besonders mit Blick auf die Substituierbarkeit dieser Tätigkeiten, Dienstleistungen oder Geschäfte. </w:t>
      </w:r>
    </w:p>
    <w:p w14:paraId="7FE1B8D0" w14:textId="066206D0" w:rsidR="00696584" w:rsidRDefault="002C4F63">
      <w:pPr>
        <w:pStyle w:val="P68B1DB1-InstructionsText26"/>
        <w:numPr>
          <w:ilvl w:val="0"/>
          <w:numId w:val="232"/>
        </w:numPr>
        <w:spacing w:before="0"/>
      </w:pPr>
      <w:r>
        <w:t>Nach Artikel 6 Absatz 1 der Delegierten Verordnung (EU) 2016/778 der</w:t>
      </w:r>
      <w:r w:rsidR="00FF5CEE">
        <w:t xml:space="preserve"> Kommission </w:t>
      </w:r>
      <w:r w:rsidRPr="000D7090">
        <w:rPr>
          <w:vertAlign w:val="superscript"/>
        </w:rPr>
        <w:footnoteReference w:id="18"/>
      </w:r>
      <w:r>
        <w:t xml:space="preserve"> gilt eine Funktion als kritisch, wenn sie die beiden folgenden Voraussetzungen erfüllt:</w:t>
      </w:r>
    </w:p>
    <w:p w14:paraId="7FE1B8D1" w14:textId="77777777" w:rsidR="00696584" w:rsidRDefault="002C4F63">
      <w:pPr>
        <w:pStyle w:val="P68B1DB1-Normal3"/>
        <w:numPr>
          <w:ilvl w:val="0"/>
          <w:numId w:val="56"/>
        </w:numPr>
        <w:spacing w:line="276" w:lineRule="auto"/>
        <w:contextualSpacing/>
        <w:jc w:val="both"/>
      </w:pPr>
      <w:r>
        <w:t>die Funktion wird von einem Institut für Dritte erbracht, die nicht dem Institut oder der Gruppe angehören; und</w:t>
      </w:r>
    </w:p>
    <w:p w14:paraId="7FE1B8D2" w14:textId="77777777" w:rsidR="00696584" w:rsidRDefault="002C4F63">
      <w:pPr>
        <w:pStyle w:val="P68B1DB1-Normal3"/>
        <w:numPr>
          <w:ilvl w:val="0"/>
          <w:numId w:val="56"/>
        </w:numPr>
        <w:spacing w:line="276" w:lineRule="auto"/>
        <w:contextualSpacing/>
        <w:jc w:val="both"/>
        <w:rPr>
          <w:i/>
        </w:rPr>
      </w:pPr>
      <w:r>
        <w:t>der plötzliche Ausfall dieser Funktion hätte wahrscheinlich wesentliche negative Auswirkungen auf die Dritten, würde zu Ansteckung führen oder das allgemeine Vertrauen der Marktteilnehmer untergraben, da die Funktion für Dritte systemrelevant ist und das Ausüben der Funktion durch das Institut oder die Gruppe systemrelevant ist.</w:t>
      </w:r>
    </w:p>
    <w:p w14:paraId="7FE1B8D3" w14:textId="6B4413EC" w:rsidR="00696584" w:rsidRDefault="002C4F63">
      <w:pPr>
        <w:pStyle w:val="P68B1DB1-InstructionsText26"/>
        <w:numPr>
          <w:ilvl w:val="0"/>
          <w:numId w:val="232"/>
        </w:numPr>
        <w:spacing w:before="0"/>
      </w:pPr>
      <w:r>
        <w:t>Nach Artikel 2 Absatz 1 Nummer 36 der Richtlinie 2014/59/EU sind „Kerngeschäftsbereiche“ Geschäftsbereiche und damit verbundene Dienste, die für ein Institut oder eine Gruppe, der ein Institut angehört, wesentliche Quellen der Einnahmen, der Gewinne oder des Franchise-Werts darstellen.</w:t>
      </w:r>
    </w:p>
    <w:p w14:paraId="7FE1B8D4" w14:textId="77777777" w:rsidR="00696584" w:rsidRDefault="002C4F63">
      <w:pPr>
        <w:pStyle w:val="P68B1DB1-InstructionsText26"/>
        <w:numPr>
          <w:ilvl w:val="0"/>
          <w:numId w:val="232"/>
        </w:numPr>
        <w:spacing w:before="0"/>
      </w:pPr>
      <w:r>
        <w:t>Für die Zwecke dieses Meldebogens werden die wirtschaftlichen Funktionen anhand der nachstehenden Aufstellung aufgegliedert.</w:t>
      </w:r>
    </w:p>
    <w:p w14:paraId="7FE1B8D5" w14:textId="77777777" w:rsidR="00696584" w:rsidRDefault="002C4F63">
      <w:pPr>
        <w:pStyle w:val="P68B1DB1-InstructionsText26"/>
        <w:numPr>
          <w:ilvl w:val="0"/>
          <w:numId w:val="232"/>
        </w:numPr>
        <w:spacing w:before="0"/>
      </w:pPr>
      <w:r>
        <w:t>Für jede Kategorie wirtschaftlicher Funktionen kann die Angabe „Sonstige“ gewählt werden, wenn sich die Funktion nicht einer der vorgegebenen Arten zuordnen lässt.</w:t>
      </w:r>
    </w:p>
    <w:p w14:paraId="7FE1B8D6" w14:textId="77777777" w:rsidR="00696584" w:rsidRDefault="002C4F63">
      <w:pPr>
        <w:pStyle w:val="P68B1DB1-InstructionsText26"/>
        <w:numPr>
          <w:ilvl w:val="0"/>
          <w:numId w:val="232"/>
        </w:numPr>
        <w:spacing w:before="0"/>
      </w:pPr>
      <w:r>
        <w:t>Die in den Zeilen 0010 bis 0070 sowie 0080 bis 0150 zu meldenden Gegenparteien folgen der Brancheneinteilung in FINREP Anhang V Teil 1 Kapitel 6. Für KMU gilt die Festlegung in FINREP Anhang V Teil 1 Nummer 5 Buchstabe i.</w:t>
      </w:r>
    </w:p>
    <w:p w14:paraId="7FE1B8D7" w14:textId="4FEDF533" w:rsidR="00696584" w:rsidRDefault="002C4F63">
      <w:pPr>
        <w:pStyle w:val="P68B1DB1-InstructionsText229"/>
        <w:numPr>
          <w:ilvl w:val="0"/>
          <w:numId w:val="0"/>
        </w:numPr>
        <w:rPr>
          <w:sz w:val="20"/>
          <w:szCs w:val="20"/>
        </w:rPr>
      </w:pPr>
      <w:r>
        <w:rPr>
          <w:sz w:val="20"/>
          <w:szCs w:val="20"/>
        </w:rPr>
        <w:t>Für jede Kategorie der wirtschaftlichen Funktionen wird eine eigene Registerkarte erwartet.</w:t>
      </w:r>
      <w:r>
        <w:t xml:space="preserve"> </w:t>
      </w:r>
    </w:p>
    <w:p w14:paraId="072982A7" w14:textId="0688FD4A" w:rsidR="00696584" w:rsidRDefault="002C4F63">
      <w:pPr>
        <w:spacing w:after="200" w:line="276" w:lineRule="auto"/>
      </w:pPr>
      <w:r>
        <w:br w:type="page"/>
      </w:r>
    </w:p>
    <w:p w14:paraId="7FE1B95D" w14:textId="634EB818" w:rsidR="00696584" w:rsidRDefault="00696584">
      <w:pPr>
        <w:pStyle w:val="InstructionsText2"/>
        <w:numPr>
          <w:ilvl w:val="0"/>
          <w:numId w:val="0"/>
        </w:numPr>
        <w:rPr>
          <w:rFonts w:ascii="Times New Roman" w:hAnsi="Times New Roman" w:cs="Times New Roman"/>
          <w:color w:val="000000" w:themeColor="text1"/>
        </w:rPr>
      </w:pPr>
    </w:p>
    <w:p w14:paraId="7FE1B95E" w14:textId="77777777" w:rsidR="00696584" w:rsidRDefault="002C4F63">
      <w:pPr>
        <w:pStyle w:val="P68B1DB1-Instructionsberschrift25"/>
        <w:numPr>
          <w:ilvl w:val="1"/>
          <w:numId w:val="49"/>
        </w:numPr>
        <w:ind w:left="357" w:hanging="357"/>
      </w:pPr>
      <w:bookmarkStart w:id="104" w:name="_Toc209533592"/>
      <w:r>
        <w:t>Z 07.01 – Wesentlichkeit der wirtschaftlichen Funktionen (FUNC 1)</w:t>
      </w:r>
      <w:bookmarkEnd w:id="104"/>
    </w:p>
    <w:p w14:paraId="7FE1B961" w14:textId="77777777" w:rsidR="00696584" w:rsidRDefault="002C4F63">
      <w:pPr>
        <w:pStyle w:val="P68B1DB1-body30"/>
      </w:pPr>
      <w:bookmarkStart w:id="105" w:name="_Toc172723210"/>
      <w:bookmarkStart w:id="106" w:name="_Toc164263845"/>
      <w:bookmarkEnd w:id="105"/>
      <w:r>
        <w:t>Erläuterungen zu bestimmten Positionen</w:t>
      </w:r>
      <w:bookmarkEnd w:id="106"/>
    </w:p>
    <w:p w14:paraId="7FE1B963" w14:textId="77777777" w:rsidR="00696584" w:rsidRDefault="002C4F63">
      <w:pPr>
        <w:pStyle w:val="P68B1DB1-InstructionsText26"/>
        <w:numPr>
          <w:ilvl w:val="0"/>
          <w:numId w:val="232"/>
        </w:numPr>
        <w:spacing w:before="0"/>
      </w:pPr>
      <w:r>
        <w:t>Dieser Meldebogen ist für jeden Mitgliedstaat („Land“), in dem die Gruppe tätig ist, auszufüllen. In allen Fällen sind Zweigstellen (unabhängig vom Zugang) in Datenmeldungen auf Länderebene für das Land, in dem sie Dienstleistungen erbringen, zu aggregieren.</w:t>
      </w:r>
    </w:p>
    <w:p w14:paraId="7FE1B964" w14:textId="77777777" w:rsidR="00696584" w:rsidRDefault="002C4F63">
      <w:pPr>
        <w:pStyle w:val="P68B1DB1-InstructionsText26"/>
        <w:numPr>
          <w:ilvl w:val="0"/>
          <w:numId w:val="232"/>
        </w:numPr>
        <w:spacing w:before="0"/>
      </w:pPr>
      <w:r>
        <w:t>Er betrifft alle in diesem Mitgliedstaat von einem Unternehmen der Gruppe wahrgenommenen wirtschaftlichen Funktionen, unabhängig davon, ob es sich um kritische Funktionen handelt oder nicht.</w:t>
      </w:r>
    </w:p>
    <w:p w14:paraId="7FE1B965" w14:textId="00D25486" w:rsidR="00696584" w:rsidRDefault="002C4F63">
      <w:pPr>
        <w:pStyle w:val="P68B1DB1-InstructionsText26"/>
        <w:numPr>
          <w:ilvl w:val="0"/>
          <w:numId w:val="232"/>
        </w:numPr>
      </w:pPr>
      <w:r>
        <w:t xml:space="preserve">Regionale </w:t>
      </w:r>
      <w:r w:rsidR="003139A0">
        <w:t xml:space="preserve">Meldungen </w:t>
      </w:r>
      <w:r>
        <w:t>(nur wenn zutreffend)</w:t>
      </w:r>
    </w:p>
    <w:p w14:paraId="7FE1B966" w14:textId="226CA454" w:rsidR="00696584" w:rsidRDefault="002C4F63">
      <w:pPr>
        <w:pStyle w:val="P68B1DB1-InstructionsText26"/>
        <w:numPr>
          <w:ilvl w:val="0"/>
          <w:numId w:val="0"/>
        </w:numPr>
        <w:ind w:left="1440"/>
      </w:pPr>
      <w:r>
        <w:t>Zur Information auf Ebene einer Region ist die Region zu definieren. Geben Sie den Namen der Region in einem Freitext unter Verwendung der folgenden Konvention an:</w:t>
      </w:r>
    </w:p>
    <w:p w14:paraId="7FE1B967" w14:textId="5BD4C7F8" w:rsidR="00696584" w:rsidRDefault="002C4F63">
      <w:pPr>
        <w:pStyle w:val="P68B1DB1-InstructionsText26"/>
        <w:numPr>
          <w:ilvl w:val="0"/>
          <w:numId w:val="0"/>
        </w:numPr>
        <w:ind w:left="1440" w:firstLine="18"/>
      </w:pPr>
      <w:r>
        <w:t>Mitgliedstaat – Name der Region. Für den Namen der Mitgliedstaaten ist die entsprechende zweistellige Abkürzung zu verwenden. Für den Namen der Region sind die Codes der NUTS-Klassifikation 2021 zu verwenden.</w:t>
      </w:r>
    </w:p>
    <w:p w14:paraId="7FE1B968" w14:textId="77777777" w:rsidR="00696584" w:rsidRDefault="00696584">
      <w:pPr>
        <w:pStyle w:val="InstructionsText2"/>
        <w:numPr>
          <w:ilvl w:val="0"/>
          <w:numId w:val="0"/>
        </w:numPr>
        <w:rPr>
          <w:rFonts w:ascii="Times New Roman" w:hAnsi="Times New Roman" w:cs="Times New Roman"/>
          <w:sz w:val="20"/>
          <w:szCs w:val="20"/>
        </w:rPr>
      </w:pPr>
    </w:p>
    <w:tbl>
      <w:tblPr>
        <w:tblW w:w="9083" w:type="dxa"/>
        <w:tblLayout w:type="fixed"/>
        <w:tblCellMar>
          <w:top w:w="57" w:type="dxa"/>
          <w:left w:w="57" w:type="dxa"/>
          <w:bottom w:w="57" w:type="dxa"/>
          <w:right w:w="0" w:type="dxa"/>
        </w:tblCellMar>
        <w:tblLook w:val="01E0" w:firstRow="1" w:lastRow="1" w:firstColumn="1" w:lastColumn="1" w:noHBand="0" w:noVBand="0"/>
      </w:tblPr>
      <w:tblGrid>
        <w:gridCol w:w="1191"/>
        <w:gridCol w:w="7892"/>
      </w:tblGrid>
      <w:tr w:rsidR="00696584" w14:paraId="7FE1B96B" w14:textId="77777777">
        <w:trPr>
          <w:tblHeader/>
        </w:trPr>
        <w:tc>
          <w:tcPr>
            <w:tcW w:w="1191" w:type="dxa"/>
            <w:tcBorders>
              <w:top w:val="single" w:sz="4" w:space="0" w:color="1A171C"/>
              <w:left w:val="nil"/>
              <w:bottom w:val="single" w:sz="4" w:space="0" w:color="1A171C"/>
              <w:right w:val="single" w:sz="4" w:space="0" w:color="1A171C"/>
            </w:tcBorders>
            <w:shd w:val="clear" w:color="auto" w:fill="E4E5E5"/>
          </w:tcPr>
          <w:p w14:paraId="7FE1B969" w14:textId="77777777" w:rsidR="00696584" w:rsidRDefault="002C4F63">
            <w:pPr>
              <w:pStyle w:val="P68B1DB1-TableParagraph17"/>
              <w:spacing w:before="108"/>
              <w:ind w:left="85"/>
              <w:jc w:val="both"/>
            </w:pPr>
            <w:r>
              <w:t>Zeilen</w:t>
            </w:r>
          </w:p>
        </w:tc>
        <w:tc>
          <w:tcPr>
            <w:tcW w:w="7892" w:type="dxa"/>
            <w:tcBorders>
              <w:top w:val="single" w:sz="4" w:space="0" w:color="1A171C"/>
              <w:left w:val="single" w:sz="4" w:space="0" w:color="1A171C"/>
              <w:bottom w:val="single" w:sz="4" w:space="0" w:color="1A171C"/>
              <w:right w:val="nil"/>
            </w:tcBorders>
            <w:shd w:val="clear" w:color="auto" w:fill="E4E5E5"/>
          </w:tcPr>
          <w:p w14:paraId="7FE1B96A" w14:textId="77777777" w:rsidR="00696584" w:rsidRDefault="002C4F63">
            <w:pPr>
              <w:pStyle w:val="P68B1DB1-TableParagraph17"/>
              <w:spacing w:before="108"/>
              <w:ind w:left="85" w:right="1"/>
              <w:jc w:val="both"/>
            </w:pPr>
            <w:r>
              <w:t>Wirtschaftliche Funktion</w:t>
            </w:r>
          </w:p>
        </w:tc>
      </w:tr>
      <w:tr w:rsidR="00696584" w14:paraId="7FE1B970" w14:textId="77777777">
        <w:tc>
          <w:tcPr>
            <w:tcW w:w="9083" w:type="dxa"/>
            <w:gridSpan w:val="2"/>
            <w:tcBorders>
              <w:top w:val="single" w:sz="4" w:space="0" w:color="1A171C"/>
              <w:left w:val="nil"/>
              <w:bottom w:val="single" w:sz="4" w:space="0" w:color="1A171C"/>
            </w:tcBorders>
          </w:tcPr>
          <w:p w14:paraId="7FE1B96C" w14:textId="0D085442" w:rsidR="00696584" w:rsidRDefault="002C4F63">
            <w:pPr>
              <w:pStyle w:val="P68B1DB1-TableParagraph16"/>
              <w:spacing w:before="108"/>
              <w:ind w:left="85"/>
              <w:jc w:val="both"/>
              <w:rPr>
                <w:b/>
                <w:bCs/>
                <w:color w:val="000000" w:themeColor="text1"/>
                <w:sz w:val="20"/>
                <w:szCs w:val="20"/>
              </w:rPr>
            </w:pPr>
            <w:r>
              <w:t>Z 07.01.1 FUNC 1 DEP</w:t>
            </w:r>
          </w:p>
          <w:p w14:paraId="7FE1B96D" w14:textId="2D95FA03" w:rsidR="00696584" w:rsidRDefault="002C4F63">
            <w:pPr>
              <w:pStyle w:val="P68B1DB1-TableParagraph17"/>
              <w:spacing w:before="108"/>
              <w:ind w:left="85"/>
            </w:pPr>
            <w:r>
              <w:t>Die Entgegennahme von Einlagen betrifft die Annahme von Einlagen von Nichtfinanzintermediären. Sie betrifft nicht Anleihen anderer Finanzintermediäre;</w:t>
            </w:r>
            <w:r w:rsidR="00FF5CEE">
              <w:t xml:space="preserve"> </w:t>
            </w:r>
            <w:r>
              <w:t xml:space="preserve">diese fallen in die Kategorie großvolumige Finanzierungen. </w:t>
            </w:r>
          </w:p>
          <w:p w14:paraId="7FE1B96E" w14:textId="77777777" w:rsidR="00696584" w:rsidRDefault="002C4F63">
            <w:pPr>
              <w:pStyle w:val="P68B1DB1-TableParagraph17"/>
              <w:spacing w:before="108"/>
              <w:ind w:left="85"/>
            </w:pPr>
            <w:r>
              <w:t>Einlagen umfassen: i) Girokonten/Tagesgeldkonten, ii) Einlagen mit vereinbarter Laufzeit und iii) Einlagen mit vereinbarter Kündigungsfrist ohne Pensionsgeschäfte.</w:t>
            </w:r>
          </w:p>
          <w:p w14:paraId="7FE1B96F" w14:textId="2001389A" w:rsidR="00696584" w:rsidRDefault="0098354D">
            <w:pPr>
              <w:pStyle w:val="P68B1DB1-TableParagraph13"/>
              <w:spacing w:before="108"/>
              <w:ind w:left="85"/>
              <w:rPr>
                <w:rFonts w:eastAsia="Cambria"/>
              </w:rPr>
            </w:pPr>
            <w:r>
              <w:t>Verweise</w:t>
            </w:r>
            <w:r w:rsidR="002C4F63">
              <w:t>: Leitlinien des Finanzstabilitätsrats (FSB) zur Ermittlung kritischer Funktionen und kritischer gemeinsamer Dienste (2013), S. 14. Anhang II Teil 2, Kategorien 9.1, 9.2 und 9.3 der Verordnung (EU) 2021/379.</w:t>
            </w:r>
          </w:p>
        </w:tc>
      </w:tr>
      <w:tr w:rsidR="00696584" w14:paraId="7FE1B973" w14:textId="77777777">
        <w:tc>
          <w:tcPr>
            <w:tcW w:w="1191" w:type="dxa"/>
            <w:tcBorders>
              <w:top w:val="single" w:sz="4" w:space="0" w:color="1A171C"/>
              <w:left w:val="nil"/>
              <w:bottom w:val="single" w:sz="4" w:space="0" w:color="1A171C"/>
              <w:right w:val="single" w:sz="4" w:space="0" w:color="1A171C"/>
            </w:tcBorders>
          </w:tcPr>
          <w:p w14:paraId="7FE1B971" w14:textId="77777777" w:rsidR="00696584" w:rsidRDefault="002C4F63">
            <w:pPr>
              <w:pStyle w:val="P68B1DB1-TableParagraph17"/>
              <w:spacing w:before="108"/>
              <w:ind w:left="85"/>
              <w:jc w:val="both"/>
            </w:pPr>
            <w:r>
              <w:t>0010</w:t>
            </w:r>
          </w:p>
        </w:tc>
        <w:tc>
          <w:tcPr>
            <w:tcW w:w="7892" w:type="dxa"/>
            <w:tcBorders>
              <w:top w:val="single" w:sz="4" w:space="0" w:color="1A171C"/>
              <w:left w:val="single" w:sz="4" w:space="0" w:color="1A171C"/>
              <w:bottom w:val="single" w:sz="4" w:space="0" w:color="1A171C"/>
              <w:right w:val="nil"/>
            </w:tcBorders>
          </w:tcPr>
          <w:p w14:paraId="7FE1B972" w14:textId="77777777" w:rsidR="00696584" w:rsidRDefault="002C4F63">
            <w:pPr>
              <w:pStyle w:val="P68B1DB1-TableParagraph14"/>
              <w:spacing w:before="108"/>
              <w:ind w:left="85"/>
              <w:jc w:val="both"/>
              <w:rPr>
                <w:rFonts w:eastAsia="Cambria"/>
              </w:rPr>
            </w:pPr>
            <w:r>
              <w:t>Private Haushalte</w:t>
            </w:r>
          </w:p>
        </w:tc>
      </w:tr>
      <w:tr w:rsidR="00696584" w14:paraId="7FE1B976" w14:textId="77777777">
        <w:tc>
          <w:tcPr>
            <w:tcW w:w="1191" w:type="dxa"/>
            <w:tcBorders>
              <w:top w:val="single" w:sz="4" w:space="0" w:color="1A171C"/>
              <w:left w:val="nil"/>
              <w:bottom w:val="single" w:sz="4" w:space="0" w:color="1A171C"/>
              <w:right w:val="single" w:sz="4" w:space="0" w:color="1A171C"/>
            </w:tcBorders>
          </w:tcPr>
          <w:p w14:paraId="7FE1B974" w14:textId="77777777" w:rsidR="00696584" w:rsidRDefault="002C4F63">
            <w:pPr>
              <w:pStyle w:val="P68B1DB1-TableParagraph17"/>
              <w:spacing w:before="108"/>
              <w:ind w:left="85"/>
              <w:jc w:val="both"/>
            </w:pPr>
            <w:r>
              <w:t>0020</w:t>
            </w:r>
          </w:p>
        </w:tc>
        <w:tc>
          <w:tcPr>
            <w:tcW w:w="7892" w:type="dxa"/>
            <w:tcBorders>
              <w:top w:val="single" w:sz="4" w:space="0" w:color="1A171C"/>
              <w:left w:val="single" w:sz="4" w:space="0" w:color="1A171C"/>
              <w:bottom w:val="single" w:sz="4" w:space="0" w:color="1A171C"/>
              <w:right w:val="nil"/>
            </w:tcBorders>
          </w:tcPr>
          <w:p w14:paraId="7FE1B975" w14:textId="77777777" w:rsidR="00696584" w:rsidRDefault="002C4F63">
            <w:pPr>
              <w:pStyle w:val="P68B1DB1-TableParagraph14"/>
              <w:spacing w:before="108"/>
              <w:ind w:left="85"/>
              <w:jc w:val="both"/>
              <w:rPr>
                <w:rFonts w:eastAsia="Cambria"/>
              </w:rPr>
            </w:pPr>
            <w:r>
              <w:t>Nichtfinanzielle Kapitalgesellschaften (KMU)</w:t>
            </w:r>
          </w:p>
        </w:tc>
      </w:tr>
      <w:tr w:rsidR="00696584" w14:paraId="7FE1B979" w14:textId="77777777">
        <w:tc>
          <w:tcPr>
            <w:tcW w:w="1191" w:type="dxa"/>
            <w:tcBorders>
              <w:top w:val="single" w:sz="4" w:space="0" w:color="1A171C"/>
              <w:left w:val="nil"/>
              <w:bottom w:val="single" w:sz="4" w:space="0" w:color="1A171C"/>
              <w:right w:val="single" w:sz="4" w:space="0" w:color="1A171C"/>
            </w:tcBorders>
          </w:tcPr>
          <w:p w14:paraId="7FE1B977" w14:textId="77777777" w:rsidR="00696584" w:rsidRDefault="002C4F63">
            <w:pPr>
              <w:pStyle w:val="P68B1DB1-TableParagraph17"/>
              <w:spacing w:before="108"/>
              <w:ind w:left="85"/>
              <w:jc w:val="both"/>
            </w:pPr>
            <w:r>
              <w:t>0030</w:t>
            </w:r>
          </w:p>
        </w:tc>
        <w:tc>
          <w:tcPr>
            <w:tcW w:w="7892" w:type="dxa"/>
            <w:tcBorders>
              <w:top w:val="single" w:sz="4" w:space="0" w:color="1A171C"/>
              <w:left w:val="single" w:sz="4" w:space="0" w:color="1A171C"/>
              <w:bottom w:val="single" w:sz="4" w:space="0" w:color="1A171C"/>
              <w:right w:val="nil"/>
            </w:tcBorders>
          </w:tcPr>
          <w:p w14:paraId="7FE1B978" w14:textId="77777777" w:rsidR="00696584" w:rsidRDefault="002C4F63">
            <w:pPr>
              <w:pStyle w:val="P68B1DB1-TableParagraph14"/>
              <w:spacing w:before="108"/>
              <w:ind w:left="85"/>
              <w:jc w:val="both"/>
              <w:rPr>
                <w:rFonts w:eastAsia="Cambria"/>
              </w:rPr>
            </w:pPr>
            <w:r>
              <w:t>Nichtfinanzielle Kapitalgesellschaften (keine KMU)</w:t>
            </w:r>
          </w:p>
        </w:tc>
      </w:tr>
      <w:tr w:rsidR="00696584" w14:paraId="7FE1B97C" w14:textId="77777777">
        <w:tc>
          <w:tcPr>
            <w:tcW w:w="1191" w:type="dxa"/>
            <w:tcBorders>
              <w:top w:val="single" w:sz="4" w:space="0" w:color="1A171C"/>
              <w:left w:val="nil"/>
              <w:bottom w:val="single" w:sz="4" w:space="0" w:color="1A171C"/>
              <w:right w:val="single" w:sz="4" w:space="0" w:color="1A171C"/>
            </w:tcBorders>
          </w:tcPr>
          <w:p w14:paraId="7FE1B97A" w14:textId="77777777" w:rsidR="00696584" w:rsidRDefault="002C4F63">
            <w:pPr>
              <w:pStyle w:val="P68B1DB1-TableParagraph17"/>
              <w:spacing w:before="108"/>
              <w:ind w:left="85"/>
              <w:jc w:val="both"/>
            </w:pPr>
            <w:r>
              <w:t>0040</w:t>
            </w:r>
          </w:p>
        </w:tc>
        <w:tc>
          <w:tcPr>
            <w:tcW w:w="7892" w:type="dxa"/>
            <w:tcBorders>
              <w:top w:val="single" w:sz="4" w:space="0" w:color="1A171C"/>
              <w:left w:val="single" w:sz="4" w:space="0" w:color="1A171C"/>
              <w:bottom w:val="single" w:sz="4" w:space="0" w:color="1A171C"/>
              <w:right w:val="nil"/>
            </w:tcBorders>
          </w:tcPr>
          <w:p w14:paraId="7FE1B97B" w14:textId="77777777" w:rsidR="00696584" w:rsidRDefault="002C4F63">
            <w:pPr>
              <w:pStyle w:val="P68B1DB1-TableParagraph14"/>
              <w:spacing w:before="108"/>
              <w:ind w:left="85"/>
              <w:jc w:val="both"/>
              <w:rPr>
                <w:rFonts w:eastAsia="Cambria"/>
              </w:rPr>
            </w:pPr>
            <w:r>
              <w:t>Sektor Staat</w:t>
            </w:r>
          </w:p>
        </w:tc>
      </w:tr>
      <w:tr w:rsidR="00696584" w14:paraId="7FE1B97F" w14:textId="77777777">
        <w:tc>
          <w:tcPr>
            <w:tcW w:w="1191" w:type="dxa"/>
            <w:tcBorders>
              <w:top w:val="single" w:sz="4" w:space="0" w:color="1A171C"/>
              <w:left w:val="nil"/>
              <w:bottom w:val="single" w:sz="4" w:space="0" w:color="1A171C"/>
              <w:right w:val="single" w:sz="4" w:space="0" w:color="1A171C"/>
            </w:tcBorders>
          </w:tcPr>
          <w:p w14:paraId="7FE1B97D" w14:textId="77777777" w:rsidR="00696584" w:rsidRDefault="002C4F63">
            <w:pPr>
              <w:pStyle w:val="P68B1DB1-TableParagraph17"/>
              <w:spacing w:before="108"/>
              <w:ind w:left="85"/>
              <w:jc w:val="both"/>
            </w:pPr>
            <w:r>
              <w:t>0050 – 0070</w:t>
            </w:r>
          </w:p>
        </w:tc>
        <w:tc>
          <w:tcPr>
            <w:tcW w:w="7892" w:type="dxa"/>
            <w:tcBorders>
              <w:top w:val="single" w:sz="4" w:space="0" w:color="1A171C"/>
              <w:left w:val="single" w:sz="4" w:space="0" w:color="1A171C"/>
              <w:bottom w:val="single" w:sz="4" w:space="0" w:color="1A171C"/>
              <w:right w:val="nil"/>
            </w:tcBorders>
          </w:tcPr>
          <w:p w14:paraId="7FE1B97E" w14:textId="77777777" w:rsidR="00696584" w:rsidRDefault="002C4F63">
            <w:pPr>
              <w:pStyle w:val="P68B1DB1-TableParagraph14"/>
              <w:spacing w:before="108"/>
              <w:ind w:left="85"/>
              <w:jc w:val="both"/>
              <w:rPr>
                <w:rFonts w:eastAsia="Cambria"/>
              </w:rPr>
            </w:pPr>
            <w:r>
              <w:t>Andere Sektoren/Gegenparteien (1), (2) und (3)</w:t>
            </w:r>
          </w:p>
        </w:tc>
      </w:tr>
      <w:tr w:rsidR="00696584" w14:paraId="7FE1B983" w14:textId="77777777">
        <w:tc>
          <w:tcPr>
            <w:tcW w:w="9083" w:type="dxa"/>
            <w:gridSpan w:val="2"/>
            <w:tcBorders>
              <w:top w:val="single" w:sz="4" w:space="0" w:color="1A171C"/>
              <w:left w:val="nil"/>
              <w:bottom w:val="single" w:sz="4" w:space="0" w:color="1A171C"/>
            </w:tcBorders>
          </w:tcPr>
          <w:p w14:paraId="7FE1B980" w14:textId="13950F51" w:rsidR="00696584" w:rsidRDefault="002C4F63">
            <w:pPr>
              <w:pStyle w:val="TableParagraph"/>
              <w:spacing w:before="108"/>
              <w:ind w:left="85"/>
              <w:rPr>
                <w:rFonts w:ascii="Times New Roman" w:eastAsia="Cambria" w:hAnsi="Times New Roman" w:cs="Times New Roman"/>
                <w:color w:val="000000" w:themeColor="text1"/>
                <w:sz w:val="20"/>
                <w:szCs w:val="20"/>
              </w:rPr>
            </w:pPr>
            <w:r>
              <w:rPr>
                <w:rFonts w:ascii="Times New Roman" w:hAnsi="Times New Roman" w:cs="Times New Roman"/>
              </w:rPr>
              <w:t>Z 07.01.2 FUNC 1 LEN</w:t>
            </w:r>
            <w:r>
              <w:rPr>
                <w:rFonts w:ascii="Times New Roman" w:eastAsia="Cambria" w:hAnsi="Times New Roman" w:cs="Times New Roman"/>
                <w:color w:val="000000" w:themeColor="text1"/>
                <w:sz w:val="20"/>
                <w:szCs w:val="20"/>
              </w:rPr>
              <w:t xml:space="preserve"> </w:t>
            </w:r>
          </w:p>
          <w:p w14:paraId="7FE1B981" w14:textId="77777777" w:rsidR="00696584" w:rsidRDefault="002C4F63">
            <w:pPr>
              <w:pStyle w:val="P68B1DB1-TableParagraph17"/>
              <w:spacing w:before="108"/>
              <w:ind w:left="85"/>
            </w:pPr>
            <w:r>
              <w:t>Die Kreditvergabe betrifft die Bereitstellung von Mitteln für nichtfinanzielle Gegenparteien wie Firmen- oder Privatkunden. Die Kreditvergabe an finanzielle Gegenparteien wird separat in der Kategorie großvolumige Finanzierungen erfasst. Kredite umfassen Schuldtitel der Institute, jedoch keine Wertpapiere, unabhängig von ihrer Rechnungslegungsklassifikation (z. B. bis zur Endfälligkeit gehalten oder zur Veräußerung verfügbar).</w:t>
            </w:r>
          </w:p>
          <w:p w14:paraId="7FE1B982" w14:textId="69E52DF5" w:rsidR="00696584" w:rsidRDefault="0098354D">
            <w:pPr>
              <w:pStyle w:val="P68B1DB1-TableParagraph13"/>
              <w:spacing w:before="108"/>
              <w:ind w:left="85"/>
              <w:rPr>
                <w:rFonts w:eastAsia="Cambria"/>
              </w:rPr>
            </w:pPr>
            <w:r>
              <w:t>Verweise</w:t>
            </w:r>
            <w:r w:rsidR="002C4F63">
              <w:t>: Leitlinien des Finanzstabilitätsrats (FSB) zur Ermittlung kritischer Funktionen und kritischer gemeinsamer Dienste (2013), S. 17. Anhang II Teil 2, Kategorie 2 der Verordnung (EU) 2021/379.</w:t>
            </w:r>
          </w:p>
        </w:tc>
      </w:tr>
      <w:tr w:rsidR="00696584" w14:paraId="7FE1B987" w14:textId="77777777">
        <w:tc>
          <w:tcPr>
            <w:tcW w:w="1191" w:type="dxa"/>
            <w:tcBorders>
              <w:top w:val="single" w:sz="4" w:space="0" w:color="1A171C"/>
              <w:left w:val="nil"/>
              <w:bottom w:val="single" w:sz="4" w:space="0" w:color="1A171C"/>
              <w:right w:val="single" w:sz="4" w:space="0" w:color="1A171C"/>
            </w:tcBorders>
          </w:tcPr>
          <w:p w14:paraId="7FE1B984" w14:textId="77777777" w:rsidR="00696584" w:rsidRDefault="002C4F63">
            <w:pPr>
              <w:pStyle w:val="P68B1DB1-TableParagraph17"/>
              <w:spacing w:before="108"/>
              <w:ind w:left="85"/>
              <w:jc w:val="both"/>
            </w:pPr>
            <w:r>
              <w:lastRenderedPageBreak/>
              <w:t>0080</w:t>
            </w:r>
          </w:p>
        </w:tc>
        <w:tc>
          <w:tcPr>
            <w:tcW w:w="7892" w:type="dxa"/>
            <w:tcBorders>
              <w:top w:val="single" w:sz="4" w:space="0" w:color="1A171C"/>
              <w:left w:val="single" w:sz="4" w:space="0" w:color="1A171C"/>
              <w:bottom w:val="single" w:sz="4" w:space="0" w:color="1A171C"/>
              <w:right w:val="nil"/>
            </w:tcBorders>
          </w:tcPr>
          <w:p w14:paraId="7FE1B985" w14:textId="77777777" w:rsidR="00696584" w:rsidRDefault="002C4F63">
            <w:pPr>
              <w:pStyle w:val="P68B1DB1-TableParagraph14"/>
              <w:spacing w:before="108"/>
              <w:ind w:left="85"/>
              <w:jc w:val="both"/>
              <w:rPr>
                <w:bCs/>
              </w:rPr>
            </w:pPr>
            <w:r>
              <w:t>Haushalte – Wohnungsbaukredite</w:t>
            </w:r>
          </w:p>
          <w:p w14:paraId="7FE1B986" w14:textId="77777777" w:rsidR="00696584" w:rsidRDefault="002C4F63">
            <w:pPr>
              <w:pStyle w:val="P68B1DB1-TableParagraph17"/>
              <w:spacing w:before="108"/>
              <w:ind w:left="85"/>
            </w:pPr>
            <w:r>
              <w:t>Besicherte Kredite an private Haushalte mit Immobilien als Sicherheit</w:t>
            </w:r>
          </w:p>
        </w:tc>
      </w:tr>
      <w:tr w:rsidR="00696584" w14:paraId="7FE1B98A" w14:textId="77777777">
        <w:tc>
          <w:tcPr>
            <w:tcW w:w="1191" w:type="dxa"/>
            <w:tcBorders>
              <w:top w:val="single" w:sz="4" w:space="0" w:color="1A171C"/>
              <w:left w:val="nil"/>
              <w:bottom w:val="single" w:sz="4" w:space="0" w:color="1A171C"/>
              <w:right w:val="single" w:sz="4" w:space="0" w:color="1A171C"/>
            </w:tcBorders>
          </w:tcPr>
          <w:p w14:paraId="7FE1B988" w14:textId="77777777" w:rsidR="00696584" w:rsidRDefault="002C4F63">
            <w:pPr>
              <w:pStyle w:val="P68B1DB1-TableParagraph17"/>
              <w:spacing w:before="108"/>
              <w:ind w:left="85"/>
              <w:jc w:val="both"/>
            </w:pPr>
            <w:r>
              <w:t>0090</w:t>
            </w:r>
          </w:p>
        </w:tc>
        <w:tc>
          <w:tcPr>
            <w:tcW w:w="7892" w:type="dxa"/>
            <w:tcBorders>
              <w:top w:val="single" w:sz="4" w:space="0" w:color="1A171C"/>
              <w:left w:val="single" w:sz="4" w:space="0" w:color="1A171C"/>
              <w:bottom w:val="single" w:sz="4" w:space="0" w:color="1A171C"/>
              <w:right w:val="nil"/>
            </w:tcBorders>
          </w:tcPr>
          <w:p w14:paraId="7FE1B989" w14:textId="77777777" w:rsidR="00696584" w:rsidRDefault="002C4F63">
            <w:pPr>
              <w:pStyle w:val="P68B1DB1-TableParagraph14"/>
              <w:spacing w:before="108"/>
              <w:ind w:left="85"/>
              <w:jc w:val="both"/>
              <w:rPr>
                <w:bCs/>
              </w:rPr>
            </w:pPr>
            <w:r>
              <w:t>Haushalte – Sonstige Kredite</w:t>
            </w:r>
          </w:p>
        </w:tc>
      </w:tr>
      <w:tr w:rsidR="00696584" w14:paraId="7FE1B98D" w14:textId="77777777">
        <w:tc>
          <w:tcPr>
            <w:tcW w:w="1191" w:type="dxa"/>
            <w:tcBorders>
              <w:top w:val="single" w:sz="4" w:space="0" w:color="1A171C"/>
              <w:left w:val="nil"/>
              <w:bottom w:val="single" w:sz="4" w:space="0" w:color="1A171C"/>
              <w:right w:val="single" w:sz="4" w:space="0" w:color="1A171C"/>
            </w:tcBorders>
          </w:tcPr>
          <w:p w14:paraId="7FE1B98B" w14:textId="77777777" w:rsidR="00696584" w:rsidRDefault="002C4F63">
            <w:pPr>
              <w:pStyle w:val="P68B1DB1-TableParagraph17"/>
              <w:spacing w:before="108"/>
              <w:ind w:left="85"/>
              <w:jc w:val="both"/>
            </w:pPr>
            <w:r>
              <w:t>0100</w:t>
            </w:r>
          </w:p>
        </w:tc>
        <w:tc>
          <w:tcPr>
            <w:tcW w:w="7892" w:type="dxa"/>
            <w:tcBorders>
              <w:top w:val="single" w:sz="4" w:space="0" w:color="1A171C"/>
              <w:left w:val="single" w:sz="4" w:space="0" w:color="1A171C"/>
              <w:bottom w:val="single" w:sz="4" w:space="0" w:color="1A171C"/>
              <w:right w:val="nil"/>
            </w:tcBorders>
            <w:vAlign w:val="bottom"/>
          </w:tcPr>
          <w:p w14:paraId="7FE1B98C" w14:textId="77777777" w:rsidR="00696584" w:rsidRDefault="002C4F63">
            <w:pPr>
              <w:pStyle w:val="P68B1DB1-TableParagraph14"/>
              <w:spacing w:before="108"/>
              <w:ind w:left="85"/>
              <w:jc w:val="both"/>
              <w:rPr>
                <w:bCs/>
              </w:rPr>
            </w:pPr>
            <w:r>
              <w:t>Nichtfinanzielle Kapitalgesellschaften (KMU)</w:t>
            </w:r>
          </w:p>
        </w:tc>
      </w:tr>
      <w:tr w:rsidR="00696584" w14:paraId="7FE1B990" w14:textId="77777777">
        <w:tc>
          <w:tcPr>
            <w:tcW w:w="1191" w:type="dxa"/>
            <w:tcBorders>
              <w:top w:val="single" w:sz="4" w:space="0" w:color="1A171C"/>
              <w:left w:val="nil"/>
              <w:bottom w:val="single" w:sz="4" w:space="0" w:color="1A171C"/>
              <w:right w:val="single" w:sz="4" w:space="0" w:color="1A171C"/>
            </w:tcBorders>
            <w:vAlign w:val="bottom"/>
          </w:tcPr>
          <w:p w14:paraId="7FE1B98E" w14:textId="77777777" w:rsidR="00696584" w:rsidRDefault="002C4F63">
            <w:pPr>
              <w:pStyle w:val="P68B1DB1-TableParagraph17"/>
              <w:spacing w:before="108"/>
              <w:ind w:left="85"/>
              <w:jc w:val="both"/>
            </w:pPr>
            <w:r>
              <w:t>0110</w:t>
            </w:r>
          </w:p>
        </w:tc>
        <w:tc>
          <w:tcPr>
            <w:tcW w:w="7892" w:type="dxa"/>
            <w:tcBorders>
              <w:top w:val="single" w:sz="4" w:space="0" w:color="1A171C"/>
              <w:left w:val="single" w:sz="4" w:space="0" w:color="1A171C"/>
              <w:bottom w:val="single" w:sz="4" w:space="0" w:color="1A171C"/>
              <w:right w:val="nil"/>
            </w:tcBorders>
            <w:vAlign w:val="bottom"/>
          </w:tcPr>
          <w:p w14:paraId="7FE1B98F" w14:textId="77777777" w:rsidR="00696584" w:rsidRDefault="002C4F63">
            <w:pPr>
              <w:pStyle w:val="P68B1DB1-TableParagraph14"/>
              <w:spacing w:before="108"/>
              <w:ind w:left="85"/>
              <w:jc w:val="both"/>
              <w:rPr>
                <w:bCs/>
              </w:rPr>
            </w:pPr>
            <w:r>
              <w:t>Nichtfinanzielle Kapitalgesellschaften (keine KMU)</w:t>
            </w:r>
          </w:p>
        </w:tc>
      </w:tr>
      <w:tr w:rsidR="00696584" w14:paraId="7FE1B993" w14:textId="77777777">
        <w:tc>
          <w:tcPr>
            <w:tcW w:w="1191" w:type="dxa"/>
            <w:tcBorders>
              <w:top w:val="single" w:sz="4" w:space="0" w:color="1A171C"/>
              <w:left w:val="nil"/>
              <w:bottom w:val="single" w:sz="4" w:space="0" w:color="1A171C"/>
              <w:right w:val="single" w:sz="4" w:space="0" w:color="1A171C"/>
            </w:tcBorders>
            <w:vAlign w:val="bottom"/>
          </w:tcPr>
          <w:p w14:paraId="7FE1B991" w14:textId="77777777" w:rsidR="00696584" w:rsidRDefault="002C4F63">
            <w:pPr>
              <w:pStyle w:val="P68B1DB1-TableParagraph17"/>
              <w:spacing w:before="108"/>
              <w:ind w:left="85"/>
              <w:jc w:val="both"/>
            </w:pPr>
            <w:r>
              <w:t>0120</w:t>
            </w:r>
          </w:p>
        </w:tc>
        <w:tc>
          <w:tcPr>
            <w:tcW w:w="7892" w:type="dxa"/>
            <w:tcBorders>
              <w:top w:val="single" w:sz="4" w:space="0" w:color="1A171C"/>
              <w:left w:val="single" w:sz="4" w:space="0" w:color="1A171C"/>
              <w:bottom w:val="single" w:sz="4" w:space="0" w:color="1A171C"/>
              <w:right w:val="nil"/>
            </w:tcBorders>
            <w:vAlign w:val="bottom"/>
          </w:tcPr>
          <w:p w14:paraId="7FE1B992" w14:textId="77777777" w:rsidR="00696584" w:rsidRDefault="002C4F63">
            <w:pPr>
              <w:pStyle w:val="P68B1DB1-TableParagraph14"/>
              <w:spacing w:before="108"/>
              <w:ind w:left="85"/>
              <w:jc w:val="both"/>
              <w:rPr>
                <w:bCs/>
              </w:rPr>
            </w:pPr>
            <w:r>
              <w:t>Sektor Staat</w:t>
            </w:r>
          </w:p>
        </w:tc>
      </w:tr>
      <w:tr w:rsidR="00696584" w14:paraId="7FE1B996" w14:textId="77777777">
        <w:tc>
          <w:tcPr>
            <w:tcW w:w="1191" w:type="dxa"/>
            <w:tcBorders>
              <w:top w:val="single" w:sz="4" w:space="0" w:color="1A171C"/>
              <w:left w:val="nil"/>
              <w:bottom w:val="single" w:sz="4" w:space="0" w:color="1A171C"/>
              <w:right w:val="single" w:sz="4" w:space="0" w:color="1A171C"/>
            </w:tcBorders>
          </w:tcPr>
          <w:p w14:paraId="7FE1B994" w14:textId="77777777" w:rsidR="00696584" w:rsidRDefault="002C4F63">
            <w:pPr>
              <w:pStyle w:val="P68B1DB1-TableParagraph17"/>
              <w:spacing w:before="108"/>
              <w:ind w:left="85"/>
              <w:jc w:val="both"/>
            </w:pPr>
            <w:r>
              <w:t>0130 – 0150</w:t>
            </w:r>
          </w:p>
        </w:tc>
        <w:tc>
          <w:tcPr>
            <w:tcW w:w="7892" w:type="dxa"/>
            <w:tcBorders>
              <w:top w:val="single" w:sz="4" w:space="0" w:color="1A171C"/>
              <w:left w:val="single" w:sz="4" w:space="0" w:color="1A171C"/>
              <w:bottom w:val="single" w:sz="4" w:space="0" w:color="1A171C"/>
              <w:right w:val="nil"/>
            </w:tcBorders>
          </w:tcPr>
          <w:p w14:paraId="7FE1B995" w14:textId="77777777" w:rsidR="00696584" w:rsidRDefault="002C4F63">
            <w:pPr>
              <w:pStyle w:val="P68B1DB1-TableParagraph14"/>
              <w:spacing w:before="108"/>
              <w:ind w:left="85"/>
              <w:jc w:val="both"/>
              <w:rPr>
                <w:rFonts w:eastAsia="Cambria"/>
              </w:rPr>
            </w:pPr>
            <w:r>
              <w:t>Andere Sektoren/Gegenparteien (1), (2) und (3)</w:t>
            </w:r>
          </w:p>
        </w:tc>
      </w:tr>
      <w:tr w:rsidR="00696584" w14:paraId="7FE1B99C" w14:textId="77777777">
        <w:tc>
          <w:tcPr>
            <w:tcW w:w="9083" w:type="dxa"/>
            <w:gridSpan w:val="2"/>
            <w:tcBorders>
              <w:top w:val="single" w:sz="4" w:space="0" w:color="1A171C"/>
              <w:left w:val="nil"/>
              <w:bottom w:val="single" w:sz="4" w:space="0" w:color="1A171C"/>
            </w:tcBorders>
          </w:tcPr>
          <w:p w14:paraId="7FE1B997" w14:textId="43966F92" w:rsidR="00696584" w:rsidRDefault="002C4F63">
            <w:pPr>
              <w:pStyle w:val="TableParagraph"/>
              <w:spacing w:before="108"/>
              <w:ind w:left="85"/>
              <w:jc w:val="both"/>
              <w:rPr>
                <w:rFonts w:ascii="Times New Roman" w:eastAsia="Cambria" w:hAnsi="Times New Roman" w:cs="Times New Roman"/>
                <w:color w:val="000000" w:themeColor="text1"/>
                <w:sz w:val="20"/>
                <w:szCs w:val="20"/>
              </w:rPr>
            </w:pPr>
            <w:r>
              <w:rPr>
                <w:rFonts w:ascii="Times New Roman" w:hAnsi="Times New Roman" w:cs="Times New Roman"/>
              </w:rPr>
              <w:t xml:space="preserve">Z 07.01.3 FUNC 1 </w:t>
            </w:r>
            <w:r w:rsidR="00C4259E">
              <w:rPr>
                <w:rFonts w:ascii="Times New Roman" w:hAnsi="Times New Roman" w:cs="Times New Roman"/>
              </w:rPr>
              <w:t>PAY</w:t>
            </w:r>
            <w:r w:rsidR="00C4259E">
              <w:rPr>
                <w:rFonts w:ascii="Times New Roman" w:eastAsia="Cambria" w:hAnsi="Times New Roman" w:cs="Times New Roman"/>
                <w:color w:val="000000" w:themeColor="text1"/>
                <w:sz w:val="20"/>
                <w:szCs w:val="20"/>
              </w:rPr>
              <w:t xml:space="preserve"> </w:t>
            </w:r>
          </w:p>
          <w:p w14:paraId="7FE1B998" w14:textId="7D430E53" w:rsidR="00696584" w:rsidRDefault="0098354D">
            <w:pPr>
              <w:pStyle w:val="P68B1DB1-TableParagraph13"/>
              <w:spacing w:before="108"/>
              <w:ind w:left="85"/>
              <w:jc w:val="both"/>
              <w:rPr>
                <w:rFonts w:eastAsia="Cambria"/>
              </w:rPr>
            </w:pPr>
            <w:r>
              <w:t>Verweis</w:t>
            </w:r>
            <w:r w:rsidR="002C4F63">
              <w:t>: Leitlinien des Finanzstabilitätsrats (FSB) zur Ermittlung kritischer Funktionen und kritischer gemeinsamer Dienste (2013), S. 20.</w:t>
            </w:r>
          </w:p>
          <w:p w14:paraId="7FE1B999" w14:textId="108981A3" w:rsidR="00696584" w:rsidRDefault="002C4F63">
            <w:pPr>
              <w:pStyle w:val="P68B1DB1-TableParagraph13"/>
              <w:spacing w:before="108"/>
              <w:ind w:left="85"/>
              <w:jc w:val="both"/>
              <w:rPr>
                <w:rFonts w:eastAsia="Cambria"/>
              </w:rPr>
            </w:pPr>
            <w:r>
              <w:t xml:space="preserve">Unter diese Kategorie fallen die wirtschaftlichen Funktionen Zahlungen, Bargeld, Abwicklung, Clearing und Verwahrung, die ein Kreditinstitut als Vermittler zwischen eigenen Kunden oder als Vermittler zwischen einem Kunden und einer oder mehreren relevanten Finanzmarktinfrastrukturen (FMI) leistet, sowie die Bereitstellung eines (indirekten) Zugangs zu FMI für andere Banken. Im Einklang mit den Leitlinien des Finanzstabilitätsrats (FSB) zur Ermittlung der kritischen Funktionen und der kritischen gemeinsamen Dienste sind Zahlungen, Clearing- und Abwicklungstätigkeiten auf Dienstleistungen beschränkt, die von Banken für ihre Kunden erbracht werden. Diese Kategorie betrifft keine Unternehmen, die ausschließlich Dienste für FMI erbringen. Für die Zwecke dieses Meldebogens sind </w:t>
            </w:r>
            <w:r w:rsidR="00CC6EA5">
              <w:t>FMI-Zahlungssysteme</w:t>
            </w:r>
            <w:r>
              <w:t>, Wertpapierabrechnungssysteme, Zentralverwahrer und zentrale Gegenparteien (ohne Transaktionsregister).</w:t>
            </w:r>
          </w:p>
          <w:p w14:paraId="7FE1B99A" w14:textId="77777777" w:rsidR="00696584" w:rsidRDefault="002C4F63">
            <w:pPr>
              <w:pStyle w:val="TableParagraph"/>
              <w:spacing w:before="108"/>
              <w:ind w:left="85"/>
              <w:jc w:val="both"/>
              <w:rPr>
                <w:rFonts w:ascii="Times New Roman" w:eastAsia="Cambria" w:hAnsi="Times New Roman" w:cs="Times New Roman"/>
                <w:color w:val="000000" w:themeColor="text1"/>
                <w:sz w:val="20"/>
                <w:szCs w:val="20"/>
              </w:rPr>
            </w:pPr>
            <w:r>
              <w:rPr>
                <w:rFonts w:ascii="Times New Roman" w:eastAsia="Cambria" w:hAnsi="Times New Roman" w:cs="Times New Roman"/>
                <w:color w:val="000000" w:themeColor="text1"/>
                <w:sz w:val="20"/>
                <w:szCs w:val="20"/>
              </w:rPr>
              <w:t>Zahlungsdienst, Zahlungsvorgang und Zahlungssystem sind im Sinne von Artikel 4 Absätze 3, 5 und 7 der Richtlinie 2015/2366 über Zahlungsdienste im Binnenmarkt zu verstehen</w:t>
            </w:r>
            <w:r>
              <w:rPr>
                <w:rStyle w:val="FootnoteReference"/>
                <w:rFonts w:ascii="Times New Roman" w:eastAsia="Cambria" w:hAnsi="Times New Roman" w:cs="Times New Roman"/>
                <w:color w:val="000000" w:themeColor="text1"/>
                <w:sz w:val="20"/>
                <w:szCs w:val="20"/>
              </w:rPr>
              <w:footnoteReference w:id="19"/>
            </w:r>
            <w:r>
              <w:rPr>
                <w:rFonts w:ascii="Times New Roman" w:eastAsia="Cambria" w:hAnsi="Times New Roman" w:cs="Times New Roman"/>
                <w:color w:val="000000" w:themeColor="text1"/>
                <w:sz w:val="20"/>
                <w:szCs w:val="20"/>
              </w:rPr>
              <w:t>.</w:t>
            </w:r>
          </w:p>
          <w:p w14:paraId="7FE1B99B" w14:textId="77777777" w:rsidR="00696584" w:rsidRDefault="00696584">
            <w:pPr>
              <w:pStyle w:val="TableParagraph"/>
              <w:spacing w:before="108"/>
              <w:ind w:left="85"/>
              <w:jc w:val="both"/>
              <w:rPr>
                <w:rFonts w:ascii="Times New Roman" w:eastAsia="Cambria" w:hAnsi="Times New Roman" w:cs="Times New Roman"/>
                <w:color w:val="000000" w:themeColor="text1"/>
                <w:sz w:val="20"/>
                <w:szCs w:val="20"/>
              </w:rPr>
            </w:pPr>
          </w:p>
        </w:tc>
      </w:tr>
      <w:tr w:rsidR="00696584" w14:paraId="7FE1B9A0" w14:textId="77777777">
        <w:tc>
          <w:tcPr>
            <w:tcW w:w="1191" w:type="dxa"/>
            <w:tcBorders>
              <w:top w:val="single" w:sz="4" w:space="0" w:color="1A171C"/>
              <w:left w:val="nil"/>
              <w:bottom w:val="single" w:sz="4" w:space="0" w:color="1A171C"/>
              <w:right w:val="single" w:sz="4" w:space="0" w:color="1A171C"/>
            </w:tcBorders>
          </w:tcPr>
          <w:p w14:paraId="7FE1B99D" w14:textId="77777777" w:rsidR="00696584" w:rsidRDefault="002C4F63">
            <w:pPr>
              <w:pStyle w:val="P68B1DB1-TableParagraph17"/>
              <w:spacing w:before="108"/>
              <w:ind w:left="85"/>
              <w:jc w:val="both"/>
            </w:pPr>
            <w:r>
              <w:t>0160</w:t>
            </w:r>
          </w:p>
        </w:tc>
        <w:tc>
          <w:tcPr>
            <w:tcW w:w="7892" w:type="dxa"/>
            <w:tcBorders>
              <w:top w:val="single" w:sz="4" w:space="0" w:color="1A171C"/>
              <w:left w:val="single" w:sz="4" w:space="0" w:color="1A171C"/>
              <w:bottom w:val="single" w:sz="4" w:space="0" w:color="1A171C"/>
              <w:right w:val="nil"/>
            </w:tcBorders>
          </w:tcPr>
          <w:p w14:paraId="7FE1B99E" w14:textId="77777777" w:rsidR="00696584" w:rsidRDefault="002C4F63">
            <w:pPr>
              <w:pStyle w:val="P68B1DB1-TableParagraph14"/>
              <w:spacing w:before="108"/>
              <w:ind w:left="85"/>
              <w:jc w:val="both"/>
              <w:rPr>
                <w:bCs/>
              </w:rPr>
            </w:pPr>
            <w:r>
              <w:t>Zahlungsdienste für MFI</w:t>
            </w:r>
          </w:p>
          <w:p w14:paraId="7FE1B99F" w14:textId="77777777" w:rsidR="00696584" w:rsidRDefault="002C4F63">
            <w:pPr>
              <w:pStyle w:val="P68B1DB1-TableParagraph17"/>
              <w:spacing w:before="108"/>
              <w:ind w:left="85"/>
              <w:jc w:val="both"/>
            </w:pPr>
            <w:r>
              <w:t>Diese Zeile betrifft Zahlungsdienste, die – mit oder ohne Inanspruchnahme externer Zahlungssysteme – für monetäre Finanzinstitute (MFI) erbracht werden. Sie umfasst außerdem Korrespondenzbankdienste (und einschlägige Zahlungen). Zu den MFI zählen sämtliche institutionellen Einheiten der Teilsektoren I) Zentralbank; ii) Kreditinstitute (ohne die Zentralbank); und iii) Geldmarktfonds.</w:t>
            </w:r>
          </w:p>
        </w:tc>
      </w:tr>
      <w:tr w:rsidR="00696584" w14:paraId="7FE1B9A8" w14:textId="77777777">
        <w:tc>
          <w:tcPr>
            <w:tcW w:w="1191" w:type="dxa"/>
            <w:tcBorders>
              <w:top w:val="single" w:sz="4" w:space="0" w:color="1A171C"/>
              <w:left w:val="nil"/>
              <w:bottom w:val="single" w:sz="4" w:space="0" w:color="1A171C"/>
              <w:right w:val="single" w:sz="4" w:space="0" w:color="1A171C"/>
            </w:tcBorders>
          </w:tcPr>
          <w:p w14:paraId="7FE1B9A1" w14:textId="77777777" w:rsidR="00696584" w:rsidRDefault="002C4F63">
            <w:pPr>
              <w:pStyle w:val="P68B1DB1-TableParagraph17"/>
              <w:spacing w:before="108"/>
              <w:ind w:left="85"/>
              <w:jc w:val="both"/>
            </w:pPr>
            <w:r>
              <w:t>0170 – 0176</w:t>
            </w:r>
          </w:p>
        </w:tc>
        <w:tc>
          <w:tcPr>
            <w:tcW w:w="7892" w:type="dxa"/>
            <w:tcBorders>
              <w:top w:val="single" w:sz="4" w:space="0" w:color="1A171C"/>
              <w:left w:val="single" w:sz="4" w:space="0" w:color="1A171C"/>
              <w:bottom w:val="single" w:sz="4" w:space="0" w:color="1A171C"/>
              <w:right w:val="nil"/>
            </w:tcBorders>
          </w:tcPr>
          <w:p w14:paraId="7FE1B9A2" w14:textId="77777777" w:rsidR="00696584" w:rsidRDefault="002C4F63">
            <w:pPr>
              <w:pStyle w:val="P68B1DB1-TableParagraph14"/>
              <w:spacing w:before="108"/>
              <w:ind w:left="85"/>
              <w:jc w:val="both"/>
              <w:rPr>
                <w:bCs/>
              </w:rPr>
            </w:pPr>
            <w:r>
              <w:t>Zahlungsdienste für Nicht-MFI</w:t>
            </w:r>
          </w:p>
          <w:p w14:paraId="7FE1B9A3" w14:textId="77777777" w:rsidR="00696584" w:rsidRDefault="002C4F63">
            <w:pPr>
              <w:pStyle w:val="P68B1DB1-TableParagraph17"/>
              <w:spacing w:before="108"/>
              <w:ind w:left="85"/>
            </w:pPr>
            <w:r>
              <w:t>Zahlungsdienste, die – mit oder ohne Inanspruchnahme externer Zahlungssysteme – für Kunden erbracht werden. Betroffen sind lediglich natürliche und juristische Personen, die nicht der Kategorie MFI angehören. Zahlungsdienstleister gehören nicht zur Kategorie Nicht-MFI.</w:t>
            </w:r>
          </w:p>
          <w:p w14:paraId="7FE1B9A4" w14:textId="77777777" w:rsidR="00696584" w:rsidRDefault="002C4F63">
            <w:pPr>
              <w:pStyle w:val="P68B1DB1-TableParagraph17"/>
              <w:spacing w:before="108"/>
              <w:ind w:left="85"/>
            </w:pPr>
            <w:r>
              <w:t>Die Funktion ist zusätzlich in drei Unterfunktionen unterteilt:</w:t>
            </w:r>
          </w:p>
          <w:p w14:paraId="7FE1B9A5" w14:textId="77777777" w:rsidR="00696584" w:rsidRDefault="002C4F63">
            <w:pPr>
              <w:pStyle w:val="P68B1DB1-TableParagraph17"/>
              <w:spacing w:before="108"/>
              <w:ind w:left="85"/>
            </w:pPr>
            <w:r>
              <w:t>(1) Private Haushalte</w:t>
            </w:r>
          </w:p>
          <w:p w14:paraId="7FE1B9A6" w14:textId="77777777" w:rsidR="00696584" w:rsidRDefault="002C4F63">
            <w:pPr>
              <w:pStyle w:val="P68B1DB1-TableParagraph17"/>
              <w:spacing w:before="108"/>
              <w:ind w:left="85"/>
            </w:pPr>
            <w:r>
              <w:t>(2) Nichtfinanzielle Kapitalgesellschaften (KMU)</w:t>
            </w:r>
          </w:p>
          <w:p w14:paraId="7FE1B9A7" w14:textId="77777777" w:rsidR="00696584" w:rsidRDefault="002C4F63">
            <w:pPr>
              <w:pStyle w:val="P68B1DB1-TableParagraph17"/>
              <w:spacing w:before="108"/>
              <w:ind w:left="85"/>
            </w:pPr>
            <w:r>
              <w:t>(3) Nichtfinanzielle Kapitalgesellschaften (keine KMU)</w:t>
            </w:r>
          </w:p>
        </w:tc>
      </w:tr>
      <w:tr w:rsidR="00696584" w14:paraId="7FE1B9AC" w14:textId="77777777">
        <w:tc>
          <w:tcPr>
            <w:tcW w:w="1191" w:type="dxa"/>
            <w:tcBorders>
              <w:top w:val="single" w:sz="4" w:space="0" w:color="1A171C"/>
              <w:left w:val="nil"/>
              <w:bottom w:val="single" w:sz="4" w:space="0" w:color="1A171C"/>
              <w:right w:val="single" w:sz="4" w:space="0" w:color="1A171C"/>
            </w:tcBorders>
          </w:tcPr>
          <w:p w14:paraId="7FE1B9A9" w14:textId="77777777" w:rsidR="00696584" w:rsidRDefault="002C4F63">
            <w:pPr>
              <w:pStyle w:val="P68B1DB1-TableParagraph17"/>
              <w:spacing w:before="108"/>
              <w:ind w:left="85"/>
              <w:jc w:val="both"/>
            </w:pPr>
            <w:r>
              <w:lastRenderedPageBreak/>
              <w:t>0180</w:t>
            </w:r>
          </w:p>
        </w:tc>
        <w:tc>
          <w:tcPr>
            <w:tcW w:w="7892" w:type="dxa"/>
            <w:tcBorders>
              <w:top w:val="single" w:sz="4" w:space="0" w:color="1A171C"/>
              <w:left w:val="single" w:sz="4" w:space="0" w:color="1A171C"/>
              <w:bottom w:val="single" w:sz="4" w:space="0" w:color="1A171C"/>
              <w:right w:val="nil"/>
            </w:tcBorders>
          </w:tcPr>
          <w:p w14:paraId="7FE1B9AA" w14:textId="77777777" w:rsidR="00696584" w:rsidRDefault="002C4F63">
            <w:pPr>
              <w:pStyle w:val="P68B1DB1-TableParagraph14"/>
              <w:spacing w:before="108"/>
              <w:ind w:left="85"/>
              <w:jc w:val="both"/>
              <w:rPr>
                <w:bCs/>
              </w:rPr>
            </w:pPr>
            <w:r>
              <w:t>Bargelddienstleistungen</w:t>
            </w:r>
          </w:p>
          <w:p w14:paraId="7FE1B9AB" w14:textId="77777777" w:rsidR="00696584" w:rsidRDefault="002C4F63">
            <w:pPr>
              <w:pStyle w:val="P68B1DB1-TableParagraph17"/>
              <w:spacing w:before="108"/>
              <w:ind w:left="85"/>
            </w:pPr>
            <w:r>
              <w:t>Erbringung von Bargelddienstleistungen für Kunden (sowohl natürliche Personen als auch Unternehmen, jedoch nur Nicht-MFI). Bei diesen Dienstleistungen handelt es sich um Abhebungen an Geldautomaten und Zweigstellen und nicht um andere Bargelddienstleistungen (z. B. Geldtransporte für Großhändler). Eingeschlossen sind Bargeldabhebungen mit Schecks und bei Zweigstellen mittels Bankformularen (bei denen Karten als Identifizierungsmittel verwendet werden können).</w:t>
            </w:r>
          </w:p>
        </w:tc>
      </w:tr>
      <w:tr w:rsidR="00696584" w14:paraId="7FE1B9B0" w14:textId="77777777">
        <w:tc>
          <w:tcPr>
            <w:tcW w:w="1191" w:type="dxa"/>
            <w:tcBorders>
              <w:top w:val="single" w:sz="4" w:space="0" w:color="1A171C"/>
              <w:left w:val="nil"/>
              <w:bottom w:val="single" w:sz="4" w:space="0" w:color="1A171C"/>
              <w:right w:val="single" w:sz="4" w:space="0" w:color="1A171C"/>
            </w:tcBorders>
          </w:tcPr>
          <w:p w14:paraId="7FE1B9AD" w14:textId="77777777" w:rsidR="00696584" w:rsidRDefault="002C4F63">
            <w:pPr>
              <w:pStyle w:val="P68B1DB1-TableParagraph17"/>
              <w:spacing w:before="108"/>
              <w:ind w:left="85"/>
              <w:jc w:val="both"/>
            </w:pPr>
            <w:r>
              <w:t>0190</w:t>
            </w:r>
          </w:p>
        </w:tc>
        <w:tc>
          <w:tcPr>
            <w:tcW w:w="7892" w:type="dxa"/>
            <w:tcBorders>
              <w:top w:val="single" w:sz="4" w:space="0" w:color="1A171C"/>
              <w:left w:val="single" w:sz="4" w:space="0" w:color="1A171C"/>
              <w:bottom w:val="single" w:sz="4" w:space="0" w:color="1A171C"/>
              <w:right w:val="nil"/>
            </w:tcBorders>
          </w:tcPr>
          <w:p w14:paraId="7FE1B9AE" w14:textId="77777777" w:rsidR="00696584" w:rsidRDefault="002C4F63">
            <w:pPr>
              <w:pStyle w:val="P68B1DB1-TableParagraph14"/>
              <w:spacing w:before="108"/>
              <w:ind w:left="85"/>
              <w:jc w:val="both"/>
              <w:rPr>
                <w:bCs/>
              </w:rPr>
            </w:pPr>
            <w:r>
              <w:t>Wertpapierabrechnungsdienstleistungen</w:t>
            </w:r>
          </w:p>
          <w:p w14:paraId="7FE1B9AF" w14:textId="77777777" w:rsidR="00696584" w:rsidRDefault="002C4F63">
            <w:pPr>
              <w:pStyle w:val="P68B1DB1-TableParagraph17"/>
              <w:spacing w:before="108"/>
              <w:ind w:left="85"/>
            </w:pPr>
            <w:r>
              <w:t>Dienstleistungen im Zusammenhang mit der Bestätigung, dem Clearing und der Abrechnung von Wertpapiergeschäften, die – mit oder ohne Inanspruchnahme von Wertpapierabrechnungssystemen – für Kunden erbracht werden. Die Abwicklung umfasst den vollständigen Abschluss eines Wertpapiergeschäfts unabhängig davon, wo es abgeschlossen wird, mit dem Ziel, die Verbindlichkeiten der an diesem Geschäft beteiligten Parteien durch die Übertragung von Geld oder Wertpapieren oder beiden zu erfüllen,</w:t>
            </w:r>
          </w:p>
        </w:tc>
      </w:tr>
      <w:tr w:rsidR="00696584" w14:paraId="7FE1B9B4" w14:textId="77777777">
        <w:tc>
          <w:tcPr>
            <w:tcW w:w="1191" w:type="dxa"/>
            <w:tcBorders>
              <w:top w:val="single" w:sz="4" w:space="0" w:color="1A171C"/>
              <w:left w:val="nil"/>
              <w:bottom w:val="single" w:sz="4" w:space="0" w:color="1A171C"/>
              <w:right w:val="single" w:sz="4" w:space="0" w:color="1A171C"/>
            </w:tcBorders>
          </w:tcPr>
          <w:p w14:paraId="7FE1B9B1" w14:textId="77777777" w:rsidR="00696584" w:rsidRDefault="002C4F63">
            <w:pPr>
              <w:pStyle w:val="P68B1DB1-TableParagraph17"/>
              <w:spacing w:before="108"/>
              <w:ind w:left="85"/>
              <w:jc w:val="both"/>
            </w:pPr>
            <w:r>
              <w:t>0200</w:t>
            </w:r>
          </w:p>
        </w:tc>
        <w:tc>
          <w:tcPr>
            <w:tcW w:w="7892" w:type="dxa"/>
            <w:tcBorders>
              <w:top w:val="single" w:sz="4" w:space="0" w:color="1A171C"/>
              <w:left w:val="single" w:sz="4" w:space="0" w:color="1A171C"/>
              <w:bottom w:val="single" w:sz="4" w:space="0" w:color="1A171C"/>
              <w:right w:val="nil"/>
            </w:tcBorders>
          </w:tcPr>
          <w:p w14:paraId="7FE1B9B2" w14:textId="77777777" w:rsidR="00696584" w:rsidRDefault="002C4F63">
            <w:pPr>
              <w:pStyle w:val="P68B1DB1-TableParagraph14"/>
              <w:spacing w:before="108"/>
              <w:ind w:left="85"/>
              <w:jc w:val="both"/>
              <w:rPr>
                <w:bCs/>
              </w:rPr>
            </w:pPr>
            <w:r>
              <w:t>CCP-Clearingdienste</w:t>
            </w:r>
          </w:p>
          <w:p w14:paraId="7FE1B9B3" w14:textId="77777777" w:rsidR="00696584" w:rsidRDefault="002C4F63">
            <w:pPr>
              <w:pStyle w:val="P68B1DB1-TableParagraph17"/>
              <w:spacing w:before="108"/>
              <w:ind w:left="85"/>
            </w:pPr>
            <w:r>
              <w:t>Erbringung von Wertpapiere- und Derivate-Clearingdienste für Kunden. Diese Kategorie umfasst auch die Bereitstellung des indirekten Zugangs zu einer zentralen Gegenpartei (CCP).</w:t>
            </w:r>
          </w:p>
        </w:tc>
      </w:tr>
      <w:tr w:rsidR="00696584" w14:paraId="7FE1B9B8" w14:textId="77777777">
        <w:tc>
          <w:tcPr>
            <w:tcW w:w="1191" w:type="dxa"/>
            <w:tcBorders>
              <w:top w:val="single" w:sz="4" w:space="0" w:color="1A171C"/>
              <w:left w:val="nil"/>
              <w:bottom w:val="single" w:sz="4" w:space="0" w:color="1A171C"/>
              <w:right w:val="single" w:sz="4" w:space="0" w:color="1A171C"/>
            </w:tcBorders>
          </w:tcPr>
          <w:p w14:paraId="7FE1B9B5" w14:textId="77777777" w:rsidR="00696584" w:rsidRDefault="002C4F63">
            <w:pPr>
              <w:pStyle w:val="P68B1DB1-TableParagraph17"/>
              <w:spacing w:before="108"/>
              <w:ind w:left="85"/>
              <w:jc w:val="both"/>
            </w:pPr>
            <w:r>
              <w:t>0210</w:t>
            </w:r>
          </w:p>
        </w:tc>
        <w:tc>
          <w:tcPr>
            <w:tcW w:w="7892" w:type="dxa"/>
            <w:tcBorders>
              <w:top w:val="single" w:sz="4" w:space="0" w:color="1A171C"/>
              <w:left w:val="single" w:sz="4" w:space="0" w:color="1A171C"/>
              <w:bottom w:val="single" w:sz="4" w:space="0" w:color="1A171C"/>
              <w:right w:val="nil"/>
            </w:tcBorders>
          </w:tcPr>
          <w:p w14:paraId="7FE1B9B6" w14:textId="77777777" w:rsidR="00696584" w:rsidRDefault="002C4F63">
            <w:pPr>
              <w:pStyle w:val="P68B1DB1-TableParagraph14"/>
              <w:spacing w:before="108"/>
              <w:ind w:left="85"/>
              <w:jc w:val="both"/>
              <w:rPr>
                <w:bCs/>
              </w:rPr>
            </w:pPr>
            <w:r>
              <w:t>Dienstleistungen der Effektenverwahrung</w:t>
            </w:r>
          </w:p>
          <w:p w14:paraId="7FE1B9B7" w14:textId="77777777" w:rsidR="00696584" w:rsidRDefault="002C4F63">
            <w:pPr>
              <w:pStyle w:val="P68B1DB1-TableParagraph17"/>
              <w:spacing w:before="108"/>
              <w:ind w:left="85"/>
            </w:pPr>
            <w:r>
              <w:t>Dienstleistungen der Verwahrung und Verwaltung von Finanzinstrumenten für Kunden und mit der Verwahrung zusammenhängende Dienstleistungen wie die Verwaltung von Barmitteln und Sicherheiten.</w:t>
            </w:r>
          </w:p>
        </w:tc>
      </w:tr>
      <w:tr w:rsidR="00696584" w14:paraId="7FE1B9BB" w14:textId="77777777">
        <w:tc>
          <w:tcPr>
            <w:tcW w:w="1191" w:type="dxa"/>
            <w:tcBorders>
              <w:top w:val="single" w:sz="4" w:space="0" w:color="1A171C"/>
              <w:left w:val="nil"/>
              <w:bottom w:val="single" w:sz="4" w:space="0" w:color="1A171C"/>
              <w:right w:val="single" w:sz="4" w:space="0" w:color="1A171C"/>
            </w:tcBorders>
          </w:tcPr>
          <w:p w14:paraId="7FE1B9B9" w14:textId="77777777" w:rsidR="00696584" w:rsidRDefault="002C4F63">
            <w:pPr>
              <w:pStyle w:val="P68B1DB1-TableParagraph17"/>
              <w:spacing w:before="108"/>
              <w:ind w:left="85"/>
              <w:jc w:val="both"/>
            </w:pPr>
            <w:r>
              <w:t>0220 – 0240</w:t>
            </w:r>
          </w:p>
        </w:tc>
        <w:tc>
          <w:tcPr>
            <w:tcW w:w="7892" w:type="dxa"/>
            <w:tcBorders>
              <w:top w:val="single" w:sz="4" w:space="0" w:color="1A171C"/>
              <w:left w:val="single" w:sz="4" w:space="0" w:color="1A171C"/>
              <w:bottom w:val="single" w:sz="4" w:space="0" w:color="1A171C"/>
              <w:right w:val="nil"/>
            </w:tcBorders>
          </w:tcPr>
          <w:p w14:paraId="7FE1B9BA" w14:textId="77777777" w:rsidR="00696584" w:rsidRDefault="002C4F63">
            <w:pPr>
              <w:pStyle w:val="P68B1DB1-TableParagraph14"/>
              <w:spacing w:before="108"/>
              <w:ind w:left="85"/>
              <w:jc w:val="both"/>
              <w:rPr>
                <w:rFonts w:eastAsia="Cambria"/>
              </w:rPr>
            </w:pPr>
            <w:r>
              <w:t>Sonstige Dienstleistungen/Tätigkeiten/Funktionen (1), (2) und (3)</w:t>
            </w:r>
          </w:p>
        </w:tc>
      </w:tr>
      <w:tr w:rsidR="00696584" w14:paraId="7FE1B9BE" w14:textId="77777777">
        <w:tc>
          <w:tcPr>
            <w:tcW w:w="9083" w:type="dxa"/>
            <w:gridSpan w:val="2"/>
            <w:tcBorders>
              <w:top w:val="single" w:sz="4" w:space="0" w:color="1A171C"/>
              <w:left w:val="nil"/>
              <w:bottom w:val="single" w:sz="4" w:space="0" w:color="1A171C"/>
            </w:tcBorders>
          </w:tcPr>
          <w:p w14:paraId="7FE1B9BC" w14:textId="4228BCAA" w:rsidR="00696584" w:rsidRDefault="002C4F63">
            <w:pPr>
              <w:pStyle w:val="TableParagraph"/>
              <w:spacing w:before="108"/>
              <w:ind w:left="85"/>
              <w:jc w:val="both"/>
              <w:rPr>
                <w:rFonts w:ascii="Times New Roman" w:eastAsia="Cambria" w:hAnsi="Times New Roman" w:cs="Times New Roman"/>
                <w:color w:val="000000" w:themeColor="text1"/>
                <w:sz w:val="20"/>
                <w:szCs w:val="20"/>
              </w:rPr>
            </w:pPr>
            <w:r>
              <w:rPr>
                <w:rFonts w:ascii="Times New Roman" w:hAnsi="Times New Roman" w:cs="Times New Roman"/>
              </w:rPr>
              <w:t>Z 07.01.4 FUNC 1 CM</w:t>
            </w:r>
            <w:r>
              <w:rPr>
                <w:rFonts w:ascii="Times New Roman" w:eastAsia="Cambria" w:hAnsi="Times New Roman" w:cs="Times New Roman"/>
                <w:color w:val="000000" w:themeColor="text1"/>
                <w:sz w:val="20"/>
                <w:szCs w:val="20"/>
              </w:rPr>
              <w:t xml:space="preserve"> </w:t>
            </w:r>
          </w:p>
          <w:p w14:paraId="7FE1B9BD" w14:textId="77777777" w:rsidR="00696584" w:rsidRDefault="002C4F63">
            <w:pPr>
              <w:pStyle w:val="P68B1DB1-TableParagraph17"/>
              <w:spacing w:before="108"/>
              <w:ind w:left="85"/>
              <w:jc w:val="both"/>
            </w:pPr>
            <w:r>
              <w:t xml:space="preserve">Kapitalmarktgeschäfte umfassen Wertpapieremission und -handel, einschlägige Beratungsdienste und verbundene Dienstleistungen wie Primebroker-Dienstleistungen und Market-Making. </w:t>
            </w:r>
          </w:p>
        </w:tc>
      </w:tr>
      <w:tr w:rsidR="00696584" w14:paraId="7FE1B9C5" w14:textId="77777777">
        <w:tc>
          <w:tcPr>
            <w:tcW w:w="1191" w:type="dxa"/>
            <w:tcBorders>
              <w:top w:val="single" w:sz="4" w:space="0" w:color="1A171C"/>
              <w:left w:val="nil"/>
              <w:bottom w:val="single" w:sz="4" w:space="0" w:color="1A171C"/>
              <w:right w:val="single" w:sz="4" w:space="0" w:color="1A171C"/>
            </w:tcBorders>
          </w:tcPr>
          <w:p w14:paraId="7FE1B9BF" w14:textId="77777777" w:rsidR="00696584" w:rsidRDefault="002C4F63">
            <w:pPr>
              <w:pStyle w:val="P68B1DB1-TableParagraph17"/>
              <w:spacing w:before="108"/>
              <w:ind w:left="85"/>
            </w:pPr>
            <w:r>
              <w:t>0250</w:t>
            </w:r>
          </w:p>
        </w:tc>
        <w:tc>
          <w:tcPr>
            <w:tcW w:w="7892" w:type="dxa"/>
            <w:tcBorders>
              <w:top w:val="single" w:sz="4" w:space="0" w:color="1A171C"/>
              <w:left w:val="single" w:sz="4" w:space="0" w:color="1A171C"/>
              <w:bottom w:val="single" w:sz="4" w:space="0" w:color="1A171C"/>
              <w:right w:val="nil"/>
            </w:tcBorders>
          </w:tcPr>
          <w:p w14:paraId="7FE1B9C0" w14:textId="77777777" w:rsidR="00696584" w:rsidRDefault="002C4F63">
            <w:pPr>
              <w:pStyle w:val="P68B1DB1-TableParagraph14"/>
              <w:spacing w:before="108"/>
              <w:ind w:left="85"/>
              <w:jc w:val="both"/>
              <w:rPr>
                <w:bCs/>
              </w:rPr>
            </w:pPr>
            <w:r>
              <w:t>Zu Handelszwecken gehaltene Derivate (OTC)</w:t>
            </w:r>
          </w:p>
          <w:p w14:paraId="7FE1B9C1" w14:textId="2FDAA405" w:rsidR="00696584" w:rsidRDefault="002C4F63">
            <w:pPr>
              <w:pStyle w:val="TableParagraph"/>
              <w:spacing w:before="108"/>
              <w:ind w:left="85"/>
              <w:rPr>
                <w:rFonts w:ascii="Times New Roman" w:eastAsia="Cambria" w:hAnsi="Times New Roman" w:cs="Times New Roman"/>
                <w:color w:val="000000" w:themeColor="text1"/>
                <w:sz w:val="20"/>
                <w:szCs w:val="20"/>
              </w:rPr>
            </w:pPr>
            <w:r>
              <w:rPr>
                <w:rFonts w:ascii="Times New Roman" w:eastAsia="Cambria" w:hAnsi="Times New Roman" w:cs="Times New Roman"/>
                <w:color w:val="000000" w:themeColor="text1"/>
                <w:sz w:val="20"/>
                <w:szCs w:val="20"/>
              </w:rPr>
              <w:t>Artikel 2 Absätze 5 und 7 der Verordnung (EU) Nr. 648/2012</w:t>
            </w:r>
            <w:r>
              <w:rPr>
                <w:rStyle w:val="FootnoteReference"/>
                <w:rFonts w:ascii="Times New Roman" w:eastAsia="Cambria" w:hAnsi="Times New Roman" w:cs="Times New Roman"/>
                <w:color w:val="000000" w:themeColor="text1"/>
                <w:sz w:val="20"/>
                <w:szCs w:val="20"/>
              </w:rPr>
              <w:footnoteReference w:id="20"/>
            </w:r>
            <w:r>
              <w:rPr>
                <w:rFonts w:ascii="Times New Roman" w:eastAsia="Cambria" w:hAnsi="Times New Roman" w:cs="Times New Roman"/>
                <w:color w:val="000000" w:themeColor="text1"/>
                <w:sz w:val="20"/>
                <w:szCs w:val="20"/>
              </w:rPr>
              <w:t>.</w:t>
            </w:r>
          </w:p>
          <w:p w14:paraId="7FE1B9C2" w14:textId="3A857D21" w:rsidR="00696584" w:rsidRDefault="002C4F63">
            <w:pPr>
              <w:pStyle w:val="P68B1DB1-TableParagraph17"/>
              <w:spacing w:before="108"/>
              <w:ind w:left="85"/>
            </w:pPr>
            <w:r>
              <w:t>„Derivat“ oder „Derivatekontrakt“ bezeichnen eines der in Anhang I Abschnitt C Nummern 4 bis 10 der Richtlinie 2014/65/EU, durchgeführt durch die Artikel 38 und 39 der Verordnung (EG) Nr. 1287/2006, genannten Finanzinstrumente.</w:t>
            </w:r>
          </w:p>
          <w:p w14:paraId="7FE1B9C3" w14:textId="583C566B" w:rsidR="00696584" w:rsidRDefault="002C4F63">
            <w:pPr>
              <w:pStyle w:val="P68B1DB1-TableParagraph17"/>
              <w:spacing w:before="108"/>
              <w:ind w:left="85"/>
            </w:pPr>
            <w:r>
              <w:t>„OTC-Derivate“ oder „OTC-Derivatekontrakte“ bezeichnen Derivatekontrakte, deren Ausführung nicht an einem geregelten Markt im Sinne von Artikel 4 Absatz 1 Nummer 21 der Richtlinie 2014/65/EU oder an einem Markt eines Drittstaats erfolgt, der gemäß Artikel 2a der Verordnung (EU) Nr. 648/2012 als einem geregelten Markt gleichwertig angesehen wird.</w:t>
            </w:r>
          </w:p>
          <w:p w14:paraId="7FE1B9C4" w14:textId="77777777" w:rsidR="00696584" w:rsidRDefault="002C4F63">
            <w:pPr>
              <w:pStyle w:val="P68B1DB1-TableParagraph17"/>
              <w:spacing w:before="108"/>
              <w:ind w:left="85"/>
            </w:pPr>
            <w:r>
              <w:t xml:space="preserve">In dieser Kategorie ist lediglich der Betrag der am OTC-Markt gehandelten Derivate zu melden. </w:t>
            </w:r>
          </w:p>
        </w:tc>
      </w:tr>
      <w:tr w:rsidR="00696584" w14:paraId="7FE1B9C9" w14:textId="77777777">
        <w:tc>
          <w:tcPr>
            <w:tcW w:w="1191" w:type="dxa"/>
            <w:tcBorders>
              <w:top w:val="single" w:sz="4" w:space="0" w:color="1A171C"/>
              <w:left w:val="nil"/>
              <w:bottom w:val="single" w:sz="4" w:space="0" w:color="1A171C"/>
              <w:right w:val="single" w:sz="4" w:space="0" w:color="1A171C"/>
            </w:tcBorders>
          </w:tcPr>
          <w:p w14:paraId="7FE1B9C6" w14:textId="77777777" w:rsidR="00696584" w:rsidRDefault="002C4F63">
            <w:pPr>
              <w:pStyle w:val="P68B1DB1-TableParagraph17"/>
              <w:spacing w:before="108"/>
              <w:ind w:left="85"/>
            </w:pPr>
            <w:r>
              <w:t>0260</w:t>
            </w:r>
          </w:p>
        </w:tc>
        <w:tc>
          <w:tcPr>
            <w:tcW w:w="7892" w:type="dxa"/>
            <w:tcBorders>
              <w:top w:val="single" w:sz="4" w:space="0" w:color="1A171C"/>
              <w:left w:val="single" w:sz="4" w:space="0" w:color="1A171C"/>
              <w:bottom w:val="single" w:sz="4" w:space="0" w:color="1A171C"/>
              <w:right w:val="nil"/>
            </w:tcBorders>
          </w:tcPr>
          <w:p w14:paraId="7FE1B9C7" w14:textId="77777777" w:rsidR="00696584" w:rsidRDefault="002C4F63">
            <w:pPr>
              <w:pStyle w:val="P68B1DB1-TableParagraph14"/>
              <w:spacing w:before="108"/>
              <w:ind w:left="85"/>
              <w:jc w:val="both"/>
              <w:rPr>
                <w:bCs/>
              </w:rPr>
            </w:pPr>
            <w:r>
              <w:t>Zu Handelszwecken gehaltene Derivate (Nicht-OTC)</w:t>
            </w:r>
          </w:p>
          <w:p w14:paraId="7FE1B9C8" w14:textId="77777777" w:rsidR="00696584" w:rsidRDefault="002C4F63">
            <w:pPr>
              <w:pStyle w:val="P68B1DB1-TableParagraph17"/>
              <w:spacing w:before="108"/>
              <w:ind w:left="85"/>
            </w:pPr>
            <w:r>
              <w:t xml:space="preserve">Alle zu Handelszwecken gehaltenen Derivate, außer zu Handelszwecken gehaltene OTC-Derivate. </w:t>
            </w:r>
          </w:p>
        </w:tc>
      </w:tr>
      <w:tr w:rsidR="00696584" w14:paraId="7FE1B9CF" w14:textId="77777777">
        <w:tc>
          <w:tcPr>
            <w:tcW w:w="1191" w:type="dxa"/>
            <w:tcBorders>
              <w:top w:val="single" w:sz="4" w:space="0" w:color="1A171C"/>
              <w:left w:val="nil"/>
              <w:bottom w:val="single" w:sz="4" w:space="0" w:color="1A171C"/>
              <w:right w:val="single" w:sz="4" w:space="0" w:color="1A171C"/>
            </w:tcBorders>
          </w:tcPr>
          <w:p w14:paraId="7FE1B9CA" w14:textId="77777777" w:rsidR="00696584" w:rsidRDefault="002C4F63">
            <w:pPr>
              <w:pStyle w:val="P68B1DB1-TableParagraph17"/>
              <w:spacing w:before="108"/>
              <w:ind w:left="85"/>
            </w:pPr>
            <w:r>
              <w:lastRenderedPageBreak/>
              <w:t>0270</w:t>
            </w:r>
          </w:p>
        </w:tc>
        <w:tc>
          <w:tcPr>
            <w:tcW w:w="7892" w:type="dxa"/>
            <w:tcBorders>
              <w:top w:val="single" w:sz="4" w:space="0" w:color="1A171C"/>
              <w:left w:val="single" w:sz="4" w:space="0" w:color="1A171C"/>
              <w:bottom w:val="single" w:sz="4" w:space="0" w:color="1A171C"/>
              <w:right w:val="nil"/>
            </w:tcBorders>
          </w:tcPr>
          <w:p w14:paraId="7FE1B9CB" w14:textId="77777777" w:rsidR="00696584" w:rsidRDefault="002C4F63">
            <w:pPr>
              <w:pStyle w:val="P68B1DB1-TableParagraph14"/>
              <w:spacing w:before="108"/>
              <w:ind w:left="85"/>
              <w:jc w:val="both"/>
              <w:rPr>
                <w:bCs/>
              </w:rPr>
            </w:pPr>
            <w:r>
              <w:t>Sekundärmarkthandel</w:t>
            </w:r>
          </w:p>
          <w:p w14:paraId="7FE1B9CC" w14:textId="77777777" w:rsidR="00696584" w:rsidRDefault="002C4F63">
            <w:pPr>
              <w:pStyle w:val="P68B1DB1-TableParagraph17"/>
              <w:spacing w:before="108"/>
              <w:ind w:left="85"/>
            </w:pPr>
            <w:r>
              <w:t>Am Sekundärmarkt findet der An- und Verkauf von Wertpapieren durch Anleger statt. Diese Kategorie betrifft das gesamte Handelsportfolio (d. h. Eigenkapital, Unternehmensanleihen, Staatsanleihen).</w:t>
            </w:r>
          </w:p>
          <w:p w14:paraId="7FE1B9CD" w14:textId="50BEE967" w:rsidR="00696584" w:rsidRDefault="002C4F63">
            <w:pPr>
              <w:pStyle w:val="P68B1DB1-TableParagraph17"/>
              <w:spacing w:before="108"/>
              <w:ind w:left="85"/>
            </w:pPr>
            <w:r>
              <w:t>Der zu meldende</w:t>
            </w:r>
            <w:r w:rsidR="0055797C">
              <w:t>r</w:t>
            </w:r>
            <w:r>
              <w:t xml:space="preserve"> Betrag ist der Gesamtbetrag der zu Handelszwecken gehaltenen Wertpapiere, Die Wertpapiere sind mit dem am Meldestichtag geltenden beizulegenden Zeitwert zu melden.</w:t>
            </w:r>
          </w:p>
          <w:p w14:paraId="7FE1B9CE" w14:textId="77777777" w:rsidR="00696584" w:rsidRDefault="002C4F63">
            <w:pPr>
              <w:pStyle w:val="P68B1DB1-TableParagraph17"/>
              <w:spacing w:before="108"/>
              <w:ind w:left="85"/>
            </w:pPr>
            <w:r>
              <w:t>Der Betrag umfasst weder Darlehen oder Derivate noch nicht handelbare Vermögenswerte (z. B. Forderungen).</w:t>
            </w:r>
          </w:p>
        </w:tc>
      </w:tr>
      <w:tr w:rsidR="00696584" w14:paraId="7FE1B9D3" w14:textId="77777777">
        <w:tc>
          <w:tcPr>
            <w:tcW w:w="1191" w:type="dxa"/>
            <w:tcBorders>
              <w:top w:val="single" w:sz="4" w:space="0" w:color="1A171C"/>
              <w:left w:val="nil"/>
              <w:bottom w:val="single" w:sz="4" w:space="0" w:color="1A171C"/>
              <w:right w:val="single" w:sz="4" w:space="0" w:color="1A171C"/>
            </w:tcBorders>
          </w:tcPr>
          <w:p w14:paraId="7FE1B9D0" w14:textId="77777777" w:rsidR="00696584" w:rsidRDefault="002C4F63">
            <w:pPr>
              <w:pStyle w:val="P68B1DB1-TableParagraph17"/>
              <w:spacing w:before="108"/>
              <w:ind w:left="85"/>
            </w:pPr>
            <w:r>
              <w:t>0280</w:t>
            </w:r>
          </w:p>
        </w:tc>
        <w:tc>
          <w:tcPr>
            <w:tcW w:w="7892" w:type="dxa"/>
            <w:tcBorders>
              <w:top w:val="single" w:sz="4" w:space="0" w:color="1A171C"/>
              <w:left w:val="single" w:sz="4" w:space="0" w:color="1A171C"/>
              <w:bottom w:val="single" w:sz="4" w:space="0" w:color="1A171C"/>
              <w:right w:val="nil"/>
            </w:tcBorders>
          </w:tcPr>
          <w:p w14:paraId="7FE1B9D1" w14:textId="77777777" w:rsidR="00696584" w:rsidRDefault="002C4F63">
            <w:pPr>
              <w:pStyle w:val="P68B1DB1-TableParagraph14"/>
              <w:spacing w:before="108"/>
              <w:ind w:left="85"/>
              <w:jc w:val="both"/>
              <w:rPr>
                <w:bCs/>
              </w:rPr>
            </w:pPr>
            <w:r>
              <w:t>Primärmarkt/Übernahme</w:t>
            </w:r>
          </w:p>
          <w:p w14:paraId="7FE1B9D2" w14:textId="77777777" w:rsidR="00696584" w:rsidRDefault="002C4F63">
            <w:pPr>
              <w:pStyle w:val="P68B1DB1-TableParagraph17"/>
              <w:spacing w:before="108"/>
              <w:ind w:left="85"/>
            </w:pPr>
            <w:r>
              <w:t>Die Erstausgabe von Wertpapieren findet auf dem Primärmarkt statt: An einer Börse begeben Unternehmen, Regierungen oder andere Gruppen Wertpapiere, um mittels schuld- oder eigenkapitalbasierter Titel (wie Stammaktien und Vorzugsaktien, Unternehmensanleihen, Schuldtitel, Wechsel, Staatsanleihen) Finanzierungen zu erhalten. Auf den Primärmärkten sind Übernahmekonsortien tätig.</w:t>
            </w:r>
          </w:p>
        </w:tc>
      </w:tr>
      <w:tr w:rsidR="00696584" w14:paraId="7FE1B9D6" w14:textId="77777777">
        <w:tc>
          <w:tcPr>
            <w:tcW w:w="1191" w:type="dxa"/>
            <w:tcBorders>
              <w:top w:val="single" w:sz="4" w:space="0" w:color="1A171C"/>
              <w:left w:val="nil"/>
              <w:bottom w:val="single" w:sz="4" w:space="0" w:color="1A171C"/>
              <w:right w:val="single" w:sz="4" w:space="0" w:color="1A171C"/>
            </w:tcBorders>
          </w:tcPr>
          <w:p w14:paraId="7FE1B9D4" w14:textId="77777777" w:rsidR="00696584" w:rsidRDefault="002C4F63">
            <w:pPr>
              <w:pStyle w:val="P68B1DB1-TableParagraph17"/>
              <w:spacing w:before="108"/>
              <w:ind w:left="85"/>
              <w:jc w:val="both"/>
            </w:pPr>
            <w:r>
              <w:t>0290 – 0310</w:t>
            </w:r>
          </w:p>
        </w:tc>
        <w:tc>
          <w:tcPr>
            <w:tcW w:w="7892" w:type="dxa"/>
            <w:tcBorders>
              <w:top w:val="single" w:sz="4" w:space="0" w:color="1A171C"/>
              <w:left w:val="single" w:sz="4" w:space="0" w:color="1A171C"/>
              <w:bottom w:val="single" w:sz="4" w:space="0" w:color="1A171C"/>
              <w:right w:val="nil"/>
            </w:tcBorders>
          </w:tcPr>
          <w:p w14:paraId="7FE1B9D5" w14:textId="77777777" w:rsidR="00696584" w:rsidRDefault="002C4F63">
            <w:pPr>
              <w:pStyle w:val="P68B1DB1-TableParagraph14"/>
              <w:spacing w:before="108"/>
              <w:ind w:left="85"/>
              <w:jc w:val="both"/>
              <w:rPr>
                <w:rFonts w:eastAsia="Cambria"/>
              </w:rPr>
            </w:pPr>
            <w:r>
              <w:t>Sonstige Dienstleistungen/Tätigkeiten/Funktionen (1), (2) und (3)</w:t>
            </w:r>
          </w:p>
        </w:tc>
      </w:tr>
      <w:tr w:rsidR="00696584" w14:paraId="7FE1B9D9" w14:textId="77777777">
        <w:tc>
          <w:tcPr>
            <w:tcW w:w="9083" w:type="dxa"/>
            <w:gridSpan w:val="2"/>
            <w:tcBorders>
              <w:top w:val="single" w:sz="4" w:space="0" w:color="1A171C"/>
              <w:left w:val="nil"/>
              <w:bottom w:val="single" w:sz="4" w:space="0" w:color="1A171C"/>
            </w:tcBorders>
          </w:tcPr>
          <w:p w14:paraId="7FE1B9D7" w14:textId="1DCC31B9" w:rsidR="00696584" w:rsidRDefault="002C4F63">
            <w:pPr>
              <w:pStyle w:val="P68B1DB1-TableParagraph16"/>
              <w:spacing w:before="108"/>
              <w:ind w:left="85"/>
              <w:jc w:val="both"/>
              <w:rPr>
                <w:b/>
                <w:bCs/>
                <w:color w:val="000000" w:themeColor="text1"/>
                <w:sz w:val="20"/>
                <w:szCs w:val="20"/>
              </w:rPr>
            </w:pPr>
            <w:r>
              <w:t>Z 07.01.5 FUNC 1 WF</w:t>
            </w:r>
          </w:p>
          <w:p w14:paraId="7FE1B9D8" w14:textId="77777777" w:rsidR="00696584" w:rsidRDefault="002C4F63">
            <w:pPr>
              <w:pStyle w:val="P68B1DB1-TableParagraph17"/>
              <w:spacing w:before="108"/>
              <w:ind w:left="85"/>
              <w:jc w:val="both"/>
            </w:pPr>
            <w:r>
              <w:t>Anleihe- und Darlehensgeschäft zwischen finanziellen Gegenparteien (Kreditinstituten und sonstigen finanziellen Kapitalgesellschaften) auf Interbankenmärkten.</w:t>
            </w:r>
          </w:p>
        </w:tc>
      </w:tr>
      <w:tr w:rsidR="00696584" w14:paraId="7FE1B9DD" w14:textId="77777777">
        <w:tc>
          <w:tcPr>
            <w:tcW w:w="1191" w:type="dxa"/>
            <w:tcBorders>
              <w:top w:val="single" w:sz="4" w:space="0" w:color="1A171C"/>
              <w:left w:val="nil"/>
              <w:bottom w:val="single" w:sz="4" w:space="0" w:color="1A171C"/>
              <w:right w:val="single" w:sz="4" w:space="0" w:color="1A171C"/>
            </w:tcBorders>
          </w:tcPr>
          <w:p w14:paraId="7FE1B9DA" w14:textId="77777777" w:rsidR="00696584" w:rsidRDefault="002C4F63">
            <w:pPr>
              <w:pStyle w:val="P68B1DB1-TableParagraph13"/>
              <w:spacing w:before="108"/>
              <w:ind w:left="85"/>
              <w:jc w:val="both"/>
              <w:rPr>
                <w:rFonts w:eastAsia="Cambria"/>
              </w:rPr>
            </w:pPr>
            <w:r>
              <w:t>0320</w:t>
            </w:r>
          </w:p>
        </w:tc>
        <w:tc>
          <w:tcPr>
            <w:tcW w:w="7892" w:type="dxa"/>
            <w:tcBorders>
              <w:top w:val="single" w:sz="4" w:space="0" w:color="1A171C"/>
              <w:left w:val="single" w:sz="4" w:space="0" w:color="1A171C"/>
              <w:bottom w:val="single" w:sz="4" w:space="0" w:color="1A171C"/>
              <w:right w:val="nil"/>
            </w:tcBorders>
          </w:tcPr>
          <w:p w14:paraId="7FE1B9DB" w14:textId="77777777" w:rsidR="00696584" w:rsidRDefault="002C4F63">
            <w:pPr>
              <w:pStyle w:val="P68B1DB1-TableParagraph14"/>
              <w:spacing w:before="108"/>
              <w:ind w:left="85"/>
              <w:jc w:val="both"/>
              <w:rPr>
                <w:bCs/>
              </w:rPr>
            </w:pPr>
            <w:r>
              <w:t>Kreditaufnahme</w:t>
            </w:r>
          </w:p>
          <w:p w14:paraId="7FE1B9DC" w14:textId="77777777" w:rsidR="00696584" w:rsidRDefault="002C4F63">
            <w:pPr>
              <w:pStyle w:val="P68B1DB1-TableParagraph17"/>
              <w:spacing w:before="108"/>
              <w:ind w:left="85"/>
            </w:pPr>
            <w:r>
              <w:t>Kreditaufnahme bei finanziellen Gegenparteien auf dem Interbankenmarkt (einschließlich über Pensionsgeschäfte, Interbankenkredite, Commercial Paper, Einlagenzertifikate, Geldmarktfonds, Kreditlinien, forderungsbesicherte Geldmarktpapiere und Treuhandeinlagen).</w:t>
            </w:r>
          </w:p>
        </w:tc>
      </w:tr>
      <w:tr w:rsidR="00696584" w14:paraId="7FE1B9E1" w14:textId="77777777">
        <w:tc>
          <w:tcPr>
            <w:tcW w:w="1191" w:type="dxa"/>
            <w:tcBorders>
              <w:top w:val="single" w:sz="4" w:space="0" w:color="1A171C"/>
              <w:left w:val="nil"/>
              <w:bottom w:val="single" w:sz="4" w:space="0" w:color="1A171C"/>
              <w:right w:val="single" w:sz="4" w:space="0" w:color="1A171C"/>
            </w:tcBorders>
          </w:tcPr>
          <w:p w14:paraId="7FE1B9DE" w14:textId="77777777" w:rsidR="00696584" w:rsidRDefault="002C4F63">
            <w:pPr>
              <w:pStyle w:val="P68B1DB1-TableParagraph13"/>
              <w:spacing w:before="108"/>
              <w:ind w:left="85"/>
              <w:jc w:val="both"/>
              <w:rPr>
                <w:rFonts w:eastAsia="Cambria"/>
              </w:rPr>
            </w:pPr>
            <w:r>
              <w:t>0330</w:t>
            </w:r>
          </w:p>
        </w:tc>
        <w:tc>
          <w:tcPr>
            <w:tcW w:w="7892" w:type="dxa"/>
            <w:tcBorders>
              <w:top w:val="single" w:sz="4" w:space="0" w:color="1A171C"/>
              <w:left w:val="single" w:sz="4" w:space="0" w:color="1A171C"/>
              <w:bottom w:val="single" w:sz="4" w:space="0" w:color="1A171C"/>
              <w:right w:val="nil"/>
            </w:tcBorders>
          </w:tcPr>
          <w:p w14:paraId="7FE1B9DF" w14:textId="77777777" w:rsidR="00696584" w:rsidRDefault="002C4F63">
            <w:pPr>
              <w:pStyle w:val="P68B1DB1-TableParagraph14"/>
              <w:spacing w:before="108"/>
              <w:ind w:left="85"/>
              <w:jc w:val="both"/>
              <w:rPr>
                <w:bCs/>
              </w:rPr>
            </w:pPr>
            <w:r>
              <w:t>Derivate (Vermögenswerte)</w:t>
            </w:r>
          </w:p>
          <w:p w14:paraId="7FE1B9E0" w14:textId="77777777" w:rsidR="00696584" w:rsidRDefault="002C4F63">
            <w:pPr>
              <w:pStyle w:val="P68B1DB1-TableParagraph17"/>
              <w:spacing w:before="108"/>
              <w:ind w:left="85"/>
            </w:pPr>
            <w:r>
              <w:t>Derivate mit finanziellen Gegenparteien, die auf der Aktivseite der Bilanz ausgewiesen werden. Im Unterschied zur Kategorie „Kapitalmärkte“ enthalten die Derivate in der Kategorie „Großvolumige Finanzierungen“ sämtliche Derivatkontrakte mit finanziellen Gegenparteien (nicht nur die zu Handelszwecken gehaltenen).</w:t>
            </w:r>
          </w:p>
        </w:tc>
      </w:tr>
      <w:tr w:rsidR="00696584" w14:paraId="7FE1B9E5" w14:textId="77777777">
        <w:tc>
          <w:tcPr>
            <w:tcW w:w="1191" w:type="dxa"/>
            <w:tcBorders>
              <w:top w:val="single" w:sz="4" w:space="0" w:color="1A171C"/>
              <w:left w:val="nil"/>
              <w:bottom w:val="single" w:sz="4" w:space="0" w:color="1A171C"/>
              <w:right w:val="single" w:sz="4" w:space="0" w:color="1A171C"/>
            </w:tcBorders>
          </w:tcPr>
          <w:p w14:paraId="7FE1B9E2" w14:textId="77777777" w:rsidR="00696584" w:rsidRDefault="002C4F63">
            <w:pPr>
              <w:pStyle w:val="P68B1DB1-TableParagraph13"/>
              <w:spacing w:before="108"/>
              <w:ind w:left="85"/>
              <w:jc w:val="both"/>
              <w:rPr>
                <w:rFonts w:eastAsia="Cambria"/>
              </w:rPr>
            </w:pPr>
            <w:r>
              <w:t>0340</w:t>
            </w:r>
          </w:p>
        </w:tc>
        <w:tc>
          <w:tcPr>
            <w:tcW w:w="7892" w:type="dxa"/>
            <w:tcBorders>
              <w:top w:val="single" w:sz="4" w:space="0" w:color="1A171C"/>
              <w:left w:val="single" w:sz="4" w:space="0" w:color="1A171C"/>
              <w:bottom w:val="single" w:sz="4" w:space="0" w:color="1A171C"/>
              <w:right w:val="nil"/>
            </w:tcBorders>
          </w:tcPr>
          <w:p w14:paraId="7FE1B9E3" w14:textId="77777777" w:rsidR="00696584" w:rsidRDefault="002C4F63">
            <w:pPr>
              <w:pStyle w:val="P68B1DB1-TableParagraph14"/>
              <w:spacing w:before="108"/>
              <w:ind w:left="85"/>
              <w:jc w:val="both"/>
              <w:rPr>
                <w:bCs/>
              </w:rPr>
            </w:pPr>
            <w:r>
              <w:t>Finanzierungen</w:t>
            </w:r>
          </w:p>
          <w:p w14:paraId="7FE1B9E4" w14:textId="77777777" w:rsidR="00696584" w:rsidRDefault="002C4F63">
            <w:pPr>
              <w:pStyle w:val="P68B1DB1-TableParagraph17"/>
              <w:spacing w:before="108"/>
              <w:ind w:left="85"/>
            </w:pPr>
            <w:r>
              <w:t>Kreditvergabe an finanzielle Gegenparteien auf dem Interbankenmarkt (einschließlich über umgekehrte Pensionsgeschäfte, Geldmarktpapiere, Einlagenzertifikate, Geldmarktfonds, Kreditlinien, forderungsbesicherte Geldmarktpapiere, Treuhandeinlagen).</w:t>
            </w:r>
          </w:p>
        </w:tc>
      </w:tr>
      <w:tr w:rsidR="00696584" w14:paraId="7FE1B9E9" w14:textId="77777777">
        <w:tc>
          <w:tcPr>
            <w:tcW w:w="1191" w:type="dxa"/>
            <w:tcBorders>
              <w:top w:val="single" w:sz="4" w:space="0" w:color="1A171C"/>
              <w:left w:val="nil"/>
              <w:bottom w:val="single" w:sz="4" w:space="0" w:color="1A171C"/>
              <w:right w:val="single" w:sz="4" w:space="0" w:color="1A171C"/>
            </w:tcBorders>
          </w:tcPr>
          <w:p w14:paraId="7FE1B9E6" w14:textId="77777777" w:rsidR="00696584" w:rsidRDefault="002C4F63">
            <w:pPr>
              <w:pStyle w:val="P68B1DB1-TableParagraph13"/>
              <w:spacing w:before="108"/>
              <w:ind w:left="85"/>
              <w:jc w:val="both"/>
              <w:rPr>
                <w:rFonts w:eastAsia="Cambria"/>
              </w:rPr>
            </w:pPr>
            <w:r>
              <w:t>0350</w:t>
            </w:r>
          </w:p>
        </w:tc>
        <w:tc>
          <w:tcPr>
            <w:tcW w:w="7892" w:type="dxa"/>
            <w:tcBorders>
              <w:top w:val="single" w:sz="4" w:space="0" w:color="1A171C"/>
              <w:left w:val="single" w:sz="4" w:space="0" w:color="1A171C"/>
              <w:bottom w:val="single" w:sz="4" w:space="0" w:color="1A171C"/>
              <w:right w:val="nil"/>
            </w:tcBorders>
          </w:tcPr>
          <w:p w14:paraId="7FE1B9E7" w14:textId="77777777" w:rsidR="00696584" w:rsidRDefault="002C4F63">
            <w:pPr>
              <w:pStyle w:val="P68B1DB1-TableParagraph14"/>
              <w:spacing w:before="108"/>
              <w:ind w:left="85"/>
              <w:jc w:val="both"/>
              <w:rPr>
                <w:bCs/>
              </w:rPr>
            </w:pPr>
            <w:r>
              <w:t>Derivate (Verbindlichkeiten)</w:t>
            </w:r>
          </w:p>
          <w:p w14:paraId="7FE1B9E8" w14:textId="77777777" w:rsidR="00696584" w:rsidRDefault="002C4F63">
            <w:pPr>
              <w:pStyle w:val="P68B1DB1-TableParagraph17"/>
              <w:spacing w:before="108"/>
              <w:ind w:left="85"/>
              <w:jc w:val="both"/>
            </w:pPr>
            <w:r>
              <w:t xml:space="preserve">Derivate mit finanziellen Gegenparteien, die auf der Passivseite der Bilanz ausgewiesen werden. </w:t>
            </w:r>
          </w:p>
        </w:tc>
      </w:tr>
      <w:tr w:rsidR="00696584" w14:paraId="7FE1B9ED" w14:textId="77777777">
        <w:tc>
          <w:tcPr>
            <w:tcW w:w="1191" w:type="dxa"/>
            <w:tcBorders>
              <w:top w:val="single" w:sz="4" w:space="0" w:color="1A171C"/>
              <w:left w:val="nil"/>
              <w:bottom w:val="single" w:sz="4" w:space="0" w:color="1A171C"/>
              <w:right w:val="single" w:sz="4" w:space="0" w:color="1A171C"/>
            </w:tcBorders>
          </w:tcPr>
          <w:p w14:paraId="7FE1B9EA" w14:textId="77777777" w:rsidR="00696584" w:rsidRDefault="002C4F63">
            <w:pPr>
              <w:pStyle w:val="P68B1DB1-TableParagraph17"/>
              <w:spacing w:before="108"/>
              <w:ind w:left="85"/>
              <w:jc w:val="both"/>
            </w:pPr>
            <w:r>
              <w:t>0360 – 0380</w:t>
            </w:r>
          </w:p>
        </w:tc>
        <w:tc>
          <w:tcPr>
            <w:tcW w:w="7892" w:type="dxa"/>
            <w:tcBorders>
              <w:top w:val="single" w:sz="4" w:space="0" w:color="1A171C"/>
              <w:left w:val="single" w:sz="4" w:space="0" w:color="1A171C"/>
              <w:bottom w:val="single" w:sz="4" w:space="0" w:color="1A171C"/>
              <w:right w:val="nil"/>
            </w:tcBorders>
          </w:tcPr>
          <w:p w14:paraId="7FE1B9EB" w14:textId="77777777" w:rsidR="00696584" w:rsidRDefault="002C4F63">
            <w:pPr>
              <w:pStyle w:val="P68B1DB1-TableParagraph14"/>
              <w:spacing w:before="108"/>
              <w:ind w:left="85"/>
              <w:jc w:val="both"/>
              <w:rPr>
                <w:bCs/>
              </w:rPr>
            </w:pPr>
            <w:r>
              <w:t>Sonstige Produktarten (1), (2) und (3)</w:t>
            </w:r>
          </w:p>
          <w:p w14:paraId="7FE1B9EC" w14:textId="77777777" w:rsidR="00696584" w:rsidRDefault="002C4F63">
            <w:pPr>
              <w:pStyle w:val="P68B1DB1-TableParagraph17"/>
              <w:spacing w:before="108"/>
              <w:ind w:left="85"/>
            </w:pPr>
            <w:r>
              <w:t>Alle übrigen Funktionen der wirtschaftlichen Funktion „Großvolumige Finanzierungen“.</w:t>
            </w:r>
          </w:p>
        </w:tc>
      </w:tr>
    </w:tbl>
    <w:p w14:paraId="7FE1B9EE" w14:textId="77777777" w:rsidR="00696584" w:rsidRDefault="00696584">
      <w:pPr>
        <w:pStyle w:val="InstructionsText2"/>
        <w:numPr>
          <w:ilvl w:val="0"/>
          <w:numId w:val="0"/>
        </w:numPr>
        <w:ind w:left="1440" w:firstLine="18"/>
        <w:rPr>
          <w:rFonts w:ascii="Times New Roman" w:hAnsi="Times New Roman" w:cs="Times New Roman"/>
          <w:sz w:val="20"/>
          <w:szCs w:val="20"/>
        </w:rPr>
      </w:pPr>
    </w:p>
    <w:p w14:paraId="7FE1B9EF" w14:textId="3D9C3A6F" w:rsidR="00696584" w:rsidRDefault="002C4F63">
      <w:pPr>
        <w:pStyle w:val="P68B1DB1-Instructionsberschrift25"/>
        <w:numPr>
          <w:ilvl w:val="1"/>
          <w:numId w:val="49"/>
        </w:numPr>
        <w:ind w:left="357" w:hanging="357"/>
      </w:pPr>
      <w:bookmarkStart w:id="107" w:name="_Toc209533593"/>
      <w:r>
        <w:t>Z 07.01.1 FUNC 1 DEP</w:t>
      </w:r>
      <w:bookmarkEnd w:id="107"/>
    </w:p>
    <w:p w14:paraId="7FE1B9F9" w14:textId="77777777" w:rsidR="00696584" w:rsidRDefault="00696584">
      <w:pPr>
        <w:rPr>
          <w:rFonts w:ascii="Times New Roman" w:hAnsi="Times New Roman" w:cs="Times New Roman"/>
          <w:color w:val="000000" w:themeColor="text1"/>
          <w:sz w:val="20"/>
          <w:szCs w:val="20"/>
        </w:rPr>
      </w:pPr>
    </w:p>
    <w:tbl>
      <w:tblPr>
        <w:tblW w:w="9083" w:type="dxa"/>
        <w:tblLayout w:type="fixed"/>
        <w:tblCellMar>
          <w:top w:w="57" w:type="dxa"/>
          <w:left w:w="57" w:type="dxa"/>
          <w:bottom w:w="57" w:type="dxa"/>
          <w:right w:w="0" w:type="dxa"/>
        </w:tblCellMar>
        <w:tblLook w:val="01E0" w:firstRow="1" w:lastRow="1" w:firstColumn="1" w:lastColumn="1" w:noHBand="0" w:noVBand="0"/>
      </w:tblPr>
      <w:tblGrid>
        <w:gridCol w:w="1080"/>
        <w:gridCol w:w="8003"/>
      </w:tblGrid>
      <w:tr w:rsidR="00696584" w14:paraId="7FE1B9FC" w14:textId="77777777">
        <w:trPr>
          <w:tblHeader/>
        </w:trPr>
        <w:tc>
          <w:tcPr>
            <w:tcW w:w="1080" w:type="dxa"/>
            <w:tcBorders>
              <w:top w:val="single" w:sz="4" w:space="0" w:color="1A171C"/>
              <w:left w:val="nil"/>
              <w:bottom w:val="single" w:sz="4" w:space="0" w:color="1A171C"/>
              <w:right w:val="single" w:sz="4" w:space="0" w:color="1A171C"/>
            </w:tcBorders>
            <w:shd w:val="clear" w:color="auto" w:fill="E4E5E5"/>
          </w:tcPr>
          <w:p w14:paraId="7FE1B9FA" w14:textId="77777777" w:rsidR="00696584" w:rsidRDefault="002C4F63">
            <w:pPr>
              <w:pStyle w:val="P68B1DB1-TableParagraph17"/>
              <w:spacing w:before="108"/>
              <w:ind w:left="85"/>
              <w:jc w:val="both"/>
            </w:pPr>
            <w:r>
              <w:lastRenderedPageBreak/>
              <w:t>Spalten</w:t>
            </w:r>
          </w:p>
        </w:tc>
        <w:tc>
          <w:tcPr>
            <w:tcW w:w="8003" w:type="dxa"/>
            <w:tcBorders>
              <w:top w:val="single" w:sz="4" w:space="0" w:color="1A171C"/>
              <w:left w:val="single" w:sz="4" w:space="0" w:color="1A171C"/>
              <w:bottom w:val="single" w:sz="4" w:space="0" w:color="1A171C"/>
              <w:right w:val="nil"/>
            </w:tcBorders>
            <w:shd w:val="clear" w:color="auto" w:fill="E4E5E5"/>
          </w:tcPr>
          <w:p w14:paraId="7FE1B9FB" w14:textId="77777777" w:rsidR="00696584" w:rsidRDefault="002C4F63">
            <w:pPr>
              <w:pStyle w:val="P68B1DB1-TableParagraph17"/>
              <w:spacing w:before="108"/>
              <w:ind w:left="85" w:right="1"/>
              <w:jc w:val="both"/>
            </w:pPr>
            <w:r>
              <w:t>Erläuterungen</w:t>
            </w:r>
          </w:p>
        </w:tc>
      </w:tr>
      <w:tr w:rsidR="00696584" w14:paraId="7FE1BA00" w14:textId="77777777">
        <w:tc>
          <w:tcPr>
            <w:tcW w:w="1080" w:type="dxa"/>
            <w:tcBorders>
              <w:top w:val="single" w:sz="4" w:space="0" w:color="1A171C"/>
              <w:left w:val="nil"/>
              <w:bottom w:val="single" w:sz="4" w:space="0" w:color="1A171C"/>
              <w:right w:val="single" w:sz="4" w:space="0" w:color="1A171C"/>
            </w:tcBorders>
            <w:vAlign w:val="center"/>
          </w:tcPr>
          <w:p w14:paraId="7FE1B9FD" w14:textId="77777777" w:rsidR="00696584" w:rsidRDefault="002C4F63">
            <w:pPr>
              <w:pStyle w:val="P68B1DB1-TableParagraph17"/>
              <w:spacing w:before="108"/>
              <w:ind w:left="85"/>
              <w:jc w:val="both"/>
            </w:pPr>
            <w:r>
              <w:t>0010</w:t>
            </w:r>
          </w:p>
        </w:tc>
        <w:tc>
          <w:tcPr>
            <w:tcW w:w="8003" w:type="dxa"/>
            <w:tcBorders>
              <w:top w:val="single" w:sz="4" w:space="0" w:color="1A171C"/>
              <w:left w:val="single" w:sz="4" w:space="0" w:color="1A171C"/>
              <w:bottom w:val="single" w:sz="4" w:space="0" w:color="1A171C"/>
              <w:right w:val="nil"/>
            </w:tcBorders>
            <w:vAlign w:val="center"/>
          </w:tcPr>
          <w:p w14:paraId="7FE1B9FE" w14:textId="77777777" w:rsidR="00696584" w:rsidRDefault="002C4F63">
            <w:pPr>
              <w:pStyle w:val="P68B1DB1-TableParagraph14"/>
              <w:spacing w:before="108"/>
              <w:ind w:left="85"/>
              <w:jc w:val="both"/>
              <w:rPr>
                <w:bCs/>
              </w:rPr>
            </w:pPr>
            <w:r>
              <w:t>Beschreibung der wirtschaftlichen Funktion</w:t>
            </w:r>
          </w:p>
          <w:p w14:paraId="7FE1B9FF" w14:textId="2DF858EE" w:rsidR="00696584" w:rsidRDefault="002C4F63">
            <w:pPr>
              <w:pStyle w:val="P68B1DB1-TableParagraph17"/>
              <w:spacing w:before="108"/>
              <w:ind w:left="85"/>
            </w:pPr>
            <w:r>
              <w:t xml:space="preserve">Ist die wirtschaftliche Funktion vom Typ „Sonstige“ (Funktionen in r0050 bis r0070), ist diese Funktion zu beschreiben. </w:t>
            </w:r>
          </w:p>
        </w:tc>
      </w:tr>
      <w:tr w:rsidR="00696584" w14:paraId="7FE1BA04" w14:textId="77777777">
        <w:tc>
          <w:tcPr>
            <w:tcW w:w="1080" w:type="dxa"/>
            <w:tcBorders>
              <w:top w:val="single" w:sz="4" w:space="0" w:color="1A171C"/>
              <w:left w:val="nil"/>
              <w:bottom w:val="single" w:sz="4" w:space="0" w:color="1A171C"/>
              <w:right w:val="single" w:sz="4" w:space="0" w:color="1A171C"/>
            </w:tcBorders>
            <w:vAlign w:val="center"/>
          </w:tcPr>
          <w:p w14:paraId="7FE1BA01" w14:textId="77777777" w:rsidR="00696584" w:rsidRDefault="002C4F63">
            <w:pPr>
              <w:pStyle w:val="P68B1DB1-TableParagraph17"/>
              <w:spacing w:before="108"/>
              <w:ind w:left="85"/>
              <w:jc w:val="both"/>
            </w:pPr>
            <w:r>
              <w:t>0020</w:t>
            </w:r>
          </w:p>
        </w:tc>
        <w:tc>
          <w:tcPr>
            <w:tcW w:w="8003" w:type="dxa"/>
            <w:tcBorders>
              <w:top w:val="single" w:sz="4" w:space="0" w:color="1A171C"/>
              <w:left w:val="single" w:sz="4" w:space="0" w:color="1A171C"/>
              <w:bottom w:val="single" w:sz="4" w:space="0" w:color="1A171C"/>
              <w:right w:val="nil"/>
            </w:tcBorders>
            <w:vAlign w:val="center"/>
          </w:tcPr>
          <w:p w14:paraId="7FE1BA02" w14:textId="77777777" w:rsidR="00696584" w:rsidRDefault="002C4F63">
            <w:pPr>
              <w:pStyle w:val="P68B1DB1-TableParagraph14"/>
              <w:spacing w:before="108"/>
              <w:ind w:left="85"/>
              <w:jc w:val="both"/>
              <w:rPr>
                <w:bCs/>
              </w:rPr>
            </w:pPr>
            <w:r>
              <w:t xml:space="preserve">Marktanteil </w:t>
            </w:r>
          </w:p>
          <w:p w14:paraId="7FE1BA03" w14:textId="2B787841" w:rsidR="00696584" w:rsidRDefault="002C4F63">
            <w:pPr>
              <w:pStyle w:val="P68B1DB1-TableParagraph17"/>
              <w:spacing w:before="108"/>
              <w:ind w:left="85"/>
            </w:pPr>
            <w:r>
              <w:t>Schätzung des Marktanteils des Instituts oder der Gruppe an der wirtschaftlichen Funktion im jeweiligen Land oder im jeweiligen geografischen Gebiet. Prozentsatz des Gesamtmarkts in Bezug auf den Rechnungswert.</w:t>
            </w:r>
          </w:p>
        </w:tc>
      </w:tr>
      <w:tr w:rsidR="00696584" w14:paraId="7FE1BA09" w14:textId="77777777">
        <w:tc>
          <w:tcPr>
            <w:tcW w:w="1080" w:type="dxa"/>
            <w:tcBorders>
              <w:top w:val="single" w:sz="4" w:space="0" w:color="1A171C"/>
              <w:left w:val="nil"/>
              <w:bottom w:val="single" w:sz="4" w:space="0" w:color="1A171C"/>
              <w:right w:val="single" w:sz="4" w:space="0" w:color="1A171C"/>
            </w:tcBorders>
            <w:vAlign w:val="center"/>
          </w:tcPr>
          <w:p w14:paraId="7FE1BA05" w14:textId="77777777" w:rsidR="00696584" w:rsidRDefault="002C4F63">
            <w:pPr>
              <w:pStyle w:val="P68B1DB1-TableParagraph17"/>
              <w:spacing w:before="108"/>
              <w:ind w:left="85"/>
              <w:jc w:val="both"/>
            </w:pPr>
            <w:r>
              <w:t>0030</w:t>
            </w:r>
          </w:p>
        </w:tc>
        <w:tc>
          <w:tcPr>
            <w:tcW w:w="8003" w:type="dxa"/>
            <w:tcBorders>
              <w:top w:val="single" w:sz="4" w:space="0" w:color="1A171C"/>
              <w:left w:val="single" w:sz="4" w:space="0" w:color="1A171C"/>
              <w:bottom w:val="single" w:sz="4" w:space="0" w:color="1A171C"/>
              <w:right w:val="nil"/>
            </w:tcBorders>
            <w:vAlign w:val="center"/>
          </w:tcPr>
          <w:p w14:paraId="7FE1BA06" w14:textId="77777777" w:rsidR="00696584" w:rsidRDefault="002C4F63">
            <w:pPr>
              <w:pStyle w:val="P68B1DB1-TableParagraph14"/>
              <w:spacing w:before="108"/>
              <w:jc w:val="both"/>
              <w:rPr>
                <w:bCs/>
              </w:rPr>
            </w:pPr>
            <w:r>
              <w:t>Wert der Konten</w:t>
            </w:r>
          </w:p>
          <w:p w14:paraId="7FE1BA07" w14:textId="77777777" w:rsidR="00696584" w:rsidRDefault="002C4F63">
            <w:pPr>
              <w:pStyle w:val="P68B1DB1-TableParagraph17"/>
              <w:spacing w:before="108"/>
            </w:pPr>
            <w:r>
              <w:t>Buchwert (einschließlich der aufgelaufenen Zinsen) der entgegengenommenen Einlagen.</w:t>
            </w:r>
          </w:p>
          <w:p w14:paraId="7FE1BA08" w14:textId="063F0AE2" w:rsidR="00696584" w:rsidRDefault="0098354D">
            <w:pPr>
              <w:pStyle w:val="P68B1DB1-TableParagraph17"/>
              <w:spacing w:before="108"/>
            </w:pPr>
            <w:r>
              <w:t>Verweise:</w:t>
            </w:r>
            <w:r w:rsidR="002C4F63">
              <w:t xml:space="preserve"> FINREP Anhänge III und IV Meldebogen F 08.01 und Anhang V Teil 2 Nummer 97.</w:t>
            </w:r>
          </w:p>
        </w:tc>
      </w:tr>
      <w:tr w:rsidR="00696584" w14:paraId="7FE1BA0D" w14:textId="77777777">
        <w:tc>
          <w:tcPr>
            <w:tcW w:w="1080" w:type="dxa"/>
            <w:tcBorders>
              <w:top w:val="single" w:sz="4" w:space="0" w:color="1A171C"/>
              <w:left w:val="nil"/>
              <w:bottom w:val="single" w:sz="4" w:space="0" w:color="1A171C"/>
              <w:right w:val="single" w:sz="4" w:space="0" w:color="1A171C"/>
            </w:tcBorders>
            <w:vAlign w:val="center"/>
          </w:tcPr>
          <w:p w14:paraId="7FE1BA0A" w14:textId="47AA2EA1" w:rsidR="00696584" w:rsidRDefault="002C4F63">
            <w:pPr>
              <w:pStyle w:val="P68B1DB1-TableParagraph17"/>
              <w:spacing w:before="108"/>
              <w:ind w:left="85"/>
              <w:jc w:val="both"/>
            </w:pPr>
            <w:r>
              <w:t>0035</w:t>
            </w:r>
          </w:p>
        </w:tc>
        <w:tc>
          <w:tcPr>
            <w:tcW w:w="8003" w:type="dxa"/>
            <w:tcBorders>
              <w:top w:val="single" w:sz="4" w:space="0" w:color="1A171C"/>
              <w:left w:val="single" w:sz="4" w:space="0" w:color="1A171C"/>
              <w:bottom w:val="single" w:sz="4" w:space="0" w:color="1A171C"/>
              <w:right w:val="nil"/>
            </w:tcBorders>
            <w:vAlign w:val="center"/>
          </w:tcPr>
          <w:p w14:paraId="7FE1BA0B" w14:textId="66CBA83C" w:rsidR="00696584" w:rsidRDefault="002C4F63">
            <w:pPr>
              <w:pStyle w:val="P68B1DB1-TableParagraph14"/>
              <w:spacing w:before="108"/>
              <w:jc w:val="both"/>
              <w:rPr>
                <w:bCs/>
              </w:rPr>
            </w:pPr>
            <w:bookmarkStart w:id="108" w:name="_Hlk162030772"/>
            <w:r>
              <w:t>Davon nicht versichert</w:t>
            </w:r>
          </w:p>
          <w:p w14:paraId="7FE1BA0C" w14:textId="7301FA82" w:rsidR="00696584" w:rsidRDefault="002C4F63">
            <w:pPr>
              <w:pStyle w:val="P68B1DB1-TableParagraph13"/>
              <w:spacing w:before="108"/>
              <w:rPr>
                <w:rFonts w:eastAsia="Cambria"/>
              </w:rPr>
            </w:pPr>
            <w:r>
              <w:t>Buchwert (einschließlich aufgelaufener Zinsen) von Einlagen, deren Kontosaldo 100 000,00 EUR übersteigt.</w:t>
            </w:r>
            <w:bookmarkEnd w:id="108"/>
            <w:r w:rsidR="0055797C">
              <w:t xml:space="preserve"> </w:t>
            </w:r>
            <w:r>
              <w:t>Nur der Betrag von mehr als 100,000 EUR ist hier auszuweisen.</w:t>
            </w:r>
          </w:p>
        </w:tc>
      </w:tr>
      <w:tr w:rsidR="00696584" w14:paraId="7FE1BA14" w14:textId="77777777">
        <w:tc>
          <w:tcPr>
            <w:tcW w:w="1080" w:type="dxa"/>
            <w:tcBorders>
              <w:top w:val="single" w:sz="4" w:space="0" w:color="1A171C"/>
              <w:left w:val="nil"/>
              <w:bottom w:val="single" w:sz="4" w:space="0" w:color="1A171C"/>
              <w:right w:val="single" w:sz="4" w:space="0" w:color="1A171C"/>
            </w:tcBorders>
            <w:vAlign w:val="center"/>
          </w:tcPr>
          <w:p w14:paraId="7FE1BA0E" w14:textId="13FF7421" w:rsidR="00696584" w:rsidRDefault="002C4F63">
            <w:pPr>
              <w:pStyle w:val="P68B1DB1-TableParagraph17"/>
              <w:spacing w:before="108"/>
              <w:ind w:left="85"/>
              <w:jc w:val="both"/>
            </w:pPr>
            <w:r>
              <w:t>0036</w:t>
            </w:r>
          </w:p>
        </w:tc>
        <w:tc>
          <w:tcPr>
            <w:tcW w:w="8003" w:type="dxa"/>
            <w:tcBorders>
              <w:top w:val="single" w:sz="4" w:space="0" w:color="1A171C"/>
              <w:left w:val="single" w:sz="4" w:space="0" w:color="1A171C"/>
              <w:bottom w:val="single" w:sz="4" w:space="0" w:color="1A171C"/>
              <w:right w:val="nil"/>
            </w:tcBorders>
            <w:vAlign w:val="center"/>
          </w:tcPr>
          <w:p w14:paraId="7FE1BA0F" w14:textId="4A16C5CB" w:rsidR="00696584" w:rsidRDefault="002C4F63">
            <w:pPr>
              <w:pStyle w:val="P68B1DB1-TableParagraph14"/>
              <w:spacing w:before="108"/>
              <w:ind w:left="85"/>
              <w:jc w:val="both"/>
              <w:rPr>
                <w:bCs/>
              </w:rPr>
            </w:pPr>
            <w:bookmarkStart w:id="109" w:name="_Hlk162030782"/>
            <w:r>
              <w:t>Davon wiederkehrende</w:t>
            </w:r>
          </w:p>
          <w:p w14:paraId="7FE1BA12" w14:textId="14AEAE5C" w:rsidR="00696584" w:rsidRDefault="002C4F63">
            <w:pPr>
              <w:pStyle w:val="P68B1DB1-TableParagraph13"/>
              <w:spacing w:before="108"/>
              <w:ind w:left="85"/>
              <w:jc w:val="both"/>
            </w:pPr>
            <w:bookmarkStart w:id="110" w:name="_Hlk170377814"/>
            <w:bookmarkStart w:id="111" w:name="_Hlk162030851"/>
            <w:r>
              <w:t xml:space="preserve">Buchwert (einschließlich aufgelaufener Zinsen) von Einlagen, die auf einem wiederkehrenden Einlagenkonto gehalten werden.  Wiederkehrende Einlagenkonten sind Einlagenkonten, bei denen das Konto in den sechs Monaten vor dem Stichtag im Durchschnitt von mindestens fünf monatlichen Transaktionen belastet oder gutgeschrieben wurde, mit Ausnahme von Jahresgebühren, sonstigen Gebühren und Zinszahlungen im Zusammenhang mit dem Konto. </w:t>
            </w:r>
            <w:bookmarkEnd w:id="110"/>
          </w:p>
          <w:bookmarkEnd w:id="109"/>
          <w:bookmarkEnd w:id="111"/>
          <w:p w14:paraId="7FE1BA13" w14:textId="0C63C868" w:rsidR="00696584" w:rsidRDefault="00696584">
            <w:pPr>
              <w:pStyle w:val="TableParagraph"/>
              <w:spacing w:before="108"/>
              <w:ind w:left="85"/>
              <w:jc w:val="both"/>
              <w:rPr>
                <w:rFonts w:ascii="Times New Roman" w:hAnsi="Times New Roman" w:cs="Times New Roman"/>
                <w:color w:val="000000" w:themeColor="text1"/>
                <w:sz w:val="20"/>
                <w:szCs w:val="20"/>
              </w:rPr>
            </w:pPr>
          </w:p>
        </w:tc>
      </w:tr>
      <w:tr w:rsidR="00696584" w14:paraId="7FE1BA18" w14:textId="77777777">
        <w:tc>
          <w:tcPr>
            <w:tcW w:w="1080" w:type="dxa"/>
            <w:tcBorders>
              <w:top w:val="single" w:sz="4" w:space="0" w:color="1A171C"/>
              <w:left w:val="nil"/>
              <w:bottom w:val="single" w:sz="4" w:space="0" w:color="1A171C"/>
              <w:right w:val="single" w:sz="4" w:space="0" w:color="1A171C"/>
            </w:tcBorders>
            <w:vAlign w:val="center"/>
          </w:tcPr>
          <w:p w14:paraId="7FE1BA15" w14:textId="56462D7A" w:rsidR="00696584" w:rsidRDefault="002C4F63">
            <w:pPr>
              <w:pStyle w:val="P68B1DB1-TableParagraph17"/>
              <w:spacing w:before="108"/>
              <w:ind w:left="85"/>
              <w:jc w:val="both"/>
            </w:pPr>
            <w:r>
              <w:t>0040</w:t>
            </w:r>
          </w:p>
        </w:tc>
        <w:tc>
          <w:tcPr>
            <w:tcW w:w="8003" w:type="dxa"/>
            <w:tcBorders>
              <w:top w:val="single" w:sz="4" w:space="0" w:color="1A171C"/>
              <w:left w:val="single" w:sz="4" w:space="0" w:color="1A171C"/>
              <w:bottom w:val="single" w:sz="4" w:space="0" w:color="1A171C"/>
              <w:right w:val="nil"/>
            </w:tcBorders>
            <w:vAlign w:val="center"/>
          </w:tcPr>
          <w:p w14:paraId="7FE1BA16" w14:textId="77777777" w:rsidR="00696584" w:rsidRDefault="002C4F63">
            <w:pPr>
              <w:pStyle w:val="P68B1DB1-TableParagraph14"/>
              <w:spacing w:before="108"/>
              <w:ind w:left="85"/>
              <w:jc w:val="both"/>
              <w:rPr>
                <w:bCs/>
              </w:rPr>
            </w:pPr>
            <w:r>
              <w:t>Anzahl der Kunden</w:t>
            </w:r>
          </w:p>
          <w:p w14:paraId="7FE1BA17" w14:textId="77777777" w:rsidR="00696584" w:rsidRDefault="002C4F63">
            <w:pPr>
              <w:pStyle w:val="P68B1DB1-TableParagraph13"/>
              <w:spacing w:before="108"/>
              <w:ind w:left="85"/>
              <w:jc w:val="both"/>
            </w:pPr>
            <w:r>
              <w:t>Gesamtzahl der Kunden, die die in c0030 „Wert der Konten“ gemeldeten Werte hinterlegt haben. Verwendet ein Kunde mehr als ein Einlagenprodukt/-konto, so wird der Kunde nur einmal gezählt.</w:t>
            </w:r>
          </w:p>
        </w:tc>
      </w:tr>
      <w:tr w:rsidR="00696584" w14:paraId="7FE1BA1F" w14:textId="77777777">
        <w:tc>
          <w:tcPr>
            <w:tcW w:w="1080" w:type="dxa"/>
            <w:tcBorders>
              <w:top w:val="single" w:sz="4" w:space="0" w:color="1A171C"/>
              <w:left w:val="nil"/>
              <w:bottom w:val="single" w:sz="4" w:space="0" w:color="1A171C"/>
              <w:right w:val="single" w:sz="4" w:space="0" w:color="1A171C"/>
            </w:tcBorders>
            <w:vAlign w:val="center"/>
          </w:tcPr>
          <w:p w14:paraId="7FE1BA19" w14:textId="5D4B8FB0" w:rsidR="00696584" w:rsidRDefault="002C4F63">
            <w:pPr>
              <w:pStyle w:val="P68B1DB1-TableParagraph17"/>
              <w:spacing w:before="108"/>
              <w:ind w:left="85"/>
              <w:jc w:val="both"/>
            </w:pPr>
            <w:r>
              <w:t>0050</w:t>
            </w:r>
          </w:p>
        </w:tc>
        <w:tc>
          <w:tcPr>
            <w:tcW w:w="8003" w:type="dxa"/>
            <w:tcBorders>
              <w:top w:val="single" w:sz="4" w:space="0" w:color="1A171C"/>
              <w:left w:val="single" w:sz="4" w:space="0" w:color="1A171C"/>
              <w:bottom w:val="single" w:sz="4" w:space="0" w:color="1A171C"/>
              <w:right w:val="nil"/>
            </w:tcBorders>
            <w:vAlign w:val="center"/>
          </w:tcPr>
          <w:p w14:paraId="7FE1BA1A" w14:textId="77777777" w:rsidR="00696584" w:rsidRDefault="002C4F63">
            <w:pPr>
              <w:pStyle w:val="P68B1DB1-TableParagraph14"/>
              <w:spacing w:before="108"/>
              <w:ind w:left="85"/>
              <w:jc w:val="both"/>
              <w:rPr>
                <w:bCs/>
              </w:rPr>
            </w:pPr>
            <w:r>
              <w:t>Anzahl der Konten</w:t>
            </w:r>
          </w:p>
          <w:p w14:paraId="7FE1BA1E" w14:textId="0D96CD68" w:rsidR="00696584" w:rsidRDefault="002C4F63" w:rsidP="004A4C35">
            <w:pPr>
              <w:pStyle w:val="P68B1DB1-TableParagraph13"/>
              <w:spacing w:before="108"/>
              <w:ind w:left="85"/>
              <w:jc w:val="both"/>
              <w:rPr>
                <w:b/>
                <w:bCs/>
              </w:rPr>
            </w:pPr>
            <w:r>
              <w:t>Gesamtzahl der Girokonten/Tagesgeldkonten, Einlagen mit vereinbarter Laufzeit und</w:t>
            </w:r>
            <w:r w:rsidR="004A4C35">
              <w:t xml:space="preserve"> </w:t>
            </w:r>
            <w:r>
              <w:t>Einlagen mit vereinbarter Kündigungsfrist. Gemeinschaftskonten sind nur einmal zu zählen. Die Gesamtzahl der Konten in dieser Spalte sollte dem in c0030 „Wert der Konten“ gemeldeten Wert entsprechen.</w:t>
            </w:r>
          </w:p>
        </w:tc>
      </w:tr>
      <w:tr w:rsidR="00696584" w14:paraId="7FE1BA23" w14:textId="77777777">
        <w:tc>
          <w:tcPr>
            <w:tcW w:w="1080" w:type="dxa"/>
            <w:tcBorders>
              <w:top w:val="single" w:sz="4" w:space="0" w:color="1A171C"/>
              <w:left w:val="nil"/>
              <w:bottom w:val="single" w:sz="4" w:space="0" w:color="1A171C"/>
              <w:right w:val="single" w:sz="4" w:space="0" w:color="1A171C"/>
            </w:tcBorders>
            <w:vAlign w:val="center"/>
          </w:tcPr>
          <w:p w14:paraId="7FE1BA20" w14:textId="175782F6" w:rsidR="00696584" w:rsidRDefault="002C4F63">
            <w:pPr>
              <w:pStyle w:val="P68B1DB1-TableParagraph17"/>
              <w:spacing w:before="108"/>
              <w:ind w:left="85"/>
              <w:jc w:val="both"/>
            </w:pPr>
            <w:r>
              <w:t>0055</w:t>
            </w:r>
          </w:p>
        </w:tc>
        <w:tc>
          <w:tcPr>
            <w:tcW w:w="8003" w:type="dxa"/>
            <w:tcBorders>
              <w:top w:val="single" w:sz="4" w:space="0" w:color="1A171C"/>
              <w:left w:val="single" w:sz="4" w:space="0" w:color="1A171C"/>
              <w:bottom w:val="single" w:sz="4" w:space="0" w:color="1A171C"/>
              <w:right w:val="nil"/>
            </w:tcBorders>
            <w:vAlign w:val="center"/>
          </w:tcPr>
          <w:p w14:paraId="7FE1BA21" w14:textId="1347DD47" w:rsidR="00696584" w:rsidRDefault="002C4F63">
            <w:pPr>
              <w:pStyle w:val="P68B1DB1-TableParagraph14"/>
              <w:spacing w:before="108"/>
              <w:ind w:left="85"/>
              <w:jc w:val="both"/>
              <w:rPr>
                <w:bCs/>
              </w:rPr>
            </w:pPr>
            <w:r>
              <w:t>Davon wiederkehrende</w:t>
            </w:r>
          </w:p>
          <w:p w14:paraId="7FE1BA22" w14:textId="00C60993" w:rsidR="00696584" w:rsidRDefault="002C4F63">
            <w:pPr>
              <w:pStyle w:val="P68B1DB1-TableParagraph13"/>
              <w:spacing w:before="108"/>
              <w:ind w:left="85"/>
              <w:jc w:val="both"/>
            </w:pPr>
            <w:r>
              <w:t>Gesamtzahl der wiederkehrenden Konten gemäß c0036</w:t>
            </w:r>
          </w:p>
        </w:tc>
      </w:tr>
      <w:tr w:rsidR="00696584" w14:paraId="7FE1BA2B" w14:textId="77777777">
        <w:tc>
          <w:tcPr>
            <w:tcW w:w="1080" w:type="dxa"/>
            <w:tcBorders>
              <w:top w:val="single" w:sz="4" w:space="0" w:color="1A171C"/>
              <w:left w:val="nil"/>
              <w:bottom w:val="single" w:sz="4" w:space="0" w:color="1A171C"/>
              <w:right w:val="single" w:sz="4" w:space="0" w:color="1A171C"/>
            </w:tcBorders>
            <w:vAlign w:val="center"/>
          </w:tcPr>
          <w:p w14:paraId="7FE1BA24" w14:textId="486A03B3" w:rsidR="00696584" w:rsidRDefault="002C4F63">
            <w:pPr>
              <w:pStyle w:val="P68B1DB1-TableParagraph17"/>
              <w:spacing w:before="108"/>
              <w:jc w:val="both"/>
            </w:pPr>
            <w:r>
              <w:t>0060</w:t>
            </w:r>
          </w:p>
        </w:tc>
        <w:tc>
          <w:tcPr>
            <w:tcW w:w="8003" w:type="dxa"/>
            <w:tcBorders>
              <w:top w:val="single" w:sz="4" w:space="0" w:color="1A171C"/>
              <w:left w:val="single" w:sz="4" w:space="0" w:color="1A171C"/>
              <w:bottom w:val="single" w:sz="4" w:space="0" w:color="1A171C"/>
              <w:right w:val="nil"/>
            </w:tcBorders>
            <w:vAlign w:val="center"/>
          </w:tcPr>
          <w:p w14:paraId="7FE1BA25" w14:textId="77777777" w:rsidR="00696584" w:rsidRDefault="002C4F63">
            <w:pPr>
              <w:pStyle w:val="P68B1DB1-TableParagraph14"/>
              <w:spacing w:before="108"/>
              <w:ind w:left="85"/>
              <w:jc w:val="both"/>
              <w:rPr>
                <w:bCs/>
              </w:rPr>
            </w:pPr>
            <w:r>
              <w:t>Grenzüberschreitender Wert</w:t>
            </w:r>
          </w:p>
          <w:p w14:paraId="7FE1BA26" w14:textId="77777777" w:rsidR="00696584" w:rsidRDefault="002C4F63">
            <w:pPr>
              <w:pStyle w:val="P68B1DB1-TableParagraph13"/>
              <w:spacing w:before="108"/>
              <w:ind w:left="85"/>
              <w:jc w:val="both"/>
            </w:pPr>
            <w:r>
              <w:t>Wert der Konten von Gebietsfremden (Personen ohne Sitz im Inland): Gebietsansässig sind: Buchst. i</w:t>
            </w:r>
          </w:p>
          <w:p w14:paraId="7FE1BA27" w14:textId="77777777" w:rsidR="00696584" w:rsidRDefault="002C4F63">
            <w:pPr>
              <w:pStyle w:val="P68B1DB1-TableParagraph13"/>
              <w:spacing w:before="108"/>
              <w:ind w:left="85"/>
              <w:jc w:val="both"/>
            </w:pPr>
            <w:r>
              <w:t>Personen, die ihr hauptsächliches wirtschaftliches Interesse haben (Wirtschaftstätigkeiten seit mindestens einem Jahr;</w:t>
            </w:r>
          </w:p>
          <w:p w14:paraId="7FE1BA29" w14:textId="631CA528" w:rsidR="00696584" w:rsidRDefault="002C4F63">
            <w:pPr>
              <w:pStyle w:val="P68B1DB1-TableParagraph13"/>
              <w:spacing w:before="108"/>
              <w:ind w:left="85"/>
              <w:jc w:val="both"/>
            </w:pPr>
            <w:r>
              <w:t xml:space="preserve">das Eigentum an materiellen Vermögenswerten gilt als ausreichender Nachweis) im Land </w:t>
            </w:r>
            <w:r w:rsidR="0098354D">
              <w:t>des</w:t>
            </w:r>
            <w:r>
              <w:t>meldendes Unternehmen</w:t>
            </w:r>
            <w:r w:rsidR="0098354D">
              <w:t>s</w:t>
            </w:r>
            <w:r>
              <w:t xml:space="preserve"> und ii) ausländische Zweigstellen der Kunden des </w:t>
            </w:r>
            <w:r w:rsidR="0098354D">
              <w:t xml:space="preserve">meldenden </w:t>
            </w:r>
            <w:r>
              <w:t>Unternehmens.</w:t>
            </w:r>
          </w:p>
          <w:p w14:paraId="7FE1BA2A" w14:textId="5CF8DFC6" w:rsidR="00696584" w:rsidRDefault="0098354D">
            <w:pPr>
              <w:pStyle w:val="P68B1DB1-TableParagraph13"/>
              <w:spacing w:before="108"/>
              <w:ind w:left="85"/>
              <w:jc w:val="both"/>
              <w:rPr>
                <w:b/>
                <w:bCs/>
              </w:rPr>
            </w:pPr>
            <w:r>
              <w:t>Verweis</w:t>
            </w:r>
            <w:r w:rsidR="002C4F63">
              <w:t xml:space="preserve">: </w:t>
            </w:r>
          </w:p>
        </w:tc>
      </w:tr>
      <w:tr w:rsidR="00696584" w14:paraId="7FE1BA34" w14:textId="77777777">
        <w:tc>
          <w:tcPr>
            <w:tcW w:w="1080" w:type="dxa"/>
            <w:tcBorders>
              <w:top w:val="single" w:sz="4" w:space="0" w:color="1A171C"/>
              <w:left w:val="nil"/>
              <w:bottom w:val="single" w:sz="4" w:space="0" w:color="1A171C"/>
              <w:right w:val="single" w:sz="4" w:space="0" w:color="1A171C"/>
            </w:tcBorders>
            <w:vAlign w:val="center"/>
          </w:tcPr>
          <w:p w14:paraId="7FE1BA2C" w14:textId="38DDB56C" w:rsidR="00696584" w:rsidRDefault="002C4F63">
            <w:pPr>
              <w:pStyle w:val="P68B1DB1-TableParagraph17"/>
              <w:spacing w:before="108"/>
              <w:jc w:val="both"/>
            </w:pPr>
            <w:r>
              <w:t>0070 – 0140</w:t>
            </w:r>
          </w:p>
        </w:tc>
        <w:tc>
          <w:tcPr>
            <w:tcW w:w="8003" w:type="dxa"/>
            <w:tcBorders>
              <w:top w:val="single" w:sz="4" w:space="0" w:color="1A171C"/>
              <w:left w:val="single" w:sz="4" w:space="0" w:color="1A171C"/>
              <w:bottom w:val="single" w:sz="4" w:space="0" w:color="1A171C"/>
              <w:right w:val="nil"/>
            </w:tcBorders>
            <w:vAlign w:val="center"/>
          </w:tcPr>
          <w:p w14:paraId="7FE1BA2D" w14:textId="77777777" w:rsidR="00696584" w:rsidRDefault="002C4F63">
            <w:pPr>
              <w:pStyle w:val="P68B1DB1-TableParagraph14"/>
              <w:spacing w:before="108"/>
              <w:jc w:val="both"/>
              <w:rPr>
                <w:bCs/>
              </w:rPr>
            </w:pPr>
            <w:r>
              <w:t>Auswirkungs- und Substituierbarkeitsanalysen</w:t>
            </w:r>
          </w:p>
          <w:p w14:paraId="7FE1BA2E" w14:textId="2C85C98D" w:rsidR="00696584" w:rsidRDefault="002C4F63">
            <w:pPr>
              <w:pStyle w:val="P68B1DB1-Normal31"/>
              <w:spacing w:line="276" w:lineRule="auto"/>
              <w:jc w:val="both"/>
            </w:pPr>
            <w:r>
              <w:lastRenderedPageBreak/>
              <w:t>Nach der Delegierten Verordnung (EU) 2016/778 umfassen die Bewertungskriterien für die Auswirkungen auf Dritte die folgenden Elemente:</w:t>
            </w:r>
          </w:p>
          <w:p w14:paraId="7FE1BA2F" w14:textId="77777777" w:rsidR="00696584" w:rsidRDefault="002C4F63">
            <w:pPr>
              <w:pStyle w:val="P68B1DB1-ListParagraph32"/>
              <w:numPr>
                <w:ilvl w:val="0"/>
                <w:numId w:val="131"/>
              </w:numPr>
              <w:spacing w:line="276" w:lineRule="auto"/>
              <w:rPr>
                <w:b/>
                <w:bCs/>
              </w:rPr>
            </w:pPr>
            <w:r>
              <w:rPr>
                <w:b/>
              </w:rPr>
              <w:t>Art und Reichweite der Tätigkeit</w:t>
            </w:r>
            <w:r>
              <w:t>, globale, nationale oder regionale Reichweite, Umfang und Anzahl der Transaktionen; die Zahl der Kunden und Gegenparteien; die Anzahl der Kunden, für die die Institution der einzige oder der wichtigste Bankpartner ist.</w:t>
            </w:r>
          </w:p>
          <w:p w14:paraId="7FE1BA30" w14:textId="77777777" w:rsidR="00696584" w:rsidRDefault="002C4F63">
            <w:pPr>
              <w:pStyle w:val="P68B1DB1-ListParagraph32"/>
              <w:numPr>
                <w:ilvl w:val="0"/>
                <w:numId w:val="131"/>
              </w:numPr>
              <w:spacing w:line="276" w:lineRule="auto"/>
              <w:rPr>
                <w:b/>
                <w:bCs/>
              </w:rPr>
            </w:pPr>
            <w:r>
              <w:rPr>
                <w:b/>
              </w:rPr>
              <w:t>die Bedeutung des Instituts</w:t>
            </w:r>
            <w:r>
              <w:t xml:space="preserve"> auf lokaler, regionaler, nationaler oder europäischer Ebene, je nach betreffendem Markt. Die Bedeutung des Instituts kann auf Grundlage des Marktanteils, der bestehenden Verflechtungen, der Komplexität und der grenzüberschreitenden Tätigkeiten bewertet werden;</w:t>
            </w:r>
          </w:p>
          <w:p w14:paraId="7FE1BA31" w14:textId="77777777" w:rsidR="00696584" w:rsidRDefault="002C4F63">
            <w:pPr>
              <w:pStyle w:val="P68B1DB1-ListParagraph32"/>
              <w:numPr>
                <w:ilvl w:val="0"/>
                <w:numId w:val="131"/>
              </w:numPr>
              <w:spacing w:line="276" w:lineRule="auto"/>
              <w:rPr>
                <w:b/>
                <w:bCs/>
              </w:rPr>
            </w:pPr>
            <w:r>
              <w:rPr>
                <w:b/>
              </w:rPr>
              <w:t>Art der Kunden und Interessenträger, die von der Funktion betroffen sind</w:t>
            </w:r>
            <w:r>
              <w:t xml:space="preserve">, wie zum Beispiel Privat- und Firmenkunden, Interbankenkunden, zentrale Clearingstellen und öffentlich-rechtliche Einrichtungen; </w:t>
            </w:r>
          </w:p>
          <w:p w14:paraId="7FE1BA32" w14:textId="77777777" w:rsidR="00696584" w:rsidRDefault="002C4F63">
            <w:pPr>
              <w:pStyle w:val="P68B1DB1-ListParagraph32"/>
              <w:numPr>
                <w:ilvl w:val="0"/>
                <w:numId w:val="131"/>
              </w:numPr>
              <w:spacing w:line="276" w:lineRule="auto"/>
              <w:rPr>
                <w:b/>
                <w:bCs/>
              </w:rPr>
            </w:pPr>
            <w:r>
              <w:rPr>
                <w:b/>
              </w:rPr>
              <w:t>die Folgen eines möglichen Ausfalls der Funktion für Märkte, Infrastrukturen, Kunden und öffentliche Dienste</w:t>
            </w:r>
            <w:r>
              <w:t>. Die Bewertung kann insbesondere die Auswirkungen auf die Liquidität der betreffenden Märkte, die Auswirkungen und das Ausmaß von Störungen des Kundengeschäfts und den kurzfristigen Liquiditätsbedarf umfassen; die Wahrnehmung für Gegenparteien, Kunden und die Öffentlichkeit; Kapazität und Schnelligkeit der Kundenreaktion; die Relevanz für das Funktionieren anderer Märkte; die Auswirkungen auf die Liquidität, die Geschäfte und die Struktur eines anderen Marktes; die Auswirkungen auf andere Gegenparteien im Zusammenhang mit den Hauptkunden und die Wechselbeziehung zwischen der Funktion und anderen Dienstleistungen.</w:t>
            </w:r>
          </w:p>
          <w:p w14:paraId="7FE1BA33" w14:textId="77777777" w:rsidR="00696584" w:rsidRDefault="00696584">
            <w:pPr>
              <w:pStyle w:val="TableParagraph"/>
              <w:spacing w:before="108"/>
              <w:ind w:left="85"/>
              <w:jc w:val="both"/>
              <w:rPr>
                <w:rFonts w:ascii="Times New Roman" w:hAnsi="Times New Roman" w:cs="Times New Roman"/>
                <w:b/>
                <w:bCs/>
                <w:color w:val="000000" w:themeColor="text1"/>
                <w:sz w:val="20"/>
                <w:szCs w:val="20"/>
              </w:rPr>
            </w:pPr>
          </w:p>
        </w:tc>
      </w:tr>
      <w:tr w:rsidR="00696584" w14:paraId="7FE1BA38" w14:textId="77777777">
        <w:tc>
          <w:tcPr>
            <w:tcW w:w="1080" w:type="dxa"/>
            <w:tcBorders>
              <w:top w:val="single" w:sz="4" w:space="0" w:color="1A171C"/>
              <w:left w:val="nil"/>
              <w:bottom w:val="single" w:sz="4" w:space="0" w:color="1A171C"/>
              <w:right w:val="single" w:sz="4" w:space="0" w:color="1A171C"/>
            </w:tcBorders>
            <w:vAlign w:val="center"/>
          </w:tcPr>
          <w:p w14:paraId="7FE1BA35" w14:textId="3050578F" w:rsidR="00696584" w:rsidRDefault="002C4F63">
            <w:pPr>
              <w:pStyle w:val="P68B1DB1-TableParagraph17"/>
              <w:spacing w:before="108"/>
              <w:jc w:val="both"/>
            </w:pPr>
            <w:r>
              <w:lastRenderedPageBreak/>
              <w:t>0070 – 0090</w:t>
            </w:r>
          </w:p>
        </w:tc>
        <w:tc>
          <w:tcPr>
            <w:tcW w:w="8003" w:type="dxa"/>
            <w:tcBorders>
              <w:top w:val="single" w:sz="4" w:space="0" w:color="1A171C"/>
              <w:left w:val="single" w:sz="4" w:space="0" w:color="1A171C"/>
              <w:bottom w:val="single" w:sz="4" w:space="0" w:color="1A171C"/>
              <w:right w:val="nil"/>
            </w:tcBorders>
            <w:vAlign w:val="center"/>
          </w:tcPr>
          <w:p w14:paraId="7FE1BA36" w14:textId="77777777" w:rsidR="00696584" w:rsidRDefault="002C4F63">
            <w:pPr>
              <w:pStyle w:val="P68B1DB1-TableParagraph14"/>
              <w:spacing w:before="108"/>
              <w:ind w:left="85"/>
              <w:jc w:val="both"/>
              <w:rPr>
                <w:bCs/>
              </w:rPr>
            </w:pPr>
            <w:r>
              <w:t xml:space="preserve">Art und Reichweite </w:t>
            </w:r>
          </w:p>
          <w:p w14:paraId="7FE1BA37" w14:textId="77777777" w:rsidR="00696584" w:rsidRDefault="002C4F63">
            <w:pPr>
              <w:pStyle w:val="P68B1DB1-TableParagraph33"/>
              <w:spacing w:before="108"/>
              <w:ind w:left="85"/>
              <w:jc w:val="both"/>
              <w:rPr>
                <w:rFonts w:cs="Times New Roman"/>
                <w:b/>
                <w:bCs/>
                <w:color w:val="000000" w:themeColor="text1"/>
              </w:rPr>
            </w:pPr>
            <w:r>
              <w:t>Die globale, nationale oder regionale Reichweite, das Volumen und die Anzahl der Transaktionen; die Zahl der Kunden und Gegenparteien; die Anzahl der Kunden, für die die Institution der einzige oder der wichtigste Bankpartner ist.</w:t>
            </w:r>
          </w:p>
        </w:tc>
      </w:tr>
      <w:tr w:rsidR="00696584" w14:paraId="7FE1BA3F" w14:textId="77777777">
        <w:tc>
          <w:tcPr>
            <w:tcW w:w="1080" w:type="dxa"/>
            <w:tcBorders>
              <w:top w:val="single" w:sz="4" w:space="0" w:color="1A171C"/>
              <w:left w:val="nil"/>
              <w:bottom w:val="single" w:sz="4" w:space="0" w:color="1A171C"/>
              <w:right w:val="single" w:sz="4" w:space="0" w:color="1A171C"/>
            </w:tcBorders>
            <w:vAlign w:val="center"/>
          </w:tcPr>
          <w:p w14:paraId="7FE1BA39" w14:textId="153BD48E" w:rsidR="00696584" w:rsidRDefault="002C4F63">
            <w:pPr>
              <w:pStyle w:val="P68B1DB1-TableParagraph17"/>
              <w:spacing w:before="108"/>
              <w:jc w:val="both"/>
            </w:pPr>
            <w:r>
              <w:t>0070</w:t>
            </w:r>
          </w:p>
        </w:tc>
        <w:tc>
          <w:tcPr>
            <w:tcW w:w="8003" w:type="dxa"/>
            <w:tcBorders>
              <w:top w:val="single" w:sz="4" w:space="0" w:color="1A171C"/>
              <w:left w:val="single" w:sz="4" w:space="0" w:color="1A171C"/>
              <w:bottom w:val="single" w:sz="4" w:space="0" w:color="1A171C"/>
              <w:right w:val="nil"/>
            </w:tcBorders>
            <w:vAlign w:val="center"/>
          </w:tcPr>
          <w:p w14:paraId="7FE1BA3A" w14:textId="77777777" w:rsidR="00696584" w:rsidRDefault="002C4F63">
            <w:pPr>
              <w:pStyle w:val="P68B1DB1-TableParagraph14"/>
              <w:spacing w:before="108"/>
              <w:ind w:left="85"/>
              <w:jc w:val="both"/>
              <w:rPr>
                <w:bCs/>
              </w:rPr>
            </w:pPr>
            <w:r>
              <w:t>Größenindikator 1</w:t>
            </w:r>
          </w:p>
          <w:p w14:paraId="7FE1BA3B" w14:textId="0CA29815" w:rsidR="00696584" w:rsidRDefault="002C4F63">
            <w:pPr>
              <w:pStyle w:val="P68B1DB1-Normal31"/>
              <w:spacing w:line="276" w:lineRule="auto"/>
              <w:jc w:val="both"/>
            </w:pPr>
            <w:r>
              <w:t xml:space="preserve">Es ist eine Bewertung der Bedeutung der Bank bezüglich dieser Tätigkeiten vorzunehmen. Diese Bewertung wird qualitativ als „hoch“, „mittelhoch“, „mittel-niedrig“ oder „niedrig“ ausgedrückt. Angabe „hoch“, wenn die Größe der Funktion groß ist, „mittel-hoch“, wenn sie mittel ist, „mittel-niedrig“, wenn sie klein ist, und „niedrig“, wenn sie vernachlässigbar ist. Als Maßstab für diese qualitative Bewertung kann auf makroökonomische Variablen abgestellt werden, zum Beispiel BIP, Bevölkerung (für Einlagen, Kreditvergabe, Zahlungs-, Bargeld-, Abrechnungs-, Clearing- und Verwahrungsdienste) oder Marktgröße (für Kapitalmärkte und großvolumige Finanzierungen). </w:t>
            </w:r>
          </w:p>
          <w:p w14:paraId="7FE1BA3C" w14:textId="77777777" w:rsidR="00696584" w:rsidRDefault="002C4F63">
            <w:pPr>
              <w:pStyle w:val="P68B1DB1-ListParagraph32"/>
              <w:numPr>
                <w:ilvl w:val="0"/>
                <w:numId w:val="130"/>
              </w:numPr>
              <w:spacing w:line="276" w:lineRule="auto"/>
            </w:pPr>
            <w:r>
              <w:t xml:space="preserve">Sachverständige Beurteilung der Höhe des </w:t>
            </w:r>
            <w:r>
              <w:rPr>
                <w:b/>
              </w:rPr>
              <w:t>Werts</w:t>
            </w:r>
            <w:r>
              <w:t xml:space="preserve"> der Konten (c0030) aus </w:t>
            </w:r>
            <w:r>
              <w:rPr>
                <w:b/>
              </w:rPr>
              <w:t>EU</w:t>
            </w:r>
            <w:r>
              <w:t xml:space="preserve"> -Perspektive </w:t>
            </w:r>
            <w:r>
              <w:rPr>
                <w:i/>
              </w:rPr>
              <w:t>[eine Ebene höher als der maßgebliche Markt. Dies bedeutet, dass, wenn es sich um einen regionalen Markt handelt, Größe 1 = national ist; wenn es sich um nationale Daten handelt, Größe 1 = EU; wenn es sich um die EU handelt, Größe 1 = global]</w:t>
            </w:r>
            <w:r>
              <w:t>:</w:t>
            </w:r>
          </w:p>
          <w:p w14:paraId="7FE1BA3D" w14:textId="77777777" w:rsidR="00696584" w:rsidRDefault="002C4F63">
            <w:pPr>
              <w:pStyle w:val="P68B1DB1-ListParagraph32"/>
              <w:numPr>
                <w:ilvl w:val="1"/>
                <w:numId w:val="129"/>
              </w:numPr>
              <w:spacing w:line="276" w:lineRule="auto"/>
            </w:pPr>
            <w:r>
              <w:t xml:space="preserve">Auf wie groß schätzen Sie – aus EU-Perspektive – den Gesamtwert auf Konten bei Ihrem Institut? </w:t>
            </w:r>
          </w:p>
          <w:p w14:paraId="7FE1BA3E" w14:textId="77777777" w:rsidR="00696584" w:rsidRDefault="00696584">
            <w:pPr>
              <w:pStyle w:val="TableParagraph"/>
              <w:spacing w:before="108"/>
              <w:ind w:left="85"/>
              <w:jc w:val="both"/>
              <w:rPr>
                <w:rFonts w:ascii="Times New Roman" w:hAnsi="Times New Roman" w:cs="Times New Roman"/>
                <w:b/>
                <w:bCs/>
                <w:color w:val="000000" w:themeColor="text1"/>
                <w:sz w:val="20"/>
                <w:szCs w:val="20"/>
              </w:rPr>
            </w:pPr>
          </w:p>
        </w:tc>
      </w:tr>
      <w:tr w:rsidR="00696584" w14:paraId="7FE1BA46" w14:textId="77777777">
        <w:tc>
          <w:tcPr>
            <w:tcW w:w="1080" w:type="dxa"/>
            <w:tcBorders>
              <w:top w:val="single" w:sz="4" w:space="0" w:color="1A171C"/>
              <w:left w:val="nil"/>
              <w:bottom w:val="single" w:sz="4" w:space="0" w:color="1A171C"/>
              <w:right w:val="single" w:sz="4" w:space="0" w:color="1A171C"/>
            </w:tcBorders>
            <w:vAlign w:val="center"/>
          </w:tcPr>
          <w:p w14:paraId="7FE1BA40" w14:textId="54B11659" w:rsidR="00696584" w:rsidRDefault="002C4F63">
            <w:pPr>
              <w:pStyle w:val="P68B1DB1-TableParagraph17"/>
              <w:spacing w:before="108"/>
              <w:jc w:val="both"/>
            </w:pPr>
            <w:r>
              <w:t>0080</w:t>
            </w:r>
          </w:p>
        </w:tc>
        <w:tc>
          <w:tcPr>
            <w:tcW w:w="8003" w:type="dxa"/>
            <w:tcBorders>
              <w:top w:val="single" w:sz="4" w:space="0" w:color="1A171C"/>
              <w:left w:val="single" w:sz="4" w:space="0" w:color="1A171C"/>
              <w:bottom w:val="single" w:sz="4" w:space="0" w:color="1A171C"/>
              <w:right w:val="nil"/>
            </w:tcBorders>
            <w:vAlign w:val="center"/>
          </w:tcPr>
          <w:p w14:paraId="7FE1BA41" w14:textId="77777777" w:rsidR="00696584" w:rsidRDefault="002C4F63">
            <w:pPr>
              <w:pStyle w:val="P68B1DB1-TableParagraph14"/>
              <w:spacing w:before="108"/>
              <w:ind w:left="85"/>
              <w:jc w:val="both"/>
              <w:rPr>
                <w:bCs/>
              </w:rPr>
            </w:pPr>
            <w:r>
              <w:t>Größenindikator 2</w:t>
            </w:r>
          </w:p>
          <w:p w14:paraId="3B32AD4C" w14:textId="77777777" w:rsidR="00696584" w:rsidRDefault="002C4F63">
            <w:pPr>
              <w:pStyle w:val="P68B1DB1-Normal31"/>
              <w:spacing w:line="276" w:lineRule="auto"/>
              <w:jc w:val="both"/>
            </w:pPr>
            <w:r>
              <w:lastRenderedPageBreak/>
              <w:t xml:space="preserve">Es ist eine Bewertung der Bedeutung der Bank bezüglich dieser Tätigkeiten vorzunehmen. Diese Bewertung wird qualitativ als „hoch“, „mittelhoch“, „mittel-niedrig“ oder „niedrig“ ausgedrückt. Angabe „hoch“, wenn die Größe der Funktion groß ist, „mittel-hoch“, wenn sie mittel ist, „mittel-niedrig“, wenn sie klein ist, und „niedrig“, wenn sie vernachlässigbar ist. Als Maßstab für diese qualitative Bewertung kann auf makroökonomische Variablen abgestellt werden, zum Beispiel BIP, Bevölkerung (für Einlagen, Kreditvergabe, Zahlungs-, Bargeld-, Abrechnungs-, Clearing- und Verwahrungsdienste) oder Marktgröße (für Kapitalmärkte und großvolumige Finanzierungen). </w:t>
            </w:r>
          </w:p>
          <w:p w14:paraId="7FE1BA42" w14:textId="7FE1DE6A" w:rsidR="00696584" w:rsidRDefault="00696584">
            <w:pPr>
              <w:spacing w:line="276" w:lineRule="auto"/>
              <w:jc w:val="both"/>
              <w:rPr>
                <w:rFonts w:ascii="Times New Roman" w:eastAsia="Times New Roman" w:hAnsi="Times New Roman" w:cs="Times New Roman"/>
                <w:sz w:val="20"/>
                <w:szCs w:val="20"/>
              </w:rPr>
            </w:pPr>
          </w:p>
          <w:p w14:paraId="7FE1BA43" w14:textId="77777777" w:rsidR="00696584" w:rsidRDefault="002C4F63">
            <w:pPr>
              <w:pStyle w:val="P68B1DB1-ListParagraph32"/>
              <w:numPr>
                <w:ilvl w:val="0"/>
                <w:numId w:val="124"/>
              </w:numPr>
              <w:spacing w:line="276" w:lineRule="auto"/>
            </w:pPr>
            <w:r>
              <w:t xml:space="preserve">Sachverständige Beurteilung der </w:t>
            </w:r>
            <w:r>
              <w:rPr>
                <w:b/>
              </w:rPr>
              <w:t>Zahl</w:t>
            </w:r>
            <w:r>
              <w:t xml:space="preserve"> der Kunden (c0040) aus </w:t>
            </w:r>
            <w:r>
              <w:rPr>
                <w:b/>
              </w:rPr>
              <w:t>nationaler</w:t>
            </w:r>
            <w:r>
              <w:t xml:space="preserve"> Perspektive [</w:t>
            </w:r>
            <w:r>
              <w:rPr>
                <w:i/>
              </w:rPr>
              <w:t>auf Ebene des maßgeblichen Markts</w:t>
            </w:r>
            <w:r>
              <w:t>]:</w:t>
            </w:r>
          </w:p>
          <w:p w14:paraId="7FE1BA44" w14:textId="77777777" w:rsidR="00696584" w:rsidRDefault="002C4F63">
            <w:pPr>
              <w:pStyle w:val="P68B1DB1-ListParagraph32"/>
              <w:numPr>
                <w:ilvl w:val="1"/>
                <w:numId w:val="122"/>
              </w:numPr>
              <w:spacing w:line="276" w:lineRule="auto"/>
            </w:pPr>
            <w:r>
              <w:t>Wie hoch ist aus nationaler Sicht die geschätzte Gesamtzahl der Kunden des Instituts?</w:t>
            </w:r>
          </w:p>
          <w:p w14:paraId="7FE1BA45" w14:textId="77777777" w:rsidR="00696584" w:rsidRDefault="00696584">
            <w:pPr>
              <w:pStyle w:val="TableParagraph"/>
              <w:spacing w:before="108"/>
              <w:ind w:left="85"/>
              <w:jc w:val="both"/>
              <w:rPr>
                <w:rFonts w:ascii="Times New Roman" w:hAnsi="Times New Roman" w:cs="Times New Roman"/>
                <w:b/>
                <w:bCs/>
                <w:color w:val="000000" w:themeColor="text1"/>
                <w:sz w:val="20"/>
                <w:szCs w:val="20"/>
              </w:rPr>
            </w:pPr>
          </w:p>
        </w:tc>
      </w:tr>
      <w:tr w:rsidR="00696584" w14:paraId="7FE1BA51" w14:textId="77777777">
        <w:tc>
          <w:tcPr>
            <w:tcW w:w="1080" w:type="dxa"/>
            <w:tcBorders>
              <w:top w:val="single" w:sz="4" w:space="0" w:color="1A171C"/>
              <w:left w:val="nil"/>
              <w:bottom w:val="single" w:sz="4" w:space="0" w:color="1A171C"/>
              <w:right w:val="single" w:sz="4" w:space="0" w:color="1A171C"/>
            </w:tcBorders>
            <w:vAlign w:val="center"/>
          </w:tcPr>
          <w:p w14:paraId="7FE1BA47" w14:textId="171E9753" w:rsidR="00696584" w:rsidRDefault="002C4F63">
            <w:pPr>
              <w:pStyle w:val="P68B1DB1-TableParagraph17"/>
              <w:spacing w:before="108"/>
              <w:jc w:val="both"/>
            </w:pPr>
            <w:r>
              <w:lastRenderedPageBreak/>
              <w:t>0090</w:t>
            </w:r>
          </w:p>
        </w:tc>
        <w:tc>
          <w:tcPr>
            <w:tcW w:w="8003" w:type="dxa"/>
            <w:tcBorders>
              <w:top w:val="single" w:sz="4" w:space="0" w:color="1A171C"/>
              <w:left w:val="single" w:sz="4" w:space="0" w:color="1A171C"/>
              <w:bottom w:val="single" w:sz="4" w:space="0" w:color="1A171C"/>
              <w:right w:val="nil"/>
            </w:tcBorders>
            <w:vAlign w:val="center"/>
          </w:tcPr>
          <w:p w14:paraId="7FE1BA48" w14:textId="77777777" w:rsidR="00696584" w:rsidRDefault="002C4F63">
            <w:pPr>
              <w:pStyle w:val="P68B1DB1-TableParagraph14"/>
              <w:spacing w:before="108"/>
              <w:ind w:left="85"/>
              <w:jc w:val="both"/>
              <w:rPr>
                <w:bCs/>
              </w:rPr>
            </w:pPr>
            <w:r>
              <w:t>Indikator für den Auslandsbezug</w:t>
            </w:r>
          </w:p>
          <w:p w14:paraId="7FE1BA49" w14:textId="77777777" w:rsidR="00696584" w:rsidRDefault="002C4F63">
            <w:pPr>
              <w:pStyle w:val="P68B1DB1-Normal31"/>
              <w:spacing w:line="276" w:lineRule="auto"/>
              <w:jc w:val="both"/>
            </w:pPr>
            <w:r>
              <w:t>Bitte geben Sie für die verschiedenen wirtschaftlichen Funktionen die relative Bedeutung grenzüberschreitender Aktivitäten an.</w:t>
            </w:r>
          </w:p>
          <w:p w14:paraId="7FE1BA4A" w14:textId="77777777" w:rsidR="00696584" w:rsidRDefault="002C4F63">
            <w:pPr>
              <w:pStyle w:val="P68B1DB1-Normal31"/>
              <w:spacing w:line="276" w:lineRule="auto"/>
              <w:jc w:val="both"/>
            </w:pPr>
            <w:r>
              <w:t xml:space="preserve">Diese Bewertung ist nicht bei Meldungen vorzunehmen, für die der maßgebliche Markt als regional betrachtet wird. </w:t>
            </w:r>
          </w:p>
          <w:p w14:paraId="7FE1BA4B" w14:textId="52AD8C84" w:rsidR="00696584" w:rsidRDefault="002C4F63">
            <w:pPr>
              <w:pStyle w:val="P68B1DB1-ListParagraph32"/>
              <w:numPr>
                <w:ilvl w:val="0"/>
                <w:numId w:val="118"/>
              </w:numPr>
              <w:rPr>
                <w:i/>
                <w:iCs/>
              </w:rPr>
            </w:pPr>
            <w:r>
              <w:t xml:space="preserve">Zahl der EU-Staaten, für welche der Marktanteil des meldenden Unternehmens auf mehr als 2 % geschätzt wird. </w:t>
            </w:r>
            <w:r w:rsidR="00D913E7">
              <w:t>Meldung</w:t>
            </w:r>
            <w:r>
              <w:t xml:space="preserve">: </w:t>
            </w:r>
          </w:p>
          <w:p w14:paraId="7FE1BA4C" w14:textId="66F478C5" w:rsidR="00696584" w:rsidRDefault="002C4F63">
            <w:pPr>
              <w:pStyle w:val="P68B1DB1-ListParagraph32"/>
              <w:numPr>
                <w:ilvl w:val="1"/>
                <w:numId w:val="118"/>
              </w:numPr>
              <w:rPr>
                <w:i/>
                <w:iCs/>
              </w:rPr>
            </w:pPr>
            <w:r>
              <w:t xml:space="preserve">≤ 1 Land; </w:t>
            </w:r>
          </w:p>
          <w:p w14:paraId="7FE1BA4D" w14:textId="152EAA32" w:rsidR="00696584" w:rsidRDefault="002C4F63">
            <w:pPr>
              <w:pStyle w:val="P68B1DB1-ListParagraph32"/>
              <w:numPr>
                <w:ilvl w:val="1"/>
                <w:numId w:val="118"/>
              </w:numPr>
              <w:rPr>
                <w:i/>
                <w:iCs/>
              </w:rPr>
            </w:pPr>
            <w:r>
              <w:t xml:space="preserve">2-3 Länder; </w:t>
            </w:r>
          </w:p>
          <w:p w14:paraId="7FE1BA4E" w14:textId="4BCA0F15" w:rsidR="00696584" w:rsidRDefault="002C4F63">
            <w:pPr>
              <w:pStyle w:val="P68B1DB1-ListParagraph32"/>
              <w:numPr>
                <w:ilvl w:val="1"/>
                <w:numId w:val="118"/>
              </w:numPr>
              <w:rPr>
                <w:i/>
                <w:iCs/>
              </w:rPr>
            </w:pPr>
            <w:r>
              <w:t>4-5 Länder</w:t>
            </w:r>
            <w:r w:rsidR="00CC6EA5">
              <w:t>;</w:t>
            </w:r>
            <w:r>
              <w:t xml:space="preserve"> </w:t>
            </w:r>
          </w:p>
          <w:p w14:paraId="7FE1BA4F" w14:textId="744AB982" w:rsidR="00696584" w:rsidRDefault="002C4F63">
            <w:pPr>
              <w:pStyle w:val="P68B1DB1-ListParagraph32"/>
              <w:numPr>
                <w:ilvl w:val="1"/>
                <w:numId w:val="118"/>
              </w:numPr>
              <w:rPr>
                <w:i/>
                <w:iCs/>
              </w:rPr>
            </w:pPr>
            <w:r>
              <w:t>&gt; 5 Länder.</w:t>
            </w:r>
          </w:p>
          <w:p w14:paraId="7FE1BA50" w14:textId="77777777" w:rsidR="00696584" w:rsidRDefault="00696584">
            <w:pPr>
              <w:pStyle w:val="TableParagraph"/>
              <w:spacing w:before="108"/>
              <w:jc w:val="both"/>
              <w:rPr>
                <w:rFonts w:ascii="Times New Roman" w:hAnsi="Times New Roman" w:cs="Times New Roman"/>
                <w:b/>
                <w:bCs/>
                <w:color w:val="000000" w:themeColor="text1"/>
                <w:sz w:val="20"/>
                <w:szCs w:val="20"/>
              </w:rPr>
            </w:pPr>
          </w:p>
        </w:tc>
      </w:tr>
      <w:tr w:rsidR="00696584" w14:paraId="7FE1BA60" w14:textId="77777777">
        <w:tc>
          <w:tcPr>
            <w:tcW w:w="1080" w:type="dxa"/>
            <w:tcBorders>
              <w:top w:val="single" w:sz="4" w:space="0" w:color="1A171C"/>
              <w:left w:val="nil"/>
              <w:bottom w:val="single" w:sz="4" w:space="0" w:color="1A171C"/>
              <w:right w:val="single" w:sz="4" w:space="0" w:color="1A171C"/>
            </w:tcBorders>
            <w:vAlign w:val="center"/>
          </w:tcPr>
          <w:p w14:paraId="7FE1BA52" w14:textId="05E0D2FF" w:rsidR="00696584" w:rsidRDefault="002C4F63">
            <w:pPr>
              <w:pStyle w:val="P68B1DB1-TableParagraph17"/>
              <w:spacing w:before="108"/>
              <w:jc w:val="both"/>
            </w:pPr>
            <w:r>
              <w:t>0100</w:t>
            </w:r>
          </w:p>
        </w:tc>
        <w:tc>
          <w:tcPr>
            <w:tcW w:w="8003" w:type="dxa"/>
            <w:tcBorders>
              <w:top w:val="single" w:sz="4" w:space="0" w:color="1A171C"/>
              <w:left w:val="single" w:sz="4" w:space="0" w:color="1A171C"/>
              <w:bottom w:val="single" w:sz="4" w:space="0" w:color="1A171C"/>
              <w:right w:val="nil"/>
            </w:tcBorders>
            <w:vAlign w:val="center"/>
          </w:tcPr>
          <w:p w14:paraId="7FE1BA53" w14:textId="77777777" w:rsidR="00696584" w:rsidRDefault="002C4F63">
            <w:pPr>
              <w:pStyle w:val="P68B1DB1-TableParagraph14"/>
              <w:spacing w:before="108"/>
              <w:ind w:left="85"/>
              <w:jc w:val="both"/>
              <w:rPr>
                <w:bCs/>
              </w:rPr>
            </w:pPr>
            <w:r>
              <w:t xml:space="preserve">Relevanz — </w:t>
            </w:r>
          </w:p>
          <w:p w14:paraId="7FE1BA54" w14:textId="77777777" w:rsidR="00696584" w:rsidRDefault="002C4F63">
            <w:pPr>
              <w:pStyle w:val="P68B1DB1-TableParagraph33"/>
              <w:spacing w:before="108"/>
              <w:ind w:left="85"/>
              <w:jc w:val="both"/>
            </w:pPr>
            <w:r>
              <w:t>Auf lokaler, regionaler, nationaler oder europäischer Ebene, je nach betreffendem Markt. Die Bedeutung des Instituts kann auf Grundlage des Marktanteils, der bestehenden Verflechtungen, der Komplexität und der grenzüberschreitenden Tätigkeiten bewertet werden;</w:t>
            </w:r>
          </w:p>
          <w:p w14:paraId="7FE1BA55" w14:textId="77777777" w:rsidR="00696584" w:rsidRDefault="002C4F63">
            <w:pPr>
              <w:pStyle w:val="P68B1DB1-TableParagraph14"/>
              <w:spacing w:before="108"/>
              <w:ind w:left="85"/>
              <w:jc w:val="both"/>
              <w:rPr>
                <w:bCs/>
              </w:rPr>
            </w:pPr>
            <w:r>
              <w:t>Marktanteil</w:t>
            </w:r>
          </w:p>
          <w:p w14:paraId="7FE1BA56" w14:textId="77777777" w:rsidR="00696584" w:rsidRDefault="002C4F63">
            <w:pPr>
              <w:pStyle w:val="P68B1DB1-Normal31"/>
              <w:spacing w:line="276" w:lineRule="auto"/>
              <w:jc w:val="both"/>
            </w:pPr>
            <w:r>
              <w:t xml:space="preserve">Beurteilen Sie, wie bedeutend der Marktanteil des meldenden Unternehmens ist, gemessen am nationalen oder maßgeblichen Markt, wie im Meldebogen vorgegeben. Diese Bewertung wird qualitativ wie folgt ausgedrückt: </w:t>
            </w:r>
          </w:p>
          <w:p w14:paraId="7FE1BA57" w14:textId="4FBBC6A6" w:rsidR="00696584" w:rsidRDefault="002C4F63">
            <w:pPr>
              <w:pStyle w:val="P68B1DB1-ListParagraph32"/>
              <w:numPr>
                <w:ilvl w:val="0"/>
                <w:numId w:val="276"/>
              </w:numPr>
              <w:spacing w:line="276" w:lineRule="auto"/>
              <w:jc w:val="both"/>
            </w:pPr>
            <w:r>
              <w:t>Hoch, wenn der Marktanteil groß ist</w:t>
            </w:r>
          </w:p>
          <w:p w14:paraId="7FE1BA58" w14:textId="71C0B34E" w:rsidR="00696584" w:rsidRDefault="002C4F63">
            <w:pPr>
              <w:pStyle w:val="P68B1DB1-ListParagraph32"/>
              <w:numPr>
                <w:ilvl w:val="0"/>
                <w:numId w:val="276"/>
              </w:numPr>
              <w:spacing w:line="276" w:lineRule="auto"/>
              <w:jc w:val="both"/>
            </w:pPr>
            <w:r>
              <w:t>Mittel-hoch, wenn der Marktanteil mittel ist</w:t>
            </w:r>
          </w:p>
          <w:p w14:paraId="7FE1BA59" w14:textId="08ABB1D9" w:rsidR="00696584" w:rsidRDefault="002C4F63">
            <w:pPr>
              <w:pStyle w:val="P68B1DB1-ListParagraph32"/>
              <w:numPr>
                <w:ilvl w:val="0"/>
                <w:numId w:val="276"/>
              </w:numPr>
              <w:spacing w:line="276" w:lineRule="auto"/>
              <w:jc w:val="both"/>
            </w:pPr>
            <w:r>
              <w:t xml:space="preserve">Mittel-niedrig, wenn der Marktanteil gering ist oder </w:t>
            </w:r>
          </w:p>
          <w:p w14:paraId="7FE1BA5A" w14:textId="3DD284B5" w:rsidR="00696584" w:rsidRDefault="002C4F63">
            <w:pPr>
              <w:pStyle w:val="P68B1DB1-ListParagraph32"/>
              <w:numPr>
                <w:ilvl w:val="0"/>
                <w:numId w:val="276"/>
              </w:numPr>
              <w:spacing w:line="276" w:lineRule="auto"/>
              <w:jc w:val="both"/>
            </w:pPr>
            <w:r>
              <w:t xml:space="preserve">Gering, wenn der Marktanteil vernachlässigbar ist. </w:t>
            </w:r>
          </w:p>
          <w:p w14:paraId="7FE1BA5B" w14:textId="4D25BD81" w:rsidR="00696584" w:rsidRDefault="002C4F63">
            <w:pPr>
              <w:pStyle w:val="P68B1DB1-Normal31"/>
              <w:spacing w:line="276" w:lineRule="auto"/>
              <w:jc w:val="both"/>
            </w:pPr>
            <w:r>
              <w:t>Bei dieser Beurteilung sind die Marktstruktur des Landes des meldenden Unternehmens (oder eines anderen maßgeblichen Marktes) sowie die in Teil 2:</w:t>
            </w:r>
            <w:r w:rsidR="0055797C">
              <w:t xml:space="preserve"> </w:t>
            </w:r>
            <w:r>
              <w:t xml:space="preserve">Quantitative Daten gemeldeten Marktanteile zu berücksichtigen: </w:t>
            </w:r>
          </w:p>
          <w:p w14:paraId="7FE1BA5D" w14:textId="77777777" w:rsidR="00696584" w:rsidRDefault="002C4F63">
            <w:pPr>
              <w:pStyle w:val="P68B1DB1-ListParagraph32"/>
              <w:numPr>
                <w:ilvl w:val="0"/>
                <w:numId w:val="117"/>
              </w:numPr>
              <w:spacing w:line="276" w:lineRule="auto"/>
              <w:jc w:val="both"/>
              <w:rPr>
                <w:i/>
                <w:iCs/>
              </w:rPr>
            </w:pPr>
            <w:r>
              <w:t xml:space="preserve">Sachverständige Beurteilung der Größe des </w:t>
            </w:r>
            <w:r>
              <w:rPr>
                <w:b/>
              </w:rPr>
              <w:t xml:space="preserve">nationalen </w:t>
            </w:r>
            <w:r>
              <w:t>Marktanteils (gemeldet in c0020, außer in Fällen, in denen sich die Meldung auf ein anderes relevantes Marktniveau bezieht, in diesem Fall wird eine Beurteilung des relevanten Marktanteils erwartet).</w:t>
            </w:r>
          </w:p>
          <w:p w14:paraId="7FE1BA5E" w14:textId="77777777" w:rsidR="00696584" w:rsidRDefault="00696584">
            <w:pPr>
              <w:spacing w:line="276" w:lineRule="auto"/>
              <w:jc w:val="both"/>
              <w:rPr>
                <w:rFonts w:ascii="Times New Roman" w:eastAsia="Times New Roman" w:hAnsi="Times New Roman" w:cs="Times New Roman"/>
                <w:sz w:val="20"/>
                <w:szCs w:val="20"/>
              </w:rPr>
            </w:pPr>
          </w:p>
          <w:p w14:paraId="7FE1BA5F" w14:textId="77777777" w:rsidR="00696584" w:rsidRDefault="00696584">
            <w:pPr>
              <w:pStyle w:val="TableParagraph"/>
              <w:spacing w:before="108"/>
              <w:ind w:left="85"/>
              <w:jc w:val="both"/>
              <w:rPr>
                <w:rFonts w:ascii="Times New Roman" w:hAnsi="Times New Roman" w:cs="Times New Roman"/>
                <w:b/>
                <w:bCs/>
                <w:color w:val="000000" w:themeColor="text1"/>
                <w:sz w:val="20"/>
                <w:szCs w:val="20"/>
              </w:rPr>
            </w:pPr>
          </w:p>
        </w:tc>
      </w:tr>
      <w:tr w:rsidR="00696584" w14:paraId="7FE1BA6E" w14:textId="77777777">
        <w:tc>
          <w:tcPr>
            <w:tcW w:w="1080" w:type="dxa"/>
            <w:tcBorders>
              <w:top w:val="single" w:sz="4" w:space="0" w:color="1A171C"/>
              <w:left w:val="nil"/>
              <w:bottom w:val="single" w:sz="4" w:space="0" w:color="1A171C"/>
              <w:right w:val="single" w:sz="4" w:space="0" w:color="1A171C"/>
            </w:tcBorders>
            <w:vAlign w:val="center"/>
          </w:tcPr>
          <w:p w14:paraId="7FE1BA61" w14:textId="5039FA68" w:rsidR="00696584" w:rsidRDefault="002C4F63">
            <w:pPr>
              <w:pStyle w:val="P68B1DB1-TableParagraph17"/>
              <w:spacing w:before="108"/>
              <w:jc w:val="both"/>
            </w:pPr>
            <w:r>
              <w:lastRenderedPageBreak/>
              <w:t>0110</w:t>
            </w:r>
          </w:p>
        </w:tc>
        <w:tc>
          <w:tcPr>
            <w:tcW w:w="8003" w:type="dxa"/>
            <w:tcBorders>
              <w:top w:val="single" w:sz="4" w:space="0" w:color="1A171C"/>
              <w:left w:val="single" w:sz="4" w:space="0" w:color="1A171C"/>
              <w:bottom w:val="single" w:sz="4" w:space="0" w:color="1A171C"/>
              <w:right w:val="nil"/>
            </w:tcBorders>
            <w:vAlign w:val="center"/>
          </w:tcPr>
          <w:p w14:paraId="7FE1BA62" w14:textId="77777777" w:rsidR="00696584" w:rsidRDefault="002C4F63">
            <w:pPr>
              <w:pStyle w:val="P68B1DB1-TableParagraph14"/>
              <w:spacing w:before="108"/>
              <w:ind w:left="85"/>
              <w:jc w:val="both"/>
              <w:rPr>
                <w:bCs/>
              </w:rPr>
            </w:pPr>
            <w:r>
              <w:t>Marktstruktur – Marktkonzentration</w:t>
            </w:r>
          </w:p>
          <w:p w14:paraId="7FE1BA63" w14:textId="77777777" w:rsidR="00696584" w:rsidRDefault="002C4F63">
            <w:pPr>
              <w:pStyle w:val="P68B1DB1-Normal31"/>
              <w:jc w:val="both"/>
            </w:pPr>
            <w:r>
              <w:t xml:space="preserve">Marktkonzentration, gemessen an der Zahl der derzeit tätigen Wettbewerber </w:t>
            </w:r>
          </w:p>
          <w:p w14:paraId="7FE1BA64" w14:textId="77777777" w:rsidR="00696584" w:rsidRDefault="002C4F63">
            <w:pPr>
              <w:pStyle w:val="P68B1DB1-Normal31"/>
              <w:jc w:val="both"/>
            </w:pPr>
            <w:r>
              <w:t xml:space="preserve">ähnliche wirtschaftliche Funktionen und/oder ähnliche Dienstleistungen zu gleichen Bedingungen anbieten (d. h. </w:t>
            </w:r>
          </w:p>
          <w:p w14:paraId="7FE1BA65" w14:textId="77777777" w:rsidR="00696584" w:rsidRDefault="002C4F63">
            <w:pPr>
              <w:pStyle w:val="P68B1DB1-Normal31"/>
              <w:jc w:val="both"/>
            </w:pPr>
            <w:r>
              <w:t xml:space="preserve">vergleichbarer Umfang und Qualität sowie zu vergleichbaren Kosten) </w:t>
            </w:r>
          </w:p>
          <w:p w14:paraId="7FE1BA66" w14:textId="30924AFB" w:rsidR="00696584" w:rsidRDefault="002C4F63">
            <w:pPr>
              <w:pStyle w:val="P68B1DB1-Normal31"/>
              <w:jc w:val="both"/>
            </w:pPr>
            <w:r>
              <w:t xml:space="preserve">(Teil) der Kunden und/oder Geschäfte des </w:t>
            </w:r>
            <w:r w:rsidR="006F02B1">
              <w:t>meldenden</w:t>
            </w:r>
            <w:r>
              <w:t xml:space="preserve"> Unternehmens innerhalb eines angemessenen Zeitrahmens. </w:t>
            </w:r>
          </w:p>
          <w:p w14:paraId="7FE1BA67" w14:textId="77777777" w:rsidR="00696584" w:rsidRDefault="002C4F63">
            <w:pPr>
              <w:pStyle w:val="P68B1DB1-Normal31"/>
              <w:jc w:val="both"/>
            </w:pPr>
            <w:r>
              <w:t xml:space="preserve">Dies ist in Meldekategorien anzugeben, welche für die einzelnen Unterfunktionen gleich sind. </w:t>
            </w:r>
          </w:p>
          <w:p w14:paraId="7FE1BA68" w14:textId="5B483BC6" w:rsidR="00696584" w:rsidRDefault="002C4F63">
            <w:pPr>
              <w:pStyle w:val="P68B1DB1-ListParagraph32"/>
              <w:numPr>
                <w:ilvl w:val="0"/>
                <w:numId w:val="277"/>
              </w:numPr>
              <w:jc w:val="both"/>
            </w:pPr>
            <w:bookmarkStart w:id="112" w:name="_Hlk194417513"/>
            <w:r>
              <w:t xml:space="preserve">&gt; 20 Wettbewerber; </w:t>
            </w:r>
          </w:p>
          <w:p w14:paraId="7FE1BA69" w14:textId="7D2A0C84" w:rsidR="00696584" w:rsidRDefault="002C4F63">
            <w:pPr>
              <w:pStyle w:val="P68B1DB1-ListParagraph32"/>
              <w:numPr>
                <w:ilvl w:val="0"/>
                <w:numId w:val="277"/>
              </w:numPr>
              <w:jc w:val="both"/>
            </w:pPr>
            <w:r>
              <w:t xml:space="preserve">11-20 Wettbewerber; </w:t>
            </w:r>
          </w:p>
          <w:p w14:paraId="7FE1BA6A" w14:textId="775350B4" w:rsidR="00696584" w:rsidRDefault="002C4F63">
            <w:pPr>
              <w:pStyle w:val="P68B1DB1-ListParagraph32"/>
              <w:numPr>
                <w:ilvl w:val="0"/>
                <w:numId w:val="277"/>
              </w:numPr>
              <w:jc w:val="both"/>
            </w:pPr>
            <w:r>
              <w:t>5-10 Wettbewerber</w:t>
            </w:r>
            <w:r w:rsidR="00CC6EA5">
              <w:t>;</w:t>
            </w:r>
            <w:r>
              <w:t xml:space="preserve"> </w:t>
            </w:r>
          </w:p>
          <w:bookmarkEnd w:id="112"/>
          <w:p w14:paraId="7FE1BA6B" w14:textId="524BFB35" w:rsidR="00696584" w:rsidRDefault="009275AB">
            <w:pPr>
              <w:pStyle w:val="P68B1DB1-ListParagraph32"/>
              <w:numPr>
                <w:ilvl w:val="0"/>
                <w:numId w:val="277"/>
              </w:numPr>
              <w:jc w:val="both"/>
              <w:rPr>
                <w:b/>
                <w:bCs/>
                <w:color w:val="000000" w:themeColor="text1"/>
              </w:rPr>
            </w:pPr>
            <w:r>
              <w:t>&lt;5</w:t>
            </w:r>
            <w:r w:rsidR="002C4F63">
              <w:t xml:space="preserve"> Wettbewerber</w:t>
            </w:r>
          </w:p>
          <w:p w14:paraId="7FE1BA6C" w14:textId="77777777" w:rsidR="00696584" w:rsidRDefault="002C4F63">
            <w:pPr>
              <w:pStyle w:val="P68B1DB1-Normal34"/>
              <w:ind w:left="360"/>
              <w:jc w:val="both"/>
              <w:rPr>
                <w:i/>
                <w:iCs/>
              </w:rPr>
            </w:pPr>
            <w:r>
              <w:t xml:space="preserve">Sachverständige Beurteilung der Größe des </w:t>
            </w:r>
            <w:r>
              <w:rPr>
                <w:b/>
              </w:rPr>
              <w:t xml:space="preserve">nationalen </w:t>
            </w:r>
            <w:r>
              <w:t>Marktanteils (gemeldet in c0020, außer in Fällen, in denen sich die Meldung auf ein anderes relevantes Marktniveau bezieht, in diesem Fall wird eine Beurteilung des relevanten Marktanteils erwartet).</w:t>
            </w:r>
          </w:p>
          <w:p w14:paraId="7FE1BA6D" w14:textId="77777777" w:rsidR="00696584" w:rsidRDefault="00696584">
            <w:pPr>
              <w:jc w:val="both"/>
              <w:rPr>
                <w:rFonts w:ascii="Times New Roman" w:hAnsi="Times New Roman"/>
                <w:b/>
                <w:bCs/>
                <w:color w:val="000000" w:themeColor="text1"/>
                <w:sz w:val="20"/>
                <w:szCs w:val="20"/>
              </w:rPr>
            </w:pPr>
          </w:p>
        </w:tc>
      </w:tr>
      <w:tr w:rsidR="00696584" w14:paraId="7FE1BA81" w14:textId="77777777">
        <w:tc>
          <w:tcPr>
            <w:tcW w:w="1080" w:type="dxa"/>
            <w:tcBorders>
              <w:top w:val="single" w:sz="4" w:space="0" w:color="1A171C"/>
              <w:left w:val="nil"/>
              <w:bottom w:val="single" w:sz="4" w:space="0" w:color="1A171C"/>
              <w:right w:val="single" w:sz="4" w:space="0" w:color="1A171C"/>
            </w:tcBorders>
            <w:vAlign w:val="center"/>
          </w:tcPr>
          <w:p w14:paraId="7FE1BA6F" w14:textId="38765705" w:rsidR="00696584" w:rsidRDefault="002C4F63">
            <w:pPr>
              <w:pStyle w:val="P68B1DB1-TableParagraph17"/>
              <w:spacing w:before="108"/>
              <w:jc w:val="both"/>
            </w:pPr>
            <w:r>
              <w:t>0120</w:t>
            </w:r>
          </w:p>
        </w:tc>
        <w:tc>
          <w:tcPr>
            <w:tcW w:w="8003" w:type="dxa"/>
            <w:tcBorders>
              <w:top w:val="single" w:sz="4" w:space="0" w:color="1A171C"/>
              <w:left w:val="single" w:sz="4" w:space="0" w:color="1A171C"/>
              <w:bottom w:val="single" w:sz="4" w:space="0" w:color="1A171C"/>
              <w:right w:val="nil"/>
            </w:tcBorders>
            <w:vAlign w:val="center"/>
          </w:tcPr>
          <w:p w14:paraId="7FE1BA70" w14:textId="77777777" w:rsidR="00696584" w:rsidRDefault="002C4F63">
            <w:pPr>
              <w:pStyle w:val="P68B1DB1-TableParagraph14"/>
              <w:spacing w:before="108"/>
              <w:ind w:left="85"/>
              <w:jc w:val="both"/>
              <w:rPr>
                <w:bCs/>
              </w:rPr>
            </w:pPr>
            <w:r>
              <w:t>Timing – Voraussichtliche Zeit bis zur Substitution</w:t>
            </w:r>
          </w:p>
          <w:p w14:paraId="7FE1BA72" w14:textId="7BD1CF0A" w:rsidR="00696584" w:rsidRDefault="002C4F63" w:rsidP="0055797C">
            <w:pPr>
              <w:pStyle w:val="P68B1DB1-Normal31"/>
              <w:jc w:val="both"/>
            </w:pPr>
            <w:r>
              <w:t xml:space="preserve">Schätzung des Zeitaufwands </w:t>
            </w:r>
            <w:r w:rsidR="0055797C">
              <w:t xml:space="preserve">der für eine Marktabsorption der durch das meldende Institut bereitgestellten wirtschaftlichen Funktion in einer Krisensituation erforderlich ist. </w:t>
            </w:r>
            <w:r>
              <w:t xml:space="preserve">Dies beinhaltet </w:t>
            </w:r>
          </w:p>
          <w:p w14:paraId="7FE1BA73" w14:textId="77777777" w:rsidR="00696584" w:rsidRDefault="002C4F63">
            <w:pPr>
              <w:pStyle w:val="P68B1DB1-ListParagraph32"/>
              <w:numPr>
                <w:ilvl w:val="0"/>
                <w:numId w:val="274"/>
              </w:numPr>
              <w:jc w:val="both"/>
            </w:pPr>
            <w:r>
              <w:t xml:space="preserve">der für einen oder mehrere Konkurrenten erforderliche Zeitaufwand für die Schaffung der rechtlichen und technischen Voraussetzungen für die Übernahme der Funktion; sowie  </w:t>
            </w:r>
          </w:p>
          <w:p w14:paraId="7FE1BA74" w14:textId="77777777" w:rsidR="00696584" w:rsidRDefault="002C4F63">
            <w:pPr>
              <w:pStyle w:val="P68B1DB1-ListParagraph32"/>
              <w:numPr>
                <w:ilvl w:val="0"/>
                <w:numId w:val="274"/>
              </w:numPr>
              <w:jc w:val="both"/>
            </w:pPr>
            <w:r>
              <w:t xml:space="preserve">der für die Nutzer des Dienstes erforderliche Zeitaufwand für den Wechsel zu einem anderen Anbieter. </w:t>
            </w:r>
          </w:p>
          <w:p w14:paraId="7FE1BA75" w14:textId="77777777" w:rsidR="00696584" w:rsidRDefault="00696584">
            <w:pPr>
              <w:jc w:val="both"/>
              <w:rPr>
                <w:rFonts w:ascii="Times New Roman" w:eastAsia="Times New Roman" w:hAnsi="Times New Roman" w:cs="Times New Roman"/>
                <w:sz w:val="20"/>
                <w:szCs w:val="20"/>
              </w:rPr>
            </w:pPr>
          </w:p>
          <w:p w14:paraId="7FE1BA76" w14:textId="77777777" w:rsidR="00696584" w:rsidRDefault="002C4F63">
            <w:pPr>
              <w:pStyle w:val="P68B1DB1-Normal31"/>
              <w:jc w:val="both"/>
            </w:pPr>
            <w:r>
              <w:t xml:space="preserve">Für Einlagen geht es vor allem um die finanzielle, operative und technische Fähigkeit alternativer Anbieter, den Kunden der meldenden Bank ähnliche Einlagen betreffende Dienstleistungen anzubieten – nicht darum, die Einlagen auf Anordnung einer Behörde an einen anderen Anbieter zu übertragen oder eine Entschädigung vom Einlagensicherungssystem zu erhalten. </w:t>
            </w:r>
          </w:p>
          <w:p w14:paraId="7FE1BA77" w14:textId="77777777" w:rsidR="00696584" w:rsidRDefault="00696584">
            <w:pPr>
              <w:jc w:val="both"/>
              <w:rPr>
                <w:rFonts w:ascii="Times New Roman" w:eastAsia="Times New Roman" w:hAnsi="Times New Roman" w:cs="Times New Roman"/>
                <w:sz w:val="20"/>
                <w:szCs w:val="20"/>
              </w:rPr>
            </w:pPr>
          </w:p>
          <w:p w14:paraId="7FE1BA78" w14:textId="77777777" w:rsidR="00696584" w:rsidRDefault="002C4F63">
            <w:pPr>
              <w:pStyle w:val="P68B1DB1-Normal31"/>
              <w:jc w:val="both"/>
            </w:pPr>
            <w:r>
              <w:t>Als Näherungswert kann angegeben werden, wie lange es nach eigenen Schätzungen dauern würde, einen von einem anderen Institut angebotenen Dienst im Krisenfall zu angemessenen Kosten ganz (oder zum Teil) ins eigene Geschäft einzugliedern. Geben Sie die geschätzte Zeit bis zur Substitution in den in der Vorlage angegebenen Unterklassen an:</w:t>
            </w:r>
          </w:p>
          <w:p w14:paraId="7FE1BA79" w14:textId="77777777" w:rsidR="00696584" w:rsidRDefault="00696584">
            <w:pPr>
              <w:jc w:val="both"/>
              <w:rPr>
                <w:rFonts w:ascii="Times New Roman" w:hAnsi="Times New Roman" w:cs="Times New Roman"/>
                <w:color w:val="000000" w:themeColor="text1"/>
                <w:sz w:val="20"/>
                <w:szCs w:val="20"/>
              </w:rPr>
            </w:pPr>
          </w:p>
          <w:p w14:paraId="7FE1BA7A" w14:textId="3B00AA38" w:rsidR="00696584" w:rsidRDefault="00BF7349">
            <w:pPr>
              <w:pStyle w:val="P68B1DB1-Normal31"/>
              <w:jc w:val="both"/>
            </w:pPr>
            <w:bookmarkStart w:id="113" w:name="_Hlk194476514"/>
            <w:r>
              <w:t>Meldekategorien:</w:t>
            </w:r>
          </w:p>
          <w:p w14:paraId="7FE1BA7B" w14:textId="238EFC4A" w:rsidR="00696584" w:rsidRDefault="009275AB">
            <w:pPr>
              <w:pStyle w:val="P68B1DB1-ListParagraph32"/>
              <w:numPr>
                <w:ilvl w:val="0"/>
                <w:numId w:val="280"/>
              </w:numPr>
              <w:jc w:val="both"/>
            </w:pPr>
            <w:r>
              <w:t xml:space="preserve">&lt; </w:t>
            </w:r>
            <w:r w:rsidR="002C4F63">
              <w:t xml:space="preserve">1 Woche; </w:t>
            </w:r>
          </w:p>
          <w:p w14:paraId="7FE1BA7C" w14:textId="6818EF73" w:rsidR="00696584" w:rsidRDefault="002C4F63">
            <w:pPr>
              <w:pStyle w:val="P68B1DB1-ListParagraph32"/>
              <w:numPr>
                <w:ilvl w:val="0"/>
                <w:numId w:val="280"/>
              </w:numPr>
              <w:jc w:val="both"/>
            </w:pPr>
            <w:r>
              <w:t xml:space="preserve">1 Woche – 1 Monat; </w:t>
            </w:r>
          </w:p>
          <w:p w14:paraId="7FE1BA7D" w14:textId="3F716379" w:rsidR="00696584" w:rsidRDefault="002C4F63">
            <w:pPr>
              <w:pStyle w:val="P68B1DB1-ListParagraph32"/>
              <w:numPr>
                <w:ilvl w:val="0"/>
                <w:numId w:val="280"/>
              </w:numPr>
              <w:jc w:val="both"/>
            </w:pPr>
            <w:r>
              <w:t>&gt; 1 Monat-6 Monate</w:t>
            </w:r>
            <w:r w:rsidR="00CC6EA5">
              <w:t>;</w:t>
            </w:r>
            <w:r>
              <w:t xml:space="preserve"> </w:t>
            </w:r>
          </w:p>
          <w:p w14:paraId="7FE1BA7E" w14:textId="0D41F489" w:rsidR="00696584" w:rsidRDefault="002C4F63">
            <w:pPr>
              <w:pStyle w:val="P68B1DB1-ListParagraph32"/>
              <w:numPr>
                <w:ilvl w:val="0"/>
                <w:numId w:val="280"/>
              </w:numPr>
              <w:jc w:val="both"/>
            </w:pPr>
            <w:r>
              <w:t xml:space="preserve">&gt; 6 Monate  </w:t>
            </w:r>
          </w:p>
          <w:bookmarkEnd w:id="113"/>
          <w:p w14:paraId="7FE1BA7F" w14:textId="77777777" w:rsidR="00696584" w:rsidRDefault="00696584">
            <w:pPr>
              <w:jc w:val="both"/>
              <w:rPr>
                <w:rFonts w:ascii="Times New Roman" w:eastAsia="Times New Roman" w:hAnsi="Times New Roman" w:cs="Times New Roman"/>
                <w:sz w:val="20"/>
                <w:szCs w:val="20"/>
              </w:rPr>
            </w:pPr>
          </w:p>
          <w:p w14:paraId="7FE1BA80" w14:textId="77777777" w:rsidR="00696584" w:rsidRDefault="00696584">
            <w:pPr>
              <w:jc w:val="both"/>
              <w:rPr>
                <w:rFonts w:ascii="Times New Roman" w:hAnsi="Times New Roman" w:cs="Times New Roman"/>
                <w:color w:val="000000" w:themeColor="text1"/>
                <w:sz w:val="20"/>
                <w:szCs w:val="20"/>
              </w:rPr>
            </w:pPr>
          </w:p>
        </w:tc>
      </w:tr>
      <w:tr w:rsidR="00696584" w14:paraId="7FE1BA84" w14:textId="77777777">
        <w:tc>
          <w:tcPr>
            <w:tcW w:w="1080" w:type="dxa"/>
            <w:tcBorders>
              <w:top w:val="single" w:sz="4" w:space="0" w:color="1A171C"/>
              <w:left w:val="nil"/>
              <w:bottom w:val="single" w:sz="4" w:space="0" w:color="1A171C"/>
              <w:right w:val="single" w:sz="4" w:space="0" w:color="1A171C"/>
            </w:tcBorders>
            <w:vAlign w:val="center"/>
          </w:tcPr>
          <w:p w14:paraId="7FE1BA82" w14:textId="28D0359B" w:rsidR="00696584" w:rsidRDefault="002C4F63">
            <w:pPr>
              <w:pStyle w:val="P68B1DB1-TableParagraph17"/>
              <w:spacing w:before="108"/>
              <w:jc w:val="both"/>
            </w:pPr>
            <w:r>
              <w:t>0130 – 0140</w:t>
            </w:r>
          </w:p>
        </w:tc>
        <w:tc>
          <w:tcPr>
            <w:tcW w:w="8003" w:type="dxa"/>
            <w:tcBorders>
              <w:top w:val="single" w:sz="4" w:space="0" w:color="1A171C"/>
              <w:left w:val="single" w:sz="4" w:space="0" w:color="1A171C"/>
              <w:bottom w:val="single" w:sz="4" w:space="0" w:color="1A171C"/>
              <w:right w:val="nil"/>
            </w:tcBorders>
            <w:vAlign w:val="center"/>
          </w:tcPr>
          <w:p w14:paraId="7FE1BA83" w14:textId="77777777" w:rsidR="00696584" w:rsidRDefault="002C4F63">
            <w:pPr>
              <w:pStyle w:val="P68B1DB1-TableParagraph14"/>
              <w:spacing w:before="108"/>
              <w:ind w:left="85"/>
              <w:jc w:val="both"/>
              <w:rPr>
                <w:bCs/>
              </w:rPr>
            </w:pPr>
            <w:r>
              <w:t>Substituierbarkeit</w:t>
            </w:r>
          </w:p>
        </w:tc>
      </w:tr>
      <w:tr w:rsidR="00696584" w14:paraId="7FE1BA8E" w14:textId="77777777">
        <w:tc>
          <w:tcPr>
            <w:tcW w:w="1080" w:type="dxa"/>
            <w:tcBorders>
              <w:top w:val="single" w:sz="4" w:space="0" w:color="1A171C"/>
              <w:left w:val="nil"/>
              <w:bottom w:val="single" w:sz="4" w:space="0" w:color="1A171C"/>
              <w:right w:val="single" w:sz="4" w:space="0" w:color="1A171C"/>
            </w:tcBorders>
            <w:vAlign w:val="center"/>
          </w:tcPr>
          <w:p w14:paraId="7FE1BA85" w14:textId="56A54470" w:rsidR="00696584" w:rsidRDefault="002C4F63">
            <w:pPr>
              <w:pStyle w:val="P68B1DB1-TableParagraph17"/>
              <w:spacing w:before="108"/>
              <w:jc w:val="both"/>
            </w:pPr>
            <w:r>
              <w:t>0130</w:t>
            </w:r>
          </w:p>
        </w:tc>
        <w:tc>
          <w:tcPr>
            <w:tcW w:w="8003" w:type="dxa"/>
            <w:tcBorders>
              <w:top w:val="single" w:sz="4" w:space="0" w:color="1A171C"/>
              <w:left w:val="single" w:sz="4" w:space="0" w:color="1A171C"/>
              <w:bottom w:val="single" w:sz="4" w:space="0" w:color="1A171C"/>
              <w:right w:val="nil"/>
            </w:tcBorders>
            <w:vAlign w:val="center"/>
          </w:tcPr>
          <w:p w14:paraId="7FE1BA86" w14:textId="77777777" w:rsidR="00696584" w:rsidRDefault="002C4F63">
            <w:pPr>
              <w:pStyle w:val="P68B1DB1-Normal35"/>
              <w:jc w:val="both"/>
              <w:rPr>
                <w:bCs/>
              </w:rPr>
            </w:pPr>
            <w:r>
              <w:t>Rechtliche Hindernisse für Markteintritt oder Markterweiterung</w:t>
            </w:r>
          </w:p>
          <w:p w14:paraId="7FE1BA87" w14:textId="77777777" w:rsidR="00696584" w:rsidRDefault="00696584">
            <w:pPr>
              <w:jc w:val="both"/>
              <w:rPr>
                <w:rFonts w:ascii="Times New Roman" w:eastAsia="Times New Roman" w:hAnsi="Times New Roman" w:cs="Times New Roman"/>
                <w:b/>
                <w:bCs/>
                <w:color w:val="000000" w:themeColor="text1"/>
                <w:sz w:val="20"/>
                <w:szCs w:val="20"/>
              </w:rPr>
            </w:pPr>
          </w:p>
          <w:p w14:paraId="7FE1BA88" w14:textId="77777777" w:rsidR="00696584" w:rsidRDefault="002C4F63">
            <w:pPr>
              <w:pStyle w:val="P68B1DB1-Normal36"/>
              <w:jc w:val="both"/>
            </w:pPr>
            <w:r>
              <w:t xml:space="preserve">Rechtliche Hindernisse, die der Erbringung der Dienstleistung durch Konkurrenten entgegenstehen. Rechtliche Voraussetzungen für die Vornahme des Geschäfts eines Kreditinstituts (z. B. Bankzulassungen oder Kapitalanforderungen) sind, wenn es alternative Anbieter gibt, nicht als unüberwindliche Hindernisse anzusehen. Dieser Indikator ist in Meldekategorien anzugeben, welche für jede Unterfunktion gleich sind: </w:t>
            </w:r>
          </w:p>
          <w:p w14:paraId="7FE1BA89" w14:textId="4702A48A" w:rsidR="00696584" w:rsidRDefault="002C4F63">
            <w:pPr>
              <w:pStyle w:val="P68B1DB1-ListParagraph37"/>
              <w:numPr>
                <w:ilvl w:val="0"/>
                <w:numId w:val="275"/>
              </w:numPr>
              <w:jc w:val="both"/>
            </w:pPr>
            <w:r>
              <w:t xml:space="preserve">keine größeren Hindernisse, </w:t>
            </w:r>
          </w:p>
          <w:p w14:paraId="7FE1BA8A" w14:textId="10C89312" w:rsidR="00696584" w:rsidRDefault="002C4F63">
            <w:pPr>
              <w:pStyle w:val="P68B1DB1-ListParagraph37"/>
              <w:numPr>
                <w:ilvl w:val="0"/>
                <w:numId w:val="275"/>
              </w:numPr>
              <w:jc w:val="both"/>
            </w:pPr>
            <w:r>
              <w:t xml:space="preserve">einige Hindernisse, </w:t>
            </w:r>
          </w:p>
          <w:p w14:paraId="7FE1BA8B" w14:textId="4451FB21" w:rsidR="00696584" w:rsidRDefault="002C4F63">
            <w:pPr>
              <w:pStyle w:val="P68B1DB1-ListParagraph37"/>
              <w:numPr>
                <w:ilvl w:val="0"/>
                <w:numId w:val="275"/>
              </w:numPr>
              <w:jc w:val="both"/>
            </w:pPr>
            <w:r>
              <w:t xml:space="preserve">erhebliche (aber überwindbare) Barrieren, </w:t>
            </w:r>
          </w:p>
          <w:p w14:paraId="7FE1BA8D" w14:textId="48C5B820" w:rsidR="00696584" w:rsidRDefault="002C4F63">
            <w:pPr>
              <w:pStyle w:val="P68B1DB1-ListParagraph37"/>
              <w:numPr>
                <w:ilvl w:val="0"/>
                <w:numId w:val="275"/>
              </w:numPr>
              <w:jc w:val="both"/>
              <w:rPr>
                <w:b/>
                <w:bCs/>
              </w:rPr>
            </w:pPr>
            <w:r>
              <w:lastRenderedPageBreak/>
              <w:t>kritische (schwierige, zu überwindende) Barrieren.</w:t>
            </w:r>
          </w:p>
        </w:tc>
      </w:tr>
      <w:tr w:rsidR="00696584" w14:paraId="7FE1BA9E" w14:textId="77777777">
        <w:tc>
          <w:tcPr>
            <w:tcW w:w="1080" w:type="dxa"/>
            <w:tcBorders>
              <w:top w:val="single" w:sz="4" w:space="0" w:color="1A171C"/>
              <w:left w:val="nil"/>
              <w:bottom w:val="single" w:sz="4" w:space="0" w:color="1A171C"/>
              <w:right w:val="single" w:sz="4" w:space="0" w:color="1A171C"/>
            </w:tcBorders>
            <w:vAlign w:val="center"/>
          </w:tcPr>
          <w:p w14:paraId="7FE1BA8F" w14:textId="6435816F" w:rsidR="00696584" w:rsidRDefault="002C4F63">
            <w:pPr>
              <w:pStyle w:val="P68B1DB1-TableParagraph17"/>
              <w:spacing w:before="108"/>
              <w:jc w:val="both"/>
            </w:pPr>
            <w:r>
              <w:lastRenderedPageBreak/>
              <w:t>0140</w:t>
            </w:r>
          </w:p>
        </w:tc>
        <w:tc>
          <w:tcPr>
            <w:tcW w:w="8003" w:type="dxa"/>
            <w:tcBorders>
              <w:top w:val="single" w:sz="4" w:space="0" w:color="1A171C"/>
              <w:left w:val="single" w:sz="4" w:space="0" w:color="1A171C"/>
              <w:bottom w:val="single" w:sz="4" w:space="0" w:color="1A171C"/>
              <w:right w:val="nil"/>
            </w:tcBorders>
          </w:tcPr>
          <w:p w14:paraId="7FE1BA90" w14:textId="77777777" w:rsidR="00696584" w:rsidRDefault="002C4F63">
            <w:pPr>
              <w:pStyle w:val="P68B1DB1-Normal35"/>
              <w:jc w:val="both"/>
              <w:rPr>
                <w:bCs/>
              </w:rPr>
            </w:pPr>
            <w:r>
              <w:t>Praktische Anforderungen für den Markteintritt oder die Markterweiterung</w:t>
            </w:r>
          </w:p>
          <w:p w14:paraId="7FE1BA91" w14:textId="77777777" w:rsidR="00696584" w:rsidRDefault="00696584">
            <w:pPr>
              <w:jc w:val="both"/>
              <w:rPr>
                <w:rFonts w:ascii="Times New Roman" w:eastAsia="Times New Roman" w:hAnsi="Times New Roman" w:cs="Times New Roman"/>
                <w:b/>
                <w:bCs/>
                <w:color w:val="000000" w:themeColor="text1"/>
                <w:sz w:val="20"/>
                <w:szCs w:val="20"/>
              </w:rPr>
            </w:pPr>
          </w:p>
          <w:p w14:paraId="7FE1BA92" w14:textId="77777777" w:rsidR="00696584" w:rsidRDefault="002C4F63">
            <w:pPr>
              <w:pStyle w:val="P68B1DB1-Normal36"/>
              <w:jc w:val="both"/>
            </w:pPr>
            <w:r>
              <w:t xml:space="preserve">Anforderungen im Hinblick auf Organisation, Technik und Infrastruktur, die Konkurrenten, die die Dienstleistung anbieten möchten, erfüllen müssen: Wer die Dienstleistungen der (Unter-)Funktion anbieten möchte, muss in (neue oder zusätzliche) Infrastruktur investieren – oder seine Organisation ändern. Bitte auch bewerten, ob der Markt das betreffende Geschäft absorbieren kann, zum Beispiel im Hinblick auf die Kapitalanforderungen. Für Kreditgeschäfte sind die damit verbundenen risikogewichteten Vermögenswerte (in Q.17 gemeldet) zu berücksichtigen. </w:t>
            </w:r>
          </w:p>
          <w:p w14:paraId="7FE1BA93" w14:textId="77777777" w:rsidR="00696584" w:rsidRDefault="002C4F63">
            <w:pPr>
              <w:pStyle w:val="P68B1DB1-Normal36"/>
              <w:jc w:val="both"/>
            </w:pPr>
            <w:r>
              <w:t xml:space="preserve">Dieser Indikator ist in Meldekategorien anzugeben, welche für jede Unterfunktion gleich sind: </w:t>
            </w:r>
          </w:p>
          <w:p w14:paraId="7FE1BA94" w14:textId="2E9A8492" w:rsidR="00696584" w:rsidRDefault="002C4F63">
            <w:pPr>
              <w:pStyle w:val="P68B1DB1-ListParagraph37"/>
              <w:numPr>
                <w:ilvl w:val="0"/>
                <w:numId w:val="278"/>
              </w:numPr>
              <w:jc w:val="both"/>
            </w:pPr>
            <w:r>
              <w:t xml:space="preserve">keine wesentlichen Anforderungen, </w:t>
            </w:r>
          </w:p>
          <w:p w14:paraId="7FE1BA95" w14:textId="2C17AA9E" w:rsidR="00696584" w:rsidRDefault="002C4F63">
            <w:pPr>
              <w:pStyle w:val="P68B1DB1-ListParagraph37"/>
              <w:numPr>
                <w:ilvl w:val="0"/>
                <w:numId w:val="278"/>
              </w:numPr>
              <w:jc w:val="both"/>
            </w:pPr>
            <w:r>
              <w:t xml:space="preserve">einige Anforderungen, </w:t>
            </w:r>
          </w:p>
          <w:p w14:paraId="7FE1BA96" w14:textId="3197B4B5" w:rsidR="00696584" w:rsidRDefault="002C4F63">
            <w:pPr>
              <w:pStyle w:val="P68B1DB1-ListParagraph37"/>
              <w:numPr>
                <w:ilvl w:val="0"/>
                <w:numId w:val="278"/>
              </w:numPr>
              <w:jc w:val="both"/>
            </w:pPr>
            <w:r>
              <w:t xml:space="preserve">wesentliche (aber überwindbare) Anforderungen, </w:t>
            </w:r>
          </w:p>
          <w:p w14:paraId="7FE1BA97" w14:textId="64928FFB" w:rsidR="00696584" w:rsidRDefault="002C4F63">
            <w:pPr>
              <w:pStyle w:val="P68B1DB1-ListParagraph37"/>
              <w:numPr>
                <w:ilvl w:val="0"/>
                <w:numId w:val="278"/>
              </w:numPr>
              <w:jc w:val="both"/>
            </w:pPr>
            <w:r>
              <w:t>kritische Anforderungen (schwierig zu überfüllen).</w:t>
            </w:r>
          </w:p>
          <w:p w14:paraId="7FE1BA9D" w14:textId="77777777" w:rsidR="00696584" w:rsidRDefault="00696584">
            <w:pPr>
              <w:pStyle w:val="ListParagraph"/>
              <w:jc w:val="both"/>
              <w:rPr>
                <w:rFonts w:ascii="Times New Roman" w:hAnsi="Times New Roman"/>
                <w:b/>
                <w:bCs/>
                <w:color w:val="000000" w:themeColor="text1"/>
                <w:sz w:val="20"/>
                <w:szCs w:val="20"/>
              </w:rPr>
            </w:pPr>
          </w:p>
        </w:tc>
      </w:tr>
      <w:tr w:rsidR="00696584" w14:paraId="7FE1BAA9" w14:textId="77777777">
        <w:tc>
          <w:tcPr>
            <w:tcW w:w="1080" w:type="dxa"/>
            <w:tcBorders>
              <w:top w:val="single" w:sz="4" w:space="0" w:color="1A171C"/>
              <w:left w:val="nil"/>
              <w:bottom w:val="single" w:sz="4" w:space="0" w:color="1A171C"/>
              <w:right w:val="single" w:sz="4" w:space="0" w:color="1A171C"/>
            </w:tcBorders>
            <w:vAlign w:val="center"/>
          </w:tcPr>
          <w:p w14:paraId="7FE1BAA2" w14:textId="663C9747" w:rsidR="00696584" w:rsidRDefault="002C4F63">
            <w:pPr>
              <w:pStyle w:val="P68B1DB1-TableParagraph17"/>
              <w:spacing w:before="108"/>
              <w:jc w:val="both"/>
            </w:pPr>
            <w:r>
              <w:t>0145</w:t>
            </w:r>
          </w:p>
        </w:tc>
        <w:tc>
          <w:tcPr>
            <w:tcW w:w="8003" w:type="dxa"/>
            <w:tcBorders>
              <w:top w:val="single" w:sz="4" w:space="0" w:color="1A171C"/>
              <w:left w:val="single" w:sz="4" w:space="0" w:color="1A171C"/>
              <w:bottom w:val="single" w:sz="4" w:space="0" w:color="1A171C"/>
              <w:right w:val="nil"/>
            </w:tcBorders>
            <w:vAlign w:val="center"/>
          </w:tcPr>
          <w:p w14:paraId="7FE1BAA3" w14:textId="1B403303" w:rsidR="00696584" w:rsidRDefault="002C4F63">
            <w:pPr>
              <w:pStyle w:val="P68B1DB1-TableParagraph14"/>
              <w:spacing w:before="108"/>
              <w:jc w:val="both"/>
              <w:rPr>
                <w:bCs/>
              </w:rPr>
            </w:pPr>
            <w:r>
              <w:t xml:space="preserve">Onboarding-Kapazität – Anzahl </w:t>
            </w:r>
            <w:r w:rsidR="0055797C">
              <w:t xml:space="preserve">von Neukundenanträgen </w:t>
            </w:r>
            <w:r>
              <w:t>über einen Arbeitstag (Anzahl der Konten)</w:t>
            </w:r>
          </w:p>
          <w:p w14:paraId="7FE1BAA4" w14:textId="5FC336D1" w:rsidR="00696584" w:rsidRDefault="002C4F63">
            <w:pPr>
              <w:pStyle w:val="P68B1DB1-TableParagraph13"/>
              <w:spacing w:before="108"/>
              <w:jc w:val="both"/>
            </w:pPr>
            <w:r>
              <w:t xml:space="preserve">Die Institute werden aufgefordert, die </w:t>
            </w:r>
            <w:r w:rsidR="0055797C">
              <w:t xml:space="preserve">höchste Anzahl an durch die Bank validierten </w:t>
            </w:r>
            <w:r>
              <w:t xml:space="preserve">Anträge </w:t>
            </w:r>
            <w:r w:rsidR="0055797C">
              <w:t>offenzulegen</w:t>
            </w:r>
            <w:r>
              <w:t>.</w:t>
            </w:r>
          </w:p>
          <w:p w14:paraId="1312271B" w14:textId="5ECEF0C0" w:rsidR="00696584" w:rsidRDefault="002C4F63">
            <w:pPr>
              <w:pStyle w:val="P68B1DB1-TableParagraph13"/>
              <w:spacing w:before="108"/>
              <w:jc w:val="both"/>
            </w:pPr>
            <w:r>
              <w:t>Die Aufnahmekapazität in Bezug auf die Anzahl der neuen Konten wird über einen Arbeitstag angegeben.</w:t>
            </w:r>
          </w:p>
          <w:p w14:paraId="7FE1BAA8" w14:textId="06166E4A" w:rsidR="00696584" w:rsidRDefault="002C4F63">
            <w:pPr>
              <w:pStyle w:val="P68B1DB1-TableParagraph13"/>
              <w:spacing w:before="108"/>
              <w:jc w:val="both"/>
              <w:rPr>
                <w:b/>
                <w:bCs/>
              </w:rPr>
            </w:pPr>
            <w:r>
              <w:t>Von den Instituten wird erwartet, dass sie den Zeitrahmen für die Aufnahme neuer Kunden berücksichtigen, da ein neuer Kunde eine Bankdienstleistung beantragt hat.</w:t>
            </w:r>
          </w:p>
        </w:tc>
      </w:tr>
      <w:tr w:rsidR="00696584" w14:paraId="7FE1BAAC" w14:textId="77777777">
        <w:tc>
          <w:tcPr>
            <w:tcW w:w="1080" w:type="dxa"/>
            <w:tcBorders>
              <w:top w:val="single" w:sz="4" w:space="0" w:color="1A171C"/>
              <w:left w:val="nil"/>
              <w:bottom w:val="single" w:sz="4" w:space="0" w:color="1A171C"/>
              <w:right w:val="single" w:sz="4" w:space="0" w:color="1A171C"/>
            </w:tcBorders>
            <w:vAlign w:val="center"/>
          </w:tcPr>
          <w:p w14:paraId="7FE1BAAA" w14:textId="71AB9851" w:rsidR="00696584" w:rsidRDefault="002C4F63">
            <w:pPr>
              <w:pStyle w:val="P68B1DB1-TableParagraph17"/>
              <w:spacing w:before="108"/>
              <w:jc w:val="both"/>
            </w:pPr>
            <w:r>
              <w:t>0150 – 0170</w:t>
            </w:r>
          </w:p>
        </w:tc>
        <w:tc>
          <w:tcPr>
            <w:tcW w:w="8003" w:type="dxa"/>
            <w:tcBorders>
              <w:top w:val="single" w:sz="4" w:space="0" w:color="1A171C"/>
              <w:left w:val="single" w:sz="4" w:space="0" w:color="1A171C"/>
              <w:bottom w:val="single" w:sz="4" w:space="0" w:color="1A171C"/>
              <w:right w:val="nil"/>
            </w:tcBorders>
            <w:vAlign w:val="center"/>
          </w:tcPr>
          <w:p w14:paraId="7FE1BAAB" w14:textId="77777777" w:rsidR="00696584" w:rsidRDefault="002C4F63">
            <w:pPr>
              <w:pStyle w:val="P68B1DB1-TableParagraph14"/>
              <w:spacing w:before="108"/>
              <w:jc w:val="both"/>
              <w:rPr>
                <w:bCs/>
              </w:rPr>
            </w:pPr>
            <w:r>
              <w:t>Wesentlichkeit</w:t>
            </w:r>
          </w:p>
        </w:tc>
      </w:tr>
      <w:tr w:rsidR="00696584" w14:paraId="7FE1BAB2" w14:textId="77777777">
        <w:tc>
          <w:tcPr>
            <w:tcW w:w="1080" w:type="dxa"/>
            <w:tcBorders>
              <w:top w:val="single" w:sz="4" w:space="0" w:color="1A171C"/>
              <w:left w:val="nil"/>
              <w:bottom w:val="single" w:sz="4" w:space="0" w:color="1A171C"/>
              <w:right w:val="single" w:sz="4" w:space="0" w:color="1A171C"/>
            </w:tcBorders>
            <w:vAlign w:val="center"/>
          </w:tcPr>
          <w:p w14:paraId="7FE1BAAD" w14:textId="5EFF4F1D" w:rsidR="00696584" w:rsidRDefault="002C4F63">
            <w:pPr>
              <w:pStyle w:val="P68B1DB1-TableParagraph17"/>
              <w:spacing w:before="108"/>
              <w:jc w:val="both"/>
            </w:pPr>
            <w:r>
              <w:t>0150</w:t>
            </w:r>
          </w:p>
        </w:tc>
        <w:tc>
          <w:tcPr>
            <w:tcW w:w="8003" w:type="dxa"/>
            <w:tcBorders>
              <w:top w:val="single" w:sz="4" w:space="0" w:color="1A171C"/>
              <w:left w:val="single" w:sz="4" w:space="0" w:color="1A171C"/>
              <w:bottom w:val="single" w:sz="4" w:space="0" w:color="1A171C"/>
              <w:right w:val="nil"/>
            </w:tcBorders>
            <w:vAlign w:val="center"/>
          </w:tcPr>
          <w:p w14:paraId="7FE1BAAE" w14:textId="77777777" w:rsidR="00696584" w:rsidRDefault="002C4F63">
            <w:pPr>
              <w:pStyle w:val="P68B1DB1-TableParagraph14"/>
              <w:spacing w:before="108"/>
              <w:jc w:val="both"/>
              <w:rPr>
                <w:bCs/>
              </w:rPr>
            </w:pPr>
            <w:r>
              <w:t xml:space="preserve">Marktauswirkungen </w:t>
            </w:r>
          </w:p>
          <w:p w14:paraId="7FE1BAAF" w14:textId="77777777" w:rsidR="00696584" w:rsidRDefault="002C4F63">
            <w:pPr>
              <w:pStyle w:val="P68B1DB1-TableParagraph13"/>
              <w:spacing w:before="108"/>
              <w:jc w:val="both"/>
            </w:pPr>
            <w:r>
              <w:t>Die geschätzten Auswirkungen einer plötzlichen Unterbrechung einer Funktion auf Dritte, die Finanzmärkte und die Realwirtschaft unter Berücksichtigung der Größe, des Marktanteils im Land, der externen und internen Verflechtungen, der Komplexität und der grenzüberschreitenden Tätigkeiten eines Instituts.</w:t>
            </w:r>
          </w:p>
          <w:p w14:paraId="7FE1BAB0" w14:textId="765F6584" w:rsidR="00696584" w:rsidRDefault="002C4F63">
            <w:pPr>
              <w:pStyle w:val="P68B1DB1-TableParagraph13"/>
              <w:spacing w:before="108"/>
              <w:jc w:val="both"/>
            </w:pPr>
            <w:r>
              <w:t>Die Auswirkungen werden mit den Abstufungen hoch (H), mittel bis hoch (MH), mittel bis gering (ML) und gering (L) bewertet.</w:t>
            </w:r>
          </w:p>
          <w:p w14:paraId="7FE1BAB1" w14:textId="2305C701" w:rsidR="00696584" w:rsidRDefault="002C4F63">
            <w:pPr>
              <w:pStyle w:val="P68B1DB1-TableParagraph13"/>
              <w:spacing w:before="108"/>
              <w:jc w:val="both"/>
              <w:rPr>
                <w:b/>
                <w:bCs/>
              </w:rPr>
            </w:pPr>
            <w:r>
              <w:t xml:space="preserve">‚H‘ wird gewählt, wenn die Unterbrechung massive Auswirkungen auf den nationalen Markt hat, </w:t>
            </w:r>
            <w:r w:rsidR="00084FEA">
              <w:t>‚</w:t>
            </w:r>
            <w:r>
              <w:t>Mittelhoch</w:t>
            </w:r>
            <w:r w:rsidR="00084FEA">
              <w:t>‘</w:t>
            </w:r>
            <w:r>
              <w:t>, wenn die Auswirkungen signifikant sind; ‚Medium-Low‘ wenn die Auswirkungen wesentlich, aber begrenzt sind, und ‚gering‘ wenn die Auswirkungen gering sind.</w:t>
            </w:r>
          </w:p>
        </w:tc>
      </w:tr>
      <w:tr w:rsidR="00696584" w14:paraId="7FE1BABF" w14:textId="77777777">
        <w:tc>
          <w:tcPr>
            <w:tcW w:w="1080" w:type="dxa"/>
            <w:tcBorders>
              <w:top w:val="single" w:sz="4" w:space="0" w:color="1A171C"/>
              <w:left w:val="nil"/>
              <w:bottom w:val="single" w:sz="4" w:space="0" w:color="1A171C"/>
              <w:right w:val="single" w:sz="4" w:space="0" w:color="1A171C"/>
            </w:tcBorders>
            <w:vAlign w:val="center"/>
          </w:tcPr>
          <w:p w14:paraId="7FE1BAB3" w14:textId="0598BE56" w:rsidR="00696584" w:rsidRDefault="002C4F63">
            <w:pPr>
              <w:pStyle w:val="P68B1DB1-TableParagraph17"/>
              <w:spacing w:before="108"/>
              <w:jc w:val="both"/>
            </w:pPr>
            <w:r>
              <w:t>0160</w:t>
            </w:r>
          </w:p>
        </w:tc>
        <w:tc>
          <w:tcPr>
            <w:tcW w:w="8003" w:type="dxa"/>
            <w:tcBorders>
              <w:top w:val="single" w:sz="4" w:space="0" w:color="1A171C"/>
              <w:left w:val="single" w:sz="4" w:space="0" w:color="1A171C"/>
              <w:bottom w:val="single" w:sz="4" w:space="0" w:color="1A171C"/>
              <w:right w:val="nil"/>
            </w:tcBorders>
            <w:vAlign w:val="center"/>
          </w:tcPr>
          <w:p w14:paraId="7FE1BAB4" w14:textId="77777777" w:rsidR="00696584" w:rsidRDefault="002C4F63">
            <w:pPr>
              <w:pStyle w:val="P68B1DB1-TableParagraph14"/>
              <w:spacing w:before="108"/>
              <w:jc w:val="both"/>
              <w:rPr>
                <w:bCs/>
              </w:rPr>
            </w:pPr>
            <w:r>
              <w:t>Substituierbarkeit</w:t>
            </w:r>
          </w:p>
          <w:p w14:paraId="7FE1BAB5" w14:textId="77777777" w:rsidR="00696584" w:rsidRDefault="002C4F63">
            <w:pPr>
              <w:pStyle w:val="P68B1DB1-TableParagraph13"/>
              <w:spacing w:before="108"/>
              <w:jc w:val="both"/>
            </w:pPr>
            <w:r>
              <w:t>Artikel 6 Absatz 3 der Delegierten Verordnung (EU) 2016/778</w:t>
            </w:r>
          </w:p>
          <w:p w14:paraId="7FE1BAB6" w14:textId="77777777" w:rsidR="00696584" w:rsidRDefault="002C4F63">
            <w:pPr>
              <w:pStyle w:val="P68B1DB1-TableParagraph13"/>
              <w:spacing w:before="108"/>
              <w:jc w:val="both"/>
            </w:pPr>
            <w:r>
              <w:t>Eine Funktion gilt als substituierbar, wenn sie in vertretbarer Weise und innerhalb eines angemessenen Zeitrahmens ersetzbar ist, wodurch systemische Probleme für die Realwirtschaft und die Finanzmärkte vermieden werden können. Folgendes ist zu berücksichtigen:</w:t>
            </w:r>
          </w:p>
          <w:p w14:paraId="7FE1BAB7" w14:textId="77777777" w:rsidR="00696584" w:rsidRDefault="002C4F63">
            <w:pPr>
              <w:pStyle w:val="P68B1DB1-TableParagraph13"/>
              <w:spacing w:before="108"/>
              <w:jc w:val="both"/>
            </w:pPr>
            <w:r>
              <w:t xml:space="preserve">(a) die Struktur des Marktes für diese Funktion und die Verfügbarkeit von Ersatzanbietern, </w:t>
            </w:r>
          </w:p>
          <w:p w14:paraId="7FE1BAB8" w14:textId="77777777" w:rsidR="00696584" w:rsidRDefault="002C4F63">
            <w:pPr>
              <w:pStyle w:val="P68B1DB1-TableParagraph13"/>
              <w:spacing w:before="108"/>
              <w:jc w:val="both"/>
            </w:pPr>
            <w:r>
              <w:t xml:space="preserve">(b) die Möglichkeiten anderer Anbieter unter dem Gesichtspunkt der Kapazität, der Anforderungen an die Durchführung der Funktion und der möglichen Hürden für den Markteinstieg oder die Markterweiterung, </w:t>
            </w:r>
          </w:p>
          <w:p w14:paraId="7FE1BAB9" w14:textId="77777777" w:rsidR="00696584" w:rsidRDefault="002C4F63">
            <w:pPr>
              <w:pStyle w:val="P68B1DB1-TableParagraph13"/>
              <w:spacing w:before="108"/>
              <w:jc w:val="both"/>
            </w:pPr>
            <w:r>
              <w:t xml:space="preserve">(c) die Anreize für andere Anbieter, diese Tätigkeiten zu übernehmen, </w:t>
            </w:r>
          </w:p>
          <w:p w14:paraId="7FE1BABA" w14:textId="77777777" w:rsidR="00696584" w:rsidRDefault="002C4F63">
            <w:pPr>
              <w:pStyle w:val="P68B1DB1-TableParagraph13"/>
              <w:spacing w:before="108"/>
              <w:jc w:val="both"/>
            </w:pPr>
            <w:r>
              <w:t xml:space="preserve">(d) die Zeit, die für den Wechsel der Nutzer der Dienstleistung zu dem neuen Dienstleistungsanbieter </w:t>
            </w:r>
            <w:r>
              <w:lastRenderedPageBreak/>
              <w:t>erforderlich ist, sowie die Kosten dieses Wechsels, die Zeit, die andere Wettbewerber für die Übernahme der Funktionen benötigen, sowie die Frage, ob diese Zeit ausreicht, um je nach Art der Dienstleistung eine wesentliche Beeinträchtigung zu verhindern.</w:t>
            </w:r>
          </w:p>
          <w:p w14:paraId="7FE1BABB" w14:textId="48F2EE45" w:rsidR="00696584" w:rsidRDefault="002C4F63">
            <w:pPr>
              <w:pStyle w:val="P68B1DB1-TableParagraph13"/>
              <w:spacing w:before="108"/>
              <w:jc w:val="both"/>
            </w:pPr>
            <w:r>
              <w:t xml:space="preserve">Es ist für jede Funktion eine Gesamtbewertung des erwarteten Grads der Substituierbarkeit vorzunehmen, unter Berücksichtigung der verschiedenen zuvor untersuchten Dimensionen (Marktanteil, Marktkonzentration, Zeit bis zur Substitution, rechtliche Hindernisse sowie praktische Anforderungen für Markteintritt oder Markterweiterung). Die Auswirkungen werden mit den Abstufungen hoch (H), mittel bis hoch (MH), mittel bis gering (ML) und gering (L) bewertet. </w:t>
            </w:r>
          </w:p>
          <w:p w14:paraId="7FE1BABC" w14:textId="47D04A62" w:rsidR="00696584" w:rsidRDefault="002C4F63">
            <w:pPr>
              <w:pStyle w:val="P68B1DB1-TableParagraph13"/>
              <w:spacing w:before="108"/>
              <w:jc w:val="both"/>
            </w:pPr>
            <w:r>
              <w:t>H wird gewählt, wenn die Funktion ohne Weiteres unter vergleichbaren Bedingungen und innerhalb einer angemessenen Frist von einer anderen Bank wahrgenommen, werden kann,</w:t>
            </w:r>
          </w:p>
          <w:p w14:paraId="7FE1BABD" w14:textId="7FFD9091" w:rsidR="00696584" w:rsidRDefault="002C4F63">
            <w:pPr>
              <w:pStyle w:val="P68B1DB1-TableParagraph13"/>
              <w:spacing w:before="108"/>
              <w:jc w:val="both"/>
            </w:pPr>
            <w:r>
              <w:t xml:space="preserve">L, wenn die Funktion nicht ohne Weiteres oder rasch ersetzt werden kann, </w:t>
            </w:r>
          </w:p>
          <w:p w14:paraId="7FE1BABE" w14:textId="29287980" w:rsidR="00696584" w:rsidRDefault="002C4F63">
            <w:pPr>
              <w:pStyle w:val="P68B1DB1-TableParagraph13"/>
              <w:spacing w:before="108"/>
              <w:jc w:val="both"/>
            </w:pPr>
            <w:r>
              <w:t>MH und ML für Situationen dazwischen, wobei verschiedene Parameter (z. B. Marktanteil, Marktkonzentration, Zeit bis zur Substitution, rechtliche Hindernisse und praktische Anforderungen für den Markteintritt oder die Markterweiterung) zu berücksichtigen sind.</w:t>
            </w:r>
          </w:p>
        </w:tc>
      </w:tr>
      <w:tr w:rsidR="00696584" w14:paraId="7FE1BAC4" w14:textId="77777777">
        <w:tc>
          <w:tcPr>
            <w:tcW w:w="1080" w:type="dxa"/>
            <w:tcBorders>
              <w:top w:val="single" w:sz="4" w:space="0" w:color="1A171C"/>
              <w:left w:val="nil"/>
              <w:bottom w:val="single" w:sz="4" w:space="0" w:color="1A171C"/>
              <w:right w:val="single" w:sz="4" w:space="0" w:color="1A171C"/>
            </w:tcBorders>
            <w:vAlign w:val="center"/>
          </w:tcPr>
          <w:p w14:paraId="7FE1BAC0" w14:textId="4FCA9719" w:rsidR="00696584" w:rsidRDefault="002C4F63">
            <w:pPr>
              <w:pStyle w:val="P68B1DB1-TableParagraph17"/>
              <w:spacing w:before="108"/>
              <w:jc w:val="both"/>
            </w:pPr>
            <w:r>
              <w:lastRenderedPageBreak/>
              <w:t>0170</w:t>
            </w:r>
          </w:p>
        </w:tc>
        <w:tc>
          <w:tcPr>
            <w:tcW w:w="8003" w:type="dxa"/>
            <w:tcBorders>
              <w:top w:val="single" w:sz="4" w:space="0" w:color="1A171C"/>
              <w:left w:val="single" w:sz="4" w:space="0" w:color="1A171C"/>
              <w:bottom w:val="single" w:sz="4" w:space="0" w:color="1A171C"/>
              <w:right w:val="nil"/>
            </w:tcBorders>
            <w:vAlign w:val="center"/>
          </w:tcPr>
          <w:p w14:paraId="7FE1BAC1" w14:textId="77777777" w:rsidR="00696584" w:rsidRDefault="002C4F63">
            <w:pPr>
              <w:pStyle w:val="P68B1DB1-TableParagraph14"/>
              <w:spacing w:before="108"/>
              <w:jc w:val="both"/>
              <w:rPr>
                <w:bCs/>
              </w:rPr>
            </w:pPr>
            <w:r>
              <w:t>Kritische Funktion</w:t>
            </w:r>
          </w:p>
          <w:p w14:paraId="7FE1BAC2" w14:textId="77777777" w:rsidR="00696584" w:rsidRDefault="002C4F63">
            <w:pPr>
              <w:pStyle w:val="P68B1DB1-TableParagraph13"/>
              <w:spacing w:before="108"/>
              <w:jc w:val="both"/>
            </w:pPr>
            <w:r>
              <w:t>In dieser Spalte ist anzugeben, ob die wirtschaftliche Funktion unter Berücksichtigung der von der Institution durchgeführten Analyse des Einflusses und der Substituierbarkeit für den Markt des betreffenden Landes als kritisch anzusehen ist.</w:t>
            </w:r>
          </w:p>
          <w:p w14:paraId="7FE1BAC3" w14:textId="2FB03D31" w:rsidR="00696584" w:rsidRDefault="0055797C">
            <w:pPr>
              <w:pStyle w:val="P68B1DB1-TableParagraph13"/>
              <w:spacing w:before="108"/>
              <w:jc w:val="both"/>
            </w:pPr>
            <w:r>
              <w:t xml:space="preserve">Zwei </w:t>
            </w:r>
            <w:r w:rsidR="002C4F63">
              <w:t>Angaben sind möglich:</w:t>
            </w:r>
            <w:r>
              <w:t xml:space="preserve"> </w:t>
            </w:r>
            <w:r w:rsidR="002C4F63">
              <w:t>Ja oder Nein</w:t>
            </w:r>
          </w:p>
        </w:tc>
      </w:tr>
      <w:tr w:rsidR="00696584" w14:paraId="7FE1BAC8" w14:textId="77777777">
        <w:tc>
          <w:tcPr>
            <w:tcW w:w="1080" w:type="dxa"/>
            <w:tcBorders>
              <w:top w:val="single" w:sz="4" w:space="0" w:color="1A171C"/>
              <w:left w:val="nil"/>
              <w:bottom w:val="single" w:sz="4" w:space="0" w:color="1A171C"/>
              <w:right w:val="single" w:sz="4" w:space="0" w:color="1A171C"/>
            </w:tcBorders>
            <w:vAlign w:val="center"/>
          </w:tcPr>
          <w:p w14:paraId="7FE1BAC5" w14:textId="2A137A37" w:rsidR="00696584" w:rsidRDefault="002C4F63">
            <w:pPr>
              <w:pStyle w:val="P68B1DB1-TableParagraph17"/>
              <w:spacing w:before="108"/>
              <w:jc w:val="both"/>
            </w:pPr>
            <w:r>
              <w:t>0180</w:t>
            </w:r>
          </w:p>
        </w:tc>
        <w:tc>
          <w:tcPr>
            <w:tcW w:w="8003" w:type="dxa"/>
            <w:tcBorders>
              <w:top w:val="single" w:sz="4" w:space="0" w:color="1A171C"/>
              <w:left w:val="single" w:sz="4" w:space="0" w:color="1A171C"/>
              <w:bottom w:val="single" w:sz="4" w:space="0" w:color="1A171C"/>
              <w:right w:val="nil"/>
            </w:tcBorders>
            <w:vAlign w:val="center"/>
          </w:tcPr>
          <w:p w14:paraId="7FE1BAC6" w14:textId="77777777" w:rsidR="00696584" w:rsidRDefault="002C4F63">
            <w:pPr>
              <w:pStyle w:val="P68B1DB1-TableParagraph14"/>
              <w:spacing w:before="108"/>
              <w:jc w:val="both"/>
              <w:rPr>
                <w:bCs/>
              </w:rPr>
            </w:pPr>
            <w:r>
              <w:t>Stellungnahme der Gruppe</w:t>
            </w:r>
          </w:p>
          <w:p w14:paraId="7FE1BAC7" w14:textId="77777777" w:rsidR="00696584" w:rsidRDefault="002C4F63">
            <w:pPr>
              <w:pStyle w:val="P68B1DB1-TableParagraph13"/>
              <w:spacing w:before="108"/>
              <w:jc w:val="both"/>
            </w:pPr>
            <w:r>
              <w:t>Dieses Feld ermöglicht es dem meldenden Unternehmen, alle Annahmen zu erläutern, die bei der Beurteilung der Kritikalität der gemeldeten Funktion(en) verwendet wurden.</w:t>
            </w:r>
          </w:p>
        </w:tc>
      </w:tr>
    </w:tbl>
    <w:p w14:paraId="7FE1BAC9" w14:textId="77777777" w:rsidR="00696584" w:rsidRDefault="00696584">
      <w:pPr>
        <w:rPr>
          <w:rFonts w:ascii="Times New Roman" w:hAnsi="Times New Roman" w:cs="Times New Roman"/>
          <w:color w:val="000000" w:themeColor="text1"/>
          <w:sz w:val="20"/>
          <w:szCs w:val="20"/>
        </w:rPr>
      </w:pPr>
    </w:p>
    <w:p w14:paraId="7FE1BACA" w14:textId="77777777" w:rsidR="00696584" w:rsidRDefault="00696584">
      <w:pPr>
        <w:rPr>
          <w:rFonts w:ascii="Times New Roman" w:hAnsi="Times New Roman" w:cs="Times New Roman"/>
          <w:color w:val="000000" w:themeColor="text1"/>
          <w:sz w:val="20"/>
          <w:szCs w:val="20"/>
        </w:rPr>
      </w:pPr>
    </w:p>
    <w:p w14:paraId="7FE1BACB" w14:textId="48446B8B" w:rsidR="00696584" w:rsidRDefault="002C4F63">
      <w:pPr>
        <w:pStyle w:val="P68B1DB1-Instructionsberschrift25"/>
        <w:numPr>
          <w:ilvl w:val="1"/>
          <w:numId w:val="49"/>
        </w:numPr>
        <w:ind w:left="357" w:hanging="357"/>
      </w:pPr>
      <w:bookmarkStart w:id="114" w:name="_Toc209533594"/>
      <w:r>
        <w:t>Z 07.01.2 FUNC 1 LEN</w:t>
      </w:r>
      <w:bookmarkEnd w:id="114"/>
    </w:p>
    <w:p w14:paraId="7FE1BAD5" w14:textId="77777777" w:rsidR="00696584" w:rsidRDefault="00696584">
      <w:pPr>
        <w:rPr>
          <w:rFonts w:ascii="Times New Roman" w:hAnsi="Times New Roman" w:cs="Times New Roman"/>
          <w:color w:val="000000" w:themeColor="text1"/>
          <w:sz w:val="20"/>
          <w:szCs w:val="20"/>
        </w:rPr>
      </w:pPr>
    </w:p>
    <w:tbl>
      <w:tblPr>
        <w:tblW w:w="9083" w:type="dxa"/>
        <w:tblLayout w:type="fixed"/>
        <w:tblCellMar>
          <w:top w:w="57" w:type="dxa"/>
          <w:left w:w="57" w:type="dxa"/>
          <w:bottom w:w="57" w:type="dxa"/>
          <w:right w:w="0" w:type="dxa"/>
        </w:tblCellMar>
        <w:tblLook w:val="01E0" w:firstRow="1" w:lastRow="1" w:firstColumn="1" w:lastColumn="1" w:noHBand="0" w:noVBand="0"/>
      </w:tblPr>
      <w:tblGrid>
        <w:gridCol w:w="1080"/>
        <w:gridCol w:w="8003"/>
      </w:tblGrid>
      <w:tr w:rsidR="00696584" w14:paraId="7FE1BAD8" w14:textId="77777777">
        <w:trPr>
          <w:tblHeader/>
        </w:trPr>
        <w:tc>
          <w:tcPr>
            <w:tcW w:w="1080" w:type="dxa"/>
            <w:tcBorders>
              <w:top w:val="single" w:sz="4" w:space="0" w:color="1A171C"/>
              <w:left w:val="nil"/>
              <w:bottom w:val="single" w:sz="4" w:space="0" w:color="1A171C"/>
              <w:right w:val="single" w:sz="4" w:space="0" w:color="1A171C"/>
            </w:tcBorders>
            <w:shd w:val="clear" w:color="auto" w:fill="E4E5E5"/>
          </w:tcPr>
          <w:p w14:paraId="7FE1BAD6" w14:textId="77777777" w:rsidR="00696584" w:rsidRDefault="002C4F63">
            <w:pPr>
              <w:pStyle w:val="P68B1DB1-TableParagraph17"/>
              <w:spacing w:before="108"/>
              <w:ind w:left="85"/>
              <w:jc w:val="both"/>
            </w:pPr>
            <w:bookmarkStart w:id="115" w:name="_Hlk162013303"/>
            <w:r>
              <w:t>Spalten</w:t>
            </w:r>
          </w:p>
        </w:tc>
        <w:tc>
          <w:tcPr>
            <w:tcW w:w="8003" w:type="dxa"/>
            <w:tcBorders>
              <w:top w:val="single" w:sz="4" w:space="0" w:color="1A171C"/>
              <w:left w:val="single" w:sz="4" w:space="0" w:color="1A171C"/>
              <w:bottom w:val="single" w:sz="4" w:space="0" w:color="1A171C"/>
              <w:right w:val="nil"/>
            </w:tcBorders>
            <w:shd w:val="clear" w:color="auto" w:fill="E4E5E5"/>
          </w:tcPr>
          <w:p w14:paraId="7FE1BAD7" w14:textId="77777777" w:rsidR="00696584" w:rsidRDefault="002C4F63">
            <w:pPr>
              <w:pStyle w:val="P68B1DB1-TableParagraph17"/>
              <w:spacing w:before="108"/>
              <w:ind w:left="85" w:right="1"/>
              <w:jc w:val="both"/>
            </w:pPr>
            <w:r>
              <w:t>Erläuterungen</w:t>
            </w:r>
          </w:p>
        </w:tc>
      </w:tr>
      <w:tr w:rsidR="00696584" w14:paraId="7FE1BADC" w14:textId="77777777">
        <w:tc>
          <w:tcPr>
            <w:tcW w:w="1080" w:type="dxa"/>
            <w:tcBorders>
              <w:top w:val="single" w:sz="4" w:space="0" w:color="1A171C"/>
              <w:left w:val="nil"/>
              <w:bottom w:val="single" w:sz="4" w:space="0" w:color="1A171C"/>
              <w:right w:val="single" w:sz="4" w:space="0" w:color="1A171C"/>
            </w:tcBorders>
            <w:vAlign w:val="center"/>
          </w:tcPr>
          <w:p w14:paraId="7FE1BAD9" w14:textId="77777777" w:rsidR="00696584" w:rsidRDefault="002C4F63">
            <w:pPr>
              <w:pStyle w:val="P68B1DB1-TableParagraph17"/>
              <w:spacing w:before="108"/>
              <w:ind w:left="85"/>
              <w:jc w:val="both"/>
            </w:pPr>
            <w:r>
              <w:t>0010</w:t>
            </w:r>
          </w:p>
        </w:tc>
        <w:tc>
          <w:tcPr>
            <w:tcW w:w="8003" w:type="dxa"/>
            <w:tcBorders>
              <w:top w:val="single" w:sz="4" w:space="0" w:color="1A171C"/>
              <w:left w:val="single" w:sz="4" w:space="0" w:color="1A171C"/>
              <w:bottom w:val="single" w:sz="4" w:space="0" w:color="1A171C"/>
              <w:right w:val="nil"/>
            </w:tcBorders>
            <w:vAlign w:val="center"/>
          </w:tcPr>
          <w:p w14:paraId="7FE1BADA" w14:textId="77777777" w:rsidR="00696584" w:rsidRDefault="002C4F63">
            <w:pPr>
              <w:pStyle w:val="P68B1DB1-TableParagraph14"/>
              <w:spacing w:before="108"/>
              <w:ind w:left="85"/>
              <w:jc w:val="both"/>
              <w:rPr>
                <w:bCs/>
              </w:rPr>
            </w:pPr>
            <w:r>
              <w:t>Beschreibung der wirtschaftlichen Funktion</w:t>
            </w:r>
          </w:p>
          <w:p w14:paraId="7FE1BADB" w14:textId="0F1FA007" w:rsidR="00696584" w:rsidRDefault="002C4F63">
            <w:pPr>
              <w:pStyle w:val="P68B1DB1-TableParagraph17"/>
              <w:spacing w:before="108"/>
              <w:ind w:left="85"/>
            </w:pPr>
            <w:r>
              <w:t xml:space="preserve">Handelt es sich bei der wirtschaftlichen Funktion um den Typ „Sonstige“ (Z 07.01.2 FUNC 1 LEN r0130 bis r0150), ist diese Funktion zu beschreiben. </w:t>
            </w:r>
          </w:p>
        </w:tc>
      </w:tr>
      <w:tr w:rsidR="00696584" w14:paraId="7FE1BAE0" w14:textId="77777777">
        <w:tc>
          <w:tcPr>
            <w:tcW w:w="1080" w:type="dxa"/>
            <w:tcBorders>
              <w:top w:val="single" w:sz="4" w:space="0" w:color="1A171C"/>
              <w:left w:val="nil"/>
              <w:bottom w:val="single" w:sz="4" w:space="0" w:color="1A171C"/>
              <w:right w:val="single" w:sz="4" w:space="0" w:color="1A171C"/>
            </w:tcBorders>
            <w:vAlign w:val="center"/>
          </w:tcPr>
          <w:p w14:paraId="7FE1BADD" w14:textId="77777777" w:rsidR="00696584" w:rsidRDefault="002C4F63">
            <w:pPr>
              <w:pStyle w:val="P68B1DB1-TableParagraph17"/>
              <w:spacing w:before="108"/>
              <w:ind w:left="85"/>
              <w:jc w:val="both"/>
            </w:pPr>
            <w:r>
              <w:t>0020</w:t>
            </w:r>
          </w:p>
        </w:tc>
        <w:tc>
          <w:tcPr>
            <w:tcW w:w="8003" w:type="dxa"/>
            <w:tcBorders>
              <w:top w:val="single" w:sz="4" w:space="0" w:color="1A171C"/>
              <w:left w:val="single" w:sz="4" w:space="0" w:color="1A171C"/>
              <w:bottom w:val="single" w:sz="4" w:space="0" w:color="1A171C"/>
              <w:right w:val="nil"/>
            </w:tcBorders>
            <w:vAlign w:val="center"/>
          </w:tcPr>
          <w:p w14:paraId="7FE1BADE" w14:textId="77777777" w:rsidR="00696584" w:rsidRDefault="002C4F63">
            <w:pPr>
              <w:pStyle w:val="P68B1DB1-TableParagraph14"/>
              <w:spacing w:before="108"/>
              <w:ind w:left="85"/>
              <w:jc w:val="both"/>
              <w:rPr>
                <w:bCs/>
              </w:rPr>
            </w:pPr>
            <w:r>
              <w:t xml:space="preserve">Marktanteil </w:t>
            </w:r>
          </w:p>
          <w:p w14:paraId="7FE1BADF" w14:textId="4B4AE08B" w:rsidR="00696584" w:rsidRDefault="002C4F63">
            <w:pPr>
              <w:pStyle w:val="P68B1DB1-TableParagraph17"/>
              <w:spacing w:before="108"/>
              <w:ind w:left="85"/>
            </w:pPr>
            <w:r>
              <w:t>Schätzung des Marktanteils des Instituts oder der Gruppe an der wirtschaftlichen Funktion im jeweiligen Land oder im jeweiligen geografischen Gebiet. Prozentsatz des Gesamtmarkts in Bezug auf den ausstehenden Wert.</w:t>
            </w:r>
          </w:p>
        </w:tc>
      </w:tr>
      <w:tr w:rsidR="00696584" w14:paraId="7FE1BAE5" w14:textId="77777777">
        <w:tc>
          <w:tcPr>
            <w:tcW w:w="1080" w:type="dxa"/>
            <w:tcBorders>
              <w:top w:val="single" w:sz="4" w:space="0" w:color="1A171C"/>
              <w:left w:val="nil"/>
              <w:bottom w:val="single" w:sz="4" w:space="0" w:color="1A171C"/>
              <w:right w:val="single" w:sz="4" w:space="0" w:color="1A171C"/>
            </w:tcBorders>
            <w:vAlign w:val="center"/>
          </w:tcPr>
          <w:p w14:paraId="7FE1BAE1" w14:textId="77777777" w:rsidR="00696584" w:rsidRDefault="002C4F63">
            <w:pPr>
              <w:pStyle w:val="P68B1DB1-TableParagraph17"/>
              <w:spacing w:before="108"/>
              <w:ind w:left="85"/>
              <w:jc w:val="both"/>
            </w:pPr>
            <w:r>
              <w:t>0030</w:t>
            </w:r>
          </w:p>
        </w:tc>
        <w:tc>
          <w:tcPr>
            <w:tcW w:w="8003" w:type="dxa"/>
            <w:tcBorders>
              <w:top w:val="single" w:sz="4" w:space="0" w:color="1A171C"/>
              <w:left w:val="single" w:sz="4" w:space="0" w:color="1A171C"/>
              <w:bottom w:val="single" w:sz="4" w:space="0" w:color="1A171C"/>
              <w:right w:val="nil"/>
            </w:tcBorders>
            <w:vAlign w:val="center"/>
          </w:tcPr>
          <w:p w14:paraId="7FE1BAE2" w14:textId="77777777" w:rsidR="00696584" w:rsidRDefault="002C4F63">
            <w:pPr>
              <w:pStyle w:val="P68B1DB1-TableParagraph14"/>
              <w:spacing w:before="108"/>
              <w:rPr>
                <w:bCs/>
              </w:rPr>
            </w:pPr>
            <w:r>
              <w:t>Ausstehender Wert</w:t>
            </w:r>
          </w:p>
          <w:p w14:paraId="7FE1BAE4" w14:textId="0121A327" w:rsidR="00696584" w:rsidRDefault="002C4F63" w:rsidP="004A4C35">
            <w:pPr>
              <w:pStyle w:val="P68B1DB1-TableParagraph17"/>
              <w:spacing w:before="108"/>
            </w:pPr>
            <w:r>
              <w:t>Bruttobuchwert der wertgeminderten und nicht wertgeminderten Darlehen und Kredite (einschließlich der aufgelaufenen Zinsen). Das laufende Kreditaufkommen dient als Näherungswert für das zu erwartende Kreditaufkommen.</w:t>
            </w:r>
          </w:p>
        </w:tc>
      </w:tr>
      <w:tr w:rsidR="00696584" w14:paraId="7FE1BAEB" w14:textId="77777777">
        <w:tc>
          <w:tcPr>
            <w:tcW w:w="1080" w:type="dxa"/>
            <w:tcBorders>
              <w:top w:val="single" w:sz="4" w:space="0" w:color="1A171C"/>
              <w:left w:val="nil"/>
              <w:bottom w:val="single" w:sz="4" w:space="0" w:color="1A171C"/>
              <w:right w:val="single" w:sz="4" w:space="0" w:color="1A171C"/>
            </w:tcBorders>
            <w:vAlign w:val="center"/>
          </w:tcPr>
          <w:p w14:paraId="7FE1BAE6" w14:textId="77777777" w:rsidR="00696584" w:rsidRDefault="002C4F63">
            <w:pPr>
              <w:pStyle w:val="P68B1DB1-TableParagraph17"/>
              <w:spacing w:before="108"/>
              <w:ind w:left="85"/>
              <w:jc w:val="both"/>
            </w:pPr>
            <w:r>
              <w:t>0040</w:t>
            </w:r>
          </w:p>
        </w:tc>
        <w:tc>
          <w:tcPr>
            <w:tcW w:w="8003" w:type="dxa"/>
            <w:tcBorders>
              <w:top w:val="single" w:sz="4" w:space="0" w:color="1A171C"/>
              <w:left w:val="single" w:sz="4" w:space="0" w:color="1A171C"/>
              <w:bottom w:val="single" w:sz="4" w:space="0" w:color="1A171C"/>
              <w:right w:val="nil"/>
            </w:tcBorders>
            <w:vAlign w:val="center"/>
          </w:tcPr>
          <w:p w14:paraId="7FE1BAE7" w14:textId="77777777" w:rsidR="00696584" w:rsidRDefault="002C4F63">
            <w:pPr>
              <w:pStyle w:val="P68B1DB1-TableParagraph14"/>
              <w:spacing w:before="108"/>
              <w:rPr>
                <w:bCs/>
              </w:rPr>
            </w:pPr>
            <w:r>
              <w:t>Anzahl der Kunden</w:t>
            </w:r>
          </w:p>
          <w:p w14:paraId="7FE1BAEA" w14:textId="5FEE75F2" w:rsidR="00696584" w:rsidRDefault="002C4F63">
            <w:pPr>
              <w:pStyle w:val="P68B1DB1-TableParagraph17"/>
              <w:spacing w:before="108"/>
            </w:pPr>
            <w:r>
              <w:t>Gesamtzahl der Kunden, die die in c0030 „</w:t>
            </w:r>
            <w:r w:rsidR="004A4C35">
              <w:t>Aussteh</w:t>
            </w:r>
            <w:r w:rsidR="00084FEA">
              <w:t>e</w:t>
            </w:r>
            <w:r w:rsidR="004A4C35">
              <w:t>nder Wert</w:t>
            </w:r>
            <w:r>
              <w:t xml:space="preserve">“ gemeldeten Werte hinterlegt haben. Verwendet ein Kunde mehrere Kreditprodukte/-konten, so wird der Kunde nur einmal </w:t>
            </w:r>
            <w:r>
              <w:lastRenderedPageBreak/>
              <w:t>gezählt.</w:t>
            </w:r>
          </w:p>
        </w:tc>
      </w:tr>
      <w:tr w:rsidR="00696584" w14:paraId="7FE1BAF5" w14:textId="77777777">
        <w:tc>
          <w:tcPr>
            <w:tcW w:w="1080" w:type="dxa"/>
            <w:tcBorders>
              <w:top w:val="single" w:sz="4" w:space="0" w:color="1A171C"/>
              <w:left w:val="nil"/>
              <w:bottom w:val="single" w:sz="4" w:space="0" w:color="1A171C"/>
              <w:right w:val="single" w:sz="4" w:space="0" w:color="1A171C"/>
            </w:tcBorders>
            <w:vAlign w:val="center"/>
          </w:tcPr>
          <w:p w14:paraId="7FE1BAF1" w14:textId="77777777" w:rsidR="00696584" w:rsidRDefault="002C4F63">
            <w:pPr>
              <w:pStyle w:val="P68B1DB1-TableParagraph17"/>
              <w:spacing w:before="108"/>
              <w:jc w:val="both"/>
            </w:pPr>
            <w:r>
              <w:lastRenderedPageBreak/>
              <w:t>0060</w:t>
            </w:r>
          </w:p>
        </w:tc>
        <w:tc>
          <w:tcPr>
            <w:tcW w:w="8003" w:type="dxa"/>
            <w:tcBorders>
              <w:top w:val="single" w:sz="4" w:space="0" w:color="1A171C"/>
              <w:left w:val="single" w:sz="4" w:space="0" w:color="1A171C"/>
              <w:bottom w:val="single" w:sz="4" w:space="0" w:color="1A171C"/>
              <w:right w:val="nil"/>
            </w:tcBorders>
            <w:vAlign w:val="center"/>
          </w:tcPr>
          <w:p w14:paraId="7FE1BAF2" w14:textId="77777777" w:rsidR="00696584" w:rsidRDefault="002C4F63">
            <w:pPr>
              <w:pStyle w:val="P68B1DB1-TableParagraph14"/>
              <w:spacing w:before="108"/>
              <w:ind w:left="85"/>
              <w:jc w:val="both"/>
              <w:rPr>
                <w:bCs/>
              </w:rPr>
            </w:pPr>
            <w:r>
              <w:t>Ausstehender Wert – Wert mit Auslandsbezug</w:t>
            </w:r>
          </w:p>
          <w:p w14:paraId="7FE1BAF4" w14:textId="701541D8" w:rsidR="00696584" w:rsidRDefault="002C4F63" w:rsidP="004A4C35">
            <w:pPr>
              <w:pStyle w:val="P68B1DB1-TableParagraph13"/>
              <w:spacing w:before="108"/>
              <w:ind w:left="85"/>
              <w:jc w:val="both"/>
              <w:rPr>
                <w:b/>
                <w:bCs/>
              </w:rPr>
            </w:pPr>
            <w:r>
              <w:t>Ausstehender Wert (c0030) der Kredite an Gebietsfremde, siehe Einlagen (c0060) „Wert mit Auslandsbezug“.</w:t>
            </w:r>
            <w:r w:rsidR="004A4C35" w:rsidDel="004A4C35">
              <w:t xml:space="preserve"> </w:t>
            </w:r>
          </w:p>
        </w:tc>
      </w:tr>
      <w:bookmarkEnd w:id="115"/>
      <w:tr w:rsidR="00696584" w14:paraId="7FE1BB01" w14:textId="77777777">
        <w:tc>
          <w:tcPr>
            <w:tcW w:w="1080" w:type="dxa"/>
            <w:tcBorders>
              <w:top w:val="single" w:sz="4" w:space="0" w:color="1A171C"/>
              <w:left w:val="nil"/>
              <w:bottom w:val="single" w:sz="4" w:space="0" w:color="1A171C"/>
              <w:right w:val="single" w:sz="4" w:space="0" w:color="1A171C"/>
            </w:tcBorders>
            <w:vAlign w:val="center"/>
          </w:tcPr>
          <w:p w14:paraId="7FE1BAF9" w14:textId="14542C41" w:rsidR="00696584" w:rsidRDefault="002C4F63">
            <w:pPr>
              <w:pStyle w:val="P68B1DB1-TableParagraph17"/>
              <w:spacing w:before="108"/>
              <w:jc w:val="both"/>
            </w:pPr>
            <w:r>
              <w:t>0080 – 0150</w:t>
            </w:r>
          </w:p>
        </w:tc>
        <w:tc>
          <w:tcPr>
            <w:tcW w:w="8003" w:type="dxa"/>
            <w:tcBorders>
              <w:top w:val="single" w:sz="4" w:space="0" w:color="1A171C"/>
              <w:left w:val="single" w:sz="4" w:space="0" w:color="1A171C"/>
              <w:bottom w:val="single" w:sz="4" w:space="0" w:color="1A171C"/>
              <w:right w:val="nil"/>
            </w:tcBorders>
            <w:vAlign w:val="center"/>
          </w:tcPr>
          <w:p w14:paraId="7FE1BAFA" w14:textId="77777777" w:rsidR="00696584" w:rsidRDefault="002C4F63">
            <w:pPr>
              <w:pStyle w:val="P68B1DB1-TableParagraph14"/>
              <w:spacing w:before="108"/>
              <w:jc w:val="both"/>
              <w:rPr>
                <w:bCs/>
              </w:rPr>
            </w:pPr>
            <w:r>
              <w:t>Auswirkungs- und Substituierbarkeitsanalysen</w:t>
            </w:r>
          </w:p>
          <w:p w14:paraId="7FE1BAFB" w14:textId="77777777" w:rsidR="00696584" w:rsidRDefault="002C4F63">
            <w:pPr>
              <w:pStyle w:val="P68B1DB1-TableParagraph13"/>
              <w:spacing w:before="108"/>
            </w:pPr>
            <w:r>
              <w:t>Nach der Delegierten Verordnung (EU) 2016/778 umfassen die Bewertungskriterien für die Auswirkungen auf Dritte die folgenden Elemente:</w:t>
            </w:r>
          </w:p>
          <w:p w14:paraId="7FE1BAFC" w14:textId="77777777" w:rsidR="00696584" w:rsidRDefault="002C4F63">
            <w:pPr>
              <w:pStyle w:val="P68B1DB1-ListParagraph38"/>
              <w:numPr>
                <w:ilvl w:val="0"/>
                <w:numId w:val="131"/>
              </w:numPr>
              <w:spacing w:line="276" w:lineRule="auto"/>
            </w:pPr>
            <w:r>
              <w:t>Art und Reichweite der Tätigkeit, globale, nationale oder regionale Reichweite, Umfang und Anzahl der Transaktionen; die Zahl der Kunden und Gegenparteien; die Anzahl der Kunden, für die die Institution der einzige oder der wichtigste Bankpartner ist.</w:t>
            </w:r>
          </w:p>
          <w:p w14:paraId="7FE1BAFD" w14:textId="77777777" w:rsidR="00696584" w:rsidRDefault="002C4F63">
            <w:pPr>
              <w:pStyle w:val="P68B1DB1-ListParagraph38"/>
              <w:numPr>
                <w:ilvl w:val="0"/>
                <w:numId w:val="131"/>
              </w:numPr>
              <w:spacing w:line="276" w:lineRule="auto"/>
            </w:pPr>
            <w:r>
              <w:t>die Bedeutung des Instituts auf lokaler, regionaler, nationaler oder europäischer Ebene, je nach betreffendem Markt. Die Bedeutung des Instituts kann auf Grundlage des Marktanteils, der bestehenden Verflechtungen, der Komplexität und der grenzüberschreitenden Tätigkeiten bewertet werden;</w:t>
            </w:r>
          </w:p>
          <w:p w14:paraId="7FE1BAFE" w14:textId="77777777" w:rsidR="00696584" w:rsidRDefault="002C4F63">
            <w:pPr>
              <w:pStyle w:val="P68B1DB1-ListParagraph38"/>
              <w:numPr>
                <w:ilvl w:val="0"/>
                <w:numId w:val="131"/>
              </w:numPr>
              <w:spacing w:line="276" w:lineRule="auto"/>
            </w:pPr>
            <w:r>
              <w:t xml:space="preserve">Art der Kunden und Interessenträger, die von der Funktion betroffen sind, wie zum Beispiel Privat- und Firmenkunden, Interbankenkunden, zentrale Clearingstellen und öffentlich-rechtliche Einrichtungen; </w:t>
            </w:r>
          </w:p>
          <w:p w14:paraId="7FE1BAFF" w14:textId="77777777" w:rsidR="00696584" w:rsidRDefault="002C4F63">
            <w:pPr>
              <w:pStyle w:val="P68B1DB1-ListParagraph38"/>
              <w:numPr>
                <w:ilvl w:val="0"/>
                <w:numId w:val="131"/>
              </w:numPr>
              <w:spacing w:line="276" w:lineRule="auto"/>
            </w:pPr>
            <w:r>
              <w:t>die Folgen eines möglichen Ausfalls der Funktion für Märkte, Infrastrukturen, Kunden und öffentliche Dienste. Die Bewertung kann insbesondere die Auswirkungen auf die Liquidität der betreffenden Märkte, die Auswirkungen und das Ausmaß von Störungen des Kundengeschäfts und den kurzfristigen Liquiditätsbedarf umfassen; die Wahrnehmung für Gegenparteien, Kunden und die Öffentlichkeit; Kapazität und Schnelligkeit der Kundenreaktion; die Relevanz für das Funktionieren anderer Märkte; die Auswirkungen auf die Liquidität, die Geschäfte und die Struktur eines anderen Marktes; die Auswirkungen auf andere Gegenparteien im Zusammenhang mit den Hauptkunden und die Wechselbeziehung zwischen der Funktion und anderen Dienstleistungen.</w:t>
            </w:r>
          </w:p>
          <w:p w14:paraId="7FE1BB00" w14:textId="77777777" w:rsidR="00696584" w:rsidRDefault="00696584">
            <w:pPr>
              <w:pStyle w:val="TableParagraph"/>
              <w:spacing w:before="108"/>
              <w:jc w:val="both"/>
              <w:rPr>
                <w:rFonts w:ascii="Times New Roman" w:hAnsi="Times New Roman" w:cs="Times New Roman"/>
                <w:color w:val="000000" w:themeColor="text1"/>
                <w:sz w:val="20"/>
                <w:szCs w:val="20"/>
              </w:rPr>
            </w:pPr>
          </w:p>
        </w:tc>
      </w:tr>
      <w:tr w:rsidR="00696584" w14:paraId="7FE1BB05" w14:textId="77777777">
        <w:tc>
          <w:tcPr>
            <w:tcW w:w="1080" w:type="dxa"/>
            <w:tcBorders>
              <w:top w:val="single" w:sz="4" w:space="0" w:color="1A171C"/>
              <w:left w:val="nil"/>
              <w:bottom w:val="single" w:sz="4" w:space="0" w:color="1A171C"/>
              <w:right w:val="single" w:sz="4" w:space="0" w:color="1A171C"/>
            </w:tcBorders>
            <w:vAlign w:val="center"/>
          </w:tcPr>
          <w:p w14:paraId="7FE1BB02" w14:textId="36421503" w:rsidR="00696584" w:rsidRDefault="002C4F63">
            <w:pPr>
              <w:pStyle w:val="P68B1DB1-TableParagraph17"/>
              <w:spacing w:before="108"/>
              <w:jc w:val="both"/>
            </w:pPr>
            <w:r>
              <w:t>0080-0150</w:t>
            </w:r>
          </w:p>
        </w:tc>
        <w:tc>
          <w:tcPr>
            <w:tcW w:w="8003" w:type="dxa"/>
            <w:tcBorders>
              <w:top w:val="single" w:sz="4" w:space="0" w:color="1A171C"/>
              <w:left w:val="single" w:sz="4" w:space="0" w:color="1A171C"/>
              <w:bottom w:val="single" w:sz="4" w:space="0" w:color="1A171C"/>
              <w:right w:val="nil"/>
            </w:tcBorders>
            <w:vAlign w:val="center"/>
          </w:tcPr>
          <w:p w14:paraId="7FE1BB03" w14:textId="77777777" w:rsidR="00696584" w:rsidRDefault="002C4F63">
            <w:pPr>
              <w:pStyle w:val="P68B1DB1-TableParagraph14"/>
              <w:spacing w:before="108"/>
              <w:jc w:val="both"/>
              <w:rPr>
                <w:bCs/>
              </w:rPr>
            </w:pPr>
            <w:r>
              <w:t xml:space="preserve">Art und Reichweite </w:t>
            </w:r>
          </w:p>
          <w:p w14:paraId="7FE1BB04" w14:textId="77777777" w:rsidR="00696584" w:rsidRDefault="002C4F63">
            <w:pPr>
              <w:pStyle w:val="P68B1DB1-TableParagraph13"/>
              <w:spacing w:before="108"/>
              <w:jc w:val="both"/>
            </w:pPr>
            <w:r>
              <w:t>Die globale, nationale oder regionale Reichweite, das Volumen und die Anzahl der Transaktionen; die Zahl der Kunden und Gegenparteien; die Anzahl der Kunden, für die die Institution der einzige oder der wichtigste Bankpartner ist.</w:t>
            </w:r>
          </w:p>
        </w:tc>
      </w:tr>
      <w:tr w:rsidR="00696584" w14:paraId="7FE1BB0C" w14:textId="77777777">
        <w:tc>
          <w:tcPr>
            <w:tcW w:w="1080" w:type="dxa"/>
            <w:tcBorders>
              <w:top w:val="single" w:sz="4" w:space="0" w:color="1A171C"/>
              <w:left w:val="nil"/>
              <w:bottom w:val="single" w:sz="4" w:space="0" w:color="1A171C"/>
              <w:right w:val="single" w:sz="4" w:space="0" w:color="1A171C"/>
            </w:tcBorders>
            <w:vAlign w:val="center"/>
          </w:tcPr>
          <w:p w14:paraId="7FE1BB06" w14:textId="202CD428" w:rsidR="00696584" w:rsidRDefault="002C4F63">
            <w:pPr>
              <w:pStyle w:val="P68B1DB1-TableParagraph17"/>
              <w:spacing w:before="108"/>
              <w:jc w:val="both"/>
            </w:pPr>
            <w:r>
              <w:t>0080</w:t>
            </w:r>
          </w:p>
        </w:tc>
        <w:tc>
          <w:tcPr>
            <w:tcW w:w="8003" w:type="dxa"/>
            <w:tcBorders>
              <w:top w:val="single" w:sz="4" w:space="0" w:color="1A171C"/>
              <w:left w:val="single" w:sz="4" w:space="0" w:color="1A171C"/>
              <w:bottom w:val="single" w:sz="4" w:space="0" w:color="1A171C"/>
              <w:right w:val="nil"/>
            </w:tcBorders>
            <w:vAlign w:val="center"/>
          </w:tcPr>
          <w:p w14:paraId="7FE1BB07" w14:textId="77777777" w:rsidR="00696584" w:rsidRDefault="002C4F63">
            <w:pPr>
              <w:pStyle w:val="P68B1DB1-TableParagraph14"/>
              <w:spacing w:before="108"/>
              <w:jc w:val="both"/>
              <w:rPr>
                <w:bCs/>
              </w:rPr>
            </w:pPr>
            <w:r>
              <w:t>Größenindikator 1</w:t>
            </w:r>
          </w:p>
          <w:p w14:paraId="50B226E0" w14:textId="77777777" w:rsidR="00696584" w:rsidRDefault="002C4F63">
            <w:pPr>
              <w:pStyle w:val="P68B1DB1-Normal31"/>
              <w:spacing w:line="276" w:lineRule="auto"/>
              <w:jc w:val="both"/>
            </w:pPr>
            <w:r>
              <w:t xml:space="preserve">Es ist eine Bewertung der Bedeutung der Bank bezüglich dieser Tätigkeiten vorzunehmen. Diese Bewertung wird qualitativ als „hoch“, „mittelhoch“, „mittel-niedrig“ oder „niedrig“ ausgedrückt. Angabe „hoch“, wenn die Größe der Funktion groß ist, „mittel-hoch“, wenn sie mittel ist, „mittel-niedrig“, wenn sie klein ist, und „niedrig“, wenn sie vernachlässigbar ist. Als Maßstab für diese qualitative Bewertung kann auf makroökonomische Variablen abgestellt werden, zum Beispiel BIP, Bevölkerung (für Einlagen, Kreditvergabe, Zahlungs-, Bargeld-, Abrechnungs-, Clearing- und Verwahrungsdienste) oder Marktgröße (für Kapitalmärkte und großvolumige Finanzierungen). </w:t>
            </w:r>
          </w:p>
          <w:p w14:paraId="7FE1BB08" w14:textId="658E0B92" w:rsidR="00696584" w:rsidRDefault="00696584">
            <w:pPr>
              <w:pStyle w:val="TableParagraph"/>
              <w:spacing w:before="108"/>
              <w:rPr>
                <w:rFonts w:ascii="Times New Roman" w:hAnsi="Times New Roman" w:cs="Times New Roman"/>
                <w:color w:val="000000" w:themeColor="text1"/>
                <w:sz w:val="20"/>
                <w:szCs w:val="20"/>
              </w:rPr>
            </w:pPr>
          </w:p>
          <w:p w14:paraId="7FE1BB09" w14:textId="199C9DE7" w:rsidR="00696584" w:rsidRDefault="002C4F63">
            <w:pPr>
              <w:pStyle w:val="P68B1DB1-ListParagraph32"/>
              <w:numPr>
                <w:ilvl w:val="0"/>
                <w:numId w:val="130"/>
              </w:numPr>
              <w:spacing w:line="276" w:lineRule="auto"/>
            </w:pPr>
            <w:r>
              <w:t xml:space="preserve">Sachverständige Beurteilung der Höhe des Werts der ausstehenden Kredite (c0030) aus EU-Perspektive </w:t>
            </w:r>
            <w:r>
              <w:rPr>
                <w:i/>
              </w:rPr>
              <w:t>[eine Ebene höher als der maßgebliche Markt.</w:t>
            </w:r>
            <w:r>
              <w:t xml:space="preserve"> Bei der Bewertung dieses Größenindikators sind auch die potenziellen künftigen Kreditvergaben zu </w:t>
            </w:r>
            <w:r>
              <w:lastRenderedPageBreak/>
              <w:t xml:space="preserve">berücksichtigen. Als Ersatz für künftige Kreditvergaben kann auf das bestehende Kreditaufkommen abgestellt werden, sofern anzunehmen ist, dass das in der Vergangenheit betriebene Kreditvergabegeschäft die kurz- bis mittelfristigen Planungen für das Kreditvergabegeschäft angemessen reflektiert. </w:t>
            </w:r>
          </w:p>
          <w:p w14:paraId="7FE1BB0A" w14:textId="1E63DDA3" w:rsidR="00696584" w:rsidRDefault="002C4F63">
            <w:pPr>
              <w:pStyle w:val="P68B1DB1-ListParagraph32"/>
              <w:numPr>
                <w:ilvl w:val="1"/>
                <w:numId w:val="127"/>
              </w:numPr>
              <w:spacing w:line="276" w:lineRule="auto"/>
            </w:pPr>
            <w:r>
              <w:t xml:space="preserve">Für wie hoch halten Sie – aus EU-Perspektive – den Wert der ausstehenden und zugesagten Kredite (als </w:t>
            </w:r>
            <w:r w:rsidR="000D7090" w:rsidRPr="000D7090">
              <w:t>Schätzungswert</w:t>
            </w:r>
            <w:r>
              <w:t xml:space="preserve"> für das künftige Kreditvergabegeschäft)?</w:t>
            </w:r>
          </w:p>
          <w:p w14:paraId="7FE1BB0B" w14:textId="77777777" w:rsidR="00696584" w:rsidRDefault="00696584">
            <w:pPr>
              <w:pStyle w:val="TableParagraph"/>
              <w:spacing w:before="108"/>
              <w:jc w:val="both"/>
              <w:rPr>
                <w:rFonts w:ascii="Times New Roman" w:hAnsi="Times New Roman" w:cs="Times New Roman"/>
                <w:color w:val="000000" w:themeColor="text1"/>
                <w:sz w:val="20"/>
                <w:szCs w:val="20"/>
              </w:rPr>
            </w:pPr>
          </w:p>
        </w:tc>
      </w:tr>
      <w:tr w:rsidR="00696584" w14:paraId="7FE1BB18" w14:textId="77777777">
        <w:tc>
          <w:tcPr>
            <w:tcW w:w="1080" w:type="dxa"/>
            <w:tcBorders>
              <w:top w:val="single" w:sz="4" w:space="0" w:color="1A171C"/>
              <w:left w:val="nil"/>
              <w:bottom w:val="single" w:sz="4" w:space="0" w:color="1A171C"/>
              <w:right w:val="single" w:sz="4" w:space="0" w:color="1A171C"/>
            </w:tcBorders>
            <w:vAlign w:val="center"/>
          </w:tcPr>
          <w:p w14:paraId="7FE1BB0D" w14:textId="28626F4D" w:rsidR="00696584" w:rsidRDefault="002C4F63">
            <w:pPr>
              <w:pStyle w:val="P68B1DB1-TableParagraph17"/>
              <w:spacing w:before="108"/>
              <w:jc w:val="both"/>
            </w:pPr>
            <w:r>
              <w:lastRenderedPageBreak/>
              <w:t>0090</w:t>
            </w:r>
          </w:p>
        </w:tc>
        <w:tc>
          <w:tcPr>
            <w:tcW w:w="8003" w:type="dxa"/>
            <w:tcBorders>
              <w:top w:val="single" w:sz="4" w:space="0" w:color="1A171C"/>
              <w:left w:val="single" w:sz="4" w:space="0" w:color="1A171C"/>
              <w:bottom w:val="single" w:sz="4" w:space="0" w:color="1A171C"/>
              <w:right w:val="nil"/>
            </w:tcBorders>
            <w:vAlign w:val="center"/>
          </w:tcPr>
          <w:p w14:paraId="7FE1BB0E" w14:textId="77777777" w:rsidR="00696584" w:rsidRDefault="002C4F63">
            <w:pPr>
              <w:pStyle w:val="P68B1DB1-TableParagraph14"/>
              <w:spacing w:before="108"/>
              <w:jc w:val="both"/>
              <w:rPr>
                <w:bCs/>
              </w:rPr>
            </w:pPr>
            <w:r>
              <w:t>Größenindikator 2</w:t>
            </w:r>
          </w:p>
          <w:p w14:paraId="68B7FEDE" w14:textId="77777777" w:rsidR="00696584" w:rsidRDefault="002C4F63">
            <w:pPr>
              <w:pStyle w:val="P68B1DB1-Normal31"/>
              <w:spacing w:line="276" w:lineRule="auto"/>
              <w:jc w:val="both"/>
            </w:pPr>
            <w:r>
              <w:t xml:space="preserve">Es ist eine Bewertung der Bedeutung der Bank bezüglich dieser Tätigkeiten vorzunehmen. Diese Bewertung wird qualitativ als „hoch“, „mittelhoch“, „mittel-niedrig“ oder „niedrig“ ausgedrückt. Angabe „hoch“, wenn die Größe der Funktion groß ist, „mittel-hoch“, wenn sie mittel ist, „mittel-niedrig“, wenn sie klein ist, und „niedrig“, wenn sie vernachlässigbar ist. Als Maßstab für diese qualitative Bewertung kann auf makroökonomische Variablen abgestellt werden, zum Beispiel BIP, Bevölkerung (für Einlagen, Kreditvergabe, Zahlungs-, Bargeld-, Abrechnungs-, Clearing- und Verwahrungsdienste) oder Marktgröße (für Kapitalmärkte und großvolumige Finanzierungen). </w:t>
            </w:r>
          </w:p>
          <w:p w14:paraId="7FE1BB0F" w14:textId="40E27EAB" w:rsidR="00696584" w:rsidRDefault="00696584">
            <w:pPr>
              <w:pStyle w:val="TableParagraph"/>
              <w:spacing w:before="108"/>
              <w:rPr>
                <w:rFonts w:ascii="Times New Roman" w:hAnsi="Times New Roman" w:cs="Times New Roman"/>
                <w:color w:val="000000" w:themeColor="text1"/>
                <w:sz w:val="20"/>
                <w:szCs w:val="20"/>
              </w:rPr>
            </w:pPr>
          </w:p>
          <w:p w14:paraId="7FE1BB10" w14:textId="4C225025" w:rsidR="00696584" w:rsidRDefault="002C4F63">
            <w:pPr>
              <w:pStyle w:val="P68B1DB1-ListParagraph32"/>
              <w:numPr>
                <w:ilvl w:val="0"/>
                <w:numId w:val="121"/>
              </w:numPr>
              <w:spacing w:line="276" w:lineRule="auto"/>
            </w:pPr>
            <w:r>
              <w:t xml:space="preserve">Sachverständige Beurteilung der </w:t>
            </w:r>
            <w:r>
              <w:rPr>
                <w:b/>
              </w:rPr>
              <w:t>Zahl</w:t>
            </w:r>
            <w:r>
              <w:t xml:space="preserve"> der Kunden (c0040) aus </w:t>
            </w:r>
            <w:r>
              <w:rPr>
                <w:b/>
              </w:rPr>
              <w:t>nationaler</w:t>
            </w:r>
            <w:r>
              <w:t xml:space="preserve"> Perspektive </w:t>
            </w:r>
            <w:r>
              <w:rPr>
                <w:i/>
              </w:rPr>
              <w:t>[auf Ebene des maßgeblichen Markts]</w:t>
            </w:r>
            <w:r>
              <w:t>:</w:t>
            </w:r>
          </w:p>
          <w:p w14:paraId="7FE1BB11" w14:textId="77777777" w:rsidR="00696584" w:rsidRDefault="002C4F63">
            <w:pPr>
              <w:pStyle w:val="P68B1DB1-ListParagraph32"/>
              <w:numPr>
                <w:ilvl w:val="1"/>
                <w:numId w:val="121"/>
              </w:numPr>
              <w:spacing w:line="276" w:lineRule="auto"/>
            </w:pPr>
            <w:r>
              <w:t>Wie hoch ist aus nationaler Sicht die geschätzte Gesamtzahl der Kunden des Instituts?</w:t>
            </w:r>
          </w:p>
          <w:p w14:paraId="7FE1BB17" w14:textId="77777777" w:rsidR="00696584" w:rsidRDefault="00696584">
            <w:pPr>
              <w:rPr>
                <w:rFonts w:ascii="Times New Roman" w:hAnsi="Times New Roman"/>
                <w:color w:val="000000" w:themeColor="text1"/>
                <w:sz w:val="20"/>
                <w:szCs w:val="20"/>
              </w:rPr>
            </w:pPr>
          </w:p>
        </w:tc>
      </w:tr>
      <w:tr w:rsidR="00696584" w14:paraId="7FE1BB22" w14:textId="77777777">
        <w:tc>
          <w:tcPr>
            <w:tcW w:w="1080" w:type="dxa"/>
            <w:tcBorders>
              <w:top w:val="single" w:sz="4" w:space="0" w:color="1A171C"/>
              <w:left w:val="nil"/>
              <w:bottom w:val="single" w:sz="4" w:space="0" w:color="1A171C"/>
              <w:right w:val="single" w:sz="4" w:space="0" w:color="1A171C"/>
            </w:tcBorders>
            <w:vAlign w:val="center"/>
          </w:tcPr>
          <w:p w14:paraId="7FE1BB19" w14:textId="68DEE50C" w:rsidR="00696584" w:rsidRDefault="002C4F63">
            <w:pPr>
              <w:pStyle w:val="P68B1DB1-TableParagraph17"/>
              <w:spacing w:before="108"/>
              <w:jc w:val="both"/>
            </w:pPr>
            <w:r>
              <w:t>0100</w:t>
            </w:r>
          </w:p>
        </w:tc>
        <w:tc>
          <w:tcPr>
            <w:tcW w:w="8003" w:type="dxa"/>
            <w:tcBorders>
              <w:top w:val="single" w:sz="4" w:space="0" w:color="1A171C"/>
              <w:left w:val="single" w:sz="4" w:space="0" w:color="1A171C"/>
              <w:bottom w:val="single" w:sz="4" w:space="0" w:color="1A171C"/>
              <w:right w:val="nil"/>
            </w:tcBorders>
            <w:vAlign w:val="center"/>
          </w:tcPr>
          <w:p w14:paraId="7FE1BB1A" w14:textId="77777777" w:rsidR="00696584" w:rsidRDefault="002C4F63">
            <w:pPr>
              <w:pStyle w:val="P68B1DB1-TableParagraph14"/>
              <w:spacing w:before="108"/>
              <w:jc w:val="both"/>
              <w:rPr>
                <w:bCs/>
              </w:rPr>
            </w:pPr>
            <w:r>
              <w:t>Indikator für den Auslandsbezug</w:t>
            </w:r>
          </w:p>
          <w:p w14:paraId="7FE1BB1B" w14:textId="77777777" w:rsidR="00696584" w:rsidRDefault="002C4F63">
            <w:pPr>
              <w:pStyle w:val="P68B1DB1-TableParagraph13"/>
              <w:spacing w:before="108"/>
            </w:pPr>
            <w:r>
              <w:t>Bitte geben Sie für die verschiedenen wirtschaftlichen Funktionen die relative Bedeutung grenzüberschreitender Aktivitäten an.</w:t>
            </w:r>
          </w:p>
          <w:p w14:paraId="7FE1BB1C" w14:textId="77777777" w:rsidR="00696584" w:rsidRDefault="002C4F63">
            <w:pPr>
              <w:pStyle w:val="P68B1DB1-TableParagraph13"/>
              <w:spacing w:before="108"/>
            </w:pPr>
            <w:r>
              <w:t xml:space="preserve">Diese Bewertung ist nicht bei Meldungen vorzunehmen, für die der maßgebliche Markt als regional betrachtet wird. </w:t>
            </w:r>
          </w:p>
          <w:p w14:paraId="7FE1BB1D" w14:textId="63915D85" w:rsidR="00696584" w:rsidRDefault="002C4F63">
            <w:pPr>
              <w:pStyle w:val="P68B1DB1-TableParagraph33"/>
              <w:spacing w:before="108"/>
              <w:jc w:val="both"/>
            </w:pPr>
            <w:r>
              <w:t xml:space="preserve">Zahl der EU-Staaten, in denen das meldende Unternehmen einen Marktanteil von mehr als 2 % hat (ausgedrückt als Wert der ausstehenden Kredite). </w:t>
            </w:r>
            <w:r w:rsidR="00D913E7">
              <w:t>Meldung</w:t>
            </w:r>
            <w:r>
              <w:t xml:space="preserve">: </w:t>
            </w:r>
          </w:p>
          <w:p w14:paraId="7FE1BB1E" w14:textId="5ABDB079" w:rsidR="00696584" w:rsidRDefault="002C4F63">
            <w:pPr>
              <w:pStyle w:val="P68B1DB1-TableParagraph33"/>
              <w:numPr>
                <w:ilvl w:val="0"/>
                <w:numId w:val="282"/>
              </w:numPr>
              <w:spacing w:before="108"/>
              <w:jc w:val="both"/>
            </w:pPr>
            <w:r>
              <w:t xml:space="preserve">≤ 1 Land; </w:t>
            </w:r>
          </w:p>
          <w:p w14:paraId="7FE1BB1F" w14:textId="1384F453" w:rsidR="00696584" w:rsidRDefault="002C4F63">
            <w:pPr>
              <w:pStyle w:val="P68B1DB1-TableParagraph33"/>
              <w:numPr>
                <w:ilvl w:val="0"/>
                <w:numId w:val="282"/>
              </w:numPr>
              <w:spacing w:before="108"/>
              <w:jc w:val="both"/>
            </w:pPr>
            <w:r>
              <w:t xml:space="preserve">2-3 Länder; </w:t>
            </w:r>
          </w:p>
          <w:p w14:paraId="7FE1BB20" w14:textId="3A280725" w:rsidR="00696584" w:rsidRDefault="002C4F63">
            <w:pPr>
              <w:pStyle w:val="P68B1DB1-TableParagraph33"/>
              <w:numPr>
                <w:ilvl w:val="0"/>
                <w:numId w:val="282"/>
              </w:numPr>
              <w:spacing w:before="108"/>
              <w:jc w:val="both"/>
            </w:pPr>
            <w:r>
              <w:t>4-5 Länder</w:t>
            </w:r>
            <w:r w:rsidR="00084FEA">
              <w:t>;</w:t>
            </w:r>
            <w:r>
              <w:t xml:space="preserve"> </w:t>
            </w:r>
          </w:p>
          <w:p w14:paraId="7FE1BB21" w14:textId="6E7B19E5" w:rsidR="00696584" w:rsidRDefault="002C4F63">
            <w:pPr>
              <w:pStyle w:val="P68B1DB1-TableParagraph33"/>
              <w:numPr>
                <w:ilvl w:val="0"/>
                <w:numId w:val="282"/>
              </w:numPr>
              <w:spacing w:before="108"/>
              <w:jc w:val="both"/>
              <w:rPr>
                <w:rFonts w:cs="Times New Roman"/>
                <w:color w:val="000000" w:themeColor="text1"/>
              </w:rPr>
            </w:pPr>
            <w:r>
              <w:t>&gt; 5 Länder.</w:t>
            </w:r>
          </w:p>
        </w:tc>
      </w:tr>
      <w:tr w:rsidR="00696584" w14:paraId="7FE1BB31" w14:textId="77777777">
        <w:tc>
          <w:tcPr>
            <w:tcW w:w="1080" w:type="dxa"/>
            <w:tcBorders>
              <w:top w:val="single" w:sz="4" w:space="0" w:color="1A171C"/>
              <w:left w:val="nil"/>
              <w:bottom w:val="single" w:sz="4" w:space="0" w:color="1A171C"/>
              <w:right w:val="single" w:sz="4" w:space="0" w:color="1A171C"/>
            </w:tcBorders>
            <w:vAlign w:val="center"/>
          </w:tcPr>
          <w:p w14:paraId="7FE1BB23" w14:textId="4A05DE2B" w:rsidR="00696584" w:rsidRDefault="002C4F63">
            <w:pPr>
              <w:pStyle w:val="P68B1DB1-TableParagraph17"/>
              <w:spacing w:before="108"/>
              <w:jc w:val="both"/>
            </w:pPr>
            <w:r>
              <w:t>0110</w:t>
            </w:r>
          </w:p>
        </w:tc>
        <w:tc>
          <w:tcPr>
            <w:tcW w:w="8003" w:type="dxa"/>
            <w:tcBorders>
              <w:top w:val="single" w:sz="4" w:space="0" w:color="1A171C"/>
              <w:left w:val="single" w:sz="4" w:space="0" w:color="1A171C"/>
              <w:bottom w:val="single" w:sz="4" w:space="0" w:color="1A171C"/>
              <w:right w:val="nil"/>
            </w:tcBorders>
            <w:vAlign w:val="center"/>
          </w:tcPr>
          <w:p w14:paraId="7FE1BB24" w14:textId="77777777" w:rsidR="00696584" w:rsidRDefault="002C4F63">
            <w:pPr>
              <w:pStyle w:val="P68B1DB1-TableParagraph13"/>
              <w:spacing w:before="108"/>
              <w:jc w:val="both"/>
            </w:pPr>
            <w:r>
              <w:rPr>
                <w:b/>
              </w:rPr>
              <w:t xml:space="preserve">Relevanz </w:t>
            </w:r>
            <w:r>
              <w:t xml:space="preserve">— </w:t>
            </w:r>
          </w:p>
          <w:p w14:paraId="7FE1BB25" w14:textId="77777777" w:rsidR="00696584" w:rsidRDefault="002C4F63">
            <w:pPr>
              <w:pStyle w:val="P68B1DB1-TableParagraph13"/>
              <w:spacing w:before="108"/>
              <w:jc w:val="both"/>
            </w:pPr>
            <w:r>
              <w:t>Auf lokaler, regionaler, nationaler oder europäischer Ebene, je nach betreffendem Markt. Die Bedeutung des Instituts kann auf Grundlage des Marktanteils, der bestehenden Verflechtungen, der Komplexität und der grenzüberschreitenden Tätigkeiten bewertet werden;</w:t>
            </w:r>
          </w:p>
          <w:p w14:paraId="7FE1BB26" w14:textId="77777777" w:rsidR="00696584" w:rsidRDefault="002C4F63">
            <w:pPr>
              <w:pStyle w:val="P68B1DB1-TableParagraph14"/>
              <w:spacing w:before="108"/>
              <w:jc w:val="both"/>
              <w:rPr>
                <w:bCs/>
              </w:rPr>
            </w:pPr>
            <w:r>
              <w:t>Marktanteil</w:t>
            </w:r>
          </w:p>
          <w:p w14:paraId="4A7FDA65" w14:textId="77777777" w:rsidR="00696584" w:rsidRDefault="002C4F63">
            <w:pPr>
              <w:pStyle w:val="P68B1DB1-Normal31"/>
              <w:spacing w:line="276" w:lineRule="auto"/>
              <w:jc w:val="both"/>
            </w:pPr>
            <w:r>
              <w:t xml:space="preserve">Beurteilen Sie, wie bedeutend der Marktanteil des meldenden Unternehmens ist, gemessen am nationalen oder maßgeblichen Markt, wie im Meldebogen vorgegeben. Diese Bewertung wird qualitativ wie folgt ausgedrückt: </w:t>
            </w:r>
          </w:p>
          <w:p w14:paraId="25EA33C7" w14:textId="77777777" w:rsidR="00696584" w:rsidRDefault="002C4F63">
            <w:pPr>
              <w:pStyle w:val="P68B1DB1-ListParagraph32"/>
              <w:numPr>
                <w:ilvl w:val="0"/>
                <w:numId w:val="276"/>
              </w:numPr>
              <w:spacing w:line="276" w:lineRule="auto"/>
              <w:jc w:val="both"/>
            </w:pPr>
            <w:r>
              <w:t>Hoch, wenn der Marktanteil groß ist</w:t>
            </w:r>
          </w:p>
          <w:p w14:paraId="24D12007" w14:textId="77777777" w:rsidR="00696584" w:rsidRDefault="002C4F63">
            <w:pPr>
              <w:pStyle w:val="P68B1DB1-ListParagraph32"/>
              <w:numPr>
                <w:ilvl w:val="0"/>
                <w:numId w:val="276"/>
              </w:numPr>
              <w:spacing w:line="276" w:lineRule="auto"/>
              <w:jc w:val="both"/>
            </w:pPr>
            <w:r>
              <w:t>Mittel-hoch, wenn der Marktanteil mittel ist</w:t>
            </w:r>
          </w:p>
          <w:p w14:paraId="05C67201" w14:textId="77777777" w:rsidR="00696584" w:rsidRDefault="002C4F63">
            <w:pPr>
              <w:pStyle w:val="P68B1DB1-ListParagraph32"/>
              <w:numPr>
                <w:ilvl w:val="0"/>
                <w:numId w:val="276"/>
              </w:numPr>
              <w:spacing w:line="276" w:lineRule="auto"/>
              <w:jc w:val="both"/>
            </w:pPr>
            <w:r>
              <w:lastRenderedPageBreak/>
              <w:t xml:space="preserve">Mittel-niedrig, wenn der Marktanteil gering ist oder </w:t>
            </w:r>
          </w:p>
          <w:p w14:paraId="29105274" w14:textId="77777777" w:rsidR="00696584" w:rsidRDefault="002C4F63">
            <w:pPr>
              <w:pStyle w:val="P68B1DB1-ListParagraph32"/>
              <w:numPr>
                <w:ilvl w:val="0"/>
                <w:numId w:val="276"/>
              </w:numPr>
              <w:spacing w:line="276" w:lineRule="auto"/>
              <w:jc w:val="both"/>
            </w:pPr>
            <w:r>
              <w:t xml:space="preserve">Gering, wenn der Marktanteil vernachlässigbar ist. </w:t>
            </w:r>
          </w:p>
          <w:p w14:paraId="7FE1BB2B" w14:textId="586F4387" w:rsidR="00696584" w:rsidRDefault="00696584">
            <w:pPr>
              <w:pStyle w:val="ListParagraph"/>
              <w:spacing w:line="276" w:lineRule="auto"/>
              <w:jc w:val="both"/>
              <w:rPr>
                <w:rFonts w:ascii="Times New Roman" w:eastAsiaTheme="minorHAnsi" w:hAnsi="Times New Roman"/>
                <w:color w:val="000000" w:themeColor="text1"/>
                <w:sz w:val="20"/>
                <w:szCs w:val="20"/>
              </w:rPr>
            </w:pPr>
          </w:p>
          <w:p w14:paraId="7FE1BB2C" w14:textId="64FD307F" w:rsidR="00696584" w:rsidRDefault="002C4F63">
            <w:pPr>
              <w:pStyle w:val="P68B1DB1-TableParagraph13"/>
              <w:spacing w:before="108"/>
            </w:pPr>
            <w:r>
              <w:t>Bei dieser Beurteilung sind die Marktstruktur des Landes des meldenden Unternehmens (oder eines anderen maßgeblichen Marktes) sowie die in Teil 2:</w:t>
            </w:r>
            <w:r w:rsidR="008D3FCE">
              <w:t xml:space="preserve"> </w:t>
            </w:r>
            <w:r>
              <w:t xml:space="preserve">Quantitative Daten gemeldeten Marktanteile zu berücksichtigen: </w:t>
            </w:r>
          </w:p>
          <w:p w14:paraId="7FE1BB2D" w14:textId="77777777" w:rsidR="00696584" w:rsidRDefault="002C4F63">
            <w:pPr>
              <w:pStyle w:val="P68B1DB1-TableParagraph13"/>
              <w:spacing w:before="108"/>
            </w:pPr>
            <w:r>
              <w:t>2.Quantitative Daten:</w:t>
            </w:r>
          </w:p>
          <w:p w14:paraId="7FE1BB2E" w14:textId="77777777" w:rsidR="00696584" w:rsidRDefault="002C4F63">
            <w:pPr>
              <w:pStyle w:val="P68B1DB1-ListParagraph32"/>
              <w:numPr>
                <w:ilvl w:val="0"/>
                <w:numId w:val="117"/>
              </w:numPr>
              <w:spacing w:line="276" w:lineRule="auto"/>
              <w:jc w:val="both"/>
              <w:rPr>
                <w:i/>
                <w:iCs/>
              </w:rPr>
            </w:pPr>
            <w:r>
              <w:t xml:space="preserve">Sachverständige Beurteilung der Größe des </w:t>
            </w:r>
            <w:r>
              <w:rPr>
                <w:b/>
              </w:rPr>
              <w:t xml:space="preserve">nationalen </w:t>
            </w:r>
            <w:r>
              <w:t>Marktanteils (gemeldet in c0020, außer in Fällen, in denen sich die Meldung auf ein anderes relevantes Marktniveau bezieht, in diesem Fall wird eine Beurteilung des relevanten Marktanteils erwartet).</w:t>
            </w:r>
          </w:p>
          <w:p w14:paraId="7FE1BB2F" w14:textId="77777777" w:rsidR="00696584" w:rsidRDefault="00696584">
            <w:pPr>
              <w:pStyle w:val="TableParagraph"/>
              <w:spacing w:before="108"/>
              <w:rPr>
                <w:rFonts w:ascii="Times New Roman" w:hAnsi="Times New Roman" w:cs="Times New Roman"/>
                <w:color w:val="000000" w:themeColor="text1"/>
                <w:sz w:val="20"/>
                <w:szCs w:val="20"/>
              </w:rPr>
            </w:pPr>
          </w:p>
          <w:p w14:paraId="7FE1BB30" w14:textId="77777777" w:rsidR="00696584" w:rsidRDefault="00696584">
            <w:pPr>
              <w:pStyle w:val="TableParagraph"/>
              <w:spacing w:before="108"/>
              <w:jc w:val="both"/>
              <w:rPr>
                <w:rFonts w:ascii="Times New Roman" w:hAnsi="Times New Roman" w:cs="Times New Roman"/>
                <w:color w:val="000000" w:themeColor="text1"/>
                <w:sz w:val="20"/>
                <w:szCs w:val="20"/>
              </w:rPr>
            </w:pPr>
          </w:p>
        </w:tc>
      </w:tr>
      <w:tr w:rsidR="00696584" w14:paraId="7FE1BB3D" w14:textId="77777777">
        <w:tc>
          <w:tcPr>
            <w:tcW w:w="1080" w:type="dxa"/>
            <w:tcBorders>
              <w:top w:val="single" w:sz="4" w:space="0" w:color="1A171C"/>
              <w:left w:val="nil"/>
              <w:bottom w:val="single" w:sz="4" w:space="0" w:color="1A171C"/>
              <w:right w:val="single" w:sz="4" w:space="0" w:color="1A171C"/>
            </w:tcBorders>
            <w:vAlign w:val="center"/>
          </w:tcPr>
          <w:p w14:paraId="7FE1BB32" w14:textId="3F7E8117" w:rsidR="00696584" w:rsidRDefault="002C4F63">
            <w:pPr>
              <w:pStyle w:val="P68B1DB1-TableParagraph17"/>
              <w:spacing w:before="108"/>
              <w:jc w:val="both"/>
            </w:pPr>
            <w:r>
              <w:lastRenderedPageBreak/>
              <w:t>0120</w:t>
            </w:r>
          </w:p>
        </w:tc>
        <w:tc>
          <w:tcPr>
            <w:tcW w:w="8003" w:type="dxa"/>
            <w:tcBorders>
              <w:top w:val="single" w:sz="4" w:space="0" w:color="1A171C"/>
              <w:left w:val="single" w:sz="4" w:space="0" w:color="1A171C"/>
              <w:bottom w:val="single" w:sz="4" w:space="0" w:color="1A171C"/>
              <w:right w:val="nil"/>
            </w:tcBorders>
            <w:vAlign w:val="center"/>
          </w:tcPr>
          <w:p w14:paraId="7FE1BB33" w14:textId="77777777" w:rsidR="00696584" w:rsidRDefault="002C4F63">
            <w:pPr>
              <w:pStyle w:val="P68B1DB1-TableParagraph14"/>
              <w:spacing w:before="108"/>
              <w:jc w:val="both"/>
              <w:rPr>
                <w:bCs/>
              </w:rPr>
            </w:pPr>
            <w:r>
              <w:t>Marktstruktur – Marktkonzentration</w:t>
            </w:r>
          </w:p>
          <w:p w14:paraId="7FE1BB34" w14:textId="77777777" w:rsidR="00696584" w:rsidRDefault="002C4F63">
            <w:pPr>
              <w:pStyle w:val="P68B1DB1-TableParagraph13"/>
              <w:spacing w:before="108"/>
            </w:pPr>
            <w:r>
              <w:t xml:space="preserve">Marktkonzentration, gemessen an der Zahl der derzeit tätigen Wettbewerber </w:t>
            </w:r>
          </w:p>
          <w:p w14:paraId="7FE1BB35" w14:textId="77777777" w:rsidR="00696584" w:rsidRDefault="002C4F63">
            <w:pPr>
              <w:pStyle w:val="P68B1DB1-TableParagraph13"/>
              <w:spacing w:before="108"/>
            </w:pPr>
            <w:r>
              <w:t xml:space="preserve">ähnliche wirtschaftliche Funktionen und/oder ähnliche Dienstleistungen zu gleichen Bedingungen anbieten (d. h. </w:t>
            </w:r>
          </w:p>
          <w:p w14:paraId="7FE1BB36" w14:textId="77777777" w:rsidR="00696584" w:rsidRDefault="002C4F63">
            <w:pPr>
              <w:pStyle w:val="P68B1DB1-TableParagraph13"/>
              <w:spacing w:before="108"/>
            </w:pPr>
            <w:r>
              <w:t xml:space="preserve">vergleichbarer Umfang und Qualität sowie zu vergleichbaren Kosten) </w:t>
            </w:r>
          </w:p>
          <w:p w14:paraId="7FE1BB37" w14:textId="2CA6F394" w:rsidR="00696584" w:rsidRDefault="002C4F63">
            <w:pPr>
              <w:pStyle w:val="P68B1DB1-TableParagraph13"/>
              <w:spacing w:before="108"/>
            </w:pPr>
            <w:r>
              <w:t xml:space="preserve">(Teil) der Kunden und/oder Geschäfte des </w:t>
            </w:r>
            <w:r w:rsidR="006F02B1">
              <w:t xml:space="preserve">meldenden </w:t>
            </w:r>
            <w:r>
              <w:t xml:space="preserve">Unternehmens innerhalb eines angemessenen Zeitrahmens. </w:t>
            </w:r>
          </w:p>
          <w:p w14:paraId="7FE1BB38" w14:textId="77777777" w:rsidR="00696584" w:rsidRDefault="002C4F63">
            <w:pPr>
              <w:pStyle w:val="P68B1DB1-TableParagraph13"/>
              <w:spacing w:before="108"/>
            </w:pPr>
            <w:r>
              <w:t xml:space="preserve">Dies ist in Meldekategorien anzugeben, welche für die einzelnen Unterfunktionen gleich sind. </w:t>
            </w:r>
          </w:p>
          <w:p w14:paraId="6E06F623" w14:textId="77777777" w:rsidR="00696584" w:rsidRDefault="002C4F63">
            <w:pPr>
              <w:pStyle w:val="P68B1DB1-ListParagraph32"/>
              <w:numPr>
                <w:ilvl w:val="0"/>
                <w:numId w:val="277"/>
              </w:numPr>
              <w:jc w:val="both"/>
            </w:pPr>
            <w:r>
              <w:t xml:space="preserve">&gt; 20 Wettbewerber; </w:t>
            </w:r>
          </w:p>
          <w:p w14:paraId="1C1D9521" w14:textId="77777777" w:rsidR="00696584" w:rsidRDefault="002C4F63">
            <w:pPr>
              <w:pStyle w:val="P68B1DB1-ListParagraph32"/>
              <w:numPr>
                <w:ilvl w:val="0"/>
                <w:numId w:val="277"/>
              </w:numPr>
              <w:jc w:val="both"/>
            </w:pPr>
            <w:r>
              <w:t xml:space="preserve">11-20 Wettbewerber; </w:t>
            </w:r>
          </w:p>
          <w:p w14:paraId="35EEC292" w14:textId="77777777" w:rsidR="00696584" w:rsidRDefault="002C4F63">
            <w:pPr>
              <w:pStyle w:val="P68B1DB1-ListParagraph32"/>
              <w:numPr>
                <w:ilvl w:val="0"/>
                <w:numId w:val="277"/>
              </w:numPr>
              <w:jc w:val="both"/>
            </w:pPr>
            <w:r>
              <w:t xml:space="preserve">5 oder mehr, jedoch nicht mehr als 10 Konkurrenten; </w:t>
            </w:r>
          </w:p>
          <w:p w14:paraId="23AB1BA1" w14:textId="1BDB4624" w:rsidR="00696584" w:rsidRDefault="009275AB">
            <w:pPr>
              <w:pStyle w:val="P68B1DB1-ListParagraph32"/>
              <w:numPr>
                <w:ilvl w:val="0"/>
                <w:numId w:val="277"/>
              </w:numPr>
              <w:jc w:val="both"/>
              <w:rPr>
                <w:b/>
                <w:bCs/>
                <w:color w:val="000000" w:themeColor="text1"/>
              </w:rPr>
            </w:pPr>
            <w:r>
              <w:t>&lt;5</w:t>
            </w:r>
            <w:r w:rsidR="002C4F63">
              <w:t xml:space="preserve"> Wettbewerber</w:t>
            </w:r>
          </w:p>
          <w:p w14:paraId="7FE1BB3C" w14:textId="356BF98D" w:rsidR="00696584" w:rsidRDefault="00696584">
            <w:pPr>
              <w:jc w:val="both"/>
              <w:rPr>
                <w:rFonts w:ascii="Times New Roman" w:hAnsi="Times New Roman"/>
                <w:color w:val="000000" w:themeColor="text1"/>
                <w:sz w:val="20"/>
                <w:szCs w:val="20"/>
              </w:rPr>
            </w:pPr>
          </w:p>
        </w:tc>
      </w:tr>
      <w:tr w:rsidR="00696584" w14:paraId="7FE1BB49" w14:textId="77777777">
        <w:tc>
          <w:tcPr>
            <w:tcW w:w="1080" w:type="dxa"/>
            <w:tcBorders>
              <w:top w:val="single" w:sz="4" w:space="0" w:color="1A171C"/>
              <w:left w:val="nil"/>
              <w:bottom w:val="single" w:sz="4" w:space="0" w:color="1A171C"/>
              <w:right w:val="single" w:sz="4" w:space="0" w:color="1A171C"/>
            </w:tcBorders>
            <w:vAlign w:val="center"/>
          </w:tcPr>
          <w:p w14:paraId="7FE1BB3E" w14:textId="0A51607B" w:rsidR="00696584" w:rsidRDefault="002C4F63">
            <w:pPr>
              <w:pStyle w:val="P68B1DB1-TableParagraph17"/>
              <w:spacing w:before="108"/>
              <w:jc w:val="both"/>
            </w:pPr>
            <w:r>
              <w:t>0130</w:t>
            </w:r>
          </w:p>
        </w:tc>
        <w:tc>
          <w:tcPr>
            <w:tcW w:w="8003" w:type="dxa"/>
            <w:tcBorders>
              <w:top w:val="single" w:sz="4" w:space="0" w:color="1A171C"/>
              <w:left w:val="single" w:sz="4" w:space="0" w:color="1A171C"/>
              <w:bottom w:val="single" w:sz="4" w:space="0" w:color="1A171C"/>
              <w:right w:val="nil"/>
            </w:tcBorders>
            <w:vAlign w:val="center"/>
          </w:tcPr>
          <w:p w14:paraId="7FE1BB3F" w14:textId="77777777" w:rsidR="00696584" w:rsidRDefault="002C4F63">
            <w:pPr>
              <w:pStyle w:val="P68B1DB1-TableParagraph14"/>
              <w:spacing w:before="108"/>
              <w:jc w:val="both"/>
              <w:rPr>
                <w:bCs/>
              </w:rPr>
            </w:pPr>
            <w:r>
              <w:t>Timing – Voraussichtliche Zeit bis zur Substitution</w:t>
            </w:r>
          </w:p>
          <w:p w14:paraId="7FE1BB40" w14:textId="1D9DF5EE" w:rsidR="00696584" w:rsidRDefault="002C4F63">
            <w:pPr>
              <w:pStyle w:val="P68B1DB1-TableParagraph13"/>
              <w:spacing w:before="108"/>
            </w:pPr>
            <w:r>
              <w:t>Schätzung des Zeitaufwands</w:t>
            </w:r>
            <w:r w:rsidR="008D3FCE">
              <w:t xml:space="preserve"> der</w:t>
            </w:r>
            <w:r>
              <w:t xml:space="preserve"> für </w:t>
            </w:r>
            <w:r w:rsidR="008D3FCE">
              <w:t>eine Marktabsorption der</w:t>
            </w:r>
            <w:r>
              <w:t xml:space="preserve"> in der </w:t>
            </w:r>
            <w:r w:rsidR="003139A0">
              <w:t xml:space="preserve">Meldung </w:t>
            </w:r>
            <w:r>
              <w:t>angegebene</w:t>
            </w:r>
            <w:r w:rsidR="008D3FCE">
              <w:t>n</w:t>
            </w:r>
            <w:r>
              <w:t xml:space="preserve"> wirtschaftliche</w:t>
            </w:r>
            <w:r w:rsidR="008D3FCE">
              <w:t>n</w:t>
            </w:r>
            <w:r>
              <w:t xml:space="preserve"> Funktion</w:t>
            </w:r>
            <w:r w:rsidR="008D3FCE">
              <w:t xml:space="preserve"> erforderlich ist.</w:t>
            </w:r>
          </w:p>
          <w:p w14:paraId="7FE1BB41" w14:textId="77777777" w:rsidR="00696584" w:rsidRDefault="002C4F63">
            <w:pPr>
              <w:pStyle w:val="P68B1DB1-TableParagraph13"/>
              <w:spacing w:before="108"/>
            </w:pPr>
            <w:r>
              <w:t xml:space="preserve">Unternehmen, das in einer Krisensituation vom Markt absorbiert werden soll. Dies beinhaltet </w:t>
            </w:r>
          </w:p>
          <w:p w14:paraId="7FE1BB42" w14:textId="77777777" w:rsidR="00696584" w:rsidRDefault="002C4F63">
            <w:pPr>
              <w:pStyle w:val="P68B1DB1-ListParagraph38"/>
              <w:numPr>
                <w:ilvl w:val="0"/>
                <w:numId w:val="274"/>
              </w:numPr>
              <w:jc w:val="both"/>
            </w:pPr>
            <w:r>
              <w:t xml:space="preserve">der für einen oder mehrere Konkurrenten erforderliche Zeitaufwand für die Schaffung der rechtlichen und technischen Voraussetzungen für die Übernahme der Funktion; sowie  </w:t>
            </w:r>
          </w:p>
          <w:p w14:paraId="7FE1BB43" w14:textId="77777777" w:rsidR="00696584" w:rsidRDefault="002C4F63">
            <w:pPr>
              <w:pStyle w:val="P68B1DB1-ListParagraph38"/>
              <w:numPr>
                <w:ilvl w:val="0"/>
                <w:numId w:val="274"/>
              </w:numPr>
              <w:jc w:val="both"/>
            </w:pPr>
            <w:r>
              <w:t xml:space="preserve">der für die Nutzer des Dienstes erforderliche Zeitaufwand für den Wechsel zu einem anderen Anbieter. </w:t>
            </w:r>
          </w:p>
          <w:p w14:paraId="7FE1BB44" w14:textId="77777777" w:rsidR="00696584" w:rsidRDefault="00696584">
            <w:pPr>
              <w:pStyle w:val="TableParagraph"/>
              <w:spacing w:before="108"/>
              <w:rPr>
                <w:rFonts w:ascii="Times New Roman" w:hAnsi="Times New Roman" w:cs="Times New Roman"/>
                <w:color w:val="000000" w:themeColor="text1"/>
                <w:sz w:val="20"/>
                <w:szCs w:val="20"/>
              </w:rPr>
            </w:pPr>
          </w:p>
          <w:p w14:paraId="7FE1BB45" w14:textId="77777777" w:rsidR="00696584" w:rsidRDefault="002C4F63">
            <w:pPr>
              <w:pStyle w:val="P68B1DB1-TableParagraph13"/>
              <w:spacing w:before="108"/>
            </w:pPr>
            <w:r>
              <w:t xml:space="preserve">Bei der Kreditvergabe beispielsweise bezieht sich dies nicht auf eine Abwicklung des ausstehenden Portfolios oder die Übertragung dieses Portfolios auf einen potenziellen Käufer, sondern auf die Fähigkeit privater Unternehmen und Staaten, ähnliche Kredite von anderen Anbietern zu erhalten. </w:t>
            </w:r>
          </w:p>
          <w:p w14:paraId="7FE1BB46" w14:textId="77777777" w:rsidR="00696584" w:rsidRDefault="00696584">
            <w:pPr>
              <w:pStyle w:val="TableParagraph"/>
              <w:spacing w:before="108"/>
              <w:rPr>
                <w:rFonts w:ascii="Times New Roman" w:hAnsi="Times New Roman" w:cs="Times New Roman"/>
                <w:color w:val="000000" w:themeColor="text1"/>
                <w:sz w:val="20"/>
                <w:szCs w:val="20"/>
              </w:rPr>
            </w:pPr>
          </w:p>
          <w:p w14:paraId="7FE1BB47" w14:textId="77777777" w:rsidR="00696584" w:rsidRDefault="002C4F63">
            <w:pPr>
              <w:pStyle w:val="P68B1DB1-TableParagraph13"/>
              <w:spacing w:before="108"/>
            </w:pPr>
            <w:r>
              <w:t>Als Näherungswert kann angegeben werden, wie lange es nach eigenen Schätzungen dauern würde, einen von einem anderen Institut angebotenen Dienst im Krisenfall zu angemessenen Kosten ganz (oder zum Teil) ins eigene Geschäft einzugliedern. Geben Sie die geschätzte Zeit bis zur Substitution in den in der Vorlage angegebenen Unterklassen an:</w:t>
            </w:r>
          </w:p>
          <w:p w14:paraId="7FE1BB48" w14:textId="77777777" w:rsidR="00696584" w:rsidRDefault="00696584">
            <w:pPr>
              <w:pStyle w:val="TableParagraph"/>
              <w:spacing w:before="108"/>
              <w:rPr>
                <w:rFonts w:ascii="Times New Roman" w:hAnsi="Times New Roman" w:cs="Times New Roman"/>
                <w:color w:val="000000" w:themeColor="text1"/>
                <w:sz w:val="20"/>
                <w:szCs w:val="20"/>
              </w:rPr>
            </w:pPr>
          </w:p>
        </w:tc>
      </w:tr>
      <w:tr w:rsidR="00696584" w14:paraId="7FE1BB4C" w14:textId="77777777">
        <w:tc>
          <w:tcPr>
            <w:tcW w:w="1080" w:type="dxa"/>
            <w:tcBorders>
              <w:top w:val="single" w:sz="4" w:space="0" w:color="1A171C"/>
              <w:left w:val="nil"/>
              <w:bottom w:val="single" w:sz="4" w:space="0" w:color="1A171C"/>
              <w:right w:val="single" w:sz="4" w:space="0" w:color="1A171C"/>
            </w:tcBorders>
            <w:vAlign w:val="center"/>
          </w:tcPr>
          <w:p w14:paraId="7FE1BB4A" w14:textId="623B502D" w:rsidR="00696584" w:rsidRDefault="002C4F63">
            <w:pPr>
              <w:pStyle w:val="P68B1DB1-TableParagraph17"/>
              <w:spacing w:before="108"/>
              <w:jc w:val="both"/>
            </w:pPr>
            <w:r>
              <w:lastRenderedPageBreak/>
              <w:t>0140 – 0150</w:t>
            </w:r>
          </w:p>
        </w:tc>
        <w:tc>
          <w:tcPr>
            <w:tcW w:w="8003" w:type="dxa"/>
            <w:tcBorders>
              <w:top w:val="single" w:sz="4" w:space="0" w:color="1A171C"/>
              <w:left w:val="single" w:sz="4" w:space="0" w:color="1A171C"/>
              <w:bottom w:val="single" w:sz="4" w:space="0" w:color="1A171C"/>
              <w:right w:val="nil"/>
            </w:tcBorders>
            <w:vAlign w:val="center"/>
          </w:tcPr>
          <w:p w14:paraId="7FE1BB4B" w14:textId="77777777" w:rsidR="00696584" w:rsidRDefault="002C4F63">
            <w:pPr>
              <w:pStyle w:val="P68B1DB1-TableParagraph14"/>
              <w:spacing w:before="108"/>
              <w:jc w:val="both"/>
              <w:rPr>
                <w:bCs/>
              </w:rPr>
            </w:pPr>
            <w:r>
              <w:t>Substituierbarkeit</w:t>
            </w:r>
          </w:p>
        </w:tc>
      </w:tr>
      <w:tr w:rsidR="00696584" w14:paraId="7FE1BB56" w14:textId="77777777">
        <w:tc>
          <w:tcPr>
            <w:tcW w:w="1080" w:type="dxa"/>
            <w:tcBorders>
              <w:top w:val="single" w:sz="4" w:space="0" w:color="1A171C"/>
              <w:left w:val="nil"/>
              <w:bottom w:val="single" w:sz="4" w:space="0" w:color="1A171C"/>
              <w:right w:val="single" w:sz="4" w:space="0" w:color="1A171C"/>
            </w:tcBorders>
            <w:vAlign w:val="center"/>
          </w:tcPr>
          <w:p w14:paraId="7FE1BB4D" w14:textId="187FC1D1" w:rsidR="00696584" w:rsidRDefault="002C4F63">
            <w:pPr>
              <w:pStyle w:val="P68B1DB1-TableParagraph17"/>
              <w:spacing w:before="108"/>
              <w:jc w:val="both"/>
            </w:pPr>
            <w:r>
              <w:t>0140</w:t>
            </w:r>
          </w:p>
        </w:tc>
        <w:tc>
          <w:tcPr>
            <w:tcW w:w="8003" w:type="dxa"/>
            <w:tcBorders>
              <w:top w:val="single" w:sz="4" w:space="0" w:color="1A171C"/>
              <w:left w:val="single" w:sz="4" w:space="0" w:color="1A171C"/>
              <w:bottom w:val="single" w:sz="4" w:space="0" w:color="1A171C"/>
              <w:right w:val="nil"/>
            </w:tcBorders>
            <w:vAlign w:val="center"/>
          </w:tcPr>
          <w:p w14:paraId="7FE1BB4E" w14:textId="77777777" w:rsidR="00696584" w:rsidRDefault="002C4F63">
            <w:pPr>
              <w:pStyle w:val="P68B1DB1-TableParagraph14"/>
              <w:spacing w:before="108"/>
              <w:rPr>
                <w:bCs/>
              </w:rPr>
            </w:pPr>
            <w:r>
              <w:t>Rechtliche Hindernisse für Markteintritt oder Markterweiterung</w:t>
            </w:r>
          </w:p>
          <w:p w14:paraId="7FE1BB4F" w14:textId="77777777" w:rsidR="00696584" w:rsidRDefault="00696584">
            <w:pPr>
              <w:pStyle w:val="TableParagraph"/>
              <w:spacing w:before="108"/>
              <w:rPr>
                <w:rFonts w:ascii="Times New Roman" w:hAnsi="Times New Roman" w:cs="Times New Roman"/>
                <w:color w:val="000000" w:themeColor="text1"/>
                <w:sz w:val="20"/>
                <w:szCs w:val="20"/>
              </w:rPr>
            </w:pPr>
          </w:p>
          <w:p w14:paraId="7FE1BB50" w14:textId="77777777" w:rsidR="00696584" w:rsidRDefault="002C4F63">
            <w:pPr>
              <w:pStyle w:val="P68B1DB1-TableParagraph13"/>
              <w:spacing w:before="108"/>
            </w:pPr>
            <w:r>
              <w:t xml:space="preserve">Rechtliche Hindernisse, die der Erbringung der Dienstleistung durch Konkurrenten entgegenstehen. Rechtliche Voraussetzungen für die Vornahme des Geschäfts eines Kreditinstituts (z. B. Bankzulassungen oder Kapitalanforderungen) sind, wenn es alternative Anbieter gibt, nicht als unüberwindliche Hindernisse anzusehen. Dieser Indikator ist in Meldekategorien anzugeben, welche für jede Unterfunktion gleich sind: </w:t>
            </w:r>
          </w:p>
          <w:p w14:paraId="7FE1BB51" w14:textId="068F91A0" w:rsidR="00696584" w:rsidRDefault="002C4F63">
            <w:pPr>
              <w:pStyle w:val="P68B1DB1-ListParagraph39"/>
              <w:numPr>
                <w:ilvl w:val="0"/>
                <w:numId w:val="275"/>
              </w:numPr>
              <w:jc w:val="both"/>
            </w:pPr>
            <w:r>
              <w:t xml:space="preserve">keine größeren Hindernisse, </w:t>
            </w:r>
          </w:p>
          <w:p w14:paraId="7FE1BB52" w14:textId="6D8354EB" w:rsidR="00696584" w:rsidRDefault="002C4F63">
            <w:pPr>
              <w:pStyle w:val="P68B1DB1-ListParagraph39"/>
              <w:numPr>
                <w:ilvl w:val="0"/>
                <w:numId w:val="275"/>
              </w:numPr>
              <w:jc w:val="both"/>
            </w:pPr>
            <w:r>
              <w:t xml:space="preserve">einige Hindernisse, </w:t>
            </w:r>
          </w:p>
          <w:p w14:paraId="7FE1BB53" w14:textId="1BC21AC5" w:rsidR="00696584" w:rsidRDefault="002C4F63">
            <w:pPr>
              <w:pStyle w:val="P68B1DB1-ListParagraph39"/>
              <w:numPr>
                <w:ilvl w:val="0"/>
                <w:numId w:val="275"/>
              </w:numPr>
              <w:jc w:val="both"/>
            </w:pPr>
            <w:r>
              <w:t xml:space="preserve">erhebliche (aber überwindbare) Barrieren, </w:t>
            </w:r>
          </w:p>
          <w:p w14:paraId="7FE1BB55" w14:textId="539429F5" w:rsidR="00696584" w:rsidRDefault="002C4F63">
            <w:pPr>
              <w:pStyle w:val="P68B1DB1-ListParagraph8"/>
              <w:numPr>
                <w:ilvl w:val="0"/>
                <w:numId w:val="275"/>
              </w:numPr>
              <w:jc w:val="both"/>
            </w:pPr>
            <w:r>
              <w:t>kritische (schwierige, zu überwindende) Barrieren.</w:t>
            </w:r>
          </w:p>
        </w:tc>
      </w:tr>
      <w:tr w:rsidR="00696584" w14:paraId="7FE1BB65" w14:textId="77777777">
        <w:tc>
          <w:tcPr>
            <w:tcW w:w="1080" w:type="dxa"/>
            <w:tcBorders>
              <w:top w:val="single" w:sz="4" w:space="0" w:color="1A171C"/>
              <w:left w:val="nil"/>
              <w:bottom w:val="single" w:sz="4" w:space="0" w:color="1A171C"/>
              <w:right w:val="single" w:sz="4" w:space="0" w:color="1A171C"/>
            </w:tcBorders>
            <w:vAlign w:val="center"/>
          </w:tcPr>
          <w:p w14:paraId="7FE1BB57" w14:textId="761A85F3" w:rsidR="00696584" w:rsidRDefault="002C4F63">
            <w:pPr>
              <w:pStyle w:val="P68B1DB1-TableParagraph17"/>
              <w:spacing w:before="108"/>
              <w:jc w:val="both"/>
            </w:pPr>
            <w:r>
              <w:t>0150</w:t>
            </w:r>
          </w:p>
        </w:tc>
        <w:tc>
          <w:tcPr>
            <w:tcW w:w="8003" w:type="dxa"/>
            <w:tcBorders>
              <w:top w:val="single" w:sz="4" w:space="0" w:color="1A171C"/>
              <w:left w:val="single" w:sz="4" w:space="0" w:color="1A171C"/>
              <w:bottom w:val="single" w:sz="4" w:space="0" w:color="1A171C"/>
              <w:right w:val="nil"/>
            </w:tcBorders>
            <w:vAlign w:val="center"/>
          </w:tcPr>
          <w:p w14:paraId="7FE1BB58" w14:textId="77777777" w:rsidR="00696584" w:rsidRDefault="002C4F63">
            <w:pPr>
              <w:pStyle w:val="P68B1DB1-TableParagraph14"/>
              <w:spacing w:before="108"/>
              <w:rPr>
                <w:bCs/>
              </w:rPr>
            </w:pPr>
            <w:r>
              <w:t>Praktische Anforderungen für den Markteintritt oder die Markterweiterung</w:t>
            </w:r>
          </w:p>
          <w:p w14:paraId="7FE1BB59" w14:textId="77777777" w:rsidR="00696584" w:rsidRDefault="00696584">
            <w:pPr>
              <w:pStyle w:val="TableParagraph"/>
              <w:spacing w:before="108"/>
              <w:rPr>
                <w:rFonts w:ascii="Times New Roman" w:hAnsi="Times New Roman" w:cs="Times New Roman"/>
                <w:color w:val="000000" w:themeColor="text1"/>
                <w:sz w:val="20"/>
                <w:szCs w:val="20"/>
              </w:rPr>
            </w:pPr>
          </w:p>
          <w:p w14:paraId="7FE1BB5A" w14:textId="7291B555" w:rsidR="00696584" w:rsidRDefault="002C4F63">
            <w:pPr>
              <w:pStyle w:val="P68B1DB1-TableParagraph13"/>
              <w:spacing w:before="108"/>
            </w:pPr>
            <w:r>
              <w:t xml:space="preserve">Anforderungen im Hinblick auf Organisation, Technik und Infrastruktur, die Konkurrenten, die die Dienstleistung anbieten möchten, erfüllen müssen: Wer die Dienstleistungen der (Unter-)Funktion anbieten möchte, muss in (neue oder zusätzliche) Infrastruktur investieren – oder seine Organisation ändern. Bewertung der Fähigkeit des Marktes, das betreffende Geschäft aufzunehmen. </w:t>
            </w:r>
          </w:p>
          <w:p w14:paraId="7FE1BB5B" w14:textId="77777777" w:rsidR="00696584" w:rsidRDefault="002C4F63">
            <w:pPr>
              <w:pStyle w:val="P68B1DB1-TableParagraph13"/>
              <w:spacing w:before="108"/>
            </w:pPr>
            <w:r>
              <w:t xml:space="preserve">Dieser Indikator ist in Meldekategorien anzugeben, welche für jede Unterfunktion gleich sind: </w:t>
            </w:r>
          </w:p>
          <w:p w14:paraId="7FE1BB5C" w14:textId="7C8E68F5" w:rsidR="00696584" w:rsidRDefault="002C4F63">
            <w:pPr>
              <w:pStyle w:val="P68B1DB1-ListParagraph39"/>
              <w:numPr>
                <w:ilvl w:val="0"/>
                <w:numId w:val="278"/>
              </w:numPr>
              <w:jc w:val="both"/>
            </w:pPr>
            <w:r>
              <w:t xml:space="preserve">keine wesentlichen Anforderungen, </w:t>
            </w:r>
          </w:p>
          <w:p w14:paraId="7FE1BB5D" w14:textId="227F4B1C" w:rsidR="00696584" w:rsidRDefault="002C4F63">
            <w:pPr>
              <w:pStyle w:val="P68B1DB1-ListParagraph39"/>
              <w:numPr>
                <w:ilvl w:val="0"/>
                <w:numId w:val="278"/>
              </w:numPr>
              <w:jc w:val="both"/>
            </w:pPr>
            <w:r>
              <w:t xml:space="preserve">einige Anforderungen, </w:t>
            </w:r>
          </w:p>
          <w:p w14:paraId="7FE1BB5E" w14:textId="11C740DB" w:rsidR="00696584" w:rsidRDefault="002C4F63">
            <w:pPr>
              <w:pStyle w:val="P68B1DB1-ListParagraph39"/>
              <w:numPr>
                <w:ilvl w:val="0"/>
                <w:numId w:val="278"/>
              </w:numPr>
              <w:jc w:val="both"/>
            </w:pPr>
            <w:r>
              <w:t xml:space="preserve">wesentliche (aber überwindbare) Anforderungen, </w:t>
            </w:r>
          </w:p>
          <w:p w14:paraId="7FE1BB5F" w14:textId="701458A3" w:rsidR="00696584" w:rsidRDefault="002C4F63">
            <w:pPr>
              <w:pStyle w:val="P68B1DB1-ListParagraph39"/>
              <w:numPr>
                <w:ilvl w:val="0"/>
                <w:numId w:val="278"/>
              </w:numPr>
              <w:jc w:val="both"/>
            </w:pPr>
            <w:r>
              <w:t>kritische Anforderungen (schwierig zu überfüllen).</w:t>
            </w:r>
          </w:p>
          <w:p w14:paraId="7FE1BB64" w14:textId="7064EEB7" w:rsidR="00696584" w:rsidRDefault="002C4F63">
            <w:pPr>
              <w:pStyle w:val="P68B1DB1-TableParagraph40"/>
              <w:spacing w:before="108"/>
              <w:ind w:left="720"/>
              <w:jc w:val="both"/>
              <w:rPr>
                <w:color w:val="000000" w:themeColor="text1"/>
              </w:rPr>
            </w:pPr>
            <w:r>
              <w:t xml:space="preserve"> </w:t>
            </w:r>
          </w:p>
        </w:tc>
      </w:tr>
      <w:tr w:rsidR="00696584" w14:paraId="7FE1BB68" w14:textId="77777777">
        <w:tc>
          <w:tcPr>
            <w:tcW w:w="1080" w:type="dxa"/>
            <w:tcBorders>
              <w:top w:val="single" w:sz="4" w:space="0" w:color="1A171C"/>
              <w:left w:val="nil"/>
              <w:bottom w:val="single" w:sz="4" w:space="0" w:color="1A171C"/>
              <w:right w:val="single" w:sz="4" w:space="0" w:color="1A171C"/>
            </w:tcBorders>
            <w:vAlign w:val="center"/>
          </w:tcPr>
          <w:p w14:paraId="7FE1BB66" w14:textId="4C88941E" w:rsidR="00696584" w:rsidRDefault="002C4F63">
            <w:pPr>
              <w:pStyle w:val="P68B1DB1-TableParagraph17"/>
              <w:spacing w:before="108"/>
              <w:jc w:val="both"/>
            </w:pPr>
            <w:r>
              <w:t>0160 – 0180</w:t>
            </w:r>
          </w:p>
        </w:tc>
        <w:tc>
          <w:tcPr>
            <w:tcW w:w="8003" w:type="dxa"/>
            <w:tcBorders>
              <w:top w:val="single" w:sz="4" w:space="0" w:color="1A171C"/>
              <w:left w:val="single" w:sz="4" w:space="0" w:color="1A171C"/>
              <w:bottom w:val="single" w:sz="4" w:space="0" w:color="1A171C"/>
              <w:right w:val="nil"/>
            </w:tcBorders>
            <w:vAlign w:val="center"/>
          </w:tcPr>
          <w:p w14:paraId="7FE1BB67" w14:textId="77777777" w:rsidR="00696584" w:rsidRDefault="002C4F63">
            <w:pPr>
              <w:pStyle w:val="P68B1DB1-TableParagraph14"/>
              <w:spacing w:before="108"/>
              <w:rPr>
                <w:bCs/>
              </w:rPr>
            </w:pPr>
            <w:r>
              <w:t>Wesentlichkeit</w:t>
            </w:r>
          </w:p>
        </w:tc>
      </w:tr>
      <w:tr w:rsidR="00696584" w14:paraId="7FE1BB6E" w14:textId="77777777">
        <w:tc>
          <w:tcPr>
            <w:tcW w:w="1080" w:type="dxa"/>
            <w:tcBorders>
              <w:top w:val="single" w:sz="4" w:space="0" w:color="1A171C"/>
              <w:left w:val="nil"/>
              <w:bottom w:val="single" w:sz="4" w:space="0" w:color="1A171C"/>
              <w:right w:val="single" w:sz="4" w:space="0" w:color="1A171C"/>
            </w:tcBorders>
            <w:vAlign w:val="center"/>
          </w:tcPr>
          <w:p w14:paraId="7FE1BB69" w14:textId="2EA729ED" w:rsidR="00696584" w:rsidRDefault="002C4F63">
            <w:pPr>
              <w:pStyle w:val="P68B1DB1-TableParagraph17"/>
              <w:spacing w:before="108"/>
              <w:jc w:val="both"/>
            </w:pPr>
            <w:r>
              <w:t>0160</w:t>
            </w:r>
          </w:p>
        </w:tc>
        <w:tc>
          <w:tcPr>
            <w:tcW w:w="8003" w:type="dxa"/>
            <w:tcBorders>
              <w:top w:val="single" w:sz="4" w:space="0" w:color="1A171C"/>
              <w:left w:val="single" w:sz="4" w:space="0" w:color="1A171C"/>
              <w:bottom w:val="single" w:sz="4" w:space="0" w:color="1A171C"/>
              <w:right w:val="nil"/>
            </w:tcBorders>
            <w:vAlign w:val="center"/>
          </w:tcPr>
          <w:p w14:paraId="7FE1BB6A" w14:textId="77777777" w:rsidR="00696584" w:rsidRDefault="002C4F63">
            <w:pPr>
              <w:pStyle w:val="P68B1DB1-TableParagraph14"/>
              <w:spacing w:before="108"/>
              <w:rPr>
                <w:bCs/>
              </w:rPr>
            </w:pPr>
            <w:r>
              <w:t xml:space="preserve">Marktauswirkungen </w:t>
            </w:r>
          </w:p>
          <w:p w14:paraId="7FE1BB6B" w14:textId="77777777" w:rsidR="00696584" w:rsidRDefault="002C4F63">
            <w:pPr>
              <w:pStyle w:val="P68B1DB1-TableParagraph13"/>
              <w:spacing w:before="108"/>
            </w:pPr>
            <w:r>
              <w:t>Die geschätzten Auswirkungen einer plötzlichen Unterbrechung einer Funktion auf Dritte, die Finanzmärkte und die Realwirtschaft unter Berücksichtigung der Größe, des Marktanteils im Land, der externen und internen Verflechtungen, der Komplexität und der grenzüberschreitenden Tätigkeiten eines Instituts.</w:t>
            </w:r>
          </w:p>
          <w:p w14:paraId="7FE1BB6C" w14:textId="3006E0F1" w:rsidR="00696584" w:rsidRDefault="002C4F63">
            <w:pPr>
              <w:pStyle w:val="P68B1DB1-TableParagraph13"/>
              <w:spacing w:before="108"/>
            </w:pPr>
            <w:r>
              <w:t>Die Auswirkungen werden mit den Abstufungen hoch (H), mittel bis hoch (MH), mittel bis gering (ML) und gering (L) bewertet.</w:t>
            </w:r>
          </w:p>
          <w:p w14:paraId="7FE1BB6D" w14:textId="08540614" w:rsidR="00696584" w:rsidRDefault="002C4F63">
            <w:pPr>
              <w:pStyle w:val="P68B1DB1-TableParagraph13"/>
              <w:spacing w:before="108"/>
            </w:pPr>
            <w:r>
              <w:t xml:space="preserve">‚H‘ wird gewählt, wenn die Unterbrechung massive Auswirkungen auf den nationalen Markt hat, </w:t>
            </w:r>
            <w:r w:rsidR="00084FEA">
              <w:t>‚</w:t>
            </w:r>
            <w:r>
              <w:t>Mittelhoch</w:t>
            </w:r>
            <w:r w:rsidR="00084FEA">
              <w:t>‘</w:t>
            </w:r>
            <w:r>
              <w:t xml:space="preserve">, wenn die Auswirkungen signifikant sind; </w:t>
            </w:r>
            <w:r w:rsidR="00084FEA">
              <w:t>‚mittel bis gering‘</w:t>
            </w:r>
            <w:r>
              <w:t>, wenn die Auswirkungen wesentlich, aber begrenzt sind, und ‚gering‘ wenn die Auswirkungen gering sind.</w:t>
            </w:r>
          </w:p>
        </w:tc>
      </w:tr>
      <w:tr w:rsidR="00696584" w14:paraId="7FE1BB7B" w14:textId="77777777">
        <w:tc>
          <w:tcPr>
            <w:tcW w:w="1080" w:type="dxa"/>
            <w:tcBorders>
              <w:top w:val="single" w:sz="4" w:space="0" w:color="1A171C"/>
              <w:left w:val="nil"/>
              <w:bottom w:val="single" w:sz="4" w:space="0" w:color="1A171C"/>
              <w:right w:val="single" w:sz="4" w:space="0" w:color="1A171C"/>
            </w:tcBorders>
            <w:vAlign w:val="center"/>
          </w:tcPr>
          <w:p w14:paraId="7FE1BB6F" w14:textId="12F05B84" w:rsidR="00696584" w:rsidRDefault="002C4F63">
            <w:pPr>
              <w:pStyle w:val="P68B1DB1-TableParagraph17"/>
              <w:spacing w:before="108"/>
              <w:jc w:val="both"/>
            </w:pPr>
            <w:r>
              <w:t>0170</w:t>
            </w:r>
          </w:p>
        </w:tc>
        <w:tc>
          <w:tcPr>
            <w:tcW w:w="8003" w:type="dxa"/>
            <w:tcBorders>
              <w:top w:val="single" w:sz="4" w:space="0" w:color="1A171C"/>
              <w:left w:val="single" w:sz="4" w:space="0" w:color="1A171C"/>
              <w:bottom w:val="single" w:sz="4" w:space="0" w:color="1A171C"/>
              <w:right w:val="nil"/>
            </w:tcBorders>
            <w:vAlign w:val="center"/>
          </w:tcPr>
          <w:p w14:paraId="7FE1BB70" w14:textId="77777777" w:rsidR="00696584" w:rsidRDefault="002C4F63">
            <w:pPr>
              <w:pStyle w:val="P68B1DB1-TableParagraph14"/>
              <w:spacing w:before="108"/>
              <w:rPr>
                <w:bCs/>
              </w:rPr>
            </w:pPr>
            <w:r>
              <w:t>Substituierbarkeit</w:t>
            </w:r>
          </w:p>
          <w:p w14:paraId="7FE1BB71" w14:textId="77777777" w:rsidR="00696584" w:rsidRDefault="002C4F63">
            <w:pPr>
              <w:pStyle w:val="P68B1DB1-TableParagraph13"/>
              <w:spacing w:before="108"/>
            </w:pPr>
            <w:r>
              <w:t>Artikel 6 Absatz 3 der Delegierten Verordnung (EU) 2016/778</w:t>
            </w:r>
          </w:p>
          <w:p w14:paraId="7FE1BB72" w14:textId="77777777" w:rsidR="00696584" w:rsidRDefault="002C4F63">
            <w:pPr>
              <w:pStyle w:val="P68B1DB1-TableParagraph13"/>
              <w:spacing w:before="108"/>
            </w:pPr>
            <w:r>
              <w:t>Eine Funktion gilt als substituierbar, wenn sie in vertretbarer Weise und innerhalb eines angemessenen Zeitrahmens ersetzbar ist, wodurch systemische Probleme für die Realwirtschaft und die Finanzmärkte vermieden werden können. Folgendes ist zu berücksichtigen:</w:t>
            </w:r>
          </w:p>
          <w:p w14:paraId="7FE1BB73" w14:textId="77777777" w:rsidR="00696584" w:rsidRDefault="002C4F63">
            <w:pPr>
              <w:pStyle w:val="P68B1DB1-TableParagraph13"/>
              <w:spacing w:before="108"/>
            </w:pPr>
            <w:r>
              <w:t xml:space="preserve">(a) die Struktur des Marktes für diese Funktion und die Verfügbarkeit von Ersatzanbietern, </w:t>
            </w:r>
          </w:p>
          <w:p w14:paraId="7FE1BB74" w14:textId="77777777" w:rsidR="00696584" w:rsidRDefault="002C4F63">
            <w:pPr>
              <w:pStyle w:val="P68B1DB1-TableParagraph13"/>
              <w:spacing w:before="108"/>
            </w:pPr>
            <w:r>
              <w:t xml:space="preserve">(b) die Möglichkeiten anderer Anbieter unter dem Gesichtspunkt der Kapazität, der Anforderungen </w:t>
            </w:r>
            <w:r>
              <w:lastRenderedPageBreak/>
              <w:t xml:space="preserve">an die Durchführung der Funktion und der möglichen Hürden für den Markteinstieg oder die Markterweiterung, </w:t>
            </w:r>
          </w:p>
          <w:p w14:paraId="7FE1BB75" w14:textId="77777777" w:rsidR="00696584" w:rsidRDefault="002C4F63">
            <w:pPr>
              <w:pStyle w:val="P68B1DB1-TableParagraph13"/>
              <w:spacing w:before="108"/>
            </w:pPr>
            <w:r>
              <w:t xml:space="preserve">(c) die Anreize für andere Anbieter, diese Tätigkeiten zu übernehmen, </w:t>
            </w:r>
          </w:p>
          <w:p w14:paraId="7FE1BB76" w14:textId="77777777" w:rsidR="00696584" w:rsidRDefault="002C4F63">
            <w:pPr>
              <w:pStyle w:val="P68B1DB1-TableParagraph13"/>
              <w:spacing w:before="108"/>
            </w:pPr>
            <w:r>
              <w:t>(d) die Zeit, die für den Wechsel der Nutzer der Dienstleistung zu dem neuen Dienstleistungsanbieter erforderlich ist, sowie die Kosten dieses Wechsels, die Zeit, die andere Wettbewerber für die Übernahme der Funktionen benötigen, sowie die Frage, ob diese Zeit ausreicht, um je nach Art der Dienstleistung eine wesentliche Beeinträchtigung zu verhindern.</w:t>
            </w:r>
          </w:p>
          <w:p w14:paraId="7FE1BB77" w14:textId="34C328B6" w:rsidR="00696584" w:rsidRDefault="002C4F63">
            <w:pPr>
              <w:pStyle w:val="P68B1DB1-TableParagraph13"/>
              <w:spacing w:before="108"/>
            </w:pPr>
            <w:r>
              <w:t xml:space="preserve">Es ist für jede Funktion eine Gesamtbewertung des erwarteten Grads der Substituierbarkeit vorzunehmen, unter Berücksichtigung der verschiedenen zuvor untersuchten Dimensionen (Marktanteil, Marktkonzentration, Zeit bis zur Substitution, rechtliche Hindernisse sowie praktische Anforderungen für Markteintritt oder Markterweiterung). Die Auswirkungen werden mit den Abstufungen hoch (H), mittel bis hoch (MH), mittel bis gering (ML) und gering (L) bewertet. </w:t>
            </w:r>
          </w:p>
          <w:p w14:paraId="7FE1BB78" w14:textId="70240340" w:rsidR="00696584" w:rsidRDefault="002C4F63">
            <w:pPr>
              <w:pStyle w:val="P68B1DB1-TableParagraph13"/>
              <w:spacing w:before="108"/>
            </w:pPr>
            <w:r>
              <w:t>H wird gewählt, wenn die Funktion ohne Weiteres unter vergleichbaren Bedingungen und innerhalb einer angemessenen Frist von einer anderen Bank wahrgenommen, werden kann,</w:t>
            </w:r>
          </w:p>
          <w:p w14:paraId="7FE1BB79" w14:textId="3DFD8C4F" w:rsidR="00696584" w:rsidRDefault="002C4F63">
            <w:pPr>
              <w:pStyle w:val="P68B1DB1-TableParagraph13"/>
              <w:spacing w:before="108"/>
            </w:pPr>
            <w:r>
              <w:t xml:space="preserve">L, wenn die Funktion nicht ohne Weiteres oder rasch ersetzt werden kann, </w:t>
            </w:r>
          </w:p>
          <w:p w14:paraId="7FE1BB7A" w14:textId="4DB7815A" w:rsidR="00696584" w:rsidRDefault="002C4F63">
            <w:pPr>
              <w:pStyle w:val="P68B1DB1-TableParagraph13"/>
              <w:spacing w:before="108"/>
            </w:pPr>
            <w:r>
              <w:t>MH und ML für Situationen dazwischen, wobei verschiedene Parameter (z. B. Marktanteil, Marktkonzentration, Zeit bis zur Substitution, rechtliche Hindernisse und praktische Anforderungen für den Markteintritt oder die Markterweiterung) zu berücksichtigen sind.</w:t>
            </w:r>
          </w:p>
        </w:tc>
      </w:tr>
      <w:tr w:rsidR="00696584" w14:paraId="7FE1BB80" w14:textId="77777777">
        <w:tc>
          <w:tcPr>
            <w:tcW w:w="1080" w:type="dxa"/>
            <w:tcBorders>
              <w:top w:val="single" w:sz="4" w:space="0" w:color="1A171C"/>
              <w:left w:val="nil"/>
              <w:bottom w:val="single" w:sz="4" w:space="0" w:color="1A171C"/>
              <w:right w:val="single" w:sz="4" w:space="0" w:color="1A171C"/>
            </w:tcBorders>
            <w:vAlign w:val="center"/>
          </w:tcPr>
          <w:p w14:paraId="7FE1BB7C" w14:textId="42FC8366" w:rsidR="00696584" w:rsidRDefault="002C4F63">
            <w:pPr>
              <w:pStyle w:val="P68B1DB1-TableParagraph17"/>
              <w:spacing w:before="108"/>
              <w:jc w:val="both"/>
            </w:pPr>
            <w:r>
              <w:lastRenderedPageBreak/>
              <w:t>0180</w:t>
            </w:r>
          </w:p>
        </w:tc>
        <w:tc>
          <w:tcPr>
            <w:tcW w:w="8003" w:type="dxa"/>
            <w:tcBorders>
              <w:top w:val="single" w:sz="4" w:space="0" w:color="1A171C"/>
              <w:left w:val="single" w:sz="4" w:space="0" w:color="1A171C"/>
              <w:bottom w:val="single" w:sz="4" w:space="0" w:color="1A171C"/>
              <w:right w:val="nil"/>
            </w:tcBorders>
            <w:vAlign w:val="center"/>
          </w:tcPr>
          <w:p w14:paraId="7FE1BB7D" w14:textId="77777777" w:rsidR="00696584" w:rsidRDefault="002C4F63">
            <w:pPr>
              <w:pStyle w:val="P68B1DB1-TableParagraph14"/>
              <w:spacing w:before="108"/>
              <w:rPr>
                <w:bCs/>
              </w:rPr>
            </w:pPr>
            <w:r>
              <w:t>Kritische Funktion</w:t>
            </w:r>
          </w:p>
          <w:p w14:paraId="7FE1BB7E" w14:textId="77777777" w:rsidR="00696584" w:rsidRDefault="002C4F63">
            <w:pPr>
              <w:pStyle w:val="P68B1DB1-TableParagraph13"/>
              <w:spacing w:before="108"/>
            </w:pPr>
            <w:r>
              <w:t>In dieser Spalte ist anzugeben, ob die wirtschaftliche Funktion unter Berücksichtigung der von der Institution durchgeführten Analyse des Einflusses und der Substituierbarkeit für den Markt des betreffenden Landes als kritisch anzusehen ist.</w:t>
            </w:r>
          </w:p>
          <w:p w14:paraId="7FE1BB7F" w14:textId="1BBB4B14" w:rsidR="00696584" w:rsidRDefault="002C4F63">
            <w:pPr>
              <w:pStyle w:val="P68B1DB1-TableParagraph13"/>
              <w:spacing w:before="108"/>
            </w:pPr>
            <w:r>
              <w:t>2 Angaben sind möglich:</w:t>
            </w:r>
            <w:r w:rsidR="00855E4E">
              <w:t xml:space="preserve"> </w:t>
            </w:r>
            <w:r>
              <w:t>Ja oder Nein</w:t>
            </w:r>
          </w:p>
        </w:tc>
      </w:tr>
      <w:tr w:rsidR="00696584" w14:paraId="7FE1BB84" w14:textId="77777777">
        <w:tc>
          <w:tcPr>
            <w:tcW w:w="1080" w:type="dxa"/>
            <w:tcBorders>
              <w:top w:val="single" w:sz="4" w:space="0" w:color="1A171C"/>
              <w:left w:val="nil"/>
              <w:bottom w:val="single" w:sz="4" w:space="0" w:color="1A171C"/>
              <w:right w:val="single" w:sz="4" w:space="0" w:color="1A171C"/>
            </w:tcBorders>
            <w:vAlign w:val="center"/>
          </w:tcPr>
          <w:p w14:paraId="7FE1BB81" w14:textId="6C49AB94" w:rsidR="00696584" w:rsidRDefault="002C4F63">
            <w:pPr>
              <w:pStyle w:val="P68B1DB1-TableParagraph17"/>
              <w:spacing w:before="108"/>
              <w:jc w:val="both"/>
            </w:pPr>
            <w:r>
              <w:t>0190</w:t>
            </w:r>
          </w:p>
        </w:tc>
        <w:tc>
          <w:tcPr>
            <w:tcW w:w="8003" w:type="dxa"/>
            <w:tcBorders>
              <w:top w:val="single" w:sz="4" w:space="0" w:color="1A171C"/>
              <w:left w:val="single" w:sz="4" w:space="0" w:color="1A171C"/>
              <w:bottom w:val="single" w:sz="4" w:space="0" w:color="1A171C"/>
              <w:right w:val="nil"/>
            </w:tcBorders>
            <w:vAlign w:val="center"/>
          </w:tcPr>
          <w:p w14:paraId="7FE1BB82" w14:textId="77777777" w:rsidR="00696584" w:rsidRDefault="002C4F63">
            <w:pPr>
              <w:pStyle w:val="P68B1DB1-TableParagraph14"/>
              <w:spacing w:before="108"/>
              <w:rPr>
                <w:bCs/>
              </w:rPr>
            </w:pPr>
            <w:r>
              <w:t>Stellungnahme der Gruppe</w:t>
            </w:r>
          </w:p>
          <w:p w14:paraId="7FE1BB83" w14:textId="77777777" w:rsidR="00696584" w:rsidRDefault="002C4F63">
            <w:pPr>
              <w:pStyle w:val="P68B1DB1-TableParagraph13"/>
              <w:spacing w:before="108"/>
            </w:pPr>
            <w:r>
              <w:t>Dieses Feld ermöglicht es dem meldenden Unternehmen, alle Annahmen zu erläutern, die bei der Beurteilung der Kritikalität der gemeldeten Funktion(en) verwendet wurden.</w:t>
            </w:r>
          </w:p>
        </w:tc>
      </w:tr>
    </w:tbl>
    <w:p w14:paraId="7FE1BB85" w14:textId="77777777" w:rsidR="00696584" w:rsidRDefault="00696584">
      <w:pPr>
        <w:rPr>
          <w:rFonts w:ascii="Times New Roman" w:hAnsi="Times New Roman" w:cs="Times New Roman"/>
          <w:color w:val="000000" w:themeColor="text1"/>
          <w:sz w:val="20"/>
          <w:szCs w:val="20"/>
        </w:rPr>
      </w:pPr>
    </w:p>
    <w:p w14:paraId="7FE1BB86" w14:textId="1A79D3EE" w:rsidR="00696584" w:rsidRDefault="002C4F63">
      <w:pPr>
        <w:pStyle w:val="P68B1DB1-Instructionsberschrift25"/>
        <w:numPr>
          <w:ilvl w:val="1"/>
          <w:numId w:val="49"/>
        </w:numPr>
        <w:ind w:left="357" w:hanging="357"/>
      </w:pPr>
      <w:bookmarkStart w:id="116" w:name="_Toc209533595"/>
      <w:r>
        <w:t xml:space="preserve">Z 07.01.3 FUNC 1 </w:t>
      </w:r>
      <w:r w:rsidR="00001922">
        <w:t>PAY</w:t>
      </w:r>
      <w:bookmarkEnd w:id="116"/>
    </w:p>
    <w:tbl>
      <w:tblPr>
        <w:tblW w:w="9083" w:type="dxa"/>
        <w:tblLayout w:type="fixed"/>
        <w:tblCellMar>
          <w:top w:w="57" w:type="dxa"/>
          <w:left w:w="57" w:type="dxa"/>
          <w:bottom w:w="57" w:type="dxa"/>
          <w:right w:w="0" w:type="dxa"/>
        </w:tblCellMar>
        <w:tblLook w:val="01E0" w:firstRow="1" w:lastRow="1" w:firstColumn="1" w:lastColumn="1" w:noHBand="0" w:noVBand="0"/>
      </w:tblPr>
      <w:tblGrid>
        <w:gridCol w:w="1080"/>
        <w:gridCol w:w="8003"/>
      </w:tblGrid>
      <w:tr w:rsidR="00696584" w14:paraId="7FE1BB91" w14:textId="77777777">
        <w:trPr>
          <w:tblHeader/>
        </w:trPr>
        <w:tc>
          <w:tcPr>
            <w:tcW w:w="1080" w:type="dxa"/>
            <w:tcBorders>
              <w:top w:val="single" w:sz="4" w:space="0" w:color="1A171C"/>
              <w:left w:val="nil"/>
              <w:bottom w:val="single" w:sz="4" w:space="0" w:color="1A171C"/>
              <w:right w:val="single" w:sz="4" w:space="0" w:color="1A171C"/>
            </w:tcBorders>
            <w:shd w:val="clear" w:color="auto" w:fill="E4E5E5"/>
          </w:tcPr>
          <w:p w14:paraId="7FE1BB8F" w14:textId="77777777" w:rsidR="00696584" w:rsidRDefault="002C4F63">
            <w:pPr>
              <w:pStyle w:val="P68B1DB1-TableParagraph17"/>
              <w:spacing w:before="108"/>
              <w:ind w:left="85"/>
              <w:jc w:val="both"/>
            </w:pPr>
            <w:r>
              <w:t>Spalten</w:t>
            </w:r>
          </w:p>
        </w:tc>
        <w:tc>
          <w:tcPr>
            <w:tcW w:w="8003" w:type="dxa"/>
            <w:tcBorders>
              <w:top w:val="single" w:sz="4" w:space="0" w:color="1A171C"/>
              <w:left w:val="single" w:sz="4" w:space="0" w:color="1A171C"/>
              <w:bottom w:val="single" w:sz="4" w:space="0" w:color="1A171C"/>
              <w:right w:val="nil"/>
            </w:tcBorders>
            <w:shd w:val="clear" w:color="auto" w:fill="E4E5E5"/>
          </w:tcPr>
          <w:p w14:paraId="7FE1BB90" w14:textId="77777777" w:rsidR="00696584" w:rsidRDefault="002C4F63">
            <w:pPr>
              <w:pStyle w:val="P68B1DB1-TableParagraph17"/>
              <w:spacing w:before="108"/>
              <w:ind w:left="85" w:right="1"/>
              <w:jc w:val="both"/>
            </w:pPr>
            <w:r>
              <w:t>Erläuterungen</w:t>
            </w:r>
          </w:p>
        </w:tc>
      </w:tr>
      <w:tr w:rsidR="00696584" w14:paraId="7FE1BB95" w14:textId="77777777">
        <w:tc>
          <w:tcPr>
            <w:tcW w:w="1080" w:type="dxa"/>
            <w:tcBorders>
              <w:top w:val="single" w:sz="4" w:space="0" w:color="1A171C"/>
              <w:left w:val="nil"/>
              <w:bottom w:val="single" w:sz="4" w:space="0" w:color="1A171C"/>
              <w:right w:val="single" w:sz="4" w:space="0" w:color="1A171C"/>
            </w:tcBorders>
            <w:vAlign w:val="center"/>
          </w:tcPr>
          <w:p w14:paraId="7FE1BB92" w14:textId="77777777" w:rsidR="00696584" w:rsidRDefault="002C4F63">
            <w:pPr>
              <w:pStyle w:val="P68B1DB1-TableParagraph17"/>
              <w:spacing w:before="108"/>
              <w:ind w:left="85"/>
              <w:jc w:val="both"/>
            </w:pPr>
            <w:r>
              <w:t>0010</w:t>
            </w:r>
          </w:p>
        </w:tc>
        <w:tc>
          <w:tcPr>
            <w:tcW w:w="8003" w:type="dxa"/>
            <w:tcBorders>
              <w:top w:val="single" w:sz="4" w:space="0" w:color="1A171C"/>
              <w:left w:val="single" w:sz="4" w:space="0" w:color="1A171C"/>
              <w:bottom w:val="single" w:sz="4" w:space="0" w:color="1A171C"/>
              <w:right w:val="nil"/>
            </w:tcBorders>
            <w:vAlign w:val="center"/>
          </w:tcPr>
          <w:p w14:paraId="7FE1BB93" w14:textId="77777777" w:rsidR="00696584" w:rsidRDefault="002C4F63">
            <w:pPr>
              <w:pStyle w:val="P68B1DB1-TableParagraph14"/>
              <w:spacing w:before="108"/>
              <w:ind w:left="85"/>
              <w:jc w:val="both"/>
              <w:rPr>
                <w:bCs/>
              </w:rPr>
            </w:pPr>
            <w:r>
              <w:t>Beschreibung der wirtschaftlichen Funktion</w:t>
            </w:r>
          </w:p>
          <w:p w14:paraId="7FE1BB94" w14:textId="69D54B8C" w:rsidR="00696584" w:rsidRDefault="002C4F63">
            <w:pPr>
              <w:pStyle w:val="TableParagraph"/>
              <w:spacing w:before="108"/>
              <w:ind w:left="85"/>
              <w:rPr>
                <w:rFonts w:ascii="Times New Roman" w:eastAsia="Cambria" w:hAnsi="Times New Roman" w:cs="Times New Roman"/>
                <w:color w:val="000000" w:themeColor="text1"/>
                <w:sz w:val="20"/>
                <w:szCs w:val="20"/>
              </w:rPr>
            </w:pPr>
            <w:r>
              <w:rPr>
                <w:rFonts w:ascii="Times New Roman" w:eastAsia="Cambria" w:hAnsi="Times New Roman" w:cs="Times New Roman"/>
                <w:color w:val="000000" w:themeColor="text1"/>
                <w:sz w:val="20"/>
                <w:szCs w:val="20"/>
              </w:rPr>
              <w:t>Besteht die wirtschaftliche Funktion vom Typ „Sonstige“ (</w:t>
            </w:r>
            <w:r w:rsidRPr="000D7090">
              <w:rPr>
                <w:rFonts w:ascii="Times New Roman" w:eastAsia="Cambria" w:hAnsi="Times New Roman" w:cs="Times New Roman"/>
                <w:color w:val="000000" w:themeColor="text1"/>
                <w:sz w:val="20"/>
                <w:szCs w:val="20"/>
              </w:rPr>
              <w:t>Z 07.01.3 FUNC 1 PAY r0220 bis</w:t>
            </w:r>
            <w:r w:rsidR="00855E4E">
              <w:t xml:space="preserve"> </w:t>
            </w:r>
            <w:r>
              <w:rPr>
                <w:rFonts w:ascii="Times New Roman" w:eastAsia="Cambria" w:hAnsi="Times New Roman" w:cs="Times New Roman"/>
                <w:color w:val="000000" w:themeColor="text1"/>
                <w:sz w:val="20"/>
                <w:szCs w:val="20"/>
              </w:rPr>
              <w:t xml:space="preserve">r0240), ist diese Funktion zu beschreiben. </w:t>
            </w:r>
          </w:p>
        </w:tc>
      </w:tr>
      <w:tr w:rsidR="00696584" w14:paraId="7FE1BB99" w14:textId="77777777">
        <w:tc>
          <w:tcPr>
            <w:tcW w:w="1080" w:type="dxa"/>
            <w:tcBorders>
              <w:top w:val="single" w:sz="4" w:space="0" w:color="1A171C"/>
              <w:left w:val="nil"/>
              <w:bottom w:val="single" w:sz="4" w:space="0" w:color="1A171C"/>
              <w:right w:val="single" w:sz="4" w:space="0" w:color="1A171C"/>
            </w:tcBorders>
            <w:vAlign w:val="center"/>
          </w:tcPr>
          <w:p w14:paraId="7FE1BB96" w14:textId="77777777" w:rsidR="00696584" w:rsidRDefault="002C4F63">
            <w:pPr>
              <w:pStyle w:val="P68B1DB1-TableParagraph17"/>
              <w:spacing w:before="108"/>
              <w:ind w:left="85"/>
              <w:jc w:val="both"/>
            </w:pPr>
            <w:r>
              <w:t>0020</w:t>
            </w:r>
          </w:p>
        </w:tc>
        <w:tc>
          <w:tcPr>
            <w:tcW w:w="8003" w:type="dxa"/>
            <w:tcBorders>
              <w:top w:val="single" w:sz="4" w:space="0" w:color="1A171C"/>
              <w:left w:val="single" w:sz="4" w:space="0" w:color="1A171C"/>
              <w:bottom w:val="single" w:sz="4" w:space="0" w:color="1A171C"/>
              <w:right w:val="nil"/>
            </w:tcBorders>
            <w:vAlign w:val="center"/>
          </w:tcPr>
          <w:p w14:paraId="7FE1BB97" w14:textId="77777777" w:rsidR="00696584" w:rsidRDefault="002C4F63">
            <w:pPr>
              <w:pStyle w:val="P68B1DB1-TableParagraph14"/>
              <w:spacing w:before="108"/>
              <w:ind w:left="85"/>
              <w:jc w:val="both"/>
              <w:rPr>
                <w:bCs/>
              </w:rPr>
            </w:pPr>
            <w:r>
              <w:t xml:space="preserve">Marktanteil </w:t>
            </w:r>
          </w:p>
          <w:p w14:paraId="7FE1BB98" w14:textId="71A825FB" w:rsidR="00696584" w:rsidRDefault="002C4F63">
            <w:pPr>
              <w:pStyle w:val="P68B1DB1-TableParagraph17"/>
              <w:spacing w:before="108"/>
              <w:ind w:left="85"/>
            </w:pPr>
            <w:r>
              <w:t>Schätzung des Marktanteils des Instituts oder der Gruppe an der wirtschaftlichen Funktion im jeweiligen Land oder im jeweiligen geografischen Gebiet. In Prozent des als Geldbetrag bewerteten Gesamtmarkts. Dies entspricht dem Wert der Transaktionen für Zahlungsdienste an MFI und Nicht-MFIs, dem Wert der offenen Positionen für CCP-Clearingdienste und dem Wert der für Verwahrdienste verwahrten Vermögenswerte.</w:t>
            </w:r>
          </w:p>
        </w:tc>
      </w:tr>
      <w:tr w:rsidR="00696584" w14:paraId="7FE1BBA5" w14:textId="77777777">
        <w:tc>
          <w:tcPr>
            <w:tcW w:w="1080" w:type="dxa"/>
            <w:tcBorders>
              <w:top w:val="single" w:sz="4" w:space="0" w:color="1A171C"/>
              <w:left w:val="nil"/>
              <w:bottom w:val="single" w:sz="4" w:space="0" w:color="1A171C"/>
              <w:right w:val="single" w:sz="4" w:space="0" w:color="1A171C"/>
            </w:tcBorders>
            <w:vAlign w:val="center"/>
          </w:tcPr>
          <w:p w14:paraId="7FE1BB9A" w14:textId="77777777" w:rsidR="00696584" w:rsidRDefault="002C4F63">
            <w:pPr>
              <w:pStyle w:val="P68B1DB1-TableParagraph17"/>
              <w:spacing w:before="108"/>
              <w:ind w:left="85"/>
              <w:jc w:val="both"/>
            </w:pPr>
            <w:r>
              <w:t>0030</w:t>
            </w:r>
          </w:p>
        </w:tc>
        <w:tc>
          <w:tcPr>
            <w:tcW w:w="8003" w:type="dxa"/>
            <w:tcBorders>
              <w:top w:val="single" w:sz="4" w:space="0" w:color="1A171C"/>
              <w:left w:val="single" w:sz="4" w:space="0" w:color="1A171C"/>
              <w:bottom w:val="single" w:sz="4" w:space="0" w:color="1A171C"/>
              <w:right w:val="nil"/>
            </w:tcBorders>
            <w:vAlign w:val="center"/>
          </w:tcPr>
          <w:p w14:paraId="7FE1BB9B" w14:textId="77777777" w:rsidR="00696584" w:rsidRDefault="002C4F63">
            <w:pPr>
              <w:pStyle w:val="P68B1DB1-TableParagraph14"/>
              <w:spacing w:before="108"/>
              <w:rPr>
                <w:bCs/>
              </w:rPr>
            </w:pPr>
            <w:r>
              <w:t>Wert der Transaktionen</w:t>
            </w:r>
          </w:p>
          <w:p w14:paraId="7FE1BB9C" w14:textId="77777777" w:rsidR="00696584" w:rsidRDefault="002C4F63">
            <w:pPr>
              <w:pStyle w:val="P68B1DB1-TableParagraph17"/>
              <w:spacing w:before="108"/>
            </w:pPr>
            <w:r>
              <w:t xml:space="preserve">Es ist grundsätzlich der Jahresdurchschnitt der täglichen Geschäfte anzugeben. Ist dies nicht möglich, kann ein Durchschnittswert für einen kürzeren Zeitraum (z. B. einige Monate) angegeben </w:t>
            </w:r>
            <w:r>
              <w:lastRenderedPageBreak/>
              <w:t>werden.</w:t>
            </w:r>
          </w:p>
          <w:p w14:paraId="7FE1BB9D" w14:textId="27FD79A8" w:rsidR="00696584" w:rsidRDefault="002C4F63">
            <w:pPr>
              <w:pStyle w:val="TableParagraph"/>
              <w:spacing w:before="108"/>
              <w:rPr>
                <w:rFonts w:ascii="Times New Roman" w:eastAsia="Cambria" w:hAnsi="Times New Roman" w:cs="Times New Roman"/>
                <w:color w:val="000000" w:themeColor="text1"/>
                <w:sz w:val="20"/>
                <w:szCs w:val="20"/>
              </w:rPr>
            </w:pPr>
            <w:r>
              <w:rPr>
                <w:rFonts w:ascii="Times New Roman" w:eastAsia="Cambria" w:hAnsi="Times New Roman" w:cs="Times New Roman"/>
                <w:color w:val="000000" w:themeColor="text1"/>
                <w:sz w:val="20"/>
                <w:szCs w:val="20"/>
              </w:rPr>
              <w:t>Zahlungsdienste</w:t>
            </w:r>
            <w:r w:rsidR="00855E4E">
              <w:rPr>
                <w:rFonts w:ascii="Times New Roman" w:eastAsia="Cambria" w:hAnsi="Times New Roman" w:cs="Times New Roman"/>
                <w:color w:val="000000" w:themeColor="text1"/>
                <w:sz w:val="20"/>
                <w:szCs w:val="20"/>
              </w:rPr>
              <w:t xml:space="preserve"> </w:t>
            </w:r>
            <w:r>
              <w:rPr>
                <w:rFonts w:ascii="Times New Roman" w:eastAsia="Cambria" w:hAnsi="Times New Roman" w:cs="Times New Roman"/>
                <w:color w:val="000000" w:themeColor="text1"/>
                <w:sz w:val="20"/>
                <w:szCs w:val="20"/>
              </w:rPr>
              <w:t>(Funktionscodes 3.1 und 3.2): Wert der gesendeten Transaktionen.</w:t>
            </w:r>
            <w:r>
              <w:t xml:space="preserve"> </w:t>
            </w:r>
            <w:r>
              <w:rPr>
                <w:rFonts w:ascii="Times New Roman" w:eastAsia="Cambria" w:hAnsi="Times New Roman" w:cs="Times New Roman"/>
                <w:color w:val="000000" w:themeColor="text1"/>
                <w:sz w:val="20"/>
                <w:szCs w:val="20"/>
              </w:rPr>
              <w:t>Weiterführende Informationen: Artikel 4 Absatz 5 der Richtlinie (EU) 2015/2366 über Zahlungsdienste im Binnenmarkt; Verordnung (EU) 2020/2011 der Europäischen Zentralbank zur Änderung der Verordnung (EU) Nr. 1409/2013 über die Zahlungs</w:t>
            </w:r>
            <w:r w:rsidR="00005B33">
              <w:rPr>
                <w:rFonts w:ascii="Times New Roman" w:eastAsia="Cambria" w:hAnsi="Times New Roman" w:cs="Times New Roman"/>
                <w:color w:val="000000" w:themeColor="text1"/>
                <w:sz w:val="20"/>
                <w:szCs w:val="20"/>
              </w:rPr>
              <w:t>verkehrs</w:t>
            </w:r>
            <w:r>
              <w:rPr>
                <w:rFonts w:ascii="Times New Roman" w:eastAsia="Cambria" w:hAnsi="Times New Roman" w:cs="Times New Roman"/>
                <w:color w:val="000000" w:themeColor="text1"/>
                <w:sz w:val="20"/>
                <w:szCs w:val="20"/>
              </w:rPr>
              <w:t>statistik (EZB/2020/59)</w:t>
            </w:r>
          </w:p>
          <w:p w14:paraId="7FE1BB9E" w14:textId="4AFEFACC" w:rsidR="00696584" w:rsidRDefault="002C4F63">
            <w:pPr>
              <w:pStyle w:val="P68B1DB1-TableParagraph17"/>
              <w:spacing w:before="108"/>
            </w:pPr>
            <w:r>
              <w:t>Bargelddienstleistungen</w:t>
            </w:r>
            <w:r w:rsidR="00855E4E">
              <w:t xml:space="preserve"> </w:t>
            </w:r>
            <w:r>
              <w:t>(Funktionscode 3.3): Wert der ATM-Transaktionen an Geldautomaten der Meldung</w:t>
            </w:r>
          </w:p>
          <w:p w14:paraId="7FE1BB9F" w14:textId="40DD391C" w:rsidR="00696584" w:rsidRDefault="002C4F63">
            <w:pPr>
              <w:pStyle w:val="P68B1DB1-TableParagraph41"/>
              <w:spacing w:before="108"/>
              <w:rPr>
                <w:rFonts w:ascii="Times New Roman" w:eastAsia="Cambria" w:hAnsi="Times New Roman" w:cs="Times New Roman"/>
                <w:color w:val="000000" w:themeColor="text1"/>
              </w:rPr>
            </w:pPr>
            <w:r>
              <w:rPr>
                <w:rFonts w:ascii="Times New Roman" w:eastAsia="Cambria" w:hAnsi="Times New Roman" w:cs="Times New Roman"/>
                <w:color w:val="000000" w:themeColor="text1"/>
              </w:rPr>
              <w:t>Institut im Sinne der Verordnung (EU) Nr. 1409/2013 der Europäischen Zentralbank über die Zahlungs</w:t>
            </w:r>
            <w:r w:rsidR="00855E4E">
              <w:rPr>
                <w:rFonts w:ascii="Times New Roman" w:eastAsia="Cambria" w:hAnsi="Times New Roman" w:cs="Times New Roman"/>
                <w:color w:val="000000" w:themeColor="text1"/>
              </w:rPr>
              <w:t>verkehrs</w:t>
            </w:r>
            <w:r>
              <w:rPr>
                <w:rFonts w:ascii="Times New Roman" w:eastAsia="Cambria" w:hAnsi="Times New Roman" w:cs="Times New Roman"/>
                <w:color w:val="000000" w:themeColor="text1"/>
              </w:rPr>
              <w:t>statistik (EZB/2013/43) Tabelle 5a sowie außerbörsliche Barmittel</w:t>
            </w:r>
          </w:p>
          <w:p w14:paraId="7FE1BBA0" w14:textId="0D8555C2" w:rsidR="00696584" w:rsidRDefault="002C4F63">
            <w:pPr>
              <w:pStyle w:val="TableParagraph"/>
              <w:spacing w:before="108"/>
              <w:rPr>
                <w:rFonts w:ascii="Times New Roman" w:eastAsia="Cambria" w:hAnsi="Times New Roman" w:cs="Times New Roman"/>
                <w:color w:val="000000" w:themeColor="text1"/>
                <w:sz w:val="20"/>
                <w:szCs w:val="20"/>
              </w:rPr>
            </w:pPr>
            <w:r>
              <w:rPr>
                <w:rFonts w:ascii="Times New Roman" w:eastAsia="Cambria" w:hAnsi="Times New Roman" w:cs="Times New Roman"/>
                <w:color w:val="000000" w:themeColor="text1"/>
                <w:sz w:val="20"/>
                <w:szCs w:val="20"/>
              </w:rPr>
              <w:t>Entnahmen in Zweigstellen des meldenden Unternehmens gemäß der Definition in der</w:t>
            </w:r>
            <w:r>
              <w:rPr>
                <w:rStyle w:val="FootnoteReference"/>
                <w:rFonts w:eastAsia="Cambria" w:cs="Times New Roman"/>
                <w:color w:val="000000" w:themeColor="text1"/>
              </w:rPr>
              <w:footnoteReference w:id="21"/>
            </w:r>
            <w:r>
              <w:rPr>
                <w:rFonts w:ascii="Times New Roman" w:eastAsia="Cambria" w:hAnsi="Times New Roman" w:cs="Times New Roman"/>
                <w:color w:val="000000" w:themeColor="text1"/>
                <w:sz w:val="20"/>
                <w:szCs w:val="20"/>
              </w:rPr>
              <w:t xml:space="preserve"> Tabelle EZB/2014/15</w:t>
            </w:r>
          </w:p>
          <w:p w14:paraId="7FE1BBA2" w14:textId="3E68F1CC" w:rsidR="00696584" w:rsidRDefault="002C4F63">
            <w:pPr>
              <w:pStyle w:val="P68B1DB1-TableParagraph17"/>
              <w:spacing w:before="108"/>
            </w:pPr>
            <w:r>
              <w:t>Wertpapierabrechnungsdienstleistungen</w:t>
            </w:r>
            <w:r w:rsidR="00855E4E">
              <w:t xml:space="preserve"> </w:t>
            </w:r>
            <w:r>
              <w:t>(Funktionscode 3.4): Wert der verarbeiteten Wertpapiertransfers</w:t>
            </w:r>
            <w:r w:rsidR="00084FEA">
              <w:t xml:space="preserve"> </w:t>
            </w:r>
            <w:r>
              <w:t>für Kunden</w:t>
            </w:r>
            <w:r w:rsidR="00084FEA">
              <w:t>.</w:t>
            </w:r>
            <w:r>
              <w:t xml:space="preserve"> Dies schließt Geschäfte ein, die mit einer Wertpapierliefer- und </w:t>
            </w:r>
            <w:r w:rsidR="00084FEA">
              <w:t>-</w:t>
            </w:r>
            <w:r>
              <w:t>abrechnung abgewickelt werden.</w:t>
            </w:r>
          </w:p>
          <w:p w14:paraId="7FE1BBA3" w14:textId="77777777" w:rsidR="00696584" w:rsidRDefault="002C4F63">
            <w:pPr>
              <w:pStyle w:val="P68B1DB1-TableParagraph17"/>
              <w:spacing w:before="108"/>
            </w:pPr>
            <w:r>
              <w:t>System oder intern von den meldenden Stellen abgewickelt, und „frei von Zahlungen“</w:t>
            </w:r>
          </w:p>
          <w:p w14:paraId="7FE1BBA4" w14:textId="77777777" w:rsidR="00696584" w:rsidRDefault="002C4F63">
            <w:pPr>
              <w:pStyle w:val="P68B1DB1-TableParagraph17"/>
              <w:spacing w:before="108"/>
            </w:pPr>
            <w:r>
              <w:t>Transaktionsarten. Es ist nur der Wert der gesendeten Transaktionen anzugeben.</w:t>
            </w:r>
          </w:p>
        </w:tc>
      </w:tr>
      <w:tr w:rsidR="00696584" w14:paraId="7FE1BBA9" w14:textId="77777777">
        <w:tc>
          <w:tcPr>
            <w:tcW w:w="1080" w:type="dxa"/>
            <w:tcBorders>
              <w:top w:val="single" w:sz="4" w:space="0" w:color="1A171C"/>
              <w:left w:val="nil"/>
              <w:bottom w:val="single" w:sz="4" w:space="0" w:color="1A171C"/>
              <w:right w:val="single" w:sz="4" w:space="0" w:color="1A171C"/>
            </w:tcBorders>
            <w:vAlign w:val="center"/>
          </w:tcPr>
          <w:p w14:paraId="7FE1BBA6" w14:textId="77777777" w:rsidR="00696584" w:rsidRDefault="002C4F63">
            <w:pPr>
              <w:pStyle w:val="P68B1DB1-TableParagraph17"/>
              <w:spacing w:before="108"/>
              <w:ind w:left="85"/>
              <w:jc w:val="both"/>
            </w:pPr>
            <w:r>
              <w:lastRenderedPageBreak/>
              <w:t>0040</w:t>
            </w:r>
          </w:p>
        </w:tc>
        <w:tc>
          <w:tcPr>
            <w:tcW w:w="8003" w:type="dxa"/>
            <w:tcBorders>
              <w:top w:val="single" w:sz="4" w:space="0" w:color="1A171C"/>
              <w:left w:val="single" w:sz="4" w:space="0" w:color="1A171C"/>
              <w:bottom w:val="single" w:sz="4" w:space="0" w:color="1A171C"/>
              <w:right w:val="nil"/>
            </w:tcBorders>
            <w:vAlign w:val="center"/>
          </w:tcPr>
          <w:p w14:paraId="7FE1BBA7" w14:textId="77777777" w:rsidR="00696584" w:rsidRDefault="002C4F63">
            <w:pPr>
              <w:pStyle w:val="P68B1DB1-TableParagraph14"/>
              <w:spacing w:before="108"/>
              <w:rPr>
                <w:bCs/>
              </w:rPr>
            </w:pPr>
            <w:r>
              <w:t>Wert der Transaktionen, davon wiederkehrende Transaktionen</w:t>
            </w:r>
          </w:p>
          <w:p w14:paraId="7FE1BBA8" w14:textId="5B1104CA" w:rsidR="00696584" w:rsidRDefault="002C4F63">
            <w:pPr>
              <w:pStyle w:val="P68B1DB1-TableParagraph17"/>
              <w:spacing w:before="108"/>
            </w:pPr>
            <w:r>
              <w:t>Wert der unter (c0030) gemeldeten Transaktionen, davon über ein wiederkehrendes Zahlungskonto.  Wiederkehrende Zahlungskonten sind Zahlungskonten, bei denen das Konto in den sechs Monaten vor dem Stichtag im Durchschnitt von mindestens fünf monatlichen Transaktionen belastet oder gutgeschrieben wurde, mit Ausnahme von Jahresgebühren, sonstigen Entgelten und Zinszahlungen im Zusammenhang mit dem Konto.</w:t>
            </w:r>
          </w:p>
        </w:tc>
      </w:tr>
      <w:tr w:rsidR="00696584" w14:paraId="7FE1BBB1" w14:textId="77777777">
        <w:tc>
          <w:tcPr>
            <w:tcW w:w="1080" w:type="dxa"/>
            <w:tcBorders>
              <w:top w:val="single" w:sz="4" w:space="0" w:color="1A171C"/>
              <w:left w:val="nil"/>
              <w:bottom w:val="single" w:sz="4" w:space="0" w:color="1A171C"/>
              <w:right w:val="single" w:sz="4" w:space="0" w:color="1A171C"/>
            </w:tcBorders>
            <w:vAlign w:val="center"/>
          </w:tcPr>
          <w:p w14:paraId="7FE1BBAA" w14:textId="77777777" w:rsidR="00696584" w:rsidRDefault="002C4F63">
            <w:pPr>
              <w:pStyle w:val="P68B1DB1-TableParagraph17"/>
              <w:spacing w:before="108"/>
              <w:ind w:left="85"/>
              <w:jc w:val="both"/>
            </w:pPr>
            <w:r>
              <w:t>0050</w:t>
            </w:r>
          </w:p>
        </w:tc>
        <w:tc>
          <w:tcPr>
            <w:tcW w:w="8003" w:type="dxa"/>
            <w:tcBorders>
              <w:top w:val="single" w:sz="4" w:space="0" w:color="1A171C"/>
              <w:left w:val="single" w:sz="4" w:space="0" w:color="1A171C"/>
              <w:bottom w:val="single" w:sz="4" w:space="0" w:color="1A171C"/>
              <w:right w:val="nil"/>
            </w:tcBorders>
            <w:vAlign w:val="center"/>
          </w:tcPr>
          <w:p w14:paraId="7FE1BBAB" w14:textId="77777777" w:rsidR="00696584" w:rsidRDefault="002C4F63">
            <w:pPr>
              <w:pStyle w:val="P68B1DB1-Normal42"/>
              <w:rPr>
                <w:bCs/>
              </w:rPr>
            </w:pPr>
            <w:r>
              <w:t>Wert der offenen Positionen</w:t>
            </w:r>
          </w:p>
          <w:p w14:paraId="7FE1BBB0" w14:textId="1CFE16C2" w:rsidR="00696584" w:rsidRDefault="002C4F63">
            <w:pPr>
              <w:pStyle w:val="P68B1DB1-TableParagraph17"/>
              <w:spacing w:before="108"/>
              <w:jc w:val="both"/>
            </w:pPr>
            <w:r>
              <w:t>Nur für</w:t>
            </w:r>
            <w:r w:rsidR="00BD3768">
              <w:t xml:space="preserve"> die</w:t>
            </w:r>
            <w:r>
              <w:t xml:space="preserve"> Funktionskennung 3.5 „CCP-Clearingdienste“</w:t>
            </w:r>
            <w:r w:rsidR="00BD3768">
              <w:t xml:space="preserve"> melden</w:t>
            </w:r>
            <w:r>
              <w:t>: die Positionen (</w:t>
            </w:r>
            <w:r w:rsidR="00BD3768">
              <w:t>Risikopositionen</w:t>
            </w:r>
            <w:r>
              <w:t>)</w:t>
            </w:r>
            <w:r w:rsidR="00BD3768">
              <w:t xml:space="preserve"> die die</w:t>
            </w:r>
            <w:r w:rsidR="00084FEA">
              <w:t xml:space="preserve"> </w:t>
            </w:r>
            <w:r>
              <w:t>CCP</w:t>
            </w:r>
            <w:r w:rsidR="00BD3768">
              <w:t>s</w:t>
            </w:r>
            <w:r>
              <w:t>, denen das Institut angehört, im Namen seiner Kunden</w:t>
            </w:r>
            <w:r w:rsidR="00BD3768">
              <w:t xml:space="preserve"> gegenüber dem Institut eingehen</w:t>
            </w:r>
            <w:r>
              <w:t>.</w:t>
            </w:r>
            <w:r w:rsidR="00084FEA">
              <w:t xml:space="preserve"> </w:t>
            </w:r>
            <w:r>
              <w:t>Anzugeben ist der durchschnittliche tägliche Wert offener Positionen in Bezug auf Kundengeschäfte bei zentralen Gegenparteien.</w:t>
            </w:r>
            <w:r w:rsidR="00084FEA">
              <w:t xml:space="preserve"> </w:t>
            </w:r>
            <w:r>
              <w:t>Ist dies nicht möglich, kann ein Durchschnittswert für einen kürzeren Zeitraum (z. B. einige Monate) oder offene Positionen zum Jahresende</w:t>
            </w:r>
            <w:r w:rsidR="00BD3768">
              <w:t xml:space="preserve"> angegeben werden</w:t>
            </w:r>
            <w:r>
              <w:t>.</w:t>
            </w:r>
          </w:p>
        </w:tc>
      </w:tr>
      <w:tr w:rsidR="00696584" w14:paraId="7FE1BBBA" w14:textId="77777777">
        <w:tc>
          <w:tcPr>
            <w:tcW w:w="1080" w:type="dxa"/>
            <w:tcBorders>
              <w:top w:val="single" w:sz="4" w:space="0" w:color="1A171C"/>
              <w:left w:val="nil"/>
              <w:bottom w:val="single" w:sz="4" w:space="0" w:color="1A171C"/>
              <w:right w:val="single" w:sz="4" w:space="0" w:color="1A171C"/>
            </w:tcBorders>
            <w:vAlign w:val="center"/>
          </w:tcPr>
          <w:p w14:paraId="7FE1BBB2" w14:textId="77777777" w:rsidR="00696584" w:rsidRDefault="002C4F63">
            <w:pPr>
              <w:pStyle w:val="P68B1DB1-TableParagraph17"/>
              <w:spacing w:before="108"/>
              <w:jc w:val="both"/>
            </w:pPr>
            <w:r>
              <w:t>0060</w:t>
            </w:r>
          </w:p>
        </w:tc>
        <w:tc>
          <w:tcPr>
            <w:tcW w:w="8003" w:type="dxa"/>
            <w:tcBorders>
              <w:top w:val="single" w:sz="4" w:space="0" w:color="1A171C"/>
              <w:left w:val="single" w:sz="4" w:space="0" w:color="1A171C"/>
              <w:bottom w:val="single" w:sz="4" w:space="0" w:color="1A171C"/>
              <w:right w:val="nil"/>
            </w:tcBorders>
            <w:vAlign w:val="center"/>
          </w:tcPr>
          <w:p w14:paraId="7FE1BBB3" w14:textId="77777777" w:rsidR="00696584" w:rsidRDefault="002C4F63">
            <w:pPr>
              <w:pStyle w:val="P68B1DB1-Normal42"/>
              <w:rPr>
                <w:bCs/>
              </w:rPr>
            </w:pPr>
            <w:r>
              <w:t>Gesamtes verwaltetes Kundenvermögen</w:t>
            </w:r>
          </w:p>
          <w:p w14:paraId="7FE1BBB8" w14:textId="617619F6" w:rsidR="00696584" w:rsidRDefault="002C4F63">
            <w:pPr>
              <w:pStyle w:val="P68B1DB1-TableParagraph13"/>
              <w:spacing w:before="108"/>
              <w:jc w:val="both"/>
            </w:pPr>
            <w:r>
              <w:t>Nur Meldung für Funktion ID 3.6 „</w:t>
            </w:r>
            <w:r w:rsidR="00DE1074">
              <w:t>Verwahrungsdienstleistungen</w:t>
            </w:r>
            <w:r>
              <w:t>“: den Betrag der verwahrten Vermögenswerte;</w:t>
            </w:r>
            <w:r w:rsidR="00BD3768">
              <w:t xml:space="preserve"> unter</w:t>
            </w:r>
            <w:r w:rsidR="00084FEA">
              <w:t xml:space="preserve"> </w:t>
            </w:r>
            <w:r>
              <w:t>Verwendung des beizulegenden Zeitwerts. Wenn der beizulegende Zeitwert nicht verfügbar ist, können andere Bewertungsgrundlagen, einschließlich des Nominalwerts, genutzt werden. In den Fällen, in denen das Institut Dienstleistungen für Unternehmen erbringt</w:t>
            </w:r>
            <w:r w:rsidR="00084FEA">
              <w:t xml:space="preserve"> </w:t>
            </w:r>
            <w:r>
              <w:t>wie Organismen für gemeinsame Anlagen oder Pensionsfonds, können die betreffenden Vermögenswerte</w:t>
            </w:r>
            <w:r w:rsidR="00BD3768">
              <w:t xml:space="preserve"> </w:t>
            </w:r>
            <w:r>
              <w:t>zu dem Wert ausgewiesen werden, zu dem diese Unternehmen die Vermögenswerte in ihrer eigenen Bilanz ausweisen.</w:t>
            </w:r>
          </w:p>
          <w:p w14:paraId="7FE1BBB9" w14:textId="77777777" w:rsidR="00696584" w:rsidRDefault="002C4F63">
            <w:pPr>
              <w:pStyle w:val="P68B1DB1-TableParagraph13"/>
              <w:spacing w:before="108"/>
              <w:jc w:val="both"/>
              <w:rPr>
                <w:b/>
                <w:bCs/>
              </w:rPr>
            </w:pPr>
            <w:r>
              <w:t>In den gemeldeten Beträgen sind, soweit angemessen, die periodengerecht erfassten Zinsen enthalten.</w:t>
            </w:r>
          </w:p>
        </w:tc>
      </w:tr>
      <w:tr w:rsidR="00696584" w14:paraId="7FE1BBBF" w14:textId="77777777">
        <w:tc>
          <w:tcPr>
            <w:tcW w:w="1080" w:type="dxa"/>
            <w:tcBorders>
              <w:top w:val="single" w:sz="4" w:space="0" w:color="1A171C"/>
              <w:left w:val="nil"/>
              <w:bottom w:val="single" w:sz="4" w:space="0" w:color="1A171C"/>
              <w:right w:val="single" w:sz="4" w:space="0" w:color="1A171C"/>
            </w:tcBorders>
            <w:vAlign w:val="center"/>
          </w:tcPr>
          <w:p w14:paraId="7FE1BBBB" w14:textId="77777777" w:rsidR="00696584" w:rsidRDefault="002C4F63">
            <w:pPr>
              <w:pStyle w:val="P68B1DB1-TableParagraph17"/>
              <w:spacing w:before="108"/>
              <w:ind w:left="85"/>
              <w:jc w:val="both"/>
            </w:pPr>
            <w:r>
              <w:lastRenderedPageBreak/>
              <w:t>0070-0090</w:t>
            </w:r>
          </w:p>
        </w:tc>
        <w:tc>
          <w:tcPr>
            <w:tcW w:w="8003" w:type="dxa"/>
            <w:tcBorders>
              <w:top w:val="single" w:sz="4" w:space="0" w:color="1A171C"/>
              <w:left w:val="single" w:sz="4" w:space="0" w:color="1A171C"/>
              <w:bottom w:val="single" w:sz="4" w:space="0" w:color="1A171C"/>
              <w:right w:val="nil"/>
            </w:tcBorders>
            <w:vAlign w:val="center"/>
          </w:tcPr>
          <w:p w14:paraId="7FE1BBBC" w14:textId="77777777" w:rsidR="00696584" w:rsidRDefault="002C4F63">
            <w:pPr>
              <w:pStyle w:val="P68B1DB1-TableParagraph14"/>
              <w:spacing w:before="108"/>
              <w:ind w:left="85"/>
              <w:jc w:val="both"/>
              <w:rPr>
                <w:bCs/>
              </w:rPr>
            </w:pPr>
            <w:r>
              <w:t>Wert mit Auslandsbezug</w:t>
            </w:r>
          </w:p>
          <w:p w14:paraId="7FE1BBBE" w14:textId="3E56D291" w:rsidR="00696584" w:rsidRDefault="002C4F63" w:rsidP="00BD3768">
            <w:pPr>
              <w:pStyle w:val="P68B1DB1-TableParagraph13"/>
              <w:spacing w:before="108"/>
              <w:ind w:left="85"/>
              <w:jc w:val="both"/>
              <w:rPr>
                <w:b/>
                <w:bCs/>
              </w:rPr>
            </w:pPr>
            <w:r>
              <w:t>Im Fall von ausgehenden Transaktionen werden Transaktionen mit Auslandsbezug in dem Land gezählt, in dem die Transaktion initiiert wurde, um Doppelzählungen zu vermeiden.</w:t>
            </w:r>
          </w:p>
        </w:tc>
      </w:tr>
      <w:tr w:rsidR="00696584" w14:paraId="7FE1BBC6" w14:textId="77777777">
        <w:tc>
          <w:tcPr>
            <w:tcW w:w="1080" w:type="dxa"/>
            <w:tcBorders>
              <w:top w:val="single" w:sz="4" w:space="0" w:color="1A171C"/>
              <w:left w:val="nil"/>
              <w:bottom w:val="single" w:sz="4" w:space="0" w:color="1A171C"/>
              <w:right w:val="single" w:sz="4" w:space="0" w:color="1A171C"/>
            </w:tcBorders>
            <w:vAlign w:val="center"/>
          </w:tcPr>
          <w:p w14:paraId="7FE1BBC0" w14:textId="77777777" w:rsidR="00696584" w:rsidRDefault="002C4F63">
            <w:pPr>
              <w:pStyle w:val="P68B1DB1-TableParagraph17"/>
              <w:spacing w:before="108"/>
              <w:ind w:left="85"/>
              <w:jc w:val="both"/>
            </w:pPr>
            <w:r>
              <w:t>0100</w:t>
            </w:r>
          </w:p>
        </w:tc>
        <w:tc>
          <w:tcPr>
            <w:tcW w:w="8003" w:type="dxa"/>
            <w:tcBorders>
              <w:top w:val="single" w:sz="4" w:space="0" w:color="1A171C"/>
              <w:left w:val="single" w:sz="4" w:space="0" w:color="1A171C"/>
              <w:bottom w:val="single" w:sz="4" w:space="0" w:color="1A171C"/>
              <w:right w:val="nil"/>
            </w:tcBorders>
            <w:vAlign w:val="center"/>
          </w:tcPr>
          <w:p w14:paraId="7FE1BBC1" w14:textId="77777777" w:rsidR="00696584" w:rsidRPr="00084FEA" w:rsidRDefault="002C4F63">
            <w:pPr>
              <w:pStyle w:val="P68B1DB1-Normal42"/>
              <w:rPr>
                <w:bCs/>
              </w:rPr>
            </w:pPr>
            <w:r w:rsidRPr="00084FEA">
              <w:rPr>
                <w:bCs/>
              </w:rPr>
              <w:t>Anzahl der Geschäfte</w:t>
            </w:r>
          </w:p>
          <w:p w14:paraId="7FE1BBC2" w14:textId="18871174" w:rsidR="00696584" w:rsidRPr="000D7090" w:rsidRDefault="002C4F63">
            <w:pPr>
              <w:pStyle w:val="P68B1DB1-TableParagraph16"/>
              <w:spacing w:before="108"/>
              <w:jc w:val="both"/>
              <w:rPr>
                <w:color w:val="000000" w:themeColor="text1"/>
                <w:sz w:val="20"/>
                <w:szCs w:val="20"/>
              </w:rPr>
            </w:pPr>
            <w:r w:rsidRPr="000D7090">
              <w:rPr>
                <w:color w:val="000000" w:themeColor="text1"/>
                <w:sz w:val="20"/>
                <w:szCs w:val="20"/>
              </w:rPr>
              <w:t xml:space="preserve">Es ist grundsätzlich der Jahresdurchschnitt der täglichen Geschäfte anzugeben (entsprechend den unter Funktionscodes 3.1-3.4 Zeilen 0160-0190, Spalte 0030 gemeldeten Werten). Ist dies nicht möglich, kann ein Durchschnittswert für einen kürzeren Zeitraum (z. B. einige Monate) angegeben werden. In Bezug auf die verschiedenen Funktionen sind insbesondere folgende Messwerte zu verwenden: </w:t>
            </w:r>
          </w:p>
          <w:p w14:paraId="7FE1BBC3" w14:textId="77777777" w:rsidR="00696584" w:rsidRPr="000D7090" w:rsidRDefault="002C4F63">
            <w:pPr>
              <w:pStyle w:val="P68B1DB1-TableParagraph16"/>
              <w:spacing w:before="108"/>
              <w:jc w:val="both"/>
              <w:rPr>
                <w:color w:val="000000" w:themeColor="text1"/>
                <w:sz w:val="20"/>
                <w:szCs w:val="20"/>
              </w:rPr>
            </w:pPr>
            <w:r w:rsidRPr="000D7090">
              <w:rPr>
                <w:color w:val="000000" w:themeColor="text1"/>
                <w:sz w:val="20"/>
                <w:szCs w:val="20"/>
              </w:rPr>
              <w:t xml:space="preserve">Zahlungsdienste (Funktionscode 3.1-3.2): Zahl der gesendeten Zahlungsvorgänge Weiterführende Informationen: EU-Richtlinie über Zahlungsdienste im Binnenmarkt (2015/2366) Artikel 4 Absatz 5; Verordnung (EU) Nr. 1409/2013 der EZB zur Zahlungsverkehrsstatistik (EZB/2013/43). </w:t>
            </w:r>
          </w:p>
          <w:p w14:paraId="7FE1BBC4" w14:textId="176A1AD0" w:rsidR="00696584" w:rsidRPr="000D7090" w:rsidRDefault="002C4F63">
            <w:pPr>
              <w:pStyle w:val="P68B1DB1-TableParagraph16"/>
              <w:spacing w:before="108"/>
              <w:jc w:val="both"/>
              <w:rPr>
                <w:color w:val="000000" w:themeColor="text1"/>
                <w:sz w:val="20"/>
                <w:szCs w:val="20"/>
              </w:rPr>
            </w:pPr>
            <w:r w:rsidRPr="000D7090">
              <w:rPr>
                <w:color w:val="000000" w:themeColor="text1"/>
                <w:sz w:val="20"/>
                <w:szCs w:val="20"/>
              </w:rPr>
              <w:t xml:space="preserve">Bargelddienstleistungen (Funktionscode 3.3): Wert der Transaktionen an Terminals nach Tabelle 5a in EZB/2021/16 sowie der Bargeldabhebungen am Schalter nach Tabelle 4 in EZB/2014/15. </w:t>
            </w:r>
          </w:p>
          <w:p w14:paraId="7FE1BBC5" w14:textId="3B5909ED" w:rsidR="00696584" w:rsidRDefault="002C4F63">
            <w:pPr>
              <w:pStyle w:val="P68B1DB1-TableParagraph16"/>
              <w:spacing w:before="108"/>
              <w:jc w:val="both"/>
              <w:rPr>
                <w:b/>
                <w:bCs/>
                <w:color w:val="000000" w:themeColor="text1"/>
                <w:sz w:val="20"/>
                <w:szCs w:val="20"/>
              </w:rPr>
            </w:pPr>
            <w:r w:rsidRPr="000D7090">
              <w:rPr>
                <w:color w:val="000000" w:themeColor="text1"/>
                <w:sz w:val="20"/>
                <w:szCs w:val="20"/>
              </w:rPr>
              <w:t>Wertpapierabrechnungsdienstleistungen</w:t>
            </w:r>
            <w:r w:rsidR="00001922" w:rsidRPr="000D7090">
              <w:rPr>
                <w:color w:val="000000" w:themeColor="text1"/>
                <w:sz w:val="20"/>
                <w:szCs w:val="20"/>
              </w:rPr>
              <w:t xml:space="preserve"> </w:t>
            </w:r>
            <w:r w:rsidRPr="000D7090">
              <w:rPr>
                <w:color w:val="000000" w:themeColor="text1"/>
                <w:sz w:val="20"/>
                <w:szCs w:val="20"/>
              </w:rPr>
              <w:t>(Funktionscode 3.4): Zahl der im Namen von Kunden durchgeführten Wertpapierübertragungen. Dies betrifft auch Transaktionen, die mit einem Wertpapierabrechnungssystem oder von den meldenden Instituten intern abgewickelt werden, sowie Transaktionen ohne Gegenwertverrechnung.</w:t>
            </w:r>
          </w:p>
        </w:tc>
      </w:tr>
      <w:tr w:rsidR="00696584" w14:paraId="7FE1BBCA" w14:textId="77777777">
        <w:tc>
          <w:tcPr>
            <w:tcW w:w="1080" w:type="dxa"/>
            <w:tcBorders>
              <w:top w:val="single" w:sz="4" w:space="0" w:color="1A171C"/>
              <w:left w:val="nil"/>
              <w:bottom w:val="single" w:sz="4" w:space="0" w:color="1A171C"/>
              <w:right w:val="single" w:sz="4" w:space="0" w:color="1A171C"/>
            </w:tcBorders>
            <w:vAlign w:val="center"/>
          </w:tcPr>
          <w:p w14:paraId="7FE1BBC7" w14:textId="77777777" w:rsidR="00696584" w:rsidRDefault="002C4F63">
            <w:pPr>
              <w:pStyle w:val="P68B1DB1-TableParagraph17"/>
              <w:spacing w:before="108"/>
              <w:jc w:val="both"/>
            </w:pPr>
            <w:r>
              <w:t>0110</w:t>
            </w:r>
          </w:p>
        </w:tc>
        <w:tc>
          <w:tcPr>
            <w:tcW w:w="8003" w:type="dxa"/>
            <w:tcBorders>
              <w:top w:val="single" w:sz="4" w:space="0" w:color="1A171C"/>
              <w:left w:val="single" w:sz="4" w:space="0" w:color="1A171C"/>
              <w:bottom w:val="single" w:sz="4" w:space="0" w:color="1A171C"/>
              <w:right w:val="nil"/>
            </w:tcBorders>
            <w:vAlign w:val="center"/>
          </w:tcPr>
          <w:p w14:paraId="7FE1BBC8" w14:textId="77777777" w:rsidR="00696584" w:rsidRDefault="002C4F63">
            <w:pPr>
              <w:pStyle w:val="P68B1DB1-TableParagraph14"/>
              <w:spacing w:before="108"/>
              <w:ind w:left="85"/>
              <w:jc w:val="both"/>
              <w:rPr>
                <w:bCs/>
              </w:rPr>
            </w:pPr>
            <w:r>
              <w:t>Zahl der Kunden</w:t>
            </w:r>
          </w:p>
          <w:p w14:paraId="7FE1BBC9" w14:textId="5C934B58" w:rsidR="00696584" w:rsidRDefault="002C4F63">
            <w:pPr>
              <w:pStyle w:val="P68B1DB1-TableParagraph13"/>
              <w:spacing w:before="108"/>
              <w:ind w:left="85"/>
              <w:jc w:val="both"/>
            </w:pPr>
            <w:r>
              <w:t>Zahl der (gebietsansässigen und gebietsfremden) Kunden, für die die Dienstleistung erbracht wird. Benutzt derselbe Kunde eine Dienstleistung einer Unterfunktion mehr als einmal, so ist der Kunde nur einmal zu zählen.</w:t>
            </w:r>
          </w:p>
        </w:tc>
      </w:tr>
      <w:tr w:rsidR="00696584" w14:paraId="7FE1BBD6" w14:textId="77777777">
        <w:tc>
          <w:tcPr>
            <w:tcW w:w="1080" w:type="dxa"/>
            <w:tcBorders>
              <w:top w:val="single" w:sz="4" w:space="0" w:color="1A171C"/>
              <w:left w:val="nil"/>
              <w:bottom w:val="single" w:sz="4" w:space="0" w:color="1A171C"/>
              <w:right w:val="single" w:sz="4" w:space="0" w:color="1A171C"/>
            </w:tcBorders>
            <w:vAlign w:val="center"/>
          </w:tcPr>
          <w:p w14:paraId="7FE1BBCE" w14:textId="77777777" w:rsidR="00696584" w:rsidRDefault="002C4F63">
            <w:pPr>
              <w:pStyle w:val="P68B1DB1-TableParagraph17"/>
              <w:spacing w:before="108"/>
              <w:jc w:val="both"/>
            </w:pPr>
            <w:r>
              <w:t>0120 – 0190</w:t>
            </w:r>
          </w:p>
        </w:tc>
        <w:tc>
          <w:tcPr>
            <w:tcW w:w="8003" w:type="dxa"/>
            <w:tcBorders>
              <w:top w:val="single" w:sz="4" w:space="0" w:color="1A171C"/>
              <w:left w:val="single" w:sz="4" w:space="0" w:color="1A171C"/>
              <w:bottom w:val="single" w:sz="4" w:space="0" w:color="1A171C"/>
              <w:right w:val="nil"/>
            </w:tcBorders>
            <w:vAlign w:val="center"/>
          </w:tcPr>
          <w:p w14:paraId="7FE1BBCF" w14:textId="77777777" w:rsidR="00696584" w:rsidRDefault="002C4F63">
            <w:pPr>
              <w:pStyle w:val="P68B1DB1-TableParagraph14"/>
              <w:spacing w:before="108"/>
              <w:jc w:val="both"/>
              <w:rPr>
                <w:bCs/>
              </w:rPr>
            </w:pPr>
            <w:r>
              <w:t>Auswirkungs- und Substituierbarkeitsanalysen</w:t>
            </w:r>
          </w:p>
          <w:p w14:paraId="7FE1BBD0" w14:textId="77777777" w:rsidR="00696584" w:rsidRDefault="002C4F63">
            <w:pPr>
              <w:pStyle w:val="P68B1DB1-TableParagraph13"/>
              <w:spacing w:before="108"/>
              <w:jc w:val="both"/>
            </w:pPr>
            <w:r>
              <w:t>Nach der Delegierten Verordnung (EU) 2016/778 umfassen die Bewertungskriterien für die Auswirkungen auf Dritte die folgenden Elemente:</w:t>
            </w:r>
          </w:p>
          <w:p w14:paraId="7FE1BBD1" w14:textId="77777777" w:rsidR="00696584" w:rsidRDefault="002C4F63">
            <w:pPr>
              <w:pStyle w:val="P68B1DB1-ListParagraph38"/>
              <w:numPr>
                <w:ilvl w:val="0"/>
                <w:numId w:val="131"/>
              </w:numPr>
              <w:spacing w:line="276" w:lineRule="auto"/>
            </w:pPr>
            <w:r>
              <w:t>Art und Reichweite der Tätigkeit, globale, nationale oder regionale Reichweite, Umfang und Anzahl der Transaktionen; die Zahl der Kunden und Gegenparteien; die Anzahl der Kunden, für die das Unternehmen der einzige oder der wichtigste Bankpartner ist.</w:t>
            </w:r>
          </w:p>
          <w:p w14:paraId="7FE1BBD2" w14:textId="77777777" w:rsidR="00696584" w:rsidRDefault="002C4F63">
            <w:pPr>
              <w:pStyle w:val="P68B1DB1-ListParagraph38"/>
              <w:numPr>
                <w:ilvl w:val="0"/>
                <w:numId w:val="131"/>
              </w:numPr>
              <w:spacing w:line="276" w:lineRule="auto"/>
            </w:pPr>
            <w:r>
              <w:t>die Bedeutung des Instituts auf lokaler, regionaler, nationaler oder europäischer Ebene, je nach betreffendem Markt. Die Bedeutung des Instituts kann auf Grundlage des Marktanteils, der bestehenden Verflechtungen, der Komplexität und der grenzüberschreitenden Tätigkeiten bewertet werden;</w:t>
            </w:r>
          </w:p>
          <w:p w14:paraId="7FE1BBD3" w14:textId="77777777" w:rsidR="00696584" w:rsidRDefault="002C4F63">
            <w:pPr>
              <w:pStyle w:val="P68B1DB1-ListParagraph38"/>
              <w:numPr>
                <w:ilvl w:val="0"/>
                <w:numId w:val="131"/>
              </w:numPr>
              <w:spacing w:line="276" w:lineRule="auto"/>
            </w:pPr>
            <w:r>
              <w:t xml:space="preserve">Art der Kunden und Interessenträger, die von der Funktion betroffen sind, wie zum Beispiel Privat- und Firmenkunden, Interbankenkunden, zentrale Clearingstellen und öffentlich-rechtliche Einrichtungen; </w:t>
            </w:r>
          </w:p>
          <w:p w14:paraId="7FE1BBD4" w14:textId="77777777" w:rsidR="00696584" w:rsidRDefault="002C4F63">
            <w:pPr>
              <w:pStyle w:val="P68B1DB1-ListParagraph38"/>
              <w:numPr>
                <w:ilvl w:val="0"/>
                <w:numId w:val="131"/>
              </w:numPr>
              <w:spacing w:line="276" w:lineRule="auto"/>
            </w:pPr>
            <w:r>
              <w:t>die Folgen eines möglichen Ausfalls der Funktion für Märkte, Infrastrukturen, Kunden und öffentliche Dienste. Die Bewertung kann insbesondere die Auswirkungen auf die Liquidität der betreffenden Märkte, die Auswirkungen und das Ausmaß von Störungen des Kundengeschäfts und den kurzfristigen Liquiditätsbedarf umfassen; die Wahrnehmung für Gegenparteien, Kunden und die Öffentlichkeit; Kapazität und Schnelligkeit der Kundenreaktion; die Relevanz für das Funktionieren anderer Märkte; die Auswirkungen auf die Liquidität, die Geschäfte und die Struktur eines anderen Marktes; die Auswirkungen auf andere Gegenparteien im Zusammenhang mit den Hauptkunden und die Wechselbeziehung zwischen der Funktion und anderen Dienstleistungen.</w:t>
            </w:r>
          </w:p>
          <w:p w14:paraId="7FE1BBD5" w14:textId="77777777" w:rsidR="00696584" w:rsidRDefault="00696584">
            <w:pPr>
              <w:pStyle w:val="TableParagraph"/>
              <w:spacing w:before="108"/>
              <w:jc w:val="both"/>
              <w:rPr>
                <w:rFonts w:ascii="Times New Roman" w:hAnsi="Times New Roman" w:cs="Times New Roman"/>
                <w:color w:val="000000" w:themeColor="text1"/>
                <w:sz w:val="20"/>
                <w:szCs w:val="20"/>
              </w:rPr>
            </w:pPr>
          </w:p>
        </w:tc>
      </w:tr>
      <w:tr w:rsidR="00696584" w14:paraId="7FE1BBDA" w14:textId="77777777">
        <w:tc>
          <w:tcPr>
            <w:tcW w:w="1080" w:type="dxa"/>
            <w:tcBorders>
              <w:top w:val="single" w:sz="4" w:space="0" w:color="1A171C"/>
              <w:left w:val="nil"/>
              <w:bottom w:val="single" w:sz="4" w:space="0" w:color="1A171C"/>
              <w:right w:val="single" w:sz="4" w:space="0" w:color="1A171C"/>
            </w:tcBorders>
            <w:vAlign w:val="center"/>
          </w:tcPr>
          <w:p w14:paraId="7FE1BBD7" w14:textId="77777777" w:rsidR="00696584" w:rsidRDefault="002C4F63">
            <w:pPr>
              <w:pStyle w:val="P68B1DB1-TableParagraph17"/>
              <w:spacing w:before="108"/>
              <w:jc w:val="both"/>
            </w:pPr>
            <w:r>
              <w:lastRenderedPageBreak/>
              <w:t>0120 – 0140</w:t>
            </w:r>
          </w:p>
        </w:tc>
        <w:tc>
          <w:tcPr>
            <w:tcW w:w="8003" w:type="dxa"/>
            <w:tcBorders>
              <w:top w:val="single" w:sz="4" w:space="0" w:color="1A171C"/>
              <w:left w:val="single" w:sz="4" w:space="0" w:color="1A171C"/>
              <w:bottom w:val="single" w:sz="4" w:space="0" w:color="1A171C"/>
              <w:right w:val="nil"/>
            </w:tcBorders>
            <w:vAlign w:val="center"/>
          </w:tcPr>
          <w:p w14:paraId="7FE1BBD8" w14:textId="77777777" w:rsidR="00696584" w:rsidRDefault="002C4F63">
            <w:pPr>
              <w:pStyle w:val="P68B1DB1-TableParagraph14"/>
              <w:spacing w:before="108"/>
              <w:jc w:val="both"/>
              <w:rPr>
                <w:bCs/>
              </w:rPr>
            </w:pPr>
            <w:r>
              <w:t xml:space="preserve">Art und Reichweite </w:t>
            </w:r>
          </w:p>
          <w:p w14:paraId="7FE1BBD9" w14:textId="77777777" w:rsidR="00696584" w:rsidRDefault="002C4F63">
            <w:pPr>
              <w:pStyle w:val="P68B1DB1-TableParagraph13"/>
              <w:spacing w:before="108"/>
              <w:jc w:val="both"/>
            </w:pPr>
            <w:r>
              <w:t>Die globale, nationale oder regionale Reichweite, das Volumen und die Anzahl der Transaktionen; die Zahl der Kunden und Gegenparteien; die Anzahl der Kunden, für die das Unternehmen der einzige oder der wichtigste Bankpartner ist.</w:t>
            </w:r>
          </w:p>
        </w:tc>
      </w:tr>
      <w:tr w:rsidR="00696584" w14:paraId="7FE1BBE0" w14:textId="77777777">
        <w:tc>
          <w:tcPr>
            <w:tcW w:w="1080" w:type="dxa"/>
            <w:tcBorders>
              <w:top w:val="single" w:sz="4" w:space="0" w:color="1A171C"/>
              <w:left w:val="nil"/>
              <w:bottom w:val="single" w:sz="4" w:space="0" w:color="1A171C"/>
              <w:right w:val="single" w:sz="4" w:space="0" w:color="1A171C"/>
            </w:tcBorders>
            <w:vAlign w:val="center"/>
          </w:tcPr>
          <w:p w14:paraId="7FE1BBDB" w14:textId="77777777" w:rsidR="00696584" w:rsidRDefault="002C4F63">
            <w:pPr>
              <w:pStyle w:val="P68B1DB1-TableParagraph17"/>
              <w:spacing w:before="108"/>
              <w:jc w:val="both"/>
            </w:pPr>
            <w:r>
              <w:t>0120</w:t>
            </w:r>
          </w:p>
        </w:tc>
        <w:tc>
          <w:tcPr>
            <w:tcW w:w="8003" w:type="dxa"/>
            <w:tcBorders>
              <w:top w:val="single" w:sz="4" w:space="0" w:color="1A171C"/>
              <w:left w:val="single" w:sz="4" w:space="0" w:color="1A171C"/>
              <w:bottom w:val="single" w:sz="4" w:space="0" w:color="1A171C"/>
              <w:right w:val="nil"/>
            </w:tcBorders>
            <w:vAlign w:val="center"/>
          </w:tcPr>
          <w:p w14:paraId="7FE1BBDC" w14:textId="77777777" w:rsidR="00696584" w:rsidRDefault="002C4F63">
            <w:pPr>
              <w:pStyle w:val="P68B1DB1-TableParagraph14"/>
              <w:spacing w:before="108"/>
              <w:jc w:val="both"/>
              <w:rPr>
                <w:bCs/>
              </w:rPr>
            </w:pPr>
            <w:r>
              <w:t>Größenindikator 1</w:t>
            </w:r>
          </w:p>
          <w:p w14:paraId="0D530995" w14:textId="77777777" w:rsidR="00696584" w:rsidRDefault="002C4F63">
            <w:pPr>
              <w:pStyle w:val="P68B1DB1-Normal31"/>
              <w:spacing w:line="276" w:lineRule="auto"/>
              <w:jc w:val="both"/>
            </w:pPr>
            <w:r>
              <w:t xml:space="preserve">Es ist eine Bewertung der Bedeutung der Bank bezüglich dieser Tätigkeiten vorzunehmen. Diese Bewertung wird qualitativ als „hoch“, „mittelhoch“, „mittel-niedrig“ oder „niedrig“ ausgedrückt. Angabe „hoch“, wenn die Größe der Funktion groß ist, „mittel-hoch“, wenn sie mittel ist, „mittel-niedrig“, wenn sie klein ist, und „niedrig“, wenn sie vernachlässigbar ist. Als Maßstab für diese qualitative Bewertung kann auf makroökonomische Variablen abgestellt werden, zum Beispiel BIP, Bevölkerung (für Einlagen, Kreditvergabe, Zahlungs-, Bargeld-, Abrechnungs-, Clearing- und Verwahrungsdienste) oder Marktgröße (für Kapitalmärkte und großvolumige Finanzierungen). </w:t>
            </w:r>
          </w:p>
          <w:p w14:paraId="7FE1BBDD" w14:textId="31D8226E" w:rsidR="00696584" w:rsidRDefault="00696584">
            <w:pPr>
              <w:pStyle w:val="TableParagraph"/>
              <w:spacing w:before="108"/>
              <w:jc w:val="both"/>
              <w:rPr>
                <w:rFonts w:ascii="Times New Roman" w:hAnsi="Times New Roman" w:cs="Times New Roman"/>
                <w:color w:val="000000" w:themeColor="text1"/>
                <w:sz w:val="20"/>
                <w:szCs w:val="20"/>
              </w:rPr>
            </w:pPr>
          </w:p>
          <w:p w14:paraId="7FE1BBDE" w14:textId="19F9153D" w:rsidR="00696584" w:rsidRDefault="002C4F63">
            <w:pPr>
              <w:pStyle w:val="P68B1DB1-ListParagraph32"/>
              <w:numPr>
                <w:ilvl w:val="0"/>
                <w:numId w:val="300"/>
              </w:numPr>
              <w:spacing w:line="276" w:lineRule="auto"/>
            </w:pPr>
            <w:r>
              <w:t xml:space="preserve">Fachliche Beurteilung des </w:t>
            </w:r>
            <w:r w:rsidRPr="000D7090">
              <w:rPr>
                <w:b/>
                <w:bCs/>
              </w:rPr>
              <w:t>Umfangs</w:t>
            </w:r>
            <w:r>
              <w:t xml:space="preserve"> </w:t>
            </w:r>
            <w:r w:rsidRPr="000D7090">
              <w:rPr>
                <w:bCs/>
              </w:rPr>
              <w:t>der</w:t>
            </w:r>
            <w:r w:rsidRPr="00084FEA">
              <w:rPr>
                <w:bCs/>
              </w:rPr>
              <w:t xml:space="preserve"> </w:t>
            </w:r>
            <w:r>
              <w:t xml:space="preserve">Transaktionen (c0030 für die Funktionen ID 3.1, 3.2, 3.3 und 3.4); offene Positionen (c0050 für ID 3.5); oder insgesamt verwahrte Vermögenswerte (c0060 für ID 3.6) aus </w:t>
            </w:r>
            <w:r>
              <w:rPr>
                <w:b/>
              </w:rPr>
              <w:t>EU</w:t>
            </w:r>
            <w:r>
              <w:t xml:space="preserve"> -Perspektive [</w:t>
            </w:r>
            <w:r>
              <w:rPr>
                <w:i/>
              </w:rPr>
              <w:t>eine Stufe höher als der relevante Markt]</w:t>
            </w:r>
            <w:r>
              <w:t xml:space="preserve">: </w:t>
            </w:r>
          </w:p>
          <w:p w14:paraId="7FE1BBDF" w14:textId="77777777" w:rsidR="00696584" w:rsidRDefault="002C4F63">
            <w:pPr>
              <w:pStyle w:val="P68B1DB1-ListParagraph32"/>
              <w:numPr>
                <w:ilvl w:val="0"/>
                <w:numId w:val="126"/>
              </w:numPr>
              <w:spacing w:line="276" w:lineRule="auto"/>
            </w:pPr>
            <w:r>
              <w:t xml:space="preserve">Für wie hoch halten Sie – aus EU-Perspektive – den Wert der von Ihrer Bank verarbeiteten Transaktionen </w:t>
            </w:r>
            <w:r>
              <w:rPr>
                <w:i/>
              </w:rPr>
              <w:t>oder</w:t>
            </w:r>
            <w:r>
              <w:t xml:space="preserve"> der offenen Positionen der Kunden Ihrer Bank bei zentralen Gegenparteien (CCP) </w:t>
            </w:r>
            <w:r>
              <w:rPr>
                <w:i/>
              </w:rPr>
              <w:t>oder</w:t>
            </w:r>
            <w:r>
              <w:t xml:space="preserve"> des Gesamtvermögens, das Ihr Institut für seine Kunden verwahrt?</w:t>
            </w:r>
          </w:p>
        </w:tc>
      </w:tr>
      <w:tr w:rsidR="00696584" w14:paraId="7FE1BBE7" w14:textId="77777777">
        <w:tc>
          <w:tcPr>
            <w:tcW w:w="1080" w:type="dxa"/>
            <w:tcBorders>
              <w:top w:val="single" w:sz="4" w:space="0" w:color="1A171C"/>
              <w:left w:val="nil"/>
              <w:bottom w:val="single" w:sz="4" w:space="0" w:color="1A171C"/>
              <w:right w:val="single" w:sz="4" w:space="0" w:color="1A171C"/>
            </w:tcBorders>
            <w:vAlign w:val="center"/>
          </w:tcPr>
          <w:p w14:paraId="7FE1BBE1" w14:textId="77777777" w:rsidR="00696584" w:rsidRDefault="002C4F63">
            <w:pPr>
              <w:pStyle w:val="P68B1DB1-TableParagraph17"/>
              <w:spacing w:before="108"/>
              <w:jc w:val="both"/>
            </w:pPr>
            <w:r>
              <w:t>0130</w:t>
            </w:r>
          </w:p>
        </w:tc>
        <w:tc>
          <w:tcPr>
            <w:tcW w:w="8003" w:type="dxa"/>
            <w:tcBorders>
              <w:top w:val="single" w:sz="4" w:space="0" w:color="1A171C"/>
              <w:left w:val="single" w:sz="4" w:space="0" w:color="1A171C"/>
              <w:bottom w:val="single" w:sz="4" w:space="0" w:color="1A171C"/>
              <w:right w:val="nil"/>
            </w:tcBorders>
            <w:vAlign w:val="center"/>
          </w:tcPr>
          <w:p w14:paraId="7FE1BBE2" w14:textId="77777777" w:rsidR="00696584" w:rsidRDefault="002C4F63">
            <w:pPr>
              <w:pStyle w:val="P68B1DB1-TableParagraph14"/>
              <w:spacing w:before="108"/>
              <w:jc w:val="both"/>
              <w:rPr>
                <w:bCs/>
              </w:rPr>
            </w:pPr>
            <w:r>
              <w:t>Größenindikator 2</w:t>
            </w:r>
          </w:p>
          <w:p w14:paraId="7D6A05E9" w14:textId="77777777" w:rsidR="00696584" w:rsidRDefault="002C4F63">
            <w:pPr>
              <w:pStyle w:val="P68B1DB1-Normal31"/>
              <w:spacing w:line="276" w:lineRule="auto"/>
              <w:jc w:val="both"/>
            </w:pPr>
            <w:r>
              <w:t xml:space="preserve">Es ist eine Bewertung der Bedeutung der Bank bezüglich dieser Tätigkeiten vorzunehmen. Diese Bewertung wird qualitativ als „hoch“, „mittelhoch“, „mittel-niedrig“ oder „niedrig“ ausgedrückt. Angabe „hoch“, wenn die Größe der Funktion groß ist, „mittel-hoch“, wenn sie mittel ist, „mittel-niedrig“, wenn sie klein ist, und „niedrig“, wenn sie vernachlässigbar ist. Als Maßstab für diese qualitative Bewertung kann auf makroökonomische Variablen abgestellt werden, zum Beispiel BIP, Bevölkerung (für Einlagen, Kreditvergabe, Zahlungs-, Bargeld-, Abrechnungs-, Clearing- und Verwahrungsdienste) oder Marktgröße (für Kapitalmärkte und großvolumige Finanzierungen). </w:t>
            </w:r>
          </w:p>
          <w:p w14:paraId="7FE1BBE3" w14:textId="27BCCC99" w:rsidR="00696584" w:rsidRDefault="002C4F63">
            <w:pPr>
              <w:pStyle w:val="P68B1DB1-TableParagraph13"/>
              <w:spacing w:before="108"/>
              <w:jc w:val="both"/>
            </w:pPr>
            <w:r>
              <w:t xml:space="preserve"> </w:t>
            </w:r>
          </w:p>
          <w:p w14:paraId="7FE1BBE4" w14:textId="0FB26117" w:rsidR="00696584" w:rsidRDefault="002C4F63">
            <w:pPr>
              <w:pStyle w:val="P68B1DB1-ListParagraph32"/>
              <w:numPr>
                <w:ilvl w:val="0"/>
                <w:numId w:val="120"/>
              </w:numPr>
              <w:spacing w:line="276" w:lineRule="auto"/>
            </w:pPr>
            <w:r>
              <w:t xml:space="preserve">Fachliche Beurteilung des Umfangs der </w:t>
            </w:r>
            <w:r>
              <w:rPr>
                <w:b/>
              </w:rPr>
              <w:t>Anzahl</w:t>
            </w:r>
            <w:r>
              <w:t xml:space="preserve"> der Transaktionen (c0100 für Funktionskennungen 3.1, 3.2, 3.3 und 3.4); oder Anzahl der Kunden (c0110 für ID 3.5 und 3.6) aus </w:t>
            </w:r>
            <w:r>
              <w:rPr>
                <w:b/>
              </w:rPr>
              <w:t>nationaler</w:t>
            </w:r>
            <w:r>
              <w:t xml:space="preserve"> Sicht [</w:t>
            </w:r>
            <w:r>
              <w:rPr>
                <w:i/>
              </w:rPr>
              <w:t>auf der Ebene des relevanten Marktes</w:t>
            </w:r>
            <w:r>
              <w:t>]:</w:t>
            </w:r>
          </w:p>
          <w:p w14:paraId="7FE1BBE5" w14:textId="77777777" w:rsidR="00696584" w:rsidRDefault="002C4F63">
            <w:pPr>
              <w:pStyle w:val="P68B1DB1-ListParagraph32"/>
              <w:numPr>
                <w:ilvl w:val="1"/>
                <w:numId w:val="124"/>
              </w:numPr>
              <w:spacing w:line="276" w:lineRule="auto"/>
            </w:pPr>
            <w:r>
              <w:t>Wie groß ist – aus nationaler Perspektive – die geschätzte Gesamtzahl der Transaktionen</w:t>
            </w:r>
            <w:r>
              <w:rPr>
                <w:i/>
              </w:rPr>
              <w:t xml:space="preserve"> oder</w:t>
            </w:r>
            <w:r>
              <w:t xml:space="preserve"> die geschätzte Zahl der Kunden Ihres Instituts?</w:t>
            </w:r>
          </w:p>
          <w:p w14:paraId="7FE1BBE6" w14:textId="77777777" w:rsidR="00696584" w:rsidRDefault="00696584">
            <w:pPr>
              <w:spacing w:line="276" w:lineRule="auto"/>
              <w:rPr>
                <w:rFonts w:ascii="Times New Roman" w:hAnsi="Times New Roman"/>
                <w:color w:val="000000" w:themeColor="text1"/>
                <w:sz w:val="20"/>
                <w:szCs w:val="20"/>
              </w:rPr>
            </w:pPr>
          </w:p>
        </w:tc>
      </w:tr>
      <w:tr w:rsidR="00696584" w14:paraId="7FE1BBEE" w14:textId="77777777">
        <w:tc>
          <w:tcPr>
            <w:tcW w:w="1080" w:type="dxa"/>
            <w:tcBorders>
              <w:top w:val="single" w:sz="4" w:space="0" w:color="1A171C"/>
              <w:left w:val="nil"/>
              <w:bottom w:val="single" w:sz="4" w:space="0" w:color="1A171C"/>
              <w:right w:val="single" w:sz="4" w:space="0" w:color="1A171C"/>
            </w:tcBorders>
            <w:vAlign w:val="center"/>
          </w:tcPr>
          <w:p w14:paraId="7FE1BBE8" w14:textId="77777777" w:rsidR="00696584" w:rsidRDefault="002C4F63">
            <w:pPr>
              <w:pStyle w:val="P68B1DB1-TableParagraph17"/>
              <w:spacing w:before="108"/>
              <w:jc w:val="both"/>
            </w:pPr>
            <w:r>
              <w:t>0140</w:t>
            </w:r>
          </w:p>
        </w:tc>
        <w:tc>
          <w:tcPr>
            <w:tcW w:w="8003" w:type="dxa"/>
            <w:tcBorders>
              <w:top w:val="single" w:sz="4" w:space="0" w:color="1A171C"/>
              <w:left w:val="single" w:sz="4" w:space="0" w:color="1A171C"/>
              <w:bottom w:val="single" w:sz="4" w:space="0" w:color="1A171C"/>
              <w:right w:val="nil"/>
            </w:tcBorders>
            <w:vAlign w:val="center"/>
          </w:tcPr>
          <w:p w14:paraId="7FE1BBE9" w14:textId="77777777" w:rsidR="00696584" w:rsidRDefault="002C4F63">
            <w:pPr>
              <w:pStyle w:val="P68B1DB1-TableParagraph14"/>
              <w:spacing w:before="108"/>
              <w:jc w:val="both"/>
              <w:rPr>
                <w:bCs/>
              </w:rPr>
            </w:pPr>
            <w:r>
              <w:t>Indikator für den Auslandsbezug</w:t>
            </w:r>
          </w:p>
          <w:p w14:paraId="7FE1BBEA" w14:textId="77777777" w:rsidR="00696584" w:rsidRDefault="002C4F63">
            <w:pPr>
              <w:pStyle w:val="P68B1DB1-TableParagraph13"/>
              <w:spacing w:before="108"/>
              <w:jc w:val="both"/>
            </w:pPr>
            <w:r>
              <w:t>Bitte geben Sie für die verschiedenen wirtschaftlichen Funktionen die relative Bedeutung grenzüberschreitender Aktivitäten an.</w:t>
            </w:r>
          </w:p>
          <w:p w14:paraId="7FE1BBEB" w14:textId="77777777" w:rsidR="00696584" w:rsidRDefault="002C4F63">
            <w:pPr>
              <w:pStyle w:val="P68B1DB1-TableParagraph13"/>
              <w:spacing w:before="108"/>
              <w:jc w:val="both"/>
            </w:pPr>
            <w:r>
              <w:t xml:space="preserve">Diese Bewertung ist nicht bei Meldungen vorzunehmen, für die der maßgebliche Markt als regional betrachtet wird. </w:t>
            </w:r>
          </w:p>
          <w:p w14:paraId="33B8C5E9" w14:textId="77777777" w:rsidR="00084FEA" w:rsidRDefault="002C4F63">
            <w:pPr>
              <w:pStyle w:val="P68B1DB1-TableParagraph33"/>
              <w:spacing w:before="108"/>
              <w:jc w:val="both"/>
            </w:pPr>
            <w:r>
              <w:t xml:space="preserve">Zahl der EU-Staaten, in denen das meldende Unternehmen einen Marktanteil von mehr als 2 % hat (ausgedrückt als Wert der Zahlungs-, Wertpapier- oder Bargeldtransaktionen oder der offenen </w:t>
            </w:r>
            <w:r>
              <w:lastRenderedPageBreak/>
              <w:t xml:space="preserve">Kundenpositionen bei zentralen Gegenparteien oder des Gesamtbetrags der verwahrten Vermögenswerte). </w:t>
            </w:r>
          </w:p>
          <w:p w14:paraId="31893031" w14:textId="23D8E3FD" w:rsidR="00696584" w:rsidRDefault="00D913E7">
            <w:pPr>
              <w:pStyle w:val="P68B1DB1-TableParagraph33"/>
              <w:spacing w:before="108"/>
              <w:jc w:val="both"/>
            </w:pPr>
            <w:r>
              <w:t>Meldung</w:t>
            </w:r>
            <w:r w:rsidR="002C4F63">
              <w:t xml:space="preserve">: </w:t>
            </w:r>
          </w:p>
          <w:p w14:paraId="58BCAA6E" w14:textId="52AF162F" w:rsidR="00696584" w:rsidRDefault="002C4F63">
            <w:pPr>
              <w:pStyle w:val="P68B1DB1-TableParagraph33"/>
              <w:numPr>
                <w:ilvl w:val="0"/>
                <w:numId w:val="282"/>
              </w:numPr>
              <w:spacing w:before="108"/>
              <w:jc w:val="both"/>
            </w:pPr>
            <w:r>
              <w:t xml:space="preserve">≤ 1 Land; </w:t>
            </w:r>
          </w:p>
          <w:p w14:paraId="5B55A7F9" w14:textId="6F4A508E" w:rsidR="00696584" w:rsidRDefault="002C4F63">
            <w:pPr>
              <w:pStyle w:val="P68B1DB1-TableParagraph33"/>
              <w:numPr>
                <w:ilvl w:val="0"/>
                <w:numId w:val="282"/>
              </w:numPr>
              <w:spacing w:before="108"/>
              <w:jc w:val="both"/>
            </w:pPr>
            <w:r>
              <w:t>2-3 Länder</w:t>
            </w:r>
            <w:r w:rsidR="00084FEA">
              <w:t>;</w:t>
            </w:r>
          </w:p>
          <w:p w14:paraId="6A334CED" w14:textId="15F946E0" w:rsidR="00696584" w:rsidRDefault="002C4F63">
            <w:pPr>
              <w:pStyle w:val="P68B1DB1-TableParagraph33"/>
              <w:numPr>
                <w:ilvl w:val="0"/>
                <w:numId w:val="282"/>
              </w:numPr>
              <w:spacing w:before="108"/>
              <w:jc w:val="both"/>
            </w:pPr>
            <w:r>
              <w:t xml:space="preserve">4-5 Länder; </w:t>
            </w:r>
          </w:p>
          <w:p w14:paraId="4D1B0AB8" w14:textId="03F4FDF2" w:rsidR="00696584" w:rsidRDefault="002C4F63">
            <w:pPr>
              <w:pStyle w:val="P68B1DB1-TableParagraph33"/>
              <w:numPr>
                <w:ilvl w:val="0"/>
                <w:numId w:val="282"/>
              </w:numPr>
              <w:spacing w:before="108"/>
              <w:jc w:val="both"/>
            </w:pPr>
            <w:r>
              <w:t xml:space="preserve">&gt; 5 Länder. </w:t>
            </w:r>
          </w:p>
          <w:p w14:paraId="7FE1BBED" w14:textId="6A2A41A1" w:rsidR="00696584" w:rsidRDefault="002C4F63">
            <w:pPr>
              <w:pStyle w:val="P68B1DB1-TableParagraph33"/>
              <w:spacing w:before="108"/>
              <w:jc w:val="both"/>
              <w:rPr>
                <w:rFonts w:cs="Times New Roman"/>
                <w:color w:val="000000" w:themeColor="text1"/>
              </w:rPr>
            </w:pPr>
            <w:r>
              <w:t xml:space="preserve"> </w:t>
            </w:r>
          </w:p>
        </w:tc>
      </w:tr>
      <w:tr w:rsidR="00696584" w14:paraId="7FE1BBFD" w14:textId="77777777">
        <w:tc>
          <w:tcPr>
            <w:tcW w:w="1080" w:type="dxa"/>
            <w:tcBorders>
              <w:top w:val="single" w:sz="4" w:space="0" w:color="1A171C"/>
              <w:left w:val="nil"/>
              <w:bottom w:val="single" w:sz="4" w:space="0" w:color="1A171C"/>
              <w:right w:val="single" w:sz="4" w:space="0" w:color="1A171C"/>
            </w:tcBorders>
            <w:vAlign w:val="center"/>
          </w:tcPr>
          <w:p w14:paraId="7FE1BBEF" w14:textId="77777777" w:rsidR="00696584" w:rsidRDefault="002C4F63">
            <w:pPr>
              <w:pStyle w:val="P68B1DB1-TableParagraph17"/>
              <w:spacing w:before="108"/>
              <w:jc w:val="both"/>
            </w:pPr>
            <w:r>
              <w:lastRenderedPageBreak/>
              <w:t>0150</w:t>
            </w:r>
          </w:p>
        </w:tc>
        <w:tc>
          <w:tcPr>
            <w:tcW w:w="8003" w:type="dxa"/>
            <w:tcBorders>
              <w:top w:val="single" w:sz="4" w:space="0" w:color="1A171C"/>
              <w:left w:val="single" w:sz="4" w:space="0" w:color="1A171C"/>
              <w:bottom w:val="single" w:sz="4" w:space="0" w:color="1A171C"/>
              <w:right w:val="nil"/>
            </w:tcBorders>
            <w:vAlign w:val="center"/>
          </w:tcPr>
          <w:p w14:paraId="7FE1BBF0" w14:textId="77777777" w:rsidR="00696584" w:rsidRDefault="002C4F63">
            <w:pPr>
              <w:pStyle w:val="P68B1DB1-TableParagraph14"/>
              <w:spacing w:before="108"/>
              <w:jc w:val="both"/>
              <w:rPr>
                <w:bCs/>
              </w:rPr>
            </w:pPr>
            <w:r>
              <w:t xml:space="preserve">Relevanz — </w:t>
            </w:r>
          </w:p>
          <w:p w14:paraId="7FE1BBF1" w14:textId="77777777" w:rsidR="00696584" w:rsidRDefault="002C4F63">
            <w:pPr>
              <w:pStyle w:val="P68B1DB1-TableParagraph13"/>
              <w:spacing w:before="108"/>
              <w:jc w:val="both"/>
            </w:pPr>
            <w:r>
              <w:t>Auf lokaler, regionaler, nationaler oder europäischer Ebene, je nach betreffendem Markt. Die Bedeutung des Instituts kann auf Grundlage des Marktanteils, der bestehenden Verflechtungen, der Komplexität und der grenzüberschreitenden Tätigkeiten bewertet werden;</w:t>
            </w:r>
          </w:p>
          <w:p w14:paraId="7FE1BBF2" w14:textId="77777777" w:rsidR="00696584" w:rsidRDefault="002C4F63">
            <w:pPr>
              <w:pStyle w:val="P68B1DB1-TableParagraph14"/>
              <w:spacing w:before="108"/>
              <w:jc w:val="both"/>
              <w:rPr>
                <w:bCs/>
              </w:rPr>
            </w:pPr>
            <w:r>
              <w:t>Marktanteil</w:t>
            </w:r>
          </w:p>
          <w:p w14:paraId="30AC503F" w14:textId="77777777" w:rsidR="00696584" w:rsidRDefault="002C4F63">
            <w:pPr>
              <w:pStyle w:val="P68B1DB1-Normal31"/>
              <w:spacing w:line="276" w:lineRule="auto"/>
              <w:jc w:val="both"/>
            </w:pPr>
            <w:r>
              <w:t xml:space="preserve">Beurteilen Sie, wie bedeutend der Marktanteil des meldenden Unternehmens ist, gemessen am nationalen oder maßgeblichen Markt, wie im Meldebogen vorgegeben. Diese Bewertung wird qualitativ wie folgt ausgedrückt: </w:t>
            </w:r>
          </w:p>
          <w:p w14:paraId="5D8F45F8" w14:textId="77777777" w:rsidR="00696584" w:rsidRDefault="002C4F63">
            <w:pPr>
              <w:pStyle w:val="P68B1DB1-ListParagraph32"/>
              <w:numPr>
                <w:ilvl w:val="0"/>
                <w:numId w:val="276"/>
              </w:numPr>
              <w:spacing w:line="276" w:lineRule="auto"/>
              <w:jc w:val="both"/>
            </w:pPr>
            <w:r>
              <w:t>Hoch, wenn der Marktanteil groß ist</w:t>
            </w:r>
          </w:p>
          <w:p w14:paraId="5C7C2710" w14:textId="77777777" w:rsidR="00696584" w:rsidRDefault="002C4F63">
            <w:pPr>
              <w:pStyle w:val="P68B1DB1-ListParagraph32"/>
              <w:numPr>
                <w:ilvl w:val="0"/>
                <w:numId w:val="276"/>
              </w:numPr>
              <w:spacing w:line="276" w:lineRule="auto"/>
              <w:jc w:val="both"/>
            </w:pPr>
            <w:r>
              <w:t>Mittel-hoch, wenn der Marktanteil mittel ist</w:t>
            </w:r>
          </w:p>
          <w:p w14:paraId="21F38734" w14:textId="77777777" w:rsidR="00696584" w:rsidRDefault="002C4F63">
            <w:pPr>
              <w:pStyle w:val="P68B1DB1-ListParagraph32"/>
              <w:numPr>
                <w:ilvl w:val="0"/>
                <w:numId w:val="276"/>
              </w:numPr>
              <w:spacing w:line="276" w:lineRule="auto"/>
              <w:jc w:val="both"/>
            </w:pPr>
            <w:r>
              <w:t xml:space="preserve">Mittel-niedrig, wenn der Marktanteil gering ist oder </w:t>
            </w:r>
          </w:p>
          <w:p w14:paraId="16968912" w14:textId="77777777" w:rsidR="00696584" w:rsidRDefault="002C4F63">
            <w:pPr>
              <w:pStyle w:val="P68B1DB1-ListParagraph32"/>
              <w:numPr>
                <w:ilvl w:val="0"/>
                <w:numId w:val="276"/>
              </w:numPr>
              <w:spacing w:line="276" w:lineRule="auto"/>
              <w:jc w:val="both"/>
            </w:pPr>
            <w:r>
              <w:t xml:space="preserve">Gering, wenn der Marktanteil vernachlässigbar ist. </w:t>
            </w:r>
          </w:p>
          <w:p w14:paraId="7FE1BBF7" w14:textId="3931B1D9" w:rsidR="00696584" w:rsidRDefault="00696584">
            <w:pPr>
              <w:pStyle w:val="ListParagraph"/>
              <w:spacing w:line="276" w:lineRule="auto"/>
              <w:jc w:val="both"/>
              <w:rPr>
                <w:rFonts w:ascii="Times New Roman" w:eastAsiaTheme="minorHAnsi" w:hAnsi="Times New Roman"/>
                <w:color w:val="000000" w:themeColor="text1"/>
                <w:sz w:val="20"/>
                <w:szCs w:val="20"/>
              </w:rPr>
            </w:pPr>
          </w:p>
          <w:p w14:paraId="7FE1BBF8" w14:textId="424FD682" w:rsidR="00696584" w:rsidRDefault="002C4F63">
            <w:pPr>
              <w:pStyle w:val="P68B1DB1-TableParagraph13"/>
              <w:spacing w:before="108"/>
              <w:jc w:val="both"/>
            </w:pPr>
            <w:r>
              <w:t>Bei dieser Beurteilung sind die Marktstruktur des Landes des meldenden Unternehmens (oder eines anderen maßgeblichen Marktes) sowie die in Teil 2:</w:t>
            </w:r>
            <w:r w:rsidR="00370AFA">
              <w:t xml:space="preserve"> </w:t>
            </w:r>
            <w:r>
              <w:t xml:space="preserve">Quantitative Daten gemeldeten Marktanteile zu berücksichtigen: </w:t>
            </w:r>
          </w:p>
          <w:p w14:paraId="7FE1BBF9" w14:textId="77777777" w:rsidR="00696584" w:rsidRDefault="002C4F63">
            <w:pPr>
              <w:pStyle w:val="P68B1DB1-TableParagraph13"/>
              <w:spacing w:before="108"/>
              <w:jc w:val="both"/>
            </w:pPr>
            <w:r>
              <w:t>2.Quantitative Daten:</w:t>
            </w:r>
          </w:p>
          <w:p w14:paraId="7FE1BBFA" w14:textId="77777777" w:rsidR="00696584" w:rsidRDefault="002C4F63">
            <w:pPr>
              <w:pStyle w:val="P68B1DB1-ListParagraph32"/>
              <w:numPr>
                <w:ilvl w:val="0"/>
                <w:numId w:val="117"/>
              </w:numPr>
              <w:jc w:val="both"/>
              <w:rPr>
                <w:i/>
                <w:iCs/>
              </w:rPr>
            </w:pPr>
            <w:r>
              <w:t xml:space="preserve">Sachverständige Beurteilung der Größe des </w:t>
            </w:r>
            <w:r>
              <w:rPr>
                <w:b/>
              </w:rPr>
              <w:t xml:space="preserve">nationalen </w:t>
            </w:r>
            <w:r>
              <w:t>Marktanteils (gemeldet in c0020, außer in Fällen, in denen sich die Meldung auf ein anderes relevantes Marktniveau bezieht, in diesem Fall wird eine Beurteilung des relevanten Marktanteils erwartet).</w:t>
            </w:r>
          </w:p>
          <w:p w14:paraId="7FE1BBFB" w14:textId="77777777" w:rsidR="00696584" w:rsidRDefault="00696584">
            <w:pPr>
              <w:pStyle w:val="TableParagraph"/>
              <w:spacing w:before="108"/>
              <w:jc w:val="both"/>
              <w:rPr>
                <w:rFonts w:ascii="Times New Roman" w:hAnsi="Times New Roman" w:cs="Times New Roman"/>
                <w:color w:val="000000" w:themeColor="text1"/>
                <w:sz w:val="20"/>
                <w:szCs w:val="20"/>
              </w:rPr>
            </w:pPr>
          </w:p>
          <w:p w14:paraId="7FE1BBFC" w14:textId="77777777" w:rsidR="00696584" w:rsidRDefault="00696584">
            <w:pPr>
              <w:pStyle w:val="TableParagraph"/>
              <w:spacing w:before="108"/>
              <w:jc w:val="both"/>
              <w:rPr>
                <w:rFonts w:ascii="Times New Roman" w:hAnsi="Times New Roman" w:cs="Times New Roman"/>
                <w:color w:val="000000" w:themeColor="text1"/>
                <w:sz w:val="20"/>
                <w:szCs w:val="20"/>
              </w:rPr>
            </w:pPr>
          </w:p>
        </w:tc>
      </w:tr>
      <w:tr w:rsidR="00696584" w14:paraId="7FE1BC09" w14:textId="77777777">
        <w:tc>
          <w:tcPr>
            <w:tcW w:w="1080" w:type="dxa"/>
            <w:tcBorders>
              <w:top w:val="single" w:sz="4" w:space="0" w:color="1A171C"/>
              <w:left w:val="nil"/>
              <w:bottom w:val="single" w:sz="4" w:space="0" w:color="1A171C"/>
              <w:right w:val="single" w:sz="4" w:space="0" w:color="1A171C"/>
            </w:tcBorders>
            <w:vAlign w:val="center"/>
          </w:tcPr>
          <w:p w14:paraId="7FE1BBFE" w14:textId="77777777" w:rsidR="00696584" w:rsidRDefault="002C4F63">
            <w:pPr>
              <w:pStyle w:val="P68B1DB1-TableParagraph17"/>
              <w:spacing w:before="108"/>
              <w:jc w:val="both"/>
            </w:pPr>
            <w:r>
              <w:t>0160</w:t>
            </w:r>
          </w:p>
        </w:tc>
        <w:tc>
          <w:tcPr>
            <w:tcW w:w="8003" w:type="dxa"/>
            <w:tcBorders>
              <w:top w:val="single" w:sz="4" w:space="0" w:color="1A171C"/>
              <w:left w:val="single" w:sz="4" w:space="0" w:color="1A171C"/>
              <w:bottom w:val="single" w:sz="4" w:space="0" w:color="1A171C"/>
              <w:right w:val="nil"/>
            </w:tcBorders>
            <w:vAlign w:val="center"/>
          </w:tcPr>
          <w:p w14:paraId="7FE1BBFF" w14:textId="77777777" w:rsidR="00696584" w:rsidRDefault="002C4F63">
            <w:pPr>
              <w:pStyle w:val="P68B1DB1-TableParagraph14"/>
              <w:spacing w:before="108"/>
              <w:jc w:val="both"/>
              <w:rPr>
                <w:bCs/>
              </w:rPr>
            </w:pPr>
            <w:r>
              <w:t>Marktstruktur – Marktkonzentration</w:t>
            </w:r>
          </w:p>
          <w:p w14:paraId="7FE1BC03" w14:textId="04E0597F" w:rsidR="00696584" w:rsidRDefault="002C4F63">
            <w:pPr>
              <w:pStyle w:val="P68B1DB1-TableParagraph13"/>
              <w:spacing w:before="108"/>
              <w:jc w:val="both"/>
            </w:pPr>
            <w:r>
              <w:t>Marktkonzentration, gemessen an der Zahl der derzeit tätigen Wettbewerber</w:t>
            </w:r>
            <w:r w:rsidR="00BD3768">
              <w:t>, welche</w:t>
            </w:r>
            <w:r>
              <w:t xml:space="preserve"> ähnliche wirtschaftliche Funktionen und/oder ähnliche Dienstleistungen zu gleichen Bedingungen anbieten (d. h. </w:t>
            </w:r>
            <w:r w:rsidR="00BD3768">
              <w:t xml:space="preserve">in vergleichbarem </w:t>
            </w:r>
            <w:r>
              <w:t xml:space="preserve">Umfang und Qualität sowie zu vergleichbaren Kosten) </w:t>
            </w:r>
            <w:r w:rsidR="00BD3768">
              <w:t xml:space="preserve">, die </w:t>
            </w:r>
            <w:r>
              <w:t>(</w:t>
            </w:r>
            <w:r w:rsidR="00BD3768">
              <w:t xml:space="preserve">ein </w:t>
            </w:r>
            <w:r>
              <w:t>Teil</w:t>
            </w:r>
            <w:r w:rsidR="00BD3768">
              <w:t xml:space="preserve"> der</w:t>
            </w:r>
            <w:r>
              <w:t xml:space="preserve">) Kunden und/oder Geschäfte des </w:t>
            </w:r>
            <w:r w:rsidR="006F02B1">
              <w:t xml:space="preserve">meldenden </w:t>
            </w:r>
            <w:r>
              <w:t>Unternehmens innerhalb eines angemessenen Zeitrahmens</w:t>
            </w:r>
            <w:r w:rsidR="00BD3768">
              <w:t xml:space="preserve"> übernehmen könnten</w:t>
            </w:r>
            <w:r>
              <w:t xml:space="preserve">. </w:t>
            </w:r>
          </w:p>
          <w:p w14:paraId="7FE1BC04" w14:textId="77777777" w:rsidR="00696584" w:rsidRDefault="002C4F63">
            <w:pPr>
              <w:pStyle w:val="P68B1DB1-TableParagraph13"/>
              <w:spacing w:before="108"/>
              <w:jc w:val="both"/>
            </w:pPr>
            <w:r>
              <w:t xml:space="preserve">Dies ist in Meldekategorien anzugeben, welche für die einzelnen Unterfunktionen gleich sind. </w:t>
            </w:r>
          </w:p>
          <w:p w14:paraId="4C2F14CB" w14:textId="77777777" w:rsidR="00696584" w:rsidRDefault="002C4F63">
            <w:pPr>
              <w:pStyle w:val="P68B1DB1-ListParagraph32"/>
              <w:numPr>
                <w:ilvl w:val="0"/>
                <w:numId w:val="277"/>
              </w:numPr>
              <w:jc w:val="both"/>
            </w:pPr>
            <w:r>
              <w:t xml:space="preserve">&gt; 20 Wettbewerber; </w:t>
            </w:r>
          </w:p>
          <w:p w14:paraId="453D853E" w14:textId="77777777" w:rsidR="00696584" w:rsidRDefault="002C4F63">
            <w:pPr>
              <w:pStyle w:val="P68B1DB1-ListParagraph32"/>
              <w:numPr>
                <w:ilvl w:val="0"/>
                <w:numId w:val="277"/>
              </w:numPr>
              <w:jc w:val="both"/>
            </w:pPr>
            <w:r>
              <w:t xml:space="preserve">11-20 Wettbewerber; </w:t>
            </w:r>
          </w:p>
          <w:p w14:paraId="642D6421" w14:textId="77777777" w:rsidR="00696584" w:rsidRDefault="002C4F63">
            <w:pPr>
              <w:pStyle w:val="P68B1DB1-ListParagraph32"/>
              <w:numPr>
                <w:ilvl w:val="0"/>
                <w:numId w:val="277"/>
              </w:numPr>
              <w:jc w:val="both"/>
            </w:pPr>
            <w:r>
              <w:t xml:space="preserve">5-10 Wettbewerber, </w:t>
            </w:r>
          </w:p>
          <w:p w14:paraId="3C672034" w14:textId="2DD60693" w:rsidR="00696584" w:rsidRDefault="009275AB">
            <w:pPr>
              <w:pStyle w:val="P68B1DB1-ListParagraph32"/>
              <w:numPr>
                <w:ilvl w:val="0"/>
                <w:numId w:val="277"/>
              </w:numPr>
              <w:jc w:val="both"/>
              <w:rPr>
                <w:b/>
                <w:bCs/>
                <w:color w:val="000000" w:themeColor="text1"/>
              </w:rPr>
            </w:pPr>
            <w:r>
              <w:t>&lt;5</w:t>
            </w:r>
            <w:r w:rsidR="002C4F63">
              <w:t xml:space="preserve"> Wettbewerber</w:t>
            </w:r>
          </w:p>
          <w:p w14:paraId="7FE1BC08" w14:textId="3B09659F" w:rsidR="00696584" w:rsidRDefault="00696584">
            <w:pPr>
              <w:jc w:val="both"/>
              <w:rPr>
                <w:rFonts w:ascii="Times New Roman" w:hAnsi="Times New Roman"/>
                <w:color w:val="000000" w:themeColor="text1"/>
                <w:sz w:val="20"/>
                <w:szCs w:val="20"/>
              </w:rPr>
            </w:pPr>
          </w:p>
        </w:tc>
      </w:tr>
      <w:tr w:rsidR="00696584" w14:paraId="7FE1BC19" w14:textId="77777777">
        <w:tc>
          <w:tcPr>
            <w:tcW w:w="1080" w:type="dxa"/>
            <w:tcBorders>
              <w:top w:val="single" w:sz="4" w:space="0" w:color="1A171C"/>
              <w:left w:val="nil"/>
              <w:bottom w:val="single" w:sz="4" w:space="0" w:color="1A171C"/>
              <w:right w:val="single" w:sz="4" w:space="0" w:color="1A171C"/>
            </w:tcBorders>
            <w:vAlign w:val="center"/>
          </w:tcPr>
          <w:p w14:paraId="7FE1BC0A" w14:textId="77777777" w:rsidR="00696584" w:rsidRDefault="002C4F63">
            <w:pPr>
              <w:pStyle w:val="P68B1DB1-TableParagraph17"/>
              <w:spacing w:before="108"/>
              <w:jc w:val="both"/>
            </w:pPr>
            <w:r>
              <w:t>0170</w:t>
            </w:r>
          </w:p>
        </w:tc>
        <w:tc>
          <w:tcPr>
            <w:tcW w:w="8003" w:type="dxa"/>
            <w:tcBorders>
              <w:top w:val="single" w:sz="4" w:space="0" w:color="1A171C"/>
              <w:left w:val="single" w:sz="4" w:space="0" w:color="1A171C"/>
              <w:bottom w:val="single" w:sz="4" w:space="0" w:color="1A171C"/>
              <w:right w:val="nil"/>
            </w:tcBorders>
            <w:vAlign w:val="center"/>
          </w:tcPr>
          <w:p w14:paraId="7FE1BC0B" w14:textId="77777777" w:rsidR="00696584" w:rsidRDefault="002C4F63">
            <w:pPr>
              <w:pStyle w:val="P68B1DB1-TableParagraph14"/>
              <w:spacing w:before="108"/>
              <w:jc w:val="both"/>
              <w:rPr>
                <w:bCs/>
              </w:rPr>
            </w:pPr>
            <w:r>
              <w:t>Timing – Voraussichtliche Zeit bis zur Substitution</w:t>
            </w:r>
          </w:p>
          <w:p w14:paraId="7FE1BC0C" w14:textId="1A7313CC" w:rsidR="00696584" w:rsidRDefault="002C4F63">
            <w:pPr>
              <w:pStyle w:val="P68B1DB1-TableParagraph13"/>
              <w:spacing w:before="108"/>
              <w:jc w:val="both"/>
            </w:pPr>
            <w:r>
              <w:lastRenderedPageBreak/>
              <w:t xml:space="preserve">Schätzung des Zeitaufwands </w:t>
            </w:r>
            <w:r w:rsidR="00370AFA">
              <w:t xml:space="preserve">der </w:t>
            </w:r>
            <w:r>
              <w:t>für</w:t>
            </w:r>
            <w:r w:rsidR="00370AFA">
              <w:t xml:space="preserve"> eine Marktabs</w:t>
            </w:r>
            <w:r w:rsidR="00BD3768">
              <w:t>or</w:t>
            </w:r>
            <w:r w:rsidR="00370AFA">
              <w:t xml:space="preserve">ption der </w:t>
            </w:r>
            <w:r>
              <w:t xml:space="preserve">in der </w:t>
            </w:r>
            <w:r w:rsidR="003139A0">
              <w:t xml:space="preserve">Meldung </w:t>
            </w:r>
            <w:r>
              <w:t>angegebene</w:t>
            </w:r>
            <w:r w:rsidR="00370AFA">
              <w:t>n</w:t>
            </w:r>
            <w:r>
              <w:t xml:space="preserve"> wirtschaftliche</w:t>
            </w:r>
            <w:r w:rsidR="00370AFA">
              <w:t>n</w:t>
            </w:r>
            <w:r>
              <w:t xml:space="preserve"> Funktion</w:t>
            </w:r>
            <w:r w:rsidR="00370AFA">
              <w:t xml:space="preserve"> erforderlich ist.</w:t>
            </w:r>
          </w:p>
          <w:p w14:paraId="7FE1BC0D" w14:textId="77777777" w:rsidR="00696584" w:rsidRDefault="002C4F63">
            <w:pPr>
              <w:pStyle w:val="P68B1DB1-TableParagraph13"/>
              <w:spacing w:before="108"/>
              <w:jc w:val="both"/>
            </w:pPr>
            <w:r>
              <w:t xml:space="preserve">Unternehmen, das in einer Krisensituation vom Markt absorbiert werden soll. Dies beinhaltet </w:t>
            </w:r>
          </w:p>
          <w:p w14:paraId="7FE1BC0E" w14:textId="77777777" w:rsidR="00696584" w:rsidRDefault="002C4F63">
            <w:pPr>
              <w:pStyle w:val="P68B1DB1-ListParagraph38"/>
              <w:numPr>
                <w:ilvl w:val="0"/>
                <w:numId w:val="274"/>
              </w:numPr>
              <w:jc w:val="both"/>
            </w:pPr>
            <w:r>
              <w:t xml:space="preserve">der für einen oder mehrere Konkurrenten erforderliche Zeitaufwand für die Schaffung der rechtlichen und technischen Voraussetzungen für die Übernahme der Funktion; sowie  </w:t>
            </w:r>
          </w:p>
          <w:p w14:paraId="7FE1BC0F" w14:textId="77777777" w:rsidR="00696584" w:rsidRDefault="002C4F63">
            <w:pPr>
              <w:pStyle w:val="P68B1DB1-ListParagraph38"/>
              <w:numPr>
                <w:ilvl w:val="0"/>
                <w:numId w:val="274"/>
              </w:numPr>
              <w:jc w:val="both"/>
            </w:pPr>
            <w:r>
              <w:t xml:space="preserve">der für die Nutzer des Dienstes erforderliche Zeitaufwand für den Wechsel zu einem anderen Anbieter. </w:t>
            </w:r>
          </w:p>
          <w:p w14:paraId="7FE1BC10" w14:textId="77777777" w:rsidR="00696584" w:rsidRDefault="00696584">
            <w:pPr>
              <w:pStyle w:val="TableParagraph"/>
              <w:spacing w:before="108"/>
              <w:jc w:val="both"/>
              <w:rPr>
                <w:rFonts w:ascii="Times New Roman" w:hAnsi="Times New Roman" w:cs="Times New Roman"/>
                <w:color w:val="000000" w:themeColor="text1"/>
                <w:sz w:val="20"/>
                <w:szCs w:val="20"/>
              </w:rPr>
            </w:pPr>
          </w:p>
          <w:p w14:paraId="7FE1BC11" w14:textId="77777777" w:rsidR="00696584" w:rsidRDefault="002C4F63">
            <w:pPr>
              <w:pStyle w:val="P68B1DB1-TableParagraph13"/>
              <w:spacing w:before="108"/>
              <w:jc w:val="both"/>
            </w:pPr>
            <w:r>
              <w:t>Als Näherungswert kann angegeben werden, wie lange es nach eigenen Schätzungen dauern würde, einen von einem anderen Institut angebotenen Dienst im Krisenfall zu angemessenen Kosten ganz (oder zum Teil) ins eigene Geschäft einzugliedern. Geben Sie die geschätzte Zeit bis zur Substitution in den in der Vorlage angegebenen Unterklassen an:</w:t>
            </w:r>
          </w:p>
          <w:p w14:paraId="7FE1BC12" w14:textId="77777777" w:rsidR="00696584" w:rsidRDefault="00696584">
            <w:pPr>
              <w:jc w:val="both"/>
              <w:rPr>
                <w:rFonts w:ascii="Times New Roman" w:eastAsia="Times New Roman" w:hAnsi="Times New Roman" w:cs="Times New Roman"/>
                <w:sz w:val="20"/>
                <w:szCs w:val="20"/>
              </w:rPr>
            </w:pPr>
          </w:p>
          <w:p w14:paraId="7FE1BC13" w14:textId="4BCB3B7F" w:rsidR="00696584" w:rsidRDefault="00BF7349">
            <w:pPr>
              <w:pStyle w:val="P68B1DB1-Normal31"/>
              <w:jc w:val="both"/>
            </w:pPr>
            <w:bookmarkStart w:id="117" w:name="_Hlk194476081"/>
            <w:r>
              <w:t>Meldekategorien</w:t>
            </w:r>
            <w:r w:rsidR="002C4F63">
              <w:t xml:space="preserve">: </w:t>
            </w:r>
          </w:p>
          <w:p w14:paraId="7FE1BC14" w14:textId="4EB64E6D" w:rsidR="00696584" w:rsidRDefault="00825546">
            <w:pPr>
              <w:pStyle w:val="P68B1DB1-ListParagraph32"/>
              <w:numPr>
                <w:ilvl w:val="0"/>
                <w:numId w:val="284"/>
              </w:numPr>
              <w:jc w:val="both"/>
            </w:pPr>
            <w:r>
              <w:t xml:space="preserve">&lt; </w:t>
            </w:r>
            <w:r w:rsidR="002C4F63">
              <w:t xml:space="preserve">1 Tag; </w:t>
            </w:r>
          </w:p>
          <w:p w14:paraId="7FE1BC15" w14:textId="15883A0D" w:rsidR="00696584" w:rsidRDefault="002C4F63">
            <w:pPr>
              <w:pStyle w:val="P68B1DB1-ListParagraph32"/>
              <w:numPr>
                <w:ilvl w:val="0"/>
                <w:numId w:val="284"/>
              </w:numPr>
              <w:jc w:val="both"/>
            </w:pPr>
            <w:r>
              <w:t xml:space="preserve">1-2 Tage; </w:t>
            </w:r>
          </w:p>
          <w:p w14:paraId="48B79F04" w14:textId="77777777" w:rsidR="00EF26A6" w:rsidRDefault="002C4F63">
            <w:pPr>
              <w:pStyle w:val="P68B1DB1-ListParagraph32"/>
              <w:numPr>
                <w:ilvl w:val="0"/>
                <w:numId w:val="284"/>
              </w:numPr>
              <w:jc w:val="both"/>
            </w:pPr>
            <w:r>
              <w:t xml:space="preserve">&gt; 2 Tage </w:t>
            </w:r>
          </w:p>
          <w:p w14:paraId="7FE1BC16" w14:textId="5B6EE798" w:rsidR="00696584" w:rsidRDefault="002C4F63">
            <w:pPr>
              <w:pStyle w:val="P68B1DB1-ListParagraph32"/>
              <w:numPr>
                <w:ilvl w:val="0"/>
                <w:numId w:val="284"/>
              </w:numPr>
              <w:jc w:val="both"/>
            </w:pPr>
            <w:r>
              <w:t xml:space="preserve">≤ 1 Woche </w:t>
            </w:r>
          </w:p>
          <w:p w14:paraId="7FE1BC17" w14:textId="0973D87D" w:rsidR="00696584" w:rsidRDefault="002C4F63">
            <w:pPr>
              <w:pStyle w:val="P68B1DB1-ListParagraph32"/>
              <w:numPr>
                <w:ilvl w:val="0"/>
                <w:numId w:val="284"/>
              </w:numPr>
              <w:jc w:val="both"/>
            </w:pPr>
            <w:r>
              <w:t xml:space="preserve">&gt; 1 Woche. </w:t>
            </w:r>
          </w:p>
          <w:bookmarkEnd w:id="117"/>
          <w:p w14:paraId="7FE1BC18" w14:textId="77777777" w:rsidR="00696584" w:rsidRDefault="00696584">
            <w:pPr>
              <w:pStyle w:val="TableParagraph"/>
              <w:spacing w:before="108"/>
              <w:jc w:val="both"/>
              <w:rPr>
                <w:rFonts w:ascii="Times New Roman" w:hAnsi="Times New Roman" w:cs="Times New Roman"/>
                <w:color w:val="000000" w:themeColor="text1"/>
                <w:sz w:val="20"/>
                <w:szCs w:val="20"/>
              </w:rPr>
            </w:pPr>
          </w:p>
        </w:tc>
      </w:tr>
      <w:tr w:rsidR="00696584" w14:paraId="7FE1BC1C" w14:textId="77777777">
        <w:tc>
          <w:tcPr>
            <w:tcW w:w="1080" w:type="dxa"/>
            <w:tcBorders>
              <w:top w:val="single" w:sz="4" w:space="0" w:color="1A171C"/>
              <w:left w:val="nil"/>
              <w:bottom w:val="single" w:sz="4" w:space="0" w:color="1A171C"/>
              <w:right w:val="single" w:sz="4" w:space="0" w:color="1A171C"/>
            </w:tcBorders>
            <w:vAlign w:val="center"/>
          </w:tcPr>
          <w:p w14:paraId="7FE1BC1A" w14:textId="77777777" w:rsidR="00696584" w:rsidRDefault="002C4F63">
            <w:pPr>
              <w:pStyle w:val="P68B1DB1-TableParagraph17"/>
              <w:spacing w:before="108"/>
              <w:jc w:val="both"/>
            </w:pPr>
            <w:r>
              <w:lastRenderedPageBreak/>
              <w:t>0180 – 0190</w:t>
            </w:r>
          </w:p>
        </w:tc>
        <w:tc>
          <w:tcPr>
            <w:tcW w:w="8003" w:type="dxa"/>
            <w:tcBorders>
              <w:top w:val="single" w:sz="4" w:space="0" w:color="1A171C"/>
              <w:left w:val="single" w:sz="4" w:space="0" w:color="1A171C"/>
              <w:bottom w:val="single" w:sz="4" w:space="0" w:color="1A171C"/>
              <w:right w:val="nil"/>
            </w:tcBorders>
            <w:vAlign w:val="center"/>
          </w:tcPr>
          <w:p w14:paraId="7FE1BC1B" w14:textId="77777777" w:rsidR="00696584" w:rsidRDefault="002C4F63">
            <w:pPr>
              <w:pStyle w:val="P68B1DB1-TableParagraph14"/>
              <w:spacing w:before="108"/>
              <w:jc w:val="both"/>
              <w:rPr>
                <w:bCs/>
              </w:rPr>
            </w:pPr>
            <w:r>
              <w:t>Substituierbarkeit</w:t>
            </w:r>
          </w:p>
        </w:tc>
      </w:tr>
      <w:tr w:rsidR="00696584" w14:paraId="7FE1BC26" w14:textId="77777777">
        <w:tc>
          <w:tcPr>
            <w:tcW w:w="1080" w:type="dxa"/>
            <w:tcBorders>
              <w:top w:val="single" w:sz="4" w:space="0" w:color="1A171C"/>
              <w:left w:val="nil"/>
              <w:bottom w:val="single" w:sz="4" w:space="0" w:color="1A171C"/>
              <w:right w:val="single" w:sz="4" w:space="0" w:color="1A171C"/>
            </w:tcBorders>
            <w:vAlign w:val="center"/>
          </w:tcPr>
          <w:p w14:paraId="7FE1BC1D" w14:textId="77777777" w:rsidR="00696584" w:rsidRDefault="002C4F63">
            <w:pPr>
              <w:pStyle w:val="P68B1DB1-TableParagraph17"/>
              <w:spacing w:before="108"/>
              <w:jc w:val="both"/>
            </w:pPr>
            <w:r>
              <w:t>0180</w:t>
            </w:r>
          </w:p>
        </w:tc>
        <w:tc>
          <w:tcPr>
            <w:tcW w:w="8003" w:type="dxa"/>
            <w:tcBorders>
              <w:top w:val="single" w:sz="4" w:space="0" w:color="1A171C"/>
              <w:left w:val="single" w:sz="4" w:space="0" w:color="1A171C"/>
              <w:bottom w:val="single" w:sz="4" w:space="0" w:color="1A171C"/>
              <w:right w:val="nil"/>
            </w:tcBorders>
            <w:vAlign w:val="center"/>
          </w:tcPr>
          <w:p w14:paraId="7FE1BC1E" w14:textId="77777777" w:rsidR="00696584" w:rsidRDefault="002C4F63">
            <w:pPr>
              <w:pStyle w:val="P68B1DB1-TableParagraph14"/>
              <w:spacing w:before="108"/>
              <w:jc w:val="both"/>
              <w:rPr>
                <w:bCs/>
              </w:rPr>
            </w:pPr>
            <w:r>
              <w:t>Rechtliche Hindernisse für Markteintritt oder Markterweiterung</w:t>
            </w:r>
          </w:p>
          <w:p w14:paraId="7FE1BC1F" w14:textId="77777777" w:rsidR="00696584" w:rsidRDefault="00696584">
            <w:pPr>
              <w:pStyle w:val="TableParagraph"/>
              <w:spacing w:before="108"/>
              <w:jc w:val="both"/>
              <w:rPr>
                <w:rFonts w:ascii="Times New Roman" w:hAnsi="Times New Roman" w:cs="Times New Roman"/>
                <w:color w:val="000000" w:themeColor="text1"/>
                <w:sz w:val="20"/>
                <w:szCs w:val="20"/>
              </w:rPr>
            </w:pPr>
          </w:p>
          <w:p w14:paraId="7FE1BC20" w14:textId="77777777" w:rsidR="00696584" w:rsidRDefault="002C4F63">
            <w:pPr>
              <w:pStyle w:val="P68B1DB1-TableParagraph13"/>
              <w:spacing w:before="108"/>
              <w:jc w:val="both"/>
            </w:pPr>
            <w:r>
              <w:t xml:space="preserve">Rechtliche Hindernisse, die der Erbringung der Dienstleistung durch Konkurrenten entgegenstehen. Rechtliche Voraussetzungen für die Vornahme des Geschäfts eines Kreditinstituts (z. B. Bankzulassungen oder Kapitalanforderungen) sind, wenn es alternative Anbieter gibt, nicht als unüberwindliche Hindernisse anzusehen. Dieser Indikator ist in Meldekategorien anzugeben, welche für jede Unterfunktion gleich sind: </w:t>
            </w:r>
          </w:p>
          <w:p w14:paraId="7FE1BC21" w14:textId="474C67C3" w:rsidR="00696584" w:rsidRDefault="002C4F63">
            <w:pPr>
              <w:pStyle w:val="P68B1DB1-ListParagraph39"/>
              <w:numPr>
                <w:ilvl w:val="0"/>
                <w:numId w:val="275"/>
              </w:numPr>
              <w:jc w:val="both"/>
            </w:pPr>
            <w:r>
              <w:t xml:space="preserve">keine größeren Hindernisse, </w:t>
            </w:r>
          </w:p>
          <w:p w14:paraId="7FE1BC22" w14:textId="2597009C" w:rsidR="00696584" w:rsidRDefault="002C4F63">
            <w:pPr>
              <w:pStyle w:val="P68B1DB1-ListParagraph39"/>
              <w:numPr>
                <w:ilvl w:val="0"/>
                <w:numId w:val="275"/>
              </w:numPr>
              <w:jc w:val="both"/>
            </w:pPr>
            <w:r>
              <w:t xml:space="preserve">einige Hindernisse, </w:t>
            </w:r>
          </w:p>
          <w:p w14:paraId="7FE1BC23" w14:textId="78601E46" w:rsidR="00696584" w:rsidRDefault="002C4F63">
            <w:pPr>
              <w:pStyle w:val="P68B1DB1-ListParagraph39"/>
              <w:numPr>
                <w:ilvl w:val="0"/>
                <w:numId w:val="275"/>
              </w:numPr>
              <w:jc w:val="both"/>
            </w:pPr>
            <w:r>
              <w:t xml:space="preserve">erhebliche (aber überwindbare) Barrieren, </w:t>
            </w:r>
          </w:p>
          <w:p w14:paraId="7FE1BC25" w14:textId="12D666ED" w:rsidR="00696584" w:rsidRDefault="002C4F63">
            <w:pPr>
              <w:pStyle w:val="P68B1DB1-ListParagraph8"/>
              <w:numPr>
                <w:ilvl w:val="0"/>
                <w:numId w:val="275"/>
              </w:numPr>
              <w:jc w:val="both"/>
            </w:pPr>
            <w:r>
              <w:t>kritische (schwierige, zu überwindende) Barrieren.</w:t>
            </w:r>
          </w:p>
        </w:tc>
      </w:tr>
      <w:tr w:rsidR="00696584" w14:paraId="7FE1BC31" w14:textId="77777777">
        <w:tc>
          <w:tcPr>
            <w:tcW w:w="1080" w:type="dxa"/>
            <w:tcBorders>
              <w:top w:val="single" w:sz="4" w:space="0" w:color="1A171C"/>
              <w:left w:val="nil"/>
              <w:bottom w:val="single" w:sz="4" w:space="0" w:color="1A171C"/>
              <w:right w:val="single" w:sz="4" w:space="0" w:color="1A171C"/>
            </w:tcBorders>
            <w:vAlign w:val="center"/>
          </w:tcPr>
          <w:p w14:paraId="7FE1BC27" w14:textId="77777777" w:rsidR="00696584" w:rsidRDefault="002C4F63">
            <w:pPr>
              <w:pStyle w:val="P68B1DB1-TableParagraph17"/>
              <w:spacing w:before="108"/>
              <w:jc w:val="both"/>
            </w:pPr>
            <w:r>
              <w:t>0190</w:t>
            </w:r>
          </w:p>
        </w:tc>
        <w:tc>
          <w:tcPr>
            <w:tcW w:w="8003" w:type="dxa"/>
            <w:tcBorders>
              <w:top w:val="single" w:sz="4" w:space="0" w:color="1A171C"/>
              <w:left w:val="single" w:sz="4" w:space="0" w:color="1A171C"/>
              <w:bottom w:val="single" w:sz="4" w:space="0" w:color="1A171C"/>
              <w:right w:val="nil"/>
            </w:tcBorders>
            <w:vAlign w:val="center"/>
          </w:tcPr>
          <w:p w14:paraId="7FE1BC28" w14:textId="77777777" w:rsidR="00696584" w:rsidRDefault="002C4F63">
            <w:pPr>
              <w:pStyle w:val="P68B1DB1-TableParagraph14"/>
              <w:spacing w:before="108"/>
              <w:jc w:val="both"/>
              <w:rPr>
                <w:bCs/>
              </w:rPr>
            </w:pPr>
            <w:r>
              <w:t>Praktische Anforderungen für den Markteintritt oder die Markterweiterung</w:t>
            </w:r>
          </w:p>
          <w:p w14:paraId="7FE1BC29" w14:textId="77777777" w:rsidR="00696584" w:rsidRDefault="00696584">
            <w:pPr>
              <w:pStyle w:val="TableParagraph"/>
              <w:spacing w:before="108"/>
              <w:jc w:val="both"/>
              <w:rPr>
                <w:rFonts w:ascii="Times New Roman" w:hAnsi="Times New Roman" w:cs="Times New Roman"/>
                <w:color w:val="000000" w:themeColor="text1"/>
                <w:sz w:val="20"/>
                <w:szCs w:val="20"/>
              </w:rPr>
            </w:pPr>
          </w:p>
          <w:p w14:paraId="7FE1BC2A" w14:textId="46374DD1" w:rsidR="00696584" w:rsidRDefault="002C4F63">
            <w:pPr>
              <w:pStyle w:val="P68B1DB1-TableParagraph13"/>
              <w:spacing w:before="108"/>
              <w:jc w:val="both"/>
            </w:pPr>
            <w:r>
              <w:t xml:space="preserve">Anforderungen im Hinblick auf Organisation, Technik und Infrastruktur, die Konkurrenten, die die Dienstleistung anbieten möchten, erfüllen müssen: Wer die Dienstleistungen der (Unter-)Funktion anbieten möchte, muss in (neue oder zusätzliche) Infrastruktur investieren – oder seine Organisation ändern. Bitte auch bewerten, ob der Markt das betreffende Geschäft absorbieren kann, zum Beispiel im Hinblick auf die Kapitalanforderungen. </w:t>
            </w:r>
          </w:p>
          <w:p w14:paraId="7FE1BC2B" w14:textId="77777777" w:rsidR="00696584" w:rsidRDefault="002C4F63">
            <w:pPr>
              <w:pStyle w:val="P68B1DB1-TableParagraph13"/>
              <w:spacing w:before="108"/>
              <w:jc w:val="both"/>
            </w:pPr>
            <w:r>
              <w:t xml:space="preserve">Dieser Indikator ist in Meldekategorien anzugeben, welche für jede Unterfunktion gleich sind: </w:t>
            </w:r>
          </w:p>
          <w:p w14:paraId="7FE1BC2C" w14:textId="59F4E6B2" w:rsidR="00696584" w:rsidRDefault="002C4F63">
            <w:pPr>
              <w:pStyle w:val="P68B1DB1-ListParagraph39"/>
              <w:numPr>
                <w:ilvl w:val="0"/>
                <w:numId w:val="278"/>
              </w:numPr>
              <w:jc w:val="both"/>
            </w:pPr>
            <w:r>
              <w:t xml:space="preserve">keine wesentlichen Anforderungen, </w:t>
            </w:r>
          </w:p>
          <w:p w14:paraId="7FE1BC2D" w14:textId="17A47EF8" w:rsidR="00696584" w:rsidRDefault="002C4F63">
            <w:pPr>
              <w:pStyle w:val="P68B1DB1-ListParagraph39"/>
              <w:numPr>
                <w:ilvl w:val="0"/>
                <w:numId w:val="278"/>
              </w:numPr>
              <w:jc w:val="both"/>
            </w:pPr>
            <w:r>
              <w:t xml:space="preserve">einige Anforderungen, </w:t>
            </w:r>
          </w:p>
          <w:p w14:paraId="7FE1BC2E" w14:textId="6B2B459E" w:rsidR="00696584" w:rsidRDefault="002C4F63">
            <w:pPr>
              <w:pStyle w:val="P68B1DB1-ListParagraph39"/>
              <w:numPr>
                <w:ilvl w:val="0"/>
                <w:numId w:val="278"/>
              </w:numPr>
              <w:jc w:val="both"/>
            </w:pPr>
            <w:r>
              <w:t xml:space="preserve">wesentliche (aber überwindbare) Anforderungen, </w:t>
            </w:r>
          </w:p>
          <w:p w14:paraId="7FE1BC2F" w14:textId="79851C7C" w:rsidR="00696584" w:rsidRDefault="002C4F63">
            <w:pPr>
              <w:pStyle w:val="P68B1DB1-ListParagraph39"/>
              <w:numPr>
                <w:ilvl w:val="0"/>
                <w:numId w:val="278"/>
              </w:numPr>
              <w:jc w:val="both"/>
            </w:pPr>
            <w:r>
              <w:t>kritische Anforderungen (schwierig zu überfüllen).</w:t>
            </w:r>
          </w:p>
          <w:p w14:paraId="7FE1BC30" w14:textId="77777777" w:rsidR="00696584" w:rsidRDefault="00696584">
            <w:pPr>
              <w:pStyle w:val="TableParagraph"/>
              <w:spacing w:before="108"/>
              <w:jc w:val="both"/>
              <w:rPr>
                <w:rFonts w:ascii="Times New Roman" w:hAnsi="Times New Roman" w:cs="Times New Roman"/>
                <w:color w:val="000000" w:themeColor="text1"/>
                <w:sz w:val="20"/>
                <w:szCs w:val="20"/>
              </w:rPr>
            </w:pPr>
          </w:p>
        </w:tc>
      </w:tr>
      <w:tr w:rsidR="00696584" w14:paraId="7FE1BC3C" w14:textId="77777777">
        <w:tc>
          <w:tcPr>
            <w:tcW w:w="1080" w:type="dxa"/>
            <w:tcBorders>
              <w:top w:val="single" w:sz="4" w:space="0" w:color="1A171C"/>
              <w:left w:val="nil"/>
              <w:bottom w:val="single" w:sz="4" w:space="0" w:color="1A171C"/>
              <w:right w:val="single" w:sz="4" w:space="0" w:color="1A171C"/>
            </w:tcBorders>
            <w:vAlign w:val="center"/>
          </w:tcPr>
          <w:p w14:paraId="7FE1BC32" w14:textId="52B11BD9" w:rsidR="00696584" w:rsidRDefault="002C4F63">
            <w:pPr>
              <w:pStyle w:val="P68B1DB1-TableParagraph17"/>
              <w:spacing w:before="108"/>
              <w:jc w:val="both"/>
            </w:pPr>
            <w:r>
              <w:lastRenderedPageBreak/>
              <w:t>0200 – 0210</w:t>
            </w:r>
          </w:p>
        </w:tc>
        <w:tc>
          <w:tcPr>
            <w:tcW w:w="8003" w:type="dxa"/>
            <w:tcBorders>
              <w:top w:val="single" w:sz="4" w:space="0" w:color="1A171C"/>
              <w:left w:val="single" w:sz="4" w:space="0" w:color="1A171C"/>
              <w:bottom w:val="single" w:sz="4" w:space="0" w:color="1A171C"/>
              <w:right w:val="nil"/>
            </w:tcBorders>
            <w:vAlign w:val="center"/>
          </w:tcPr>
          <w:p w14:paraId="7FE1BC3B" w14:textId="1CA1E187" w:rsidR="00696584" w:rsidRDefault="00DE1074">
            <w:pPr>
              <w:pStyle w:val="P68B1DB1-TableParagraph14"/>
              <w:spacing w:before="108"/>
              <w:jc w:val="both"/>
              <w:rPr>
                <w:bCs/>
              </w:rPr>
            </w:pPr>
            <w:r>
              <w:t>Onboarding-Kapazität</w:t>
            </w:r>
          </w:p>
        </w:tc>
      </w:tr>
      <w:tr w:rsidR="00696584" w14:paraId="0BE6FD10" w14:textId="77777777">
        <w:tc>
          <w:tcPr>
            <w:tcW w:w="1080" w:type="dxa"/>
            <w:tcBorders>
              <w:top w:val="single" w:sz="4" w:space="0" w:color="1A171C"/>
              <w:left w:val="nil"/>
              <w:bottom w:val="single" w:sz="4" w:space="0" w:color="1A171C"/>
              <w:right w:val="single" w:sz="4" w:space="0" w:color="1A171C"/>
            </w:tcBorders>
            <w:vAlign w:val="center"/>
          </w:tcPr>
          <w:p w14:paraId="1AAF59C4" w14:textId="3EB76F52" w:rsidR="00696584" w:rsidRDefault="002C4F63">
            <w:pPr>
              <w:pStyle w:val="P68B1DB1-TableParagraph17"/>
              <w:spacing w:before="108"/>
              <w:jc w:val="both"/>
            </w:pPr>
            <w:r>
              <w:t>0200</w:t>
            </w:r>
          </w:p>
        </w:tc>
        <w:tc>
          <w:tcPr>
            <w:tcW w:w="8003" w:type="dxa"/>
            <w:tcBorders>
              <w:top w:val="single" w:sz="4" w:space="0" w:color="1A171C"/>
              <w:left w:val="single" w:sz="4" w:space="0" w:color="1A171C"/>
              <w:bottom w:val="single" w:sz="4" w:space="0" w:color="1A171C"/>
              <w:right w:val="nil"/>
            </w:tcBorders>
            <w:vAlign w:val="center"/>
          </w:tcPr>
          <w:p w14:paraId="31D48F67" w14:textId="0955B257" w:rsidR="00696584" w:rsidRDefault="002C4F63">
            <w:pPr>
              <w:pStyle w:val="P68B1DB1-TableParagraph14"/>
              <w:spacing w:before="108"/>
              <w:rPr>
                <w:bCs/>
              </w:rPr>
            </w:pPr>
            <w:r>
              <w:t xml:space="preserve">Onboarding-Kapazität – Anzahl der </w:t>
            </w:r>
            <w:r w:rsidR="00370AFA">
              <w:t>Neukundenanträge</w:t>
            </w:r>
            <w:r>
              <w:t xml:space="preserve"> über 1 Arbeitstag (Anzahl)</w:t>
            </w:r>
          </w:p>
          <w:p w14:paraId="2BBAFCB8" w14:textId="37A77338" w:rsidR="00696584" w:rsidRDefault="002C4F63">
            <w:pPr>
              <w:pStyle w:val="P68B1DB1-TableParagraph13"/>
              <w:spacing w:before="108"/>
            </w:pPr>
            <w:r>
              <w:t xml:space="preserve">Die Institute werden aufgefordert, </w:t>
            </w:r>
            <w:r w:rsidR="00370AFA">
              <w:t>die höchste Anzahl an durch die Bank validierten Anträgen offenzulegen.</w:t>
            </w:r>
          </w:p>
          <w:p w14:paraId="3F7DDDEF" w14:textId="77777777" w:rsidR="00696584" w:rsidRDefault="00696584">
            <w:pPr>
              <w:pStyle w:val="TableParagraph"/>
              <w:spacing w:before="108"/>
              <w:jc w:val="both"/>
              <w:rPr>
                <w:rFonts w:ascii="Times New Roman" w:hAnsi="Times New Roman" w:cs="Times New Roman"/>
                <w:color w:val="000000" w:themeColor="text1"/>
                <w:sz w:val="20"/>
                <w:szCs w:val="20"/>
              </w:rPr>
            </w:pPr>
          </w:p>
          <w:p w14:paraId="5AB7F16A" w14:textId="77777777" w:rsidR="00696584" w:rsidRDefault="002C4F63">
            <w:pPr>
              <w:pStyle w:val="P68B1DB1-TableParagraph13"/>
              <w:spacing w:before="108"/>
              <w:jc w:val="both"/>
              <w:rPr>
                <w:b/>
                <w:bCs/>
              </w:rPr>
            </w:pPr>
            <w:r>
              <w:t xml:space="preserve">Die Onboarding-Kapazität für Zahlungsdienste für MFIs, Zahlungsdienste für Nicht-MFIs und Bargelddienste in Bezug auf die Anzahl der Neukonten wird über einen Arbeitstag ausgedrückt. </w:t>
            </w:r>
          </w:p>
          <w:p w14:paraId="10BCF6A2" w14:textId="77777777" w:rsidR="00696584" w:rsidRDefault="002C4F63">
            <w:pPr>
              <w:pStyle w:val="P68B1DB1-TableParagraph13"/>
              <w:spacing w:before="108"/>
              <w:jc w:val="both"/>
              <w:rPr>
                <w:b/>
                <w:bCs/>
              </w:rPr>
            </w:pPr>
            <w:r>
              <w:t>Von den Instituten wird erwartet, dass sie den Zeitrahmen für die Aufnahme neuer Kunden berücksichtigen, da ein neuer Kunde eine Bankdienstleistung beantragt hat.</w:t>
            </w:r>
          </w:p>
          <w:p w14:paraId="54138520" w14:textId="77777777" w:rsidR="00696584" w:rsidRDefault="00696584">
            <w:pPr>
              <w:pStyle w:val="TableParagraph"/>
              <w:spacing w:before="108"/>
              <w:rPr>
                <w:rFonts w:ascii="Times New Roman" w:hAnsi="Times New Roman" w:cs="Times New Roman"/>
                <w:b/>
                <w:bCs/>
                <w:color w:val="000000" w:themeColor="text1"/>
                <w:sz w:val="20"/>
                <w:szCs w:val="20"/>
              </w:rPr>
            </w:pPr>
          </w:p>
        </w:tc>
      </w:tr>
      <w:tr w:rsidR="00696584" w14:paraId="2D232CA8" w14:textId="77777777">
        <w:tc>
          <w:tcPr>
            <w:tcW w:w="1080" w:type="dxa"/>
            <w:tcBorders>
              <w:top w:val="single" w:sz="4" w:space="0" w:color="1A171C"/>
              <w:left w:val="nil"/>
              <w:bottom w:val="single" w:sz="4" w:space="0" w:color="1A171C"/>
              <w:right w:val="single" w:sz="4" w:space="0" w:color="1A171C"/>
            </w:tcBorders>
            <w:vAlign w:val="center"/>
          </w:tcPr>
          <w:p w14:paraId="2162C590" w14:textId="3E29DAE4" w:rsidR="00696584" w:rsidRDefault="002C4F63">
            <w:pPr>
              <w:pStyle w:val="P68B1DB1-TableParagraph17"/>
              <w:spacing w:before="108"/>
              <w:jc w:val="both"/>
            </w:pPr>
            <w:r>
              <w:t>0210</w:t>
            </w:r>
          </w:p>
        </w:tc>
        <w:tc>
          <w:tcPr>
            <w:tcW w:w="8003" w:type="dxa"/>
            <w:tcBorders>
              <w:top w:val="single" w:sz="4" w:space="0" w:color="1A171C"/>
              <w:left w:val="single" w:sz="4" w:space="0" w:color="1A171C"/>
              <w:bottom w:val="single" w:sz="4" w:space="0" w:color="1A171C"/>
              <w:right w:val="nil"/>
            </w:tcBorders>
            <w:vAlign w:val="center"/>
          </w:tcPr>
          <w:p w14:paraId="65DBE0BE" w14:textId="2DFC0D5A" w:rsidR="00696584" w:rsidRDefault="002C4F63">
            <w:pPr>
              <w:pStyle w:val="P68B1DB1-TableParagraph14"/>
              <w:spacing w:before="108"/>
              <w:rPr>
                <w:bCs/>
              </w:rPr>
            </w:pPr>
            <w:r>
              <w:t xml:space="preserve">Onboarding-Kapazität – Anzahl der </w:t>
            </w:r>
            <w:r w:rsidR="00370AFA">
              <w:t xml:space="preserve">Neukundenanträge </w:t>
            </w:r>
            <w:r>
              <w:t>über 7 Arbeitstage (Anzahl)</w:t>
            </w:r>
          </w:p>
          <w:p w14:paraId="1F7DB3AD" w14:textId="77777777" w:rsidR="00370AFA" w:rsidRDefault="00370AFA" w:rsidP="00370AFA">
            <w:pPr>
              <w:pStyle w:val="P68B1DB1-TableParagraph13"/>
              <w:spacing w:before="108"/>
              <w:jc w:val="both"/>
            </w:pPr>
            <w:r>
              <w:t>Die Institute werden aufgefordert, die höchste Anzahl an durch die Bank validierten Anträgen offenzulegen.</w:t>
            </w:r>
          </w:p>
          <w:p w14:paraId="6C6045B8" w14:textId="3998FFA6" w:rsidR="00696584" w:rsidRDefault="00696584">
            <w:pPr>
              <w:pStyle w:val="P68B1DB1-TableParagraph13"/>
              <w:spacing w:before="108"/>
            </w:pPr>
          </w:p>
          <w:p w14:paraId="59CBAFC9" w14:textId="77777777" w:rsidR="00696584" w:rsidRDefault="002C4F63">
            <w:pPr>
              <w:pStyle w:val="P68B1DB1-TableParagraph13"/>
              <w:spacing w:before="108"/>
              <w:jc w:val="both"/>
            </w:pPr>
            <w:r>
              <w:t>Die Onboarding-Kapazität für Wertpapierabwicklungsdienste, CCP-Clearingdienste und Kundendienst in Bezug auf die Anzahl der neuen Konten wird über sieben Arbeitstage ausgedrückt.</w:t>
            </w:r>
          </w:p>
          <w:p w14:paraId="7623A7E1" w14:textId="77777777" w:rsidR="00696584" w:rsidRDefault="002C4F63">
            <w:pPr>
              <w:pStyle w:val="P68B1DB1-TableParagraph13"/>
              <w:spacing w:before="108"/>
              <w:jc w:val="both"/>
              <w:rPr>
                <w:b/>
                <w:bCs/>
              </w:rPr>
            </w:pPr>
            <w:r>
              <w:t>Von den Instituten wird erwartet, dass sie den Zeitrahmen für die Aufnahme neuer Kunden berücksichtigen, da ein neuer Kunde eine Bankdienstleistung beantragt hat.</w:t>
            </w:r>
          </w:p>
          <w:p w14:paraId="6541ECB8" w14:textId="7269F4A9" w:rsidR="00696584" w:rsidRDefault="00696584">
            <w:pPr>
              <w:pStyle w:val="TableParagraph"/>
              <w:spacing w:before="108"/>
              <w:rPr>
                <w:rFonts w:ascii="Times New Roman" w:hAnsi="Times New Roman" w:cs="Times New Roman"/>
                <w:b/>
                <w:bCs/>
                <w:color w:val="000000" w:themeColor="text1"/>
                <w:sz w:val="20"/>
                <w:szCs w:val="20"/>
              </w:rPr>
            </w:pPr>
          </w:p>
        </w:tc>
      </w:tr>
      <w:tr w:rsidR="00696584" w14:paraId="7FE1BC3F" w14:textId="77777777">
        <w:tc>
          <w:tcPr>
            <w:tcW w:w="1080" w:type="dxa"/>
            <w:tcBorders>
              <w:top w:val="single" w:sz="4" w:space="0" w:color="1A171C"/>
              <w:left w:val="nil"/>
              <w:bottom w:val="single" w:sz="4" w:space="0" w:color="1A171C"/>
              <w:right w:val="single" w:sz="4" w:space="0" w:color="1A171C"/>
            </w:tcBorders>
            <w:vAlign w:val="center"/>
          </w:tcPr>
          <w:p w14:paraId="7FE1BC3D" w14:textId="77777777" w:rsidR="00696584" w:rsidRDefault="002C4F63">
            <w:pPr>
              <w:pStyle w:val="P68B1DB1-TableParagraph17"/>
              <w:spacing w:before="108"/>
              <w:jc w:val="both"/>
            </w:pPr>
            <w:r>
              <w:t>0230-0250</w:t>
            </w:r>
          </w:p>
        </w:tc>
        <w:tc>
          <w:tcPr>
            <w:tcW w:w="8003" w:type="dxa"/>
            <w:tcBorders>
              <w:top w:val="single" w:sz="4" w:space="0" w:color="1A171C"/>
              <w:left w:val="single" w:sz="4" w:space="0" w:color="1A171C"/>
              <w:bottom w:val="single" w:sz="4" w:space="0" w:color="1A171C"/>
              <w:right w:val="nil"/>
            </w:tcBorders>
            <w:vAlign w:val="center"/>
          </w:tcPr>
          <w:p w14:paraId="7FE1BC3E" w14:textId="77777777" w:rsidR="00696584" w:rsidRDefault="002C4F63">
            <w:pPr>
              <w:pStyle w:val="P68B1DB1-TableParagraph14"/>
              <w:spacing w:before="108"/>
              <w:rPr>
                <w:bCs/>
              </w:rPr>
            </w:pPr>
            <w:r>
              <w:t>Wesentlichkeit</w:t>
            </w:r>
          </w:p>
        </w:tc>
      </w:tr>
      <w:tr w:rsidR="00696584" w14:paraId="7FE1BC45" w14:textId="77777777">
        <w:tc>
          <w:tcPr>
            <w:tcW w:w="1080" w:type="dxa"/>
            <w:tcBorders>
              <w:top w:val="single" w:sz="4" w:space="0" w:color="1A171C"/>
              <w:left w:val="nil"/>
              <w:bottom w:val="single" w:sz="4" w:space="0" w:color="1A171C"/>
              <w:right w:val="single" w:sz="4" w:space="0" w:color="1A171C"/>
            </w:tcBorders>
            <w:vAlign w:val="center"/>
          </w:tcPr>
          <w:p w14:paraId="7FE1BC40" w14:textId="77777777" w:rsidR="00696584" w:rsidRDefault="002C4F63">
            <w:pPr>
              <w:pStyle w:val="P68B1DB1-TableParagraph17"/>
              <w:spacing w:before="108"/>
              <w:jc w:val="both"/>
            </w:pPr>
            <w:r>
              <w:t>0230</w:t>
            </w:r>
          </w:p>
        </w:tc>
        <w:tc>
          <w:tcPr>
            <w:tcW w:w="8003" w:type="dxa"/>
            <w:tcBorders>
              <w:top w:val="single" w:sz="4" w:space="0" w:color="1A171C"/>
              <w:left w:val="single" w:sz="4" w:space="0" w:color="1A171C"/>
              <w:bottom w:val="single" w:sz="4" w:space="0" w:color="1A171C"/>
              <w:right w:val="nil"/>
            </w:tcBorders>
            <w:vAlign w:val="center"/>
          </w:tcPr>
          <w:p w14:paraId="7FE1BC41" w14:textId="77777777" w:rsidR="00696584" w:rsidRDefault="002C4F63">
            <w:pPr>
              <w:pStyle w:val="P68B1DB1-TableParagraph13"/>
              <w:spacing w:before="108"/>
            </w:pPr>
            <w:r>
              <w:t xml:space="preserve">Marktauswirkungen </w:t>
            </w:r>
          </w:p>
          <w:p w14:paraId="7FE1BC42" w14:textId="77777777" w:rsidR="00696584" w:rsidRDefault="002C4F63">
            <w:pPr>
              <w:pStyle w:val="P68B1DB1-TableParagraph13"/>
              <w:spacing w:before="108"/>
            </w:pPr>
            <w:r>
              <w:t>Die geschätzten Auswirkungen einer plötzlichen Unterbrechung einer Funktion auf Dritte, die Finanzmärkte und die Realwirtschaft unter Berücksichtigung der Größe, des Marktanteils im Land, der externen und internen Verflechtungen, der Komplexität und der grenzüberschreitenden Tätigkeiten eines Instituts.</w:t>
            </w:r>
          </w:p>
          <w:p w14:paraId="7FE1BC43" w14:textId="46266FB9" w:rsidR="00696584" w:rsidRDefault="002C4F63">
            <w:pPr>
              <w:pStyle w:val="P68B1DB1-TableParagraph13"/>
              <w:spacing w:before="108"/>
            </w:pPr>
            <w:r>
              <w:t>Die Auswirkungen werden mit den Abstufungen hoch (H), mittel bis hoch (MH), mittel bis gering (ML) und gering (L) bewertet.</w:t>
            </w:r>
          </w:p>
          <w:p w14:paraId="7FE1BC44" w14:textId="016133A0" w:rsidR="00696584" w:rsidRDefault="002C4F63">
            <w:pPr>
              <w:pStyle w:val="P68B1DB1-TableParagraph13"/>
              <w:spacing w:before="108"/>
            </w:pPr>
            <w:r>
              <w:t xml:space="preserve">‚H‘ wird gewählt, wenn die Unterbrechung massive Auswirkungen auf den nationalen Markt hat, </w:t>
            </w:r>
            <w:r w:rsidR="00400683">
              <w:t>‚</w:t>
            </w:r>
            <w:r>
              <w:t>Mittelhoch</w:t>
            </w:r>
            <w:r w:rsidR="00400683">
              <w:t>‘</w:t>
            </w:r>
            <w:r>
              <w:t>, wenn die Auswirkungen signifikant sind; ‚Medium-Low‘ wenn die Auswirkungen wesentlich, aber begrenzt sind, und ‚gering‘ wenn die Auswirkungen gering sind.</w:t>
            </w:r>
          </w:p>
        </w:tc>
      </w:tr>
      <w:tr w:rsidR="00696584" w14:paraId="7FE1BC52" w14:textId="77777777">
        <w:tc>
          <w:tcPr>
            <w:tcW w:w="1080" w:type="dxa"/>
            <w:tcBorders>
              <w:top w:val="single" w:sz="4" w:space="0" w:color="1A171C"/>
              <w:left w:val="nil"/>
              <w:bottom w:val="single" w:sz="4" w:space="0" w:color="1A171C"/>
              <w:right w:val="single" w:sz="4" w:space="0" w:color="1A171C"/>
            </w:tcBorders>
            <w:vAlign w:val="center"/>
          </w:tcPr>
          <w:p w14:paraId="7FE1BC46" w14:textId="77777777" w:rsidR="00696584" w:rsidRDefault="002C4F63">
            <w:pPr>
              <w:pStyle w:val="P68B1DB1-TableParagraph17"/>
              <w:spacing w:before="108"/>
              <w:jc w:val="both"/>
            </w:pPr>
            <w:r>
              <w:t>0240</w:t>
            </w:r>
          </w:p>
        </w:tc>
        <w:tc>
          <w:tcPr>
            <w:tcW w:w="8003" w:type="dxa"/>
            <w:tcBorders>
              <w:top w:val="single" w:sz="4" w:space="0" w:color="1A171C"/>
              <w:left w:val="single" w:sz="4" w:space="0" w:color="1A171C"/>
              <w:bottom w:val="single" w:sz="4" w:space="0" w:color="1A171C"/>
              <w:right w:val="nil"/>
            </w:tcBorders>
            <w:vAlign w:val="center"/>
          </w:tcPr>
          <w:p w14:paraId="7FE1BC47" w14:textId="77777777" w:rsidR="00696584" w:rsidRDefault="002C4F63">
            <w:pPr>
              <w:pStyle w:val="P68B1DB1-TableParagraph14"/>
              <w:spacing w:before="108"/>
              <w:rPr>
                <w:bCs/>
              </w:rPr>
            </w:pPr>
            <w:r>
              <w:t>Substituierbarkeit</w:t>
            </w:r>
          </w:p>
          <w:p w14:paraId="7FE1BC48" w14:textId="77777777" w:rsidR="00696584" w:rsidRDefault="002C4F63">
            <w:pPr>
              <w:pStyle w:val="P68B1DB1-TableParagraph13"/>
              <w:spacing w:before="108"/>
            </w:pPr>
            <w:r>
              <w:t>Artikel 6 Absatz 3 der Delegierten Verordnung (EU) 2016/778</w:t>
            </w:r>
          </w:p>
          <w:p w14:paraId="7FE1BC49" w14:textId="77777777" w:rsidR="00696584" w:rsidRDefault="002C4F63">
            <w:pPr>
              <w:pStyle w:val="P68B1DB1-TableParagraph13"/>
              <w:spacing w:before="108"/>
            </w:pPr>
            <w:r>
              <w:t>Eine Funktion gilt als substituierbar, wenn sie in vertretbarer Weise und innerhalb eines angemessenen Zeitrahmens ersetzbar ist, wodurch systemische Probleme für die Realwirtschaft und die Finanzmärkte vermieden werden können. Folgendes ist zu berücksichtigen:</w:t>
            </w:r>
          </w:p>
          <w:p w14:paraId="7FE1BC4A" w14:textId="77777777" w:rsidR="00696584" w:rsidRDefault="002C4F63">
            <w:pPr>
              <w:pStyle w:val="P68B1DB1-TableParagraph13"/>
              <w:spacing w:before="108"/>
            </w:pPr>
            <w:r>
              <w:t xml:space="preserve">(a) die Struktur des Marktes für diese Funktion und die Verfügbarkeit von Ersatzanbietern, </w:t>
            </w:r>
          </w:p>
          <w:p w14:paraId="7FE1BC4B" w14:textId="77777777" w:rsidR="00696584" w:rsidRDefault="002C4F63">
            <w:pPr>
              <w:pStyle w:val="P68B1DB1-TableParagraph13"/>
              <w:spacing w:before="108"/>
            </w:pPr>
            <w:r>
              <w:t xml:space="preserve">(b) die Möglichkeiten anderer Anbieter unter dem Gesichtspunkt der Kapazität, der Anforderungen an die Durchführung der Funktion und der möglichen Hürden für den Markteinstieg oder die Markterweiterung, </w:t>
            </w:r>
          </w:p>
          <w:p w14:paraId="7FE1BC4C" w14:textId="77777777" w:rsidR="00696584" w:rsidRDefault="002C4F63">
            <w:pPr>
              <w:pStyle w:val="P68B1DB1-TableParagraph13"/>
              <w:spacing w:before="108"/>
            </w:pPr>
            <w:r>
              <w:t xml:space="preserve">(c) die Anreize für andere Anbieter, diese Tätigkeiten zu übernehmen, </w:t>
            </w:r>
          </w:p>
          <w:p w14:paraId="7FE1BC4D" w14:textId="77777777" w:rsidR="00696584" w:rsidRDefault="002C4F63">
            <w:pPr>
              <w:pStyle w:val="P68B1DB1-TableParagraph13"/>
              <w:spacing w:before="108"/>
            </w:pPr>
            <w:r>
              <w:t xml:space="preserve">(d) die Zeit, die für den Wechsel der Nutzer der Dienstleistung zu dem neuen </w:t>
            </w:r>
            <w:r>
              <w:lastRenderedPageBreak/>
              <w:t>Dienstleistungsanbieter erforderlich ist, sowie die Kosten dieses Wechsels, die Zeit, die andere Wettbewerber für die Übernahme der Funktionen benötigen, sowie die Frage, ob diese Zeit ausreicht, um je nach Art der Dienstleistung eine wesentliche Beeinträchtigung zu verhindern.</w:t>
            </w:r>
          </w:p>
          <w:p w14:paraId="7FE1BC4E" w14:textId="5259F9E9" w:rsidR="00696584" w:rsidRDefault="002C4F63">
            <w:pPr>
              <w:pStyle w:val="P68B1DB1-TableParagraph13"/>
              <w:spacing w:before="108"/>
            </w:pPr>
            <w:r>
              <w:t xml:space="preserve">Es ist für jede Funktion eine Gesamtbewertung des erwarteten Grads der Substituierbarkeit vorzunehmen, unter Berücksichtigung der verschiedenen zuvor untersuchten Dimensionen (Marktanteil, Marktkonzentration, Zeit bis zur Substitution, rechtliche Hindernisse sowie praktische Anforderungen für Markteintritt oder Markterweiterung). Die Auswirkungen werden mit den Abstufungen hoch (H), mittel bis hoch (MH), mittel bis gering (ML) und gering (L) bewertet. </w:t>
            </w:r>
          </w:p>
          <w:p w14:paraId="7FE1BC4F" w14:textId="2848C2C9" w:rsidR="00696584" w:rsidRDefault="002C4F63">
            <w:pPr>
              <w:pStyle w:val="P68B1DB1-TableParagraph13"/>
              <w:spacing w:before="108"/>
            </w:pPr>
            <w:r>
              <w:t>H wird gewählt, wenn die Funktion ohne Weiteres unter vergleichbaren Bedingungen und innerhalb einer angemessenen Frist von einer anderen Bank wahrgenommen, werden kann,</w:t>
            </w:r>
          </w:p>
          <w:p w14:paraId="7FE1BC50" w14:textId="60D54ED6" w:rsidR="00696584" w:rsidRDefault="002C4F63">
            <w:pPr>
              <w:pStyle w:val="P68B1DB1-TableParagraph13"/>
              <w:spacing w:before="108"/>
            </w:pPr>
            <w:r>
              <w:t xml:space="preserve">L, wenn die Funktion nicht ohne Weiteres oder rasch ersetzt werden kann, </w:t>
            </w:r>
          </w:p>
          <w:p w14:paraId="7FE1BC51" w14:textId="0F9A1660" w:rsidR="00696584" w:rsidRDefault="002C4F63">
            <w:pPr>
              <w:pStyle w:val="P68B1DB1-TableParagraph13"/>
              <w:spacing w:before="108"/>
            </w:pPr>
            <w:r>
              <w:t>MH und ML für Situationen dazwischen, wobei verschiedene Parameter (z. B. Marktanteil, Marktkonzentration, Zeit bis zur Substitution, rechtliche Hindernisse und praktische Anforderungen für den Markteintritt oder die Markterweiterung) zu berücksichtigen sind.</w:t>
            </w:r>
          </w:p>
        </w:tc>
      </w:tr>
      <w:tr w:rsidR="00696584" w14:paraId="7FE1BC57" w14:textId="77777777">
        <w:tc>
          <w:tcPr>
            <w:tcW w:w="1080" w:type="dxa"/>
            <w:tcBorders>
              <w:top w:val="single" w:sz="4" w:space="0" w:color="1A171C"/>
              <w:left w:val="nil"/>
              <w:bottom w:val="single" w:sz="4" w:space="0" w:color="1A171C"/>
              <w:right w:val="single" w:sz="4" w:space="0" w:color="1A171C"/>
            </w:tcBorders>
            <w:vAlign w:val="center"/>
          </w:tcPr>
          <w:p w14:paraId="7FE1BC53" w14:textId="77777777" w:rsidR="00696584" w:rsidRDefault="002C4F63">
            <w:pPr>
              <w:pStyle w:val="P68B1DB1-TableParagraph17"/>
              <w:spacing w:before="108"/>
              <w:jc w:val="both"/>
            </w:pPr>
            <w:r>
              <w:lastRenderedPageBreak/>
              <w:t>0250</w:t>
            </w:r>
          </w:p>
        </w:tc>
        <w:tc>
          <w:tcPr>
            <w:tcW w:w="8003" w:type="dxa"/>
            <w:tcBorders>
              <w:top w:val="single" w:sz="4" w:space="0" w:color="1A171C"/>
              <w:left w:val="single" w:sz="4" w:space="0" w:color="1A171C"/>
              <w:bottom w:val="single" w:sz="4" w:space="0" w:color="1A171C"/>
              <w:right w:val="nil"/>
            </w:tcBorders>
            <w:vAlign w:val="center"/>
          </w:tcPr>
          <w:p w14:paraId="7FE1BC54" w14:textId="77777777" w:rsidR="00696584" w:rsidRDefault="002C4F63">
            <w:pPr>
              <w:pStyle w:val="P68B1DB1-TableParagraph14"/>
              <w:spacing w:before="108"/>
              <w:rPr>
                <w:bCs/>
              </w:rPr>
            </w:pPr>
            <w:r>
              <w:t>Kritische Funktion</w:t>
            </w:r>
          </w:p>
          <w:p w14:paraId="7FE1BC55" w14:textId="77777777" w:rsidR="00696584" w:rsidRDefault="002C4F63">
            <w:pPr>
              <w:pStyle w:val="P68B1DB1-TableParagraph13"/>
              <w:spacing w:before="108"/>
            </w:pPr>
            <w:r>
              <w:t>In dieser Spalte ist anzugeben, ob die wirtschaftliche Funktion unter Berücksichtigung der von der Institution durchgeführten Analyse des Einflusses und der Substituierbarkeit für den Markt des betreffenden Landes als kritisch anzusehen ist.</w:t>
            </w:r>
          </w:p>
          <w:p w14:paraId="7FE1BC56" w14:textId="0D26C79D" w:rsidR="00696584" w:rsidRDefault="002C4F63">
            <w:pPr>
              <w:pStyle w:val="P68B1DB1-TableParagraph13"/>
              <w:spacing w:before="108"/>
            </w:pPr>
            <w:r>
              <w:t>2 Angaben sind möglich:</w:t>
            </w:r>
            <w:r w:rsidR="00370AFA">
              <w:t xml:space="preserve"> </w:t>
            </w:r>
            <w:r>
              <w:t>Ja oder Nein</w:t>
            </w:r>
          </w:p>
        </w:tc>
      </w:tr>
      <w:tr w:rsidR="00696584" w14:paraId="7FE1BC5B" w14:textId="77777777">
        <w:tc>
          <w:tcPr>
            <w:tcW w:w="1080" w:type="dxa"/>
            <w:tcBorders>
              <w:top w:val="single" w:sz="4" w:space="0" w:color="1A171C"/>
              <w:left w:val="nil"/>
              <w:bottom w:val="single" w:sz="4" w:space="0" w:color="1A171C"/>
              <w:right w:val="single" w:sz="4" w:space="0" w:color="1A171C"/>
            </w:tcBorders>
            <w:vAlign w:val="center"/>
          </w:tcPr>
          <w:p w14:paraId="7FE1BC58" w14:textId="77777777" w:rsidR="00696584" w:rsidRDefault="002C4F63">
            <w:pPr>
              <w:pStyle w:val="P68B1DB1-TableParagraph17"/>
              <w:spacing w:before="108"/>
              <w:jc w:val="both"/>
            </w:pPr>
            <w:r>
              <w:t>0260</w:t>
            </w:r>
          </w:p>
        </w:tc>
        <w:tc>
          <w:tcPr>
            <w:tcW w:w="8003" w:type="dxa"/>
            <w:tcBorders>
              <w:top w:val="single" w:sz="4" w:space="0" w:color="1A171C"/>
              <w:left w:val="single" w:sz="4" w:space="0" w:color="1A171C"/>
              <w:bottom w:val="single" w:sz="4" w:space="0" w:color="1A171C"/>
              <w:right w:val="nil"/>
            </w:tcBorders>
            <w:vAlign w:val="center"/>
          </w:tcPr>
          <w:p w14:paraId="7FE1BC59" w14:textId="77777777" w:rsidR="00696584" w:rsidRDefault="002C4F63">
            <w:pPr>
              <w:pStyle w:val="P68B1DB1-TableParagraph14"/>
              <w:spacing w:before="108"/>
              <w:rPr>
                <w:bCs/>
              </w:rPr>
            </w:pPr>
            <w:r>
              <w:t>Stellungnahme der Gruppe</w:t>
            </w:r>
          </w:p>
          <w:p w14:paraId="7FE1BC5A" w14:textId="77777777" w:rsidR="00696584" w:rsidRDefault="002C4F63">
            <w:pPr>
              <w:pStyle w:val="P68B1DB1-TableParagraph13"/>
              <w:spacing w:before="108"/>
            </w:pPr>
            <w:r>
              <w:t>Dieses Feld ermöglicht es dem meldenden Unternehmen, alle Annahmen zu erläutern, die bei der Beurteilung der Kritikalität der gemeldeten Funktion(en) verwendet wurden.</w:t>
            </w:r>
          </w:p>
        </w:tc>
      </w:tr>
    </w:tbl>
    <w:p w14:paraId="7FE1BC5D" w14:textId="5C971E12" w:rsidR="00696584" w:rsidRDefault="002C4F63">
      <w:pPr>
        <w:pStyle w:val="P68B1DB1-Instructionsberschrift25"/>
      </w:pPr>
      <w:bookmarkStart w:id="118" w:name="_Toc209533596"/>
      <w:r>
        <w:t>II.13</w:t>
      </w:r>
      <w:r>
        <w:tab/>
        <w:t>Z 07.01.4 FUNC 1 CM</w:t>
      </w:r>
      <w:bookmarkEnd w:id="118"/>
    </w:p>
    <w:p w14:paraId="7FE1BC65" w14:textId="77777777" w:rsidR="00696584" w:rsidRDefault="00696584">
      <w:pPr>
        <w:rPr>
          <w:rFonts w:ascii="Times New Roman" w:hAnsi="Times New Roman" w:cs="Times New Roman"/>
          <w:color w:val="000000" w:themeColor="text1"/>
          <w:sz w:val="20"/>
          <w:szCs w:val="20"/>
        </w:rPr>
      </w:pPr>
    </w:p>
    <w:tbl>
      <w:tblPr>
        <w:tblW w:w="9083" w:type="dxa"/>
        <w:tblLayout w:type="fixed"/>
        <w:tblCellMar>
          <w:top w:w="57" w:type="dxa"/>
          <w:left w:w="57" w:type="dxa"/>
          <w:bottom w:w="57" w:type="dxa"/>
          <w:right w:w="0" w:type="dxa"/>
        </w:tblCellMar>
        <w:tblLook w:val="01E0" w:firstRow="1" w:lastRow="1" w:firstColumn="1" w:lastColumn="1" w:noHBand="0" w:noVBand="0"/>
      </w:tblPr>
      <w:tblGrid>
        <w:gridCol w:w="1080"/>
        <w:gridCol w:w="8003"/>
      </w:tblGrid>
      <w:tr w:rsidR="00696584" w14:paraId="7FE1BC68" w14:textId="77777777">
        <w:trPr>
          <w:tblHeader/>
        </w:trPr>
        <w:tc>
          <w:tcPr>
            <w:tcW w:w="1080" w:type="dxa"/>
            <w:tcBorders>
              <w:top w:val="single" w:sz="4" w:space="0" w:color="1A171C"/>
              <w:left w:val="nil"/>
              <w:bottom w:val="single" w:sz="4" w:space="0" w:color="1A171C"/>
              <w:right w:val="single" w:sz="4" w:space="0" w:color="1A171C"/>
            </w:tcBorders>
            <w:shd w:val="clear" w:color="auto" w:fill="E4E5E5"/>
          </w:tcPr>
          <w:p w14:paraId="7FE1BC66" w14:textId="77777777" w:rsidR="00696584" w:rsidRDefault="002C4F63">
            <w:pPr>
              <w:pStyle w:val="P68B1DB1-TableParagraph17"/>
              <w:spacing w:before="108"/>
              <w:ind w:left="85"/>
              <w:jc w:val="both"/>
            </w:pPr>
            <w:r>
              <w:t>Spalten</w:t>
            </w:r>
          </w:p>
        </w:tc>
        <w:tc>
          <w:tcPr>
            <w:tcW w:w="8003" w:type="dxa"/>
            <w:tcBorders>
              <w:top w:val="single" w:sz="4" w:space="0" w:color="1A171C"/>
              <w:left w:val="single" w:sz="4" w:space="0" w:color="1A171C"/>
              <w:bottom w:val="single" w:sz="4" w:space="0" w:color="1A171C"/>
              <w:right w:val="nil"/>
            </w:tcBorders>
            <w:shd w:val="clear" w:color="auto" w:fill="E4E5E5"/>
          </w:tcPr>
          <w:p w14:paraId="7FE1BC67" w14:textId="77777777" w:rsidR="00696584" w:rsidRDefault="002C4F63">
            <w:pPr>
              <w:pStyle w:val="P68B1DB1-TableParagraph17"/>
              <w:spacing w:before="108"/>
              <w:ind w:left="85" w:right="1"/>
              <w:jc w:val="both"/>
            </w:pPr>
            <w:r>
              <w:t>Erläuterungen</w:t>
            </w:r>
          </w:p>
        </w:tc>
      </w:tr>
      <w:tr w:rsidR="00696584" w14:paraId="7FE1BC6C" w14:textId="77777777">
        <w:tc>
          <w:tcPr>
            <w:tcW w:w="1080" w:type="dxa"/>
            <w:tcBorders>
              <w:top w:val="single" w:sz="4" w:space="0" w:color="1A171C"/>
              <w:left w:val="nil"/>
              <w:bottom w:val="single" w:sz="4" w:space="0" w:color="1A171C"/>
              <w:right w:val="single" w:sz="4" w:space="0" w:color="1A171C"/>
            </w:tcBorders>
            <w:vAlign w:val="center"/>
          </w:tcPr>
          <w:p w14:paraId="7FE1BC69" w14:textId="77777777" w:rsidR="00696584" w:rsidRDefault="002C4F63">
            <w:pPr>
              <w:pStyle w:val="P68B1DB1-TableParagraph17"/>
              <w:spacing w:before="108"/>
              <w:ind w:left="85"/>
              <w:jc w:val="both"/>
            </w:pPr>
            <w:r>
              <w:t>0010</w:t>
            </w:r>
          </w:p>
        </w:tc>
        <w:tc>
          <w:tcPr>
            <w:tcW w:w="8003" w:type="dxa"/>
            <w:tcBorders>
              <w:top w:val="single" w:sz="4" w:space="0" w:color="1A171C"/>
              <w:left w:val="single" w:sz="4" w:space="0" w:color="1A171C"/>
              <w:bottom w:val="single" w:sz="4" w:space="0" w:color="1A171C"/>
              <w:right w:val="nil"/>
            </w:tcBorders>
            <w:vAlign w:val="center"/>
          </w:tcPr>
          <w:p w14:paraId="7FE1BC6A" w14:textId="77777777" w:rsidR="00696584" w:rsidRDefault="002C4F63">
            <w:pPr>
              <w:pStyle w:val="P68B1DB1-TableParagraph14"/>
              <w:spacing w:before="108"/>
              <w:ind w:left="85"/>
              <w:jc w:val="both"/>
              <w:rPr>
                <w:bCs/>
              </w:rPr>
            </w:pPr>
            <w:r>
              <w:t>Beschreibung der wirtschaftlichen Funktion</w:t>
            </w:r>
          </w:p>
          <w:p w14:paraId="7FE1BC6B" w14:textId="60931CA4" w:rsidR="00696584" w:rsidRDefault="002C4F63">
            <w:pPr>
              <w:pStyle w:val="TableParagraph"/>
              <w:spacing w:before="108"/>
              <w:ind w:left="85"/>
              <w:rPr>
                <w:rFonts w:ascii="Times New Roman" w:eastAsia="Cambria" w:hAnsi="Times New Roman" w:cs="Times New Roman"/>
                <w:color w:val="000000" w:themeColor="text1"/>
                <w:sz w:val="20"/>
                <w:szCs w:val="20"/>
              </w:rPr>
            </w:pPr>
            <w:r>
              <w:rPr>
                <w:rFonts w:ascii="Times New Roman" w:eastAsia="Cambria" w:hAnsi="Times New Roman" w:cs="Times New Roman"/>
                <w:color w:val="000000" w:themeColor="text1"/>
                <w:sz w:val="20"/>
                <w:szCs w:val="20"/>
              </w:rPr>
              <w:t>Ist die wirtschaftliche Funktion vom Typ „Sonstige“ (</w:t>
            </w:r>
            <w:r w:rsidR="0098354D">
              <w:rPr>
                <w:rFonts w:ascii="Times New Roman" w:eastAsia="Cambria" w:hAnsi="Times New Roman" w:cs="Times New Roman"/>
                <w:color w:val="000000" w:themeColor="text1"/>
                <w:sz w:val="20"/>
                <w:szCs w:val="20"/>
              </w:rPr>
              <w:t>{</w:t>
            </w:r>
            <w:r w:rsidRPr="000D7090">
              <w:rPr>
                <w:rFonts w:ascii="Times New Roman" w:eastAsia="Cambria" w:hAnsi="Times New Roman" w:cs="Times New Roman"/>
                <w:color w:val="000000" w:themeColor="text1"/>
                <w:sz w:val="20"/>
                <w:szCs w:val="20"/>
              </w:rPr>
              <w:t xml:space="preserve">Z 07.01.4 FUNC 1 </w:t>
            </w:r>
            <w:r>
              <w:rPr>
                <w:rFonts w:ascii="Times New Roman" w:eastAsia="Cambria" w:hAnsi="Times New Roman" w:cs="Times New Roman"/>
                <w:color w:val="000000" w:themeColor="text1"/>
                <w:sz w:val="20"/>
                <w:szCs w:val="20"/>
              </w:rPr>
              <w:t>CM r0290 bis r0310</w:t>
            </w:r>
            <w:r w:rsidR="0098354D">
              <w:rPr>
                <w:rFonts w:ascii="Times New Roman" w:eastAsia="Cambria" w:hAnsi="Times New Roman" w:cs="Times New Roman"/>
                <w:color w:val="000000" w:themeColor="text1"/>
                <w:sz w:val="20"/>
                <w:szCs w:val="20"/>
              </w:rPr>
              <w:t>}</w:t>
            </w:r>
            <w:r>
              <w:rPr>
                <w:rFonts w:ascii="Times New Roman" w:eastAsia="Cambria" w:hAnsi="Times New Roman" w:cs="Times New Roman"/>
                <w:color w:val="000000" w:themeColor="text1"/>
                <w:sz w:val="20"/>
                <w:szCs w:val="20"/>
              </w:rPr>
              <w:t xml:space="preserve">), ist diese Funktion zu beschreiben. </w:t>
            </w:r>
          </w:p>
        </w:tc>
      </w:tr>
      <w:tr w:rsidR="00696584" w14:paraId="7FE1BC70" w14:textId="77777777">
        <w:tc>
          <w:tcPr>
            <w:tcW w:w="1080" w:type="dxa"/>
            <w:tcBorders>
              <w:top w:val="single" w:sz="4" w:space="0" w:color="1A171C"/>
              <w:left w:val="nil"/>
              <w:bottom w:val="single" w:sz="4" w:space="0" w:color="1A171C"/>
              <w:right w:val="single" w:sz="4" w:space="0" w:color="1A171C"/>
            </w:tcBorders>
            <w:vAlign w:val="center"/>
          </w:tcPr>
          <w:p w14:paraId="7FE1BC6D" w14:textId="77777777" w:rsidR="00696584" w:rsidRDefault="002C4F63">
            <w:pPr>
              <w:pStyle w:val="P68B1DB1-TableParagraph17"/>
              <w:spacing w:before="108"/>
              <w:ind w:left="85"/>
              <w:jc w:val="both"/>
            </w:pPr>
            <w:r>
              <w:t>0020</w:t>
            </w:r>
          </w:p>
        </w:tc>
        <w:tc>
          <w:tcPr>
            <w:tcW w:w="8003" w:type="dxa"/>
            <w:tcBorders>
              <w:top w:val="single" w:sz="4" w:space="0" w:color="1A171C"/>
              <w:left w:val="single" w:sz="4" w:space="0" w:color="1A171C"/>
              <w:bottom w:val="single" w:sz="4" w:space="0" w:color="1A171C"/>
              <w:right w:val="nil"/>
            </w:tcBorders>
            <w:vAlign w:val="center"/>
          </w:tcPr>
          <w:p w14:paraId="7FE1BC6E" w14:textId="77777777" w:rsidR="00696584" w:rsidRDefault="002C4F63">
            <w:pPr>
              <w:pStyle w:val="P68B1DB1-TableParagraph14"/>
              <w:spacing w:before="108"/>
              <w:ind w:left="85"/>
              <w:jc w:val="both"/>
              <w:rPr>
                <w:bCs/>
              </w:rPr>
            </w:pPr>
            <w:r>
              <w:t xml:space="preserve">Marktanteil </w:t>
            </w:r>
          </w:p>
          <w:p w14:paraId="7FE1BC6F" w14:textId="629D801B" w:rsidR="00696584" w:rsidRDefault="002C4F63">
            <w:pPr>
              <w:pStyle w:val="P68B1DB1-TableParagraph17"/>
              <w:spacing w:before="108"/>
              <w:ind w:left="85"/>
            </w:pPr>
            <w:r>
              <w:t>Schätzung des Marktanteils des Instituts oder der Gruppe an der wirtschaftlichen Funktion im jeweiligen Land oder im jeweiligen geografischen Gebiet. Prozentsatz des Gesamtmarkts in Bezug auf den Nominalwert für Derivate; der Buchwert für Sekundärmärkte und Gebühreneinnahmen für Primärmärkte.</w:t>
            </w:r>
          </w:p>
        </w:tc>
      </w:tr>
      <w:tr w:rsidR="00696584" w14:paraId="7FE1BC77" w14:textId="77777777">
        <w:tc>
          <w:tcPr>
            <w:tcW w:w="1080" w:type="dxa"/>
            <w:tcBorders>
              <w:top w:val="single" w:sz="4" w:space="0" w:color="1A171C"/>
              <w:left w:val="nil"/>
              <w:bottom w:val="single" w:sz="4" w:space="0" w:color="1A171C"/>
              <w:right w:val="single" w:sz="4" w:space="0" w:color="1A171C"/>
            </w:tcBorders>
            <w:vAlign w:val="center"/>
          </w:tcPr>
          <w:p w14:paraId="7FE1BC71" w14:textId="77777777" w:rsidR="00696584" w:rsidRDefault="002C4F63">
            <w:pPr>
              <w:pStyle w:val="P68B1DB1-TableParagraph17"/>
              <w:spacing w:before="108"/>
              <w:ind w:left="85"/>
              <w:jc w:val="both"/>
            </w:pPr>
            <w:r>
              <w:t>0030</w:t>
            </w:r>
          </w:p>
        </w:tc>
        <w:tc>
          <w:tcPr>
            <w:tcW w:w="8003" w:type="dxa"/>
            <w:tcBorders>
              <w:top w:val="single" w:sz="4" w:space="0" w:color="1A171C"/>
              <w:left w:val="single" w:sz="4" w:space="0" w:color="1A171C"/>
              <w:bottom w:val="single" w:sz="4" w:space="0" w:color="1A171C"/>
              <w:right w:val="nil"/>
            </w:tcBorders>
            <w:vAlign w:val="center"/>
          </w:tcPr>
          <w:p w14:paraId="7FE1BC72" w14:textId="77777777" w:rsidR="00696584" w:rsidRDefault="002C4F63">
            <w:pPr>
              <w:pStyle w:val="P68B1DB1-TableParagraph14"/>
              <w:spacing w:before="108"/>
              <w:rPr>
                <w:bCs/>
              </w:rPr>
            </w:pPr>
            <w:r>
              <w:t>Nennbetrag</w:t>
            </w:r>
          </w:p>
          <w:p w14:paraId="7FE1BC73" w14:textId="77777777" w:rsidR="00696584" w:rsidRDefault="002C4F63">
            <w:pPr>
              <w:pStyle w:val="P68B1DB1-TableParagraph17"/>
              <w:spacing w:before="108"/>
            </w:pPr>
            <w:r>
              <w:t xml:space="preserve">Bruttonennbetrag aller Geschäfte, die am Stichtag geschlossen aber noch nicht abgewickelt waren. </w:t>
            </w:r>
          </w:p>
          <w:p w14:paraId="7FE1BC74" w14:textId="6EF95182" w:rsidR="00696584" w:rsidRDefault="0098354D">
            <w:pPr>
              <w:pStyle w:val="P68B1DB1-TableParagraph17"/>
              <w:spacing w:before="108"/>
            </w:pPr>
            <w:r>
              <w:t>Verweise</w:t>
            </w:r>
            <w:r w:rsidR="002C4F63">
              <w:t>: Begriffsbestimmung in FINREP Anhang V Teil 2 Nummer 133, Daten in FINREP Anhänge III, IV und V)</w:t>
            </w:r>
          </w:p>
          <w:p w14:paraId="7FE1BC75" w14:textId="77777777" w:rsidR="00696584" w:rsidRDefault="002C4F63">
            <w:pPr>
              <w:pStyle w:val="P68B1DB1-TableParagraph17"/>
              <w:spacing w:before="108"/>
            </w:pPr>
            <w:r>
              <w:t>— Derivate (gesamt) (4.1-4.2): Meldebogen F 10.00 Spalte 030 Zeile 290.</w:t>
            </w:r>
          </w:p>
          <w:p w14:paraId="7FE1BC76" w14:textId="77777777" w:rsidR="00696584" w:rsidRDefault="002C4F63">
            <w:pPr>
              <w:pStyle w:val="P68B1DB1-TableParagraph17"/>
              <w:spacing w:before="108"/>
            </w:pPr>
            <w:r>
              <w:t>— Derivate (außerbörslich) (4.1): Meldebogen F 10.00 Spalte 030 Zeilen 300, 310 und 320.</w:t>
            </w:r>
          </w:p>
        </w:tc>
      </w:tr>
      <w:tr w:rsidR="00696584" w14:paraId="7FE1BC7C" w14:textId="77777777">
        <w:tc>
          <w:tcPr>
            <w:tcW w:w="1080" w:type="dxa"/>
            <w:tcBorders>
              <w:top w:val="single" w:sz="4" w:space="0" w:color="1A171C"/>
              <w:left w:val="nil"/>
              <w:bottom w:val="single" w:sz="4" w:space="0" w:color="1A171C"/>
              <w:right w:val="single" w:sz="4" w:space="0" w:color="1A171C"/>
            </w:tcBorders>
            <w:vAlign w:val="center"/>
          </w:tcPr>
          <w:p w14:paraId="7FE1BC78" w14:textId="77777777" w:rsidR="00696584" w:rsidRDefault="002C4F63">
            <w:pPr>
              <w:pStyle w:val="P68B1DB1-TableParagraph17"/>
              <w:spacing w:before="108"/>
              <w:ind w:left="85"/>
              <w:jc w:val="both"/>
            </w:pPr>
            <w:r>
              <w:lastRenderedPageBreak/>
              <w:t>0040</w:t>
            </w:r>
          </w:p>
        </w:tc>
        <w:tc>
          <w:tcPr>
            <w:tcW w:w="8003" w:type="dxa"/>
            <w:tcBorders>
              <w:top w:val="single" w:sz="4" w:space="0" w:color="1A171C"/>
              <w:left w:val="single" w:sz="4" w:space="0" w:color="1A171C"/>
              <w:bottom w:val="single" w:sz="4" w:space="0" w:color="1A171C"/>
              <w:right w:val="nil"/>
            </w:tcBorders>
            <w:vAlign w:val="center"/>
          </w:tcPr>
          <w:p w14:paraId="7FE1BC79" w14:textId="77777777" w:rsidR="00696584" w:rsidRDefault="002C4F63">
            <w:pPr>
              <w:pStyle w:val="P68B1DB1-TableParagraph14"/>
              <w:spacing w:before="108"/>
              <w:rPr>
                <w:bCs/>
              </w:rPr>
            </w:pPr>
            <w:r>
              <w:t>Buchwert</w:t>
            </w:r>
          </w:p>
          <w:p w14:paraId="7FE1BC7A" w14:textId="77777777" w:rsidR="00696584" w:rsidRDefault="002C4F63">
            <w:pPr>
              <w:pStyle w:val="P68B1DB1-TableParagraph17"/>
              <w:spacing w:before="108"/>
            </w:pPr>
            <w:r>
              <w:t>Der auf der Aktivseite der Bilanz anzugebende Buchwert der Vermögenswerte, einschließlich aufgelaufener Zinsen (FINREP Anhang V Teil 1 Nummer 27) für Eigenkapitalinstrumente und Schuldtitel (FINREP Anhang V Teil 1 Nummer 31) als „zu Handelszwecken gehalten“ eingestuft (FINREP Anhang V Teil 1 Nummer 15 Buchstabe a und Nummer 16 Buchstabe a)</w:t>
            </w:r>
          </w:p>
          <w:p w14:paraId="7FE1BC7B" w14:textId="6DB8EC3F" w:rsidR="00696584" w:rsidRDefault="0098354D">
            <w:pPr>
              <w:pStyle w:val="P68B1DB1-TableParagraph17"/>
              <w:spacing w:before="108"/>
            </w:pPr>
            <w:r>
              <w:t>Verweise</w:t>
            </w:r>
            <w:r w:rsidR="002C4F63">
              <w:t>: FINREP: Anhang III Meldebogen F 04.01 Spalte 010 Zeilen 010, 060 und 120)</w:t>
            </w:r>
          </w:p>
        </w:tc>
      </w:tr>
      <w:tr w:rsidR="00696584" w14:paraId="7FE1BC81" w14:textId="77777777">
        <w:tc>
          <w:tcPr>
            <w:tcW w:w="1080" w:type="dxa"/>
            <w:tcBorders>
              <w:top w:val="single" w:sz="4" w:space="0" w:color="1A171C"/>
              <w:left w:val="nil"/>
              <w:bottom w:val="single" w:sz="4" w:space="0" w:color="1A171C"/>
              <w:right w:val="single" w:sz="4" w:space="0" w:color="1A171C"/>
            </w:tcBorders>
            <w:vAlign w:val="center"/>
          </w:tcPr>
          <w:p w14:paraId="7FE1BC7D" w14:textId="77777777" w:rsidR="00696584" w:rsidRDefault="002C4F63">
            <w:pPr>
              <w:pStyle w:val="P68B1DB1-TableParagraph17"/>
              <w:spacing w:before="108"/>
              <w:ind w:left="85"/>
              <w:jc w:val="both"/>
            </w:pPr>
            <w:r>
              <w:t>0050</w:t>
            </w:r>
          </w:p>
        </w:tc>
        <w:tc>
          <w:tcPr>
            <w:tcW w:w="8003" w:type="dxa"/>
            <w:tcBorders>
              <w:top w:val="single" w:sz="4" w:space="0" w:color="1A171C"/>
              <w:left w:val="single" w:sz="4" w:space="0" w:color="1A171C"/>
              <w:bottom w:val="single" w:sz="4" w:space="0" w:color="1A171C"/>
              <w:right w:val="nil"/>
            </w:tcBorders>
            <w:vAlign w:val="center"/>
          </w:tcPr>
          <w:p w14:paraId="7FE1BC7E" w14:textId="77777777" w:rsidR="00696584" w:rsidRDefault="002C4F63">
            <w:pPr>
              <w:pStyle w:val="P68B1DB1-TableParagraph14"/>
              <w:spacing w:before="108"/>
              <w:jc w:val="both"/>
              <w:rPr>
                <w:bCs/>
              </w:rPr>
            </w:pPr>
            <w:r>
              <w:t>Einkünfte aus Gebühren</w:t>
            </w:r>
          </w:p>
          <w:p w14:paraId="7FE1BC7F" w14:textId="77777777" w:rsidR="00696584" w:rsidRDefault="002C4F63">
            <w:pPr>
              <w:pStyle w:val="P68B1DB1-TableParagraph13"/>
              <w:spacing w:before="108"/>
              <w:jc w:val="both"/>
            </w:pPr>
            <w:r>
              <w:t>Gebühren und Provisionen, die das Institut für die Beteiligung an der Emission oder Ausgabe von nicht durch das Institut emittierten oder ausgegebenen Wertpapieren empfangen hat.</w:t>
            </w:r>
          </w:p>
          <w:p w14:paraId="7FE1BC80" w14:textId="6A4C2F2F" w:rsidR="00696584" w:rsidRDefault="0098354D">
            <w:pPr>
              <w:pStyle w:val="P68B1DB1-TableParagraph13"/>
              <w:spacing w:before="108"/>
              <w:jc w:val="both"/>
            </w:pPr>
            <w:r>
              <w:t>Verweise</w:t>
            </w:r>
            <w:r w:rsidR="002C4F63">
              <w:t>: FINREP: Anhänge III und IV Meldebogen F 22.01 Spalte 010 Zeilen 030 und 180)</w:t>
            </w:r>
          </w:p>
        </w:tc>
      </w:tr>
      <w:tr w:rsidR="00696584" w14:paraId="7FE1BC87" w14:textId="77777777">
        <w:tc>
          <w:tcPr>
            <w:tcW w:w="1080" w:type="dxa"/>
            <w:tcBorders>
              <w:top w:val="single" w:sz="4" w:space="0" w:color="1A171C"/>
              <w:left w:val="nil"/>
              <w:bottom w:val="single" w:sz="4" w:space="0" w:color="1A171C"/>
              <w:right w:val="single" w:sz="4" w:space="0" w:color="1A171C"/>
            </w:tcBorders>
            <w:vAlign w:val="center"/>
          </w:tcPr>
          <w:p w14:paraId="7FE1BC82" w14:textId="77777777" w:rsidR="00696584" w:rsidRDefault="002C4F63">
            <w:pPr>
              <w:pStyle w:val="P68B1DB1-TableParagraph17"/>
              <w:spacing w:before="108"/>
              <w:jc w:val="both"/>
            </w:pPr>
            <w:r>
              <w:t>0060-0080</w:t>
            </w:r>
          </w:p>
        </w:tc>
        <w:tc>
          <w:tcPr>
            <w:tcW w:w="8003" w:type="dxa"/>
            <w:tcBorders>
              <w:top w:val="single" w:sz="4" w:space="0" w:color="1A171C"/>
              <w:left w:val="single" w:sz="4" w:space="0" w:color="1A171C"/>
              <w:bottom w:val="single" w:sz="4" w:space="0" w:color="1A171C"/>
              <w:right w:val="nil"/>
            </w:tcBorders>
            <w:vAlign w:val="center"/>
          </w:tcPr>
          <w:p w14:paraId="7FE1BC83" w14:textId="77777777" w:rsidR="00696584" w:rsidRDefault="002C4F63">
            <w:pPr>
              <w:pStyle w:val="P68B1DB1-TableParagraph14"/>
              <w:spacing w:before="108"/>
              <w:jc w:val="both"/>
              <w:rPr>
                <w:bCs/>
              </w:rPr>
            </w:pPr>
            <w:r>
              <w:t>Wert mit Auslandsbezug</w:t>
            </w:r>
          </w:p>
          <w:p w14:paraId="7FE1BC84" w14:textId="4F4878AE" w:rsidR="00696584" w:rsidRDefault="002C4F63">
            <w:pPr>
              <w:pStyle w:val="P68B1DB1-TableParagraph13"/>
              <w:spacing w:before="108"/>
              <w:jc w:val="both"/>
            </w:pPr>
            <w:r>
              <w:t xml:space="preserve">Derivate: der außerhalb des Herkunftslandes oder des betreffenden Landes ausstehende Nominalbetrag. </w:t>
            </w:r>
          </w:p>
          <w:p w14:paraId="7FE1BC85" w14:textId="77777777" w:rsidR="00696584" w:rsidRDefault="002C4F63">
            <w:pPr>
              <w:pStyle w:val="P68B1DB1-TableParagraph13"/>
              <w:spacing w:before="108"/>
              <w:jc w:val="both"/>
            </w:pPr>
            <w:r>
              <w:t>Sekundärmärkte: ausstehender Bruttobuchwert außerhalb des Herkunftslandes oder des betreffenden Landes. Weiterführende Informationen: FINREP Anhang III Tabelle 20.04, Spalte 011, Zeilen 040+ 080, alle Länder außerhalb des Sitzlandes oder relevanten Landes.</w:t>
            </w:r>
          </w:p>
          <w:p w14:paraId="7FE1BC86" w14:textId="68837303" w:rsidR="00696584" w:rsidRDefault="002C4F63">
            <w:pPr>
              <w:pStyle w:val="P68B1DB1-TableParagraph13"/>
              <w:spacing w:before="108"/>
              <w:jc w:val="both"/>
            </w:pPr>
            <w:r>
              <w:t>Primärmärkte: Gebühreneinnahmen, die außerhalb des Heimatlandes oder des betreffenden Landes erzielt werden.</w:t>
            </w:r>
          </w:p>
        </w:tc>
      </w:tr>
      <w:tr w:rsidR="00696584" w14:paraId="7FE1BC8B" w14:textId="77777777">
        <w:tc>
          <w:tcPr>
            <w:tcW w:w="1080" w:type="dxa"/>
            <w:tcBorders>
              <w:top w:val="single" w:sz="4" w:space="0" w:color="1A171C"/>
              <w:left w:val="nil"/>
              <w:bottom w:val="single" w:sz="4" w:space="0" w:color="1A171C"/>
              <w:right w:val="single" w:sz="4" w:space="0" w:color="1A171C"/>
            </w:tcBorders>
            <w:vAlign w:val="center"/>
          </w:tcPr>
          <w:p w14:paraId="7FE1BC88" w14:textId="77777777" w:rsidR="00696584" w:rsidRDefault="002C4F63">
            <w:pPr>
              <w:pStyle w:val="P68B1DB1-TableParagraph17"/>
              <w:spacing w:before="108"/>
              <w:ind w:left="85"/>
              <w:jc w:val="both"/>
            </w:pPr>
            <w:r>
              <w:t>0090-0100</w:t>
            </w:r>
          </w:p>
        </w:tc>
        <w:tc>
          <w:tcPr>
            <w:tcW w:w="8003" w:type="dxa"/>
            <w:tcBorders>
              <w:top w:val="single" w:sz="4" w:space="0" w:color="1A171C"/>
              <w:left w:val="single" w:sz="4" w:space="0" w:color="1A171C"/>
              <w:bottom w:val="single" w:sz="4" w:space="0" w:color="1A171C"/>
              <w:right w:val="nil"/>
            </w:tcBorders>
            <w:vAlign w:val="center"/>
          </w:tcPr>
          <w:p w14:paraId="7FE1BC89" w14:textId="77777777" w:rsidR="00696584" w:rsidRDefault="002C4F63">
            <w:pPr>
              <w:pStyle w:val="P68B1DB1-TableParagraph14"/>
              <w:spacing w:before="108"/>
              <w:jc w:val="both"/>
              <w:rPr>
                <w:bCs/>
              </w:rPr>
            </w:pPr>
            <w:r>
              <w:t>Anzahl der Gegenparteien oder Geschäfte.</w:t>
            </w:r>
          </w:p>
          <w:p w14:paraId="7FE1BC8A" w14:textId="77777777" w:rsidR="00696584" w:rsidRDefault="002C4F63">
            <w:pPr>
              <w:pStyle w:val="P68B1DB1-TableParagraph13"/>
              <w:spacing w:before="108"/>
              <w:jc w:val="both"/>
              <w:rPr>
                <w:b/>
                <w:bCs/>
              </w:rPr>
            </w:pPr>
            <w:r>
              <w:t>Bei Derivaten und Sekundärmärkten Gesamtzahl der Gegenparteien. Für Primärmärkte, die Gesamtzahl der übernommenen Transaktionen.</w:t>
            </w:r>
          </w:p>
        </w:tc>
      </w:tr>
      <w:tr w:rsidR="00696584" w14:paraId="7FE1BC94" w14:textId="77777777">
        <w:tc>
          <w:tcPr>
            <w:tcW w:w="1080" w:type="dxa"/>
            <w:tcBorders>
              <w:top w:val="single" w:sz="4" w:space="0" w:color="1A171C"/>
              <w:left w:val="nil"/>
              <w:bottom w:val="single" w:sz="4" w:space="0" w:color="1A171C"/>
              <w:right w:val="single" w:sz="4" w:space="0" w:color="1A171C"/>
            </w:tcBorders>
            <w:vAlign w:val="center"/>
          </w:tcPr>
          <w:p w14:paraId="7FE1BC8C" w14:textId="77777777" w:rsidR="00696584" w:rsidRDefault="002C4F63">
            <w:pPr>
              <w:pStyle w:val="P68B1DB1-TableParagraph17"/>
              <w:spacing w:before="108"/>
              <w:ind w:left="85"/>
              <w:jc w:val="both"/>
            </w:pPr>
            <w:r>
              <w:t>0110-0180</w:t>
            </w:r>
          </w:p>
        </w:tc>
        <w:tc>
          <w:tcPr>
            <w:tcW w:w="8003" w:type="dxa"/>
            <w:tcBorders>
              <w:top w:val="single" w:sz="4" w:space="0" w:color="1A171C"/>
              <w:left w:val="single" w:sz="4" w:space="0" w:color="1A171C"/>
              <w:bottom w:val="single" w:sz="4" w:space="0" w:color="1A171C"/>
              <w:right w:val="nil"/>
            </w:tcBorders>
            <w:vAlign w:val="center"/>
          </w:tcPr>
          <w:p w14:paraId="7FE1BC8D" w14:textId="77777777" w:rsidR="00696584" w:rsidRDefault="002C4F63">
            <w:pPr>
              <w:pStyle w:val="P68B1DB1-TableParagraph14"/>
              <w:spacing w:before="108"/>
              <w:jc w:val="both"/>
              <w:rPr>
                <w:bCs/>
              </w:rPr>
            </w:pPr>
            <w:r>
              <w:t>Auswirkungs- und Substituierbarkeitsanalysen</w:t>
            </w:r>
          </w:p>
          <w:p w14:paraId="7FE1BC8E" w14:textId="77777777" w:rsidR="00696584" w:rsidRDefault="002C4F63">
            <w:pPr>
              <w:pStyle w:val="P68B1DB1-TableParagraph13"/>
              <w:spacing w:before="108"/>
              <w:jc w:val="both"/>
            </w:pPr>
            <w:r>
              <w:t>Nach der Delegierten Verordnung (EU) 2016/778 umfassen die Bewertungskriterien für die Auswirkungen auf Dritte die folgenden Elemente:</w:t>
            </w:r>
          </w:p>
          <w:p w14:paraId="7FE1BC8F" w14:textId="77777777" w:rsidR="00696584" w:rsidRDefault="002C4F63">
            <w:pPr>
              <w:pStyle w:val="P68B1DB1-ListParagraph38"/>
              <w:numPr>
                <w:ilvl w:val="0"/>
                <w:numId w:val="131"/>
              </w:numPr>
              <w:spacing w:line="276" w:lineRule="auto"/>
            </w:pPr>
            <w:r>
              <w:t>Art und Reichweite der Tätigkeit, globale, nationale oder regionale Reichweite, Umfang und Anzahl der Transaktionen; die Zahl der Kunden und Gegenparteien; die Anzahl der Kunden, für die das Unternehmen der einzige oder der wichtigste Bankpartner ist.</w:t>
            </w:r>
          </w:p>
          <w:p w14:paraId="7FE1BC90" w14:textId="77777777" w:rsidR="00696584" w:rsidRDefault="002C4F63">
            <w:pPr>
              <w:pStyle w:val="P68B1DB1-ListParagraph38"/>
              <w:numPr>
                <w:ilvl w:val="0"/>
                <w:numId w:val="131"/>
              </w:numPr>
              <w:spacing w:line="276" w:lineRule="auto"/>
            </w:pPr>
            <w:r>
              <w:t>die Bedeutung des Instituts auf lokaler, regionaler, nationaler oder europäischer Ebene, je nach betreffendem Markt. Die Bedeutung des Instituts kann auf Grundlage des Marktanteils, der bestehenden Verflechtungen, der Komplexität und der grenzüberschreitenden Tätigkeiten bewertet werden;</w:t>
            </w:r>
          </w:p>
          <w:p w14:paraId="7FE1BC91" w14:textId="77777777" w:rsidR="00696584" w:rsidRDefault="002C4F63">
            <w:pPr>
              <w:pStyle w:val="P68B1DB1-ListParagraph38"/>
              <w:numPr>
                <w:ilvl w:val="0"/>
                <w:numId w:val="131"/>
              </w:numPr>
              <w:spacing w:line="276" w:lineRule="auto"/>
            </w:pPr>
            <w:r>
              <w:t xml:space="preserve">Art der Kunden und Interessenträger, die von der Funktion betroffen sind, wie zum Beispiel Privat- und Firmenkunden, Interbankenkunden, zentrale Clearingstellen und öffentlich-rechtliche Einrichtungen; </w:t>
            </w:r>
          </w:p>
          <w:p w14:paraId="7FE1BC92" w14:textId="77777777" w:rsidR="00696584" w:rsidRDefault="002C4F63">
            <w:pPr>
              <w:pStyle w:val="P68B1DB1-ListParagraph38"/>
              <w:numPr>
                <w:ilvl w:val="0"/>
                <w:numId w:val="131"/>
              </w:numPr>
              <w:spacing w:line="276" w:lineRule="auto"/>
            </w:pPr>
            <w:r>
              <w:t xml:space="preserve">die Folgen eines möglichen Ausfalls der Funktion für Märkte, Infrastrukturen, Kunden und öffentliche Dienste. Die Bewertung kann insbesondere die Auswirkungen auf die Liquidität der betreffenden Märkte, die Auswirkungen und das Ausmaß von Störungen des Kundengeschäfts und den kurzfristigen Liquiditätsbedarf umfassen; die Wahrnehmung für Gegenparteien, Kunden und die Öffentlichkeit; Kapazität und Schnelligkeit der Kundenreaktion; die Relevanz für das Funktionieren anderer Märkte; die Auswirkungen auf die Liquidität, die Geschäfte und die Struktur eines anderen Marktes; die Auswirkungen auf andere Gegenparteien im Zusammenhang mit den </w:t>
            </w:r>
            <w:r>
              <w:lastRenderedPageBreak/>
              <w:t>Hauptkunden und die Wechselbeziehung zwischen der Funktion und anderen Dienstleistungen.</w:t>
            </w:r>
          </w:p>
          <w:p w14:paraId="7FE1BC93" w14:textId="77777777" w:rsidR="00696584" w:rsidRDefault="00696584">
            <w:pPr>
              <w:pStyle w:val="TableParagraph"/>
              <w:spacing w:before="108"/>
              <w:jc w:val="both"/>
              <w:rPr>
                <w:rFonts w:ascii="Times New Roman" w:hAnsi="Times New Roman" w:cs="Times New Roman"/>
                <w:color w:val="000000" w:themeColor="text1"/>
                <w:sz w:val="20"/>
                <w:szCs w:val="20"/>
              </w:rPr>
            </w:pPr>
          </w:p>
        </w:tc>
      </w:tr>
      <w:tr w:rsidR="00696584" w14:paraId="7FE1BC98" w14:textId="77777777">
        <w:tc>
          <w:tcPr>
            <w:tcW w:w="1080" w:type="dxa"/>
            <w:tcBorders>
              <w:top w:val="single" w:sz="4" w:space="0" w:color="1A171C"/>
              <w:left w:val="nil"/>
              <w:bottom w:val="single" w:sz="4" w:space="0" w:color="1A171C"/>
              <w:right w:val="single" w:sz="4" w:space="0" w:color="1A171C"/>
            </w:tcBorders>
            <w:vAlign w:val="center"/>
          </w:tcPr>
          <w:p w14:paraId="7FE1BC95" w14:textId="77777777" w:rsidR="00696584" w:rsidRDefault="002C4F63">
            <w:pPr>
              <w:pStyle w:val="P68B1DB1-TableParagraph17"/>
              <w:spacing w:before="108"/>
              <w:ind w:left="85"/>
              <w:jc w:val="both"/>
            </w:pPr>
            <w:r>
              <w:lastRenderedPageBreak/>
              <w:t>0110 – 0130</w:t>
            </w:r>
          </w:p>
        </w:tc>
        <w:tc>
          <w:tcPr>
            <w:tcW w:w="8003" w:type="dxa"/>
            <w:tcBorders>
              <w:top w:val="single" w:sz="4" w:space="0" w:color="1A171C"/>
              <w:left w:val="single" w:sz="4" w:space="0" w:color="1A171C"/>
              <w:bottom w:val="single" w:sz="4" w:space="0" w:color="1A171C"/>
              <w:right w:val="nil"/>
            </w:tcBorders>
            <w:vAlign w:val="center"/>
          </w:tcPr>
          <w:p w14:paraId="7FE1BC96" w14:textId="77777777" w:rsidR="00696584" w:rsidRDefault="002C4F63">
            <w:pPr>
              <w:pStyle w:val="P68B1DB1-TableParagraph14"/>
              <w:spacing w:before="108"/>
              <w:jc w:val="both"/>
              <w:rPr>
                <w:bCs/>
              </w:rPr>
            </w:pPr>
            <w:r>
              <w:t xml:space="preserve">Art und Reichweite </w:t>
            </w:r>
          </w:p>
          <w:p w14:paraId="7FE1BC97" w14:textId="77777777" w:rsidR="00696584" w:rsidRDefault="002C4F63">
            <w:pPr>
              <w:pStyle w:val="P68B1DB1-TableParagraph13"/>
              <w:spacing w:before="108"/>
              <w:jc w:val="both"/>
            </w:pPr>
            <w:r>
              <w:t>Die globale, nationale oder regionale Reichweite, das Volumen und die Anzahl der Transaktionen; die Zahl der Kunden und Gegenparteien; die Anzahl der Kunden, für die das Unternehmen der einzige oder der wichtigste Bankpartner ist.</w:t>
            </w:r>
          </w:p>
        </w:tc>
      </w:tr>
      <w:tr w:rsidR="00696584" w14:paraId="7FE1BC9E" w14:textId="77777777">
        <w:tc>
          <w:tcPr>
            <w:tcW w:w="1080" w:type="dxa"/>
            <w:tcBorders>
              <w:top w:val="single" w:sz="4" w:space="0" w:color="1A171C"/>
              <w:left w:val="nil"/>
              <w:bottom w:val="single" w:sz="4" w:space="0" w:color="1A171C"/>
              <w:right w:val="single" w:sz="4" w:space="0" w:color="1A171C"/>
            </w:tcBorders>
            <w:vAlign w:val="center"/>
          </w:tcPr>
          <w:p w14:paraId="7FE1BC99" w14:textId="77777777" w:rsidR="00696584" w:rsidRDefault="002C4F63">
            <w:pPr>
              <w:pStyle w:val="P68B1DB1-TableParagraph17"/>
              <w:spacing w:before="108"/>
              <w:ind w:left="85"/>
              <w:jc w:val="both"/>
            </w:pPr>
            <w:r>
              <w:t>0110</w:t>
            </w:r>
          </w:p>
        </w:tc>
        <w:tc>
          <w:tcPr>
            <w:tcW w:w="8003" w:type="dxa"/>
            <w:tcBorders>
              <w:top w:val="single" w:sz="4" w:space="0" w:color="1A171C"/>
              <w:left w:val="single" w:sz="4" w:space="0" w:color="1A171C"/>
              <w:bottom w:val="single" w:sz="4" w:space="0" w:color="1A171C"/>
              <w:right w:val="nil"/>
            </w:tcBorders>
            <w:vAlign w:val="center"/>
          </w:tcPr>
          <w:p w14:paraId="7FE1BC9A" w14:textId="77777777" w:rsidR="00696584" w:rsidRDefault="002C4F63">
            <w:pPr>
              <w:pStyle w:val="P68B1DB1-TableParagraph14"/>
              <w:spacing w:before="108"/>
              <w:jc w:val="both"/>
              <w:rPr>
                <w:bCs/>
              </w:rPr>
            </w:pPr>
            <w:r>
              <w:t>Größenindikator 1</w:t>
            </w:r>
          </w:p>
          <w:p w14:paraId="4965F0DF" w14:textId="77777777" w:rsidR="00696584" w:rsidRDefault="002C4F63">
            <w:pPr>
              <w:pStyle w:val="P68B1DB1-Normal31"/>
              <w:spacing w:line="276" w:lineRule="auto"/>
              <w:jc w:val="both"/>
            </w:pPr>
            <w:r>
              <w:t xml:space="preserve">Es ist eine Bewertung der Bedeutung der Bank bezüglich dieser Tätigkeiten vorzunehmen. Diese Bewertung wird qualitativ als „hoch“, „mittelhoch“, „mittel-niedrig“ oder „niedrig“ ausgedrückt. Angabe „hoch“, wenn die Größe der Funktion groß ist, „mittel-hoch“, wenn sie mittel ist, „mittel-niedrig“, wenn sie klein ist, und „niedrig“, wenn sie vernachlässigbar ist. Als Maßstab für diese qualitative Bewertung kann auf makroökonomische Variablen abgestellt werden, zum Beispiel BIP, Bevölkerung (für Einlagen, Kreditvergabe, Zahlungs-, Bargeld-, Abrechnungs-, Clearing- und Verwahrungsdienste) oder Marktgröße (für Kapitalmärkte und großvolumige Finanzierungen). </w:t>
            </w:r>
          </w:p>
          <w:p w14:paraId="7FE1BC9B" w14:textId="478A7B58" w:rsidR="00696584" w:rsidRDefault="002C4F63">
            <w:pPr>
              <w:pStyle w:val="P68B1DB1-TableParagraph13"/>
              <w:spacing w:before="108"/>
              <w:jc w:val="both"/>
            </w:pPr>
            <w:r>
              <w:t xml:space="preserve"> </w:t>
            </w:r>
          </w:p>
          <w:p w14:paraId="7FE1BC9C" w14:textId="07BB197C" w:rsidR="00696584" w:rsidRDefault="002C4F63">
            <w:pPr>
              <w:pStyle w:val="P68B1DB1-ListParagraph32"/>
              <w:numPr>
                <w:ilvl w:val="0"/>
                <w:numId w:val="126"/>
              </w:numPr>
              <w:spacing w:line="276" w:lineRule="auto"/>
            </w:pPr>
            <w:r>
              <w:t xml:space="preserve">Experteneinschätzung des </w:t>
            </w:r>
            <w:r>
              <w:rPr>
                <w:b/>
              </w:rPr>
              <w:t>Werts</w:t>
            </w:r>
            <w:r>
              <w:t xml:space="preserve"> des ausstehenden Nominalbetrags (c0030 für </w:t>
            </w:r>
            <w:r w:rsidR="00370AFA">
              <w:t>Funktionscodes</w:t>
            </w:r>
            <w:r>
              <w:t xml:space="preserve"> 4.1 und 4.2); Buchwert (c0040 für ID 4.3); oder Gebühreneinnahmen (c0050 für ID 4.4) aus </w:t>
            </w:r>
            <w:r>
              <w:rPr>
                <w:b/>
              </w:rPr>
              <w:t>globaler</w:t>
            </w:r>
            <w:r>
              <w:t xml:space="preserve"> Sicht [</w:t>
            </w:r>
            <w:r>
              <w:rPr>
                <w:i/>
              </w:rPr>
              <w:t>eine Ebene höher als der relevante Markt. Wenn der maßgebliche Markt global ist, so ist Größe 1 gegenstandslos und muss nicht gemeldet werden]</w:t>
            </w:r>
            <w:r>
              <w:t>:</w:t>
            </w:r>
          </w:p>
          <w:p w14:paraId="7FE1BC9D" w14:textId="77777777" w:rsidR="00696584" w:rsidRDefault="002C4F63">
            <w:pPr>
              <w:pStyle w:val="P68B1DB1-TableParagraph33"/>
              <w:spacing w:before="108"/>
              <w:jc w:val="both"/>
              <w:rPr>
                <w:rFonts w:cs="Times New Roman"/>
                <w:color w:val="000000" w:themeColor="text1"/>
              </w:rPr>
            </w:pPr>
            <w:r>
              <w:t>Für wie hoch halten Sie, aus globaler Perspektive, den Gesamtbetrag des ausstehenden Nominalbetrags oder des Buchwerts oder der erzielten Gebühreneinnahmen?</w:t>
            </w:r>
          </w:p>
        </w:tc>
      </w:tr>
      <w:tr w:rsidR="00696584" w14:paraId="7FE1BCA5" w14:textId="77777777">
        <w:tc>
          <w:tcPr>
            <w:tcW w:w="1080" w:type="dxa"/>
            <w:tcBorders>
              <w:top w:val="single" w:sz="4" w:space="0" w:color="1A171C"/>
              <w:left w:val="nil"/>
              <w:bottom w:val="single" w:sz="4" w:space="0" w:color="1A171C"/>
              <w:right w:val="single" w:sz="4" w:space="0" w:color="1A171C"/>
            </w:tcBorders>
            <w:vAlign w:val="center"/>
          </w:tcPr>
          <w:p w14:paraId="7FE1BC9F" w14:textId="77777777" w:rsidR="00696584" w:rsidRDefault="002C4F63">
            <w:pPr>
              <w:pStyle w:val="P68B1DB1-TableParagraph17"/>
              <w:spacing w:before="108"/>
              <w:ind w:left="85"/>
              <w:jc w:val="both"/>
            </w:pPr>
            <w:r>
              <w:t>0120</w:t>
            </w:r>
          </w:p>
        </w:tc>
        <w:tc>
          <w:tcPr>
            <w:tcW w:w="8003" w:type="dxa"/>
            <w:tcBorders>
              <w:top w:val="single" w:sz="4" w:space="0" w:color="1A171C"/>
              <w:left w:val="single" w:sz="4" w:space="0" w:color="1A171C"/>
              <w:bottom w:val="single" w:sz="4" w:space="0" w:color="1A171C"/>
              <w:right w:val="nil"/>
            </w:tcBorders>
            <w:vAlign w:val="center"/>
          </w:tcPr>
          <w:p w14:paraId="7FE1BCA0" w14:textId="77777777" w:rsidR="00696584" w:rsidRDefault="002C4F63">
            <w:pPr>
              <w:pStyle w:val="P68B1DB1-TableParagraph14"/>
              <w:spacing w:before="108"/>
              <w:jc w:val="both"/>
              <w:rPr>
                <w:bCs/>
              </w:rPr>
            </w:pPr>
            <w:r>
              <w:t>Größenindikator 2</w:t>
            </w:r>
          </w:p>
          <w:p w14:paraId="419C7762" w14:textId="77777777" w:rsidR="00696584" w:rsidRDefault="002C4F63">
            <w:pPr>
              <w:pStyle w:val="P68B1DB1-Normal31"/>
              <w:spacing w:line="276" w:lineRule="auto"/>
              <w:jc w:val="both"/>
            </w:pPr>
            <w:r>
              <w:t xml:space="preserve">Es ist eine Bewertung der Bedeutung der Bank bezüglich dieser Tätigkeiten vorzunehmen. Diese Bewertung wird qualitativ als „hoch“, „mittelhoch“, „mittel-niedrig“ oder „niedrig“ ausgedrückt. Angabe „hoch“, wenn die Größe der Funktion groß ist, „mittel-hoch“, wenn sie mittel ist, „mittel-niedrig“, wenn sie klein ist, und „niedrig“, wenn sie vernachlässigbar ist. Als Maßstab für diese qualitative Bewertung kann auf makroökonomische Variablen abgestellt werden, zum Beispiel BIP, Bevölkerung (für Einlagen, Kreditvergabe, Zahlungs-, Bargeld-, Abrechnungs-, Clearing- und Verwahrungsdienste) oder Marktgröße (für Kapitalmärkte und großvolumige Finanzierungen). </w:t>
            </w:r>
          </w:p>
          <w:p w14:paraId="7FE1BCA1" w14:textId="7FB998B3" w:rsidR="00696584" w:rsidRDefault="002C4F63">
            <w:pPr>
              <w:pStyle w:val="P68B1DB1-TableParagraph13"/>
              <w:spacing w:before="108"/>
              <w:jc w:val="both"/>
            </w:pPr>
            <w:r>
              <w:t xml:space="preserve"> </w:t>
            </w:r>
          </w:p>
          <w:p w14:paraId="3C42A32E" w14:textId="77777777" w:rsidR="00696584" w:rsidRDefault="002C4F63">
            <w:pPr>
              <w:pStyle w:val="P68B1DB1-ListParagraph32"/>
              <w:numPr>
                <w:ilvl w:val="0"/>
                <w:numId w:val="124"/>
              </w:numPr>
              <w:spacing w:line="276" w:lineRule="auto"/>
            </w:pPr>
            <w:r>
              <w:t xml:space="preserve">Sachverständige Beurteilung der Gegenparteien (c0090 für Funktionscodes 4,1, 4.2, 4.3) oder </w:t>
            </w:r>
            <w:r>
              <w:rPr>
                <w:b/>
              </w:rPr>
              <w:t>Zahl</w:t>
            </w:r>
            <w:r>
              <w:t xml:space="preserve"> der übernommenen Transaktionen (c0100 für Funktionscode 4.4) aus </w:t>
            </w:r>
            <w:r>
              <w:rPr>
                <w:b/>
              </w:rPr>
              <w:t>nationaler</w:t>
            </w:r>
            <w:r>
              <w:t xml:space="preserve"> Perspektive [</w:t>
            </w:r>
            <w:r>
              <w:rPr>
                <w:i/>
              </w:rPr>
              <w:t>auf Ebene des maßgeblichen Markts</w:t>
            </w:r>
            <w:r>
              <w:t>]:</w:t>
            </w:r>
          </w:p>
          <w:p w14:paraId="7FE1BCA3" w14:textId="77777777" w:rsidR="00696584" w:rsidRDefault="002C4F63">
            <w:pPr>
              <w:pStyle w:val="P68B1DB1-ListParagraph32"/>
              <w:numPr>
                <w:ilvl w:val="1"/>
                <w:numId w:val="124"/>
              </w:numPr>
              <w:spacing w:line="276" w:lineRule="auto"/>
            </w:pPr>
            <w:r>
              <w:t>Auf wie hoch schätzen Sie – aus nationaler Perspektive – die Zahl der Gegenparteien Ihres Instituts</w:t>
            </w:r>
            <w:r>
              <w:rPr>
                <w:i/>
              </w:rPr>
              <w:t xml:space="preserve"> oder</w:t>
            </w:r>
            <w:r>
              <w:t xml:space="preserve"> der von Ihrem Institut übernommenen Transaktionen?</w:t>
            </w:r>
          </w:p>
          <w:p w14:paraId="7FE1BCA4" w14:textId="77777777" w:rsidR="00696584" w:rsidRDefault="00696584">
            <w:pPr>
              <w:pStyle w:val="TableParagraph"/>
              <w:spacing w:before="108"/>
              <w:jc w:val="both"/>
              <w:rPr>
                <w:rFonts w:ascii="Times New Roman" w:hAnsi="Times New Roman" w:cs="Times New Roman"/>
                <w:color w:val="000000" w:themeColor="text1"/>
                <w:sz w:val="20"/>
                <w:szCs w:val="20"/>
              </w:rPr>
            </w:pPr>
          </w:p>
        </w:tc>
      </w:tr>
      <w:tr w:rsidR="00696584" w14:paraId="7FE1BCB0" w14:textId="77777777">
        <w:tc>
          <w:tcPr>
            <w:tcW w:w="1080" w:type="dxa"/>
            <w:tcBorders>
              <w:top w:val="single" w:sz="4" w:space="0" w:color="1A171C"/>
              <w:left w:val="nil"/>
              <w:bottom w:val="single" w:sz="4" w:space="0" w:color="1A171C"/>
              <w:right w:val="single" w:sz="4" w:space="0" w:color="1A171C"/>
            </w:tcBorders>
            <w:vAlign w:val="center"/>
          </w:tcPr>
          <w:p w14:paraId="7FE1BCA6" w14:textId="77777777" w:rsidR="00696584" w:rsidRDefault="002C4F63">
            <w:pPr>
              <w:pStyle w:val="P68B1DB1-TableParagraph17"/>
              <w:spacing w:before="108"/>
              <w:ind w:left="85"/>
              <w:jc w:val="both"/>
            </w:pPr>
            <w:r>
              <w:t>0130</w:t>
            </w:r>
          </w:p>
        </w:tc>
        <w:tc>
          <w:tcPr>
            <w:tcW w:w="8003" w:type="dxa"/>
            <w:tcBorders>
              <w:top w:val="single" w:sz="4" w:space="0" w:color="1A171C"/>
              <w:left w:val="single" w:sz="4" w:space="0" w:color="1A171C"/>
              <w:bottom w:val="single" w:sz="4" w:space="0" w:color="1A171C"/>
              <w:right w:val="nil"/>
            </w:tcBorders>
            <w:vAlign w:val="center"/>
          </w:tcPr>
          <w:p w14:paraId="7FE1BCA7" w14:textId="77777777" w:rsidR="00696584" w:rsidRDefault="002C4F63">
            <w:pPr>
              <w:pStyle w:val="P68B1DB1-TableParagraph14"/>
              <w:spacing w:before="108"/>
              <w:jc w:val="both"/>
              <w:rPr>
                <w:bCs/>
              </w:rPr>
            </w:pPr>
            <w:r>
              <w:t>Indikator für den Auslandsbezug</w:t>
            </w:r>
          </w:p>
          <w:p w14:paraId="7FE1BCA8" w14:textId="77777777" w:rsidR="00696584" w:rsidRDefault="002C4F63">
            <w:pPr>
              <w:pStyle w:val="P68B1DB1-TableParagraph13"/>
              <w:spacing w:before="108"/>
              <w:jc w:val="both"/>
            </w:pPr>
            <w:r>
              <w:t>Bitte geben Sie für die verschiedenen wirtschaftlichen Funktionen die relative Bedeutung grenzüberschreitender Aktivitäten an.</w:t>
            </w:r>
          </w:p>
          <w:p w14:paraId="7FE1BCA9" w14:textId="77777777" w:rsidR="00696584" w:rsidRDefault="002C4F63">
            <w:pPr>
              <w:pStyle w:val="P68B1DB1-TableParagraph13"/>
              <w:spacing w:before="108"/>
              <w:jc w:val="both"/>
            </w:pPr>
            <w:r>
              <w:t xml:space="preserve">Diese Bewertung ist nicht bei Meldungen vorzunehmen, für die der maßgebliche Markt als regional </w:t>
            </w:r>
            <w:r>
              <w:lastRenderedPageBreak/>
              <w:t xml:space="preserve">betrachtet wird. </w:t>
            </w:r>
          </w:p>
          <w:p w14:paraId="7FE1BCAA" w14:textId="2FCD63BE" w:rsidR="00696584" w:rsidRDefault="002C4F63">
            <w:pPr>
              <w:pStyle w:val="P68B1DB1-ListParagraph32"/>
              <w:numPr>
                <w:ilvl w:val="0"/>
                <w:numId w:val="118"/>
              </w:numPr>
              <w:rPr>
                <w:i/>
                <w:iCs/>
              </w:rPr>
            </w:pPr>
            <w:r>
              <w:t xml:space="preserve">Anteil der grenzüberschreitenden Tätigkeit des meldenden Unternehmens in Prozent des Gesamtwerts, ausgedrückt in Nominalbeträgen (Derivate), Buchwert (Sekundärmarkt), Gebühreneinnahmen von gebietsfremden Kunden (Primärmärkte). </w:t>
            </w:r>
            <w:r w:rsidR="00D913E7">
              <w:t>Meldung</w:t>
            </w:r>
            <w:r>
              <w:t xml:space="preserve">: </w:t>
            </w:r>
          </w:p>
          <w:p w14:paraId="7FE1BCAB" w14:textId="7578449D" w:rsidR="00696584" w:rsidRDefault="009275AB">
            <w:pPr>
              <w:pStyle w:val="P68B1DB1-ListParagraph32"/>
              <w:numPr>
                <w:ilvl w:val="1"/>
                <w:numId w:val="118"/>
              </w:numPr>
              <w:rPr>
                <w:i/>
                <w:iCs/>
              </w:rPr>
            </w:pPr>
            <w:bookmarkStart w:id="119" w:name="_Hlk194476322"/>
            <w:r>
              <w:t xml:space="preserve">&lt; </w:t>
            </w:r>
            <w:r w:rsidR="002C4F63">
              <w:t xml:space="preserve">5 %; </w:t>
            </w:r>
          </w:p>
          <w:p w14:paraId="7FE1BCAC" w14:textId="35A9186D" w:rsidR="00696584" w:rsidRDefault="002C4F63">
            <w:pPr>
              <w:pStyle w:val="P68B1DB1-ListParagraph32"/>
              <w:numPr>
                <w:ilvl w:val="1"/>
                <w:numId w:val="118"/>
              </w:numPr>
              <w:rPr>
                <w:i/>
                <w:iCs/>
              </w:rPr>
            </w:pPr>
            <w:r>
              <w:t xml:space="preserve">5-15 %; </w:t>
            </w:r>
          </w:p>
          <w:p w14:paraId="7FE1BCAD" w14:textId="54C07240" w:rsidR="00696584" w:rsidRDefault="002C4F63">
            <w:pPr>
              <w:pStyle w:val="P68B1DB1-ListParagraph32"/>
              <w:numPr>
                <w:ilvl w:val="1"/>
                <w:numId w:val="118"/>
              </w:numPr>
              <w:rPr>
                <w:i/>
                <w:iCs/>
              </w:rPr>
            </w:pPr>
            <w:r>
              <w:t xml:space="preserve">16-25 %, </w:t>
            </w:r>
          </w:p>
          <w:p w14:paraId="7FE1BCAE" w14:textId="34AC2F5B" w:rsidR="00696584" w:rsidRDefault="002C4F63">
            <w:pPr>
              <w:pStyle w:val="P68B1DB1-ListParagraph32"/>
              <w:numPr>
                <w:ilvl w:val="1"/>
                <w:numId w:val="118"/>
              </w:numPr>
              <w:rPr>
                <w:i/>
                <w:iCs/>
              </w:rPr>
            </w:pPr>
            <w:r>
              <w:t xml:space="preserve">&gt; 25 %. </w:t>
            </w:r>
          </w:p>
          <w:bookmarkEnd w:id="119"/>
          <w:p w14:paraId="7FE1BCAF" w14:textId="77777777" w:rsidR="00696584" w:rsidRDefault="00696584">
            <w:pPr>
              <w:pStyle w:val="TableParagraph"/>
              <w:spacing w:before="108"/>
              <w:jc w:val="both"/>
              <w:rPr>
                <w:rFonts w:ascii="Times New Roman" w:hAnsi="Times New Roman" w:cs="Times New Roman"/>
                <w:color w:val="000000" w:themeColor="text1"/>
                <w:sz w:val="20"/>
                <w:szCs w:val="20"/>
              </w:rPr>
            </w:pPr>
          </w:p>
        </w:tc>
      </w:tr>
      <w:tr w:rsidR="00696584" w14:paraId="7FE1BCBF" w14:textId="77777777">
        <w:tc>
          <w:tcPr>
            <w:tcW w:w="1080" w:type="dxa"/>
            <w:tcBorders>
              <w:top w:val="single" w:sz="4" w:space="0" w:color="1A171C"/>
              <w:left w:val="nil"/>
              <w:bottom w:val="single" w:sz="4" w:space="0" w:color="1A171C"/>
              <w:right w:val="single" w:sz="4" w:space="0" w:color="1A171C"/>
            </w:tcBorders>
            <w:vAlign w:val="center"/>
          </w:tcPr>
          <w:p w14:paraId="7FE1BCB1" w14:textId="77777777" w:rsidR="00696584" w:rsidRDefault="002C4F63">
            <w:pPr>
              <w:pStyle w:val="P68B1DB1-TableParagraph17"/>
              <w:spacing w:before="108"/>
              <w:ind w:left="85"/>
              <w:jc w:val="both"/>
            </w:pPr>
            <w:r>
              <w:lastRenderedPageBreak/>
              <w:t>0140</w:t>
            </w:r>
          </w:p>
        </w:tc>
        <w:tc>
          <w:tcPr>
            <w:tcW w:w="8003" w:type="dxa"/>
            <w:tcBorders>
              <w:top w:val="single" w:sz="4" w:space="0" w:color="1A171C"/>
              <w:left w:val="single" w:sz="4" w:space="0" w:color="1A171C"/>
              <w:bottom w:val="single" w:sz="4" w:space="0" w:color="1A171C"/>
              <w:right w:val="nil"/>
            </w:tcBorders>
            <w:vAlign w:val="center"/>
          </w:tcPr>
          <w:p w14:paraId="7FE1BCB2" w14:textId="77777777" w:rsidR="00696584" w:rsidRDefault="002C4F63">
            <w:pPr>
              <w:pStyle w:val="P68B1DB1-TableParagraph14"/>
              <w:spacing w:before="108"/>
              <w:jc w:val="both"/>
              <w:rPr>
                <w:bCs/>
              </w:rPr>
            </w:pPr>
            <w:r>
              <w:t xml:space="preserve">Relevanz — </w:t>
            </w:r>
          </w:p>
          <w:p w14:paraId="7FE1BCB3" w14:textId="77777777" w:rsidR="00696584" w:rsidRDefault="002C4F63">
            <w:pPr>
              <w:pStyle w:val="P68B1DB1-TableParagraph13"/>
              <w:spacing w:before="108"/>
              <w:jc w:val="both"/>
            </w:pPr>
            <w:r>
              <w:t>Auf lokaler, regionaler, nationaler oder europäischer Ebene, je nach betreffendem Markt. Die Bedeutung des Instituts kann auf Grundlage des Marktanteils, der bestehenden Verflechtungen, der Komplexität und der grenzüberschreitenden Tätigkeiten bewertet werden;</w:t>
            </w:r>
          </w:p>
          <w:p w14:paraId="7FE1BCB4" w14:textId="77777777" w:rsidR="00696584" w:rsidRDefault="002C4F63">
            <w:pPr>
              <w:pStyle w:val="P68B1DB1-TableParagraph14"/>
              <w:spacing w:before="108"/>
              <w:jc w:val="both"/>
              <w:rPr>
                <w:bCs/>
              </w:rPr>
            </w:pPr>
            <w:r>
              <w:t>Marktanteil</w:t>
            </w:r>
          </w:p>
          <w:p w14:paraId="7FE1BCB5" w14:textId="77777777" w:rsidR="00696584" w:rsidRDefault="002C4F63">
            <w:pPr>
              <w:pStyle w:val="P68B1DB1-TableParagraph13"/>
              <w:spacing w:before="108"/>
              <w:jc w:val="both"/>
            </w:pPr>
            <w:r>
              <w:t xml:space="preserve">Beurteilen Sie, wie bedeutend der Marktanteil des meldenden Unternehmens ist, gemessen am nationalen oder maßgeblichen Markt, wie im Meldebogen vorgegeben. Diese Bewertung wird qualitativ wie folgt ausgedrückt: </w:t>
            </w:r>
          </w:p>
          <w:p w14:paraId="7FE1BCB6" w14:textId="3D988DC8" w:rsidR="00696584" w:rsidRDefault="002C4F63">
            <w:pPr>
              <w:pStyle w:val="P68B1DB1-ListParagraph38"/>
              <w:numPr>
                <w:ilvl w:val="0"/>
                <w:numId w:val="276"/>
              </w:numPr>
              <w:spacing w:line="276" w:lineRule="auto"/>
              <w:jc w:val="both"/>
            </w:pPr>
            <w:r>
              <w:t>Hoch, wenn der Marktanteil groß ist</w:t>
            </w:r>
          </w:p>
          <w:p w14:paraId="7FE1BCB7" w14:textId="2084195C" w:rsidR="00696584" w:rsidRDefault="002C4F63">
            <w:pPr>
              <w:pStyle w:val="P68B1DB1-ListParagraph38"/>
              <w:numPr>
                <w:ilvl w:val="0"/>
                <w:numId w:val="276"/>
              </w:numPr>
              <w:spacing w:line="276" w:lineRule="auto"/>
              <w:jc w:val="both"/>
            </w:pPr>
            <w:r>
              <w:t>Mittel-hoch, wenn der Marktanteil mittel ist</w:t>
            </w:r>
          </w:p>
          <w:p w14:paraId="7FE1BCB8" w14:textId="06CDA0E3" w:rsidR="00696584" w:rsidRDefault="002C4F63">
            <w:pPr>
              <w:pStyle w:val="P68B1DB1-ListParagraph38"/>
              <w:numPr>
                <w:ilvl w:val="0"/>
                <w:numId w:val="276"/>
              </w:numPr>
              <w:spacing w:line="276" w:lineRule="auto"/>
              <w:jc w:val="both"/>
            </w:pPr>
            <w:r>
              <w:t xml:space="preserve">Mittel-niedrig, wenn der Marktanteil gering ist oder </w:t>
            </w:r>
          </w:p>
          <w:p w14:paraId="7FE1BCB9" w14:textId="19A1DC5D" w:rsidR="00696584" w:rsidRDefault="002C4F63">
            <w:pPr>
              <w:pStyle w:val="P68B1DB1-ListParagraph38"/>
              <w:numPr>
                <w:ilvl w:val="0"/>
                <w:numId w:val="276"/>
              </w:numPr>
              <w:spacing w:line="276" w:lineRule="auto"/>
              <w:jc w:val="both"/>
            </w:pPr>
            <w:r>
              <w:t xml:space="preserve">Niedrig“, wenn der Marktanteil vernachlässigbar ist. </w:t>
            </w:r>
          </w:p>
          <w:p w14:paraId="7FE1BCBA" w14:textId="3A31AA45" w:rsidR="00696584" w:rsidRDefault="002C4F63">
            <w:pPr>
              <w:pStyle w:val="P68B1DB1-TableParagraph13"/>
              <w:spacing w:before="108"/>
              <w:jc w:val="both"/>
            </w:pPr>
            <w:r>
              <w:t>Bei dieser Beurteilung sind die Marktstruktur des Landes des meldenden Unternehmens (oder eines anderen maßgeblichen Marktes) sowie die in Teil 2:</w:t>
            </w:r>
            <w:r w:rsidR="00C4259E">
              <w:t xml:space="preserve"> </w:t>
            </w:r>
            <w:r>
              <w:t xml:space="preserve">Quantitative Daten gemeldeten Marktanteile zu berücksichtigen: </w:t>
            </w:r>
          </w:p>
          <w:p w14:paraId="7FE1BCBB" w14:textId="3AC4DC76" w:rsidR="00696584" w:rsidRDefault="002C4F63">
            <w:pPr>
              <w:pStyle w:val="P68B1DB1-TableParagraph13"/>
              <w:spacing w:before="108"/>
              <w:jc w:val="both"/>
            </w:pPr>
            <w:r>
              <w:t>2.</w:t>
            </w:r>
            <w:r w:rsidR="00001922">
              <w:t xml:space="preserve"> </w:t>
            </w:r>
            <w:r>
              <w:t>Quantitative Daten:</w:t>
            </w:r>
          </w:p>
          <w:p w14:paraId="7FE1BCBC" w14:textId="77777777" w:rsidR="00696584" w:rsidRDefault="002C4F63">
            <w:pPr>
              <w:pStyle w:val="P68B1DB1-ListParagraph32"/>
              <w:numPr>
                <w:ilvl w:val="0"/>
                <w:numId w:val="117"/>
              </w:numPr>
              <w:jc w:val="both"/>
              <w:rPr>
                <w:i/>
                <w:iCs/>
              </w:rPr>
            </w:pPr>
            <w:r>
              <w:t xml:space="preserve">Sachverständige Beurteilung der Größe des </w:t>
            </w:r>
            <w:r>
              <w:rPr>
                <w:b/>
              </w:rPr>
              <w:t xml:space="preserve">nationalen </w:t>
            </w:r>
            <w:r>
              <w:t>Marktanteils (gemeldet in c0020, außer in Fällen, in denen sich die Meldung auf ein anderes relevantes Marktniveau bezieht, in diesem Fall wird eine Beurteilung des relevanten Marktanteils erwartet).</w:t>
            </w:r>
          </w:p>
          <w:p w14:paraId="7FE1BCBD" w14:textId="77777777" w:rsidR="00696584" w:rsidRDefault="00696584">
            <w:pPr>
              <w:pStyle w:val="TableParagraph"/>
              <w:spacing w:before="108"/>
              <w:jc w:val="both"/>
              <w:rPr>
                <w:rFonts w:ascii="Times New Roman" w:hAnsi="Times New Roman" w:cs="Times New Roman"/>
                <w:color w:val="000000" w:themeColor="text1"/>
                <w:sz w:val="20"/>
                <w:szCs w:val="20"/>
              </w:rPr>
            </w:pPr>
          </w:p>
          <w:p w14:paraId="7FE1BCBE" w14:textId="77777777" w:rsidR="00696584" w:rsidRDefault="00696584">
            <w:pPr>
              <w:pStyle w:val="TableParagraph"/>
              <w:spacing w:before="108"/>
              <w:jc w:val="both"/>
              <w:rPr>
                <w:rFonts w:ascii="Times New Roman" w:hAnsi="Times New Roman" w:cs="Times New Roman"/>
                <w:color w:val="000000" w:themeColor="text1"/>
                <w:sz w:val="20"/>
                <w:szCs w:val="20"/>
              </w:rPr>
            </w:pPr>
          </w:p>
        </w:tc>
      </w:tr>
      <w:tr w:rsidR="00696584" w14:paraId="7FE1BCCB" w14:textId="77777777">
        <w:tc>
          <w:tcPr>
            <w:tcW w:w="1080" w:type="dxa"/>
            <w:tcBorders>
              <w:top w:val="single" w:sz="4" w:space="0" w:color="1A171C"/>
              <w:left w:val="nil"/>
              <w:bottom w:val="single" w:sz="4" w:space="0" w:color="1A171C"/>
              <w:right w:val="single" w:sz="4" w:space="0" w:color="1A171C"/>
            </w:tcBorders>
            <w:vAlign w:val="center"/>
          </w:tcPr>
          <w:p w14:paraId="7FE1BCC0" w14:textId="77777777" w:rsidR="00696584" w:rsidRDefault="002C4F63">
            <w:pPr>
              <w:pStyle w:val="P68B1DB1-TableParagraph17"/>
              <w:spacing w:before="108"/>
              <w:ind w:left="85"/>
              <w:jc w:val="both"/>
            </w:pPr>
            <w:r>
              <w:t>0150</w:t>
            </w:r>
          </w:p>
        </w:tc>
        <w:tc>
          <w:tcPr>
            <w:tcW w:w="8003" w:type="dxa"/>
            <w:tcBorders>
              <w:top w:val="single" w:sz="4" w:space="0" w:color="1A171C"/>
              <w:left w:val="single" w:sz="4" w:space="0" w:color="1A171C"/>
              <w:bottom w:val="single" w:sz="4" w:space="0" w:color="1A171C"/>
              <w:right w:val="nil"/>
            </w:tcBorders>
            <w:vAlign w:val="center"/>
          </w:tcPr>
          <w:p w14:paraId="7FE1BCC1" w14:textId="77777777" w:rsidR="00696584" w:rsidRDefault="002C4F63">
            <w:pPr>
              <w:pStyle w:val="P68B1DB1-TableParagraph14"/>
              <w:spacing w:before="108"/>
              <w:jc w:val="both"/>
              <w:rPr>
                <w:bCs/>
              </w:rPr>
            </w:pPr>
            <w:r>
              <w:t>Marktstruktur – Marktkonzentration</w:t>
            </w:r>
          </w:p>
          <w:p w14:paraId="7FE1BCC2" w14:textId="77777777" w:rsidR="00696584" w:rsidRDefault="002C4F63">
            <w:pPr>
              <w:pStyle w:val="P68B1DB1-TableParagraph13"/>
              <w:spacing w:before="108"/>
              <w:jc w:val="both"/>
            </w:pPr>
            <w:r>
              <w:t xml:space="preserve">Marktkonzentration, gemessen an der Zahl der derzeit tätigen Wettbewerber </w:t>
            </w:r>
          </w:p>
          <w:p w14:paraId="7FE1BCC3" w14:textId="77777777" w:rsidR="00696584" w:rsidRDefault="002C4F63">
            <w:pPr>
              <w:pStyle w:val="P68B1DB1-TableParagraph13"/>
              <w:spacing w:before="108"/>
              <w:jc w:val="both"/>
            </w:pPr>
            <w:r>
              <w:t xml:space="preserve">ähnliche wirtschaftliche Funktionen und/oder ähnliche Dienstleistungen zu gleichen Bedingungen anbieten (d. h. </w:t>
            </w:r>
          </w:p>
          <w:p w14:paraId="7FE1BCC4" w14:textId="77777777" w:rsidR="00696584" w:rsidRDefault="002C4F63">
            <w:pPr>
              <w:pStyle w:val="P68B1DB1-TableParagraph13"/>
              <w:spacing w:before="108"/>
              <w:jc w:val="both"/>
            </w:pPr>
            <w:r>
              <w:t xml:space="preserve">vergleichbarer Umfang und Qualität sowie zu vergleichbaren Kosten) </w:t>
            </w:r>
          </w:p>
          <w:p w14:paraId="7FE1BCC5" w14:textId="1CFBDC94" w:rsidR="00696584" w:rsidRDefault="002C4F63">
            <w:pPr>
              <w:pStyle w:val="P68B1DB1-TableParagraph13"/>
              <w:spacing w:before="108"/>
              <w:jc w:val="both"/>
            </w:pPr>
            <w:r>
              <w:t xml:space="preserve">(Teil) der Kunden und/oder Geschäfte des </w:t>
            </w:r>
            <w:r w:rsidR="006F02B1">
              <w:t xml:space="preserve">meldenden </w:t>
            </w:r>
            <w:r>
              <w:t xml:space="preserve">Unternehmens innerhalb eines angemessenen Zeitrahmens. </w:t>
            </w:r>
          </w:p>
          <w:p w14:paraId="7FE1BCC6" w14:textId="77777777" w:rsidR="00696584" w:rsidRDefault="002C4F63">
            <w:pPr>
              <w:pStyle w:val="P68B1DB1-TableParagraph13"/>
              <w:spacing w:before="108"/>
              <w:jc w:val="both"/>
            </w:pPr>
            <w:r>
              <w:t xml:space="preserve">Dies ist in Meldekategorien anzugeben, welche für die einzelnen Unterfunktionen gleich sind. </w:t>
            </w:r>
          </w:p>
          <w:p w14:paraId="6E6D19F8" w14:textId="77777777" w:rsidR="00696584" w:rsidRDefault="002C4F63">
            <w:pPr>
              <w:pStyle w:val="P68B1DB1-ListParagraph32"/>
              <w:numPr>
                <w:ilvl w:val="0"/>
                <w:numId w:val="277"/>
              </w:numPr>
              <w:jc w:val="both"/>
            </w:pPr>
            <w:r>
              <w:t xml:space="preserve">&gt; 20 Wettbewerber; </w:t>
            </w:r>
          </w:p>
          <w:p w14:paraId="6A8A3C5F" w14:textId="77777777" w:rsidR="00696584" w:rsidRDefault="002C4F63">
            <w:pPr>
              <w:pStyle w:val="P68B1DB1-ListParagraph32"/>
              <w:numPr>
                <w:ilvl w:val="0"/>
                <w:numId w:val="277"/>
              </w:numPr>
              <w:jc w:val="both"/>
            </w:pPr>
            <w:r>
              <w:t xml:space="preserve">11-20 Wettbewerber; </w:t>
            </w:r>
          </w:p>
          <w:p w14:paraId="543AFD53" w14:textId="77777777" w:rsidR="00696584" w:rsidRDefault="002C4F63">
            <w:pPr>
              <w:pStyle w:val="P68B1DB1-ListParagraph32"/>
              <w:numPr>
                <w:ilvl w:val="0"/>
                <w:numId w:val="277"/>
              </w:numPr>
              <w:jc w:val="both"/>
            </w:pPr>
            <w:r>
              <w:t xml:space="preserve">5-10 Wettbewerber, </w:t>
            </w:r>
          </w:p>
          <w:p w14:paraId="761539CF" w14:textId="0549D08B" w:rsidR="00696584" w:rsidRDefault="009275AB">
            <w:pPr>
              <w:pStyle w:val="P68B1DB1-ListParagraph32"/>
              <w:numPr>
                <w:ilvl w:val="0"/>
                <w:numId w:val="277"/>
              </w:numPr>
              <w:jc w:val="both"/>
              <w:rPr>
                <w:b/>
                <w:bCs/>
                <w:color w:val="000000" w:themeColor="text1"/>
              </w:rPr>
            </w:pPr>
            <w:r>
              <w:t>&lt;</w:t>
            </w:r>
            <w:r w:rsidR="002C4F63">
              <w:t>5 Wettbewerber</w:t>
            </w:r>
          </w:p>
          <w:p w14:paraId="7FE1BCCA" w14:textId="06EC2320" w:rsidR="00696584" w:rsidRDefault="00696584">
            <w:pPr>
              <w:jc w:val="both"/>
              <w:rPr>
                <w:rFonts w:ascii="Times New Roman" w:hAnsi="Times New Roman"/>
                <w:color w:val="000000" w:themeColor="text1"/>
                <w:sz w:val="20"/>
                <w:szCs w:val="20"/>
              </w:rPr>
            </w:pPr>
          </w:p>
        </w:tc>
      </w:tr>
      <w:tr w:rsidR="00696584" w14:paraId="7FE1BCDA" w14:textId="77777777">
        <w:tc>
          <w:tcPr>
            <w:tcW w:w="1080" w:type="dxa"/>
            <w:tcBorders>
              <w:top w:val="single" w:sz="4" w:space="0" w:color="1A171C"/>
              <w:left w:val="nil"/>
              <w:bottom w:val="single" w:sz="4" w:space="0" w:color="1A171C"/>
              <w:right w:val="single" w:sz="4" w:space="0" w:color="1A171C"/>
            </w:tcBorders>
            <w:vAlign w:val="center"/>
          </w:tcPr>
          <w:p w14:paraId="7FE1BCCC" w14:textId="77777777" w:rsidR="00696584" w:rsidRDefault="002C4F63">
            <w:pPr>
              <w:pStyle w:val="P68B1DB1-TableParagraph17"/>
              <w:spacing w:before="108"/>
              <w:ind w:left="85"/>
              <w:jc w:val="both"/>
            </w:pPr>
            <w:r>
              <w:t>0160</w:t>
            </w:r>
          </w:p>
        </w:tc>
        <w:tc>
          <w:tcPr>
            <w:tcW w:w="8003" w:type="dxa"/>
            <w:tcBorders>
              <w:top w:val="single" w:sz="4" w:space="0" w:color="1A171C"/>
              <w:left w:val="single" w:sz="4" w:space="0" w:color="1A171C"/>
              <w:bottom w:val="single" w:sz="4" w:space="0" w:color="1A171C"/>
              <w:right w:val="nil"/>
            </w:tcBorders>
            <w:vAlign w:val="center"/>
          </w:tcPr>
          <w:p w14:paraId="7FE1BCCD" w14:textId="77777777" w:rsidR="00696584" w:rsidRDefault="002C4F63">
            <w:pPr>
              <w:pStyle w:val="P68B1DB1-TableParagraph14"/>
              <w:spacing w:before="108"/>
              <w:jc w:val="both"/>
              <w:rPr>
                <w:bCs/>
              </w:rPr>
            </w:pPr>
            <w:r>
              <w:t>Timing – Voraussichtliche Zeit bis zur Substitution</w:t>
            </w:r>
          </w:p>
          <w:p w14:paraId="7FE1BCCE" w14:textId="7BD20F80" w:rsidR="00696584" w:rsidRDefault="002C4F63">
            <w:pPr>
              <w:pStyle w:val="P68B1DB1-TableParagraph13"/>
              <w:spacing w:before="108"/>
              <w:jc w:val="both"/>
            </w:pPr>
            <w:r>
              <w:t xml:space="preserve">Schätzung des Zeitaufwands für die in der </w:t>
            </w:r>
            <w:r w:rsidR="003139A0">
              <w:t xml:space="preserve">Meldung </w:t>
            </w:r>
            <w:r>
              <w:t>angegebene wirtschaftliche Funktion</w:t>
            </w:r>
          </w:p>
          <w:p w14:paraId="7FE1BCCF" w14:textId="77777777" w:rsidR="00696584" w:rsidRDefault="002C4F63">
            <w:pPr>
              <w:pStyle w:val="P68B1DB1-TableParagraph13"/>
              <w:spacing w:before="108"/>
              <w:jc w:val="both"/>
            </w:pPr>
            <w:r>
              <w:lastRenderedPageBreak/>
              <w:t xml:space="preserve">Unternehmen, das in einer Krisensituation vom Markt absorbiert werden soll. Dies beinhaltet </w:t>
            </w:r>
          </w:p>
          <w:p w14:paraId="7FE1BCD0" w14:textId="77777777" w:rsidR="00696584" w:rsidRDefault="002C4F63">
            <w:pPr>
              <w:pStyle w:val="P68B1DB1-ListParagraph38"/>
              <w:numPr>
                <w:ilvl w:val="0"/>
                <w:numId w:val="274"/>
              </w:numPr>
              <w:jc w:val="both"/>
            </w:pPr>
            <w:r>
              <w:t xml:space="preserve">der für einen oder mehrere Konkurrenten erforderliche Zeitaufwand für die Schaffung der rechtlichen und technischen Voraussetzungen für die Übernahme der Funktion; sowie  </w:t>
            </w:r>
          </w:p>
          <w:p w14:paraId="7FE1BCD1" w14:textId="77777777" w:rsidR="00696584" w:rsidRDefault="002C4F63">
            <w:pPr>
              <w:pStyle w:val="P68B1DB1-ListParagraph38"/>
              <w:numPr>
                <w:ilvl w:val="0"/>
                <w:numId w:val="274"/>
              </w:numPr>
              <w:jc w:val="both"/>
            </w:pPr>
            <w:r>
              <w:t xml:space="preserve">der für die Nutzer des Dienstes erforderliche Zeitaufwand für den Wechsel zu einem anderen Anbieter. </w:t>
            </w:r>
          </w:p>
          <w:p w14:paraId="7FE1BCD2" w14:textId="77777777" w:rsidR="00696584" w:rsidRDefault="00696584">
            <w:pPr>
              <w:pStyle w:val="TableParagraph"/>
              <w:spacing w:before="108"/>
              <w:jc w:val="both"/>
              <w:rPr>
                <w:rFonts w:ascii="Times New Roman" w:hAnsi="Times New Roman" w:cs="Times New Roman"/>
                <w:color w:val="000000" w:themeColor="text1"/>
                <w:sz w:val="20"/>
                <w:szCs w:val="20"/>
              </w:rPr>
            </w:pPr>
          </w:p>
          <w:p w14:paraId="7FE1BCD3" w14:textId="77777777" w:rsidR="00696584" w:rsidRDefault="002C4F63">
            <w:pPr>
              <w:pStyle w:val="P68B1DB1-TableParagraph13"/>
              <w:spacing w:before="108"/>
              <w:jc w:val="both"/>
            </w:pPr>
            <w:r>
              <w:t>Als Näherungswert kann angegeben werden, wie lange es nach eigenen Schätzungen dauern würde, einen von einem anderen Institut angebotenen Dienst im Krisenfall zu angemessenen Kosten ganz (oder zum Teil) ins eigene Geschäft einzugliedern. Geben Sie die geschätzte Zeit bis zur Substitution in den in der Vorlage angegebenen Unterklassen an:</w:t>
            </w:r>
          </w:p>
          <w:p w14:paraId="7FE1BCD4" w14:textId="44A9ABBE" w:rsidR="00696584" w:rsidRDefault="00A945A8">
            <w:pPr>
              <w:pStyle w:val="P68B1DB1-Normal31"/>
              <w:jc w:val="both"/>
            </w:pPr>
            <w:r>
              <w:t>Meldekategori</w:t>
            </w:r>
            <w:r w:rsidR="00BF7349">
              <w:t>en</w:t>
            </w:r>
            <w:r w:rsidR="002C4F63">
              <w:t xml:space="preserve">: </w:t>
            </w:r>
          </w:p>
          <w:p w14:paraId="7FE1BCD5" w14:textId="3C2E76CF" w:rsidR="00696584" w:rsidRDefault="00001922">
            <w:pPr>
              <w:pStyle w:val="P68B1DB1-ListParagraph32"/>
              <w:numPr>
                <w:ilvl w:val="0"/>
                <w:numId w:val="286"/>
              </w:numPr>
              <w:jc w:val="both"/>
            </w:pPr>
            <w:r>
              <w:t xml:space="preserve">&lt; </w:t>
            </w:r>
            <w:r w:rsidR="002C4F63">
              <w:t xml:space="preserve">1 Woche; </w:t>
            </w:r>
          </w:p>
          <w:p w14:paraId="7FE1BCD6" w14:textId="712CDEEF" w:rsidR="00696584" w:rsidRDefault="002C4F63">
            <w:pPr>
              <w:pStyle w:val="P68B1DB1-ListParagraph32"/>
              <w:numPr>
                <w:ilvl w:val="0"/>
                <w:numId w:val="286"/>
              </w:numPr>
              <w:jc w:val="both"/>
            </w:pPr>
            <w:r>
              <w:t xml:space="preserve">1 Woche – 1 Monat; </w:t>
            </w:r>
          </w:p>
          <w:p w14:paraId="7FE1BCD7" w14:textId="5ECCCD1B" w:rsidR="00696584" w:rsidRDefault="002C4F63">
            <w:pPr>
              <w:pStyle w:val="P68B1DB1-ListParagraph32"/>
              <w:numPr>
                <w:ilvl w:val="0"/>
                <w:numId w:val="286"/>
              </w:numPr>
              <w:jc w:val="both"/>
            </w:pPr>
            <w:r>
              <w:t xml:space="preserve">&gt; 1 Monat-6 Monate, </w:t>
            </w:r>
          </w:p>
          <w:p w14:paraId="7FE1BCD8" w14:textId="66817B18" w:rsidR="00696584" w:rsidRDefault="002C4F63">
            <w:pPr>
              <w:pStyle w:val="P68B1DB1-ListParagraph32"/>
              <w:numPr>
                <w:ilvl w:val="0"/>
                <w:numId w:val="286"/>
              </w:numPr>
              <w:jc w:val="both"/>
            </w:pPr>
            <w:r>
              <w:t xml:space="preserve">&gt; 6 Monate  </w:t>
            </w:r>
          </w:p>
          <w:p w14:paraId="7FE1BCD9" w14:textId="77777777" w:rsidR="00696584" w:rsidRDefault="00696584">
            <w:pPr>
              <w:pStyle w:val="TableParagraph"/>
              <w:spacing w:before="108"/>
              <w:jc w:val="both"/>
              <w:rPr>
                <w:rFonts w:ascii="Times New Roman" w:hAnsi="Times New Roman" w:cs="Times New Roman"/>
                <w:color w:val="000000" w:themeColor="text1"/>
                <w:sz w:val="20"/>
                <w:szCs w:val="20"/>
              </w:rPr>
            </w:pPr>
          </w:p>
        </w:tc>
      </w:tr>
      <w:tr w:rsidR="00696584" w14:paraId="7FE1BCDD" w14:textId="77777777">
        <w:tc>
          <w:tcPr>
            <w:tcW w:w="1080" w:type="dxa"/>
            <w:tcBorders>
              <w:top w:val="single" w:sz="4" w:space="0" w:color="1A171C"/>
              <w:left w:val="nil"/>
              <w:bottom w:val="single" w:sz="4" w:space="0" w:color="1A171C"/>
              <w:right w:val="single" w:sz="4" w:space="0" w:color="1A171C"/>
            </w:tcBorders>
            <w:vAlign w:val="center"/>
          </w:tcPr>
          <w:p w14:paraId="7FE1BCDB" w14:textId="77777777" w:rsidR="00696584" w:rsidRDefault="002C4F63">
            <w:pPr>
              <w:pStyle w:val="P68B1DB1-TableParagraph17"/>
              <w:spacing w:before="108"/>
              <w:ind w:left="85"/>
              <w:jc w:val="both"/>
            </w:pPr>
            <w:r>
              <w:lastRenderedPageBreak/>
              <w:t>0170 – 0180</w:t>
            </w:r>
          </w:p>
        </w:tc>
        <w:tc>
          <w:tcPr>
            <w:tcW w:w="8003" w:type="dxa"/>
            <w:tcBorders>
              <w:top w:val="single" w:sz="4" w:space="0" w:color="1A171C"/>
              <w:left w:val="single" w:sz="4" w:space="0" w:color="1A171C"/>
              <w:bottom w:val="single" w:sz="4" w:space="0" w:color="1A171C"/>
              <w:right w:val="nil"/>
            </w:tcBorders>
            <w:vAlign w:val="center"/>
          </w:tcPr>
          <w:p w14:paraId="7FE1BCDC" w14:textId="77777777" w:rsidR="00696584" w:rsidRDefault="002C4F63">
            <w:pPr>
              <w:pStyle w:val="P68B1DB1-TableParagraph14"/>
              <w:spacing w:before="108"/>
              <w:jc w:val="both"/>
              <w:rPr>
                <w:bCs/>
              </w:rPr>
            </w:pPr>
            <w:r>
              <w:t>Substituierbarkeit</w:t>
            </w:r>
          </w:p>
        </w:tc>
      </w:tr>
      <w:tr w:rsidR="00696584" w14:paraId="7FE1BCE7" w14:textId="77777777">
        <w:tc>
          <w:tcPr>
            <w:tcW w:w="1080" w:type="dxa"/>
            <w:tcBorders>
              <w:top w:val="single" w:sz="4" w:space="0" w:color="1A171C"/>
              <w:left w:val="nil"/>
              <w:bottom w:val="single" w:sz="4" w:space="0" w:color="1A171C"/>
              <w:right w:val="single" w:sz="4" w:space="0" w:color="1A171C"/>
            </w:tcBorders>
            <w:vAlign w:val="center"/>
          </w:tcPr>
          <w:p w14:paraId="7FE1BCDE" w14:textId="77777777" w:rsidR="00696584" w:rsidRDefault="002C4F63">
            <w:pPr>
              <w:pStyle w:val="P68B1DB1-TableParagraph17"/>
              <w:spacing w:before="108"/>
              <w:ind w:left="85"/>
              <w:jc w:val="both"/>
            </w:pPr>
            <w:r>
              <w:t>0170</w:t>
            </w:r>
          </w:p>
        </w:tc>
        <w:tc>
          <w:tcPr>
            <w:tcW w:w="8003" w:type="dxa"/>
            <w:tcBorders>
              <w:top w:val="single" w:sz="4" w:space="0" w:color="1A171C"/>
              <w:left w:val="single" w:sz="4" w:space="0" w:color="1A171C"/>
              <w:bottom w:val="single" w:sz="4" w:space="0" w:color="1A171C"/>
              <w:right w:val="nil"/>
            </w:tcBorders>
            <w:vAlign w:val="center"/>
          </w:tcPr>
          <w:p w14:paraId="7FE1BCDF" w14:textId="77777777" w:rsidR="00696584" w:rsidRDefault="002C4F63">
            <w:pPr>
              <w:pStyle w:val="P68B1DB1-TableParagraph14"/>
              <w:spacing w:before="108"/>
              <w:jc w:val="both"/>
              <w:rPr>
                <w:bCs/>
              </w:rPr>
            </w:pPr>
            <w:r>
              <w:t>Rechtliche Hindernisse für Markteintritt oder Markterweiterung</w:t>
            </w:r>
          </w:p>
          <w:p w14:paraId="7FE1BCE0" w14:textId="77777777" w:rsidR="00696584" w:rsidRDefault="00696584">
            <w:pPr>
              <w:pStyle w:val="TableParagraph"/>
              <w:spacing w:before="108"/>
              <w:jc w:val="both"/>
              <w:rPr>
                <w:rFonts w:ascii="Times New Roman" w:hAnsi="Times New Roman" w:cs="Times New Roman"/>
                <w:color w:val="000000" w:themeColor="text1"/>
                <w:sz w:val="20"/>
                <w:szCs w:val="20"/>
              </w:rPr>
            </w:pPr>
          </w:p>
          <w:p w14:paraId="7FE1BCE1" w14:textId="77777777" w:rsidR="00696584" w:rsidRDefault="002C4F63">
            <w:pPr>
              <w:pStyle w:val="P68B1DB1-TableParagraph13"/>
              <w:spacing w:before="108"/>
              <w:jc w:val="both"/>
            </w:pPr>
            <w:r>
              <w:t xml:space="preserve">Rechtliche Hindernisse, die der Erbringung der Dienstleistung durch Konkurrenten entgegenstehen. Rechtliche Voraussetzungen für die Vornahme des Geschäfts eines Kreditinstituts (z. B. Bankzulassungen oder Kapitalanforderungen) sind, wenn es alternative Anbieter gibt, nicht als unüberwindliche Hindernisse anzusehen. Dieser Indikator ist in Meldekategorien anzugeben, welche für jede Unterfunktion gleich sind: </w:t>
            </w:r>
          </w:p>
          <w:p w14:paraId="7FE1BCE2" w14:textId="67FD7AF2" w:rsidR="00696584" w:rsidRDefault="002C4F63">
            <w:pPr>
              <w:pStyle w:val="P68B1DB1-ListParagraph39"/>
              <w:numPr>
                <w:ilvl w:val="0"/>
                <w:numId w:val="275"/>
              </w:numPr>
              <w:jc w:val="both"/>
            </w:pPr>
            <w:r>
              <w:t xml:space="preserve">keine größeren Hindernisse, </w:t>
            </w:r>
          </w:p>
          <w:p w14:paraId="7FE1BCE3" w14:textId="6C8F8F76" w:rsidR="00696584" w:rsidRDefault="002C4F63">
            <w:pPr>
              <w:pStyle w:val="P68B1DB1-ListParagraph39"/>
              <w:numPr>
                <w:ilvl w:val="0"/>
                <w:numId w:val="275"/>
              </w:numPr>
              <w:jc w:val="both"/>
            </w:pPr>
            <w:r>
              <w:t xml:space="preserve">einige Hindernisse, </w:t>
            </w:r>
          </w:p>
          <w:p w14:paraId="7FE1BCE4" w14:textId="389397E1" w:rsidR="00696584" w:rsidRDefault="002C4F63">
            <w:pPr>
              <w:pStyle w:val="P68B1DB1-ListParagraph39"/>
              <w:numPr>
                <w:ilvl w:val="0"/>
                <w:numId w:val="275"/>
              </w:numPr>
              <w:jc w:val="both"/>
            </w:pPr>
            <w:r>
              <w:t xml:space="preserve">erhebliche (aber überwindbare) Barrieren, </w:t>
            </w:r>
          </w:p>
          <w:p w14:paraId="7FE1BCE6" w14:textId="5882E7D2" w:rsidR="00696584" w:rsidRDefault="002C4F63">
            <w:pPr>
              <w:pStyle w:val="P68B1DB1-ListParagraph8"/>
              <w:numPr>
                <w:ilvl w:val="0"/>
                <w:numId w:val="275"/>
              </w:numPr>
              <w:jc w:val="both"/>
            </w:pPr>
            <w:r>
              <w:t>kritische (schwierige, zu überwindende) Barrieren.</w:t>
            </w:r>
          </w:p>
        </w:tc>
      </w:tr>
      <w:tr w:rsidR="00696584" w14:paraId="7FE1BCF2" w14:textId="77777777">
        <w:tc>
          <w:tcPr>
            <w:tcW w:w="1080" w:type="dxa"/>
            <w:tcBorders>
              <w:top w:val="single" w:sz="4" w:space="0" w:color="1A171C"/>
              <w:left w:val="nil"/>
              <w:bottom w:val="single" w:sz="4" w:space="0" w:color="1A171C"/>
              <w:right w:val="single" w:sz="4" w:space="0" w:color="1A171C"/>
            </w:tcBorders>
            <w:vAlign w:val="center"/>
          </w:tcPr>
          <w:p w14:paraId="7FE1BCE8" w14:textId="77777777" w:rsidR="00696584" w:rsidRDefault="002C4F63">
            <w:pPr>
              <w:pStyle w:val="P68B1DB1-TableParagraph17"/>
              <w:spacing w:before="108"/>
              <w:ind w:left="85"/>
              <w:jc w:val="both"/>
            </w:pPr>
            <w:r>
              <w:t>0180</w:t>
            </w:r>
          </w:p>
        </w:tc>
        <w:tc>
          <w:tcPr>
            <w:tcW w:w="8003" w:type="dxa"/>
            <w:tcBorders>
              <w:top w:val="single" w:sz="4" w:space="0" w:color="1A171C"/>
              <w:left w:val="single" w:sz="4" w:space="0" w:color="1A171C"/>
              <w:bottom w:val="single" w:sz="4" w:space="0" w:color="1A171C"/>
              <w:right w:val="nil"/>
            </w:tcBorders>
            <w:vAlign w:val="center"/>
          </w:tcPr>
          <w:p w14:paraId="7FE1BCE9" w14:textId="77777777" w:rsidR="00696584" w:rsidRDefault="002C4F63">
            <w:pPr>
              <w:pStyle w:val="P68B1DB1-TableParagraph14"/>
              <w:spacing w:before="108"/>
              <w:jc w:val="both"/>
              <w:rPr>
                <w:bCs/>
              </w:rPr>
            </w:pPr>
            <w:r>
              <w:t>Praktische Anforderungen für den Markteintritt oder die Markterweiterung</w:t>
            </w:r>
          </w:p>
          <w:p w14:paraId="7FE1BCEA" w14:textId="77777777" w:rsidR="00696584" w:rsidRDefault="00696584">
            <w:pPr>
              <w:pStyle w:val="TableParagraph"/>
              <w:spacing w:before="108"/>
              <w:jc w:val="both"/>
              <w:rPr>
                <w:rFonts w:ascii="Times New Roman" w:hAnsi="Times New Roman" w:cs="Times New Roman"/>
                <w:color w:val="000000" w:themeColor="text1"/>
                <w:sz w:val="20"/>
                <w:szCs w:val="20"/>
              </w:rPr>
            </w:pPr>
          </w:p>
          <w:p w14:paraId="7FE1BCEB" w14:textId="31044453" w:rsidR="00696584" w:rsidRDefault="002C4F63">
            <w:pPr>
              <w:pStyle w:val="P68B1DB1-TableParagraph13"/>
              <w:spacing w:before="108"/>
              <w:jc w:val="both"/>
            </w:pPr>
            <w:r>
              <w:t xml:space="preserve">Anforderungen im Hinblick auf Organisation, Technik und Infrastruktur, die Konkurrenten, die die Dienstleistung anbieten möchten, erfüllen müssen: Wer die Dienstleistungen der (Unter-)Funktion anbieten möchte, muss in (neue oder zusätzliche) Infrastruktur investieren – oder seine Organisation ändern. Bitte auch bewerten, ob der Markt das betreffende Geschäft absorbieren kann, zum Beispiel im Hinblick auf die Kapitalanforderungen. </w:t>
            </w:r>
          </w:p>
          <w:p w14:paraId="7FE1BCEC" w14:textId="77777777" w:rsidR="00696584" w:rsidRDefault="002C4F63">
            <w:pPr>
              <w:pStyle w:val="P68B1DB1-TableParagraph13"/>
              <w:spacing w:before="108"/>
              <w:jc w:val="both"/>
            </w:pPr>
            <w:r>
              <w:t xml:space="preserve">Dieser Indikator ist in Meldekategorien anzugeben, welche für jede Unterfunktion gleich sind: </w:t>
            </w:r>
          </w:p>
          <w:p w14:paraId="7FE1BCED" w14:textId="5283E021" w:rsidR="00696584" w:rsidRDefault="002C4F63">
            <w:pPr>
              <w:pStyle w:val="P68B1DB1-ListParagraph39"/>
              <w:numPr>
                <w:ilvl w:val="0"/>
                <w:numId w:val="278"/>
              </w:numPr>
              <w:jc w:val="both"/>
            </w:pPr>
            <w:r>
              <w:t xml:space="preserve">keine wesentlichen Anforderungen, </w:t>
            </w:r>
          </w:p>
          <w:p w14:paraId="7FE1BCEE" w14:textId="5ADAB5CD" w:rsidR="00696584" w:rsidRDefault="002C4F63">
            <w:pPr>
              <w:pStyle w:val="P68B1DB1-ListParagraph39"/>
              <w:numPr>
                <w:ilvl w:val="0"/>
                <w:numId w:val="278"/>
              </w:numPr>
              <w:jc w:val="both"/>
            </w:pPr>
            <w:r>
              <w:t xml:space="preserve">einige Anforderungen, </w:t>
            </w:r>
          </w:p>
          <w:p w14:paraId="7FE1BCEF" w14:textId="579CC165" w:rsidR="00696584" w:rsidRDefault="002C4F63">
            <w:pPr>
              <w:pStyle w:val="P68B1DB1-ListParagraph39"/>
              <w:numPr>
                <w:ilvl w:val="0"/>
                <w:numId w:val="278"/>
              </w:numPr>
              <w:jc w:val="both"/>
            </w:pPr>
            <w:r>
              <w:t xml:space="preserve">wesentliche (aber überwindbare) Anforderungen, </w:t>
            </w:r>
          </w:p>
          <w:p w14:paraId="7FE1BCF0" w14:textId="5F9F9690" w:rsidR="00696584" w:rsidRDefault="002C4F63">
            <w:pPr>
              <w:pStyle w:val="P68B1DB1-ListParagraph39"/>
              <w:numPr>
                <w:ilvl w:val="0"/>
                <w:numId w:val="278"/>
              </w:numPr>
              <w:jc w:val="both"/>
            </w:pPr>
            <w:r>
              <w:t>kritische Anforderungen (schwierig zu überfüllen).</w:t>
            </w:r>
          </w:p>
          <w:p w14:paraId="7FE1BCF1" w14:textId="77777777" w:rsidR="00696584" w:rsidRDefault="00696584">
            <w:pPr>
              <w:pStyle w:val="TableParagraph"/>
              <w:spacing w:before="108"/>
              <w:jc w:val="both"/>
              <w:rPr>
                <w:rFonts w:ascii="Times New Roman" w:hAnsi="Times New Roman" w:cs="Times New Roman"/>
                <w:color w:val="000000" w:themeColor="text1"/>
                <w:sz w:val="20"/>
                <w:szCs w:val="20"/>
              </w:rPr>
            </w:pPr>
          </w:p>
        </w:tc>
      </w:tr>
      <w:tr w:rsidR="00696584" w14:paraId="7FE1BCF5" w14:textId="77777777">
        <w:tc>
          <w:tcPr>
            <w:tcW w:w="1080" w:type="dxa"/>
            <w:tcBorders>
              <w:top w:val="single" w:sz="4" w:space="0" w:color="1A171C"/>
              <w:left w:val="nil"/>
              <w:bottom w:val="single" w:sz="4" w:space="0" w:color="1A171C"/>
              <w:right w:val="single" w:sz="4" w:space="0" w:color="1A171C"/>
            </w:tcBorders>
            <w:vAlign w:val="center"/>
          </w:tcPr>
          <w:p w14:paraId="7FE1BCF3" w14:textId="77777777" w:rsidR="00696584" w:rsidRDefault="002C4F63">
            <w:pPr>
              <w:pStyle w:val="P68B1DB1-TableParagraph17"/>
              <w:spacing w:before="108"/>
              <w:ind w:left="85"/>
              <w:jc w:val="both"/>
            </w:pPr>
            <w:r>
              <w:t>0190 – 0210</w:t>
            </w:r>
          </w:p>
        </w:tc>
        <w:tc>
          <w:tcPr>
            <w:tcW w:w="8003" w:type="dxa"/>
            <w:tcBorders>
              <w:top w:val="single" w:sz="4" w:space="0" w:color="1A171C"/>
              <w:left w:val="single" w:sz="4" w:space="0" w:color="1A171C"/>
              <w:bottom w:val="single" w:sz="4" w:space="0" w:color="1A171C"/>
              <w:right w:val="nil"/>
            </w:tcBorders>
            <w:vAlign w:val="center"/>
          </w:tcPr>
          <w:p w14:paraId="7FE1BCF4" w14:textId="77777777" w:rsidR="00696584" w:rsidRDefault="002C4F63">
            <w:pPr>
              <w:pStyle w:val="P68B1DB1-TableParagraph14"/>
              <w:spacing w:before="108"/>
              <w:jc w:val="both"/>
              <w:rPr>
                <w:bCs/>
              </w:rPr>
            </w:pPr>
            <w:r>
              <w:t>Wesentlichkeit</w:t>
            </w:r>
          </w:p>
        </w:tc>
      </w:tr>
      <w:tr w:rsidR="00696584" w14:paraId="7FE1BCFB" w14:textId="77777777">
        <w:tc>
          <w:tcPr>
            <w:tcW w:w="1080" w:type="dxa"/>
            <w:tcBorders>
              <w:top w:val="single" w:sz="4" w:space="0" w:color="1A171C"/>
              <w:left w:val="nil"/>
              <w:bottom w:val="single" w:sz="4" w:space="0" w:color="1A171C"/>
              <w:right w:val="single" w:sz="4" w:space="0" w:color="1A171C"/>
            </w:tcBorders>
            <w:vAlign w:val="center"/>
          </w:tcPr>
          <w:p w14:paraId="7FE1BCF6" w14:textId="77777777" w:rsidR="00696584" w:rsidRDefault="002C4F63">
            <w:pPr>
              <w:pStyle w:val="P68B1DB1-TableParagraph17"/>
              <w:spacing w:before="108"/>
              <w:ind w:left="85"/>
              <w:jc w:val="both"/>
            </w:pPr>
            <w:r>
              <w:t>0190</w:t>
            </w:r>
          </w:p>
        </w:tc>
        <w:tc>
          <w:tcPr>
            <w:tcW w:w="8003" w:type="dxa"/>
            <w:tcBorders>
              <w:top w:val="single" w:sz="4" w:space="0" w:color="1A171C"/>
              <w:left w:val="single" w:sz="4" w:space="0" w:color="1A171C"/>
              <w:bottom w:val="single" w:sz="4" w:space="0" w:color="1A171C"/>
              <w:right w:val="nil"/>
            </w:tcBorders>
            <w:vAlign w:val="center"/>
          </w:tcPr>
          <w:p w14:paraId="7FE1BCF7" w14:textId="77777777" w:rsidR="00696584" w:rsidRDefault="002C4F63">
            <w:pPr>
              <w:pStyle w:val="P68B1DB1-TableParagraph14"/>
              <w:spacing w:before="108"/>
              <w:jc w:val="both"/>
              <w:rPr>
                <w:bCs/>
              </w:rPr>
            </w:pPr>
            <w:r>
              <w:t xml:space="preserve">Marktauswirkungen </w:t>
            </w:r>
          </w:p>
          <w:p w14:paraId="7FE1BCF8" w14:textId="77777777" w:rsidR="00696584" w:rsidRDefault="002C4F63">
            <w:pPr>
              <w:pStyle w:val="P68B1DB1-TableParagraph13"/>
              <w:spacing w:before="108"/>
              <w:jc w:val="both"/>
            </w:pPr>
            <w:r>
              <w:lastRenderedPageBreak/>
              <w:t>Die geschätzten Auswirkungen einer plötzlichen Unterbrechung einer Funktion auf Dritte, die Finanzmärkte und die Realwirtschaft unter Berücksichtigung der Größe, des Marktanteils im Land, der externen und internen Verflechtungen, der Komplexität und der grenzüberschreitenden Tätigkeiten eines Instituts.</w:t>
            </w:r>
          </w:p>
          <w:p w14:paraId="7FE1BCF9" w14:textId="22534111" w:rsidR="00696584" w:rsidRDefault="002C4F63">
            <w:pPr>
              <w:pStyle w:val="P68B1DB1-TableParagraph13"/>
              <w:spacing w:before="108"/>
              <w:jc w:val="both"/>
            </w:pPr>
            <w:r>
              <w:t>Die Auswirkungen werden mit den Abstufungen hoch (H), mittel bis hoch (MH), mittel bis gering (ML) und gering (L) bewertet.</w:t>
            </w:r>
          </w:p>
          <w:p w14:paraId="7FE1BCFA" w14:textId="60C791C3" w:rsidR="00696584" w:rsidRDefault="002C4F63">
            <w:pPr>
              <w:pStyle w:val="P68B1DB1-TableParagraph13"/>
              <w:spacing w:before="108"/>
              <w:jc w:val="both"/>
            </w:pPr>
            <w:r>
              <w:t>‚H‘ wird gewählt, wenn die Unterbrechung massive Auswirkungen auf den nationalen Markt hat, „Mittelhoch“, wenn die Auswirkungen signifikant sind; ‚Medium-Low‘ wenn die Auswirkungen wesentlich, aber begrenzt sind, und ‚gering‘ wenn die Auswirkungen gering sind.</w:t>
            </w:r>
          </w:p>
        </w:tc>
      </w:tr>
      <w:tr w:rsidR="00696584" w14:paraId="7FE1BD08" w14:textId="77777777">
        <w:tc>
          <w:tcPr>
            <w:tcW w:w="1080" w:type="dxa"/>
            <w:tcBorders>
              <w:top w:val="single" w:sz="4" w:space="0" w:color="1A171C"/>
              <w:left w:val="nil"/>
              <w:bottom w:val="single" w:sz="4" w:space="0" w:color="1A171C"/>
              <w:right w:val="single" w:sz="4" w:space="0" w:color="1A171C"/>
            </w:tcBorders>
            <w:vAlign w:val="center"/>
          </w:tcPr>
          <w:p w14:paraId="7FE1BCFC" w14:textId="77777777" w:rsidR="00696584" w:rsidRDefault="002C4F63">
            <w:pPr>
              <w:pStyle w:val="P68B1DB1-TableParagraph17"/>
              <w:spacing w:before="108"/>
              <w:ind w:left="85"/>
              <w:jc w:val="both"/>
            </w:pPr>
            <w:r>
              <w:lastRenderedPageBreak/>
              <w:t>0200</w:t>
            </w:r>
          </w:p>
        </w:tc>
        <w:tc>
          <w:tcPr>
            <w:tcW w:w="8003" w:type="dxa"/>
            <w:tcBorders>
              <w:top w:val="single" w:sz="4" w:space="0" w:color="1A171C"/>
              <w:left w:val="single" w:sz="4" w:space="0" w:color="1A171C"/>
              <w:bottom w:val="single" w:sz="4" w:space="0" w:color="1A171C"/>
              <w:right w:val="nil"/>
            </w:tcBorders>
            <w:vAlign w:val="center"/>
          </w:tcPr>
          <w:p w14:paraId="7FE1BCFD" w14:textId="77777777" w:rsidR="00696584" w:rsidRDefault="002C4F63">
            <w:pPr>
              <w:pStyle w:val="P68B1DB1-TableParagraph14"/>
              <w:spacing w:before="108"/>
              <w:jc w:val="both"/>
              <w:rPr>
                <w:bCs/>
              </w:rPr>
            </w:pPr>
            <w:r>
              <w:t>Substituierbarkeit</w:t>
            </w:r>
          </w:p>
          <w:p w14:paraId="7FE1BCFE" w14:textId="77777777" w:rsidR="00696584" w:rsidRDefault="002C4F63">
            <w:pPr>
              <w:pStyle w:val="P68B1DB1-TableParagraph13"/>
              <w:spacing w:before="108"/>
              <w:jc w:val="both"/>
            </w:pPr>
            <w:r>
              <w:t>Artikel 6 Absatz 3 der Delegierten Verordnung (EU) 2016/778</w:t>
            </w:r>
          </w:p>
          <w:p w14:paraId="7FE1BCFF" w14:textId="77777777" w:rsidR="00696584" w:rsidRDefault="002C4F63">
            <w:pPr>
              <w:pStyle w:val="P68B1DB1-TableParagraph13"/>
              <w:spacing w:before="108"/>
              <w:jc w:val="both"/>
            </w:pPr>
            <w:r>
              <w:t>Eine Funktion gilt als substituierbar, wenn sie in vertretbarer Weise und innerhalb eines angemessenen Zeitrahmens ersetzbar ist, wodurch systemische Probleme für die Realwirtschaft und die Finanzmärkte vermieden werden können. Folgendes ist zu berücksichtigen:</w:t>
            </w:r>
          </w:p>
          <w:p w14:paraId="7FE1BD00" w14:textId="77777777" w:rsidR="00696584" w:rsidRDefault="002C4F63">
            <w:pPr>
              <w:pStyle w:val="P68B1DB1-TableParagraph13"/>
              <w:spacing w:before="108"/>
              <w:jc w:val="both"/>
            </w:pPr>
            <w:r>
              <w:t xml:space="preserve">(a) die Struktur des Marktes für diese Funktion und die Verfügbarkeit von Ersatzanbietern, </w:t>
            </w:r>
          </w:p>
          <w:p w14:paraId="7FE1BD01" w14:textId="77777777" w:rsidR="00696584" w:rsidRDefault="002C4F63">
            <w:pPr>
              <w:pStyle w:val="P68B1DB1-TableParagraph13"/>
              <w:spacing w:before="108"/>
              <w:jc w:val="both"/>
            </w:pPr>
            <w:r>
              <w:t xml:space="preserve">(b) die Möglichkeiten anderer Anbieter unter dem Gesichtspunkt der Kapazität, der Anforderungen an die Durchführung der Funktion und der möglichen Hürden für den Markteinstieg oder die Markterweiterung, </w:t>
            </w:r>
          </w:p>
          <w:p w14:paraId="7FE1BD02" w14:textId="77777777" w:rsidR="00696584" w:rsidRDefault="002C4F63">
            <w:pPr>
              <w:pStyle w:val="P68B1DB1-TableParagraph13"/>
              <w:spacing w:before="108"/>
              <w:jc w:val="both"/>
            </w:pPr>
            <w:r>
              <w:t xml:space="preserve">(c) die Anreize für andere Anbieter, diese Tätigkeiten zu übernehmen, </w:t>
            </w:r>
          </w:p>
          <w:p w14:paraId="7FE1BD03" w14:textId="77777777" w:rsidR="00696584" w:rsidRDefault="002C4F63">
            <w:pPr>
              <w:pStyle w:val="P68B1DB1-TableParagraph13"/>
              <w:spacing w:before="108"/>
              <w:jc w:val="both"/>
            </w:pPr>
            <w:r>
              <w:t>(d) die Zeit, die für den Wechsel der Nutzer der Dienstleistung zu dem neuen Dienstleistungsanbieter erforderlich ist, sowie die Kosten dieses Wechsels, die Zeit, die andere Wettbewerber für die Übernahme der Funktionen benötigen, sowie die Frage, ob diese Zeit ausreicht, um je nach Art der Dienstleistung eine wesentliche Beeinträchtigung zu verhindern.</w:t>
            </w:r>
          </w:p>
          <w:p w14:paraId="7FE1BD04" w14:textId="379B1AA4" w:rsidR="00696584" w:rsidRDefault="002C4F63">
            <w:pPr>
              <w:pStyle w:val="P68B1DB1-TableParagraph13"/>
              <w:spacing w:before="108"/>
              <w:jc w:val="both"/>
            </w:pPr>
            <w:r>
              <w:t xml:space="preserve">Es ist für jede Funktion eine Gesamtbewertung des erwarteten Grads der Substituierbarkeit vorzunehmen, unter Berücksichtigung der verschiedenen zuvor untersuchten Dimensionen (Marktanteil, Marktkonzentration, Zeit bis zur Substitution, rechtliche Hindernisse sowie praktische Anforderungen für Markteintritt oder Markterweiterung). Die Auswirkungen werden mit den Abstufungen hoch (H), mittel bis hoch (MH), mittel bis gering (ML) und gering (L) bewertet. </w:t>
            </w:r>
          </w:p>
          <w:p w14:paraId="7FE1BD05" w14:textId="3E0B0177" w:rsidR="00696584" w:rsidRDefault="002C4F63">
            <w:pPr>
              <w:pStyle w:val="P68B1DB1-TableParagraph13"/>
              <w:spacing w:before="108"/>
              <w:jc w:val="both"/>
            </w:pPr>
            <w:r>
              <w:t>H wird gewählt, wenn die Funktion ohne Weiteres unter vergleichbaren Bedingungen und innerhalb einer angemessenen Frist von einer anderen Bank wahrgenommen, werden kann,</w:t>
            </w:r>
          </w:p>
          <w:p w14:paraId="7FE1BD06" w14:textId="5459DD51" w:rsidR="00696584" w:rsidRDefault="002C4F63">
            <w:pPr>
              <w:pStyle w:val="P68B1DB1-TableParagraph13"/>
              <w:spacing w:before="108"/>
              <w:jc w:val="both"/>
            </w:pPr>
            <w:r>
              <w:t xml:space="preserve">L, wenn die Funktion nicht ohne Weiteres oder rasch ersetzt werden kann, </w:t>
            </w:r>
          </w:p>
          <w:p w14:paraId="7FE1BD07" w14:textId="113A35A6" w:rsidR="00696584" w:rsidRDefault="002C4F63">
            <w:pPr>
              <w:pStyle w:val="P68B1DB1-TableParagraph13"/>
              <w:spacing w:before="108"/>
              <w:jc w:val="both"/>
            </w:pPr>
            <w:r>
              <w:t>MH und ML für Situationen dazwischen, wobei verschiedene Parameter (z. B. Marktanteil, Marktkonzentration, Zeit bis zur Substitution, rechtliche Hindernisse und praktische Anforderungen für den Markteintritt oder die Markterweiterung) zu berücksichtigen sind.</w:t>
            </w:r>
          </w:p>
        </w:tc>
      </w:tr>
      <w:tr w:rsidR="00696584" w14:paraId="7FE1BD0D" w14:textId="77777777">
        <w:tc>
          <w:tcPr>
            <w:tcW w:w="1080" w:type="dxa"/>
            <w:tcBorders>
              <w:top w:val="single" w:sz="4" w:space="0" w:color="1A171C"/>
              <w:left w:val="nil"/>
              <w:bottom w:val="single" w:sz="4" w:space="0" w:color="1A171C"/>
              <w:right w:val="single" w:sz="4" w:space="0" w:color="1A171C"/>
            </w:tcBorders>
            <w:vAlign w:val="center"/>
          </w:tcPr>
          <w:p w14:paraId="7FE1BD09" w14:textId="77777777" w:rsidR="00696584" w:rsidRDefault="002C4F63">
            <w:pPr>
              <w:pStyle w:val="P68B1DB1-TableParagraph17"/>
              <w:spacing w:before="108"/>
              <w:ind w:left="85"/>
              <w:jc w:val="both"/>
            </w:pPr>
            <w:r>
              <w:t>0210</w:t>
            </w:r>
          </w:p>
        </w:tc>
        <w:tc>
          <w:tcPr>
            <w:tcW w:w="8003" w:type="dxa"/>
            <w:tcBorders>
              <w:top w:val="single" w:sz="4" w:space="0" w:color="1A171C"/>
              <w:left w:val="single" w:sz="4" w:space="0" w:color="1A171C"/>
              <w:bottom w:val="single" w:sz="4" w:space="0" w:color="1A171C"/>
              <w:right w:val="nil"/>
            </w:tcBorders>
            <w:vAlign w:val="center"/>
          </w:tcPr>
          <w:p w14:paraId="7FE1BD0A" w14:textId="77777777" w:rsidR="00696584" w:rsidRDefault="002C4F63">
            <w:pPr>
              <w:pStyle w:val="P68B1DB1-TableParagraph14"/>
              <w:spacing w:before="108"/>
              <w:jc w:val="both"/>
              <w:rPr>
                <w:bCs/>
              </w:rPr>
            </w:pPr>
            <w:r>
              <w:t>Kritische Funktion</w:t>
            </w:r>
          </w:p>
          <w:p w14:paraId="7FE1BD0B" w14:textId="77777777" w:rsidR="00696584" w:rsidRDefault="002C4F63">
            <w:pPr>
              <w:pStyle w:val="P68B1DB1-TableParagraph13"/>
              <w:spacing w:before="108"/>
              <w:jc w:val="both"/>
            </w:pPr>
            <w:r>
              <w:t>In dieser Spalte ist anzugeben, ob die wirtschaftliche Funktion unter Berücksichtigung der von der Institution durchgeführten Analyse des Einflusses und der Substituierbarkeit für den Markt des betreffenden Landes als kritisch anzusehen ist.</w:t>
            </w:r>
          </w:p>
          <w:p w14:paraId="7FE1BD0C" w14:textId="55B7991A" w:rsidR="00696584" w:rsidRDefault="002C4F63">
            <w:pPr>
              <w:pStyle w:val="P68B1DB1-TableParagraph13"/>
              <w:spacing w:before="108"/>
              <w:jc w:val="both"/>
            </w:pPr>
            <w:r>
              <w:t>2 Angaben sind möglich:</w:t>
            </w:r>
            <w:r w:rsidR="00370AFA">
              <w:t xml:space="preserve"> </w:t>
            </w:r>
            <w:r>
              <w:t>Ja oder Nein</w:t>
            </w:r>
          </w:p>
        </w:tc>
      </w:tr>
      <w:tr w:rsidR="00696584" w14:paraId="7FE1BD11" w14:textId="77777777">
        <w:tc>
          <w:tcPr>
            <w:tcW w:w="1080" w:type="dxa"/>
            <w:tcBorders>
              <w:top w:val="single" w:sz="4" w:space="0" w:color="1A171C"/>
              <w:left w:val="nil"/>
              <w:bottom w:val="single" w:sz="4" w:space="0" w:color="1A171C"/>
              <w:right w:val="single" w:sz="4" w:space="0" w:color="1A171C"/>
            </w:tcBorders>
            <w:vAlign w:val="center"/>
          </w:tcPr>
          <w:p w14:paraId="7FE1BD0E" w14:textId="77777777" w:rsidR="00696584" w:rsidRDefault="002C4F63">
            <w:pPr>
              <w:pStyle w:val="P68B1DB1-TableParagraph17"/>
              <w:spacing w:before="108"/>
              <w:ind w:left="85"/>
              <w:jc w:val="both"/>
            </w:pPr>
            <w:r>
              <w:t>0220</w:t>
            </w:r>
          </w:p>
        </w:tc>
        <w:tc>
          <w:tcPr>
            <w:tcW w:w="8003" w:type="dxa"/>
            <w:tcBorders>
              <w:top w:val="single" w:sz="4" w:space="0" w:color="1A171C"/>
              <w:left w:val="single" w:sz="4" w:space="0" w:color="1A171C"/>
              <w:bottom w:val="single" w:sz="4" w:space="0" w:color="1A171C"/>
              <w:right w:val="nil"/>
            </w:tcBorders>
            <w:vAlign w:val="center"/>
          </w:tcPr>
          <w:p w14:paraId="7FE1BD0F" w14:textId="77777777" w:rsidR="00696584" w:rsidRDefault="002C4F63">
            <w:pPr>
              <w:pStyle w:val="P68B1DB1-TableParagraph14"/>
              <w:spacing w:before="108"/>
              <w:jc w:val="both"/>
              <w:rPr>
                <w:bCs/>
              </w:rPr>
            </w:pPr>
            <w:r>
              <w:t>Stellungnahme der Gruppe</w:t>
            </w:r>
          </w:p>
          <w:p w14:paraId="7FE1BD10" w14:textId="77777777" w:rsidR="00696584" w:rsidRDefault="002C4F63">
            <w:pPr>
              <w:pStyle w:val="P68B1DB1-TableParagraph13"/>
              <w:spacing w:before="108"/>
              <w:jc w:val="both"/>
            </w:pPr>
            <w:r>
              <w:t>Dieses Feld ermöglicht es dem meldenden Unternehmen, alle Annahmen zu erläutern, die bei der Beurteilung der Kritikalität der gemeldeten Funktion(en) verwendet wurden.</w:t>
            </w:r>
          </w:p>
        </w:tc>
      </w:tr>
    </w:tbl>
    <w:p w14:paraId="7FE1BD12" w14:textId="77777777" w:rsidR="00696584" w:rsidRDefault="00696584">
      <w:pPr>
        <w:rPr>
          <w:rFonts w:ascii="Times New Roman" w:hAnsi="Times New Roman" w:cs="Times New Roman"/>
          <w:color w:val="000000" w:themeColor="text1"/>
          <w:sz w:val="20"/>
          <w:szCs w:val="20"/>
        </w:rPr>
      </w:pPr>
    </w:p>
    <w:p w14:paraId="7FE1BD13" w14:textId="77777777" w:rsidR="00696584" w:rsidRDefault="00696584">
      <w:pPr>
        <w:rPr>
          <w:rFonts w:ascii="Times New Roman" w:hAnsi="Times New Roman" w:cs="Times New Roman"/>
          <w:color w:val="000000" w:themeColor="text1"/>
          <w:sz w:val="20"/>
          <w:szCs w:val="20"/>
        </w:rPr>
      </w:pPr>
    </w:p>
    <w:p w14:paraId="7FE1BD14" w14:textId="168C612B" w:rsidR="00696584" w:rsidRDefault="002C4F63">
      <w:pPr>
        <w:pStyle w:val="P68B1DB1-Instructionsberschrift25"/>
      </w:pPr>
      <w:bookmarkStart w:id="120" w:name="_Toc209533597"/>
      <w:r>
        <w:lastRenderedPageBreak/>
        <w:t>II.13</w:t>
      </w:r>
      <w:r>
        <w:tab/>
        <w:t>Z 07.01.5 FUNC 1 WF</w:t>
      </w:r>
      <w:bookmarkEnd w:id="120"/>
    </w:p>
    <w:p w14:paraId="7FE1BD1C" w14:textId="77777777" w:rsidR="00696584" w:rsidRDefault="00696584">
      <w:pPr>
        <w:rPr>
          <w:rFonts w:ascii="Times New Roman" w:hAnsi="Times New Roman" w:cs="Times New Roman"/>
          <w:color w:val="000000" w:themeColor="text1"/>
          <w:sz w:val="20"/>
          <w:szCs w:val="20"/>
        </w:rPr>
      </w:pPr>
    </w:p>
    <w:tbl>
      <w:tblPr>
        <w:tblW w:w="9083" w:type="dxa"/>
        <w:tblLayout w:type="fixed"/>
        <w:tblCellMar>
          <w:top w:w="57" w:type="dxa"/>
          <w:left w:w="57" w:type="dxa"/>
          <w:bottom w:w="57" w:type="dxa"/>
          <w:right w:w="0" w:type="dxa"/>
        </w:tblCellMar>
        <w:tblLook w:val="01E0" w:firstRow="1" w:lastRow="1" w:firstColumn="1" w:lastColumn="1" w:noHBand="0" w:noVBand="0"/>
      </w:tblPr>
      <w:tblGrid>
        <w:gridCol w:w="1080"/>
        <w:gridCol w:w="8003"/>
      </w:tblGrid>
      <w:tr w:rsidR="00696584" w14:paraId="7FE1BD1F" w14:textId="77777777">
        <w:trPr>
          <w:tblHeader/>
        </w:trPr>
        <w:tc>
          <w:tcPr>
            <w:tcW w:w="1080" w:type="dxa"/>
            <w:tcBorders>
              <w:top w:val="single" w:sz="4" w:space="0" w:color="1A171C"/>
              <w:left w:val="nil"/>
              <w:bottom w:val="single" w:sz="4" w:space="0" w:color="1A171C"/>
              <w:right w:val="single" w:sz="4" w:space="0" w:color="1A171C"/>
            </w:tcBorders>
            <w:shd w:val="clear" w:color="auto" w:fill="E4E5E5"/>
          </w:tcPr>
          <w:p w14:paraId="7FE1BD1D" w14:textId="77777777" w:rsidR="00696584" w:rsidRDefault="002C4F63">
            <w:pPr>
              <w:pStyle w:val="P68B1DB1-TableParagraph17"/>
              <w:spacing w:before="108"/>
              <w:ind w:left="85"/>
              <w:jc w:val="both"/>
            </w:pPr>
            <w:r>
              <w:t>Spalten</w:t>
            </w:r>
          </w:p>
        </w:tc>
        <w:tc>
          <w:tcPr>
            <w:tcW w:w="8003" w:type="dxa"/>
            <w:tcBorders>
              <w:top w:val="single" w:sz="4" w:space="0" w:color="1A171C"/>
              <w:left w:val="single" w:sz="4" w:space="0" w:color="1A171C"/>
              <w:bottom w:val="single" w:sz="4" w:space="0" w:color="1A171C"/>
              <w:right w:val="nil"/>
            </w:tcBorders>
            <w:shd w:val="clear" w:color="auto" w:fill="E4E5E5"/>
          </w:tcPr>
          <w:p w14:paraId="7FE1BD1E" w14:textId="77777777" w:rsidR="00696584" w:rsidRDefault="002C4F63">
            <w:pPr>
              <w:pStyle w:val="P68B1DB1-TableParagraph17"/>
              <w:spacing w:before="108"/>
              <w:ind w:left="85" w:right="1"/>
              <w:jc w:val="both"/>
            </w:pPr>
            <w:r>
              <w:t>Erläuterungen</w:t>
            </w:r>
          </w:p>
        </w:tc>
      </w:tr>
      <w:tr w:rsidR="00696584" w14:paraId="7FE1BD23" w14:textId="77777777">
        <w:tc>
          <w:tcPr>
            <w:tcW w:w="1080" w:type="dxa"/>
            <w:tcBorders>
              <w:top w:val="single" w:sz="4" w:space="0" w:color="1A171C"/>
              <w:left w:val="nil"/>
              <w:bottom w:val="single" w:sz="4" w:space="0" w:color="1A171C"/>
              <w:right w:val="single" w:sz="4" w:space="0" w:color="1A171C"/>
            </w:tcBorders>
            <w:vAlign w:val="center"/>
          </w:tcPr>
          <w:p w14:paraId="7FE1BD20" w14:textId="77777777" w:rsidR="00696584" w:rsidRDefault="002C4F63">
            <w:pPr>
              <w:pStyle w:val="P68B1DB1-TableParagraph17"/>
              <w:spacing w:before="108"/>
              <w:ind w:left="85"/>
              <w:jc w:val="both"/>
            </w:pPr>
            <w:r>
              <w:t>0010</w:t>
            </w:r>
          </w:p>
        </w:tc>
        <w:tc>
          <w:tcPr>
            <w:tcW w:w="8003" w:type="dxa"/>
            <w:tcBorders>
              <w:top w:val="single" w:sz="4" w:space="0" w:color="1A171C"/>
              <w:left w:val="single" w:sz="4" w:space="0" w:color="1A171C"/>
              <w:bottom w:val="single" w:sz="4" w:space="0" w:color="1A171C"/>
              <w:right w:val="nil"/>
            </w:tcBorders>
            <w:vAlign w:val="center"/>
          </w:tcPr>
          <w:p w14:paraId="7FE1BD21" w14:textId="77777777" w:rsidR="00696584" w:rsidRDefault="002C4F63">
            <w:pPr>
              <w:pStyle w:val="P68B1DB1-TableParagraph14"/>
              <w:spacing w:before="108"/>
              <w:ind w:left="85"/>
              <w:jc w:val="both"/>
              <w:rPr>
                <w:bCs/>
              </w:rPr>
            </w:pPr>
            <w:r>
              <w:t>Beschreibung der wirtschaftlichen Funktion</w:t>
            </w:r>
          </w:p>
          <w:p w14:paraId="7FE1BD22" w14:textId="3E7FC747" w:rsidR="00696584" w:rsidRDefault="002C4F63">
            <w:pPr>
              <w:pStyle w:val="P68B1DB1-TableParagraph17"/>
              <w:spacing w:before="108"/>
              <w:ind w:left="85"/>
            </w:pPr>
            <w:r>
              <w:t xml:space="preserve">Besteht die wirtschaftliche Funktion vom Typ „Sonstige“ (Z 07.01.5 FUNC 1 WF r0360 bis r0380), ist diese Funktion zu beschreiben. </w:t>
            </w:r>
          </w:p>
        </w:tc>
      </w:tr>
      <w:tr w:rsidR="00696584" w14:paraId="7FE1BD27" w14:textId="77777777">
        <w:tc>
          <w:tcPr>
            <w:tcW w:w="1080" w:type="dxa"/>
            <w:tcBorders>
              <w:top w:val="single" w:sz="4" w:space="0" w:color="1A171C"/>
              <w:left w:val="nil"/>
              <w:bottom w:val="single" w:sz="4" w:space="0" w:color="1A171C"/>
              <w:right w:val="single" w:sz="4" w:space="0" w:color="1A171C"/>
            </w:tcBorders>
            <w:vAlign w:val="center"/>
          </w:tcPr>
          <w:p w14:paraId="7FE1BD24" w14:textId="77777777" w:rsidR="00696584" w:rsidRDefault="002C4F63">
            <w:pPr>
              <w:pStyle w:val="P68B1DB1-TableParagraph17"/>
              <w:spacing w:before="108"/>
              <w:ind w:left="85"/>
              <w:jc w:val="both"/>
            </w:pPr>
            <w:r>
              <w:t>0020</w:t>
            </w:r>
          </w:p>
        </w:tc>
        <w:tc>
          <w:tcPr>
            <w:tcW w:w="8003" w:type="dxa"/>
            <w:tcBorders>
              <w:top w:val="single" w:sz="4" w:space="0" w:color="1A171C"/>
              <w:left w:val="single" w:sz="4" w:space="0" w:color="1A171C"/>
              <w:bottom w:val="single" w:sz="4" w:space="0" w:color="1A171C"/>
              <w:right w:val="nil"/>
            </w:tcBorders>
            <w:vAlign w:val="center"/>
          </w:tcPr>
          <w:p w14:paraId="7FE1BD25" w14:textId="77777777" w:rsidR="00696584" w:rsidRDefault="002C4F63">
            <w:pPr>
              <w:pStyle w:val="P68B1DB1-TableParagraph14"/>
              <w:spacing w:before="108"/>
              <w:ind w:left="85"/>
              <w:jc w:val="both"/>
              <w:rPr>
                <w:bCs/>
              </w:rPr>
            </w:pPr>
            <w:r>
              <w:t xml:space="preserve">Marktanteil </w:t>
            </w:r>
          </w:p>
          <w:p w14:paraId="7FE1BD26" w14:textId="470CCD5A" w:rsidR="00696584" w:rsidRDefault="002C4F63">
            <w:pPr>
              <w:pStyle w:val="P68B1DB1-TableParagraph17"/>
              <w:spacing w:before="108"/>
              <w:ind w:left="85"/>
            </w:pPr>
            <w:r>
              <w:t>Schätzung des Marktanteils des Instituts oder der Gruppe an der wirtschaftlichen Funktion im jeweiligen Land oder im jeweiligen geografischen Gebiet. Prozentualer Anteil des Gesamtmarkts am Bruttobuchwert.</w:t>
            </w:r>
          </w:p>
        </w:tc>
      </w:tr>
      <w:tr w:rsidR="00696584" w14:paraId="7FE1BD31" w14:textId="77777777">
        <w:tc>
          <w:tcPr>
            <w:tcW w:w="1080" w:type="dxa"/>
            <w:tcBorders>
              <w:top w:val="single" w:sz="4" w:space="0" w:color="1A171C"/>
              <w:left w:val="nil"/>
              <w:bottom w:val="single" w:sz="4" w:space="0" w:color="1A171C"/>
              <w:right w:val="single" w:sz="4" w:space="0" w:color="1A171C"/>
            </w:tcBorders>
            <w:vAlign w:val="center"/>
          </w:tcPr>
          <w:p w14:paraId="7FE1BD28" w14:textId="77777777" w:rsidR="00696584" w:rsidRDefault="002C4F63">
            <w:pPr>
              <w:pStyle w:val="P68B1DB1-TableParagraph17"/>
              <w:spacing w:before="108"/>
              <w:ind w:left="85"/>
              <w:jc w:val="both"/>
            </w:pPr>
            <w:r>
              <w:t>0030</w:t>
            </w:r>
          </w:p>
        </w:tc>
        <w:tc>
          <w:tcPr>
            <w:tcW w:w="8003" w:type="dxa"/>
            <w:tcBorders>
              <w:top w:val="single" w:sz="4" w:space="0" w:color="1A171C"/>
              <w:left w:val="single" w:sz="4" w:space="0" w:color="1A171C"/>
              <w:bottom w:val="single" w:sz="4" w:space="0" w:color="1A171C"/>
              <w:right w:val="nil"/>
            </w:tcBorders>
            <w:vAlign w:val="center"/>
          </w:tcPr>
          <w:p w14:paraId="7FE1BD29" w14:textId="77777777" w:rsidR="00696584" w:rsidRDefault="002C4F63">
            <w:pPr>
              <w:pStyle w:val="P68B1DB1-Normal42"/>
              <w:rPr>
                <w:bCs/>
              </w:rPr>
            </w:pPr>
            <w:r>
              <w:t>Bruttobuchwert</w:t>
            </w:r>
          </w:p>
          <w:p w14:paraId="7FE1BD2A" w14:textId="77777777" w:rsidR="00696584" w:rsidRDefault="002C4F63">
            <w:pPr>
              <w:pStyle w:val="P68B1DB1-TableParagraph17"/>
              <w:spacing w:before="108"/>
            </w:pPr>
            <w:r>
              <w:t xml:space="preserve">Bruttobuchwert nach FINREP. </w:t>
            </w:r>
          </w:p>
          <w:p w14:paraId="7FE1BD2B" w14:textId="5D90B46C" w:rsidR="00696584" w:rsidRDefault="0098354D">
            <w:pPr>
              <w:pStyle w:val="P68B1DB1-TableParagraph17"/>
              <w:spacing w:before="108"/>
            </w:pPr>
            <w:r>
              <w:t>Verweise</w:t>
            </w:r>
            <w:r w:rsidR="002C4F63">
              <w:t xml:space="preserve">: FINREP: Anhang V Teil 1 Nummer 34, FINREP Anhänge III und IV Meldebögen: </w:t>
            </w:r>
          </w:p>
          <w:p w14:paraId="7FE1BD2C" w14:textId="77777777" w:rsidR="00696584" w:rsidRDefault="002C4F63">
            <w:pPr>
              <w:pStyle w:val="P68B1DB1-TableParagraph17"/>
              <w:spacing w:before="108"/>
            </w:pPr>
            <w:r>
              <w:t>— Kreditaufnahme (5.1): Meldebogen F 20.06 Spalte 010 Zeilen 100 und 110, alle Länder.</w:t>
            </w:r>
          </w:p>
          <w:p w14:paraId="7FE1BD2D" w14:textId="77777777" w:rsidR="00696584" w:rsidRDefault="002C4F63">
            <w:pPr>
              <w:pStyle w:val="P68B1DB1-TableParagraph17"/>
              <w:spacing w:before="108"/>
            </w:pPr>
            <w:r>
              <w:t>— Derivate (Vermögenswerte) (5.2): Meldebogen F 20.04 Spalte 010 Zeile 010, alle Länder.</w:t>
            </w:r>
          </w:p>
          <w:p w14:paraId="7FE1BD2E" w14:textId="77777777" w:rsidR="00696584" w:rsidRDefault="002C4F63">
            <w:pPr>
              <w:pStyle w:val="P68B1DB1-TableParagraph17"/>
              <w:spacing w:before="108"/>
            </w:pPr>
            <w:r>
              <w:t xml:space="preserve">— Kreditvergabe (5.3): Meldebogen F 20.04 Spalte 010 Zeilen 170 und 180, alle Länder. </w:t>
            </w:r>
          </w:p>
          <w:p w14:paraId="7FE1BD30" w14:textId="58CF223C" w:rsidR="00696584" w:rsidRDefault="002C4F63">
            <w:pPr>
              <w:pStyle w:val="P68B1DB1-TableParagraph17"/>
              <w:spacing w:before="108"/>
            </w:pPr>
            <w:r>
              <w:t>— Derivate (Verbindlichkeiten) (5.4): Meldebogen F 20.06 Spalte 010 Zeile 010, alle Länder.</w:t>
            </w:r>
          </w:p>
        </w:tc>
      </w:tr>
      <w:tr w:rsidR="00696584" w14:paraId="7FE1BD35" w14:textId="77777777">
        <w:tc>
          <w:tcPr>
            <w:tcW w:w="1080" w:type="dxa"/>
            <w:tcBorders>
              <w:top w:val="single" w:sz="4" w:space="0" w:color="1A171C"/>
              <w:left w:val="nil"/>
              <w:bottom w:val="single" w:sz="4" w:space="0" w:color="1A171C"/>
              <w:right w:val="single" w:sz="4" w:space="0" w:color="1A171C"/>
            </w:tcBorders>
            <w:vAlign w:val="center"/>
          </w:tcPr>
          <w:p w14:paraId="7FE1BD32" w14:textId="77777777" w:rsidR="00696584" w:rsidRDefault="002C4F63" w:rsidP="003139A0">
            <w:pPr>
              <w:pStyle w:val="P68B1DB1-TableParagraph17"/>
              <w:spacing w:before="108"/>
              <w:jc w:val="both"/>
            </w:pPr>
            <w:r>
              <w:t>0040</w:t>
            </w:r>
          </w:p>
        </w:tc>
        <w:tc>
          <w:tcPr>
            <w:tcW w:w="8003" w:type="dxa"/>
            <w:tcBorders>
              <w:top w:val="single" w:sz="4" w:space="0" w:color="1A171C"/>
              <w:left w:val="single" w:sz="4" w:space="0" w:color="1A171C"/>
              <w:bottom w:val="single" w:sz="4" w:space="0" w:color="1A171C"/>
              <w:right w:val="nil"/>
            </w:tcBorders>
            <w:vAlign w:val="center"/>
          </w:tcPr>
          <w:p w14:paraId="7FE1BD33" w14:textId="77777777" w:rsidR="00696584" w:rsidRDefault="002C4F63">
            <w:pPr>
              <w:pStyle w:val="P68B1DB1-Normal42"/>
              <w:rPr>
                <w:bCs/>
              </w:rPr>
            </w:pPr>
            <w:r>
              <w:t>Anzahl der Gegenparteien</w:t>
            </w:r>
          </w:p>
          <w:p w14:paraId="7FE1BD34" w14:textId="77777777" w:rsidR="00696584" w:rsidRDefault="002C4F63">
            <w:pPr>
              <w:pStyle w:val="P68B1DB1-TableParagraph17"/>
              <w:spacing w:before="108"/>
            </w:pPr>
            <w:r>
              <w:t>Gesamtzahl der Gegenparteien. Verwendet eine Gegenpartei mehr als ein Konto und/oder tätigt mehr als ein Geschäft, so wird die Gegenpartei nur einmal gezählt.</w:t>
            </w:r>
          </w:p>
        </w:tc>
      </w:tr>
      <w:tr w:rsidR="00696584" w14:paraId="7FE1BD43" w14:textId="77777777">
        <w:tc>
          <w:tcPr>
            <w:tcW w:w="1080" w:type="dxa"/>
            <w:tcBorders>
              <w:top w:val="single" w:sz="4" w:space="0" w:color="1A171C"/>
              <w:left w:val="nil"/>
              <w:bottom w:val="single" w:sz="4" w:space="0" w:color="1A171C"/>
              <w:right w:val="single" w:sz="4" w:space="0" w:color="1A171C"/>
            </w:tcBorders>
            <w:vAlign w:val="center"/>
          </w:tcPr>
          <w:p w14:paraId="7FE1BD36" w14:textId="77777777" w:rsidR="00696584" w:rsidRDefault="002C4F63" w:rsidP="003139A0">
            <w:pPr>
              <w:pStyle w:val="P68B1DB1-TableParagraph17"/>
              <w:spacing w:before="108"/>
              <w:jc w:val="both"/>
            </w:pPr>
            <w:r>
              <w:t>0050</w:t>
            </w:r>
          </w:p>
        </w:tc>
        <w:tc>
          <w:tcPr>
            <w:tcW w:w="8003" w:type="dxa"/>
            <w:tcBorders>
              <w:top w:val="single" w:sz="4" w:space="0" w:color="1A171C"/>
              <w:left w:val="single" w:sz="4" w:space="0" w:color="1A171C"/>
              <w:bottom w:val="single" w:sz="4" w:space="0" w:color="1A171C"/>
              <w:right w:val="nil"/>
            </w:tcBorders>
            <w:vAlign w:val="center"/>
          </w:tcPr>
          <w:p w14:paraId="7FE1BD37" w14:textId="77777777" w:rsidR="00696584" w:rsidRDefault="002C4F63">
            <w:pPr>
              <w:pStyle w:val="P68B1DB1-TableParagraph14"/>
              <w:spacing w:before="108"/>
              <w:jc w:val="both"/>
              <w:rPr>
                <w:bCs/>
              </w:rPr>
            </w:pPr>
            <w:r>
              <w:t>(Umgekehrte) Pensionsgeschäfte</w:t>
            </w:r>
          </w:p>
          <w:p w14:paraId="7FE1BD38" w14:textId="77777777" w:rsidR="00696584" w:rsidRDefault="002C4F63">
            <w:pPr>
              <w:pStyle w:val="P68B1DB1-TableParagraph13"/>
              <w:spacing w:before="108"/>
              <w:jc w:val="both"/>
            </w:pPr>
            <w:r>
              <w:t>Melden Sie Rückkaufsvereinbarungen im Rahmen der großvolumigen Kreditaufnahme. Rückkauf</w:t>
            </w:r>
          </w:p>
          <w:p w14:paraId="7FE1BD39" w14:textId="77777777" w:rsidR="00696584" w:rsidRDefault="002C4F63">
            <w:pPr>
              <w:pStyle w:val="P68B1DB1-TableParagraph13"/>
              <w:spacing w:before="108"/>
              <w:jc w:val="both"/>
            </w:pPr>
            <w:r>
              <w:t>unter Vereinbarungen sind Barmittel zu verstehen, die im Austausch für Wertpapiere entgegengenommen werden, die zu einem bestimmten Preis unter einer</w:t>
            </w:r>
          </w:p>
          <w:p w14:paraId="7FE1BD3A" w14:textId="77777777" w:rsidR="00696584" w:rsidRDefault="002C4F63">
            <w:pPr>
              <w:pStyle w:val="P68B1DB1-TableParagraph13"/>
              <w:spacing w:before="108"/>
              <w:jc w:val="both"/>
            </w:pPr>
            <w:r>
              <w:t>feste Zusage, dieselben (oder ähnliche) Wertpapiere zu einem festen Preis zurückzukaufen</w:t>
            </w:r>
          </w:p>
          <w:p w14:paraId="7FE1BD3B" w14:textId="77777777" w:rsidR="00696584" w:rsidRDefault="002C4F63">
            <w:pPr>
              <w:pStyle w:val="P68B1DB1-TableParagraph13"/>
              <w:spacing w:before="108"/>
              <w:jc w:val="both"/>
            </w:pPr>
            <w:r>
              <w:t xml:space="preserve">festgelegtes künftiges Datum. </w:t>
            </w:r>
          </w:p>
          <w:p w14:paraId="7FE1BD3C" w14:textId="77777777" w:rsidR="00696584" w:rsidRDefault="002C4F63">
            <w:pPr>
              <w:pStyle w:val="P68B1DB1-TableParagraph13"/>
              <w:spacing w:before="108"/>
              <w:jc w:val="both"/>
            </w:pPr>
            <w:r>
              <w:t>Geben Sie Kredite aus umgekehrten Pensionsgeschäften im Rahmen von Großkrediten an. Kredite aus umgekehrten Pensionsgeschäften sind Finanzierungen, die im Austausch gegen erworbene Wertpapiere gewährt werden.</w:t>
            </w:r>
          </w:p>
          <w:p w14:paraId="7FE1BD3D" w14:textId="77777777" w:rsidR="00696584" w:rsidRDefault="002C4F63">
            <w:pPr>
              <w:pStyle w:val="P68B1DB1-TableParagraph13"/>
              <w:spacing w:before="108"/>
              <w:jc w:val="both"/>
            </w:pPr>
            <w:r>
              <w:t>im Rahmen von Pensionsgeschäften oder im Rahmen von Wertpapierleihgeschäften geliehen.</w:t>
            </w:r>
          </w:p>
          <w:p w14:paraId="7FE1BD3E" w14:textId="77777777" w:rsidR="00696584" w:rsidRDefault="002C4F63">
            <w:pPr>
              <w:pStyle w:val="P68B1DB1-TableParagraph13"/>
              <w:spacing w:before="108"/>
              <w:jc w:val="both"/>
            </w:pPr>
            <w:r>
              <w:t>Weiterführende Informationen: Verordnung (EU) 2015/2365 über die Transparenz der Wertpapierfinanzierung</w:t>
            </w:r>
          </w:p>
          <w:p w14:paraId="7FE1BD3F" w14:textId="77777777" w:rsidR="00696584" w:rsidRDefault="002C4F63">
            <w:pPr>
              <w:pStyle w:val="P68B1DB1-TableParagraph13"/>
              <w:spacing w:before="108"/>
              <w:jc w:val="both"/>
            </w:pPr>
            <w:r>
              <w:t>Transaktionen und Weiterverwendung Artikel 3 Absatz 9; FINREP: Anhang V. Teil 2. Kapitel 5 Absatz 85 Buchstabe e.</w:t>
            </w:r>
          </w:p>
          <w:p w14:paraId="7FE1BD40" w14:textId="77777777" w:rsidR="00696584" w:rsidRDefault="002C4F63">
            <w:pPr>
              <w:pStyle w:val="P68B1DB1-TableParagraph13"/>
              <w:spacing w:before="108"/>
              <w:jc w:val="both"/>
            </w:pPr>
            <w:r>
              <w:t>und Kapitel 14, Nummer 183; FINREP Anhang III:</w:t>
            </w:r>
          </w:p>
          <w:p w14:paraId="7FE1BD41" w14:textId="77777777" w:rsidR="00696584" w:rsidRDefault="002C4F63">
            <w:pPr>
              <w:pStyle w:val="P68B1DB1-TableParagraph13"/>
              <w:numPr>
                <w:ilvl w:val="0"/>
                <w:numId w:val="153"/>
              </w:numPr>
              <w:spacing w:before="108"/>
              <w:jc w:val="both"/>
            </w:pPr>
            <w:r>
              <w:t>Pensionsgeschäfte: Tabelle 08.01 Spalten 010+ 020-030, Zeilen 200+ 250.</w:t>
            </w:r>
          </w:p>
          <w:p w14:paraId="7FE1BD42" w14:textId="77777777" w:rsidR="00696584" w:rsidRDefault="002C4F63">
            <w:pPr>
              <w:pStyle w:val="P68B1DB1-TableParagraph13"/>
              <w:numPr>
                <w:ilvl w:val="0"/>
                <w:numId w:val="153"/>
              </w:numPr>
              <w:spacing w:before="108"/>
              <w:jc w:val="both"/>
            </w:pPr>
            <w:r>
              <w:t>Umgekehrte Pensionsgeschäfte: Tabelle 05.00 Spalten 030+ 040, Zeile 050.</w:t>
            </w:r>
          </w:p>
        </w:tc>
      </w:tr>
      <w:tr w:rsidR="00696584" w14:paraId="7FE1BD47" w14:textId="77777777">
        <w:tc>
          <w:tcPr>
            <w:tcW w:w="1080" w:type="dxa"/>
            <w:tcBorders>
              <w:top w:val="single" w:sz="4" w:space="0" w:color="1A171C"/>
              <w:left w:val="nil"/>
              <w:bottom w:val="single" w:sz="4" w:space="0" w:color="1A171C"/>
              <w:right w:val="single" w:sz="4" w:space="0" w:color="1A171C"/>
            </w:tcBorders>
            <w:vAlign w:val="center"/>
          </w:tcPr>
          <w:p w14:paraId="7FE1BD44" w14:textId="1D61499E" w:rsidR="00696584" w:rsidRDefault="002C4F63" w:rsidP="006F7CBC">
            <w:pPr>
              <w:pStyle w:val="P68B1DB1-TableParagraph17"/>
              <w:spacing w:before="108"/>
              <w:jc w:val="both"/>
            </w:pPr>
            <w:r>
              <w:t>0060</w:t>
            </w:r>
          </w:p>
        </w:tc>
        <w:tc>
          <w:tcPr>
            <w:tcW w:w="8003" w:type="dxa"/>
            <w:tcBorders>
              <w:top w:val="single" w:sz="4" w:space="0" w:color="1A171C"/>
              <w:left w:val="single" w:sz="4" w:space="0" w:color="1A171C"/>
              <w:bottom w:val="single" w:sz="4" w:space="0" w:color="1A171C"/>
              <w:right w:val="nil"/>
            </w:tcBorders>
            <w:vAlign w:val="center"/>
          </w:tcPr>
          <w:p w14:paraId="7FE1BD45" w14:textId="77777777" w:rsidR="00696584" w:rsidRDefault="002C4F63">
            <w:pPr>
              <w:pStyle w:val="P68B1DB1-TableParagraph14"/>
              <w:spacing w:before="108"/>
              <w:jc w:val="both"/>
              <w:rPr>
                <w:bCs/>
              </w:rPr>
            </w:pPr>
            <w:r>
              <w:t>Wert mit Auslandsbezug</w:t>
            </w:r>
          </w:p>
          <w:p w14:paraId="7FE1BD46" w14:textId="77777777" w:rsidR="00696584" w:rsidRDefault="002C4F63">
            <w:pPr>
              <w:pStyle w:val="P68B1DB1-TableParagraph13"/>
              <w:spacing w:before="108"/>
              <w:jc w:val="both"/>
            </w:pPr>
            <w:r>
              <w:t>Summe der Bruttobuchwerte aller Länder, mit Ausnahme des Sitzlandes oder relevanten Landes.</w:t>
            </w:r>
          </w:p>
        </w:tc>
      </w:tr>
      <w:tr w:rsidR="00696584" w14:paraId="7FE1BD51" w14:textId="77777777">
        <w:tc>
          <w:tcPr>
            <w:tcW w:w="1080" w:type="dxa"/>
            <w:tcBorders>
              <w:top w:val="single" w:sz="4" w:space="0" w:color="1A171C"/>
              <w:left w:val="nil"/>
              <w:bottom w:val="single" w:sz="4" w:space="0" w:color="1A171C"/>
              <w:right w:val="single" w:sz="4" w:space="0" w:color="1A171C"/>
            </w:tcBorders>
            <w:vAlign w:val="center"/>
          </w:tcPr>
          <w:p w14:paraId="7FE1BD48" w14:textId="77777777" w:rsidR="00696584" w:rsidRDefault="002C4F63" w:rsidP="003139A0">
            <w:pPr>
              <w:pStyle w:val="P68B1DB1-TableParagraph17"/>
              <w:spacing w:before="108"/>
              <w:jc w:val="both"/>
            </w:pPr>
            <w:r>
              <w:t>0070</w:t>
            </w:r>
          </w:p>
        </w:tc>
        <w:tc>
          <w:tcPr>
            <w:tcW w:w="8003" w:type="dxa"/>
            <w:tcBorders>
              <w:top w:val="single" w:sz="4" w:space="0" w:color="1A171C"/>
              <w:left w:val="single" w:sz="4" w:space="0" w:color="1A171C"/>
              <w:bottom w:val="single" w:sz="4" w:space="0" w:color="1A171C"/>
              <w:right w:val="nil"/>
            </w:tcBorders>
            <w:vAlign w:val="center"/>
          </w:tcPr>
          <w:p w14:paraId="7FE1BD49" w14:textId="77777777" w:rsidR="00696584" w:rsidRDefault="002C4F63">
            <w:pPr>
              <w:pStyle w:val="P68B1DB1-Normal42"/>
              <w:rPr>
                <w:bCs/>
              </w:rPr>
            </w:pPr>
            <w:r>
              <w:t>Wert bei Kreditinstituten</w:t>
            </w:r>
          </w:p>
          <w:p w14:paraId="7FE1BD4A" w14:textId="77777777" w:rsidR="00696584" w:rsidRDefault="002C4F63">
            <w:pPr>
              <w:pStyle w:val="P68B1DB1-TableParagraph13"/>
              <w:spacing w:before="108"/>
              <w:jc w:val="both"/>
            </w:pPr>
            <w:r>
              <w:lastRenderedPageBreak/>
              <w:t>Bei Kreditinstituten ausstehender Bruttobuchwert. Definition des Sektors gemäß</w:t>
            </w:r>
          </w:p>
          <w:p w14:paraId="7FE1BD4B" w14:textId="77777777" w:rsidR="00696584" w:rsidRDefault="002C4F63">
            <w:pPr>
              <w:pStyle w:val="P68B1DB1-TableParagraph13"/>
              <w:spacing w:before="108"/>
              <w:jc w:val="both"/>
            </w:pPr>
            <w:r>
              <w:t xml:space="preserve">FINREP (Anhang V). </w:t>
            </w:r>
          </w:p>
          <w:p w14:paraId="7FE1BD4C" w14:textId="77777777" w:rsidR="00696584" w:rsidRDefault="002C4F63">
            <w:pPr>
              <w:pStyle w:val="P68B1DB1-TableParagraph13"/>
              <w:spacing w:before="108"/>
              <w:jc w:val="both"/>
            </w:pPr>
            <w:r>
              <w:t>Weiterführende Informationen: FINREP: Anhang III:</w:t>
            </w:r>
          </w:p>
          <w:p w14:paraId="7FE1BD4D" w14:textId="77777777" w:rsidR="00696584" w:rsidRDefault="002C4F63">
            <w:pPr>
              <w:pStyle w:val="P68B1DB1-TableParagraph13"/>
              <w:numPr>
                <w:ilvl w:val="0"/>
                <w:numId w:val="153"/>
              </w:numPr>
              <w:spacing w:before="108"/>
              <w:jc w:val="both"/>
            </w:pPr>
            <w:r>
              <w:t>Mittelaufnahme: Tabelle 20.06, Spalte 010, Zeile 100, alle Länder.</w:t>
            </w:r>
          </w:p>
          <w:p w14:paraId="7FE1BD4E" w14:textId="77777777" w:rsidR="00696584" w:rsidRDefault="002C4F63">
            <w:pPr>
              <w:pStyle w:val="P68B1DB1-TableParagraph13"/>
              <w:numPr>
                <w:ilvl w:val="0"/>
                <w:numId w:val="153"/>
              </w:numPr>
              <w:spacing w:before="108"/>
              <w:jc w:val="both"/>
            </w:pPr>
            <w:r>
              <w:t>Derivate (Vermögenswerte): Tabelle 20.04, Spalte 010, Zeile 020, alle Länder.</w:t>
            </w:r>
          </w:p>
          <w:p w14:paraId="7FE1BD4F" w14:textId="77777777" w:rsidR="00696584" w:rsidRDefault="002C4F63">
            <w:pPr>
              <w:pStyle w:val="P68B1DB1-TableParagraph13"/>
              <w:numPr>
                <w:ilvl w:val="0"/>
                <w:numId w:val="153"/>
              </w:numPr>
              <w:spacing w:before="108"/>
              <w:jc w:val="both"/>
            </w:pPr>
            <w:r>
              <w:t>Darlehen: Tabelle 20.04, Spalte 010, Zeile 170, alle Länder.</w:t>
            </w:r>
          </w:p>
          <w:p w14:paraId="7FE1BD50" w14:textId="77777777" w:rsidR="00696584" w:rsidRDefault="002C4F63">
            <w:pPr>
              <w:pStyle w:val="P68B1DB1-TableParagraph13"/>
              <w:numPr>
                <w:ilvl w:val="0"/>
                <w:numId w:val="153"/>
              </w:numPr>
              <w:spacing w:before="108"/>
              <w:jc w:val="both"/>
            </w:pPr>
            <w:r>
              <w:t>Derivateverbindlichkeiten: Tabelle 20.06, Spalte 010, Zeile 020, alle Länder.</w:t>
            </w:r>
          </w:p>
        </w:tc>
      </w:tr>
      <w:tr w:rsidR="00696584" w14:paraId="7FE1BD5A" w14:textId="77777777">
        <w:tc>
          <w:tcPr>
            <w:tcW w:w="1080" w:type="dxa"/>
            <w:tcBorders>
              <w:top w:val="single" w:sz="4" w:space="0" w:color="1A171C"/>
              <w:left w:val="nil"/>
              <w:bottom w:val="single" w:sz="4" w:space="0" w:color="1A171C"/>
              <w:right w:val="single" w:sz="4" w:space="0" w:color="1A171C"/>
            </w:tcBorders>
            <w:vAlign w:val="center"/>
          </w:tcPr>
          <w:p w14:paraId="7FE1BD52" w14:textId="1366692E" w:rsidR="00696584" w:rsidRDefault="002C4F63" w:rsidP="003139A0">
            <w:pPr>
              <w:pStyle w:val="P68B1DB1-TableParagraph17"/>
              <w:spacing w:before="108"/>
              <w:jc w:val="both"/>
            </w:pPr>
            <w:r>
              <w:lastRenderedPageBreak/>
              <w:t>0080 –0150</w:t>
            </w:r>
          </w:p>
        </w:tc>
        <w:tc>
          <w:tcPr>
            <w:tcW w:w="8003" w:type="dxa"/>
            <w:tcBorders>
              <w:top w:val="single" w:sz="4" w:space="0" w:color="1A171C"/>
              <w:left w:val="single" w:sz="4" w:space="0" w:color="1A171C"/>
              <w:bottom w:val="single" w:sz="4" w:space="0" w:color="1A171C"/>
              <w:right w:val="nil"/>
            </w:tcBorders>
            <w:vAlign w:val="center"/>
          </w:tcPr>
          <w:p w14:paraId="7FE1BD53" w14:textId="77777777" w:rsidR="00696584" w:rsidRDefault="002C4F63">
            <w:pPr>
              <w:pStyle w:val="P68B1DB1-Normal42"/>
              <w:rPr>
                <w:bCs/>
              </w:rPr>
            </w:pPr>
            <w:r>
              <w:t>Auswirkungs- und Substituierbarkeitsanalysen</w:t>
            </w:r>
          </w:p>
          <w:p w14:paraId="7FE1BD54" w14:textId="77777777" w:rsidR="00696584" w:rsidRDefault="002C4F63">
            <w:pPr>
              <w:pStyle w:val="P68B1DB1-Normal43"/>
            </w:pPr>
            <w:r>
              <w:t>Nach der Delegierten Verordnung (EU) 2016/778 umfassen die Bewertungskriterien für die Auswirkungen auf Dritte die folgenden Elemente:</w:t>
            </w:r>
          </w:p>
          <w:p w14:paraId="7FE1BD55" w14:textId="77777777" w:rsidR="00696584" w:rsidRDefault="002C4F63">
            <w:pPr>
              <w:pStyle w:val="P68B1DB1-ListParagraph38"/>
              <w:numPr>
                <w:ilvl w:val="0"/>
                <w:numId w:val="131"/>
              </w:numPr>
              <w:spacing w:line="276" w:lineRule="auto"/>
            </w:pPr>
            <w:r>
              <w:t>Art und Reichweite der Tätigkeit, globale, nationale oder regionale Reichweite, Umfang und Anzahl der Transaktionen; die Zahl der Kunden und Gegenparteien; die Anzahl der Kunden, für die die Institution der einzige oder der wichtigste Bankpartner ist.</w:t>
            </w:r>
          </w:p>
          <w:p w14:paraId="7FE1BD56" w14:textId="77777777" w:rsidR="00696584" w:rsidRDefault="002C4F63">
            <w:pPr>
              <w:pStyle w:val="P68B1DB1-ListParagraph38"/>
              <w:numPr>
                <w:ilvl w:val="0"/>
                <w:numId w:val="131"/>
              </w:numPr>
              <w:spacing w:line="276" w:lineRule="auto"/>
            </w:pPr>
            <w:r>
              <w:t>die Bedeutung des Instituts auf lokaler, regionaler, nationaler oder europäischer Ebene, je nach betreffendem Markt. Die Bedeutung des Instituts kann auf Grundlage des Marktanteils, der bestehenden Verflechtungen, der Komplexität und der grenzüberschreitenden Tätigkeiten bewertet werden;</w:t>
            </w:r>
          </w:p>
          <w:p w14:paraId="7FE1BD57" w14:textId="77777777" w:rsidR="00696584" w:rsidRDefault="002C4F63">
            <w:pPr>
              <w:pStyle w:val="P68B1DB1-ListParagraph38"/>
              <w:numPr>
                <w:ilvl w:val="0"/>
                <w:numId w:val="131"/>
              </w:numPr>
              <w:spacing w:line="276" w:lineRule="auto"/>
            </w:pPr>
            <w:r>
              <w:t xml:space="preserve">Art der Kunden und Interessenträger, die von der Funktion betroffen sind, wie zum Beispiel Privat- und Firmenkunden, Interbankenkunden, zentrale Clearingstellen und öffentlich-rechtliche Einrichtungen; </w:t>
            </w:r>
          </w:p>
          <w:p w14:paraId="7FE1BD58" w14:textId="77777777" w:rsidR="00696584" w:rsidRDefault="002C4F63">
            <w:pPr>
              <w:pStyle w:val="P68B1DB1-ListParagraph38"/>
              <w:numPr>
                <w:ilvl w:val="0"/>
                <w:numId w:val="131"/>
              </w:numPr>
              <w:spacing w:line="276" w:lineRule="auto"/>
            </w:pPr>
            <w:r>
              <w:t>die Folgen eines möglichen Ausfalls der Funktion für Märkte, Infrastrukturen, Kunden und öffentliche Dienste. Die Bewertung kann insbesondere die Auswirkungen auf die Liquidität der betreffenden Märkte, die Auswirkungen und das Ausmaß von Störungen des Kundengeschäfts und den kurzfristigen Liquiditätsbedarf umfassen; die Wahrnehmung für Gegenparteien, Kunden und die Öffentlichkeit; Kapazität und Schnelligkeit der Kundenreaktion; die Relevanz für das Funktionieren anderer Märkte; die Auswirkungen auf die Liquidität, die Geschäfte und die Struktur eines anderen Marktes; die Auswirkungen auf andere Gegenparteien im Zusammenhang mit den Hauptkunden und die Wechselbeziehung zwischen der Funktion und anderen Dienstleistungen.</w:t>
            </w:r>
          </w:p>
          <w:p w14:paraId="7FE1BD59" w14:textId="77777777" w:rsidR="00696584" w:rsidRDefault="00696584">
            <w:pPr>
              <w:rPr>
                <w:rFonts w:ascii="Times New Roman" w:eastAsiaTheme="minorHAnsi" w:hAnsi="Times New Roman" w:cs="Times New Roman"/>
                <w:color w:val="000000" w:themeColor="text1"/>
                <w:sz w:val="20"/>
                <w:szCs w:val="20"/>
              </w:rPr>
            </w:pPr>
          </w:p>
        </w:tc>
      </w:tr>
      <w:tr w:rsidR="00696584" w14:paraId="7FE1BD5E" w14:textId="77777777">
        <w:tc>
          <w:tcPr>
            <w:tcW w:w="1080" w:type="dxa"/>
            <w:tcBorders>
              <w:top w:val="single" w:sz="4" w:space="0" w:color="1A171C"/>
              <w:left w:val="nil"/>
              <w:bottom w:val="single" w:sz="4" w:space="0" w:color="1A171C"/>
              <w:right w:val="single" w:sz="4" w:space="0" w:color="1A171C"/>
            </w:tcBorders>
            <w:vAlign w:val="center"/>
          </w:tcPr>
          <w:p w14:paraId="7FE1BD5B" w14:textId="77777777" w:rsidR="00696584" w:rsidRDefault="002C4F63">
            <w:pPr>
              <w:pStyle w:val="P68B1DB1-TableParagraph17"/>
              <w:spacing w:before="108"/>
              <w:ind w:left="85"/>
              <w:jc w:val="both"/>
            </w:pPr>
            <w:r>
              <w:t>0080 – 0100</w:t>
            </w:r>
          </w:p>
        </w:tc>
        <w:tc>
          <w:tcPr>
            <w:tcW w:w="8003" w:type="dxa"/>
            <w:tcBorders>
              <w:top w:val="single" w:sz="4" w:space="0" w:color="1A171C"/>
              <w:left w:val="single" w:sz="4" w:space="0" w:color="1A171C"/>
              <w:bottom w:val="single" w:sz="4" w:space="0" w:color="1A171C"/>
              <w:right w:val="nil"/>
            </w:tcBorders>
            <w:vAlign w:val="center"/>
          </w:tcPr>
          <w:p w14:paraId="7FE1BD5C" w14:textId="77777777" w:rsidR="00696584" w:rsidRDefault="002C4F63">
            <w:pPr>
              <w:pStyle w:val="P68B1DB1-Normal42"/>
              <w:rPr>
                <w:bCs/>
              </w:rPr>
            </w:pPr>
            <w:r>
              <w:t xml:space="preserve">Art und Reichweite </w:t>
            </w:r>
          </w:p>
          <w:p w14:paraId="7FE1BD5D" w14:textId="77777777" w:rsidR="00696584" w:rsidRDefault="002C4F63">
            <w:pPr>
              <w:pStyle w:val="P68B1DB1-Normal43"/>
            </w:pPr>
            <w:r>
              <w:t>Die globale, nationale oder regionale Reichweite, das Volumen und die Anzahl der Transaktionen; die Zahl der Kunden und Gegenparteien; die Anzahl der Kunden, für die das Unternehmen der einzige oder der wichtigste Bankpartner ist.</w:t>
            </w:r>
          </w:p>
        </w:tc>
      </w:tr>
      <w:tr w:rsidR="00696584" w14:paraId="7FE1BD65" w14:textId="77777777">
        <w:tc>
          <w:tcPr>
            <w:tcW w:w="1080" w:type="dxa"/>
            <w:tcBorders>
              <w:top w:val="single" w:sz="4" w:space="0" w:color="1A171C"/>
              <w:left w:val="nil"/>
              <w:bottom w:val="single" w:sz="4" w:space="0" w:color="1A171C"/>
              <w:right w:val="single" w:sz="4" w:space="0" w:color="1A171C"/>
            </w:tcBorders>
            <w:vAlign w:val="center"/>
          </w:tcPr>
          <w:p w14:paraId="7FE1BD5F" w14:textId="77777777" w:rsidR="00696584" w:rsidRDefault="002C4F63">
            <w:pPr>
              <w:pStyle w:val="P68B1DB1-TableParagraph17"/>
              <w:spacing w:before="108"/>
              <w:ind w:left="85"/>
              <w:jc w:val="both"/>
            </w:pPr>
            <w:r>
              <w:t>0080</w:t>
            </w:r>
          </w:p>
        </w:tc>
        <w:tc>
          <w:tcPr>
            <w:tcW w:w="8003" w:type="dxa"/>
            <w:tcBorders>
              <w:top w:val="single" w:sz="4" w:space="0" w:color="1A171C"/>
              <w:left w:val="single" w:sz="4" w:space="0" w:color="1A171C"/>
              <w:bottom w:val="single" w:sz="4" w:space="0" w:color="1A171C"/>
              <w:right w:val="nil"/>
            </w:tcBorders>
            <w:vAlign w:val="center"/>
          </w:tcPr>
          <w:p w14:paraId="7FE1BD60" w14:textId="77777777" w:rsidR="00696584" w:rsidRDefault="002C4F63">
            <w:pPr>
              <w:pStyle w:val="P68B1DB1-Normal42"/>
              <w:rPr>
                <w:bCs/>
              </w:rPr>
            </w:pPr>
            <w:r>
              <w:t>Größenindikator 1</w:t>
            </w:r>
          </w:p>
          <w:p w14:paraId="611DAB08" w14:textId="77777777" w:rsidR="00696584" w:rsidRDefault="002C4F63">
            <w:pPr>
              <w:pStyle w:val="P68B1DB1-Normal31"/>
              <w:spacing w:line="276" w:lineRule="auto"/>
              <w:jc w:val="both"/>
            </w:pPr>
            <w:r>
              <w:t xml:space="preserve">Es ist eine Bewertung der Bedeutung der Bank bezüglich dieser Tätigkeiten vorzunehmen. Diese Bewertung wird qualitativ als „hoch“, „mittelhoch“, „mittel-niedrig“ oder „niedrig“ ausgedrückt. Angabe „hoch“, wenn die Größe der Funktion groß ist, „mittel-hoch“, wenn sie mittel ist, „mittel-niedrig“, wenn sie klein ist, und „niedrig“, wenn sie vernachlässigbar ist. Als Maßstab für diese qualitative Bewertung kann auf makroökonomische Variablen abgestellt werden, zum Beispiel BIP, Bevölkerung (für Einlagen, Kreditvergabe, Zahlungs-, Bargeld-, Abrechnungs-, Clearing- und Verwahrungsdienste) oder Marktgröße (für Kapitalmärkte und großvolumige Finanzierungen). </w:t>
            </w:r>
          </w:p>
          <w:p w14:paraId="7FE1BD61" w14:textId="0497CCAC" w:rsidR="00696584" w:rsidRDefault="002C4F63">
            <w:pPr>
              <w:pStyle w:val="P68B1DB1-Normal43"/>
            </w:pPr>
            <w:r>
              <w:t xml:space="preserve"> </w:t>
            </w:r>
          </w:p>
          <w:p w14:paraId="7FE1BD62" w14:textId="77E6D2B3" w:rsidR="00696584" w:rsidRDefault="002C4F63">
            <w:pPr>
              <w:pStyle w:val="P68B1DB1-ListParagraph32"/>
              <w:numPr>
                <w:ilvl w:val="0"/>
                <w:numId w:val="125"/>
              </w:numPr>
              <w:spacing w:line="276" w:lineRule="auto"/>
            </w:pPr>
            <w:r>
              <w:t xml:space="preserve">Sachverständige Beurteilung der Höhe des </w:t>
            </w:r>
            <w:r>
              <w:rPr>
                <w:b/>
              </w:rPr>
              <w:t>Bruttobuchwerts</w:t>
            </w:r>
            <w:r>
              <w:t xml:space="preserve"> des meldenden Instituts (c0030) aus </w:t>
            </w:r>
            <w:r>
              <w:rPr>
                <w:b/>
              </w:rPr>
              <w:t>globaler</w:t>
            </w:r>
            <w:r>
              <w:t xml:space="preserve"> Perspektive [</w:t>
            </w:r>
            <w:r w:rsidRPr="000D7090">
              <w:rPr>
                <w:i/>
              </w:rPr>
              <w:t>eine Ebene</w:t>
            </w:r>
            <w:r w:rsidR="006F7CBC">
              <w:t xml:space="preserve"> </w:t>
            </w:r>
            <w:r>
              <w:rPr>
                <w:i/>
              </w:rPr>
              <w:t xml:space="preserve">höher als der maßgebliche Markt. Wenn </w:t>
            </w:r>
            <w:r>
              <w:rPr>
                <w:i/>
              </w:rPr>
              <w:lastRenderedPageBreak/>
              <w:t>der maßgebliche Markt global ist, so ist Größe 1 gegenstandslos und muss nicht gemeldet werden]</w:t>
            </w:r>
            <w:r>
              <w:t>:</w:t>
            </w:r>
          </w:p>
          <w:p w14:paraId="7FE1BD63" w14:textId="77777777" w:rsidR="00696584" w:rsidRDefault="002C4F63">
            <w:pPr>
              <w:pStyle w:val="P68B1DB1-ListParagraph32"/>
              <w:numPr>
                <w:ilvl w:val="1"/>
                <w:numId w:val="125"/>
              </w:numPr>
              <w:spacing w:line="276" w:lineRule="auto"/>
            </w:pPr>
            <w:r>
              <w:t>Für wie hoch halten Sie, aus globaler Perspektive, den Bruttobuchwert des meldenden Unternehmens?</w:t>
            </w:r>
          </w:p>
          <w:p w14:paraId="7FE1BD64" w14:textId="77777777" w:rsidR="00696584" w:rsidRDefault="00696584">
            <w:pPr>
              <w:rPr>
                <w:rFonts w:ascii="Times New Roman" w:eastAsiaTheme="minorHAnsi" w:hAnsi="Times New Roman" w:cs="Times New Roman"/>
                <w:color w:val="000000" w:themeColor="text1"/>
                <w:sz w:val="20"/>
                <w:szCs w:val="20"/>
              </w:rPr>
            </w:pPr>
          </w:p>
        </w:tc>
      </w:tr>
      <w:tr w:rsidR="00696584" w14:paraId="7FE1BD6C" w14:textId="77777777">
        <w:tc>
          <w:tcPr>
            <w:tcW w:w="1080" w:type="dxa"/>
            <w:tcBorders>
              <w:top w:val="single" w:sz="4" w:space="0" w:color="1A171C"/>
              <w:left w:val="nil"/>
              <w:bottom w:val="single" w:sz="4" w:space="0" w:color="1A171C"/>
              <w:right w:val="single" w:sz="4" w:space="0" w:color="1A171C"/>
            </w:tcBorders>
            <w:vAlign w:val="center"/>
          </w:tcPr>
          <w:p w14:paraId="7FE1BD66" w14:textId="77777777" w:rsidR="00696584" w:rsidRDefault="002C4F63">
            <w:pPr>
              <w:pStyle w:val="P68B1DB1-TableParagraph17"/>
              <w:spacing w:before="108"/>
              <w:ind w:left="85"/>
              <w:jc w:val="both"/>
            </w:pPr>
            <w:r>
              <w:lastRenderedPageBreak/>
              <w:t>0090</w:t>
            </w:r>
          </w:p>
        </w:tc>
        <w:tc>
          <w:tcPr>
            <w:tcW w:w="8003" w:type="dxa"/>
            <w:tcBorders>
              <w:top w:val="single" w:sz="4" w:space="0" w:color="1A171C"/>
              <w:left w:val="single" w:sz="4" w:space="0" w:color="1A171C"/>
              <w:bottom w:val="single" w:sz="4" w:space="0" w:color="1A171C"/>
              <w:right w:val="nil"/>
            </w:tcBorders>
            <w:vAlign w:val="center"/>
          </w:tcPr>
          <w:p w14:paraId="7FE1BD67" w14:textId="77777777" w:rsidR="00696584" w:rsidRDefault="002C4F63">
            <w:pPr>
              <w:pStyle w:val="P68B1DB1-Normal42"/>
              <w:rPr>
                <w:bCs/>
              </w:rPr>
            </w:pPr>
            <w:r>
              <w:t>Größenindikator 2</w:t>
            </w:r>
          </w:p>
          <w:p w14:paraId="75C87AE7" w14:textId="77777777" w:rsidR="00696584" w:rsidRDefault="002C4F63">
            <w:pPr>
              <w:pStyle w:val="P68B1DB1-Normal31"/>
              <w:spacing w:line="276" w:lineRule="auto"/>
              <w:jc w:val="both"/>
            </w:pPr>
            <w:r>
              <w:t xml:space="preserve">Es ist eine Bewertung der Bedeutung der Bank bezüglich dieser Tätigkeiten vorzunehmen. Diese Bewertung wird qualitativ als „hoch“, „mittelhoch“, „mittel-niedrig“ oder „niedrig“ ausgedrückt. Angabe „hoch“, wenn die Größe der Funktion groß ist, „mittel-hoch“, wenn sie mittel ist, „mittel-niedrig“, wenn sie klein ist, und „niedrig“, wenn sie vernachlässigbar ist. Als Maßstab für diese qualitative Bewertung kann auf makroökonomische Variablen abgestellt werden, zum Beispiel BIP, Bevölkerung (für Einlagen, Kreditvergabe, Zahlungs-, Bargeld-, Abrechnungs-, Clearing- und Verwahrungsdienste) oder Marktgröße (für Kapitalmärkte und großvolumige Finanzierungen). </w:t>
            </w:r>
          </w:p>
          <w:p w14:paraId="7FE1BD68" w14:textId="10683EF9" w:rsidR="00696584" w:rsidRDefault="002C4F63">
            <w:pPr>
              <w:pStyle w:val="P68B1DB1-Normal43"/>
            </w:pPr>
            <w:r>
              <w:t xml:space="preserve"> </w:t>
            </w:r>
          </w:p>
          <w:p w14:paraId="7FE1BD69" w14:textId="77777777" w:rsidR="00696584" w:rsidRDefault="002C4F63">
            <w:pPr>
              <w:pStyle w:val="P68B1DB1-ListParagraph32"/>
              <w:numPr>
                <w:ilvl w:val="0"/>
                <w:numId w:val="119"/>
              </w:numPr>
              <w:spacing w:line="276" w:lineRule="auto"/>
            </w:pPr>
            <w:r>
              <w:t xml:space="preserve">Sachverständige Beurteilung der </w:t>
            </w:r>
            <w:r>
              <w:rPr>
                <w:b/>
              </w:rPr>
              <w:t>Zahl</w:t>
            </w:r>
            <w:r>
              <w:t xml:space="preserve"> der Gegenparteien oder Transaktionen (c0040) aus </w:t>
            </w:r>
            <w:r>
              <w:rPr>
                <w:b/>
              </w:rPr>
              <w:t>nationaler</w:t>
            </w:r>
            <w:r>
              <w:t xml:space="preserve"> Perspektive [</w:t>
            </w:r>
            <w:r>
              <w:rPr>
                <w:i/>
              </w:rPr>
              <w:t>auf Ebene des maßgeblichen Markts</w:t>
            </w:r>
            <w:r>
              <w:t>]:</w:t>
            </w:r>
          </w:p>
          <w:p w14:paraId="7FE1BD6A" w14:textId="77777777" w:rsidR="00696584" w:rsidRDefault="002C4F63">
            <w:pPr>
              <w:pStyle w:val="P68B1DB1-ListParagraph32"/>
              <w:numPr>
                <w:ilvl w:val="1"/>
                <w:numId w:val="119"/>
              </w:numPr>
              <w:spacing w:line="276" w:lineRule="auto"/>
            </w:pPr>
            <w:r>
              <w:t>Auf wie hoch ist die geschätzte Zahl der Geschäftspartner Ihres Instituts?</w:t>
            </w:r>
          </w:p>
          <w:p w14:paraId="7FE1BD6B" w14:textId="77777777" w:rsidR="00696584" w:rsidRDefault="00696584">
            <w:pPr>
              <w:rPr>
                <w:rFonts w:ascii="Times New Roman" w:eastAsiaTheme="minorHAnsi" w:hAnsi="Times New Roman" w:cs="Times New Roman"/>
                <w:color w:val="000000" w:themeColor="text1"/>
                <w:sz w:val="20"/>
                <w:szCs w:val="20"/>
              </w:rPr>
            </w:pPr>
          </w:p>
        </w:tc>
      </w:tr>
      <w:tr w:rsidR="00696584" w14:paraId="7FE1BD73" w14:textId="77777777">
        <w:tc>
          <w:tcPr>
            <w:tcW w:w="1080" w:type="dxa"/>
            <w:tcBorders>
              <w:top w:val="single" w:sz="4" w:space="0" w:color="1A171C"/>
              <w:left w:val="nil"/>
              <w:bottom w:val="single" w:sz="4" w:space="0" w:color="1A171C"/>
              <w:right w:val="single" w:sz="4" w:space="0" w:color="1A171C"/>
            </w:tcBorders>
            <w:vAlign w:val="center"/>
          </w:tcPr>
          <w:p w14:paraId="7FE1BD6D" w14:textId="77777777" w:rsidR="00696584" w:rsidRDefault="002C4F63">
            <w:pPr>
              <w:pStyle w:val="P68B1DB1-TableParagraph17"/>
              <w:spacing w:before="108"/>
              <w:ind w:left="85"/>
              <w:jc w:val="both"/>
            </w:pPr>
            <w:r>
              <w:t>0100</w:t>
            </w:r>
          </w:p>
        </w:tc>
        <w:tc>
          <w:tcPr>
            <w:tcW w:w="8003" w:type="dxa"/>
            <w:tcBorders>
              <w:top w:val="single" w:sz="4" w:space="0" w:color="1A171C"/>
              <w:left w:val="single" w:sz="4" w:space="0" w:color="1A171C"/>
              <w:bottom w:val="single" w:sz="4" w:space="0" w:color="1A171C"/>
              <w:right w:val="nil"/>
            </w:tcBorders>
            <w:vAlign w:val="center"/>
          </w:tcPr>
          <w:p w14:paraId="7FE1BD6E" w14:textId="77777777" w:rsidR="00696584" w:rsidRDefault="002C4F63">
            <w:pPr>
              <w:pStyle w:val="P68B1DB1-Normal42"/>
              <w:rPr>
                <w:bCs/>
              </w:rPr>
            </w:pPr>
            <w:r>
              <w:t>Indikator für den Auslandsbezug</w:t>
            </w:r>
          </w:p>
          <w:p w14:paraId="7FE1BD6F" w14:textId="77777777" w:rsidR="00696584" w:rsidRDefault="002C4F63">
            <w:pPr>
              <w:pStyle w:val="P68B1DB1-Normal43"/>
            </w:pPr>
            <w:r>
              <w:t>Bitte geben Sie für die verschiedenen wirtschaftlichen Funktionen die relative Bedeutung grenzüberschreitender Aktivitäten an.</w:t>
            </w:r>
          </w:p>
          <w:p w14:paraId="7FE1BD70" w14:textId="77777777" w:rsidR="00696584" w:rsidRDefault="002C4F63">
            <w:pPr>
              <w:pStyle w:val="P68B1DB1-Normal43"/>
            </w:pPr>
            <w:r>
              <w:t xml:space="preserve">Diese Bewertung ist nicht bei Meldungen vorzunehmen, für die der maßgebliche Markt als regional betrachtet wird. </w:t>
            </w:r>
          </w:p>
          <w:p w14:paraId="482F1D03" w14:textId="5ADDCA4C" w:rsidR="00696584" w:rsidRDefault="002C4F63">
            <w:pPr>
              <w:pStyle w:val="P68B1DB1-ListParagraph32"/>
              <w:numPr>
                <w:ilvl w:val="0"/>
                <w:numId w:val="118"/>
              </w:numPr>
              <w:rPr>
                <w:i/>
                <w:iCs/>
              </w:rPr>
            </w:pPr>
            <w:r>
              <w:t xml:space="preserve">Anteil der grenzüberschreitenden Tätigkeit des meldenden Unternehmens in Prozent des Gesamtwerts, ausgedrückt als Bruttobuchwert. </w:t>
            </w:r>
            <w:r w:rsidR="00D913E7">
              <w:t>Meldung</w:t>
            </w:r>
            <w:r>
              <w:t>:</w:t>
            </w:r>
          </w:p>
          <w:p w14:paraId="7E6697A4" w14:textId="09A6B57B" w:rsidR="00696584" w:rsidRDefault="002C4F63">
            <w:pPr>
              <w:pStyle w:val="P68B1DB1-ListParagraph32"/>
              <w:numPr>
                <w:ilvl w:val="1"/>
                <w:numId w:val="118"/>
              </w:numPr>
              <w:rPr>
                <w:i/>
                <w:iCs/>
              </w:rPr>
            </w:pPr>
            <w:r>
              <w:t xml:space="preserve"> </w:t>
            </w:r>
            <w:r w:rsidR="009275AB">
              <w:t>&lt;5</w:t>
            </w:r>
            <w:r>
              <w:t xml:space="preserve"> %; </w:t>
            </w:r>
          </w:p>
          <w:p w14:paraId="30B91FAF" w14:textId="5CD6C33D" w:rsidR="00696584" w:rsidRDefault="002C4F63">
            <w:pPr>
              <w:pStyle w:val="P68B1DB1-ListParagraph32"/>
              <w:numPr>
                <w:ilvl w:val="1"/>
                <w:numId w:val="118"/>
              </w:numPr>
              <w:rPr>
                <w:i/>
                <w:iCs/>
              </w:rPr>
            </w:pPr>
            <w:r>
              <w:t xml:space="preserve">5-15 %; </w:t>
            </w:r>
          </w:p>
          <w:p w14:paraId="50353685" w14:textId="2995AD20" w:rsidR="00696584" w:rsidRDefault="002C4F63">
            <w:pPr>
              <w:pStyle w:val="P68B1DB1-ListParagraph32"/>
              <w:numPr>
                <w:ilvl w:val="1"/>
                <w:numId w:val="118"/>
              </w:numPr>
              <w:rPr>
                <w:i/>
                <w:iCs/>
              </w:rPr>
            </w:pPr>
            <w:r>
              <w:t xml:space="preserve">15-25 %, </w:t>
            </w:r>
          </w:p>
          <w:p w14:paraId="7FE1BD71" w14:textId="6E1F5AA5" w:rsidR="00696584" w:rsidRDefault="002C4F63">
            <w:pPr>
              <w:pStyle w:val="P68B1DB1-ListParagraph32"/>
              <w:numPr>
                <w:ilvl w:val="1"/>
                <w:numId w:val="118"/>
              </w:numPr>
              <w:rPr>
                <w:i/>
                <w:iCs/>
              </w:rPr>
            </w:pPr>
            <w:r>
              <w:t>&gt; 25 %.</w:t>
            </w:r>
          </w:p>
          <w:p w14:paraId="7FE1BD72" w14:textId="77777777" w:rsidR="00696584" w:rsidRDefault="00696584">
            <w:pPr>
              <w:rPr>
                <w:rFonts w:ascii="Times New Roman" w:eastAsiaTheme="minorHAnsi" w:hAnsi="Times New Roman" w:cs="Times New Roman"/>
                <w:color w:val="000000" w:themeColor="text1"/>
                <w:sz w:val="20"/>
                <w:szCs w:val="20"/>
              </w:rPr>
            </w:pPr>
          </w:p>
        </w:tc>
      </w:tr>
      <w:tr w:rsidR="00696584" w14:paraId="7FE1BD82" w14:textId="77777777">
        <w:tc>
          <w:tcPr>
            <w:tcW w:w="1080" w:type="dxa"/>
            <w:tcBorders>
              <w:top w:val="single" w:sz="4" w:space="0" w:color="1A171C"/>
              <w:left w:val="nil"/>
              <w:bottom w:val="single" w:sz="4" w:space="0" w:color="1A171C"/>
              <w:right w:val="single" w:sz="4" w:space="0" w:color="1A171C"/>
            </w:tcBorders>
            <w:vAlign w:val="center"/>
          </w:tcPr>
          <w:p w14:paraId="7FE1BD74" w14:textId="77777777" w:rsidR="00696584" w:rsidRDefault="002C4F63">
            <w:pPr>
              <w:pStyle w:val="P68B1DB1-TableParagraph17"/>
              <w:spacing w:before="108"/>
              <w:ind w:left="85"/>
              <w:jc w:val="both"/>
            </w:pPr>
            <w:r>
              <w:t>0110</w:t>
            </w:r>
          </w:p>
        </w:tc>
        <w:tc>
          <w:tcPr>
            <w:tcW w:w="8003" w:type="dxa"/>
            <w:tcBorders>
              <w:top w:val="single" w:sz="4" w:space="0" w:color="1A171C"/>
              <w:left w:val="single" w:sz="4" w:space="0" w:color="1A171C"/>
              <w:bottom w:val="single" w:sz="4" w:space="0" w:color="1A171C"/>
              <w:right w:val="nil"/>
            </w:tcBorders>
            <w:vAlign w:val="center"/>
          </w:tcPr>
          <w:p w14:paraId="7FE1BD75" w14:textId="77777777" w:rsidR="00696584" w:rsidRDefault="002C4F63">
            <w:pPr>
              <w:pStyle w:val="P68B1DB1-Normal42"/>
              <w:rPr>
                <w:bCs/>
              </w:rPr>
            </w:pPr>
            <w:r>
              <w:t xml:space="preserve">Relevanz — </w:t>
            </w:r>
          </w:p>
          <w:p w14:paraId="7FE1BD76" w14:textId="77777777" w:rsidR="00696584" w:rsidRDefault="002C4F63">
            <w:pPr>
              <w:pStyle w:val="P68B1DB1-Normal43"/>
            </w:pPr>
            <w:r>
              <w:t>Auf lokaler, regionaler, nationaler oder europäischer Ebene, je nach betreffendem Markt. Die Bedeutung des Instituts kann auf Grundlage des Marktanteils, der bestehenden Verflechtungen, der Komplexität und der grenzüberschreitenden Tätigkeiten bewertet werden;</w:t>
            </w:r>
          </w:p>
          <w:p w14:paraId="7FE1BD77" w14:textId="77777777" w:rsidR="00696584" w:rsidRDefault="002C4F63">
            <w:pPr>
              <w:pStyle w:val="P68B1DB1-Normal42"/>
              <w:rPr>
                <w:bCs/>
              </w:rPr>
            </w:pPr>
            <w:r>
              <w:t>Marktanteil</w:t>
            </w:r>
          </w:p>
          <w:p w14:paraId="7FE1BD78" w14:textId="77777777" w:rsidR="00696584" w:rsidRDefault="002C4F63">
            <w:pPr>
              <w:pStyle w:val="P68B1DB1-Normal43"/>
            </w:pPr>
            <w:r>
              <w:t xml:space="preserve">Beurteilen Sie, wie bedeutend der Marktanteil des meldenden Unternehmens ist, gemessen am nationalen oder maßgeblichen Markt, wie im Meldebogen vorgegeben. Diese Bewertung wird qualitativ wie folgt ausgedrückt: </w:t>
            </w:r>
          </w:p>
          <w:p w14:paraId="7FE1BD79" w14:textId="43E56AB8" w:rsidR="00696584" w:rsidRDefault="002C4F63">
            <w:pPr>
              <w:pStyle w:val="P68B1DB1-ListParagraph38"/>
              <w:numPr>
                <w:ilvl w:val="0"/>
                <w:numId w:val="276"/>
              </w:numPr>
              <w:spacing w:line="276" w:lineRule="auto"/>
              <w:jc w:val="both"/>
            </w:pPr>
            <w:r>
              <w:t>Hoch, wenn der Marktanteil groß ist</w:t>
            </w:r>
          </w:p>
          <w:p w14:paraId="7FE1BD7A" w14:textId="533BFB92" w:rsidR="00696584" w:rsidRDefault="002C4F63">
            <w:pPr>
              <w:pStyle w:val="P68B1DB1-ListParagraph38"/>
              <w:numPr>
                <w:ilvl w:val="0"/>
                <w:numId w:val="276"/>
              </w:numPr>
              <w:spacing w:line="276" w:lineRule="auto"/>
              <w:jc w:val="both"/>
            </w:pPr>
            <w:r>
              <w:t>Mittel-hoch, wenn der Marktanteil mittel ist</w:t>
            </w:r>
          </w:p>
          <w:p w14:paraId="7FE1BD7B" w14:textId="3F2EEB01" w:rsidR="00696584" w:rsidRDefault="002C4F63">
            <w:pPr>
              <w:pStyle w:val="P68B1DB1-ListParagraph38"/>
              <w:numPr>
                <w:ilvl w:val="0"/>
                <w:numId w:val="276"/>
              </w:numPr>
              <w:spacing w:line="276" w:lineRule="auto"/>
              <w:jc w:val="both"/>
            </w:pPr>
            <w:r>
              <w:t xml:space="preserve">Mittel-niedrig, wenn der Marktanteil gering ist oder </w:t>
            </w:r>
          </w:p>
          <w:p w14:paraId="7FE1BD7C" w14:textId="05FA4C79" w:rsidR="00696584" w:rsidRDefault="002C4F63">
            <w:pPr>
              <w:pStyle w:val="P68B1DB1-ListParagraph38"/>
              <w:numPr>
                <w:ilvl w:val="0"/>
                <w:numId w:val="276"/>
              </w:numPr>
              <w:spacing w:line="276" w:lineRule="auto"/>
              <w:jc w:val="both"/>
            </w:pPr>
            <w:r>
              <w:t xml:space="preserve">Gering, wenn der Marktanteil vernachlässigbar ist. </w:t>
            </w:r>
          </w:p>
          <w:p w14:paraId="7FE1BD7D" w14:textId="64C6B359" w:rsidR="00696584" w:rsidRDefault="002C4F63">
            <w:pPr>
              <w:pStyle w:val="P68B1DB1-Normal43"/>
            </w:pPr>
            <w:r>
              <w:t>Bei dieser Beurteilung sind die Marktstruktur des Landes des meldenden Unternehmens (oder eines anderen maßgeblichen Marktes) sowie die in Teil 2:</w:t>
            </w:r>
            <w:r w:rsidR="006F7CBC">
              <w:t xml:space="preserve"> </w:t>
            </w:r>
            <w:r>
              <w:t xml:space="preserve">Quantitative Daten gemeldeten Marktanteile zu berücksichtigen: </w:t>
            </w:r>
          </w:p>
          <w:p w14:paraId="7FE1BD7E" w14:textId="77777777" w:rsidR="00696584" w:rsidRDefault="002C4F63">
            <w:pPr>
              <w:pStyle w:val="P68B1DB1-Normal43"/>
            </w:pPr>
            <w:r>
              <w:t>2.Quantitative Daten:</w:t>
            </w:r>
          </w:p>
          <w:p w14:paraId="7FE1BD7F" w14:textId="77777777" w:rsidR="00696584" w:rsidRDefault="002C4F63">
            <w:pPr>
              <w:pStyle w:val="P68B1DB1-ListParagraph32"/>
              <w:numPr>
                <w:ilvl w:val="0"/>
                <w:numId w:val="116"/>
              </w:numPr>
              <w:jc w:val="both"/>
              <w:rPr>
                <w:i/>
                <w:iCs/>
              </w:rPr>
            </w:pPr>
            <w:r>
              <w:t xml:space="preserve">Sachverständige Beurteilung der Größe des </w:t>
            </w:r>
            <w:r>
              <w:rPr>
                <w:b/>
              </w:rPr>
              <w:t xml:space="preserve">nationalen </w:t>
            </w:r>
            <w:r>
              <w:t>Marktanteils (gemeldet in c0020, außer in Fällen, in denen sich die Meldung auf ein anderes relevantes Marktniveau bezieht, in diesem Fall wird eine Beurteilung des relevanten Marktanteils erwartet).</w:t>
            </w:r>
          </w:p>
          <w:p w14:paraId="7FE1BD80" w14:textId="77777777" w:rsidR="00696584" w:rsidRDefault="00696584">
            <w:pPr>
              <w:rPr>
                <w:rFonts w:ascii="Times New Roman" w:eastAsiaTheme="minorHAnsi" w:hAnsi="Times New Roman" w:cs="Times New Roman"/>
                <w:color w:val="000000" w:themeColor="text1"/>
                <w:sz w:val="20"/>
                <w:szCs w:val="20"/>
              </w:rPr>
            </w:pPr>
          </w:p>
          <w:p w14:paraId="7FE1BD81" w14:textId="77777777" w:rsidR="00696584" w:rsidRDefault="00696584">
            <w:pPr>
              <w:rPr>
                <w:rFonts w:ascii="Times New Roman" w:eastAsiaTheme="minorHAnsi" w:hAnsi="Times New Roman" w:cs="Times New Roman"/>
                <w:color w:val="000000" w:themeColor="text1"/>
                <w:sz w:val="20"/>
                <w:szCs w:val="20"/>
              </w:rPr>
            </w:pPr>
          </w:p>
        </w:tc>
      </w:tr>
      <w:tr w:rsidR="00696584" w14:paraId="7FE1BD8E" w14:textId="77777777">
        <w:tc>
          <w:tcPr>
            <w:tcW w:w="1080" w:type="dxa"/>
            <w:tcBorders>
              <w:top w:val="single" w:sz="4" w:space="0" w:color="1A171C"/>
              <w:left w:val="nil"/>
              <w:bottom w:val="single" w:sz="4" w:space="0" w:color="1A171C"/>
              <w:right w:val="single" w:sz="4" w:space="0" w:color="1A171C"/>
            </w:tcBorders>
            <w:vAlign w:val="center"/>
          </w:tcPr>
          <w:p w14:paraId="7FE1BD83" w14:textId="77777777" w:rsidR="00696584" w:rsidRDefault="002C4F63">
            <w:pPr>
              <w:pStyle w:val="P68B1DB1-TableParagraph17"/>
              <w:spacing w:before="108"/>
              <w:ind w:left="85"/>
              <w:jc w:val="both"/>
            </w:pPr>
            <w:r>
              <w:lastRenderedPageBreak/>
              <w:t>0120</w:t>
            </w:r>
          </w:p>
        </w:tc>
        <w:tc>
          <w:tcPr>
            <w:tcW w:w="8003" w:type="dxa"/>
            <w:tcBorders>
              <w:top w:val="single" w:sz="4" w:space="0" w:color="1A171C"/>
              <w:left w:val="single" w:sz="4" w:space="0" w:color="1A171C"/>
              <w:bottom w:val="single" w:sz="4" w:space="0" w:color="1A171C"/>
              <w:right w:val="nil"/>
            </w:tcBorders>
            <w:vAlign w:val="center"/>
          </w:tcPr>
          <w:p w14:paraId="7FE1BD84" w14:textId="77777777" w:rsidR="00696584" w:rsidRDefault="002C4F63">
            <w:pPr>
              <w:pStyle w:val="P68B1DB1-Normal42"/>
              <w:rPr>
                <w:bCs/>
              </w:rPr>
            </w:pPr>
            <w:r>
              <w:t>Marktstruktur – Marktkonzentration</w:t>
            </w:r>
          </w:p>
          <w:p w14:paraId="7FE1BD85" w14:textId="77777777" w:rsidR="00696584" w:rsidRDefault="002C4F63">
            <w:pPr>
              <w:pStyle w:val="P68B1DB1-Normal43"/>
            </w:pPr>
            <w:r>
              <w:t xml:space="preserve">Marktkonzentration, gemessen an der Zahl der derzeit tätigen Wettbewerber </w:t>
            </w:r>
          </w:p>
          <w:p w14:paraId="7FE1BD86" w14:textId="77777777" w:rsidR="00696584" w:rsidRDefault="002C4F63">
            <w:pPr>
              <w:pStyle w:val="P68B1DB1-Normal43"/>
            </w:pPr>
            <w:r>
              <w:t xml:space="preserve">ähnliche wirtschaftliche Funktionen und/oder ähnliche Dienstleistungen zu gleichen Bedingungen anbieten (d. h. </w:t>
            </w:r>
          </w:p>
          <w:p w14:paraId="7FE1BD87" w14:textId="77777777" w:rsidR="00696584" w:rsidRDefault="002C4F63">
            <w:pPr>
              <w:pStyle w:val="P68B1DB1-Normal43"/>
            </w:pPr>
            <w:r>
              <w:t xml:space="preserve">vergleichbarer Umfang und Qualität sowie zu vergleichbaren Kosten) </w:t>
            </w:r>
          </w:p>
          <w:p w14:paraId="7FE1BD88" w14:textId="5B8CEA6D" w:rsidR="00696584" w:rsidRDefault="002C4F63">
            <w:pPr>
              <w:pStyle w:val="P68B1DB1-Normal43"/>
            </w:pPr>
            <w:r>
              <w:t xml:space="preserve">(Teil) der Kunden und/oder Geschäfte des </w:t>
            </w:r>
            <w:r w:rsidR="006F02B1">
              <w:t xml:space="preserve">meldenden </w:t>
            </w:r>
            <w:r>
              <w:t xml:space="preserve">Unternehmens innerhalb eines angemessenen Zeitrahmens. </w:t>
            </w:r>
          </w:p>
          <w:p w14:paraId="7FE1BD89" w14:textId="77777777" w:rsidR="00696584" w:rsidRDefault="002C4F63">
            <w:pPr>
              <w:pStyle w:val="P68B1DB1-Normal43"/>
            </w:pPr>
            <w:r>
              <w:t xml:space="preserve">Dies ist in Meldekategorien anzugeben, welche für die einzelnen Unterfunktionen gleich sind. </w:t>
            </w:r>
          </w:p>
          <w:p w14:paraId="5A8DDF15" w14:textId="77777777" w:rsidR="00696584" w:rsidRDefault="002C4F63">
            <w:pPr>
              <w:pStyle w:val="P68B1DB1-ListParagraph32"/>
              <w:numPr>
                <w:ilvl w:val="0"/>
                <w:numId w:val="277"/>
              </w:numPr>
              <w:jc w:val="both"/>
            </w:pPr>
            <w:r>
              <w:t xml:space="preserve">&gt; 20 Wettbewerber; </w:t>
            </w:r>
          </w:p>
          <w:p w14:paraId="0FB3FECD" w14:textId="77777777" w:rsidR="00696584" w:rsidRDefault="002C4F63">
            <w:pPr>
              <w:pStyle w:val="P68B1DB1-ListParagraph32"/>
              <w:numPr>
                <w:ilvl w:val="0"/>
                <w:numId w:val="277"/>
              </w:numPr>
              <w:jc w:val="both"/>
            </w:pPr>
            <w:r>
              <w:t xml:space="preserve">11-20 Wettbewerber; </w:t>
            </w:r>
          </w:p>
          <w:p w14:paraId="0742AD9B" w14:textId="77777777" w:rsidR="00696584" w:rsidRDefault="002C4F63">
            <w:pPr>
              <w:pStyle w:val="P68B1DB1-ListParagraph32"/>
              <w:numPr>
                <w:ilvl w:val="0"/>
                <w:numId w:val="277"/>
              </w:numPr>
              <w:jc w:val="both"/>
            </w:pPr>
            <w:r>
              <w:t xml:space="preserve">5-10 Wettbewerber, </w:t>
            </w:r>
          </w:p>
          <w:p w14:paraId="240AD074" w14:textId="480A4106" w:rsidR="00696584" w:rsidRDefault="009275AB">
            <w:pPr>
              <w:pStyle w:val="P68B1DB1-ListParagraph32"/>
              <w:numPr>
                <w:ilvl w:val="0"/>
                <w:numId w:val="277"/>
              </w:numPr>
              <w:jc w:val="both"/>
              <w:rPr>
                <w:b/>
                <w:bCs/>
                <w:color w:val="000000" w:themeColor="text1"/>
              </w:rPr>
            </w:pPr>
            <w:r>
              <w:t>&lt;5</w:t>
            </w:r>
            <w:r w:rsidR="002C4F63">
              <w:t xml:space="preserve"> Wettbewerber</w:t>
            </w:r>
          </w:p>
          <w:p w14:paraId="7FE1BD8D" w14:textId="2F17E01A" w:rsidR="00696584" w:rsidRDefault="00696584">
            <w:pPr>
              <w:jc w:val="both"/>
              <w:rPr>
                <w:rFonts w:ascii="Times New Roman" w:hAnsi="Times New Roman"/>
                <w:color w:val="000000" w:themeColor="text1"/>
                <w:sz w:val="20"/>
                <w:szCs w:val="20"/>
              </w:rPr>
            </w:pPr>
          </w:p>
        </w:tc>
      </w:tr>
      <w:tr w:rsidR="00696584" w14:paraId="7FE1BD9C" w14:textId="77777777">
        <w:tc>
          <w:tcPr>
            <w:tcW w:w="1080" w:type="dxa"/>
            <w:tcBorders>
              <w:top w:val="single" w:sz="4" w:space="0" w:color="1A171C"/>
              <w:left w:val="nil"/>
              <w:bottom w:val="single" w:sz="4" w:space="0" w:color="1A171C"/>
              <w:right w:val="single" w:sz="4" w:space="0" w:color="1A171C"/>
            </w:tcBorders>
            <w:vAlign w:val="center"/>
          </w:tcPr>
          <w:p w14:paraId="7FE1BD8F" w14:textId="77777777" w:rsidR="00696584" w:rsidRDefault="002C4F63">
            <w:pPr>
              <w:pStyle w:val="P68B1DB1-TableParagraph17"/>
              <w:spacing w:before="108"/>
              <w:ind w:left="85"/>
              <w:jc w:val="both"/>
            </w:pPr>
            <w:r>
              <w:t>0130</w:t>
            </w:r>
          </w:p>
        </w:tc>
        <w:tc>
          <w:tcPr>
            <w:tcW w:w="8003" w:type="dxa"/>
            <w:tcBorders>
              <w:top w:val="single" w:sz="4" w:space="0" w:color="1A171C"/>
              <w:left w:val="single" w:sz="4" w:space="0" w:color="1A171C"/>
              <w:bottom w:val="single" w:sz="4" w:space="0" w:color="1A171C"/>
              <w:right w:val="nil"/>
            </w:tcBorders>
            <w:vAlign w:val="center"/>
          </w:tcPr>
          <w:p w14:paraId="7FE1BD90" w14:textId="77777777" w:rsidR="00696584" w:rsidRDefault="002C4F63">
            <w:pPr>
              <w:pStyle w:val="P68B1DB1-Normal42"/>
              <w:rPr>
                <w:bCs/>
              </w:rPr>
            </w:pPr>
            <w:r>
              <w:t>Timing – Voraussichtliche Zeit bis zur Substitution</w:t>
            </w:r>
          </w:p>
          <w:p w14:paraId="7FE1BD92" w14:textId="6850563B" w:rsidR="00696584" w:rsidRDefault="002C4F63" w:rsidP="00401B63">
            <w:pPr>
              <w:pStyle w:val="P68B1DB1-Normal43"/>
            </w:pPr>
            <w:r>
              <w:t xml:space="preserve">Schätzung des Zeitaufwands für die </w:t>
            </w:r>
            <w:r w:rsidR="00401B63">
              <w:t>Absorption der von dem meldenden Unternehmen ausgeübten wirtschaftliche Funktion  die</w:t>
            </w:r>
            <w:r>
              <w:t xml:space="preserve"> in einer Krisensituation vom Markt absorbiert werden soll. Dies beinhaltet </w:t>
            </w:r>
          </w:p>
          <w:p w14:paraId="7FE1BD93" w14:textId="77777777" w:rsidR="00696584" w:rsidRDefault="002C4F63">
            <w:pPr>
              <w:pStyle w:val="P68B1DB1-ListParagraph38"/>
              <w:numPr>
                <w:ilvl w:val="0"/>
                <w:numId w:val="274"/>
              </w:numPr>
              <w:jc w:val="both"/>
            </w:pPr>
            <w:r>
              <w:t xml:space="preserve">der für einen oder mehrere Konkurrenten erforderliche Zeitaufwand für die Schaffung der rechtlichen und technischen Voraussetzungen für die Übernahme der Funktion; sowie  </w:t>
            </w:r>
          </w:p>
          <w:p w14:paraId="7FE1BD94" w14:textId="77777777" w:rsidR="00696584" w:rsidRDefault="002C4F63">
            <w:pPr>
              <w:pStyle w:val="P68B1DB1-ListParagraph38"/>
              <w:numPr>
                <w:ilvl w:val="0"/>
                <w:numId w:val="274"/>
              </w:numPr>
              <w:jc w:val="both"/>
            </w:pPr>
            <w:r>
              <w:t xml:space="preserve">der für die Nutzer des Dienstes erforderliche Zeitaufwand für den Wechsel zu einem anderen Anbieter. </w:t>
            </w:r>
          </w:p>
          <w:p w14:paraId="7FE1BD95" w14:textId="77777777" w:rsidR="00696584" w:rsidRDefault="00696584">
            <w:pPr>
              <w:rPr>
                <w:rFonts w:ascii="Times New Roman" w:eastAsiaTheme="minorHAnsi" w:hAnsi="Times New Roman" w:cs="Times New Roman"/>
                <w:color w:val="000000" w:themeColor="text1"/>
                <w:sz w:val="20"/>
                <w:szCs w:val="20"/>
              </w:rPr>
            </w:pPr>
          </w:p>
          <w:p w14:paraId="7FE1BD96" w14:textId="77777777" w:rsidR="00696584" w:rsidRDefault="002C4F63">
            <w:pPr>
              <w:pStyle w:val="P68B1DB1-Normal43"/>
            </w:pPr>
            <w:r>
              <w:t>Als Näherungswert kann angegeben werden, wie lange es nach eigenen Schätzungen dauern würde, einen von einem anderen Institut angebotenen Dienst im Krisenfall zu angemessenen Kosten ganz (oder zum Teil) ins eigene Geschäft einzugliedern. Geben Sie die geschätzte Zeit bis zur Substitution in den in der Vorlage angegebenen Unterklassen an:</w:t>
            </w:r>
          </w:p>
          <w:p w14:paraId="7FE1BD97" w14:textId="6D08FC4F" w:rsidR="00696584" w:rsidRDefault="00A945A8">
            <w:pPr>
              <w:pStyle w:val="P68B1DB1-Normal31"/>
            </w:pPr>
            <w:r>
              <w:t>Meldekategori</w:t>
            </w:r>
            <w:r w:rsidR="00BF7349">
              <w:t>en</w:t>
            </w:r>
            <w:r w:rsidR="002C4F63">
              <w:t xml:space="preserve">: </w:t>
            </w:r>
          </w:p>
          <w:p w14:paraId="7FE1BD98" w14:textId="619511CF" w:rsidR="00696584" w:rsidRDefault="002C4F63">
            <w:pPr>
              <w:pStyle w:val="P68B1DB1-ListParagraph32"/>
              <w:numPr>
                <w:ilvl w:val="0"/>
                <w:numId w:val="287"/>
              </w:numPr>
            </w:pPr>
            <w:r>
              <w:t xml:space="preserve">≤ 1 Tag; </w:t>
            </w:r>
          </w:p>
          <w:p w14:paraId="7FE1BD99" w14:textId="3A943096" w:rsidR="00696584" w:rsidRDefault="002C4F63">
            <w:pPr>
              <w:pStyle w:val="P68B1DB1-ListParagraph32"/>
              <w:numPr>
                <w:ilvl w:val="0"/>
                <w:numId w:val="287"/>
              </w:numPr>
            </w:pPr>
            <w:r>
              <w:t>1 Tag – 1 Woche</w:t>
            </w:r>
            <w:r w:rsidR="00400683">
              <w:t>;</w:t>
            </w:r>
            <w:r>
              <w:t xml:space="preserve"> </w:t>
            </w:r>
          </w:p>
          <w:p w14:paraId="7FE1BD9A" w14:textId="2ED91B40" w:rsidR="00696584" w:rsidRDefault="002C4F63">
            <w:pPr>
              <w:pStyle w:val="P68B1DB1-ListParagraph32"/>
              <w:numPr>
                <w:ilvl w:val="0"/>
                <w:numId w:val="287"/>
              </w:numPr>
            </w:pPr>
            <w:r>
              <w:t xml:space="preserve">&gt; 1 Woche – 1 Monat; </w:t>
            </w:r>
          </w:p>
          <w:p w14:paraId="7FE1BD9B" w14:textId="3CEE3934" w:rsidR="00696584" w:rsidRDefault="002C4F63">
            <w:pPr>
              <w:pStyle w:val="P68B1DB1-ListParagraph32"/>
              <w:numPr>
                <w:ilvl w:val="0"/>
                <w:numId w:val="287"/>
              </w:numPr>
              <w:rPr>
                <w:color w:val="000000" w:themeColor="text1"/>
              </w:rPr>
            </w:pPr>
            <w:r>
              <w:t>&gt; 1 Monat</w:t>
            </w:r>
          </w:p>
        </w:tc>
      </w:tr>
      <w:tr w:rsidR="00696584" w14:paraId="7FE1BD9F" w14:textId="77777777">
        <w:tc>
          <w:tcPr>
            <w:tcW w:w="1080" w:type="dxa"/>
            <w:tcBorders>
              <w:top w:val="single" w:sz="4" w:space="0" w:color="1A171C"/>
              <w:left w:val="nil"/>
              <w:bottom w:val="single" w:sz="4" w:space="0" w:color="1A171C"/>
              <w:right w:val="single" w:sz="4" w:space="0" w:color="1A171C"/>
            </w:tcBorders>
            <w:vAlign w:val="center"/>
          </w:tcPr>
          <w:p w14:paraId="7FE1BD9D" w14:textId="77777777" w:rsidR="00696584" w:rsidRDefault="002C4F63">
            <w:pPr>
              <w:pStyle w:val="P68B1DB1-TableParagraph17"/>
              <w:spacing w:before="108"/>
              <w:ind w:left="85"/>
              <w:jc w:val="both"/>
            </w:pPr>
            <w:r>
              <w:t>0140 – 0150</w:t>
            </w:r>
          </w:p>
        </w:tc>
        <w:tc>
          <w:tcPr>
            <w:tcW w:w="8003" w:type="dxa"/>
            <w:tcBorders>
              <w:top w:val="single" w:sz="4" w:space="0" w:color="1A171C"/>
              <w:left w:val="single" w:sz="4" w:space="0" w:color="1A171C"/>
              <w:bottom w:val="single" w:sz="4" w:space="0" w:color="1A171C"/>
              <w:right w:val="nil"/>
            </w:tcBorders>
            <w:vAlign w:val="center"/>
          </w:tcPr>
          <w:p w14:paraId="7FE1BD9E" w14:textId="77777777" w:rsidR="00696584" w:rsidRDefault="002C4F63">
            <w:pPr>
              <w:pStyle w:val="P68B1DB1-Normal42"/>
              <w:rPr>
                <w:bCs/>
              </w:rPr>
            </w:pPr>
            <w:r>
              <w:t>Substituierbarkeit</w:t>
            </w:r>
          </w:p>
        </w:tc>
      </w:tr>
      <w:tr w:rsidR="00696584" w14:paraId="7FE1BDA9" w14:textId="77777777">
        <w:tc>
          <w:tcPr>
            <w:tcW w:w="1080" w:type="dxa"/>
            <w:tcBorders>
              <w:top w:val="single" w:sz="4" w:space="0" w:color="1A171C"/>
              <w:left w:val="nil"/>
              <w:bottom w:val="single" w:sz="4" w:space="0" w:color="1A171C"/>
              <w:right w:val="single" w:sz="4" w:space="0" w:color="1A171C"/>
            </w:tcBorders>
            <w:vAlign w:val="center"/>
          </w:tcPr>
          <w:p w14:paraId="7FE1BDA0" w14:textId="77777777" w:rsidR="00696584" w:rsidRDefault="002C4F63">
            <w:pPr>
              <w:pStyle w:val="P68B1DB1-TableParagraph17"/>
              <w:spacing w:before="108"/>
              <w:ind w:left="85"/>
              <w:jc w:val="both"/>
            </w:pPr>
            <w:r>
              <w:t>0140</w:t>
            </w:r>
          </w:p>
        </w:tc>
        <w:tc>
          <w:tcPr>
            <w:tcW w:w="8003" w:type="dxa"/>
            <w:tcBorders>
              <w:top w:val="single" w:sz="4" w:space="0" w:color="1A171C"/>
              <w:left w:val="single" w:sz="4" w:space="0" w:color="1A171C"/>
              <w:bottom w:val="single" w:sz="4" w:space="0" w:color="1A171C"/>
              <w:right w:val="nil"/>
            </w:tcBorders>
            <w:vAlign w:val="center"/>
          </w:tcPr>
          <w:p w14:paraId="7FE1BDA1" w14:textId="77777777" w:rsidR="00696584" w:rsidRDefault="002C4F63">
            <w:pPr>
              <w:pStyle w:val="P68B1DB1-Normal42"/>
              <w:rPr>
                <w:bCs/>
              </w:rPr>
            </w:pPr>
            <w:r>
              <w:t>Rechtliche Hindernisse für Markteintritt oder Markterweiterung</w:t>
            </w:r>
          </w:p>
          <w:p w14:paraId="7FE1BDA2" w14:textId="77777777" w:rsidR="00696584" w:rsidRDefault="00696584">
            <w:pPr>
              <w:rPr>
                <w:rFonts w:ascii="Times New Roman" w:eastAsiaTheme="minorHAnsi" w:hAnsi="Times New Roman" w:cs="Times New Roman"/>
                <w:color w:val="000000" w:themeColor="text1"/>
                <w:sz w:val="20"/>
                <w:szCs w:val="20"/>
              </w:rPr>
            </w:pPr>
          </w:p>
          <w:p w14:paraId="7FE1BDA3" w14:textId="77777777" w:rsidR="00696584" w:rsidRDefault="002C4F63">
            <w:pPr>
              <w:pStyle w:val="P68B1DB1-Normal43"/>
            </w:pPr>
            <w:r>
              <w:t xml:space="preserve">Rechtliche Hindernisse, die der Erbringung der Dienstleistung durch Konkurrenten entgegenstehen. Rechtliche Voraussetzungen für die Vornahme des Geschäfts eines Kreditinstituts (z. B. Bankzulassungen oder Kapitalanforderungen) sind, wenn es alternative Anbieter gibt, nicht als unüberwindliche Hindernisse anzusehen. Dieser Indikator ist in Meldekategorien anzugeben, welche für jede Unterfunktion gleich sind: </w:t>
            </w:r>
          </w:p>
          <w:p w14:paraId="7FE1BDA4" w14:textId="5F64D555" w:rsidR="00696584" w:rsidRDefault="002C4F63">
            <w:pPr>
              <w:pStyle w:val="P68B1DB1-ListParagraph39"/>
              <w:numPr>
                <w:ilvl w:val="0"/>
                <w:numId w:val="275"/>
              </w:numPr>
              <w:jc w:val="both"/>
            </w:pPr>
            <w:r>
              <w:t xml:space="preserve">keine größeren Hindernisse, </w:t>
            </w:r>
          </w:p>
          <w:p w14:paraId="7FE1BDA5" w14:textId="09B8D427" w:rsidR="00696584" w:rsidRDefault="002C4F63">
            <w:pPr>
              <w:pStyle w:val="P68B1DB1-ListParagraph39"/>
              <w:numPr>
                <w:ilvl w:val="0"/>
                <w:numId w:val="275"/>
              </w:numPr>
              <w:jc w:val="both"/>
            </w:pPr>
            <w:r>
              <w:t xml:space="preserve">einige Hindernisse, </w:t>
            </w:r>
          </w:p>
          <w:p w14:paraId="7FE1BDA6" w14:textId="14CFE055" w:rsidR="00696584" w:rsidRDefault="002C4F63">
            <w:pPr>
              <w:pStyle w:val="P68B1DB1-ListParagraph39"/>
              <w:numPr>
                <w:ilvl w:val="0"/>
                <w:numId w:val="275"/>
              </w:numPr>
              <w:jc w:val="both"/>
            </w:pPr>
            <w:r>
              <w:t xml:space="preserve">erhebliche (aber überwindbare) Barrieren, </w:t>
            </w:r>
          </w:p>
          <w:p w14:paraId="7FE1BDA8" w14:textId="2895BA0A" w:rsidR="00696584" w:rsidRDefault="002C4F63">
            <w:pPr>
              <w:pStyle w:val="P68B1DB1-ListParagraph8"/>
              <w:numPr>
                <w:ilvl w:val="0"/>
                <w:numId w:val="275"/>
              </w:numPr>
              <w:jc w:val="both"/>
              <w:rPr>
                <w:rFonts w:eastAsiaTheme="minorHAnsi"/>
              </w:rPr>
            </w:pPr>
            <w:r>
              <w:t>kritische (schwierige, zu überwindende) Barrieren.</w:t>
            </w:r>
          </w:p>
        </w:tc>
      </w:tr>
      <w:tr w:rsidR="00696584" w14:paraId="7FE1BDB4" w14:textId="77777777">
        <w:tc>
          <w:tcPr>
            <w:tcW w:w="1080" w:type="dxa"/>
            <w:tcBorders>
              <w:top w:val="single" w:sz="4" w:space="0" w:color="1A171C"/>
              <w:left w:val="nil"/>
              <w:bottom w:val="single" w:sz="4" w:space="0" w:color="1A171C"/>
              <w:right w:val="single" w:sz="4" w:space="0" w:color="1A171C"/>
            </w:tcBorders>
            <w:vAlign w:val="center"/>
          </w:tcPr>
          <w:p w14:paraId="7FE1BDAA" w14:textId="77777777" w:rsidR="00696584" w:rsidRDefault="002C4F63">
            <w:pPr>
              <w:pStyle w:val="P68B1DB1-TableParagraph17"/>
              <w:spacing w:before="108"/>
              <w:ind w:left="85"/>
              <w:jc w:val="both"/>
            </w:pPr>
            <w:r>
              <w:t>0150</w:t>
            </w:r>
          </w:p>
        </w:tc>
        <w:tc>
          <w:tcPr>
            <w:tcW w:w="8003" w:type="dxa"/>
            <w:tcBorders>
              <w:top w:val="single" w:sz="4" w:space="0" w:color="1A171C"/>
              <w:left w:val="single" w:sz="4" w:space="0" w:color="1A171C"/>
              <w:bottom w:val="single" w:sz="4" w:space="0" w:color="1A171C"/>
              <w:right w:val="nil"/>
            </w:tcBorders>
            <w:vAlign w:val="center"/>
          </w:tcPr>
          <w:p w14:paraId="7FE1BDAB" w14:textId="77777777" w:rsidR="00696584" w:rsidRDefault="002C4F63">
            <w:pPr>
              <w:pStyle w:val="P68B1DB1-Normal42"/>
              <w:rPr>
                <w:bCs/>
              </w:rPr>
            </w:pPr>
            <w:r>
              <w:t>Praktische Anforderungen für den Markteintritt oder die Markterweiterung</w:t>
            </w:r>
          </w:p>
          <w:p w14:paraId="7FE1BDAC" w14:textId="77777777" w:rsidR="00696584" w:rsidRDefault="00696584">
            <w:pPr>
              <w:rPr>
                <w:rFonts w:ascii="Times New Roman" w:eastAsiaTheme="minorHAnsi" w:hAnsi="Times New Roman" w:cs="Times New Roman"/>
                <w:color w:val="000000" w:themeColor="text1"/>
                <w:sz w:val="20"/>
                <w:szCs w:val="20"/>
              </w:rPr>
            </w:pPr>
          </w:p>
          <w:p w14:paraId="7FE1BDAD" w14:textId="130EC7BC" w:rsidR="00696584" w:rsidRDefault="002C4F63">
            <w:pPr>
              <w:pStyle w:val="P68B1DB1-Normal43"/>
            </w:pPr>
            <w:r>
              <w:t xml:space="preserve">Anforderungen im Hinblick auf Organisation, Technik und Infrastruktur, die Konkurrenten, die die Dienstleistung anbieten möchten, erfüllen müssen: Wer die Dienstleistungen der (Unter-)Funktion anbieten möchte, muss in (neue oder zusätzliche) Infrastruktur investieren – oder seine Organisation ändern. Bitte auch bewerten, ob der Markt das betreffende Geschäft absorbieren kann, zum Beispiel im Hinblick auf die Kapitalanforderungen. </w:t>
            </w:r>
          </w:p>
          <w:p w14:paraId="7FE1BDAE" w14:textId="77777777" w:rsidR="00696584" w:rsidRDefault="002C4F63">
            <w:pPr>
              <w:pStyle w:val="P68B1DB1-Normal43"/>
            </w:pPr>
            <w:r>
              <w:t xml:space="preserve">Dieser Indikator ist in Meldekategorien anzugeben, welche für jede Unterfunktion gleich sind: </w:t>
            </w:r>
          </w:p>
          <w:p w14:paraId="7FE1BDAF" w14:textId="39113051" w:rsidR="00696584" w:rsidRDefault="002C4F63">
            <w:pPr>
              <w:pStyle w:val="P68B1DB1-ListParagraph38"/>
              <w:numPr>
                <w:ilvl w:val="0"/>
                <w:numId w:val="278"/>
              </w:numPr>
              <w:jc w:val="both"/>
            </w:pPr>
            <w:r>
              <w:lastRenderedPageBreak/>
              <w:t xml:space="preserve">keine wesentlichen Anforderungen, </w:t>
            </w:r>
          </w:p>
          <w:p w14:paraId="7FE1BDB0" w14:textId="63777608" w:rsidR="00696584" w:rsidRDefault="002C4F63">
            <w:pPr>
              <w:pStyle w:val="P68B1DB1-ListParagraph38"/>
              <w:numPr>
                <w:ilvl w:val="0"/>
                <w:numId w:val="278"/>
              </w:numPr>
              <w:jc w:val="both"/>
            </w:pPr>
            <w:r>
              <w:t xml:space="preserve">einige Anforderungen, </w:t>
            </w:r>
          </w:p>
          <w:p w14:paraId="7FE1BDB1" w14:textId="78F7EC3E" w:rsidR="00696584" w:rsidRDefault="002C4F63">
            <w:pPr>
              <w:pStyle w:val="P68B1DB1-ListParagraph38"/>
              <w:numPr>
                <w:ilvl w:val="0"/>
                <w:numId w:val="278"/>
              </w:numPr>
              <w:jc w:val="both"/>
            </w:pPr>
            <w:r>
              <w:t xml:space="preserve">wesentliche (aber überwindbare) Anforderungen, </w:t>
            </w:r>
          </w:p>
          <w:p w14:paraId="7FE1BDB2" w14:textId="5A2EF079" w:rsidR="00696584" w:rsidRDefault="002C4F63">
            <w:pPr>
              <w:pStyle w:val="P68B1DB1-ListParagraph38"/>
              <w:numPr>
                <w:ilvl w:val="0"/>
                <w:numId w:val="278"/>
              </w:numPr>
              <w:jc w:val="both"/>
            </w:pPr>
            <w:r>
              <w:t>kritische Anforderungen (schwierig zu überfüllen).</w:t>
            </w:r>
          </w:p>
          <w:p w14:paraId="7FE1BDB3" w14:textId="77777777" w:rsidR="00696584" w:rsidRDefault="00696584">
            <w:pPr>
              <w:rPr>
                <w:rFonts w:ascii="Times New Roman" w:eastAsiaTheme="minorHAnsi" w:hAnsi="Times New Roman" w:cs="Times New Roman"/>
                <w:color w:val="000000" w:themeColor="text1"/>
                <w:sz w:val="20"/>
                <w:szCs w:val="20"/>
              </w:rPr>
            </w:pPr>
          </w:p>
        </w:tc>
      </w:tr>
      <w:tr w:rsidR="00696584" w14:paraId="7FE1BDB7" w14:textId="77777777">
        <w:tc>
          <w:tcPr>
            <w:tcW w:w="1080" w:type="dxa"/>
            <w:tcBorders>
              <w:top w:val="single" w:sz="4" w:space="0" w:color="1A171C"/>
              <w:left w:val="nil"/>
              <w:bottom w:val="single" w:sz="4" w:space="0" w:color="1A171C"/>
              <w:right w:val="single" w:sz="4" w:space="0" w:color="1A171C"/>
            </w:tcBorders>
            <w:vAlign w:val="center"/>
          </w:tcPr>
          <w:p w14:paraId="7FE1BDB5" w14:textId="77777777" w:rsidR="00696584" w:rsidRDefault="002C4F63">
            <w:pPr>
              <w:pStyle w:val="P68B1DB1-TableParagraph17"/>
              <w:spacing w:before="108"/>
              <w:ind w:left="85"/>
              <w:jc w:val="both"/>
            </w:pPr>
            <w:r>
              <w:lastRenderedPageBreak/>
              <w:t>0160 – 0180</w:t>
            </w:r>
          </w:p>
        </w:tc>
        <w:tc>
          <w:tcPr>
            <w:tcW w:w="8003" w:type="dxa"/>
            <w:tcBorders>
              <w:top w:val="single" w:sz="4" w:space="0" w:color="1A171C"/>
              <w:left w:val="single" w:sz="4" w:space="0" w:color="1A171C"/>
              <w:bottom w:val="single" w:sz="4" w:space="0" w:color="1A171C"/>
              <w:right w:val="nil"/>
            </w:tcBorders>
            <w:vAlign w:val="center"/>
          </w:tcPr>
          <w:p w14:paraId="7FE1BDB6" w14:textId="77777777" w:rsidR="00696584" w:rsidRDefault="002C4F63">
            <w:pPr>
              <w:pStyle w:val="P68B1DB1-Normal42"/>
              <w:rPr>
                <w:bCs/>
              </w:rPr>
            </w:pPr>
            <w:r>
              <w:t>Wesentlichkeit</w:t>
            </w:r>
          </w:p>
        </w:tc>
      </w:tr>
      <w:tr w:rsidR="00696584" w14:paraId="7FE1BDBD" w14:textId="77777777">
        <w:tc>
          <w:tcPr>
            <w:tcW w:w="1080" w:type="dxa"/>
            <w:tcBorders>
              <w:top w:val="single" w:sz="4" w:space="0" w:color="1A171C"/>
              <w:left w:val="nil"/>
              <w:bottom w:val="single" w:sz="4" w:space="0" w:color="1A171C"/>
              <w:right w:val="single" w:sz="4" w:space="0" w:color="1A171C"/>
            </w:tcBorders>
            <w:vAlign w:val="center"/>
          </w:tcPr>
          <w:p w14:paraId="7FE1BDB8" w14:textId="77777777" w:rsidR="00696584" w:rsidRDefault="002C4F63">
            <w:pPr>
              <w:pStyle w:val="P68B1DB1-TableParagraph17"/>
              <w:spacing w:before="108"/>
              <w:ind w:left="85"/>
              <w:jc w:val="both"/>
            </w:pPr>
            <w:r>
              <w:t>0160</w:t>
            </w:r>
          </w:p>
        </w:tc>
        <w:tc>
          <w:tcPr>
            <w:tcW w:w="8003" w:type="dxa"/>
            <w:tcBorders>
              <w:top w:val="single" w:sz="4" w:space="0" w:color="1A171C"/>
              <w:left w:val="single" w:sz="4" w:space="0" w:color="1A171C"/>
              <w:bottom w:val="single" w:sz="4" w:space="0" w:color="1A171C"/>
              <w:right w:val="nil"/>
            </w:tcBorders>
            <w:vAlign w:val="center"/>
          </w:tcPr>
          <w:p w14:paraId="7FE1BDB9" w14:textId="77777777" w:rsidR="00696584" w:rsidRDefault="002C4F63">
            <w:pPr>
              <w:pStyle w:val="P68B1DB1-Normal42"/>
              <w:rPr>
                <w:bCs/>
              </w:rPr>
            </w:pPr>
            <w:r>
              <w:t xml:space="preserve">Marktauswirkungen </w:t>
            </w:r>
          </w:p>
          <w:p w14:paraId="7FE1BDBA" w14:textId="77777777" w:rsidR="00696584" w:rsidRDefault="002C4F63">
            <w:pPr>
              <w:pStyle w:val="P68B1DB1-Normal43"/>
            </w:pPr>
            <w:r>
              <w:t>Die geschätzten Auswirkungen einer plötzlichen Unterbrechung einer Funktion auf Dritte, die Finanzmärkte und die Realwirtschaft unter Berücksichtigung der Größe, des Marktanteils im Land, der externen und internen Verflechtungen, der Komplexität und der grenzüberschreitenden Tätigkeiten eines Instituts.</w:t>
            </w:r>
          </w:p>
          <w:p w14:paraId="7FE1BDBB" w14:textId="26AC665D" w:rsidR="00696584" w:rsidRDefault="002C4F63">
            <w:pPr>
              <w:pStyle w:val="P68B1DB1-Normal43"/>
            </w:pPr>
            <w:r>
              <w:t>Die Auswirkungen werden mit den Abstufungen hoch (H), mittel bis hoch (MH), mittel bis gering (ML) und gering (L) bewertet.</w:t>
            </w:r>
          </w:p>
          <w:p w14:paraId="7FE1BDBC" w14:textId="64D10370" w:rsidR="00696584" w:rsidRDefault="002C4F63">
            <w:pPr>
              <w:pStyle w:val="P68B1DB1-Normal43"/>
            </w:pPr>
            <w:r>
              <w:t>‚H‘ wird gewählt, wenn die Unterbrechung massive Auswirkungen auf den nationalen Markt hat, „Mittelhoch“, wenn die Auswirkungen signifikant sind; ‚Medium-Low‘ wenn die Auswirkungen wesentlich, aber begrenzt sind, und ‚gering‘ wenn die Auswirkungen gering sind.</w:t>
            </w:r>
          </w:p>
        </w:tc>
      </w:tr>
      <w:tr w:rsidR="00696584" w14:paraId="7FE1BDCA" w14:textId="77777777">
        <w:tc>
          <w:tcPr>
            <w:tcW w:w="1080" w:type="dxa"/>
            <w:tcBorders>
              <w:top w:val="single" w:sz="4" w:space="0" w:color="1A171C"/>
              <w:left w:val="nil"/>
              <w:bottom w:val="single" w:sz="4" w:space="0" w:color="1A171C"/>
              <w:right w:val="single" w:sz="4" w:space="0" w:color="1A171C"/>
            </w:tcBorders>
            <w:vAlign w:val="center"/>
          </w:tcPr>
          <w:p w14:paraId="7FE1BDBE" w14:textId="77777777" w:rsidR="00696584" w:rsidRDefault="002C4F63">
            <w:pPr>
              <w:pStyle w:val="P68B1DB1-TableParagraph17"/>
              <w:spacing w:before="108"/>
              <w:ind w:left="85"/>
              <w:jc w:val="both"/>
            </w:pPr>
            <w:r>
              <w:t>0170</w:t>
            </w:r>
          </w:p>
        </w:tc>
        <w:tc>
          <w:tcPr>
            <w:tcW w:w="8003" w:type="dxa"/>
            <w:tcBorders>
              <w:top w:val="single" w:sz="4" w:space="0" w:color="1A171C"/>
              <w:left w:val="single" w:sz="4" w:space="0" w:color="1A171C"/>
              <w:bottom w:val="single" w:sz="4" w:space="0" w:color="1A171C"/>
              <w:right w:val="nil"/>
            </w:tcBorders>
            <w:vAlign w:val="center"/>
          </w:tcPr>
          <w:p w14:paraId="7FE1BDBF" w14:textId="77777777" w:rsidR="00696584" w:rsidRDefault="002C4F63">
            <w:pPr>
              <w:pStyle w:val="P68B1DB1-Normal42"/>
              <w:rPr>
                <w:bCs/>
              </w:rPr>
            </w:pPr>
            <w:r>
              <w:t>Substituierbarkeit</w:t>
            </w:r>
          </w:p>
          <w:p w14:paraId="7FE1BDC0" w14:textId="77777777" w:rsidR="00696584" w:rsidRDefault="002C4F63">
            <w:pPr>
              <w:pStyle w:val="P68B1DB1-Normal43"/>
            </w:pPr>
            <w:r>
              <w:t>Artikel 6 Absatz 3 der Delegierten Verordnung (EU) 2016/778</w:t>
            </w:r>
          </w:p>
          <w:p w14:paraId="7FE1BDC1" w14:textId="77777777" w:rsidR="00696584" w:rsidRDefault="002C4F63">
            <w:pPr>
              <w:pStyle w:val="P68B1DB1-Normal43"/>
            </w:pPr>
            <w:r>
              <w:t>Eine Funktion gilt als substituierbar, wenn sie in vertretbarer Weise und innerhalb eines angemessenen Zeitrahmens ersetzbar ist, wodurch systemische Probleme für die Realwirtschaft und die Finanzmärkte vermieden werden können. Folgendes ist zu berücksichtigen:</w:t>
            </w:r>
          </w:p>
          <w:p w14:paraId="7FE1BDC2" w14:textId="77777777" w:rsidR="00696584" w:rsidRDefault="002C4F63">
            <w:pPr>
              <w:pStyle w:val="P68B1DB1-Normal43"/>
            </w:pPr>
            <w:r>
              <w:t xml:space="preserve">(a) die Struktur des Marktes für diese Funktion und die Verfügbarkeit von Ersatzanbietern, </w:t>
            </w:r>
          </w:p>
          <w:p w14:paraId="7FE1BDC3" w14:textId="77777777" w:rsidR="00696584" w:rsidRDefault="002C4F63">
            <w:pPr>
              <w:pStyle w:val="P68B1DB1-Normal43"/>
            </w:pPr>
            <w:r>
              <w:t xml:space="preserve">(b) die Möglichkeiten anderer Anbieter unter dem Gesichtspunkt der Kapazität, der Anforderungen an die Durchführung der Funktion und der möglichen Hürden für den Markteinstieg oder die Markterweiterung, </w:t>
            </w:r>
          </w:p>
          <w:p w14:paraId="7FE1BDC4" w14:textId="77777777" w:rsidR="00696584" w:rsidRDefault="002C4F63">
            <w:pPr>
              <w:pStyle w:val="P68B1DB1-Normal43"/>
            </w:pPr>
            <w:r>
              <w:t xml:space="preserve">(c) die Anreize für andere Anbieter, diese Tätigkeiten zu übernehmen, </w:t>
            </w:r>
          </w:p>
          <w:p w14:paraId="7FE1BDC5" w14:textId="77777777" w:rsidR="00696584" w:rsidRDefault="002C4F63">
            <w:pPr>
              <w:pStyle w:val="P68B1DB1-Normal43"/>
            </w:pPr>
            <w:r>
              <w:t>(d) die Zeit, die für den Wechsel der Nutzer der Dienstleistung zu dem neuen Dienstleistungsanbieter erforderlich ist, sowie die Kosten dieses Wechsels, die Zeit, die andere Wettbewerber für die Übernahme der Funktionen benötigen, sowie die Frage, ob diese Zeit ausreicht, um je nach Art der Dienstleistung eine wesentliche Beeinträchtigung zu verhindern.</w:t>
            </w:r>
          </w:p>
          <w:p w14:paraId="7FE1BDC6" w14:textId="024DAF4C" w:rsidR="00696584" w:rsidRDefault="002C4F63">
            <w:pPr>
              <w:pStyle w:val="P68B1DB1-Normal3"/>
            </w:pPr>
            <w:r>
              <w:t xml:space="preserve">Es ist für jede Funktion eine Gesamtbewertung des erwarteten Grads der Substituierbarkeit vorzunehmen, unter Berücksichtigung der verschiedenen zuvor untersuchten Dimensionen (Marktanteil, Marktkonzentration, Zeit bis zur Substitution, rechtliche Hindernisse sowie praktische Anforderungen für Markteintritt oder Markterweiterung). Die Auswirkungen werden mit den Abstufungen hoch (H), mittel bis hoch (MH), mittel bis gering (ML) und gering (L) bewertet. </w:t>
            </w:r>
          </w:p>
          <w:p w14:paraId="07F40115" w14:textId="77777777" w:rsidR="00696584" w:rsidRDefault="00696584">
            <w:pPr>
              <w:rPr>
                <w:rFonts w:ascii="Times New Roman" w:eastAsiaTheme="minorHAnsi" w:hAnsi="Times New Roman" w:cs="Times New Roman"/>
                <w:color w:val="000000" w:themeColor="text1"/>
                <w:sz w:val="20"/>
                <w:szCs w:val="20"/>
              </w:rPr>
            </w:pPr>
          </w:p>
          <w:p w14:paraId="7FE1BDC7" w14:textId="704E53DC" w:rsidR="00696584" w:rsidRDefault="002C4F63">
            <w:pPr>
              <w:pStyle w:val="P68B1DB1-Normal43"/>
            </w:pPr>
            <w:r>
              <w:t>H wird gewählt, wenn die Funktion ohne Weiteres unter vergleichbaren Bedingungen und innerhalb einer angemessenen Frist von einer anderen Bank wahrgenommen, werden kann,</w:t>
            </w:r>
          </w:p>
          <w:p w14:paraId="7FE1BDC8" w14:textId="794A9FE4" w:rsidR="00696584" w:rsidRDefault="002C4F63">
            <w:pPr>
              <w:pStyle w:val="P68B1DB1-Normal43"/>
            </w:pPr>
            <w:r>
              <w:t xml:space="preserve">L, wenn die Funktion nicht ohne Weiteres oder rasch ersetzt werden kann, </w:t>
            </w:r>
          </w:p>
          <w:p w14:paraId="7FE1BDC9" w14:textId="02A9D6A2" w:rsidR="00696584" w:rsidRDefault="002C4F63">
            <w:pPr>
              <w:pStyle w:val="P68B1DB1-Normal43"/>
            </w:pPr>
            <w:r>
              <w:t>MH und ML für Situationen dazwischen, wobei verschiedene Parameter (z. B. Marktanteil, Marktkonzentration, Zeit bis zur Substitution, rechtliche Hindernisse und praktische Anforderungen für den Markteintritt oder die Markterweiterung) zu berücksichtigen sind.</w:t>
            </w:r>
          </w:p>
        </w:tc>
      </w:tr>
      <w:tr w:rsidR="00696584" w14:paraId="7FE1BDCF" w14:textId="77777777">
        <w:tc>
          <w:tcPr>
            <w:tcW w:w="1080" w:type="dxa"/>
            <w:tcBorders>
              <w:top w:val="single" w:sz="4" w:space="0" w:color="1A171C"/>
              <w:left w:val="nil"/>
              <w:bottom w:val="single" w:sz="4" w:space="0" w:color="1A171C"/>
              <w:right w:val="single" w:sz="4" w:space="0" w:color="1A171C"/>
            </w:tcBorders>
            <w:vAlign w:val="center"/>
          </w:tcPr>
          <w:p w14:paraId="7FE1BDCB" w14:textId="77777777" w:rsidR="00696584" w:rsidRDefault="002C4F63">
            <w:pPr>
              <w:pStyle w:val="P68B1DB1-TableParagraph17"/>
              <w:spacing w:before="108"/>
              <w:ind w:left="85"/>
              <w:jc w:val="both"/>
            </w:pPr>
            <w:r>
              <w:t>0190</w:t>
            </w:r>
          </w:p>
        </w:tc>
        <w:tc>
          <w:tcPr>
            <w:tcW w:w="8003" w:type="dxa"/>
            <w:tcBorders>
              <w:top w:val="single" w:sz="4" w:space="0" w:color="1A171C"/>
              <w:left w:val="single" w:sz="4" w:space="0" w:color="1A171C"/>
              <w:bottom w:val="single" w:sz="4" w:space="0" w:color="1A171C"/>
              <w:right w:val="nil"/>
            </w:tcBorders>
            <w:vAlign w:val="center"/>
          </w:tcPr>
          <w:p w14:paraId="7FE1BDCC" w14:textId="77777777" w:rsidR="00696584" w:rsidRDefault="002C4F63">
            <w:pPr>
              <w:pStyle w:val="P68B1DB1-Normal42"/>
              <w:rPr>
                <w:bCs/>
              </w:rPr>
            </w:pPr>
            <w:r>
              <w:t>Kritische Funktion</w:t>
            </w:r>
          </w:p>
          <w:p w14:paraId="7FE1BDCD" w14:textId="77777777" w:rsidR="00696584" w:rsidRDefault="002C4F63">
            <w:pPr>
              <w:pStyle w:val="P68B1DB1-Normal43"/>
            </w:pPr>
            <w:r>
              <w:t>In dieser Spalte ist anzugeben, ob die wirtschaftliche Funktion unter Berücksichtigung der von der Institution durchgeführten Analyse des Einflusses und der Substituierbarkeit für den Markt des betreffenden Landes als kritisch anzusehen ist.</w:t>
            </w:r>
          </w:p>
          <w:p w14:paraId="7FE1BDCE" w14:textId="1EFF9EBD" w:rsidR="00696584" w:rsidRDefault="002C4F63">
            <w:pPr>
              <w:pStyle w:val="P68B1DB1-Normal43"/>
            </w:pPr>
            <w:r>
              <w:t>2 Angaben sind möglich:</w:t>
            </w:r>
            <w:r w:rsidR="006F7CBC">
              <w:t xml:space="preserve"> </w:t>
            </w:r>
            <w:r>
              <w:t>Ja oder Nein</w:t>
            </w:r>
          </w:p>
        </w:tc>
      </w:tr>
      <w:tr w:rsidR="00696584" w14:paraId="7FE1BDD3" w14:textId="77777777">
        <w:tc>
          <w:tcPr>
            <w:tcW w:w="1080" w:type="dxa"/>
            <w:tcBorders>
              <w:top w:val="single" w:sz="4" w:space="0" w:color="1A171C"/>
              <w:left w:val="nil"/>
              <w:bottom w:val="single" w:sz="4" w:space="0" w:color="1A171C"/>
              <w:right w:val="single" w:sz="4" w:space="0" w:color="1A171C"/>
            </w:tcBorders>
            <w:vAlign w:val="center"/>
          </w:tcPr>
          <w:p w14:paraId="7FE1BDD0" w14:textId="77777777" w:rsidR="00696584" w:rsidRDefault="002C4F63">
            <w:pPr>
              <w:pStyle w:val="P68B1DB1-TableParagraph17"/>
              <w:spacing w:before="108"/>
              <w:ind w:left="85"/>
              <w:jc w:val="both"/>
            </w:pPr>
            <w:r>
              <w:t>0200</w:t>
            </w:r>
          </w:p>
        </w:tc>
        <w:tc>
          <w:tcPr>
            <w:tcW w:w="8003" w:type="dxa"/>
            <w:tcBorders>
              <w:top w:val="single" w:sz="4" w:space="0" w:color="1A171C"/>
              <w:left w:val="single" w:sz="4" w:space="0" w:color="1A171C"/>
              <w:bottom w:val="single" w:sz="4" w:space="0" w:color="1A171C"/>
              <w:right w:val="nil"/>
            </w:tcBorders>
            <w:vAlign w:val="center"/>
          </w:tcPr>
          <w:p w14:paraId="7FE1BDD1" w14:textId="77777777" w:rsidR="00696584" w:rsidRDefault="002C4F63">
            <w:pPr>
              <w:pStyle w:val="P68B1DB1-Normal42"/>
              <w:rPr>
                <w:bCs/>
              </w:rPr>
            </w:pPr>
            <w:r>
              <w:t>Stellungnahme der Gruppe</w:t>
            </w:r>
          </w:p>
          <w:p w14:paraId="7FE1BDD2" w14:textId="77777777" w:rsidR="00696584" w:rsidRDefault="002C4F63">
            <w:pPr>
              <w:pStyle w:val="P68B1DB1-Normal43"/>
            </w:pPr>
            <w:r>
              <w:t>Dieses Feld ermöglicht es dem meldenden Unternehmen, alle Annahmen zu erläutern, die bei der Beurteilung der Kritikalität der gemeldeten Funktion(en) verwendet wurden.</w:t>
            </w:r>
          </w:p>
        </w:tc>
      </w:tr>
    </w:tbl>
    <w:p w14:paraId="7FE1BDD4" w14:textId="77777777" w:rsidR="00696584" w:rsidRDefault="00696584">
      <w:pPr>
        <w:rPr>
          <w:rFonts w:ascii="Times New Roman" w:hAnsi="Times New Roman" w:cs="Times New Roman"/>
          <w:color w:val="000000" w:themeColor="text1"/>
          <w:sz w:val="20"/>
          <w:szCs w:val="20"/>
        </w:rPr>
      </w:pPr>
    </w:p>
    <w:p w14:paraId="7FE1BFB4" w14:textId="77777777" w:rsidR="00696584" w:rsidRDefault="00696584">
      <w:pPr>
        <w:rPr>
          <w:rFonts w:ascii="Times New Roman" w:hAnsi="Times New Roman" w:cs="Times New Roman"/>
        </w:rPr>
      </w:pPr>
    </w:p>
    <w:p w14:paraId="7FE1BFB5" w14:textId="59F7330D" w:rsidR="00696584" w:rsidRDefault="002C4F63">
      <w:pPr>
        <w:pStyle w:val="P68B1DB1-Instructionsberschrift25"/>
        <w:numPr>
          <w:ilvl w:val="1"/>
          <w:numId w:val="49"/>
        </w:numPr>
        <w:ind w:left="357" w:hanging="357"/>
      </w:pPr>
      <w:bookmarkStart w:id="121" w:name="_Toc209533598"/>
      <w:r>
        <w:t>Z 07.02 – Wirtschaft</w:t>
      </w:r>
      <w:r w:rsidR="006F7CBC">
        <w:t xml:space="preserve">liche Funktionen </w:t>
      </w:r>
      <w:r>
        <w:t>nach Rechtsträgern (FUNC 2)</w:t>
      </w:r>
      <w:bookmarkEnd w:id="121"/>
      <w:r>
        <w:t xml:space="preserve"> </w:t>
      </w:r>
    </w:p>
    <w:p w14:paraId="7FE1BFB6" w14:textId="77777777" w:rsidR="00696584" w:rsidRDefault="002C4F63">
      <w:pPr>
        <w:pStyle w:val="P68B1DB1-Instructionsberschrift312"/>
        <w:rPr>
          <w:color w:val="auto"/>
        </w:rPr>
      </w:pPr>
      <w:r>
        <w:rPr>
          <w:color w:val="auto"/>
        </w:rPr>
        <w:t>Erläuterungen zu bestimmten Positionen</w:t>
      </w:r>
    </w:p>
    <w:p w14:paraId="7FE1BFB7" w14:textId="7A5F9014" w:rsidR="00696584" w:rsidRDefault="002C4F63">
      <w:pPr>
        <w:pStyle w:val="P68B1DB1-InstructionsText26"/>
        <w:numPr>
          <w:ilvl w:val="0"/>
          <w:numId w:val="232"/>
        </w:numPr>
        <w:spacing w:before="0"/>
      </w:pPr>
      <w:r>
        <w:t>Dieser Meldebogen ist für die gesamte Gruppe und unter Berücksichtigung der wirtschaftlichen Funktionen, die die Gruppe der Wirtschaft erbringt, zu übermitteln.</w:t>
      </w:r>
    </w:p>
    <w:p w14:paraId="7FE1BFB8" w14:textId="77777777" w:rsidR="00696584" w:rsidRDefault="002C4F63">
      <w:pPr>
        <w:pStyle w:val="P68B1DB1-InstructionsText26"/>
        <w:numPr>
          <w:ilvl w:val="0"/>
          <w:numId w:val="232"/>
        </w:numPr>
        <w:spacing w:before="0"/>
      </w:pPr>
      <w:r>
        <w:t>Die Kombination der Werte der Spalten 0010, 0020 und 0040 dieses Meldebogens bildet einen Primärschlüssel, der jeweils eine spezifische Zeile des Meldebogens bezeichnet.</w:t>
      </w:r>
    </w:p>
    <w:tbl>
      <w:tblPr>
        <w:tblW w:w="9083" w:type="dxa"/>
        <w:tblLayout w:type="fixed"/>
        <w:tblCellMar>
          <w:top w:w="57" w:type="dxa"/>
          <w:left w:w="57" w:type="dxa"/>
          <w:bottom w:w="57" w:type="dxa"/>
          <w:right w:w="0" w:type="dxa"/>
        </w:tblCellMar>
        <w:tblLook w:val="01E0" w:firstRow="1" w:lastRow="1" w:firstColumn="1" w:lastColumn="1" w:noHBand="0" w:noVBand="0"/>
      </w:tblPr>
      <w:tblGrid>
        <w:gridCol w:w="1191"/>
        <w:gridCol w:w="7892"/>
      </w:tblGrid>
      <w:tr w:rsidR="00696584" w14:paraId="7FE1BFBB" w14:textId="77777777">
        <w:tc>
          <w:tcPr>
            <w:tcW w:w="1191" w:type="dxa"/>
            <w:tcBorders>
              <w:top w:val="single" w:sz="4" w:space="0" w:color="1A171C"/>
              <w:left w:val="nil"/>
              <w:bottom w:val="single" w:sz="4" w:space="0" w:color="1A171C"/>
              <w:right w:val="single" w:sz="4" w:space="0" w:color="1A171C"/>
            </w:tcBorders>
            <w:shd w:val="clear" w:color="auto" w:fill="E4E5E5"/>
          </w:tcPr>
          <w:p w14:paraId="7FE1BFB9" w14:textId="77777777" w:rsidR="00696584" w:rsidRDefault="002C4F63">
            <w:pPr>
              <w:pStyle w:val="P68B1DB1-TableParagraph17"/>
              <w:spacing w:before="108"/>
              <w:ind w:left="85"/>
              <w:jc w:val="both"/>
            </w:pPr>
            <w:r>
              <w:t>Spalten</w:t>
            </w:r>
          </w:p>
        </w:tc>
        <w:tc>
          <w:tcPr>
            <w:tcW w:w="7892" w:type="dxa"/>
            <w:tcBorders>
              <w:top w:val="single" w:sz="4" w:space="0" w:color="1A171C"/>
              <w:left w:val="single" w:sz="4" w:space="0" w:color="1A171C"/>
              <w:bottom w:val="single" w:sz="4" w:space="0" w:color="1A171C"/>
              <w:right w:val="nil"/>
            </w:tcBorders>
            <w:shd w:val="clear" w:color="auto" w:fill="E4E5E5"/>
          </w:tcPr>
          <w:p w14:paraId="7FE1BFBA" w14:textId="77777777" w:rsidR="00696584" w:rsidRDefault="002C4F63">
            <w:pPr>
              <w:pStyle w:val="P68B1DB1-TableParagraph17"/>
              <w:spacing w:before="108"/>
              <w:ind w:left="85" w:right="1"/>
              <w:jc w:val="both"/>
            </w:pPr>
            <w:r>
              <w:t>Erläuterungen</w:t>
            </w:r>
          </w:p>
        </w:tc>
      </w:tr>
      <w:tr w:rsidR="00696584" w14:paraId="7FE1BFBE" w14:textId="77777777">
        <w:tc>
          <w:tcPr>
            <w:tcW w:w="1191" w:type="dxa"/>
            <w:tcBorders>
              <w:top w:val="single" w:sz="4" w:space="0" w:color="1A171C"/>
              <w:left w:val="nil"/>
              <w:bottom w:val="single" w:sz="4" w:space="0" w:color="1A171C"/>
              <w:right w:val="single" w:sz="4" w:space="0" w:color="1A171C"/>
            </w:tcBorders>
            <w:vAlign w:val="center"/>
          </w:tcPr>
          <w:p w14:paraId="7FE1BFBC" w14:textId="77777777" w:rsidR="00696584" w:rsidRDefault="002C4F63">
            <w:pPr>
              <w:pStyle w:val="P68B1DB1-TableParagraph17"/>
              <w:spacing w:before="108"/>
              <w:ind w:left="85"/>
            </w:pPr>
            <w:r>
              <w:t xml:space="preserve">0010-0020 </w:t>
            </w:r>
          </w:p>
        </w:tc>
        <w:tc>
          <w:tcPr>
            <w:tcW w:w="7892" w:type="dxa"/>
            <w:tcBorders>
              <w:top w:val="single" w:sz="4" w:space="0" w:color="1A171C"/>
              <w:left w:val="single" w:sz="4" w:space="0" w:color="1A171C"/>
              <w:bottom w:val="single" w:sz="4" w:space="0" w:color="1A171C"/>
              <w:right w:val="nil"/>
            </w:tcBorders>
            <w:vAlign w:val="center"/>
          </w:tcPr>
          <w:p w14:paraId="7FE1BFBD" w14:textId="3F275B4F" w:rsidR="00696584" w:rsidRDefault="002C4F63">
            <w:pPr>
              <w:pStyle w:val="P68B1DB1-TableParagraph14"/>
              <w:spacing w:before="108"/>
              <w:ind w:left="85"/>
              <w:jc w:val="both"/>
              <w:rPr>
                <w:bCs/>
              </w:rPr>
            </w:pPr>
            <w:r>
              <w:t>Wirtschaftliche Funktion</w:t>
            </w:r>
          </w:p>
        </w:tc>
      </w:tr>
      <w:tr w:rsidR="00696584" w14:paraId="7FE1BFC2" w14:textId="77777777">
        <w:tc>
          <w:tcPr>
            <w:tcW w:w="1191" w:type="dxa"/>
            <w:tcBorders>
              <w:top w:val="single" w:sz="4" w:space="0" w:color="1A171C"/>
              <w:left w:val="nil"/>
              <w:bottom w:val="single" w:sz="4" w:space="0" w:color="1A171C"/>
              <w:right w:val="single" w:sz="4" w:space="0" w:color="1A171C"/>
            </w:tcBorders>
            <w:vAlign w:val="center"/>
          </w:tcPr>
          <w:p w14:paraId="7FE1BFBF" w14:textId="77777777" w:rsidR="00696584" w:rsidRDefault="002C4F63">
            <w:pPr>
              <w:pStyle w:val="P68B1DB1-TableParagraph17"/>
              <w:spacing w:before="108"/>
              <w:ind w:left="85"/>
            </w:pPr>
            <w:r>
              <w:t>0010</w:t>
            </w:r>
          </w:p>
        </w:tc>
        <w:tc>
          <w:tcPr>
            <w:tcW w:w="7892" w:type="dxa"/>
            <w:tcBorders>
              <w:top w:val="single" w:sz="4" w:space="0" w:color="1A171C"/>
              <w:left w:val="single" w:sz="4" w:space="0" w:color="1A171C"/>
              <w:bottom w:val="single" w:sz="4" w:space="0" w:color="1A171C"/>
              <w:right w:val="nil"/>
            </w:tcBorders>
            <w:vAlign w:val="center"/>
          </w:tcPr>
          <w:p w14:paraId="7FE1BFC0" w14:textId="77777777" w:rsidR="00696584" w:rsidRDefault="002C4F63">
            <w:pPr>
              <w:pStyle w:val="P68B1DB1-TableParagraph14"/>
              <w:spacing w:before="108"/>
              <w:ind w:left="85"/>
              <w:jc w:val="both"/>
              <w:rPr>
                <w:bCs/>
              </w:rPr>
            </w:pPr>
            <w:r>
              <w:t>Land</w:t>
            </w:r>
          </w:p>
          <w:p w14:paraId="7FE1BFC1" w14:textId="235DC4B1" w:rsidR="00696584" w:rsidRDefault="002C4F63">
            <w:pPr>
              <w:pStyle w:val="P68B1DB1-TableParagraph17"/>
              <w:spacing w:before="108"/>
              <w:ind w:left="85"/>
            </w:pPr>
            <w:r>
              <w:t>Land, für das die wirtschaftliche Funktion wahrgenommen wird</w:t>
            </w:r>
          </w:p>
        </w:tc>
      </w:tr>
      <w:tr w:rsidR="00696584" w14:paraId="7FE1BFC6" w14:textId="77777777">
        <w:tc>
          <w:tcPr>
            <w:tcW w:w="1191" w:type="dxa"/>
            <w:tcBorders>
              <w:top w:val="single" w:sz="4" w:space="0" w:color="1A171C"/>
              <w:left w:val="nil"/>
              <w:bottom w:val="single" w:sz="4" w:space="0" w:color="1A171C"/>
              <w:right w:val="single" w:sz="4" w:space="0" w:color="1A171C"/>
            </w:tcBorders>
            <w:vAlign w:val="center"/>
          </w:tcPr>
          <w:p w14:paraId="7FE1BFC3" w14:textId="77777777" w:rsidR="00696584" w:rsidRDefault="002C4F63">
            <w:pPr>
              <w:pStyle w:val="P68B1DB1-TableParagraph17"/>
              <w:spacing w:before="108"/>
              <w:ind w:left="85"/>
            </w:pPr>
            <w:r>
              <w:t>0020</w:t>
            </w:r>
          </w:p>
        </w:tc>
        <w:tc>
          <w:tcPr>
            <w:tcW w:w="7892" w:type="dxa"/>
            <w:tcBorders>
              <w:top w:val="single" w:sz="4" w:space="0" w:color="1A171C"/>
              <w:left w:val="single" w:sz="4" w:space="0" w:color="1A171C"/>
              <w:bottom w:val="single" w:sz="4" w:space="0" w:color="1A171C"/>
              <w:right w:val="nil"/>
            </w:tcBorders>
            <w:vAlign w:val="center"/>
          </w:tcPr>
          <w:p w14:paraId="7FE1BFC4" w14:textId="48198D7D" w:rsidR="00696584" w:rsidRDefault="006F7CBC">
            <w:pPr>
              <w:pStyle w:val="P68B1DB1-TableParagraph14"/>
              <w:spacing w:before="108"/>
              <w:ind w:left="85"/>
              <w:jc w:val="both"/>
              <w:rPr>
                <w:bCs/>
              </w:rPr>
            </w:pPr>
            <w:r>
              <w:t>ID</w:t>
            </w:r>
          </w:p>
          <w:p w14:paraId="7FE1BFC5" w14:textId="05F6B42D" w:rsidR="00696584" w:rsidRDefault="002C4F63">
            <w:pPr>
              <w:pStyle w:val="P68B1DB1-TableParagraph17"/>
              <w:spacing w:before="108"/>
              <w:ind w:left="85"/>
            </w:pPr>
            <w:r>
              <w:t>ID der wirtschaftlichen Funktionen (wie im Meldebogen Z07.01 (FUNC 1) nach der Durchführungsverordnung (EU) 2018/1624 angegeben).</w:t>
            </w:r>
          </w:p>
        </w:tc>
      </w:tr>
      <w:tr w:rsidR="00696584" w14:paraId="7FE1BFC9" w14:textId="77777777">
        <w:tc>
          <w:tcPr>
            <w:tcW w:w="1191" w:type="dxa"/>
            <w:tcBorders>
              <w:top w:val="single" w:sz="4" w:space="0" w:color="1A171C"/>
              <w:left w:val="nil"/>
              <w:bottom w:val="single" w:sz="4" w:space="0" w:color="1A171C"/>
              <w:right w:val="single" w:sz="4" w:space="0" w:color="1A171C"/>
            </w:tcBorders>
            <w:vAlign w:val="center"/>
          </w:tcPr>
          <w:p w14:paraId="7FE1BFC7" w14:textId="77777777" w:rsidR="00696584" w:rsidRDefault="002C4F63">
            <w:pPr>
              <w:pStyle w:val="P68B1DB1-TableParagraph17"/>
              <w:spacing w:before="108"/>
              <w:ind w:left="85"/>
            </w:pPr>
            <w:r>
              <w:t xml:space="preserve">0030-0040 </w:t>
            </w:r>
          </w:p>
        </w:tc>
        <w:tc>
          <w:tcPr>
            <w:tcW w:w="7892" w:type="dxa"/>
            <w:tcBorders>
              <w:top w:val="single" w:sz="4" w:space="0" w:color="1A171C"/>
              <w:left w:val="single" w:sz="4" w:space="0" w:color="1A171C"/>
              <w:bottom w:val="single" w:sz="4" w:space="0" w:color="1A171C"/>
              <w:right w:val="nil"/>
            </w:tcBorders>
            <w:vAlign w:val="center"/>
          </w:tcPr>
          <w:p w14:paraId="7FE1BFC8" w14:textId="77777777" w:rsidR="00696584" w:rsidRDefault="002C4F63">
            <w:pPr>
              <w:pStyle w:val="P68B1DB1-TableParagraph14"/>
              <w:spacing w:before="108"/>
              <w:ind w:left="85"/>
              <w:jc w:val="both"/>
              <w:rPr>
                <w:bCs/>
              </w:rPr>
            </w:pPr>
            <w:r>
              <w:t>Rechtspersönlichkeit</w:t>
            </w:r>
          </w:p>
        </w:tc>
      </w:tr>
      <w:tr w:rsidR="00696584" w14:paraId="7FE1BFCF" w14:textId="77777777">
        <w:tc>
          <w:tcPr>
            <w:tcW w:w="1191" w:type="dxa"/>
            <w:tcBorders>
              <w:top w:val="single" w:sz="4" w:space="0" w:color="1A171C"/>
              <w:left w:val="nil"/>
              <w:bottom w:val="single" w:sz="4" w:space="0" w:color="1A171C"/>
              <w:right w:val="single" w:sz="4" w:space="0" w:color="1A171C"/>
            </w:tcBorders>
            <w:vAlign w:val="center"/>
          </w:tcPr>
          <w:p w14:paraId="7FE1BFCA" w14:textId="77777777" w:rsidR="00696584" w:rsidRDefault="002C4F63">
            <w:pPr>
              <w:pStyle w:val="P68B1DB1-TableParagraph17"/>
              <w:spacing w:before="108"/>
              <w:ind w:left="85"/>
            </w:pPr>
            <w:r>
              <w:t>0030</w:t>
            </w:r>
          </w:p>
        </w:tc>
        <w:tc>
          <w:tcPr>
            <w:tcW w:w="7892" w:type="dxa"/>
            <w:tcBorders>
              <w:top w:val="single" w:sz="4" w:space="0" w:color="1A171C"/>
              <w:left w:val="single" w:sz="4" w:space="0" w:color="1A171C"/>
              <w:bottom w:val="single" w:sz="4" w:space="0" w:color="1A171C"/>
              <w:right w:val="nil"/>
            </w:tcBorders>
            <w:vAlign w:val="center"/>
          </w:tcPr>
          <w:p w14:paraId="7FE1BFCB" w14:textId="77777777" w:rsidR="00696584" w:rsidRDefault="002C4F63">
            <w:pPr>
              <w:pStyle w:val="P68B1DB1-TableParagraph14"/>
              <w:spacing w:before="108"/>
              <w:ind w:left="85"/>
              <w:jc w:val="both"/>
              <w:rPr>
                <w:bCs/>
              </w:rPr>
            </w:pPr>
            <w:r>
              <w:t>Name des Unternehmens</w:t>
            </w:r>
          </w:p>
          <w:p w14:paraId="7FE1BFCD" w14:textId="375A6177" w:rsidR="00696584" w:rsidRDefault="002C4F63">
            <w:pPr>
              <w:pStyle w:val="P68B1DB1-TableParagraph17"/>
              <w:spacing w:before="108"/>
              <w:ind w:left="85"/>
            </w:pPr>
            <w:r>
              <w:t>Bezeichnung des Unternehmens, das die wirtschaftliche Funktion wahrnimmt, wie im Meldebogen Z 01.01 (ORG 1).</w:t>
            </w:r>
          </w:p>
          <w:p w14:paraId="7FE1BFCE" w14:textId="2159DCA3" w:rsidR="00696584" w:rsidRDefault="002C4F63">
            <w:pPr>
              <w:pStyle w:val="P68B1DB1-TableParagraph17"/>
              <w:spacing w:before="108"/>
              <w:ind w:left="85"/>
            </w:pPr>
            <w:r>
              <w:t>Wird in einem Land die gleiche kritische Funktion von mehreren Unternehmen wahrgenommen, so wird jedes Unternehmen in einer eigenen Zeile ausgewiesen.</w:t>
            </w:r>
          </w:p>
        </w:tc>
      </w:tr>
      <w:tr w:rsidR="00696584" w14:paraId="7FE1BFD4" w14:textId="77777777">
        <w:tc>
          <w:tcPr>
            <w:tcW w:w="1191" w:type="dxa"/>
            <w:tcBorders>
              <w:top w:val="single" w:sz="4" w:space="0" w:color="1A171C"/>
              <w:left w:val="nil"/>
              <w:bottom w:val="single" w:sz="4" w:space="0" w:color="1A171C"/>
              <w:right w:val="single" w:sz="4" w:space="0" w:color="1A171C"/>
            </w:tcBorders>
            <w:vAlign w:val="center"/>
          </w:tcPr>
          <w:p w14:paraId="7FE1BFD0" w14:textId="77777777" w:rsidR="00696584" w:rsidRDefault="002C4F63">
            <w:pPr>
              <w:pStyle w:val="P68B1DB1-TableParagraph17"/>
              <w:spacing w:before="108"/>
              <w:ind w:left="85"/>
            </w:pPr>
            <w:r>
              <w:t>0040</w:t>
            </w:r>
          </w:p>
        </w:tc>
        <w:tc>
          <w:tcPr>
            <w:tcW w:w="7892" w:type="dxa"/>
            <w:tcBorders>
              <w:top w:val="single" w:sz="4" w:space="0" w:color="1A171C"/>
              <w:left w:val="single" w:sz="4" w:space="0" w:color="1A171C"/>
              <w:bottom w:val="single" w:sz="4" w:space="0" w:color="1A171C"/>
              <w:right w:val="nil"/>
            </w:tcBorders>
            <w:vAlign w:val="center"/>
          </w:tcPr>
          <w:p w14:paraId="7FE1BFD1" w14:textId="1755BE4B" w:rsidR="00696584" w:rsidRDefault="002C4F63">
            <w:pPr>
              <w:pStyle w:val="P68B1DB1-TableParagraph14"/>
              <w:spacing w:before="108"/>
              <w:ind w:left="85"/>
              <w:jc w:val="both"/>
              <w:rPr>
                <w:bCs/>
              </w:rPr>
            </w:pPr>
            <w:r>
              <w:t>Code</w:t>
            </w:r>
          </w:p>
          <w:p w14:paraId="7FE1BFD2" w14:textId="77777777" w:rsidR="00696584" w:rsidRDefault="002C4F63">
            <w:pPr>
              <w:pStyle w:val="P68B1DB1-TableParagraph17"/>
              <w:spacing w:before="108"/>
              <w:ind w:left="85"/>
            </w:pPr>
            <w:r>
              <w:t>Spezifische Kennung des Rechtsträgers aus Spalte 0020, wie im Meldebogen Z 01.01 (ORG 1) angegeben.</w:t>
            </w:r>
          </w:p>
          <w:p w14:paraId="7FE1BFD3" w14:textId="0AEAE2F2" w:rsidR="00696584" w:rsidRDefault="002C4F63">
            <w:pPr>
              <w:pStyle w:val="P68B1DB1-TableParagraph17"/>
              <w:spacing w:before="108"/>
              <w:ind w:left="85"/>
            </w:pPr>
            <w:r>
              <w:t>Die Identifizierung der Unternehmen erfolgt über die Meldebögen hinweg einheitlich.</w:t>
            </w:r>
          </w:p>
        </w:tc>
      </w:tr>
      <w:tr w:rsidR="00696584" w14:paraId="7FE1BFDB" w14:textId="77777777">
        <w:tc>
          <w:tcPr>
            <w:tcW w:w="1191" w:type="dxa"/>
            <w:tcBorders>
              <w:top w:val="single" w:sz="4" w:space="0" w:color="1A171C"/>
              <w:left w:val="nil"/>
              <w:bottom w:val="single" w:sz="4" w:space="0" w:color="1A171C"/>
              <w:right w:val="single" w:sz="4" w:space="0" w:color="1A171C"/>
            </w:tcBorders>
            <w:vAlign w:val="center"/>
          </w:tcPr>
          <w:p w14:paraId="7FE1BFD5" w14:textId="77777777" w:rsidR="00696584" w:rsidRDefault="002C4F63">
            <w:pPr>
              <w:pStyle w:val="P68B1DB1-TableParagraph17"/>
              <w:spacing w:before="108"/>
              <w:ind w:left="85"/>
            </w:pPr>
            <w:r>
              <w:t>0050</w:t>
            </w:r>
          </w:p>
        </w:tc>
        <w:tc>
          <w:tcPr>
            <w:tcW w:w="7892" w:type="dxa"/>
            <w:tcBorders>
              <w:top w:val="single" w:sz="4" w:space="0" w:color="1A171C"/>
              <w:left w:val="single" w:sz="4" w:space="0" w:color="1A171C"/>
              <w:bottom w:val="single" w:sz="4" w:space="0" w:color="1A171C"/>
              <w:right w:val="nil"/>
            </w:tcBorders>
            <w:vAlign w:val="center"/>
          </w:tcPr>
          <w:p w14:paraId="7FE1BFD6" w14:textId="77777777" w:rsidR="00696584" w:rsidRDefault="002C4F63">
            <w:pPr>
              <w:pStyle w:val="P68B1DB1-TableParagraph14"/>
              <w:spacing w:before="108"/>
              <w:ind w:left="85"/>
              <w:jc w:val="both"/>
              <w:rPr>
                <w:bCs/>
              </w:rPr>
            </w:pPr>
            <w:r>
              <w:t>Art des Codes</w:t>
            </w:r>
          </w:p>
          <w:p w14:paraId="29A7EF10" w14:textId="77777777" w:rsidR="00696584" w:rsidRDefault="002C4F63">
            <w:pPr>
              <w:pStyle w:val="P68B1DB1-TableParagraph13"/>
              <w:spacing w:before="108"/>
            </w:pPr>
            <w:r>
              <w:t>Auswahl unter folgenden Optionen: „LEI-Code“, „MFI-Code“ oder „Andere Art der Kennung als LEI-Code oder MFI-Code“.</w:t>
            </w:r>
          </w:p>
          <w:p w14:paraId="7FE1BFDA" w14:textId="77777777" w:rsidR="00696584" w:rsidRDefault="002C4F63">
            <w:pPr>
              <w:pStyle w:val="P68B1DB1-TableParagraph13"/>
              <w:spacing w:before="108"/>
              <w:ind w:left="85"/>
              <w:jc w:val="both"/>
              <w:rPr>
                <w:b/>
                <w:bCs/>
              </w:rPr>
            </w:pPr>
            <w:r>
              <w:t>Die Identifizierung der Unternehmen erfolgt über die Meldebögen hinweg einheitlich.</w:t>
            </w:r>
          </w:p>
        </w:tc>
      </w:tr>
      <w:tr w:rsidR="00696584" w14:paraId="7FE1BFE4" w14:textId="77777777">
        <w:trPr>
          <w:trHeight w:val="302"/>
        </w:trPr>
        <w:tc>
          <w:tcPr>
            <w:tcW w:w="1191" w:type="dxa"/>
            <w:tcBorders>
              <w:top w:val="single" w:sz="4" w:space="0" w:color="1A171C"/>
              <w:left w:val="nil"/>
              <w:bottom w:val="single" w:sz="4" w:space="0" w:color="1A171C"/>
              <w:right w:val="single" w:sz="4" w:space="0" w:color="1A171C"/>
            </w:tcBorders>
            <w:vAlign w:val="center"/>
          </w:tcPr>
          <w:p w14:paraId="7FE1BFDC" w14:textId="50EDDBE3" w:rsidR="00696584" w:rsidRDefault="002C4F63">
            <w:pPr>
              <w:pStyle w:val="P68B1DB1-TableParagraph17"/>
              <w:spacing w:before="108"/>
              <w:ind w:left="85"/>
            </w:pPr>
            <w:r>
              <w:t>0060</w:t>
            </w:r>
          </w:p>
        </w:tc>
        <w:tc>
          <w:tcPr>
            <w:tcW w:w="7892" w:type="dxa"/>
            <w:tcBorders>
              <w:top w:val="single" w:sz="4" w:space="0" w:color="1A171C"/>
              <w:left w:val="single" w:sz="4" w:space="0" w:color="1A171C"/>
              <w:bottom w:val="single" w:sz="4" w:space="0" w:color="1A171C"/>
              <w:right w:val="nil"/>
            </w:tcBorders>
            <w:vAlign w:val="center"/>
          </w:tcPr>
          <w:p w14:paraId="7FE1BFDD" w14:textId="501961FD" w:rsidR="00696584" w:rsidRDefault="002C4F63">
            <w:pPr>
              <w:pStyle w:val="P68B1DB1-TableParagraph14"/>
              <w:spacing w:before="108"/>
              <w:ind w:left="85"/>
              <w:jc w:val="both"/>
              <w:rPr>
                <w:bCs/>
              </w:rPr>
            </w:pPr>
            <w:r>
              <w:t>Geldbetrag</w:t>
            </w:r>
          </w:p>
          <w:p w14:paraId="7FE1BFDE" w14:textId="1157FFA9" w:rsidR="00696584" w:rsidRDefault="002C4F63">
            <w:pPr>
              <w:pStyle w:val="P68B1DB1-TableParagraph17"/>
              <w:spacing w:before="108"/>
              <w:ind w:left="85"/>
            </w:pPr>
            <w:r>
              <w:t>Beitrag (Geldbetrag), den der Rechtsträger zu den in Meldebogen Z 07.01 (FUNC 1) angegebenen Geldbeträgen leistet.</w:t>
            </w:r>
          </w:p>
          <w:p w14:paraId="7FE1BFDF" w14:textId="77777777" w:rsidR="00696584" w:rsidRDefault="002C4F63">
            <w:pPr>
              <w:pStyle w:val="P68B1DB1-TableParagraph17"/>
              <w:numPr>
                <w:ilvl w:val="0"/>
                <w:numId w:val="64"/>
              </w:numPr>
              <w:spacing w:before="108"/>
            </w:pPr>
            <w:r>
              <w:t>Einlagen – Wert der Konten</w:t>
            </w:r>
          </w:p>
          <w:p w14:paraId="7FE1BFE0" w14:textId="77777777" w:rsidR="00696584" w:rsidRDefault="002C4F63">
            <w:pPr>
              <w:pStyle w:val="P68B1DB1-TableParagraph17"/>
              <w:numPr>
                <w:ilvl w:val="0"/>
                <w:numId w:val="64"/>
              </w:numPr>
              <w:spacing w:before="108"/>
            </w:pPr>
            <w:r>
              <w:t>Kreditvergabe – ausstehender Wert</w:t>
            </w:r>
          </w:p>
          <w:p w14:paraId="7FE1BFE1" w14:textId="77777777" w:rsidR="00696584" w:rsidRDefault="002C4F63">
            <w:pPr>
              <w:pStyle w:val="P68B1DB1-TableParagraph17"/>
              <w:numPr>
                <w:ilvl w:val="0"/>
                <w:numId w:val="64"/>
              </w:numPr>
              <w:spacing w:before="108"/>
            </w:pPr>
            <w:r>
              <w:t>Zahlungen – Wert der Transaktionen/offenen Positionen/verwahrten Vermögenswerte (je nach Anwendbarkeit)</w:t>
            </w:r>
          </w:p>
          <w:p w14:paraId="7FE1BFE2" w14:textId="77777777" w:rsidR="00696584" w:rsidRDefault="002C4F63">
            <w:pPr>
              <w:pStyle w:val="P68B1DB1-TableParagraph17"/>
              <w:numPr>
                <w:ilvl w:val="0"/>
                <w:numId w:val="64"/>
              </w:numPr>
              <w:spacing w:before="108"/>
            </w:pPr>
            <w:r>
              <w:t>Kapitalmärkte – Nominalbetrag/Buchwert/Gebühreneinkommen (je nach Anwendbarkeit)</w:t>
            </w:r>
          </w:p>
          <w:p w14:paraId="7FE1BFE3" w14:textId="4F721178" w:rsidR="00696584" w:rsidRDefault="002C4F63">
            <w:pPr>
              <w:pStyle w:val="P68B1DB1-TableParagraph17"/>
              <w:numPr>
                <w:ilvl w:val="0"/>
                <w:numId w:val="64"/>
              </w:numPr>
              <w:spacing w:before="108"/>
            </w:pPr>
            <w:r>
              <w:lastRenderedPageBreak/>
              <w:t>Bruttobuchwert</w:t>
            </w:r>
          </w:p>
        </w:tc>
      </w:tr>
    </w:tbl>
    <w:p w14:paraId="7FE1BFE5" w14:textId="77777777" w:rsidR="00696584" w:rsidRDefault="00696584">
      <w:pPr>
        <w:rPr>
          <w:rFonts w:ascii="Times New Roman" w:hAnsi="Times New Roman" w:cs="Times New Roman"/>
          <w:color w:val="000000" w:themeColor="text1"/>
          <w:sz w:val="20"/>
          <w:szCs w:val="20"/>
        </w:rPr>
      </w:pPr>
    </w:p>
    <w:p w14:paraId="7FE1BFE6" w14:textId="30C6C61A" w:rsidR="00696584" w:rsidRDefault="002C4F63">
      <w:pPr>
        <w:pStyle w:val="P68B1DB1-Instructionsberschrift25"/>
        <w:numPr>
          <w:ilvl w:val="1"/>
          <w:numId w:val="49"/>
        </w:numPr>
        <w:ind w:left="357" w:hanging="357"/>
      </w:pPr>
      <w:bookmarkStart w:id="122" w:name="_Toc209533599"/>
      <w:r>
        <w:t>Z 07.03 – Kerngeschäftsbereiche nach Rechtsträgern (FUNC 3)</w:t>
      </w:r>
      <w:bookmarkEnd w:id="122"/>
    </w:p>
    <w:p w14:paraId="7FE1BFE7" w14:textId="2A9EA2DA" w:rsidR="00696584" w:rsidRDefault="002C4F63">
      <w:pPr>
        <w:pStyle w:val="P68B1DB1-Instructionsberschrift312"/>
        <w:rPr>
          <w:bCs/>
        </w:rPr>
      </w:pPr>
      <w:r>
        <w:t>Erläuterungen zu bestimmten Positionen</w:t>
      </w:r>
    </w:p>
    <w:p w14:paraId="7FE1BFE8" w14:textId="22DA3D65" w:rsidR="00696584" w:rsidRDefault="002C4F63">
      <w:pPr>
        <w:pStyle w:val="P68B1DB1-InstructionsText26"/>
        <w:numPr>
          <w:ilvl w:val="0"/>
          <w:numId w:val="232"/>
        </w:numPr>
        <w:spacing w:before="0"/>
      </w:pPr>
      <w:r>
        <w:t>Die Kombination der Werte der Spalten 0020 und 0050 dieses Meldebogens bildet einen Primärschlüssel, der jeweils eine spezifische Zeile des Meldebogens bezeichnet.</w:t>
      </w:r>
    </w:p>
    <w:p w14:paraId="7FE1BFE9" w14:textId="29720803" w:rsidR="00696584" w:rsidRDefault="002C4F63">
      <w:pPr>
        <w:pStyle w:val="P68B1DB1-InstructionsText26"/>
        <w:numPr>
          <w:ilvl w:val="0"/>
          <w:numId w:val="232"/>
        </w:numPr>
        <w:spacing w:before="0"/>
      </w:pPr>
      <w:r>
        <w:t xml:space="preserve">In diesem Meldebogen werden lediglich die Geschäftsfelder der relevanten Rechtsträger ausgewiesen. </w:t>
      </w:r>
    </w:p>
    <w:tbl>
      <w:tblPr>
        <w:tblW w:w="9083" w:type="dxa"/>
        <w:tblLayout w:type="fixed"/>
        <w:tblCellMar>
          <w:top w:w="57" w:type="dxa"/>
          <w:left w:w="57" w:type="dxa"/>
          <w:bottom w:w="57" w:type="dxa"/>
          <w:right w:w="0" w:type="dxa"/>
        </w:tblCellMar>
        <w:tblLook w:val="01E0" w:firstRow="1" w:lastRow="1" w:firstColumn="1" w:lastColumn="1" w:noHBand="0" w:noVBand="0"/>
      </w:tblPr>
      <w:tblGrid>
        <w:gridCol w:w="1191"/>
        <w:gridCol w:w="7892"/>
      </w:tblGrid>
      <w:tr w:rsidR="00696584" w14:paraId="7FE1BFEC" w14:textId="77777777">
        <w:trPr>
          <w:tblHeader/>
        </w:trPr>
        <w:tc>
          <w:tcPr>
            <w:tcW w:w="1191" w:type="dxa"/>
            <w:tcBorders>
              <w:top w:val="single" w:sz="4" w:space="0" w:color="1A171C"/>
              <w:left w:val="nil"/>
              <w:bottom w:val="single" w:sz="4" w:space="0" w:color="1A171C"/>
              <w:right w:val="single" w:sz="4" w:space="0" w:color="1A171C"/>
            </w:tcBorders>
            <w:shd w:val="clear" w:color="auto" w:fill="E4E5E5"/>
          </w:tcPr>
          <w:p w14:paraId="7FE1BFEA" w14:textId="77777777" w:rsidR="00696584" w:rsidRDefault="002C4F63">
            <w:pPr>
              <w:pStyle w:val="P68B1DB1-TableParagraph17"/>
              <w:spacing w:before="108"/>
              <w:ind w:left="85"/>
              <w:jc w:val="both"/>
            </w:pPr>
            <w:r>
              <w:t>Spalten</w:t>
            </w:r>
          </w:p>
        </w:tc>
        <w:tc>
          <w:tcPr>
            <w:tcW w:w="7892" w:type="dxa"/>
            <w:tcBorders>
              <w:top w:val="single" w:sz="4" w:space="0" w:color="1A171C"/>
              <w:left w:val="single" w:sz="4" w:space="0" w:color="1A171C"/>
              <w:bottom w:val="single" w:sz="4" w:space="0" w:color="1A171C"/>
              <w:right w:val="nil"/>
            </w:tcBorders>
            <w:shd w:val="clear" w:color="auto" w:fill="E4E5E5"/>
          </w:tcPr>
          <w:p w14:paraId="7FE1BFEB" w14:textId="77777777" w:rsidR="00696584" w:rsidRDefault="002C4F63">
            <w:pPr>
              <w:pStyle w:val="P68B1DB1-TableParagraph17"/>
              <w:spacing w:before="108"/>
              <w:ind w:left="85" w:right="1"/>
              <w:jc w:val="both"/>
            </w:pPr>
            <w:r>
              <w:t>Erläuterungen</w:t>
            </w:r>
          </w:p>
        </w:tc>
      </w:tr>
      <w:tr w:rsidR="00696584" w14:paraId="7FE1BFEF" w14:textId="77777777">
        <w:tc>
          <w:tcPr>
            <w:tcW w:w="1191" w:type="dxa"/>
            <w:tcBorders>
              <w:top w:val="single" w:sz="4" w:space="0" w:color="1A171C"/>
              <w:left w:val="nil"/>
              <w:bottom w:val="single" w:sz="4" w:space="0" w:color="1A171C"/>
              <w:right w:val="single" w:sz="4" w:space="0" w:color="1A171C"/>
            </w:tcBorders>
            <w:vAlign w:val="center"/>
          </w:tcPr>
          <w:p w14:paraId="7FE1BFED" w14:textId="77777777" w:rsidR="00696584" w:rsidRDefault="002C4F63">
            <w:pPr>
              <w:pStyle w:val="P68B1DB1-TableParagraph17"/>
              <w:spacing w:before="108"/>
              <w:ind w:left="85"/>
            </w:pPr>
            <w:r>
              <w:t xml:space="preserve">0010-0030 </w:t>
            </w:r>
          </w:p>
        </w:tc>
        <w:tc>
          <w:tcPr>
            <w:tcW w:w="7892" w:type="dxa"/>
            <w:tcBorders>
              <w:top w:val="single" w:sz="4" w:space="0" w:color="1A171C"/>
              <w:left w:val="single" w:sz="4" w:space="0" w:color="1A171C"/>
              <w:bottom w:val="single" w:sz="4" w:space="0" w:color="1A171C"/>
              <w:right w:val="nil"/>
            </w:tcBorders>
            <w:vAlign w:val="center"/>
          </w:tcPr>
          <w:p w14:paraId="7FE1BFEE" w14:textId="164273BD" w:rsidR="00696584" w:rsidRDefault="002C4F63">
            <w:pPr>
              <w:pStyle w:val="P68B1DB1-TableParagraph14"/>
              <w:spacing w:before="108"/>
              <w:ind w:left="85"/>
              <w:jc w:val="both"/>
              <w:rPr>
                <w:bCs/>
              </w:rPr>
            </w:pPr>
            <w:r>
              <w:t>Kerngeschäftsbereich</w:t>
            </w:r>
          </w:p>
        </w:tc>
      </w:tr>
      <w:tr w:rsidR="00696584" w14:paraId="7FE1BFFF" w14:textId="77777777">
        <w:tc>
          <w:tcPr>
            <w:tcW w:w="1191" w:type="dxa"/>
            <w:tcBorders>
              <w:top w:val="single" w:sz="4" w:space="0" w:color="1A171C"/>
              <w:left w:val="nil"/>
              <w:bottom w:val="single" w:sz="4" w:space="0" w:color="1A171C"/>
              <w:right w:val="single" w:sz="4" w:space="0" w:color="1A171C"/>
            </w:tcBorders>
            <w:vAlign w:val="center"/>
          </w:tcPr>
          <w:p w14:paraId="7FE1BFF0" w14:textId="0E5EC75F" w:rsidR="00696584" w:rsidRDefault="002C4F63">
            <w:pPr>
              <w:pStyle w:val="P68B1DB1-TableParagraph17"/>
              <w:spacing w:before="108"/>
              <w:ind w:left="85"/>
            </w:pPr>
            <w:r>
              <w:t>0010</w:t>
            </w:r>
          </w:p>
        </w:tc>
        <w:tc>
          <w:tcPr>
            <w:tcW w:w="7892" w:type="dxa"/>
            <w:tcBorders>
              <w:top w:val="single" w:sz="4" w:space="0" w:color="1A171C"/>
              <w:left w:val="single" w:sz="4" w:space="0" w:color="1A171C"/>
              <w:bottom w:val="single" w:sz="4" w:space="0" w:color="1A171C"/>
              <w:right w:val="nil"/>
            </w:tcBorders>
            <w:vAlign w:val="center"/>
          </w:tcPr>
          <w:p w14:paraId="7FE1BFF1" w14:textId="77777777" w:rsidR="00696584" w:rsidRDefault="002C4F63">
            <w:pPr>
              <w:pStyle w:val="P68B1DB1-TableParagraph14"/>
              <w:spacing w:before="108"/>
              <w:ind w:left="85"/>
              <w:jc w:val="both"/>
              <w:rPr>
                <w:bCs/>
              </w:rPr>
            </w:pPr>
            <w:r>
              <w:t>Kerngeschäftsbereich</w:t>
            </w:r>
          </w:p>
          <w:p w14:paraId="7FE1BFF2" w14:textId="65133358" w:rsidR="00696584" w:rsidRDefault="002C4F63">
            <w:pPr>
              <w:pStyle w:val="P68B1DB1-TableParagraph17"/>
              <w:spacing w:before="108"/>
              <w:ind w:left="85"/>
            </w:pPr>
            <w:r>
              <w:t>Kerngeschäftsbereich im Sinne von Artikel 2 Absatz 1 Nummer 36 und Artikel 2 Absatz 2 der Richtlinie 2014/59/EU</w:t>
            </w:r>
          </w:p>
          <w:p w14:paraId="7FE1BFF3" w14:textId="77777777" w:rsidR="00696584" w:rsidRDefault="002C4F63">
            <w:pPr>
              <w:pStyle w:val="P68B1DB1-TableParagraph17"/>
              <w:spacing w:before="108"/>
              <w:ind w:left="85"/>
            </w:pPr>
            <w:r>
              <w:t>Für die Kernaktivität ist eine der unten angegebenen Aktivitäten auszuwählen.</w:t>
            </w:r>
          </w:p>
          <w:p w14:paraId="7FE1BFF4" w14:textId="66151AB5" w:rsidR="00696584" w:rsidRDefault="00651C2B">
            <w:pPr>
              <w:pStyle w:val="P68B1DB1-TableParagraph17"/>
              <w:numPr>
                <w:ilvl w:val="0"/>
                <w:numId w:val="139"/>
              </w:numPr>
              <w:spacing w:before="108"/>
              <w:rPr>
                <w:rFonts w:eastAsiaTheme="minorEastAsia"/>
              </w:rPr>
            </w:pPr>
            <w:r>
              <w:t>Privatkundengeschäft</w:t>
            </w:r>
            <w:r w:rsidR="002C4F63">
              <w:t xml:space="preserve">, </w:t>
            </w:r>
          </w:p>
          <w:p w14:paraId="7FE1BFF5" w14:textId="77777777" w:rsidR="00696584" w:rsidRDefault="002C4F63">
            <w:pPr>
              <w:pStyle w:val="P68B1DB1-TableParagraph17"/>
              <w:numPr>
                <w:ilvl w:val="0"/>
                <w:numId w:val="139"/>
              </w:numPr>
              <w:spacing w:before="108"/>
            </w:pPr>
            <w:r>
              <w:t>Firmenkunden</w:t>
            </w:r>
          </w:p>
          <w:p w14:paraId="7FE1BFF6" w14:textId="77777777" w:rsidR="00696584" w:rsidRDefault="002C4F63">
            <w:pPr>
              <w:pStyle w:val="P68B1DB1-TableParagraph17"/>
              <w:numPr>
                <w:ilvl w:val="0"/>
                <w:numId w:val="139"/>
              </w:numPr>
              <w:spacing w:before="108"/>
            </w:pPr>
            <w:r>
              <w:t xml:space="preserve">Investmentbanking </w:t>
            </w:r>
          </w:p>
          <w:p w14:paraId="7FE1BFF7" w14:textId="77777777" w:rsidR="00696584" w:rsidRDefault="002C4F63">
            <w:pPr>
              <w:pStyle w:val="P68B1DB1-TableParagraph17"/>
              <w:numPr>
                <w:ilvl w:val="0"/>
                <w:numId w:val="139"/>
              </w:numPr>
              <w:spacing w:before="108"/>
            </w:pPr>
            <w:r>
              <w:t>Versicherung</w:t>
            </w:r>
          </w:p>
          <w:p w14:paraId="7FE1BFF8" w14:textId="77777777" w:rsidR="00696584" w:rsidRDefault="002C4F63">
            <w:pPr>
              <w:pStyle w:val="P68B1DB1-TableParagraph17"/>
              <w:numPr>
                <w:ilvl w:val="0"/>
                <w:numId w:val="139"/>
              </w:numPr>
              <w:spacing w:before="108"/>
            </w:pPr>
            <w:r>
              <w:t>Rückversicherungen</w:t>
            </w:r>
          </w:p>
          <w:p w14:paraId="7FE1BFF9" w14:textId="77777777" w:rsidR="00696584" w:rsidRDefault="002C4F63">
            <w:pPr>
              <w:pStyle w:val="P68B1DB1-TableParagraph17"/>
              <w:numPr>
                <w:ilvl w:val="0"/>
                <w:numId w:val="139"/>
              </w:numPr>
              <w:spacing w:before="108"/>
            </w:pPr>
            <w:r>
              <w:t>Retail-Brokerage</w:t>
            </w:r>
          </w:p>
          <w:p w14:paraId="7FE1BFFA" w14:textId="77777777" w:rsidR="00696584" w:rsidRDefault="002C4F63">
            <w:pPr>
              <w:pStyle w:val="P68B1DB1-TableParagraph17"/>
              <w:numPr>
                <w:ilvl w:val="0"/>
                <w:numId w:val="139"/>
              </w:numPr>
              <w:spacing w:before="108"/>
            </w:pPr>
            <w:r>
              <w:t xml:space="preserve">Vermögensverwaltung </w:t>
            </w:r>
          </w:p>
          <w:p w14:paraId="7FE1BFFB" w14:textId="77777777" w:rsidR="00696584" w:rsidRDefault="002C4F63">
            <w:pPr>
              <w:pStyle w:val="P68B1DB1-TableParagraph17"/>
              <w:numPr>
                <w:ilvl w:val="0"/>
                <w:numId w:val="139"/>
              </w:numPr>
              <w:spacing w:before="108"/>
            </w:pPr>
            <w:r>
              <w:t>Immobilienagentur</w:t>
            </w:r>
          </w:p>
          <w:p w14:paraId="7FE1BFFC" w14:textId="77777777" w:rsidR="00696584" w:rsidRDefault="002C4F63">
            <w:pPr>
              <w:pStyle w:val="P68B1DB1-TableParagraph17"/>
              <w:numPr>
                <w:ilvl w:val="0"/>
                <w:numId w:val="139"/>
              </w:numPr>
              <w:spacing w:before="108"/>
            </w:pPr>
            <w:r>
              <w:t xml:space="preserve">Aufzeichnungen </w:t>
            </w:r>
          </w:p>
          <w:p w14:paraId="7FE1BFFD" w14:textId="77777777" w:rsidR="00696584" w:rsidRDefault="002C4F63">
            <w:pPr>
              <w:pStyle w:val="P68B1DB1-TableParagraph17"/>
              <w:numPr>
                <w:ilvl w:val="0"/>
                <w:numId w:val="139"/>
              </w:numPr>
              <w:spacing w:before="108"/>
            </w:pPr>
            <w:r>
              <w:t>Sonstiges</w:t>
            </w:r>
          </w:p>
          <w:p w14:paraId="7FE1BFFE" w14:textId="77777777" w:rsidR="00696584" w:rsidRDefault="00696584">
            <w:pPr>
              <w:pStyle w:val="TableParagraph"/>
              <w:spacing w:before="108"/>
              <w:ind w:left="85"/>
              <w:rPr>
                <w:rFonts w:ascii="Times New Roman" w:eastAsia="Cambria" w:hAnsi="Times New Roman" w:cs="Times New Roman"/>
                <w:color w:val="000000" w:themeColor="text1"/>
                <w:sz w:val="20"/>
                <w:szCs w:val="20"/>
              </w:rPr>
            </w:pPr>
          </w:p>
        </w:tc>
      </w:tr>
      <w:tr w:rsidR="00696584" w14:paraId="7FE1C003" w14:textId="77777777">
        <w:tc>
          <w:tcPr>
            <w:tcW w:w="1191" w:type="dxa"/>
            <w:tcBorders>
              <w:top w:val="single" w:sz="4" w:space="0" w:color="1A171C"/>
              <w:left w:val="nil"/>
              <w:bottom w:val="single" w:sz="4" w:space="0" w:color="1A171C"/>
              <w:right w:val="single" w:sz="4" w:space="0" w:color="1A171C"/>
            </w:tcBorders>
            <w:vAlign w:val="center"/>
          </w:tcPr>
          <w:p w14:paraId="7FE1C000" w14:textId="682F75AB" w:rsidR="00696584" w:rsidRDefault="002C4F63">
            <w:pPr>
              <w:pStyle w:val="P68B1DB1-TableParagraph17"/>
              <w:spacing w:before="108"/>
              <w:ind w:left="85"/>
            </w:pPr>
            <w:r>
              <w:t>0020</w:t>
            </w:r>
          </w:p>
        </w:tc>
        <w:tc>
          <w:tcPr>
            <w:tcW w:w="7892" w:type="dxa"/>
            <w:tcBorders>
              <w:top w:val="single" w:sz="4" w:space="0" w:color="1A171C"/>
              <w:left w:val="single" w:sz="4" w:space="0" w:color="1A171C"/>
              <w:bottom w:val="single" w:sz="4" w:space="0" w:color="1A171C"/>
              <w:right w:val="nil"/>
            </w:tcBorders>
            <w:vAlign w:val="center"/>
          </w:tcPr>
          <w:p w14:paraId="7FE1C001" w14:textId="77777777" w:rsidR="00696584" w:rsidRDefault="002C4F63">
            <w:pPr>
              <w:pStyle w:val="P68B1DB1-TableParagraph14"/>
              <w:spacing w:before="108"/>
              <w:ind w:left="85"/>
              <w:jc w:val="both"/>
              <w:rPr>
                <w:bCs/>
              </w:rPr>
            </w:pPr>
            <w:r>
              <w:t>ID des Geschäftsbereichs</w:t>
            </w:r>
          </w:p>
          <w:p w14:paraId="7FE1C002" w14:textId="77777777" w:rsidR="00696584" w:rsidRDefault="002C4F63">
            <w:pPr>
              <w:pStyle w:val="P68B1DB1-TableParagraph17"/>
              <w:spacing w:before="108"/>
              <w:ind w:left="85"/>
            </w:pPr>
            <w:r>
              <w:t>Vom Institut anzugebende eindeutige Kennung des Geschäftsbereichs.</w:t>
            </w:r>
          </w:p>
        </w:tc>
      </w:tr>
      <w:tr w:rsidR="00696584" w14:paraId="7FE1C016" w14:textId="77777777">
        <w:tc>
          <w:tcPr>
            <w:tcW w:w="1191" w:type="dxa"/>
            <w:tcBorders>
              <w:top w:val="single" w:sz="4" w:space="0" w:color="1A171C"/>
              <w:left w:val="nil"/>
              <w:bottom w:val="single" w:sz="4" w:space="0" w:color="1A171C"/>
              <w:right w:val="single" w:sz="4" w:space="0" w:color="1A171C"/>
            </w:tcBorders>
            <w:vAlign w:val="center"/>
          </w:tcPr>
          <w:p w14:paraId="7FE1C013" w14:textId="77777777" w:rsidR="00696584" w:rsidRDefault="002C4F63">
            <w:pPr>
              <w:pStyle w:val="P68B1DB1-TableParagraph17"/>
              <w:spacing w:before="108"/>
              <w:ind w:left="85"/>
            </w:pPr>
            <w:r>
              <w:t>0030</w:t>
            </w:r>
          </w:p>
        </w:tc>
        <w:tc>
          <w:tcPr>
            <w:tcW w:w="7892" w:type="dxa"/>
            <w:tcBorders>
              <w:top w:val="single" w:sz="4" w:space="0" w:color="1A171C"/>
              <w:left w:val="single" w:sz="4" w:space="0" w:color="1A171C"/>
              <w:bottom w:val="single" w:sz="4" w:space="0" w:color="1A171C"/>
              <w:right w:val="nil"/>
            </w:tcBorders>
            <w:vAlign w:val="center"/>
          </w:tcPr>
          <w:p w14:paraId="7FE1C014" w14:textId="77777777" w:rsidR="00696584" w:rsidRDefault="002C4F63">
            <w:pPr>
              <w:pStyle w:val="P68B1DB1-TableParagraph14"/>
              <w:spacing w:before="108"/>
              <w:ind w:left="85"/>
              <w:jc w:val="both"/>
              <w:rPr>
                <w:bCs/>
              </w:rPr>
            </w:pPr>
            <w:r>
              <w:t>Beschreibung</w:t>
            </w:r>
          </w:p>
          <w:p w14:paraId="7FE1C015" w14:textId="477A2340" w:rsidR="00696584" w:rsidRDefault="002C4F63">
            <w:pPr>
              <w:pStyle w:val="P68B1DB1-TableParagraph17"/>
              <w:spacing w:before="108"/>
              <w:ind w:left="85"/>
            </w:pPr>
            <w:r>
              <w:t>Beschreibung des Geschäftsfelds.</w:t>
            </w:r>
          </w:p>
        </w:tc>
      </w:tr>
      <w:tr w:rsidR="00696584" w14:paraId="7FE1C02E" w14:textId="77777777">
        <w:tc>
          <w:tcPr>
            <w:tcW w:w="1191" w:type="dxa"/>
            <w:tcBorders>
              <w:top w:val="single" w:sz="4" w:space="0" w:color="1A171C"/>
              <w:left w:val="nil"/>
              <w:bottom w:val="single" w:sz="4" w:space="0" w:color="1A171C"/>
              <w:right w:val="single" w:sz="4" w:space="0" w:color="1A171C"/>
            </w:tcBorders>
            <w:vAlign w:val="center"/>
          </w:tcPr>
          <w:p w14:paraId="7FE1C02A" w14:textId="46C1B07D" w:rsidR="00696584" w:rsidRDefault="002C4F63">
            <w:pPr>
              <w:pStyle w:val="P68B1DB1-TableParagraph17"/>
              <w:spacing w:before="108"/>
              <w:ind w:left="85"/>
            </w:pPr>
            <w:r>
              <w:t>0040</w:t>
            </w:r>
          </w:p>
        </w:tc>
        <w:tc>
          <w:tcPr>
            <w:tcW w:w="7892" w:type="dxa"/>
            <w:tcBorders>
              <w:top w:val="single" w:sz="4" w:space="0" w:color="1A171C"/>
              <w:left w:val="single" w:sz="4" w:space="0" w:color="1A171C"/>
              <w:bottom w:val="single" w:sz="4" w:space="0" w:color="1A171C"/>
              <w:right w:val="nil"/>
            </w:tcBorders>
            <w:vAlign w:val="center"/>
          </w:tcPr>
          <w:p w14:paraId="7FE1C02B" w14:textId="0F9C74D8" w:rsidR="00696584" w:rsidRDefault="002C4F63">
            <w:pPr>
              <w:pStyle w:val="P68B1DB1-TableParagraph14"/>
              <w:spacing w:before="108"/>
              <w:ind w:left="85"/>
              <w:jc w:val="both"/>
              <w:rPr>
                <w:bCs/>
              </w:rPr>
            </w:pPr>
            <w:r>
              <w:t>Name des Unternehmens</w:t>
            </w:r>
          </w:p>
          <w:p w14:paraId="7FE1C02D" w14:textId="45109CE8" w:rsidR="00696584" w:rsidRDefault="002C4F63">
            <w:pPr>
              <w:pStyle w:val="P68B1DB1-TableParagraph17"/>
              <w:spacing w:before="108"/>
              <w:ind w:left="85"/>
            </w:pPr>
            <w:r>
              <w:t>Name des Unternehmens wie in Z 01.01 (ORG 1) angegeben, das das Geschäftsfeld darstellt.</w:t>
            </w:r>
          </w:p>
        </w:tc>
      </w:tr>
      <w:tr w:rsidR="00696584" w14:paraId="7FE1C033" w14:textId="77777777">
        <w:tc>
          <w:tcPr>
            <w:tcW w:w="1191" w:type="dxa"/>
            <w:tcBorders>
              <w:top w:val="single" w:sz="4" w:space="0" w:color="1A171C"/>
              <w:left w:val="nil"/>
              <w:bottom w:val="single" w:sz="4" w:space="0" w:color="1A171C"/>
              <w:right w:val="single" w:sz="4" w:space="0" w:color="1A171C"/>
            </w:tcBorders>
            <w:vAlign w:val="center"/>
          </w:tcPr>
          <w:p w14:paraId="7FE1C02F" w14:textId="6C4ACCFA" w:rsidR="00696584" w:rsidRDefault="002C4F63">
            <w:pPr>
              <w:pStyle w:val="P68B1DB1-TableParagraph17"/>
              <w:spacing w:before="108"/>
              <w:ind w:left="85"/>
            </w:pPr>
            <w:r>
              <w:t>0050</w:t>
            </w:r>
          </w:p>
        </w:tc>
        <w:tc>
          <w:tcPr>
            <w:tcW w:w="7892" w:type="dxa"/>
            <w:tcBorders>
              <w:top w:val="single" w:sz="4" w:space="0" w:color="1A171C"/>
              <w:left w:val="single" w:sz="4" w:space="0" w:color="1A171C"/>
              <w:bottom w:val="single" w:sz="4" w:space="0" w:color="1A171C"/>
              <w:right w:val="nil"/>
            </w:tcBorders>
            <w:vAlign w:val="center"/>
          </w:tcPr>
          <w:p w14:paraId="7FE1C030" w14:textId="52AE8418" w:rsidR="00696584" w:rsidRDefault="002C4F63">
            <w:pPr>
              <w:pStyle w:val="P68B1DB1-TableParagraph14"/>
              <w:spacing w:before="108"/>
              <w:ind w:left="85"/>
              <w:jc w:val="both"/>
              <w:rPr>
                <w:bCs/>
              </w:rPr>
            </w:pPr>
            <w:r>
              <w:t xml:space="preserve">Code </w:t>
            </w:r>
          </w:p>
          <w:p w14:paraId="7FE1C031" w14:textId="77777777" w:rsidR="00696584" w:rsidRDefault="002C4F63">
            <w:pPr>
              <w:pStyle w:val="P68B1DB1-TableParagraph17"/>
              <w:spacing w:before="108"/>
              <w:ind w:left="85"/>
            </w:pPr>
            <w:r>
              <w:t>Spezifische Kennung des Rechtsträgers aus Spalte 0020, wie im Meldebogen Z 01.01 (ORG 1) angegeben.</w:t>
            </w:r>
          </w:p>
          <w:p w14:paraId="7FE1C032" w14:textId="299C7D7B" w:rsidR="00696584" w:rsidRDefault="002C4F63">
            <w:pPr>
              <w:pStyle w:val="P68B1DB1-TableParagraph17"/>
              <w:spacing w:before="108"/>
              <w:ind w:left="85"/>
            </w:pPr>
            <w:r>
              <w:t>Die Identifizierung der Unternehmen erfolgt über die Meldebögen hinweg einheitlich.</w:t>
            </w:r>
          </w:p>
        </w:tc>
      </w:tr>
      <w:tr w:rsidR="00696584" w14:paraId="7FE1C03A" w14:textId="77777777">
        <w:tc>
          <w:tcPr>
            <w:tcW w:w="1191" w:type="dxa"/>
            <w:tcBorders>
              <w:top w:val="single" w:sz="4" w:space="0" w:color="1A171C"/>
              <w:left w:val="nil"/>
              <w:bottom w:val="single" w:sz="4" w:space="0" w:color="1A171C"/>
              <w:right w:val="single" w:sz="4" w:space="0" w:color="1A171C"/>
            </w:tcBorders>
            <w:vAlign w:val="center"/>
          </w:tcPr>
          <w:p w14:paraId="7FE1C034" w14:textId="0F108D7B" w:rsidR="00696584" w:rsidRDefault="002C4F63">
            <w:pPr>
              <w:pStyle w:val="P68B1DB1-TableParagraph17"/>
              <w:spacing w:before="108"/>
              <w:ind w:left="85"/>
            </w:pPr>
            <w:r>
              <w:lastRenderedPageBreak/>
              <w:t>0060</w:t>
            </w:r>
          </w:p>
        </w:tc>
        <w:tc>
          <w:tcPr>
            <w:tcW w:w="7892" w:type="dxa"/>
            <w:tcBorders>
              <w:top w:val="single" w:sz="4" w:space="0" w:color="1A171C"/>
              <w:left w:val="single" w:sz="4" w:space="0" w:color="1A171C"/>
              <w:bottom w:val="single" w:sz="4" w:space="0" w:color="1A171C"/>
              <w:right w:val="nil"/>
            </w:tcBorders>
            <w:vAlign w:val="center"/>
          </w:tcPr>
          <w:p w14:paraId="7FE1C035" w14:textId="77777777" w:rsidR="00696584" w:rsidRDefault="002C4F63">
            <w:pPr>
              <w:pStyle w:val="P68B1DB1-TableParagraph14"/>
              <w:spacing w:before="108"/>
              <w:ind w:left="85"/>
              <w:jc w:val="both"/>
              <w:rPr>
                <w:bCs/>
              </w:rPr>
            </w:pPr>
            <w:r>
              <w:t>Art des Codes</w:t>
            </w:r>
          </w:p>
          <w:p w14:paraId="4F36B5CB" w14:textId="0A20F8AD" w:rsidR="00696584" w:rsidRDefault="002C4F63">
            <w:pPr>
              <w:pStyle w:val="P68B1DB1-TableParagraph13"/>
              <w:spacing w:before="108"/>
              <w:ind w:left="85"/>
              <w:jc w:val="both"/>
              <w:rPr>
                <w:bCs/>
              </w:rPr>
            </w:pPr>
            <w:r>
              <w:t>Auswahl unter folgenden Optionen: „LEI-Code“, „MFI-Code“ oder „Andere Art der Kennung als LEI-Code oder MFI-Code“.</w:t>
            </w:r>
          </w:p>
          <w:p w14:paraId="7FE1C039" w14:textId="5BB46896" w:rsidR="00696584" w:rsidRDefault="002C4F63">
            <w:pPr>
              <w:pStyle w:val="P68B1DB1-TableParagraph13"/>
              <w:spacing w:before="108"/>
              <w:ind w:left="85"/>
              <w:jc w:val="both"/>
              <w:rPr>
                <w:b/>
                <w:bCs/>
              </w:rPr>
            </w:pPr>
            <w:r>
              <w:t xml:space="preserve">Die Identifizierung der Unternehmen erfolgt über die Meldebögen hinweg einheitlich. </w:t>
            </w:r>
          </w:p>
        </w:tc>
      </w:tr>
    </w:tbl>
    <w:p w14:paraId="7FE1C03B" w14:textId="7E256DE6" w:rsidR="00696584" w:rsidRDefault="002C4F63">
      <w:pPr>
        <w:pStyle w:val="P68B1DB1-Instructionsberschrift25"/>
        <w:numPr>
          <w:ilvl w:val="1"/>
          <w:numId w:val="49"/>
        </w:numPr>
        <w:ind w:left="357" w:hanging="357"/>
      </w:pPr>
      <w:bookmarkStart w:id="123" w:name="_Toc209533600"/>
      <w:r>
        <w:t>Z 07.04 – Kritische Funktionen in den Kerngeschäftsbereichen (FUNC 4)</w:t>
      </w:r>
      <w:bookmarkEnd w:id="123"/>
    </w:p>
    <w:p w14:paraId="7FE1C03C" w14:textId="77777777" w:rsidR="00696584" w:rsidRDefault="002C4F63">
      <w:pPr>
        <w:pStyle w:val="P68B1DB1-Instructionsberschrift312"/>
        <w:rPr>
          <w:bCs/>
        </w:rPr>
      </w:pPr>
      <w:r>
        <w:t>Erläuterungen zu bestimmten Positionen</w:t>
      </w:r>
    </w:p>
    <w:p w14:paraId="7FE1C03E" w14:textId="1250AC76" w:rsidR="00696584" w:rsidRDefault="002C4F63">
      <w:pPr>
        <w:pStyle w:val="P68B1DB1-InstructionsText26"/>
        <w:numPr>
          <w:ilvl w:val="0"/>
          <w:numId w:val="0"/>
        </w:numPr>
        <w:spacing w:before="0"/>
        <w:ind w:left="1800"/>
      </w:pPr>
      <w:r>
        <w:t>Die Kombination der Werte der Spalten 0010, 0020 und 0040 dieses Meldebogens bildet einen Primärschlüssel, der jeweils eine spezifische Zeile des Meldebogens bezeichnet.</w:t>
      </w:r>
    </w:p>
    <w:p w14:paraId="67939923" w14:textId="3C6687E0" w:rsidR="00696584" w:rsidRDefault="002C4F63">
      <w:pPr>
        <w:pStyle w:val="CommentText"/>
        <w:rPr>
          <w:rFonts w:ascii="Times New Roman" w:hAnsi="Times New Roman" w:cs="Times New Roman"/>
        </w:rPr>
      </w:pPr>
      <w:r>
        <w:rPr>
          <w:rFonts w:ascii="Times New Roman" w:hAnsi="Times New Roman" w:cs="Times New Roman"/>
        </w:rPr>
        <w:t>Nur kritische Funktionen, wie in</w:t>
      </w:r>
      <w:r>
        <w:rPr>
          <w:i/>
        </w:rPr>
        <w:t xml:space="preserve"> </w:t>
      </w:r>
      <w:r w:rsidR="00651C2B">
        <w:rPr>
          <w:i/>
        </w:rPr>
        <w:t>{</w:t>
      </w:r>
      <w:r>
        <w:rPr>
          <w:i/>
        </w:rPr>
        <w:t>Z 07.01.1 FUNC 1 DEP</w:t>
      </w:r>
      <w:r w:rsidR="00651C2B">
        <w:rPr>
          <w:i/>
        </w:rPr>
        <w:t>;</w:t>
      </w:r>
      <w:r>
        <w:rPr>
          <w:i/>
        </w:rPr>
        <w:t xml:space="preserve"> c0170; Z 07.01.2 FUNC 1 LEN, c0180; Z 07.01.3 FUNC 1 PAY, c0250; Z 07.01.4 FUNC 1 CM, c0210; Z 07.01.5 </w:t>
      </w:r>
      <w:r>
        <w:rPr>
          <w:rFonts w:ascii="Times New Roman" w:hAnsi="Times New Roman" w:cs="Times New Roman"/>
        </w:rPr>
        <w:t>FUNC 1 WF, c0180</w:t>
      </w:r>
      <w:r w:rsidR="00651C2B">
        <w:rPr>
          <w:rFonts w:ascii="Times New Roman" w:hAnsi="Times New Roman" w:cs="Times New Roman"/>
        </w:rPr>
        <w:t xml:space="preserve">} ermittelt sind in diesem Meldebogen </w:t>
      </w:r>
      <w:r>
        <w:rPr>
          <w:rFonts w:ascii="Times New Roman" w:hAnsi="Times New Roman" w:cs="Times New Roman"/>
        </w:rPr>
        <w:t>anzugeben.</w:t>
      </w:r>
    </w:p>
    <w:p w14:paraId="7FE1C040" w14:textId="77777777" w:rsidR="00696584" w:rsidRDefault="00696584">
      <w:pPr>
        <w:pStyle w:val="CommentText"/>
        <w:rPr>
          <w:rFonts w:ascii="Times New Roman" w:hAnsi="Times New Roman" w:cs="Times New Roman"/>
        </w:rPr>
      </w:pPr>
    </w:p>
    <w:tbl>
      <w:tblPr>
        <w:tblW w:w="9083" w:type="dxa"/>
        <w:tblLayout w:type="fixed"/>
        <w:tblCellMar>
          <w:top w:w="57" w:type="dxa"/>
          <w:left w:w="57" w:type="dxa"/>
          <w:bottom w:w="57" w:type="dxa"/>
          <w:right w:w="0" w:type="dxa"/>
        </w:tblCellMar>
        <w:tblLook w:val="01E0" w:firstRow="1" w:lastRow="1" w:firstColumn="1" w:lastColumn="1" w:noHBand="0" w:noVBand="0"/>
      </w:tblPr>
      <w:tblGrid>
        <w:gridCol w:w="1191"/>
        <w:gridCol w:w="7892"/>
      </w:tblGrid>
      <w:tr w:rsidR="00696584" w14:paraId="7FE1C043" w14:textId="77777777">
        <w:tc>
          <w:tcPr>
            <w:tcW w:w="1191" w:type="dxa"/>
            <w:tcBorders>
              <w:top w:val="single" w:sz="4" w:space="0" w:color="1A171C"/>
              <w:left w:val="nil"/>
              <w:bottom w:val="single" w:sz="4" w:space="0" w:color="1A171C"/>
              <w:right w:val="single" w:sz="4" w:space="0" w:color="1A171C"/>
            </w:tcBorders>
            <w:shd w:val="clear" w:color="auto" w:fill="E4E5E5"/>
          </w:tcPr>
          <w:p w14:paraId="7FE1C041" w14:textId="77777777" w:rsidR="00696584" w:rsidRDefault="002C4F63">
            <w:pPr>
              <w:pStyle w:val="P68B1DB1-TableParagraph17"/>
              <w:spacing w:before="108"/>
              <w:ind w:left="85"/>
              <w:jc w:val="both"/>
            </w:pPr>
            <w:r>
              <w:t>Spalten</w:t>
            </w:r>
          </w:p>
        </w:tc>
        <w:tc>
          <w:tcPr>
            <w:tcW w:w="7892" w:type="dxa"/>
            <w:tcBorders>
              <w:top w:val="single" w:sz="4" w:space="0" w:color="1A171C"/>
              <w:left w:val="single" w:sz="4" w:space="0" w:color="1A171C"/>
              <w:bottom w:val="single" w:sz="4" w:space="0" w:color="1A171C"/>
              <w:right w:val="nil"/>
            </w:tcBorders>
            <w:shd w:val="clear" w:color="auto" w:fill="E4E5E5"/>
          </w:tcPr>
          <w:p w14:paraId="7FE1C042" w14:textId="77777777" w:rsidR="00696584" w:rsidRDefault="002C4F63">
            <w:pPr>
              <w:pStyle w:val="P68B1DB1-TableParagraph17"/>
              <w:spacing w:before="108"/>
              <w:ind w:left="85" w:right="1"/>
              <w:jc w:val="both"/>
            </w:pPr>
            <w:r>
              <w:t>Erläuterungen</w:t>
            </w:r>
          </w:p>
        </w:tc>
      </w:tr>
      <w:tr w:rsidR="00696584" w14:paraId="7FE1C046" w14:textId="77777777">
        <w:tc>
          <w:tcPr>
            <w:tcW w:w="1191" w:type="dxa"/>
            <w:tcBorders>
              <w:top w:val="single" w:sz="4" w:space="0" w:color="1A171C"/>
              <w:left w:val="nil"/>
              <w:bottom w:val="single" w:sz="4" w:space="0" w:color="1A171C"/>
              <w:right w:val="single" w:sz="4" w:space="0" w:color="1A171C"/>
            </w:tcBorders>
            <w:vAlign w:val="center"/>
          </w:tcPr>
          <w:p w14:paraId="7FE1C044" w14:textId="77777777" w:rsidR="00696584" w:rsidRDefault="002C4F63">
            <w:pPr>
              <w:pStyle w:val="P68B1DB1-TableParagraph13"/>
              <w:spacing w:before="108"/>
              <w:ind w:left="85"/>
            </w:pPr>
            <w:r>
              <w:t xml:space="preserve">0010-0020 </w:t>
            </w:r>
          </w:p>
        </w:tc>
        <w:tc>
          <w:tcPr>
            <w:tcW w:w="7892" w:type="dxa"/>
            <w:tcBorders>
              <w:top w:val="single" w:sz="4" w:space="0" w:color="1A171C"/>
              <w:left w:val="single" w:sz="4" w:space="0" w:color="1A171C"/>
              <w:bottom w:val="single" w:sz="4" w:space="0" w:color="1A171C"/>
              <w:right w:val="nil"/>
            </w:tcBorders>
            <w:vAlign w:val="center"/>
          </w:tcPr>
          <w:p w14:paraId="7FE1C045" w14:textId="2FA81A45" w:rsidR="00696584" w:rsidRDefault="002C4F63">
            <w:pPr>
              <w:pStyle w:val="P68B1DB1-TableParagraph14"/>
              <w:spacing w:before="108"/>
              <w:ind w:left="85"/>
              <w:jc w:val="both"/>
              <w:rPr>
                <w:bCs/>
              </w:rPr>
            </w:pPr>
            <w:r>
              <w:t xml:space="preserve"> Kritische Funktion</w:t>
            </w:r>
          </w:p>
        </w:tc>
      </w:tr>
      <w:tr w:rsidR="00696584" w14:paraId="7FE1C04A" w14:textId="77777777">
        <w:tc>
          <w:tcPr>
            <w:tcW w:w="1191" w:type="dxa"/>
            <w:tcBorders>
              <w:top w:val="single" w:sz="4" w:space="0" w:color="1A171C"/>
              <w:left w:val="nil"/>
              <w:bottom w:val="single" w:sz="4" w:space="0" w:color="1A171C"/>
              <w:right w:val="single" w:sz="4" w:space="0" w:color="1A171C"/>
            </w:tcBorders>
            <w:vAlign w:val="center"/>
          </w:tcPr>
          <w:p w14:paraId="7FE1C047" w14:textId="77777777" w:rsidR="00696584" w:rsidRDefault="002C4F63">
            <w:pPr>
              <w:pStyle w:val="P68B1DB1-TableParagraph13"/>
              <w:spacing w:before="108"/>
              <w:ind w:left="85"/>
              <w:rPr>
                <w:rFonts w:eastAsia="Cambria"/>
              </w:rPr>
            </w:pPr>
            <w:r>
              <w:t>0010</w:t>
            </w:r>
          </w:p>
        </w:tc>
        <w:tc>
          <w:tcPr>
            <w:tcW w:w="7892" w:type="dxa"/>
            <w:tcBorders>
              <w:top w:val="single" w:sz="4" w:space="0" w:color="1A171C"/>
              <w:left w:val="single" w:sz="4" w:space="0" w:color="1A171C"/>
              <w:bottom w:val="single" w:sz="4" w:space="0" w:color="1A171C"/>
              <w:right w:val="nil"/>
            </w:tcBorders>
            <w:vAlign w:val="center"/>
          </w:tcPr>
          <w:p w14:paraId="7FE1C048" w14:textId="77777777" w:rsidR="00696584" w:rsidRDefault="002C4F63">
            <w:pPr>
              <w:pStyle w:val="P68B1DB1-TableParagraph14"/>
              <w:spacing w:before="108"/>
              <w:ind w:left="85"/>
              <w:jc w:val="both"/>
              <w:rPr>
                <w:bCs/>
              </w:rPr>
            </w:pPr>
            <w:r>
              <w:t>Land</w:t>
            </w:r>
          </w:p>
          <w:p w14:paraId="7FE1C049" w14:textId="77777777" w:rsidR="00696584" w:rsidRDefault="002C4F63">
            <w:pPr>
              <w:pStyle w:val="P68B1DB1-TableParagraph17"/>
              <w:spacing w:before="108"/>
              <w:ind w:left="85"/>
            </w:pPr>
            <w:r>
              <w:t>Land, für das die Funktion kritisch ist, wie im Meldebogen Z 07.01 (FUNC 1) angegeben.</w:t>
            </w:r>
          </w:p>
        </w:tc>
      </w:tr>
      <w:tr w:rsidR="00696584" w14:paraId="7FE1C04E" w14:textId="77777777">
        <w:tc>
          <w:tcPr>
            <w:tcW w:w="1191" w:type="dxa"/>
            <w:tcBorders>
              <w:top w:val="single" w:sz="4" w:space="0" w:color="1A171C"/>
              <w:left w:val="nil"/>
              <w:bottom w:val="single" w:sz="4" w:space="0" w:color="1A171C"/>
              <w:right w:val="single" w:sz="4" w:space="0" w:color="1A171C"/>
            </w:tcBorders>
            <w:vAlign w:val="center"/>
          </w:tcPr>
          <w:p w14:paraId="7FE1C04B" w14:textId="77777777" w:rsidR="00696584" w:rsidRDefault="002C4F63">
            <w:pPr>
              <w:pStyle w:val="P68B1DB1-TableParagraph13"/>
              <w:spacing w:before="108"/>
              <w:ind w:left="85"/>
              <w:rPr>
                <w:rFonts w:eastAsia="Cambria"/>
              </w:rPr>
            </w:pPr>
            <w:r>
              <w:t>0020</w:t>
            </w:r>
          </w:p>
        </w:tc>
        <w:tc>
          <w:tcPr>
            <w:tcW w:w="7892" w:type="dxa"/>
            <w:tcBorders>
              <w:top w:val="single" w:sz="4" w:space="0" w:color="1A171C"/>
              <w:left w:val="single" w:sz="4" w:space="0" w:color="1A171C"/>
              <w:bottom w:val="single" w:sz="4" w:space="0" w:color="1A171C"/>
              <w:right w:val="nil"/>
            </w:tcBorders>
            <w:vAlign w:val="center"/>
          </w:tcPr>
          <w:p w14:paraId="7FE1C04C" w14:textId="44776774" w:rsidR="00696584" w:rsidRDefault="006F7CBC">
            <w:pPr>
              <w:pStyle w:val="P68B1DB1-TableParagraph14"/>
              <w:spacing w:before="108"/>
              <w:ind w:left="85"/>
              <w:jc w:val="both"/>
              <w:rPr>
                <w:bCs/>
              </w:rPr>
            </w:pPr>
            <w:r>
              <w:t>ID</w:t>
            </w:r>
          </w:p>
          <w:p w14:paraId="7FE1C04D" w14:textId="4D9D2A77" w:rsidR="00696584" w:rsidRDefault="002C4F63">
            <w:pPr>
              <w:pStyle w:val="P68B1DB1-TableParagraph17"/>
              <w:spacing w:before="108"/>
              <w:ind w:left="85"/>
            </w:pPr>
            <w:r>
              <w:t>ID der kritischen Funktionen, wie im Meldebogen Z 07.01 (FUNC 1) nach der Durchführungsverordnung (EU) 2018/1624 angegeben.</w:t>
            </w:r>
          </w:p>
        </w:tc>
      </w:tr>
      <w:tr w:rsidR="00696584" w14:paraId="7FE1C051" w14:textId="77777777">
        <w:tc>
          <w:tcPr>
            <w:tcW w:w="1191" w:type="dxa"/>
            <w:tcBorders>
              <w:top w:val="single" w:sz="4" w:space="0" w:color="1A171C"/>
              <w:left w:val="nil"/>
              <w:bottom w:val="single" w:sz="4" w:space="0" w:color="1A171C"/>
              <w:right w:val="single" w:sz="4" w:space="0" w:color="1A171C"/>
            </w:tcBorders>
            <w:vAlign w:val="center"/>
          </w:tcPr>
          <w:p w14:paraId="7FE1C04F" w14:textId="77777777" w:rsidR="00696584" w:rsidRDefault="002C4F63">
            <w:pPr>
              <w:pStyle w:val="P68B1DB1-TableParagraph13"/>
              <w:spacing w:before="108"/>
              <w:ind w:left="85"/>
            </w:pPr>
            <w:r>
              <w:t xml:space="preserve">0030-0040 </w:t>
            </w:r>
          </w:p>
        </w:tc>
        <w:tc>
          <w:tcPr>
            <w:tcW w:w="7892" w:type="dxa"/>
            <w:tcBorders>
              <w:top w:val="single" w:sz="4" w:space="0" w:color="1A171C"/>
              <w:left w:val="single" w:sz="4" w:space="0" w:color="1A171C"/>
              <w:bottom w:val="single" w:sz="4" w:space="0" w:color="1A171C"/>
              <w:right w:val="nil"/>
            </w:tcBorders>
            <w:vAlign w:val="center"/>
          </w:tcPr>
          <w:p w14:paraId="7FE1C050" w14:textId="2172F172" w:rsidR="00696584" w:rsidRDefault="002C4F63">
            <w:pPr>
              <w:pStyle w:val="P68B1DB1-TableParagraph14"/>
              <w:spacing w:before="108"/>
              <w:ind w:left="85"/>
              <w:jc w:val="both"/>
              <w:rPr>
                <w:bCs/>
              </w:rPr>
            </w:pPr>
            <w:r>
              <w:t>Kerngeschäftsbereich</w:t>
            </w:r>
          </w:p>
        </w:tc>
      </w:tr>
      <w:tr w:rsidR="00696584" w14:paraId="7FE1C057" w14:textId="77777777">
        <w:tc>
          <w:tcPr>
            <w:tcW w:w="1191" w:type="dxa"/>
            <w:tcBorders>
              <w:top w:val="single" w:sz="4" w:space="0" w:color="1A171C"/>
              <w:left w:val="nil"/>
              <w:bottom w:val="single" w:sz="4" w:space="0" w:color="1A171C"/>
              <w:right w:val="single" w:sz="4" w:space="0" w:color="1A171C"/>
            </w:tcBorders>
            <w:vAlign w:val="center"/>
          </w:tcPr>
          <w:p w14:paraId="7FE1C052" w14:textId="77777777" w:rsidR="00696584" w:rsidRDefault="002C4F63">
            <w:pPr>
              <w:pStyle w:val="P68B1DB1-TableParagraph13"/>
              <w:spacing w:before="108"/>
              <w:ind w:left="85"/>
              <w:rPr>
                <w:rFonts w:eastAsia="Cambria"/>
              </w:rPr>
            </w:pPr>
            <w:r>
              <w:t>0030</w:t>
            </w:r>
          </w:p>
        </w:tc>
        <w:tc>
          <w:tcPr>
            <w:tcW w:w="7892" w:type="dxa"/>
            <w:tcBorders>
              <w:top w:val="single" w:sz="4" w:space="0" w:color="1A171C"/>
              <w:left w:val="single" w:sz="4" w:space="0" w:color="1A171C"/>
              <w:bottom w:val="single" w:sz="4" w:space="0" w:color="1A171C"/>
              <w:right w:val="nil"/>
            </w:tcBorders>
            <w:vAlign w:val="center"/>
          </w:tcPr>
          <w:p w14:paraId="7FE1C055" w14:textId="77777777" w:rsidR="00696584" w:rsidRDefault="002C4F63">
            <w:pPr>
              <w:pStyle w:val="P68B1DB1-TableParagraph14"/>
              <w:spacing w:before="108"/>
              <w:ind w:left="85"/>
              <w:jc w:val="both"/>
              <w:rPr>
                <w:bCs/>
              </w:rPr>
            </w:pPr>
            <w:r>
              <w:t>Kerngeschäftsbereich</w:t>
            </w:r>
          </w:p>
          <w:p w14:paraId="7FE1C056" w14:textId="77777777" w:rsidR="00696584" w:rsidRDefault="002C4F63">
            <w:pPr>
              <w:pStyle w:val="P68B1DB1-TableParagraph17"/>
              <w:spacing w:before="108"/>
              <w:ind w:left="85"/>
            </w:pPr>
            <w:r>
              <w:t>Kerngeschäftsbereich im Sinne von Artikel 2 Absatz 1 Nummer 36 und Artikel 2 Absatz 2 der Richtlinie 2014/59/EU wie im Meldebogen Z 07.03 (FUNC 3) gemeldet</w:t>
            </w:r>
          </w:p>
        </w:tc>
      </w:tr>
      <w:tr w:rsidR="00696584" w14:paraId="7FE1C05B" w14:textId="77777777">
        <w:tc>
          <w:tcPr>
            <w:tcW w:w="1191" w:type="dxa"/>
            <w:tcBorders>
              <w:top w:val="single" w:sz="4" w:space="0" w:color="1A171C"/>
              <w:left w:val="nil"/>
              <w:bottom w:val="single" w:sz="4" w:space="0" w:color="1A171C"/>
              <w:right w:val="single" w:sz="4" w:space="0" w:color="1A171C"/>
            </w:tcBorders>
            <w:vAlign w:val="center"/>
          </w:tcPr>
          <w:p w14:paraId="7FE1C058" w14:textId="7310E27F" w:rsidR="00696584" w:rsidRDefault="002C4F63">
            <w:pPr>
              <w:pStyle w:val="P68B1DB1-TableParagraph13"/>
              <w:spacing w:before="108"/>
              <w:ind w:left="85"/>
              <w:rPr>
                <w:rFonts w:eastAsia="Cambria"/>
              </w:rPr>
            </w:pPr>
            <w:r>
              <w:t>0040</w:t>
            </w:r>
          </w:p>
        </w:tc>
        <w:tc>
          <w:tcPr>
            <w:tcW w:w="7892" w:type="dxa"/>
            <w:tcBorders>
              <w:top w:val="single" w:sz="4" w:space="0" w:color="1A171C"/>
              <w:left w:val="single" w:sz="4" w:space="0" w:color="1A171C"/>
              <w:bottom w:val="single" w:sz="4" w:space="0" w:color="1A171C"/>
              <w:right w:val="nil"/>
            </w:tcBorders>
            <w:vAlign w:val="center"/>
          </w:tcPr>
          <w:p w14:paraId="7FE1C059" w14:textId="77777777" w:rsidR="00696584" w:rsidRDefault="002C4F63">
            <w:pPr>
              <w:pStyle w:val="P68B1DB1-TableParagraph14"/>
              <w:spacing w:before="108"/>
              <w:ind w:left="85"/>
              <w:jc w:val="both"/>
              <w:rPr>
                <w:bCs/>
              </w:rPr>
            </w:pPr>
            <w:r>
              <w:t>Geschäftsfeld: ID des Geschäftsbereichs</w:t>
            </w:r>
          </w:p>
          <w:p w14:paraId="7FE1C05A" w14:textId="77777777" w:rsidR="00696584" w:rsidRDefault="002C4F63">
            <w:pPr>
              <w:pStyle w:val="P68B1DB1-TableParagraph17"/>
              <w:spacing w:before="108"/>
              <w:ind w:left="85"/>
            </w:pPr>
            <w:r>
              <w:t>Vom Institut anzugebende eindeutige Kennung des Geschäftsbereichs wie im Meldebogen Z 07.03 (FUNC 3) gemeldet</w:t>
            </w:r>
          </w:p>
        </w:tc>
      </w:tr>
    </w:tbl>
    <w:p w14:paraId="7FE1C222" w14:textId="77777777" w:rsidR="00696584" w:rsidRDefault="00696584">
      <w:pPr>
        <w:rPr>
          <w:rFonts w:ascii="Times New Roman" w:hAnsi="Times New Roman" w:cs="Times New Roman"/>
          <w:b/>
          <w:color w:val="000000" w:themeColor="text1"/>
          <w:sz w:val="20"/>
          <w:szCs w:val="20"/>
          <w:u w:val="single"/>
        </w:rPr>
      </w:pPr>
    </w:p>
    <w:p w14:paraId="7FE1C223" w14:textId="77777777" w:rsidR="00696584" w:rsidRDefault="002C4F63">
      <w:pPr>
        <w:pStyle w:val="P68B1DB1-Instructionsberschrift244"/>
        <w:numPr>
          <w:ilvl w:val="1"/>
          <w:numId w:val="49"/>
        </w:numPr>
        <w:ind w:left="357" w:hanging="357"/>
      </w:pPr>
      <w:bookmarkStart w:id="124" w:name="_Toc209533601"/>
      <w:r>
        <w:t>Zuständige Dienste</w:t>
      </w:r>
      <w:bookmarkEnd w:id="124"/>
    </w:p>
    <w:p w14:paraId="7FE1C224" w14:textId="70045BAA" w:rsidR="00696584" w:rsidRDefault="002C4F63">
      <w:pPr>
        <w:pStyle w:val="P68B1DB1-Instructionsberschrift25"/>
        <w:numPr>
          <w:ilvl w:val="1"/>
          <w:numId w:val="49"/>
        </w:numPr>
        <w:ind w:left="357" w:hanging="357"/>
        <w:rPr>
          <w:rFonts w:eastAsia="Calibri"/>
        </w:rPr>
      </w:pPr>
      <w:bookmarkStart w:id="125" w:name="_Toc209533602"/>
      <w:r>
        <w:t>Z 08.01 – Relevante Dienstleistungen (SERV 1)</w:t>
      </w:r>
      <w:bookmarkEnd w:id="125"/>
      <w:r>
        <w:t xml:space="preserve"> </w:t>
      </w:r>
    </w:p>
    <w:p w14:paraId="7FE1C225" w14:textId="77777777" w:rsidR="00696584" w:rsidRDefault="002C4F63">
      <w:pPr>
        <w:pStyle w:val="P68B1DB1-Normal45"/>
        <w:spacing w:line="276" w:lineRule="auto"/>
        <w:jc w:val="both"/>
      </w:pPr>
      <w:r>
        <w:t>II.8.1 Allgemeine Vorschriften</w:t>
      </w:r>
    </w:p>
    <w:p w14:paraId="7FE1C226" w14:textId="77777777" w:rsidR="00696584" w:rsidRDefault="00696584">
      <w:pPr>
        <w:spacing w:line="276" w:lineRule="auto"/>
        <w:jc w:val="both"/>
        <w:rPr>
          <w:rFonts w:ascii="Times New Roman" w:eastAsia="Calibri" w:hAnsi="Times New Roman" w:cs="Times New Roman"/>
          <w:sz w:val="20"/>
        </w:rPr>
      </w:pPr>
    </w:p>
    <w:p w14:paraId="7FE1C228" w14:textId="33C8A721" w:rsidR="00696584" w:rsidRDefault="002C4F63">
      <w:pPr>
        <w:pStyle w:val="P68B1DB1-Instructionsberschrift346"/>
        <w:numPr>
          <w:ilvl w:val="4"/>
          <w:numId w:val="49"/>
        </w:numPr>
        <w:ind w:left="928"/>
        <w:contextualSpacing/>
        <w:jc w:val="both"/>
        <w:rPr>
          <w:color w:val="auto"/>
        </w:rPr>
      </w:pPr>
      <w:r>
        <w:t xml:space="preserve">Die in diesem Meldebogen vorgesehenen Angaben sind einmal für die gesamte Gruppe zu </w:t>
      </w:r>
      <w:r w:rsidR="00C4259E">
        <w:t>machen. Hier</w:t>
      </w:r>
      <w:r>
        <w:t xml:space="preserve"> werden die kritischen </w:t>
      </w:r>
      <w:r>
        <w:rPr>
          <w:color w:val="auto"/>
        </w:rPr>
        <w:t xml:space="preserve">Dienstleistungen </w:t>
      </w:r>
      <w:r>
        <w:t xml:space="preserve">aufgelistet, die jedes Unternehmen in der Gruppe in Anspruch nimmt, </w:t>
      </w:r>
      <w:r>
        <w:rPr>
          <w:color w:val="auto"/>
        </w:rPr>
        <w:t xml:space="preserve">und mit den von der Gruppe wahrgenommenen </w:t>
      </w:r>
      <w:r>
        <w:t>kritischen Funktionen verknüpft.</w:t>
      </w:r>
    </w:p>
    <w:p w14:paraId="7FE1C229" w14:textId="33C07C99" w:rsidR="00696584" w:rsidRDefault="002C4F63">
      <w:pPr>
        <w:pStyle w:val="Instructionsberschrift3"/>
        <w:ind w:left="928"/>
        <w:contextualSpacing/>
        <w:jc w:val="both"/>
        <w:rPr>
          <w:rFonts w:eastAsia="MS Mincho"/>
          <w:color w:val="auto"/>
          <w:u w:val="none"/>
        </w:rPr>
      </w:pPr>
      <w:r>
        <w:rPr>
          <w:rFonts w:eastAsia="Calibri"/>
          <w:b/>
          <w:color w:val="auto"/>
          <w:u w:val="none"/>
        </w:rPr>
        <w:lastRenderedPageBreak/>
        <w:t>Relevante Dienstleistungen</w:t>
      </w:r>
      <w:r>
        <w:rPr>
          <w:rStyle w:val="FootnoteReference"/>
          <w:rFonts w:ascii="Times New Roman" w:eastAsia="Calibri" w:hAnsi="Times New Roman"/>
          <w:color w:val="auto"/>
          <w:sz w:val="20"/>
          <w:szCs w:val="20"/>
          <w:u w:val="none"/>
        </w:rPr>
        <w:footnoteReference w:id="22"/>
      </w:r>
      <w:r>
        <w:rPr>
          <w:rFonts w:eastAsia="Calibri"/>
          <w:color w:val="auto"/>
          <w:u w:val="none"/>
        </w:rPr>
        <w:t xml:space="preserve">: kritische und </w:t>
      </w:r>
      <w:r w:rsidR="006F7CBC">
        <w:rPr>
          <w:rFonts w:eastAsia="Calibri"/>
          <w:color w:val="auto"/>
          <w:u w:val="none"/>
        </w:rPr>
        <w:t xml:space="preserve">wesentliche </w:t>
      </w:r>
      <w:r>
        <w:rPr>
          <w:rFonts w:eastAsia="Calibri"/>
          <w:color w:val="auto"/>
          <w:u w:val="none"/>
        </w:rPr>
        <w:t>Dienstleistungen</w:t>
      </w:r>
    </w:p>
    <w:p w14:paraId="7FE1C22A" w14:textId="77777777" w:rsidR="00696584" w:rsidRDefault="002C4F63">
      <w:pPr>
        <w:pStyle w:val="P68B1DB1-Instructionsberschrift347"/>
        <w:ind w:left="928"/>
        <w:contextualSpacing/>
        <w:jc w:val="both"/>
        <w:rPr>
          <w:rFonts w:eastAsia="MS Mincho"/>
        </w:rPr>
      </w:pPr>
      <w:r>
        <w:rPr>
          <w:rFonts w:eastAsia="Calibri"/>
          <w:b/>
        </w:rPr>
        <w:t>Kritische Dienstleistungen</w:t>
      </w:r>
      <w:r w:rsidRPr="000D7090">
        <w:rPr>
          <w:vertAlign w:val="superscript"/>
        </w:rPr>
        <w:footnoteReference w:id="23"/>
      </w:r>
      <w:r>
        <w:t>: Dienstleistungen, die für Gruppengeschäftseinheiten oder Unternehmen erbracht werden, i) deren Diskontinuität die Wahrnehmung einer oder mehrerer kritischer Funktionen ernsthaft behindern oder verhindern würde; und (ii) die nicht innerhalb eines angemessenen Zeitraums in vergleichbarem Umfang als Gegenstand, Qualität und Kosten von einem anderen Anbieter erbracht werden kann.</w:t>
      </w:r>
    </w:p>
    <w:p w14:paraId="7FE1C22B" w14:textId="7A78CABA" w:rsidR="00696584" w:rsidRDefault="006F7CBC">
      <w:pPr>
        <w:pStyle w:val="Instructionsberschrift3"/>
        <w:ind w:left="928"/>
        <w:contextualSpacing/>
        <w:jc w:val="both"/>
        <w:rPr>
          <w:rFonts w:eastAsia="MS Mincho"/>
          <w:color w:val="auto"/>
          <w:u w:val="none"/>
        </w:rPr>
      </w:pPr>
      <w:r>
        <w:rPr>
          <w:b/>
          <w:u w:val="none"/>
        </w:rPr>
        <w:t>Wesentliche Dienstleistungen</w:t>
      </w:r>
      <w:r w:rsidR="002C4F63">
        <w:rPr>
          <w:u w:val="none"/>
        </w:rPr>
        <w:t>: Dienstleistungen im Zusammenhang mit Kerngeschäftsbereichen</w:t>
      </w:r>
      <w:r w:rsidR="002C4F63" w:rsidRPr="000D7090">
        <w:rPr>
          <w:u w:val="none"/>
          <w:vertAlign w:val="superscript"/>
        </w:rPr>
        <w:footnoteReference w:id="24"/>
      </w:r>
      <w:r w:rsidR="002C4F63">
        <w:rPr>
          <w:u w:val="none"/>
        </w:rPr>
        <w:t>, deren Kontinuität für die wirksame Umsetzung der Abwicklungsstrategie und jede sich daraus ergebende Umstrukturierung erforderlich ist, i) deren Diskontinuität die Leistungsfähigkeit dieser Kerngeschäftsbereiche ernsthaft behindern oder verhindern würde; und (ii) die nicht innerhalb eines angemessenen Zeitraums in vergleichbarem Umfang als Gegenstand, Qualität und Kosten von einem anderen Anbieter erbracht werden kann.</w:t>
      </w:r>
      <w:r w:rsidR="002C4F63">
        <w:rPr>
          <w:rStyle w:val="FootnoteReference"/>
          <w:rFonts w:ascii="Times New Roman" w:eastAsia="Calibri" w:hAnsi="Times New Roman"/>
          <w:color w:val="auto"/>
          <w:sz w:val="20"/>
          <w:szCs w:val="20"/>
          <w:u w:val="none"/>
        </w:rPr>
        <w:footnoteReference w:id="25"/>
      </w:r>
    </w:p>
    <w:p w14:paraId="7FE1C22C" w14:textId="7C60EA7B" w:rsidR="00696584" w:rsidRDefault="002C4F63">
      <w:pPr>
        <w:pStyle w:val="P68B1DB1-Instructionsberschrift348"/>
        <w:numPr>
          <w:ilvl w:val="4"/>
          <w:numId w:val="49"/>
        </w:numPr>
        <w:ind w:left="928"/>
        <w:contextualSpacing/>
        <w:jc w:val="both"/>
        <w:rPr>
          <w:color w:val="auto"/>
        </w:rPr>
      </w:pPr>
      <w:r>
        <w:rPr>
          <w:color w:val="auto"/>
        </w:rPr>
        <w:t>Gemäß Erwägungsgrund 8 der Delegierten Verordnung (EU) 2016/778 der Kommission in Bezug auf kritische Dienst</w:t>
      </w:r>
      <w:r w:rsidR="006F7CBC">
        <w:rPr>
          <w:color w:val="auto"/>
        </w:rPr>
        <w:t>leistungen</w:t>
      </w:r>
      <w:r>
        <w:rPr>
          <w:color w:val="auto"/>
        </w:rPr>
        <w:t xml:space="preserve">, die analog auf wesentliche </w:t>
      </w:r>
      <w:r w:rsidR="006F7CBC">
        <w:rPr>
          <w:color w:val="auto"/>
        </w:rPr>
        <w:t xml:space="preserve">Dienstleistungen </w:t>
      </w:r>
      <w:r>
        <w:rPr>
          <w:color w:val="auto"/>
        </w:rPr>
        <w:t xml:space="preserve">im Sinne der vorstehenden Definition angewandt werden, bezeichnet der Ausdruck „relevante </w:t>
      </w:r>
      <w:r w:rsidR="006F7CBC">
        <w:t>Dienstleistungen</w:t>
      </w:r>
      <w:r>
        <w:t xml:space="preserve">“ die zugrunde liegenden Tätigkeiten, Tätigkeiten und Dienstleistungen, die für einen (zweckbestimmten Dienst) oder mehrere Geschäftsbereiche oder Rechtsträger (gemeinsame Dienste) innerhalb der Gruppe durchgeführt werden, die für die Erbringung einer oder mehrerer kritischer Funktionen </w:t>
      </w:r>
      <w:r>
        <w:rPr>
          <w:color w:val="auto"/>
        </w:rPr>
        <w:t xml:space="preserve">oder Kerngeschäftsbereiche erforderlich sind. Relevante </w:t>
      </w:r>
      <w:r>
        <w:t xml:space="preserve">Dienstleistungen können </w:t>
      </w:r>
      <w:r>
        <w:rPr>
          <w:color w:val="auto"/>
        </w:rPr>
        <w:t xml:space="preserve">von einem Geschäftsbereich an eine andere Geschäftseinheit derselben juristischen Person </w:t>
      </w:r>
      <w:r>
        <w:t>(</w:t>
      </w:r>
      <w:r>
        <w:rPr>
          <w:color w:val="auto"/>
        </w:rPr>
        <w:t>Dienst</w:t>
      </w:r>
      <w:r w:rsidR="006F7CBC">
        <w:rPr>
          <w:color w:val="auto"/>
        </w:rPr>
        <w:t>leistung</w:t>
      </w:r>
      <w:r>
        <w:rPr>
          <w:color w:val="auto"/>
        </w:rPr>
        <w:t xml:space="preserve"> innerhalb eines Unternehmens),</w:t>
      </w:r>
      <w:r>
        <w:t xml:space="preserve"> von Unternehmen innerhalb der Gruppe (</w:t>
      </w:r>
      <w:r>
        <w:rPr>
          <w:color w:val="auto"/>
        </w:rPr>
        <w:t xml:space="preserve">gruppeninterne </w:t>
      </w:r>
      <w:r>
        <w:t xml:space="preserve">Dienstleistung) </w:t>
      </w:r>
      <w:r w:rsidR="00C4259E">
        <w:t>oder</w:t>
      </w:r>
      <w:r w:rsidR="00C4259E">
        <w:rPr>
          <w:color w:val="auto"/>
        </w:rPr>
        <w:t xml:space="preserve"> an</w:t>
      </w:r>
      <w:r>
        <w:t xml:space="preserve"> einen externen Dienstleister (externe Dienst</w:t>
      </w:r>
      <w:r w:rsidR="006F7CBC">
        <w:t>leistung</w:t>
      </w:r>
      <w:r>
        <w:t>) erbracht werden.</w:t>
      </w:r>
    </w:p>
    <w:p w14:paraId="7FE1C22D" w14:textId="2D106DE4" w:rsidR="00696584" w:rsidRDefault="002C4F63">
      <w:pPr>
        <w:pStyle w:val="P68B1DB1-Instructionsberschrift310"/>
        <w:numPr>
          <w:ilvl w:val="4"/>
          <w:numId w:val="49"/>
        </w:numPr>
        <w:ind w:left="928"/>
        <w:contextualSpacing/>
        <w:jc w:val="both"/>
        <w:rPr>
          <w:rFonts w:eastAsia="MS Mincho"/>
          <w:color w:val="auto"/>
        </w:rPr>
      </w:pPr>
      <w:r>
        <w:rPr>
          <w:rFonts w:eastAsia="MS Mincho"/>
        </w:rPr>
        <w:t>Nicht alle Felder gelten für alle Arten von Dienstleistungen (siehe nachstehende Anweisungen). In diesem Fall ist „</w:t>
      </w:r>
      <w:r w:rsidR="00D3698C">
        <w:rPr>
          <w:rFonts w:eastAsia="MS Mincho"/>
        </w:rPr>
        <w:t>NA</w:t>
      </w:r>
      <w:r>
        <w:rPr>
          <w:rFonts w:eastAsia="MS Mincho"/>
        </w:rPr>
        <w:t>“ in der entsprechenden Zelle anzugeben.</w:t>
      </w:r>
      <w:r>
        <w:t xml:space="preserve"> </w:t>
      </w:r>
    </w:p>
    <w:p w14:paraId="7FE1C22E" w14:textId="0568A925" w:rsidR="00696584" w:rsidRDefault="002C4F63">
      <w:pPr>
        <w:pStyle w:val="P68B1DB1-Instructionsberschrift346"/>
        <w:numPr>
          <w:ilvl w:val="4"/>
          <w:numId w:val="49"/>
        </w:numPr>
        <w:ind w:left="928"/>
        <w:contextualSpacing/>
        <w:jc w:val="both"/>
        <w:rPr>
          <w:color w:val="auto"/>
        </w:rPr>
      </w:pPr>
      <w:r>
        <w:t xml:space="preserve">Die Kombination der Werte der Spalten 0010, </w:t>
      </w:r>
      <w:r>
        <w:rPr>
          <w:color w:val="auto"/>
        </w:rPr>
        <w:t>0020, 0040,</w:t>
      </w:r>
      <w:r>
        <w:t xml:space="preserve"> </w:t>
      </w:r>
      <w:r>
        <w:rPr>
          <w:color w:val="auto"/>
        </w:rPr>
        <w:t>0060 und 0130 dieses Meldebogens</w:t>
      </w:r>
      <w:r>
        <w:t xml:space="preserve"> bildet einen Primärschlüssel, der jeweils eine spezifische Zeile des Meldebogens bezeichnet.</w:t>
      </w:r>
    </w:p>
    <w:p w14:paraId="7FE1C22F" w14:textId="77777777" w:rsidR="00696584" w:rsidRDefault="00696584">
      <w:pPr>
        <w:pStyle w:val="Instructionsberschrift3"/>
        <w:numPr>
          <w:ilvl w:val="0"/>
          <w:numId w:val="0"/>
        </w:numPr>
        <w:ind w:left="720"/>
      </w:pPr>
    </w:p>
    <w:p w14:paraId="7FE1C230" w14:textId="77777777" w:rsidR="00696584" w:rsidRDefault="002C4F63">
      <w:pPr>
        <w:pStyle w:val="P68B1DB1-Instructionsberschrift312"/>
        <w:rPr>
          <w:bCs/>
        </w:rPr>
      </w:pPr>
      <w:r>
        <w:t>Erläuterungen zu bestimmten Positionen</w:t>
      </w:r>
    </w:p>
    <w:p w14:paraId="7FE1C23F" w14:textId="77777777" w:rsidR="00696584" w:rsidRDefault="00696584">
      <w:pPr>
        <w:spacing w:line="276" w:lineRule="auto"/>
        <w:jc w:val="both"/>
        <w:rPr>
          <w:rFonts w:ascii="Times New Roman" w:eastAsia="Calibri" w:hAnsi="Times New Roman" w:cs="Times New Roman"/>
          <w:color w:val="0070C0"/>
          <w:sz w:val="20"/>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7938"/>
      </w:tblGrid>
      <w:tr w:rsidR="00696584" w14:paraId="7FE1C242" w14:textId="77777777">
        <w:trPr>
          <w:trHeight w:val="808"/>
          <w:tblHeader/>
        </w:trPr>
        <w:tc>
          <w:tcPr>
            <w:tcW w:w="1129" w:type="dxa"/>
            <w:shd w:val="clear" w:color="auto" w:fill="E7E6E6"/>
          </w:tcPr>
          <w:p w14:paraId="7FE1C240" w14:textId="77777777" w:rsidR="00696584" w:rsidRDefault="002C4F63">
            <w:pPr>
              <w:pStyle w:val="P68B1DB1-Normal49"/>
              <w:spacing w:before="120" w:after="120" w:line="276" w:lineRule="auto"/>
            </w:pPr>
            <w:r>
              <w:t>Spalten</w:t>
            </w:r>
          </w:p>
        </w:tc>
        <w:tc>
          <w:tcPr>
            <w:tcW w:w="7938" w:type="dxa"/>
            <w:shd w:val="clear" w:color="auto" w:fill="E7E6E6"/>
          </w:tcPr>
          <w:p w14:paraId="7FE1C241" w14:textId="77777777" w:rsidR="00696584" w:rsidRDefault="002C4F63">
            <w:pPr>
              <w:pStyle w:val="P68B1DB1-Normal49"/>
              <w:spacing w:before="120" w:after="120" w:line="276" w:lineRule="auto"/>
            </w:pPr>
            <w:r>
              <w:t>Erläuterungen</w:t>
            </w:r>
          </w:p>
        </w:tc>
      </w:tr>
      <w:tr w:rsidR="00696584" w14:paraId="7FE1C247" w14:textId="77777777">
        <w:trPr>
          <w:trHeight w:val="450"/>
        </w:trPr>
        <w:tc>
          <w:tcPr>
            <w:tcW w:w="1129" w:type="dxa"/>
            <w:shd w:val="clear" w:color="auto" w:fill="FFFFFF" w:themeFill="background1"/>
          </w:tcPr>
          <w:p w14:paraId="7FE1C243" w14:textId="77777777" w:rsidR="00696584" w:rsidRDefault="002C4F63">
            <w:pPr>
              <w:pStyle w:val="P68B1DB1-Normal50"/>
              <w:spacing w:before="120" w:after="120" w:line="276" w:lineRule="auto"/>
            </w:pPr>
            <w:r>
              <w:t>0005</w:t>
            </w:r>
          </w:p>
        </w:tc>
        <w:tc>
          <w:tcPr>
            <w:tcW w:w="7938" w:type="dxa"/>
            <w:shd w:val="clear" w:color="auto" w:fill="FFFFFF" w:themeFill="background1"/>
          </w:tcPr>
          <w:p w14:paraId="7FE1C244" w14:textId="6A548B62" w:rsidR="00696584" w:rsidRDefault="006F7CBC">
            <w:pPr>
              <w:pStyle w:val="P68B1DB1-Normal49"/>
              <w:spacing w:before="120" w:after="120" w:line="276" w:lineRule="auto"/>
              <w:rPr>
                <w:bCs/>
              </w:rPr>
            </w:pPr>
            <w:r>
              <w:t>Identifikator der Dienstleistung</w:t>
            </w:r>
          </w:p>
          <w:p w14:paraId="7FE1C245" w14:textId="58367677" w:rsidR="00696584" w:rsidRDefault="002C4F63">
            <w:pPr>
              <w:pStyle w:val="P68B1DB1-Normal50"/>
              <w:spacing w:before="120" w:after="120" w:line="276" w:lineRule="auto"/>
              <w:rPr>
                <w:iCs/>
              </w:rPr>
            </w:pPr>
            <w:r>
              <w:t>D</w:t>
            </w:r>
            <w:r w:rsidR="006F7CBC">
              <w:t>er Identifikator</w:t>
            </w:r>
            <w:r w:rsidR="00400683">
              <w:t xml:space="preserve"> </w:t>
            </w:r>
            <w:r>
              <w:t xml:space="preserve">bezieht sich auf </w:t>
            </w:r>
            <w:r w:rsidR="006F7CBC">
              <w:t xml:space="preserve">die </w:t>
            </w:r>
            <w:r>
              <w:t>unter c0020 gemeldete Dienst</w:t>
            </w:r>
            <w:r w:rsidR="007E4726">
              <w:t>leistung</w:t>
            </w:r>
            <w:r>
              <w:t>.</w:t>
            </w:r>
          </w:p>
          <w:p w14:paraId="7FE1C246" w14:textId="77777777" w:rsidR="00696584" w:rsidRDefault="002C4F63">
            <w:pPr>
              <w:pStyle w:val="P68B1DB1-Normal51"/>
              <w:spacing w:before="120" w:after="120" w:line="276" w:lineRule="auto"/>
            </w:pPr>
            <w:r>
              <w:t>Abbildung oder Freitext</w:t>
            </w:r>
          </w:p>
        </w:tc>
      </w:tr>
      <w:tr w:rsidR="00696584" w14:paraId="7FE1C28C" w14:textId="77777777">
        <w:trPr>
          <w:trHeight w:val="463"/>
        </w:trPr>
        <w:tc>
          <w:tcPr>
            <w:tcW w:w="1129" w:type="dxa"/>
            <w:shd w:val="clear" w:color="auto" w:fill="FFFFFF" w:themeFill="background1"/>
          </w:tcPr>
          <w:p w14:paraId="7FE1C248" w14:textId="77777777" w:rsidR="00696584" w:rsidRDefault="002C4F63">
            <w:pPr>
              <w:pStyle w:val="P68B1DB1-Normal50"/>
              <w:spacing w:before="120" w:after="120" w:line="276" w:lineRule="auto"/>
            </w:pPr>
            <w:r>
              <w:lastRenderedPageBreak/>
              <w:t>0010</w:t>
            </w:r>
          </w:p>
        </w:tc>
        <w:tc>
          <w:tcPr>
            <w:tcW w:w="7938" w:type="dxa"/>
            <w:shd w:val="clear" w:color="auto" w:fill="FFFFFF" w:themeFill="background1"/>
          </w:tcPr>
          <w:p w14:paraId="7FE1C249" w14:textId="053DBB25" w:rsidR="00696584" w:rsidRDefault="002C4F63">
            <w:pPr>
              <w:pStyle w:val="P68B1DB1-Normal49"/>
              <w:autoSpaceDE w:val="0"/>
              <w:autoSpaceDN w:val="0"/>
              <w:adjustRightInd w:val="0"/>
              <w:rPr>
                <w:rFonts w:eastAsia="MS Mincho"/>
                <w:bCs/>
              </w:rPr>
            </w:pPr>
            <w:r>
              <w:t xml:space="preserve">Art </w:t>
            </w:r>
            <w:r w:rsidR="007E4726">
              <w:t>der Dienstleistung</w:t>
            </w:r>
          </w:p>
          <w:p w14:paraId="7FE1C24A" w14:textId="77777777" w:rsidR="00696584" w:rsidRDefault="002C4F63">
            <w:pPr>
              <w:pStyle w:val="P68B1DB1-Normal52"/>
              <w:autoSpaceDE w:val="0"/>
              <w:autoSpaceDN w:val="0"/>
              <w:adjustRightInd w:val="0"/>
            </w:pPr>
            <w:r>
              <w:t xml:space="preserve">Für die Art der Dienstleistung ist eine der unten angegebenen Arten auszuwählen. </w:t>
            </w:r>
          </w:p>
          <w:p w14:paraId="7FE1C24B" w14:textId="77777777" w:rsidR="00696584" w:rsidRDefault="002C4F63">
            <w:pPr>
              <w:pStyle w:val="P68B1DB1-Normal50"/>
              <w:spacing w:before="120" w:after="120" w:line="276" w:lineRule="auto"/>
            </w:pPr>
            <w:r>
              <w:t xml:space="preserve">Nach Möglichkeit ist die Unterkategorie anzugeben (zweistellige Kennung). Gibt es keine Unterkategorie oder beschreiben die Unterkategorien die vom Institut erbrachte Dienstleistung nicht ausreichend, so ist die Hauptkategorie (einstellige Kennung) anzugeben. </w:t>
            </w:r>
          </w:p>
          <w:p w14:paraId="5B37DFFD" w14:textId="2C2BBAE4" w:rsidR="00696584" w:rsidRDefault="002C4F63">
            <w:pPr>
              <w:pStyle w:val="P68B1DB1-Normal52"/>
            </w:pPr>
            <w:r>
              <w:t xml:space="preserve">Personalverwaltung </w:t>
            </w:r>
          </w:p>
          <w:p w14:paraId="7DD533D5" w14:textId="73E47A6F" w:rsidR="00696584" w:rsidRDefault="002C4F63">
            <w:pPr>
              <w:pStyle w:val="P68B1DB1-ListParagraph53"/>
              <w:numPr>
                <w:ilvl w:val="0"/>
                <w:numId w:val="288"/>
              </w:numPr>
              <w:autoSpaceDE w:val="0"/>
              <w:autoSpaceDN w:val="0"/>
              <w:adjustRightInd w:val="0"/>
              <w:ind w:left="1165"/>
            </w:pPr>
            <w:r>
              <w:t xml:space="preserve">Mitarbeiterverwaltung, einschließlich Verwaltung von Verträgen und Vergütungen </w:t>
            </w:r>
          </w:p>
          <w:p w14:paraId="43AF548E" w14:textId="675245F6" w:rsidR="00696584" w:rsidRDefault="002C4F63">
            <w:pPr>
              <w:pStyle w:val="P68B1DB1-ListParagraph53"/>
              <w:numPr>
                <w:ilvl w:val="0"/>
                <w:numId w:val="288"/>
              </w:numPr>
              <w:autoSpaceDE w:val="0"/>
              <w:autoSpaceDN w:val="0"/>
              <w:adjustRightInd w:val="0"/>
              <w:ind w:left="1165"/>
            </w:pPr>
            <w:r>
              <w:t>Interne Kommunikation</w:t>
            </w:r>
          </w:p>
          <w:p w14:paraId="7FE1C250" w14:textId="1F903A05" w:rsidR="00696584" w:rsidRDefault="002C4F63">
            <w:pPr>
              <w:pStyle w:val="P68B1DB1-ListParagraph53"/>
              <w:numPr>
                <w:ilvl w:val="0"/>
                <w:numId w:val="288"/>
              </w:numPr>
              <w:autoSpaceDE w:val="0"/>
              <w:autoSpaceDN w:val="0"/>
              <w:adjustRightInd w:val="0"/>
              <w:ind w:left="1165"/>
            </w:pPr>
            <w:r>
              <w:t>andere Art von Diensten zur Unterstützung der Humanressourcen</w:t>
            </w:r>
          </w:p>
          <w:p w14:paraId="7FE1C251" w14:textId="77777777" w:rsidR="00696584" w:rsidRDefault="00696584">
            <w:pPr>
              <w:autoSpaceDE w:val="0"/>
              <w:autoSpaceDN w:val="0"/>
              <w:adjustRightInd w:val="0"/>
              <w:ind w:left="708"/>
              <w:rPr>
                <w:rFonts w:ascii="Times New Roman" w:eastAsia="MS Mincho" w:hAnsi="Times New Roman" w:cs="Times New Roman"/>
                <w:sz w:val="20"/>
                <w:szCs w:val="20"/>
              </w:rPr>
            </w:pPr>
          </w:p>
          <w:p w14:paraId="7FE1C252" w14:textId="7A6979E5" w:rsidR="00696584" w:rsidRDefault="002C4F63">
            <w:pPr>
              <w:pStyle w:val="P68B1DB1-Normal52"/>
              <w:autoSpaceDE w:val="0"/>
              <w:autoSpaceDN w:val="0"/>
              <w:adjustRightInd w:val="0"/>
            </w:pPr>
            <w:r>
              <w:t xml:space="preserve"> Informationstechnologie </w:t>
            </w:r>
          </w:p>
          <w:p w14:paraId="7FE1C253" w14:textId="3B762F9E" w:rsidR="00696584" w:rsidRDefault="002C4F63">
            <w:pPr>
              <w:pStyle w:val="P68B1DB1-ListParagraph53"/>
              <w:numPr>
                <w:ilvl w:val="1"/>
                <w:numId w:val="290"/>
              </w:numPr>
              <w:autoSpaceDE w:val="0"/>
              <w:autoSpaceDN w:val="0"/>
              <w:adjustRightInd w:val="0"/>
              <w:ind w:left="1449"/>
            </w:pPr>
            <w:r>
              <w:t xml:space="preserve">IT- und Kommunikationsgeräte </w:t>
            </w:r>
          </w:p>
          <w:p w14:paraId="7FE1C254" w14:textId="400D89C1" w:rsidR="00696584" w:rsidRDefault="002C4F63">
            <w:pPr>
              <w:pStyle w:val="P68B1DB1-ListParagraph53"/>
              <w:numPr>
                <w:ilvl w:val="1"/>
                <w:numId w:val="290"/>
              </w:numPr>
              <w:autoSpaceDE w:val="0"/>
              <w:autoSpaceDN w:val="0"/>
              <w:adjustRightInd w:val="0"/>
              <w:ind w:left="1449"/>
            </w:pPr>
            <w:r>
              <w:t xml:space="preserve">Datenspeicherung und -verarbeitung, </w:t>
            </w:r>
          </w:p>
          <w:p w14:paraId="7FE1C255" w14:textId="2C413842" w:rsidR="00696584" w:rsidRDefault="002C4F63">
            <w:pPr>
              <w:pStyle w:val="P68B1DB1-ListParagraph53"/>
              <w:numPr>
                <w:ilvl w:val="1"/>
                <w:numId w:val="290"/>
              </w:numPr>
              <w:autoSpaceDE w:val="0"/>
              <w:autoSpaceDN w:val="0"/>
              <w:adjustRightInd w:val="0"/>
              <w:ind w:left="1449"/>
            </w:pPr>
            <w:r>
              <w:t>sonstige IT-Infrastruktur, IT-Arbeitsplätze, Telekommunikation, Server, Datenzentren und zugehörige Dienst</w:t>
            </w:r>
            <w:r w:rsidR="007E4726">
              <w:t>leistungen</w:t>
            </w:r>
            <w:r>
              <w:t xml:space="preserve"> </w:t>
            </w:r>
          </w:p>
          <w:p w14:paraId="7FE1C256" w14:textId="2B61AFD3" w:rsidR="00696584" w:rsidRDefault="002C4F63">
            <w:pPr>
              <w:pStyle w:val="P68B1DB1-ListParagraph53"/>
              <w:numPr>
                <w:ilvl w:val="1"/>
                <w:numId w:val="290"/>
              </w:numPr>
              <w:autoSpaceDE w:val="0"/>
              <w:autoSpaceDN w:val="0"/>
              <w:adjustRightInd w:val="0"/>
              <w:ind w:left="1449"/>
            </w:pPr>
            <w:r>
              <w:t xml:space="preserve">Verwaltung von Softwarelizenzen und Anwendungssoftware </w:t>
            </w:r>
          </w:p>
          <w:p w14:paraId="7FE1C257" w14:textId="5DA2FA2E" w:rsidR="00696584" w:rsidRDefault="002C4F63">
            <w:pPr>
              <w:pStyle w:val="P68B1DB1-ListParagraph53"/>
              <w:numPr>
                <w:ilvl w:val="1"/>
                <w:numId w:val="290"/>
              </w:numPr>
              <w:autoSpaceDE w:val="0"/>
              <w:autoSpaceDN w:val="0"/>
              <w:adjustRightInd w:val="0"/>
              <w:ind w:left="1449"/>
            </w:pPr>
            <w:r>
              <w:t xml:space="preserve">Zugang zu externen Anbietern, insbesondere von Daten- und Infrastrukturanbietern </w:t>
            </w:r>
          </w:p>
          <w:p w14:paraId="7FE1C258" w14:textId="5064B052" w:rsidR="00696584" w:rsidRDefault="002C4F63">
            <w:pPr>
              <w:pStyle w:val="P68B1DB1-ListParagraph53"/>
              <w:numPr>
                <w:ilvl w:val="1"/>
                <w:numId w:val="290"/>
              </w:numPr>
              <w:autoSpaceDE w:val="0"/>
              <w:autoSpaceDN w:val="0"/>
              <w:adjustRightInd w:val="0"/>
              <w:ind w:left="1449"/>
            </w:pPr>
            <w:r>
              <w:t xml:space="preserve">Wartung von Anwendungen, einschließlich Softwareanwendungen und verbundene Datenströme </w:t>
            </w:r>
          </w:p>
          <w:p w14:paraId="7FE1C259" w14:textId="41CD0C0F" w:rsidR="00696584" w:rsidRDefault="002C4F63">
            <w:pPr>
              <w:pStyle w:val="P68B1DB1-ListParagraph53"/>
              <w:numPr>
                <w:ilvl w:val="1"/>
                <w:numId w:val="290"/>
              </w:numPr>
              <w:autoSpaceDE w:val="0"/>
              <w:autoSpaceDN w:val="0"/>
              <w:adjustRightInd w:val="0"/>
              <w:ind w:left="1449"/>
            </w:pPr>
            <w:r>
              <w:t xml:space="preserve">Erstellung von Berichten, interne Informationsflüsse und Datenbanken </w:t>
            </w:r>
          </w:p>
          <w:p w14:paraId="7FE1C25A" w14:textId="72548638" w:rsidR="00696584" w:rsidRDefault="002C4F63">
            <w:pPr>
              <w:pStyle w:val="P68B1DB1-ListParagraph53"/>
              <w:numPr>
                <w:ilvl w:val="1"/>
                <w:numId w:val="290"/>
              </w:numPr>
              <w:autoSpaceDE w:val="0"/>
              <w:autoSpaceDN w:val="0"/>
              <w:adjustRightInd w:val="0"/>
              <w:ind w:left="1449"/>
            </w:pPr>
            <w:r>
              <w:t xml:space="preserve">Nutzersupport </w:t>
            </w:r>
          </w:p>
          <w:p w14:paraId="7FE1C25B" w14:textId="2FAE0C54" w:rsidR="00696584" w:rsidRDefault="002C4F63">
            <w:pPr>
              <w:pStyle w:val="P68B1DB1-ListParagraph53"/>
              <w:numPr>
                <w:ilvl w:val="1"/>
                <w:numId w:val="290"/>
              </w:numPr>
              <w:autoSpaceDE w:val="0"/>
              <w:autoSpaceDN w:val="0"/>
              <w:adjustRightInd w:val="0"/>
              <w:ind w:left="1449"/>
            </w:pPr>
            <w:r>
              <w:t>Katastrophenmanagement und Wiederherstellung nach Notfällen</w:t>
            </w:r>
          </w:p>
          <w:p w14:paraId="7FE1C25C" w14:textId="431BC144" w:rsidR="00696584" w:rsidRDefault="002C4F63">
            <w:pPr>
              <w:pStyle w:val="P68B1DB1-ListParagraph53"/>
              <w:numPr>
                <w:ilvl w:val="1"/>
                <w:numId w:val="290"/>
              </w:numPr>
              <w:autoSpaceDE w:val="0"/>
              <w:autoSpaceDN w:val="0"/>
              <w:adjustRightInd w:val="0"/>
              <w:ind w:left="1449"/>
            </w:pPr>
            <w:r>
              <w:t>sonstige Art des IT-Dienstes</w:t>
            </w:r>
          </w:p>
          <w:p w14:paraId="7FE1C25D" w14:textId="77777777" w:rsidR="00696584" w:rsidRDefault="00696584">
            <w:pPr>
              <w:autoSpaceDE w:val="0"/>
              <w:autoSpaceDN w:val="0"/>
              <w:adjustRightInd w:val="0"/>
              <w:rPr>
                <w:rFonts w:ascii="Times New Roman" w:eastAsia="MS Mincho" w:hAnsi="Times New Roman" w:cs="Times New Roman"/>
                <w:sz w:val="20"/>
                <w:szCs w:val="20"/>
              </w:rPr>
            </w:pPr>
          </w:p>
          <w:p w14:paraId="7FE1C25E" w14:textId="1AD223E0" w:rsidR="00696584" w:rsidRDefault="002C4F63">
            <w:pPr>
              <w:pStyle w:val="P68B1DB1-Normal52"/>
              <w:autoSpaceDE w:val="0"/>
              <w:autoSpaceDN w:val="0"/>
              <w:adjustRightInd w:val="0"/>
            </w:pPr>
            <w:r>
              <w:t xml:space="preserve">Bearbeitung von Geschäftsvorgängen, einschließlich rechtlicher Aspekte, insbesondere zur Bekämpfung der Geldwäsche </w:t>
            </w:r>
          </w:p>
          <w:p w14:paraId="7FE1C25F" w14:textId="77777777" w:rsidR="00696584" w:rsidRDefault="00696584">
            <w:pPr>
              <w:autoSpaceDE w:val="0"/>
              <w:autoSpaceDN w:val="0"/>
              <w:adjustRightInd w:val="0"/>
              <w:rPr>
                <w:rFonts w:ascii="Times New Roman" w:eastAsia="MS Mincho" w:hAnsi="Times New Roman" w:cs="Times New Roman"/>
                <w:sz w:val="20"/>
                <w:szCs w:val="20"/>
              </w:rPr>
            </w:pPr>
          </w:p>
          <w:p w14:paraId="7FE1C260" w14:textId="0AB6F782" w:rsidR="00696584" w:rsidRDefault="002C4F63">
            <w:pPr>
              <w:pStyle w:val="P68B1DB1-Normal52"/>
              <w:autoSpaceDE w:val="0"/>
              <w:autoSpaceDN w:val="0"/>
              <w:adjustRightInd w:val="0"/>
            </w:pPr>
            <w:bookmarkStart w:id="126" w:name="_Hlk191374143"/>
            <w:r>
              <w:t>Bereitstellung und Verwaltung von Immobilien und Gebäuden sowie verbundene Tätigkeiten</w:t>
            </w:r>
            <w:bookmarkEnd w:id="126"/>
            <w:r>
              <w:t xml:space="preserve"> </w:t>
            </w:r>
          </w:p>
          <w:p w14:paraId="7FE1C261" w14:textId="62999FEF" w:rsidR="00696584" w:rsidRDefault="002C4F63">
            <w:pPr>
              <w:pStyle w:val="P68B1DB1-ListParagraph53"/>
              <w:numPr>
                <w:ilvl w:val="0"/>
                <w:numId w:val="291"/>
              </w:numPr>
              <w:autoSpaceDE w:val="0"/>
              <w:autoSpaceDN w:val="0"/>
              <w:adjustRightInd w:val="0"/>
            </w:pPr>
            <w:r>
              <w:t xml:space="preserve">Büro- und Lagerräume </w:t>
            </w:r>
          </w:p>
          <w:p w14:paraId="7FE1C262" w14:textId="3A997023" w:rsidR="00696584" w:rsidRDefault="002C4F63">
            <w:pPr>
              <w:pStyle w:val="P68B1DB1-ListParagraph53"/>
              <w:numPr>
                <w:ilvl w:val="0"/>
                <w:numId w:val="291"/>
              </w:numPr>
              <w:autoSpaceDE w:val="0"/>
              <w:autoSpaceDN w:val="0"/>
              <w:adjustRightInd w:val="0"/>
            </w:pPr>
            <w:r>
              <w:t xml:space="preserve">internes Gebäudemanagement </w:t>
            </w:r>
          </w:p>
          <w:p w14:paraId="7FE1C263" w14:textId="2B6FC02A" w:rsidR="00696584" w:rsidRDefault="002C4F63">
            <w:pPr>
              <w:pStyle w:val="P68B1DB1-ListParagraph53"/>
              <w:numPr>
                <w:ilvl w:val="0"/>
                <w:numId w:val="291"/>
              </w:numPr>
              <w:autoSpaceDE w:val="0"/>
              <w:autoSpaceDN w:val="0"/>
              <w:adjustRightInd w:val="0"/>
            </w:pPr>
            <w:r>
              <w:t xml:space="preserve">Sicherheit und Zugangskontrolle </w:t>
            </w:r>
          </w:p>
          <w:p w14:paraId="7FE1C264" w14:textId="792BCFBD" w:rsidR="00696584" w:rsidRDefault="002C4F63">
            <w:pPr>
              <w:pStyle w:val="P68B1DB1-ListParagraph53"/>
              <w:numPr>
                <w:ilvl w:val="0"/>
                <w:numId w:val="291"/>
              </w:numPr>
              <w:autoSpaceDE w:val="0"/>
              <w:autoSpaceDN w:val="0"/>
              <w:adjustRightInd w:val="0"/>
            </w:pPr>
            <w:r>
              <w:t xml:space="preserve">Verwaltung des Immobilienportfolios </w:t>
            </w:r>
          </w:p>
          <w:p w14:paraId="7FE1C265" w14:textId="52ACD32B" w:rsidR="00696584" w:rsidRDefault="002C4F63">
            <w:pPr>
              <w:pStyle w:val="P68B1DB1-ListParagraph53"/>
              <w:numPr>
                <w:ilvl w:val="0"/>
                <w:numId w:val="291"/>
              </w:numPr>
              <w:autoSpaceDE w:val="0"/>
              <w:autoSpaceDN w:val="0"/>
              <w:adjustRightInd w:val="0"/>
            </w:pPr>
            <w:r>
              <w:t>Bereitstellung und Verwaltung von Immobilien und Gebäuden sowie verbundene Tätigkeiten</w:t>
            </w:r>
          </w:p>
          <w:p w14:paraId="7FE1C266" w14:textId="77777777" w:rsidR="00696584" w:rsidRDefault="00696584">
            <w:pPr>
              <w:autoSpaceDE w:val="0"/>
              <w:autoSpaceDN w:val="0"/>
              <w:adjustRightInd w:val="0"/>
              <w:rPr>
                <w:rFonts w:ascii="Times New Roman" w:eastAsia="MS Mincho" w:hAnsi="Times New Roman" w:cs="Times New Roman"/>
                <w:sz w:val="20"/>
                <w:szCs w:val="20"/>
              </w:rPr>
            </w:pPr>
          </w:p>
          <w:p w14:paraId="7FE1C267" w14:textId="4B2E0CD6" w:rsidR="00696584" w:rsidRDefault="002C4F63">
            <w:pPr>
              <w:pStyle w:val="P68B1DB1-Normal52"/>
              <w:autoSpaceDE w:val="0"/>
              <w:autoSpaceDN w:val="0"/>
              <w:adjustRightInd w:val="0"/>
            </w:pPr>
            <w:r>
              <w:t xml:space="preserve">Juristische Dienstleistungen und Compliance-Aufgaben </w:t>
            </w:r>
          </w:p>
          <w:p w14:paraId="7FE1C268" w14:textId="40AF3D04" w:rsidR="00696584" w:rsidRDefault="002C4F63">
            <w:pPr>
              <w:pStyle w:val="P68B1DB1-ListParagraph53"/>
              <w:numPr>
                <w:ilvl w:val="0"/>
                <w:numId w:val="292"/>
              </w:numPr>
              <w:autoSpaceDE w:val="0"/>
              <w:autoSpaceDN w:val="0"/>
              <w:adjustRightInd w:val="0"/>
            </w:pPr>
            <w:r>
              <w:t xml:space="preserve">Rechtsberatung des Unternehmens </w:t>
            </w:r>
          </w:p>
          <w:p w14:paraId="7FE1C269" w14:textId="1DC4A30A" w:rsidR="00696584" w:rsidRDefault="002C4F63">
            <w:pPr>
              <w:pStyle w:val="P68B1DB1-ListParagraph53"/>
              <w:numPr>
                <w:ilvl w:val="0"/>
                <w:numId w:val="292"/>
              </w:numPr>
              <w:autoSpaceDE w:val="0"/>
              <w:autoSpaceDN w:val="0"/>
              <w:adjustRightInd w:val="0"/>
            </w:pPr>
            <w:r>
              <w:t xml:space="preserve">geschäfts- und transaktionsbezogene juristische Dienstleistungen </w:t>
            </w:r>
          </w:p>
          <w:p w14:paraId="7FE1C26A" w14:textId="1BAF6F48" w:rsidR="00696584" w:rsidRDefault="002C4F63">
            <w:pPr>
              <w:pStyle w:val="P68B1DB1-ListParagraph53"/>
              <w:numPr>
                <w:ilvl w:val="0"/>
                <w:numId w:val="292"/>
              </w:numPr>
              <w:autoSpaceDE w:val="0"/>
              <w:autoSpaceDN w:val="0"/>
              <w:adjustRightInd w:val="0"/>
            </w:pPr>
            <w:r>
              <w:t xml:space="preserve">Compliance-Unterstützung </w:t>
            </w:r>
          </w:p>
          <w:p w14:paraId="7FE1C26B" w14:textId="344CDCEC" w:rsidR="00696584" w:rsidRDefault="002C4F63">
            <w:pPr>
              <w:pStyle w:val="P68B1DB1-ListParagraph53"/>
              <w:numPr>
                <w:ilvl w:val="0"/>
                <w:numId w:val="292"/>
              </w:numPr>
              <w:autoSpaceDE w:val="0"/>
              <w:autoSpaceDN w:val="0"/>
              <w:adjustRightInd w:val="0"/>
            </w:pPr>
            <w:r>
              <w:t>Art der sonstigen Rechtsdienstleistungen und Compliance-Funktionen</w:t>
            </w:r>
          </w:p>
          <w:p w14:paraId="7FE1C26C" w14:textId="77777777" w:rsidR="00696584" w:rsidRDefault="00696584">
            <w:pPr>
              <w:autoSpaceDE w:val="0"/>
              <w:autoSpaceDN w:val="0"/>
              <w:adjustRightInd w:val="0"/>
              <w:ind w:left="708"/>
              <w:rPr>
                <w:rFonts w:ascii="Times New Roman" w:eastAsia="MS Mincho" w:hAnsi="Times New Roman" w:cs="Times New Roman"/>
                <w:sz w:val="20"/>
                <w:szCs w:val="20"/>
              </w:rPr>
            </w:pPr>
          </w:p>
          <w:p w14:paraId="7FE1C26D" w14:textId="03C41351" w:rsidR="00696584" w:rsidRDefault="002C4F63">
            <w:pPr>
              <w:pStyle w:val="P68B1DB1-Normal52"/>
              <w:autoSpaceDE w:val="0"/>
              <w:autoSpaceDN w:val="0"/>
              <w:adjustRightInd w:val="0"/>
            </w:pPr>
            <w:r>
              <w:t xml:space="preserve">Liquiditäts- und Finanzplanung </w:t>
            </w:r>
          </w:p>
          <w:p w14:paraId="7FE1C26E" w14:textId="1425CC24" w:rsidR="00696584" w:rsidRDefault="002C4F63">
            <w:pPr>
              <w:pStyle w:val="P68B1DB1-ListParagraph53"/>
              <w:numPr>
                <w:ilvl w:val="0"/>
                <w:numId w:val="293"/>
              </w:numPr>
              <w:autoSpaceDE w:val="0"/>
              <w:autoSpaceDN w:val="0"/>
              <w:adjustRightInd w:val="0"/>
            </w:pPr>
            <w:r>
              <w:t xml:space="preserve">Koordinierung, Verwaltung und Management der Liquiditäts- und Finanzplanung </w:t>
            </w:r>
          </w:p>
          <w:p w14:paraId="7FE1C26F" w14:textId="09154006" w:rsidR="00696584" w:rsidRDefault="002C4F63">
            <w:pPr>
              <w:pStyle w:val="P68B1DB1-ListParagraph53"/>
              <w:numPr>
                <w:ilvl w:val="0"/>
                <w:numId w:val="293"/>
              </w:numPr>
              <w:autoSpaceDE w:val="0"/>
              <w:autoSpaceDN w:val="0"/>
              <w:adjustRightInd w:val="0"/>
            </w:pPr>
            <w:r>
              <w:t xml:space="preserve">Koordinierung, Verwaltung und Management der Unternehmensrefinanzierung einschließlich Sicherheitenverwaltung </w:t>
            </w:r>
          </w:p>
          <w:p w14:paraId="7FE1C270" w14:textId="5D181032" w:rsidR="00696584" w:rsidRDefault="003139A0">
            <w:pPr>
              <w:pStyle w:val="P68B1DB1-ListParagraph53"/>
              <w:numPr>
                <w:ilvl w:val="0"/>
                <w:numId w:val="293"/>
              </w:numPr>
              <w:autoSpaceDE w:val="0"/>
              <w:autoSpaceDN w:val="0"/>
              <w:adjustRightInd w:val="0"/>
            </w:pPr>
            <w:r>
              <w:t>Meldungen</w:t>
            </w:r>
            <w:r w:rsidR="002C4F63">
              <w:t xml:space="preserve">, insbesondere bezüglich der aufsichtsrechtlichen Liquiditätsanforderungen </w:t>
            </w:r>
          </w:p>
          <w:p w14:paraId="7FE1C271" w14:textId="034EEFA4" w:rsidR="00696584" w:rsidRDefault="002C4F63">
            <w:pPr>
              <w:pStyle w:val="P68B1DB1-ListParagraph53"/>
              <w:numPr>
                <w:ilvl w:val="0"/>
                <w:numId w:val="293"/>
              </w:numPr>
              <w:autoSpaceDE w:val="0"/>
              <w:autoSpaceDN w:val="0"/>
              <w:adjustRightInd w:val="0"/>
            </w:pPr>
            <w:r>
              <w:lastRenderedPageBreak/>
              <w:t xml:space="preserve">Koordinierung, Verwaltung und Management mittel- und langfristiger Finanzierungsprogramme sowie Refinanzierung von Unternehmen der Gruppe </w:t>
            </w:r>
          </w:p>
          <w:p w14:paraId="7FE1C272" w14:textId="064C2167" w:rsidR="00696584" w:rsidRDefault="002C4F63">
            <w:pPr>
              <w:pStyle w:val="P68B1DB1-ListParagraph53"/>
              <w:numPr>
                <w:ilvl w:val="0"/>
                <w:numId w:val="293"/>
              </w:numPr>
              <w:autoSpaceDE w:val="0"/>
              <w:autoSpaceDN w:val="0"/>
              <w:adjustRightInd w:val="0"/>
            </w:pPr>
            <w:r>
              <w:t>Koordinierung, Verwaltung und Management der Refinanzierung, insbesondere kurzfristiger Emissionen</w:t>
            </w:r>
          </w:p>
          <w:p w14:paraId="7FE1C273" w14:textId="31AA1016" w:rsidR="00696584" w:rsidRDefault="002C4F63">
            <w:pPr>
              <w:pStyle w:val="P68B1DB1-ListParagraph53"/>
              <w:numPr>
                <w:ilvl w:val="0"/>
                <w:numId w:val="293"/>
              </w:numPr>
              <w:autoSpaceDE w:val="0"/>
              <w:autoSpaceDN w:val="0"/>
              <w:adjustRightInd w:val="0"/>
            </w:pPr>
            <w:r>
              <w:t>Art der sonstigen kassenbezogenen Dienstleistungen</w:t>
            </w:r>
          </w:p>
          <w:p w14:paraId="7FE1C274" w14:textId="77777777" w:rsidR="00696584" w:rsidRDefault="00696584">
            <w:pPr>
              <w:autoSpaceDE w:val="0"/>
              <w:autoSpaceDN w:val="0"/>
              <w:adjustRightInd w:val="0"/>
              <w:rPr>
                <w:rFonts w:ascii="Times New Roman" w:eastAsia="MS Mincho" w:hAnsi="Times New Roman" w:cs="Times New Roman"/>
                <w:sz w:val="20"/>
                <w:szCs w:val="20"/>
              </w:rPr>
            </w:pPr>
          </w:p>
          <w:p w14:paraId="7FE1C275" w14:textId="6437F825" w:rsidR="00696584" w:rsidRDefault="002C4F63">
            <w:pPr>
              <w:pStyle w:val="P68B1DB1-Normal52"/>
              <w:autoSpaceDE w:val="0"/>
              <w:autoSpaceDN w:val="0"/>
              <w:adjustRightInd w:val="0"/>
            </w:pPr>
            <w:r>
              <w:t xml:space="preserve">Handel/Vermögensverwaltung </w:t>
            </w:r>
          </w:p>
          <w:p w14:paraId="7FE1C276" w14:textId="52377E11" w:rsidR="00696584" w:rsidRDefault="002C4F63">
            <w:pPr>
              <w:pStyle w:val="P68B1DB1-ListParagraph53"/>
              <w:numPr>
                <w:ilvl w:val="0"/>
                <w:numId w:val="294"/>
              </w:numPr>
              <w:autoSpaceDE w:val="0"/>
              <w:autoSpaceDN w:val="0"/>
              <w:adjustRightInd w:val="0"/>
            </w:pPr>
            <w:r>
              <w:t xml:space="preserve">Handelstätigkeit: Orderannahme, Konzeption, Umsetzung und Vermarktung von Finanzprodukten </w:t>
            </w:r>
          </w:p>
          <w:p w14:paraId="7FE1C277" w14:textId="35EC336F" w:rsidR="00696584" w:rsidRDefault="002C4F63">
            <w:pPr>
              <w:pStyle w:val="P68B1DB1-ListParagraph53"/>
              <w:numPr>
                <w:ilvl w:val="0"/>
                <w:numId w:val="294"/>
              </w:numPr>
              <w:autoSpaceDE w:val="0"/>
              <w:autoSpaceDN w:val="0"/>
              <w:adjustRightInd w:val="0"/>
            </w:pPr>
            <w:r>
              <w:t xml:space="preserve">Bestätigung, Abwicklung, Zahlung </w:t>
            </w:r>
          </w:p>
          <w:p w14:paraId="7FE1C278" w14:textId="417DFA52" w:rsidR="00696584" w:rsidRDefault="002C4F63">
            <w:pPr>
              <w:pStyle w:val="P68B1DB1-ListParagraph53"/>
              <w:numPr>
                <w:ilvl w:val="0"/>
                <w:numId w:val="294"/>
              </w:numPr>
              <w:autoSpaceDE w:val="0"/>
              <w:autoSpaceDN w:val="0"/>
              <w:adjustRightInd w:val="0"/>
            </w:pPr>
            <w:r>
              <w:t xml:space="preserve">Positions- und Gegenparteienverwaltung bezüglich Datenmeldungen und Beziehungen zu Gegenparteien </w:t>
            </w:r>
          </w:p>
          <w:p w14:paraId="7FE1C279" w14:textId="18F90331" w:rsidR="00696584" w:rsidRDefault="002C4F63">
            <w:pPr>
              <w:pStyle w:val="P68B1DB1-ListParagraph53"/>
              <w:numPr>
                <w:ilvl w:val="0"/>
                <w:numId w:val="294"/>
              </w:numPr>
              <w:autoSpaceDE w:val="0"/>
              <w:autoSpaceDN w:val="0"/>
              <w:adjustRightInd w:val="0"/>
            </w:pPr>
            <w:r>
              <w:t xml:space="preserve">Portfoliomanagement, (Risikosteuerung und Portfolioabgleich) </w:t>
            </w:r>
          </w:p>
          <w:p w14:paraId="7FE1C27A" w14:textId="23FC3BC1" w:rsidR="00696584" w:rsidRDefault="002C4F63">
            <w:pPr>
              <w:pStyle w:val="P68B1DB1-ListParagraph53"/>
              <w:numPr>
                <w:ilvl w:val="0"/>
                <w:numId w:val="294"/>
              </w:numPr>
              <w:autoSpaceDE w:val="0"/>
              <w:autoSpaceDN w:val="0"/>
              <w:adjustRightInd w:val="0"/>
            </w:pPr>
            <w:r>
              <w:t>Art der sonstigen Handels-/Vermögensverwaltungsdienstleistungen</w:t>
            </w:r>
          </w:p>
          <w:p w14:paraId="7FE1C27B" w14:textId="77777777" w:rsidR="00696584" w:rsidRDefault="00696584">
            <w:pPr>
              <w:autoSpaceDE w:val="0"/>
              <w:autoSpaceDN w:val="0"/>
              <w:adjustRightInd w:val="0"/>
              <w:ind w:left="708"/>
              <w:rPr>
                <w:rFonts w:ascii="Times New Roman" w:eastAsia="MS Mincho" w:hAnsi="Times New Roman" w:cs="Times New Roman"/>
                <w:sz w:val="20"/>
                <w:szCs w:val="20"/>
              </w:rPr>
            </w:pPr>
          </w:p>
          <w:p w14:paraId="7FE1C27C" w14:textId="1E8D237F" w:rsidR="00696584" w:rsidRDefault="002C4F63">
            <w:pPr>
              <w:pStyle w:val="P68B1DB1-Normal52"/>
              <w:autoSpaceDE w:val="0"/>
              <w:autoSpaceDN w:val="0"/>
              <w:adjustRightInd w:val="0"/>
            </w:pPr>
            <w:r>
              <w:t xml:space="preserve">Risikomanagement und Bewertung </w:t>
            </w:r>
          </w:p>
          <w:p w14:paraId="7FE1C27D" w14:textId="27978472" w:rsidR="00696584" w:rsidRDefault="002C4F63">
            <w:pPr>
              <w:pStyle w:val="P68B1DB1-ListParagraph53"/>
              <w:numPr>
                <w:ilvl w:val="0"/>
                <w:numId w:val="295"/>
              </w:numPr>
              <w:autoSpaceDE w:val="0"/>
              <w:autoSpaceDN w:val="0"/>
              <w:adjustRightInd w:val="0"/>
            </w:pPr>
            <w:r>
              <w:t>zentrales, geschäftsbereichsbezogenes oder risikobasiertes Risikomanagement</w:t>
            </w:r>
          </w:p>
          <w:p w14:paraId="7FE1C27E" w14:textId="7AC0E3ED" w:rsidR="00696584" w:rsidRDefault="002C4F63">
            <w:pPr>
              <w:pStyle w:val="P68B1DB1-ListParagraph53"/>
              <w:numPr>
                <w:ilvl w:val="0"/>
                <w:numId w:val="295"/>
              </w:numPr>
              <w:autoSpaceDE w:val="0"/>
              <w:autoSpaceDN w:val="0"/>
              <w:adjustRightInd w:val="0"/>
            </w:pPr>
            <w:r>
              <w:t xml:space="preserve">Risikoberichterstattung </w:t>
            </w:r>
          </w:p>
          <w:p w14:paraId="7FE1C27F" w14:textId="54F4E51F" w:rsidR="00696584" w:rsidRDefault="002C4F63">
            <w:pPr>
              <w:pStyle w:val="P68B1DB1-ListParagraph53"/>
              <w:numPr>
                <w:ilvl w:val="0"/>
                <w:numId w:val="295"/>
              </w:numPr>
              <w:autoSpaceDE w:val="0"/>
              <w:autoSpaceDN w:val="0"/>
              <w:adjustRightInd w:val="0"/>
            </w:pPr>
            <w:r>
              <w:t>Art der sonstigen Risikomanagement- und Bewertungsdienstleistungen</w:t>
            </w:r>
          </w:p>
          <w:p w14:paraId="7FE1C280" w14:textId="77777777" w:rsidR="00696584" w:rsidRDefault="00696584">
            <w:pPr>
              <w:autoSpaceDE w:val="0"/>
              <w:autoSpaceDN w:val="0"/>
              <w:adjustRightInd w:val="0"/>
              <w:rPr>
                <w:rFonts w:ascii="Times New Roman" w:eastAsia="MS Mincho" w:hAnsi="Times New Roman" w:cs="Times New Roman"/>
                <w:sz w:val="20"/>
                <w:szCs w:val="20"/>
              </w:rPr>
            </w:pPr>
          </w:p>
          <w:p w14:paraId="7FE1C281" w14:textId="5206B100" w:rsidR="00696584" w:rsidRDefault="002C4F63">
            <w:pPr>
              <w:pStyle w:val="P68B1DB1-Normal52"/>
              <w:autoSpaceDE w:val="0"/>
              <w:autoSpaceDN w:val="0"/>
              <w:adjustRightInd w:val="0"/>
            </w:pPr>
            <w:r>
              <w:t xml:space="preserve">Aufzeichnungen </w:t>
            </w:r>
          </w:p>
          <w:p w14:paraId="7FE1C282" w14:textId="65C12590" w:rsidR="00696584" w:rsidRDefault="002C4F63">
            <w:pPr>
              <w:pStyle w:val="P68B1DB1-ListParagraph53"/>
              <w:numPr>
                <w:ilvl w:val="0"/>
                <w:numId w:val="296"/>
              </w:numPr>
              <w:autoSpaceDE w:val="0"/>
              <w:autoSpaceDN w:val="0"/>
              <w:adjustRightInd w:val="0"/>
            </w:pPr>
            <w:r>
              <w:t xml:space="preserve">Erstellen gesetzlich und aufsichtlich vorgeschriebener Berichte und Meldungen </w:t>
            </w:r>
          </w:p>
          <w:p w14:paraId="7FE1C283" w14:textId="3DCAF9FA" w:rsidR="00696584" w:rsidRDefault="002C4F63">
            <w:pPr>
              <w:pStyle w:val="P68B1DB1-ListParagraph53"/>
              <w:numPr>
                <w:ilvl w:val="0"/>
                <w:numId w:val="296"/>
              </w:numPr>
              <w:autoSpaceDE w:val="0"/>
              <w:autoSpaceDN w:val="0"/>
              <w:adjustRightInd w:val="0"/>
            </w:pPr>
            <w:r>
              <w:t xml:space="preserve">Bewertung, insbesondere von Marktpositionen </w:t>
            </w:r>
          </w:p>
          <w:p w14:paraId="7FE1C284" w14:textId="2EE4BE8B" w:rsidR="00696584" w:rsidRDefault="002C4F63">
            <w:pPr>
              <w:pStyle w:val="P68B1DB1-ListParagraph53"/>
              <w:numPr>
                <w:ilvl w:val="0"/>
                <w:numId w:val="296"/>
              </w:numPr>
              <w:autoSpaceDE w:val="0"/>
              <w:autoSpaceDN w:val="0"/>
              <w:adjustRightInd w:val="0"/>
            </w:pPr>
            <w:r>
              <w:t xml:space="preserve">Managementberichterstattung </w:t>
            </w:r>
          </w:p>
          <w:p w14:paraId="7FE1C285" w14:textId="186EA25B" w:rsidR="00696584" w:rsidRDefault="002C4F63">
            <w:pPr>
              <w:pStyle w:val="P68B1DB1-ListParagraph53"/>
              <w:numPr>
                <w:ilvl w:val="0"/>
                <w:numId w:val="296"/>
              </w:numPr>
              <w:autoSpaceDE w:val="0"/>
              <w:autoSpaceDN w:val="0"/>
              <w:adjustRightInd w:val="0"/>
            </w:pPr>
            <w:r>
              <w:t>Art der sonstigen Rechnungsführung</w:t>
            </w:r>
          </w:p>
          <w:p w14:paraId="7FE1C286" w14:textId="77777777" w:rsidR="00696584" w:rsidRDefault="00696584">
            <w:pPr>
              <w:autoSpaceDE w:val="0"/>
              <w:autoSpaceDN w:val="0"/>
              <w:adjustRightInd w:val="0"/>
              <w:ind w:left="708"/>
              <w:rPr>
                <w:rFonts w:ascii="Times New Roman" w:eastAsia="MS Mincho" w:hAnsi="Times New Roman" w:cs="Times New Roman"/>
                <w:sz w:val="20"/>
                <w:szCs w:val="20"/>
              </w:rPr>
            </w:pPr>
          </w:p>
          <w:p w14:paraId="7FE1C287" w14:textId="675737F3" w:rsidR="00696584" w:rsidRDefault="002C4F63">
            <w:pPr>
              <w:pStyle w:val="P68B1DB1-Normal54"/>
              <w:autoSpaceDE w:val="0"/>
              <w:autoSpaceDN w:val="0"/>
              <w:adjustRightInd w:val="0"/>
              <w:rPr>
                <w:sz w:val="24"/>
              </w:rPr>
            </w:pPr>
            <w:r>
              <w:rPr>
                <w:sz w:val="20"/>
              </w:rPr>
              <w:t>Bargeldbearbeitung</w:t>
            </w:r>
            <w:r>
              <w:rPr>
                <w:sz w:val="24"/>
              </w:rPr>
              <w:t xml:space="preserve"> </w:t>
            </w:r>
          </w:p>
          <w:p w14:paraId="7FE1C288" w14:textId="77777777" w:rsidR="00696584" w:rsidRDefault="00696584">
            <w:pPr>
              <w:autoSpaceDE w:val="0"/>
              <w:autoSpaceDN w:val="0"/>
              <w:adjustRightInd w:val="0"/>
              <w:rPr>
                <w:rFonts w:ascii="Times New Roman" w:eastAsia="MS Mincho" w:hAnsi="Times New Roman" w:cs="Times New Roman"/>
                <w:sz w:val="24"/>
                <w:szCs w:val="20"/>
              </w:rPr>
            </w:pPr>
          </w:p>
          <w:p w14:paraId="7FE1C289" w14:textId="4326F52C" w:rsidR="00696584" w:rsidRDefault="002C4F63">
            <w:pPr>
              <w:pStyle w:val="P68B1DB1-Normal52"/>
              <w:autoSpaceDE w:val="0"/>
              <w:autoSpaceDN w:val="0"/>
              <w:adjustRightInd w:val="0"/>
            </w:pPr>
            <w:r>
              <w:t xml:space="preserve">Sonstige Art </w:t>
            </w:r>
            <w:r w:rsidR="007E4726">
              <w:t>der Dienstleistung</w:t>
            </w:r>
          </w:p>
          <w:p w14:paraId="7FE1C28B" w14:textId="56625F93" w:rsidR="00696584" w:rsidRDefault="00696584">
            <w:pPr>
              <w:spacing w:line="276" w:lineRule="auto"/>
              <w:jc w:val="both"/>
              <w:rPr>
                <w:rFonts w:ascii="Times New Roman" w:eastAsia="Calibri" w:hAnsi="Times New Roman" w:cs="Times New Roman"/>
                <w:b/>
                <w:i/>
                <w:sz w:val="20"/>
                <w:szCs w:val="20"/>
              </w:rPr>
            </w:pPr>
          </w:p>
        </w:tc>
      </w:tr>
      <w:tr w:rsidR="00696584" w14:paraId="7FE1C292" w14:textId="77777777">
        <w:trPr>
          <w:trHeight w:val="463"/>
        </w:trPr>
        <w:tc>
          <w:tcPr>
            <w:tcW w:w="1129" w:type="dxa"/>
            <w:shd w:val="clear" w:color="auto" w:fill="FFFFFF" w:themeFill="background1"/>
          </w:tcPr>
          <w:p w14:paraId="7FE1C28D" w14:textId="77777777" w:rsidR="00696584" w:rsidRDefault="002C4F63">
            <w:pPr>
              <w:pStyle w:val="P68B1DB1-Normal50"/>
              <w:spacing w:before="120" w:after="120" w:line="276" w:lineRule="auto"/>
            </w:pPr>
            <w:r>
              <w:lastRenderedPageBreak/>
              <w:t>0020</w:t>
            </w:r>
          </w:p>
        </w:tc>
        <w:tc>
          <w:tcPr>
            <w:tcW w:w="7938" w:type="dxa"/>
            <w:shd w:val="clear" w:color="auto" w:fill="FFFFFF" w:themeFill="background1"/>
          </w:tcPr>
          <w:p w14:paraId="7FE1C28E" w14:textId="1B4BDC65" w:rsidR="00696584" w:rsidRDefault="007E4726">
            <w:pPr>
              <w:pStyle w:val="P68B1DB1-Normal49"/>
              <w:spacing w:line="276" w:lineRule="auto"/>
              <w:jc w:val="both"/>
              <w:rPr>
                <w:bCs/>
              </w:rPr>
            </w:pPr>
            <w:r>
              <w:t>Eindeutige Bezeichnung der Dienstleistung</w:t>
            </w:r>
            <w:r w:rsidR="002C4F63">
              <w:t xml:space="preserve"> gemäß Banktaxonomie</w:t>
            </w:r>
          </w:p>
          <w:p w14:paraId="1C0060B3" w14:textId="2E004E7A" w:rsidR="00696584" w:rsidRDefault="002C4F63">
            <w:pPr>
              <w:rPr>
                <w:rFonts w:ascii="Times New Roman" w:eastAsiaTheme="minorHAnsi" w:hAnsi="Times New Roman" w:cs="Times New Roman"/>
                <w:sz w:val="24"/>
              </w:rPr>
            </w:pPr>
            <w:r>
              <w:rPr>
                <w:rFonts w:ascii="Times New Roman" w:eastAsia="Calibri" w:hAnsi="Times New Roman" w:cs="Times New Roman"/>
                <w:sz w:val="20"/>
              </w:rPr>
              <w:t>Name/Kurzbeschreibung der Dienstleistung gemäß der von der Bank selbst erstellten Taxonomie (</w:t>
            </w:r>
            <w:r w:rsidR="007E4726">
              <w:rPr>
                <w:rFonts w:ascii="Times New Roman" w:eastAsia="Calibri" w:hAnsi="Times New Roman" w:cs="Times New Roman"/>
                <w:sz w:val="20"/>
              </w:rPr>
              <w:t xml:space="preserve">Level </w:t>
            </w:r>
            <w:r>
              <w:rPr>
                <w:rFonts w:ascii="Times New Roman" w:eastAsia="Calibri" w:hAnsi="Times New Roman" w:cs="Times New Roman"/>
                <w:sz w:val="20"/>
              </w:rPr>
              <w:t xml:space="preserve">3), in der die Dienstleistungen und Untergruppen dieser Dienstleistungen auf hierarchische Ebenen eingestuft werden. Beispielsweise eine Dienstleistungstaxonomie, die die Dienstleistungen auf drei hierarchischen Ebenen kategorisiert, wobei auf der obersten Ebene die Dienstleistungsgruppe vorhanden ist (L1: Finanzdienstleistungen), in denen die Dienstleistungen auf der Ebene 2 vertreten sind (L2: Schatzamt, Finanzanalyse, Steuerfragen, Investorenbeziehungen usw.) und Teildienstleistungen auf Ebene 3 (L3 – innerhalb des Treasury: Liquiditätsmanagement, Vermögens- und Passivmanagement, Sicherheitenverwaltung usw.). Von der Bank wird erwartet, dass sie die Dienstleistungen auf einer detaillierteren Ebene meldet als die </w:t>
            </w:r>
            <w:r w:rsidR="003139A0">
              <w:rPr>
                <w:rFonts w:ascii="Times New Roman" w:eastAsia="Calibri" w:hAnsi="Times New Roman" w:cs="Times New Roman"/>
                <w:sz w:val="20"/>
              </w:rPr>
              <w:t xml:space="preserve">Meldung </w:t>
            </w:r>
            <w:r>
              <w:rPr>
                <w:rFonts w:ascii="Times New Roman" w:eastAsia="Calibri" w:hAnsi="Times New Roman" w:cs="Times New Roman"/>
                <w:sz w:val="20"/>
              </w:rPr>
              <w:t>für Stufe 2 (c0010), sodass jede einzelne Dienstleistung präzise und zielgerichtet definiert wird.</w:t>
            </w:r>
            <w:r>
              <w:rPr>
                <w:rFonts w:ascii="Times New Roman" w:eastAsiaTheme="minorHAnsi" w:hAnsi="Times New Roman" w:cs="Times New Roman"/>
                <w:sz w:val="24"/>
              </w:rPr>
              <w:t xml:space="preserve"> </w:t>
            </w:r>
          </w:p>
          <w:p w14:paraId="7FE1C290" w14:textId="77777777" w:rsidR="00696584" w:rsidRDefault="00696584">
            <w:pPr>
              <w:spacing w:line="276" w:lineRule="auto"/>
              <w:jc w:val="both"/>
              <w:rPr>
                <w:rFonts w:ascii="Times New Roman" w:eastAsia="Calibri" w:hAnsi="Times New Roman" w:cs="Times New Roman"/>
                <w:sz w:val="20"/>
              </w:rPr>
            </w:pPr>
          </w:p>
          <w:p w14:paraId="7FE1C291" w14:textId="77777777" w:rsidR="00696584" w:rsidRDefault="00696584">
            <w:pPr>
              <w:spacing w:line="276" w:lineRule="auto"/>
              <w:jc w:val="both"/>
              <w:rPr>
                <w:rFonts w:ascii="Times New Roman" w:eastAsia="Calibri" w:hAnsi="Times New Roman" w:cs="Times New Roman"/>
                <w:i/>
                <w:sz w:val="20"/>
              </w:rPr>
            </w:pPr>
          </w:p>
        </w:tc>
      </w:tr>
      <w:tr w:rsidR="00696584" w14:paraId="7FE1C298" w14:textId="77777777">
        <w:trPr>
          <w:trHeight w:val="463"/>
        </w:trPr>
        <w:tc>
          <w:tcPr>
            <w:tcW w:w="1129" w:type="dxa"/>
            <w:shd w:val="clear" w:color="auto" w:fill="FFFFFF" w:themeFill="background1"/>
          </w:tcPr>
          <w:p w14:paraId="7FE1C293" w14:textId="77777777" w:rsidR="00696584" w:rsidRDefault="002C4F63">
            <w:pPr>
              <w:pStyle w:val="P68B1DB1-Normal50"/>
              <w:spacing w:before="120" w:after="120" w:line="276" w:lineRule="auto"/>
            </w:pPr>
            <w:r>
              <w:t>0030-0040</w:t>
            </w:r>
          </w:p>
          <w:p w14:paraId="7FE1C294" w14:textId="77777777" w:rsidR="00696584" w:rsidRDefault="00696584">
            <w:pPr>
              <w:spacing w:before="120" w:after="120" w:line="276" w:lineRule="auto"/>
              <w:rPr>
                <w:rFonts w:ascii="Times New Roman" w:eastAsia="Calibri" w:hAnsi="Times New Roman" w:cs="Times New Roman"/>
                <w:strike/>
                <w:sz w:val="20"/>
                <w:szCs w:val="20"/>
              </w:rPr>
            </w:pPr>
          </w:p>
        </w:tc>
        <w:tc>
          <w:tcPr>
            <w:tcW w:w="7938" w:type="dxa"/>
            <w:shd w:val="clear" w:color="auto" w:fill="FFFFFF" w:themeFill="background1"/>
          </w:tcPr>
          <w:p w14:paraId="7FE1C295" w14:textId="77777777" w:rsidR="00696584" w:rsidRDefault="002C4F63">
            <w:pPr>
              <w:pStyle w:val="P68B1DB1-Normal49"/>
              <w:spacing w:line="276" w:lineRule="auto"/>
              <w:jc w:val="both"/>
              <w:rPr>
                <w:bCs/>
              </w:rPr>
            </w:pPr>
            <w:r>
              <w:t>Dienstleistungsempfänger</w:t>
            </w:r>
          </w:p>
          <w:p w14:paraId="7FE1C296" w14:textId="6BB16960" w:rsidR="00696584" w:rsidRDefault="002C4F63">
            <w:pPr>
              <w:pStyle w:val="P68B1DB1-Normal45"/>
              <w:spacing w:line="276" w:lineRule="auto"/>
              <w:jc w:val="both"/>
            </w:pPr>
            <w:r>
              <w:t>Das Unternehmen der Gruppe, das die in der Spalte 0010 angegebene Dienstleistung von einer anderen Geschäftseinheit, einem anderen Unternehmen der Gruppe oder dem in den Spalten 0050-0110 angegebenen externen Anbieter entgegennimmt</w:t>
            </w:r>
          </w:p>
          <w:p w14:paraId="7FE1C297" w14:textId="77777777" w:rsidR="00696584" w:rsidRDefault="00696584">
            <w:pPr>
              <w:spacing w:line="276" w:lineRule="auto"/>
              <w:jc w:val="both"/>
              <w:rPr>
                <w:rFonts w:ascii="Times New Roman" w:eastAsia="Calibri" w:hAnsi="Times New Roman" w:cs="Times New Roman"/>
                <w:sz w:val="20"/>
              </w:rPr>
            </w:pPr>
          </w:p>
        </w:tc>
      </w:tr>
      <w:tr w:rsidR="00696584" w14:paraId="7FE1C29F" w14:textId="77777777">
        <w:trPr>
          <w:trHeight w:val="463"/>
        </w:trPr>
        <w:tc>
          <w:tcPr>
            <w:tcW w:w="1129" w:type="dxa"/>
            <w:shd w:val="clear" w:color="auto" w:fill="FFFFFF" w:themeFill="background1"/>
          </w:tcPr>
          <w:p w14:paraId="7FE1C299" w14:textId="77777777" w:rsidR="00696584" w:rsidRDefault="002C4F63">
            <w:pPr>
              <w:pStyle w:val="P68B1DB1-Normal50"/>
              <w:spacing w:before="120" w:after="120" w:line="276" w:lineRule="auto"/>
            </w:pPr>
            <w:r>
              <w:lastRenderedPageBreak/>
              <w:t>0030</w:t>
            </w:r>
          </w:p>
          <w:p w14:paraId="7FE1C29A" w14:textId="77777777" w:rsidR="00696584" w:rsidRDefault="00696584">
            <w:pPr>
              <w:spacing w:before="120" w:after="120" w:line="276" w:lineRule="auto"/>
              <w:rPr>
                <w:rFonts w:ascii="Times New Roman" w:eastAsia="Calibri" w:hAnsi="Times New Roman" w:cs="Times New Roman"/>
                <w:strike/>
                <w:sz w:val="20"/>
                <w:szCs w:val="20"/>
              </w:rPr>
            </w:pPr>
          </w:p>
        </w:tc>
        <w:tc>
          <w:tcPr>
            <w:tcW w:w="7938" w:type="dxa"/>
            <w:shd w:val="clear" w:color="auto" w:fill="FFFFFF" w:themeFill="background1"/>
          </w:tcPr>
          <w:p w14:paraId="7FE1C29B" w14:textId="10247858" w:rsidR="00696584" w:rsidRDefault="002C4F63">
            <w:pPr>
              <w:pStyle w:val="P68B1DB1-Normal49"/>
              <w:spacing w:before="120" w:after="120" w:line="276" w:lineRule="auto"/>
              <w:rPr>
                <w:bCs/>
              </w:rPr>
            </w:pPr>
            <w:r>
              <w:t>Bezeichnung</w:t>
            </w:r>
          </w:p>
          <w:p w14:paraId="7FE1C29C" w14:textId="5429A4DF" w:rsidR="00696584" w:rsidRDefault="002C4F63">
            <w:pPr>
              <w:pStyle w:val="P68B1DB1-Normal45"/>
              <w:spacing w:line="276" w:lineRule="auto"/>
              <w:jc w:val="both"/>
            </w:pPr>
            <w:r>
              <w:t>Es muss sich von der in Spalte 0050 aufgeführten Bezeichnung unterscheiden, es sei denn, es handelt sich um einen innergemeinschaftlichen Dienst. In diesem Fall wird erwartet, dass der Name des Dienstleistungsempfängers und der Name des Dienstleisters übereinstimmen.</w:t>
            </w:r>
          </w:p>
          <w:p w14:paraId="7FE1C29D" w14:textId="77777777" w:rsidR="00696584" w:rsidRDefault="00696584">
            <w:pPr>
              <w:spacing w:line="276" w:lineRule="auto"/>
              <w:jc w:val="both"/>
              <w:rPr>
                <w:rFonts w:ascii="Times New Roman" w:eastAsia="Calibri" w:hAnsi="Times New Roman" w:cs="Times New Roman"/>
                <w:sz w:val="20"/>
              </w:rPr>
            </w:pPr>
          </w:p>
          <w:p w14:paraId="7FE1C29E" w14:textId="77777777" w:rsidR="00696584" w:rsidRDefault="00696584">
            <w:pPr>
              <w:spacing w:line="276" w:lineRule="auto"/>
              <w:jc w:val="both"/>
              <w:rPr>
                <w:rFonts w:ascii="Times New Roman" w:eastAsia="Calibri" w:hAnsi="Times New Roman" w:cs="Times New Roman"/>
                <w:b/>
                <w:sz w:val="20"/>
              </w:rPr>
            </w:pPr>
          </w:p>
        </w:tc>
      </w:tr>
      <w:tr w:rsidR="00696584" w14:paraId="7FE1C2A6" w14:textId="77777777">
        <w:trPr>
          <w:trHeight w:val="463"/>
        </w:trPr>
        <w:tc>
          <w:tcPr>
            <w:tcW w:w="1129" w:type="dxa"/>
            <w:shd w:val="clear" w:color="auto" w:fill="FFFFFF" w:themeFill="background1"/>
          </w:tcPr>
          <w:p w14:paraId="7FE1C2A0" w14:textId="77777777" w:rsidR="00696584" w:rsidRDefault="002C4F63">
            <w:pPr>
              <w:pStyle w:val="P68B1DB1-Normal50"/>
              <w:spacing w:before="120" w:after="120" w:line="276" w:lineRule="auto"/>
            </w:pPr>
            <w:r>
              <w:t>0040</w:t>
            </w:r>
          </w:p>
          <w:p w14:paraId="7FE1C2A1" w14:textId="77777777" w:rsidR="00696584" w:rsidRDefault="00696584">
            <w:pPr>
              <w:spacing w:before="120" w:after="120" w:line="276" w:lineRule="auto"/>
              <w:rPr>
                <w:rFonts w:ascii="Times New Roman" w:eastAsia="Calibri" w:hAnsi="Times New Roman" w:cs="Times New Roman"/>
                <w:strike/>
                <w:sz w:val="20"/>
                <w:szCs w:val="20"/>
              </w:rPr>
            </w:pPr>
          </w:p>
        </w:tc>
        <w:tc>
          <w:tcPr>
            <w:tcW w:w="7938" w:type="dxa"/>
            <w:shd w:val="clear" w:color="auto" w:fill="FFFFFF" w:themeFill="background1"/>
          </w:tcPr>
          <w:p w14:paraId="7FE1C2A2" w14:textId="5CCF7C0E" w:rsidR="00696584" w:rsidRDefault="002C4F63">
            <w:pPr>
              <w:pStyle w:val="P68B1DB1-Normal49"/>
              <w:spacing w:before="120" w:after="120" w:line="276" w:lineRule="auto"/>
              <w:rPr>
                <w:bCs/>
              </w:rPr>
            </w:pPr>
            <w:r>
              <w:t>Code</w:t>
            </w:r>
          </w:p>
          <w:p w14:paraId="7FE1C2A3" w14:textId="77777777" w:rsidR="00696584" w:rsidRDefault="002C4F63">
            <w:pPr>
              <w:pStyle w:val="P68B1DB1-Normal45"/>
              <w:spacing w:line="276" w:lineRule="auto"/>
              <w:jc w:val="both"/>
            </w:pPr>
            <w:r>
              <w:t>Spezifische Kennung des Rechtsträgers aus Spalte 0030, wie im Meldebogen Z 01.01 (ORG) angegeben.</w:t>
            </w:r>
          </w:p>
          <w:p w14:paraId="7FE1C2A4" w14:textId="77777777" w:rsidR="00696584" w:rsidRDefault="002C4F63">
            <w:pPr>
              <w:pStyle w:val="P68B1DB1-Normal45"/>
              <w:spacing w:line="276" w:lineRule="auto"/>
              <w:jc w:val="both"/>
            </w:pPr>
            <w:r>
              <w:t>Es muss sich von der in Spalte 0060 angegebenen Kennung unterscheiden, es sei denn, es handelt sich um einen innergemeinschaftlichen Dienst. In diesem Fall wird erwartet, dass der Code des Dienstleistungsempfängers und der des Diensteanbieters übereinstimmen.</w:t>
            </w:r>
          </w:p>
          <w:p w14:paraId="7FE1C2A5" w14:textId="77777777" w:rsidR="00696584" w:rsidRDefault="00696584">
            <w:pPr>
              <w:spacing w:line="276" w:lineRule="auto"/>
              <w:jc w:val="both"/>
              <w:rPr>
                <w:rFonts w:ascii="Times New Roman" w:eastAsia="Calibri" w:hAnsi="Times New Roman" w:cs="Times New Roman"/>
                <w:b/>
                <w:i/>
                <w:sz w:val="20"/>
              </w:rPr>
            </w:pPr>
          </w:p>
        </w:tc>
      </w:tr>
      <w:tr w:rsidR="00696584" w14:paraId="7FE1C2AC" w14:textId="77777777">
        <w:trPr>
          <w:trHeight w:val="463"/>
        </w:trPr>
        <w:tc>
          <w:tcPr>
            <w:tcW w:w="1129" w:type="dxa"/>
            <w:shd w:val="clear" w:color="auto" w:fill="FFFFFF" w:themeFill="background1"/>
          </w:tcPr>
          <w:p w14:paraId="7FE1C2A7" w14:textId="77777777" w:rsidR="00696584" w:rsidRDefault="002C4F63">
            <w:pPr>
              <w:pStyle w:val="P68B1DB1-Normal50"/>
              <w:spacing w:before="120" w:after="120" w:line="276" w:lineRule="auto"/>
            </w:pPr>
            <w:r>
              <w:t>0050-0110</w:t>
            </w:r>
          </w:p>
          <w:p w14:paraId="7FE1C2A8" w14:textId="77777777" w:rsidR="00696584" w:rsidRDefault="00696584">
            <w:pPr>
              <w:spacing w:before="120" w:after="120" w:line="276" w:lineRule="auto"/>
              <w:rPr>
                <w:rFonts w:ascii="Times New Roman" w:eastAsia="Calibri" w:hAnsi="Times New Roman" w:cs="Times New Roman"/>
                <w:sz w:val="20"/>
                <w:szCs w:val="20"/>
              </w:rPr>
            </w:pPr>
          </w:p>
        </w:tc>
        <w:tc>
          <w:tcPr>
            <w:tcW w:w="7938" w:type="dxa"/>
            <w:shd w:val="clear" w:color="auto" w:fill="FFFFFF" w:themeFill="background1"/>
          </w:tcPr>
          <w:p w14:paraId="7FE1C2A9" w14:textId="77777777" w:rsidR="00696584" w:rsidRDefault="002C4F63">
            <w:pPr>
              <w:pStyle w:val="P68B1DB1-Normal55"/>
              <w:spacing w:line="276" w:lineRule="auto"/>
              <w:jc w:val="both"/>
              <w:rPr>
                <w:bCs/>
              </w:rPr>
            </w:pPr>
            <w:r>
              <w:rPr>
                <w:szCs w:val="20"/>
              </w:rPr>
              <w:t>Dienstleister</w:t>
            </w:r>
            <w:r>
              <w:t xml:space="preserve"> </w:t>
            </w:r>
          </w:p>
          <w:p w14:paraId="7FE1C2AA" w14:textId="77777777" w:rsidR="00696584" w:rsidRDefault="002C4F63">
            <w:pPr>
              <w:pStyle w:val="P68B1DB1-Normal45"/>
              <w:spacing w:line="276" w:lineRule="auto"/>
              <w:jc w:val="both"/>
            </w:pPr>
            <w:r>
              <w:t>Die juristische Person (bei unternehmensinternen oder gruppeninternen Dienstleistungen) oder der externe Dienstleister (für externe Dienstleistungen), der die in Spalte 0020 angegebene Dienstleistung für das in Spalte 0030 angegebene Unternehmen der Gruppe erbringt.</w:t>
            </w:r>
          </w:p>
          <w:p w14:paraId="7FE1C2AB" w14:textId="77777777" w:rsidR="00696584" w:rsidRDefault="00696584">
            <w:pPr>
              <w:spacing w:line="276" w:lineRule="auto"/>
              <w:jc w:val="both"/>
              <w:rPr>
                <w:rFonts w:ascii="Times New Roman" w:eastAsia="Calibri" w:hAnsi="Times New Roman" w:cs="Times New Roman"/>
                <w:sz w:val="20"/>
              </w:rPr>
            </w:pPr>
          </w:p>
        </w:tc>
      </w:tr>
      <w:tr w:rsidR="00696584" w14:paraId="244B34A5" w14:textId="77777777">
        <w:trPr>
          <w:trHeight w:val="463"/>
        </w:trPr>
        <w:tc>
          <w:tcPr>
            <w:tcW w:w="1129" w:type="dxa"/>
            <w:shd w:val="clear" w:color="auto" w:fill="FFFFFF" w:themeFill="background1"/>
          </w:tcPr>
          <w:p w14:paraId="26770022" w14:textId="77E4D0B7" w:rsidR="00696584" w:rsidRDefault="002C4F63">
            <w:pPr>
              <w:pStyle w:val="P68B1DB1-Normal50"/>
              <w:spacing w:before="120" w:after="120" w:line="276" w:lineRule="auto"/>
            </w:pPr>
            <w:r>
              <w:t>0050-0070</w:t>
            </w:r>
          </w:p>
        </w:tc>
        <w:tc>
          <w:tcPr>
            <w:tcW w:w="7938" w:type="dxa"/>
            <w:shd w:val="clear" w:color="auto" w:fill="FFFFFF" w:themeFill="background1"/>
          </w:tcPr>
          <w:p w14:paraId="3E4CD319" w14:textId="1ED707D8" w:rsidR="00696584" w:rsidRDefault="007E4726">
            <w:pPr>
              <w:pStyle w:val="P68B1DB1-Normal49"/>
              <w:spacing w:line="276" w:lineRule="auto"/>
              <w:jc w:val="both"/>
              <w:rPr>
                <w:bCs/>
              </w:rPr>
            </w:pPr>
            <w:r>
              <w:t>Einheit</w:t>
            </w:r>
          </w:p>
        </w:tc>
      </w:tr>
      <w:tr w:rsidR="00696584" w14:paraId="7FE1C2B2" w14:textId="77777777">
        <w:trPr>
          <w:trHeight w:val="463"/>
        </w:trPr>
        <w:tc>
          <w:tcPr>
            <w:tcW w:w="1129" w:type="dxa"/>
            <w:shd w:val="clear" w:color="auto" w:fill="FFFFFF" w:themeFill="background1"/>
          </w:tcPr>
          <w:p w14:paraId="7FE1C2AD" w14:textId="77777777" w:rsidR="00696584" w:rsidRDefault="002C4F63">
            <w:pPr>
              <w:pStyle w:val="P68B1DB1-Normal50"/>
              <w:spacing w:before="120" w:after="120" w:line="276" w:lineRule="auto"/>
            </w:pPr>
            <w:r>
              <w:t>0050</w:t>
            </w:r>
          </w:p>
          <w:p w14:paraId="7FE1C2AE" w14:textId="77777777" w:rsidR="00696584" w:rsidRDefault="00696584">
            <w:pPr>
              <w:spacing w:before="120" w:after="120" w:line="276" w:lineRule="auto"/>
              <w:rPr>
                <w:rFonts w:ascii="Times New Roman" w:eastAsia="Calibri" w:hAnsi="Times New Roman" w:cs="Times New Roman"/>
                <w:b/>
                <w:strike/>
                <w:sz w:val="20"/>
                <w:szCs w:val="20"/>
              </w:rPr>
            </w:pPr>
          </w:p>
        </w:tc>
        <w:tc>
          <w:tcPr>
            <w:tcW w:w="7938" w:type="dxa"/>
            <w:shd w:val="clear" w:color="auto" w:fill="FFFFFF" w:themeFill="background1"/>
          </w:tcPr>
          <w:p w14:paraId="7FE1C2AF" w14:textId="6229942B" w:rsidR="00696584" w:rsidRDefault="002C4F63">
            <w:pPr>
              <w:pStyle w:val="P68B1DB1-Normal49"/>
              <w:spacing w:before="120" w:after="120" w:line="276" w:lineRule="auto"/>
              <w:rPr>
                <w:bCs/>
              </w:rPr>
            </w:pPr>
            <w:r>
              <w:t>Bezeichnung</w:t>
            </w:r>
          </w:p>
          <w:p w14:paraId="7FE1C2B0" w14:textId="77777777" w:rsidR="00696584" w:rsidRDefault="002C4F63">
            <w:pPr>
              <w:pStyle w:val="P68B1DB1-Normal45"/>
              <w:spacing w:line="276" w:lineRule="auto"/>
              <w:jc w:val="both"/>
            </w:pPr>
            <w:r>
              <w:t>Es muss sich von der in Spalte 0030 aufgeführten Bezeichnung unterscheiden, es sei denn, es handelt sich um einen innergemeinschaftlichen Dienst. In diesem Fall wird erwartet, dass der Name des Dienstleistungsempfängers und der Name des Dienstleisters übereinstimmen.</w:t>
            </w:r>
          </w:p>
          <w:p w14:paraId="7FE1C2B1" w14:textId="77777777" w:rsidR="00696584" w:rsidRDefault="00696584">
            <w:pPr>
              <w:spacing w:line="276" w:lineRule="auto"/>
              <w:jc w:val="both"/>
              <w:rPr>
                <w:rFonts w:ascii="Times New Roman" w:eastAsia="Calibri" w:hAnsi="Times New Roman" w:cs="Times New Roman"/>
                <w:b/>
                <w:sz w:val="20"/>
              </w:rPr>
            </w:pPr>
          </w:p>
        </w:tc>
      </w:tr>
      <w:tr w:rsidR="00696584" w14:paraId="7FE1C2BE" w14:textId="77777777">
        <w:trPr>
          <w:trHeight w:val="463"/>
        </w:trPr>
        <w:tc>
          <w:tcPr>
            <w:tcW w:w="1129" w:type="dxa"/>
            <w:shd w:val="clear" w:color="auto" w:fill="FFFFFF" w:themeFill="background1"/>
          </w:tcPr>
          <w:p w14:paraId="7FE1C2B3" w14:textId="77777777" w:rsidR="00696584" w:rsidRDefault="002C4F63">
            <w:pPr>
              <w:pStyle w:val="P68B1DB1-Normal45"/>
              <w:spacing w:line="276" w:lineRule="auto"/>
              <w:jc w:val="both"/>
            </w:pPr>
            <w:r>
              <w:t>0060</w:t>
            </w:r>
          </w:p>
          <w:p w14:paraId="7FE1C2B4" w14:textId="77777777" w:rsidR="00696584" w:rsidRDefault="00696584">
            <w:pPr>
              <w:spacing w:line="276" w:lineRule="auto"/>
              <w:jc w:val="both"/>
              <w:rPr>
                <w:rFonts w:ascii="Times New Roman" w:eastAsia="Calibri" w:hAnsi="Times New Roman" w:cs="Times New Roman"/>
                <w:strike/>
                <w:sz w:val="20"/>
              </w:rPr>
            </w:pPr>
          </w:p>
        </w:tc>
        <w:tc>
          <w:tcPr>
            <w:tcW w:w="7938" w:type="dxa"/>
            <w:shd w:val="clear" w:color="auto" w:fill="FFFFFF" w:themeFill="background1"/>
          </w:tcPr>
          <w:p w14:paraId="7FE1C2B5" w14:textId="3A54AC61" w:rsidR="00696584" w:rsidRDefault="002C4F63">
            <w:pPr>
              <w:pStyle w:val="P68B1DB1-Normal55"/>
              <w:spacing w:line="276" w:lineRule="auto"/>
              <w:jc w:val="both"/>
              <w:rPr>
                <w:bCs/>
              </w:rPr>
            </w:pPr>
            <w:r>
              <w:t>Code</w:t>
            </w:r>
          </w:p>
          <w:p w14:paraId="7FE1C2B6" w14:textId="77777777" w:rsidR="00696584" w:rsidRDefault="002C4F63">
            <w:pPr>
              <w:pStyle w:val="P68B1DB1-Normal45"/>
              <w:spacing w:line="276" w:lineRule="auto"/>
              <w:jc w:val="both"/>
              <w:rPr>
                <w:strike/>
              </w:rPr>
            </w:pPr>
            <w:r>
              <w:t>Spezifische Kennung des Rechtsträgers aus Spalte 0050. Es muss sich von der in Spalte 0040 aufgeführten Kennung unterscheiden, es sei denn, es handelt sich um einen innergemeinschaftlichen Dienst. In diesem Fall wird erwartet, dass der Code des Dienstleistungsempfängers und der des Diensteanbieters übereinstimmen.</w:t>
            </w:r>
          </w:p>
          <w:p w14:paraId="7FE1C2B7" w14:textId="77777777" w:rsidR="00696584" w:rsidRDefault="002C4F63">
            <w:pPr>
              <w:pStyle w:val="P68B1DB1-Normal45"/>
              <w:spacing w:line="276" w:lineRule="auto"/>
              <w:jc w:val="both"/>
            </w:pPr>
            <w:r>
              <w:t>Ist der Dienstleister ein Unternehmen der Gruppe, so muss die Kennung mit der im Meldebogen Z 01.01 (ORG) angegebenen Kennung übereinstimmen.</w:t>
            </w:r>
          </w:p>
          <w:p w14:paraId="7FE1C2B8" w14:textId="77777777" w:rsidR="00696584" w:rsidRDefault="002C4F63">
            <w:pPr>
              <w:pStyle w:val="P68B1DB1-Normal45"/>
              <w:spacing w:line="276" w:lineRule="auto"/>
              <w:jc w:val="both"/>
            </w:pPr>
            <w:r>
              <w:t>Ist der Dienstleister kein Unternehmen der Gruppe, so muss seine Kennung</w:t>
            </w:r>
          </w:p>
          <w:p w14:paraId="7FE1C2B9" w14:textId="77777777" w:rsidR="00696584" w:rsidRDefault="002C4F63">
            <w:pPr>
              <w:pStyle w:val="P68B1DB1-Normal45"/>
              <w:spacing w:line="276" w:lineRule="auto"/>
              <w:jc w:val="both"/>
            </w:pPr>
            <w:r>
              <w:t>— bei Rechtsträgern mit Rechtsträgerkennung (LEI) der 20-stellige alphanumerische LEI-Code;</w:t>
            </w:r>
          </w:p>
          <w:p w14:paraId="7FE1C2BA" w14:textId="77777777" w:rsidR="00696584" w:rsidRDefault="002C4F63">
            <w:pPr>
              <w:pStyle w:val="P68B1DB1-Normal45"/>
              <w:spacing w:line="276" w:lineRule="auto"/>
              <w:jc w:val="both"/>
            </w:pPr>
            <w:r>
              <w:t>— bei Unternehmen ohne LEI die Firmenregistrierungsnummer nach nationalem Recht</w:t>
            </w:r>
            <w:r>
              <w:rPr>
                <w:strike/>
              </w:rPr>
              <w:t>.</w:t>
            </w:r>
          </w:p>
          <w:p w14:paraId="7FE1C2BB" w14:textId="77777777" w:rsidR="00696584" w:rsidRDefault="00696584">
            <w:pPr>
              <w:spacing w:line="276" w:lineRule="auto"/>
              <w:jc w:val="both"/>
              <w:rPr>
                <w:rFonts w:ascii="Times New Roman" w:eastAsia="Calibri" w:hAnsi="Times New Roman" w:cs="Times New Roman"/>
                <w:sz w:val="20"/>
              </w:rPr>
            </w:pPr>
          </w:p>
          <w:p w14:paraId="7FE1C2BC" w14:textId="77777777" w:rsidR="00696584" w:rsidRDefault="002C4F63">
            <w:pPr>
              <w:pStyle w:val="P68B1DB1-Normal45"/>
              <w:spacing w:line="276" w:lineRule="auto"/>
              <w:jc w:val="both"/>
            </w:pPr>
            <w:r>
              <w:t>Für beide Fälle ist der Code spezifisch und wird durchgängig in allen Meldebögen verwendet.</w:t>
            </w:r>
          </w:p>
          <w:p w14:paraId="7FE1C2BD" w14:textId="77777777" w:rsidR="00696584" w:rsidRDefault="002C4F63">
            <w:pPr>
              <w:pStyle w:val="P68B1DB1-Normal56"/>
              <w:spacing w:line="276" w:lineRule="auto"/>
              <w:jc w:val="both"/>
            </w:pPr>
            <w:r>
              <w:t xml:space="preserve"> </w:t>
            </w:r>
          </w:p>
        </w:tc>
      </w:tr>
      <w:tr w:rsidR="00696584" w14:paraId="7FE1C2C7" w14:textId="77777777">
        <w:trPr>
          <w:trHeight w:val="463"/>
        </w:trPr>
        <w:tc>
          <w:tcPr>
            <w:tcW w:w="1129" w:type="dxa"/>
            <w:shd w:val="clear" w:color="auto" w:fill="FFFFFF" w:themeFill="background1"/>
          </w:tcPr>
          <w:p w14:paraId="7FE1C2BF" w14:textId="77777777" w:rsidR="00696584" w:rsidRDefault="002C4F63">
            <w:pPr>
              <w:pStyle w:val="P68B1DB1-Normal45"/>
              <w:spacing w:line="276" w:lineRule="auto"/>
              <w:jc w:val="both"/>
            </w:pPr>
            <w:r>
              <w:t>0070</w:t>
            </w:r>
          </w:p>
        </w:tc>
        <w:tc>
          <w:tcPr>
            <w:tcW w:w="7938" w:type="dxa"/>
            <w:shd w:val="clear" w:color="auto" w:fill="FFFFFF" w:themeFill="background1"/>
          </w:tcPr>
          <w:p w14:paraId="7FE1C2C0" w14:textId="77777777" w:rsidR="00696584" w:rsidRDefault="002C4F63">
            <w:pPr>
              <w:pStyle w:val="P68B1DB1-Normal55"/>
              <w:spacing w:line="276" w:lineRule="auto"/>
              <w:jc w:val="both"/>
              <w:rPr>
                <w:bCs/>
              </w:rPr>
            </w:pPr>
            <w:r>
              <w:t xml:space="preserve">Art des Codes </w:t>
            </w:r>
          </w:p>
          <w:p w14:paraId="7FE1C2C3" w14:textId="5EDF8AF2" w:rsidR="00696584" w:rsidRDefault="002C4F63">
            <w:pPr>
              <w:pStyle w:val="P68B1DB1-Normal57"/>
              <w:spacing w:line="276" w:lineRule="auto"/>
              <w:contextualSpacing/>
              <w:jc w:val="both"/>
              <w:rPr>
                <w:bCs/>
              </w:rPr>
            </w:pPr>
            <w:r>
              <w:t>Einer der folgenden Werte ist anzugeben:</w:t>
            </w:r>
          </w:p>
          <w:p w14:paraId="7FE1C2C4" w14:textId="77777777" w:rsidR="00696584" w:rsidRDefault="002C4F63">
            <w:pPr>
              <w:pStyle w:val="P68B1DB1-ListParagraph58"/>
              <w:numPr>
                <w:ilvl w:val="0"/>
                <w:numId w:val="64"/>
              </w:numPr>
              <w:spacing w:line="276" w:lineRule="auto"/>
              <w:contextualSpacing/>
              <w:jc w:val="both"/>
            </w:pPr>
            <w:r>
              <w:t>RECHTSTRÄGER—</w:t>
            </w:r>
          </w:p>
          <w:p w14:paraId="7FE1C2C5" w14:textId="77777777" w:rsidR="00696584" w:rsidRDefault="002C4F63">
            <w:pPr>
              <w:pStyle w:val="P68B1DB1-ListParagraph58"/>
              <w:numPr>
                <w:ilvl w:val="0"/>
                <w:numId w:val="64"/>
              </w:numPr>
              <w:spacing w:line="276" w:lineRule="auto"/>
              <w:contextualSpacing/>
              <w:jc w:val="both"/>
            </w:pPr>
            <w:r>
              <w:t>Registriernummer des Unternehmens</w:t>
            </w:r>
          </w:p>
          <w:p w14:paraId="7FE1C2C6" w14:textId="77777777" w:rsidR="00696584" w:rsidRDefault="00696584">
            <w:pPr>
              <w:spacing w:line="276" w:lineRule="auto"/>
              <w:jc w:val="both"/>
              <w:rPr>
                <w:rFonts w:ascii="Times New Roman" w:eastAsia="Calibri" w:hAnsi="Times New Roman" w:cs="Times New Roman"/>
                <w:sz w:val="20"/>
              </w:rPr>
            </w:pPr>
          </w:p>
        </w:tc>
      </w:tr>
      <w:tr w:rsidR="00696584" w14:paraId="5AC7028E" w14:textId="77777777">
        <w:trPr>
          <w:trHeight w:val="463"/>
        </w:trPr>
        <w:tc>
          <w:tcPr>
            <w:tcW w:w="1129" w:type="dxa"/>
            <w:shd w:val="clear" w:color="auto" w:fill="FFFFFF" w:themeFill="background1"/>
          </w:tcPr>
          <w:p w14:paraId="3ECEFB75" w14:textId="74BF0EC5" w:rsidR="00696584" w:rsidRDefault="002C4F63">
            <w:pPr>
              <w:pStyle w:val="P68B1DB1-Normal45"/>
              <w:spacing w:line="276" w:lineRule="auto"/>
              <w:jc w:val="both"/>
            </w:pPr>
            <w:r>
              <w:lastRenderedPageBreak/>
              <w:t>0080-0100</w:t>
            </w:r>
          </w:p>
        </w:tc>
        <w:tc>
          <w:tcPr>
            <w:tcW w:w="7938" w:type="dxa"/>
            <w:shd w:val="clear" w:color="auto" w:fill="FFFFFF" w:themeFill="background1"/>
          </w:tcPr>
          <w:p w14:paraId="259185CE" w14:textId="65A5A83F" w:rsidR="00696584" w:rsidRDefault="002C4F63">
            <w:pPr>
              <w:pStyle w:val="P68B1DB1-Normal55"/>
              <w:spacing w:line="276" w:lineRule="auto"/>
              <w:jc w:val="both"/>
              <w:rPr>
                <w:bCs/>
              </w:rPr>
            </w:pPr>
            <w:r>
              <w:t>Muttergesellschaft</w:t>
            </w:r>
          </w:p>
        </w:tc>
      </w:tr>
      <w:tr w:rsidR="00696584" w14:paraId="7FE1C2CC" w14:textId="77777777">
        <w:trPr>
          <w:trHeight w:val="463"/>
        </w:trPr>
        <w:tc>
          <w:tcPr>
            <w:tcW w:w="1129" w:type="dxa"/>
          </w:tcPr>
          <w:p w14:paraId="7FE1C2C8" w14:textId="77777777" w:rsidR="00696584" w:rsidRDefault="002C4F63">
            <w:pPr>
              <w:pStyle w:val="P68B1DB1-Normal45"/>
              <w:spacing w:line="276" w:lineRule="auto"/>
              <w:jc w:val="both"/>
            </w:pPr>
            <w:r>
              <w:t>0080</w:t>
            </w:r>
          </w:p>
        </w:tc>
        <w:tc>
          <w:tcPr>
            <w:tcW w:w="7938" w:type="dxa"/>
            <w:shd w:val="clear" w:color="auto" w:fill="FFFFFF" w:themeFill="background1"/>
          </w:tcPr>
          <w:p w14:paraId="0DC1DDCB" w14:textId="24E6B1FE" w:rsidR="00696584" w:rsidRDefault="002C4F63">
            <w:pPr>
              <w:pStyle w:val="P68B1DB1-Normal55"/>
              <w:spacing w:line="276" w:lineRule="auto"/>
              <w:jc w:val="both"/>
            </w:pPr>
            <w:r>
              <w:t>Bezeichnung</w:t>
            </w:r>
          </w:p>
          <w:p w14:paraId="7FE1C2CA" w14:textId="07E2401A" w:rsidR="00696584" w:rsidRDefault="002C4F63">
            <w:pPr>
              <w:pStyle w:val="P68B1DB1-Normal45"/>
              <w:spacing w:line="276" w:lineRule="auto"/>
              <w:jc w:val="both"/>
            </w:pPr>
            <w:r>
              <w:t>Name der (letzten) Muttergesellschaft des Dienstleisters in Spalte 0050, wenn es sich nicht um ein Unternehmen der Gruppe handelt. In den anderen Fällen: „entfällt“.</w:t>
            </w:r>
          </w:p>
          <w:p w14:paraId="7FE1C2CB" w14:textId="77777777" w:rsidR="00696584" w:rsidRDefault="00696584">
            <w:pPr>
              <w:spacing w:line="276" w:lineRule="auto"/>
              <w:jc w:val="both"/>
              <w:rPr>
                <w:rFonts w:ascii="Times New Roman" w:hAnsi="Times New Roman" w:cs="Times New Roman"/>
              </w:rPr>
            </w:pPr>
          </w:p>
        </w:tc>
      </w:tr>
      <w:tr w:rsidR="00696584" w14:paraId="7FE1C2D3" w14:textId="77777777">
        <w:trPr>
          <w:trHeight w:val="463"/>
        </w:trPr>
        <w:tc>
          <w:tcPr>
            <w:tcW w:w="1129" w:type="dxa"/>
          </w:tcPr>
          <w:p w14:paraId="7FE1C2CD" w14:textId="77777777" w:rsidR="00696584" w:rsidRDefault="002C4F63">
            <w:pPr>
              <w:pStyle w:val="P68B1DB1-Normal45"/>
              <w:spacing w:line="276" w:lineRule="auto"/>
              <w:jc w:val="both"/>
            </w:pPr>
            <w:r>
              <w:t>0090</w:t>
            </w:r>
          </w:p>
        </w:tc>
        <w:tc>
          <w:tcPr>
            <w:tcW w:w="7938" w:type="dxa"/>
            <w:shd w:val="clear" w:color="auto" w:fill="FFFFFF" w:themeFill="background1"/>
          </w:tcPr>
          <w:p w14:paraId="7FE1C2CE" w14:textId="5D65E6F1" w:rsidR="00696584" w:rsidRDefault="002C4F63">
            <w:pPr>
              <w:pStyle w:val="P68B1DB1-Normal55"/>
              <w:spacing w:line="276" w:lineRule="auto"/>
              <w:jc w:val="both"/>
              <w:rPr>
                <w:bCs/>
              </w:rPr>
            </w:pPr>
            <w:r>
              <w:t>Code</w:t>
            </w:r>
          </w:p>
          <w:p w14:paraId="7FE1C2CF" w14:textId="77777777" w:rsidR="00696584" w:rsidRDefault="002C4F63">
            <w:pPr>
              <w:pStyle w:val="P68B1DB1-Normal45"/>
              <w:spacing w:line="276" w:lineRule="auto"/>
              <w:jc w:val="both"/>
            </w:pPr>
            <w:r>
              <w:t>Der in Spalte 0080 angegebene Code des Mutterunternehmens lautet:</w:t>
            </w:r>
          </w:p>
          <w:p w14:paraId="7FE1C2D0" w14:textId="77777777" w:rsidR="00696584" w:rsidRDefault="002C4F63">
            <w:pPr>
              <w:pStyle w:val="P68B1DB1-Normal45"/>
              <w:spacing w:line="276" w:lineRule="auto"/>
              <w:jc w:val="both"/>
            </w:pPr>
            <w:r>
              <w:t>— bei Rechtsträgern mit Rechtsträgerkennung (LEI) der 20-stellige alphanumerische LEI-Code;</w:t>
            </w:r>
          </w:p>
          <w:p w14:paraId="7FE1C2D1" w14:textId="77777777" w:rsidR="00696584" w:rsidRDefault="002C4F63">
            <w:pPr>
              <w:pStyle w:val="P68B1DB1-Normal45"/>
              <w:spacing w:line="276" w:lineRule="auto"/>
              <w:jc w:val="both"/>
            </w:pPr>
            <w:r>
              <w:t xml:space="preserve">— für Unternehmen ohne LEI die Handelsregisternummer nach nationalem Recht. </w:t>
            </w:r>
          </w:p>
          <w:p w14:paraId="7FE1C2D2" w14:textId="77777777" w:rsidR="00696584" w:rsidRDefault="00696584">
            <w:pPr>
              <w:spacing w:line="276" w:lineRule="auto"/>
              <w:jc w:val="both"/>
              <w:rPr>
                <w:rFonts w:ascii="Times New Roman" w:eastAsia="Calibri" w:hAnsi="Times New Roman" w:cs="Times New Roman"/>
                <w:sz w:val="20"/>
              </w:rPr>
            </w:pPr>
          </w:p>
        </w:tc>
      </w:tr>
      <w:tr w:rsidR="00696584" w14:paraId="7FE1C2DC" w14:textId="77777777">
        <w:trPr>
          <w:trHeight w:val="463"/>
        </w:trPr>
        <w:tc>
          <w:tcPr>
            <w:tcW w:w="1129" w:type="dxa"/>
          </w:tcPr>
          <w:p w14:paraId="7FE1C2D4" w14:textId="77777777" w:rsidR="00696584" w:rsidRDefault="002C4F63">
            <w:pPr>
              <w:pStyle w:val="P68B1DB1-Normal45"/>
              <w:spacing w:line="276" w:lineRule="auto"/>
              <w:jc w:val="both"/>
            </w:pPr>
            <w:r>
              <w:t>0100</w:t>
            </w:r>
          </w:p>
        </w:tc>
        <w:tc>
          <w:tcPr>
            <w:tcW w:w="7938" w:type="dxa"/>
            <w:shd w:val="clear" w:color="auto" w:fill="FFFFFF" w:themeFill="background1"/>
          </w:tcPr>
          <w:p w14:paraId="7FE1C2D5" w14:textId="77777777" w:rsidR="00696584" w:rsidRDefault="002C4F63">
            <w:pPr>
              <w:pStyle w:val="P68B1DB1-Normal55"/>
              <w:spacing w:line="276" w:lineRule="auto"/>
              <w:jc w:val="both"/>
              <w:rPr>
                <w:bCs/>
              </w:rPr>
            </w:pPr>
            <w:r>
              <w:t xml:space="preserve">Art des Codes </w:t>
            </w:r>
          </w:p>
          <w:p w14:paraId="7FE1C2D6" w14:textId="77777777" w:rsidR="00696584" w:rsidRDefault="002C4F63">
            <w:pPr>
              <w:pStyle w:val="P68B1DB1-Normal57"/>
              <w:spacing w:line="276" w:lineRule="auto"/>
              <w:contextualSpacing/>
              <w:jc w:val="both"/>
              <w:rPr>
                <w:bCs/>
              </w:rPr>
            </w:pPr>
            <w:r>
              <w:t>Einer der folgenden Werte ist anzugeben:</w:t>
            </w:r>
          </w:p>
          <w:p w14:paraId="7FE1C2D7" w14:textId="77777777" w:rsidR="00696584" w:rsidRDefault="002C4F63">
            <w:pPr>
              <w:pStyle w:val="P68B1DB1-ListParagraph58"/>
              <w:numPr>
                <w:ilvl w:val="0"/>
                <w:numId w:val="64"/>
              </w:numPr>
              <w:spacing w:line="276" w:lineRule="auto"/>
              <w:contextualSpacing/>
              <w:jc w:val="both"/>
            </w:pPr>
            <w:r>
              <w:t>RECHTSTRÄGER—</w:t>
            </w:r>
          </w:p>
          <w:p w14:paraId="7FE1C2D8" w14:textId="77777777" w:rsidR="00696584" w:rsidRDefault="002C4F63">
            <w:pPr>
              <w:pStyle w:val="P68B1DB1-ListParagraph58"/>
              <w:numPr>
                <w:ilvl w:val="0"/>
                <w:numId w:val="64"/>
              </w:numPr>
              <w:spacing w:line="276" w:lineRule="auto"/>
              <w:contextualSpacing/>
              <w:jc w:val="both"/>
            </w:pPr>
            <w:r>
              <w:t>Registriernummer des Unternehmens</w:t>
            </w:r>
          </w:p>
          <w:p w14:paraId="7FE1C2DB" w14:textId="010B0D6D" w:rsidR="00696584" w:rsidRDefault="00696584">
            <w:pPr>
              <w:spacing w:line="276" w:lineRule="auto"/>
              <w:jc w:val="both"/>
              <w:rPr>
                <w:rFonts w:ascii="Times New Roman" w:eastAsia="Calibri" w:hAnsi="Times New Roman" w:cs="Times New Roman"/>
                <w:sz w:val="20"/>
              </w:rPr>
            </w:pPr>
          </w:p>
        </w:tc>
      </w:tr>
      <w:tr w:rsidR="00696584" w14:paraId="7FE1C2E4" w14:textId="77777777">
        <w:trPr>
          <w:trHeight w:val="463"/>
        </w:trPr>
        <w:tc>
          <w:tcPr>
            <w:tcW w:w="1129" w:type="dxa"/>
            <w:shd w:val="clear" w:color="auto" w:fill="FFFFFF" w:themeFill="background1"/>
          </w:tcPr>
          <w:p w14:paraId="7FE1C2DD" w14:textId="77777777" w:rsidR="00696584" w:rsidRDefault="002C4F63">
            <w:pPr>
              <w:pStyle w:val="P68B1DB1-Normal45"/>
              <w:spacing w:line="276" w:lineRule="auto"/>
              <w:jc w:val="both"/>
            </w:pPr>
            <w:r>
              <w:t>0110</w:t>
            </w:r>
          </w:p>
        </w:tc>
        <w:tc>
          <w:tcPr>
            <w:tcW w:w="7938" w:type="dxa"/>
            <w:shd w:val="clear" w:color="auto" w:fill="FFFFFF" w:themeFill="background1"/>
          </w:tcPr>
          <w:p w14:paraId="7FE1C2DE" w14:textId="77777777" w:rsidR="00696584" w:rsidRDefault="002C4F63">
            <w:pPr>
              <w:pStyle w:val="P68B1DB1-Normal45"/>
              <w:spacing w:line="276" w:lineRule="auto"/>
              <w:jc w:val="both"/>
            </w:pPr>
            <w:r>
              <w:rPr>
                <w:b/>
              </w:rPr>
              <w:t>Dienstleistungserbringung</w:t>
            </w:r>
            <w:r>
              <w:t xml:space="preserve"> </w:t>
            </w:r>
          </w:p>
          <w:p w14:paraId="7FE1C2DF" w14:textId="77777777" w:rsidR="00696584" w:rsidRDefault="002C4F63">
            <w:pPr>
              <w:pStyle w:val="P68B1DB1-Normal45"/>
              <w:spacing w:line="276" w:lineRule="auto"/>
              <w:jc w:val="both"/>
            </w:pPr>
            <w:r>
              <w:t>„Innerhalb eines Unternehmens“, wenn die Dienstleistung von einer Geschäftseinheit für eine andere Geschäftseinheit derselben juristischen Person erbracht wird.</w:t>
            </w:r>
          </w:p>
          <w:p w14:paraId="7FE1C2E0" w14:textId="200EB8B6" w:rsidR="00696584" w:rsidRDefault="002C4F63">
            <w:pPr>
              <w:spacing w:line="276" w:lineRule="auto"/>
              <w:jc w:val="both"/>
              <w:rPr>
                <w:rFonts w:ascii="Times New Roman" w:eastAsia="Calibri" w:hAnsi="Times New Roman" w:cs="Times New Roman"/>
                <w:sz w:val="20"/>
              </w:rPr>
            </w:pPr>
            <w:r>
              <w:rPr>
                <w:rFonts w:ascii="Times New Roman" w:eastAsia="Calibri" w:hAnsi="Times New Roman" w:cs="Times New Roman"/>
                <w:sz w:val="20"/>
              </w:rPr>
              <w:t>„Gruppeninternes Unternehmen – beaufsichtigtes Unternehmen“</w:t>
            </w:r>
            <w:r>
              <w:rPr>
                <w:rFonts w:ascii="Times New Roman" w:hAnsi="Times New Roman" w:cs="Times New Roman"/>
              </w:rPr>
              <w:t xml:space="preserve">, wenn </w:t>
            </w:r>
            <w:r>
              <w:rPr>
                <w:rFonts w:ascii="Times New Roman" w:eastAsia="Calibri" w:hAnsi="Times New Roman" w:cs="Times New Roman"/>
                <w:sz w:val="20"/>
              </w:rPr>
              <w:t>die Dienstleistung von einem Unternehmen der Gruppe erbracht wird, das auf Einzelbasis aufsichtsrechtlichen Vorschriften in Bezug auf Kapital/Liquidität unterliegt, auch wenn von den Aufsichtsanforderungen abgesehen wird.</w:t>
            </w:r>
          </w:p>
          <w:p w14:paraId="7FE1C2E1" w14:textId="6FD0E03D" w:rsidR="00696584" w:rsidRDefault="002C4F63">
            <w:pPr>
              <w:pStyle w:val="P68B1DB1-Normal45"/>
              <w:spacing w:line="276" w:lineRule="auto"/>
              <w:jc w:val="both"/>
            </w:pPr>
            <w:r>
              <w:t>„Gruppeninternes Unternehmen – nicht reguliertes Unternehmen“, wenn die Dienstleistung von einem Unternehmen der Gruppe erbracht wird, bei dem es sich um ein operatives Unternehmen handelt, das nicht den aufsichtsrechtlichen Vorschriften in Bezug auf Kapital/Liquidität auf Einzelbasis unterliegt, auch wenn von den Aufsichtsanforderungen abgesehen wird.</w:t>
            </w:r>
          </w:p>
          <w:p w14:paraId="7FE1C2E2" w14:textId="7B6AA381" w:rsidR="00696584" w:rsidRDefault="002C4F63">
            <w:pPr>
              <w:pStyle w:val="P68B1DB1-Normal45"/>
              <w:spacing w:line="276" w:lineRule="auto"/>
              <w:jc w:val="both"/>
            </w:pPr>
            <w:r>
              <w:t>„Externes Unternehmen“, wenn die Dienstleistung von einem externen Dienstleister außerhalb der Gruppe erbracht wird.</w:t>
            </w:r>
          </w:p>
          <w:p w14:paraId="7FE1C2E3" w14:textId="77777777" w:rsidR="00696584" w:rsidRDefault="00696584">
            <w:pPr>
              <w:spacing w:line="276" w:lineRule="auto"/>
              <w:jc w:val="both"/>
              <w:rPr>
                <w:rFonts w:ascii="Times New Roman" w:eastAsia="Calibri" w:hAnsi="Times New Roman" w:cs="Times New Roman"/>
                <w:i/>
                <w:sz w:val="20"/>
              </w:rPr>
            </w:pPr>
          </w:p>
        </w:tc>
      </w:tr>
      <w:tr w:rsidR="00696584" w14:paraId="7FE1C2EB" w14:textId="77777777">
        <w:trPr>
          <w:trHeight w:val="463"/>
        </w:trPr>
        <w:tc>
          <w:tcPr>
            <w:tcW w:w="1129" w:type="dxa"/>
            <w:shd w:val="clear" w:color="auto" w:fill="FFFFFF" w:themeFill="background1"/>
          </w:tcPr>
          <w:p w14:paraId="7FE1C2E5" w14:textId="77777777" w:rsidR="00696584" w:rsidRDefault="002C4F63">
            <w:pPr>
              <w:pStyle w:val="P68B1DB1-Normal50"/>
              <w:spacing w:line="276" w:lineRule="auto"/>
              <w:jc w:val="both"/>
            </w:pPr>
            <w:r>
              <w:t>0120</w:t>
            </w:r>
          </w:p>
          <w:p w14:paraId="7FE1C2E6" w14:textId="77777777" w:rsidR="00696584" w:rsidRDefault="00696584">
            <w:pPr>
              <w:spacing w:line="276" w:lineRule="auto"/>
              <w:jc w:val="both"/>
              <w:rPr>
                <w:rFonts w:ascii="Times New Roman" w:eastAsia="Calibri" w:hAnsi="Times New Roman" w:cs="Times New Roman"/>
                <w:strike/>
                <w:sz w:val="20"/>
              </w:rPr>
            </w:pPr>
          </w:p>
        </w:tc>
        <w:tc>
          <w:tcPr>
            <w:tcW w:w="7938" w:type="dxa"/>
            <w:shd w:val="clear" w:color="auto" w:fill="FFFFFF" w:themeFill="background1"/>
          </w:tcPr>
          <w:p w14:paraId="7FE1C2E7" w14:textId="2959A65C" w:rsidR="00696584" w:rsidRDefault="002C4F63">
            <w:pPr>
              <w:pStyle w:val="P68B1DB1-Normal49"/>
              <w:spacing w:line="276" w:lineRule="auto"/>
              <w:jc w:val="both"/>
              <w:rPr>
                <w:bCs/>
                <w:strike/>
              </w:rPr>
            </w:pPr>
            <w:r>
              <w:t>Kriti</w:t>
            </w:r>
            <w:r w:rsidR="007E4726">
              <w:t>kali</w:t>
            </w:r>
            <w:r>
              <w:t>tät</w:t>
            </w:r>
            <w:r>
              <w:rPr>
                <w:strike/>
              </w:rPr>
              <w:t xml:space="preserve"> </w:t>
            </w:r>
          </w:p>
          <w:p w14:paraId="7FE1C2E8" w14:textId="77777777" w:rsidR="00696584" w:rsidRDefault="002C4F63">
            <w:pPr>
              <w:pStyle w:val="P68B1DB1-ListParagraph58"/>
              <w:numPr>
                <w:ilvl w:val="0"/>
                <w:numId w:val="239"/>
              </w:numPr>
              <w:spacing w:line="276" w:lineRule="auto"/>
              <w:contextualSpacing/>
              <w:jc w:val="both"/>
            </w:pPr>
            <w:r>
              <w:t>Kritisch: wenn der Dienst für die Ausführung einer oder mehrerer kritischer Funktionen erforderlich ist, deren Diskontinuität die Ausführung dieser kritischen Funktionen ernsthaft behindern oder verhindern würde.</w:t>
            </w:r>
          </w:p>
          <w:p w14:paraId="7FE1C2E9" w14:textId="4F9B04FA" w:rsidR="00696584" w:rsidRDefault="002C4F63">
            <w:pPr>
              <w:pStyle w:val="P68B1DB1-ListParagraph9"/>
              <w:numPr>
                <w:ilvl w:val="0"/>
                <w:numId w:val="239"/>
              </w:numPr>
              <w:spacing w:line="276" w:lineRule="auto"/>
              <w:contextualSpacing/>
              <w:jc w:val="both"/>
              <w:rPr>
                <w:sz w:val="20"/>
              </w:rPr>
            </w:pPr>
            <w:r>
              <w:rPr>
                <w:sz w:val="20"/>
              </w:rPr>
              <w:t>Wesentliche Anforderungen: wenn das Verfahren</w:t>
            </w:r>
            <w:r w:rsidR="00C4259E">
              <w:rPr>
                <w:sz w:val="20"/>
              </w:rPr>
              <w:t xml:space="preserve"> </w:t>
            </w:r>
            <w:r>
              <w:rPr>
                <w:sz w:val="20"/>
              </w:rPr>
              <w:t>mit Kerngeschäftsbereichen verbunden ist, deren Kontinuität für die wirksame Umsetzung der Abwicklungsstrategie und jede sich daraus ergebende Umstrukturierung erforderlich ist.</w:t>
            </w:r>
          </w:p>
          <w:p w14:paraId="7FE1C2EA" w14:textId="3B37659B" w:rsidR="00696584" w:rsidRDefault="002C4F63">
            <w:pPr>
              <w:pStyle w:val="P68B1DB1-ListParagraph58"/>
              <w:numPr>
                <w:ilvl w:val="0"/>
                <w:numId w:val="239"/>
              </w:numPr>
              <w:spacing w:line="276" w:lineRule="auto"/>
              <w:contextualSpacing/>
              <w:jc w:val="both"/>
            </w:pPr>
            <w:r>
              <w:t>Kritisch und wesentlich</w:t>
            </w:r>
          </w:p>
        </w:tc>
      </w:tr>
      <w:tr w:rsidR="00696584" w14:paraId="7FE1C2F0" w14:textId="77777777">
        <w:trPr>
          <w:trHeight w:val="463"/>
        </w:trPr>
        <w:tc>
          <w:tcPr>
            <w:tcW w:w="1129" w:type="dxa"/>
            <w:shd w:val="clear" w:color="auto" w:fill="FFFFFF" w:themeFill="background1"/>
          </w:tcPr>
          <w:p w14:paraId="7FE1C2EC" w14:textId="77777777" w:rsidR="00696584" w:rsidRDefault="002C4F63">
            <w:pPr>
              <w:pStyle w:val="P68B1DB1-Normal45"/>
              <w:spacing w:line="276" w:lineRule="auto"/>
              <w:jc w:val="both"/>
            </w:pPr>
            <w:r>
              <w:t>0130</w:t>
            </w:r>
          </w:p>
        </w:tc>
        <w:tc>
          <w:tcPr>
            <w:tcW w:w="7938" w:type="dxa"/>
            <w:shd w:val="clear" w:color="auto" w:fill="FFFFFF" w:themeFill="background1"/>
          </w:tcPr>
          <w:p w14:paraId="7FE1C2ED" w14:textId="77777777" w:rsidR="00696584" w:rsidRDefault="002C4F63">
            <w:pPr>
              <w:pStyle w:val="P68B1DB1-Normal49"/>
              <w:spacing w:line="276" w:lineRule="auto"/>
              <w:jc w:val="both"/>
              <w:rPr>
                <w:bCs/>
              </w:rPr>
            </w:pPr>
            <w:r>
              <w:t>Kennung des Vertrags</w:t>
            </w:r>
          </w:p>
          <w:p w14:paraId="7FE1C2EE" w14:textId="77777777" w:rsidR="00696584" w:rsidRDefault="002C4F63">
            <w:pPr>
              <w:pStyle w:val="P68B1DB1-Normal45"/>
              <w:spacing w:line="276" w:lineRule="auto"/>
              <w:jc w:val="both"/>
            </w:pPr>
            <w:r>
              <w:t>Eindeutige Kennung des Vertrags, der der Dienstleistung zugrunde liegt, gemäß der Dienstleistungstaxonomie der Gruppe.</w:t>
            </w:r>
          </w:p>
          <w:p w14:paraId="7FE1C2EF" w14:textId="77777777" w:rsidR="00696584" w:rsidRDefault="00696584">
            <w:pPr>
              <w:spacing w:line="276" w:lineRule="auto"/>
              <w:jc w:val="both"/>
              <w:rPr>
                <w:rFonts w:ascii="Times New Roman" w:eastAsia="Calibri" w:hAnsi="Times New Roman" w:cs="Times New Roman"/>
                <w:sz w:val="20"/>
              </w:rPr>
            </w:pPr>
          </w:p>
        </w:tc>
      </w:tr>
      <w:tr w:rsidR="00696584" w14:paraId="7FE1C2F6" w14:textId="77777777">
        <w:trPr>
          <w:trHeight w:val="628"/>
        </w:trPr>
        <w:tc>
          <w:tcPr>
            <w:tcW w:w="1129" w:type="dxa"/>
          </w:tcPr>
          <w:p w14:paraId="7FE1C2F1" w14:textId="77777777" w:rsidR="00696584" w:rsidRDefault="002C4F63">
            <w:pPr>
              <w:pStyle w:val="P68B1DB1-Normal45"/>
              <w:spacing w:line="276" w:lineRule="auto"/>
              <w:jc w:val="both"/>
            </w:pPr>
            <w:r>
              <w:t>0140</w:t>
            </w:r>
          </w:p>
          <w:p w14:paraId="7FE1C2F2" w14:textId="77777777" w:rsidR="00696584" w:rsidRDefault="00696584">
            <w:pPr>
              <w:spacing w:line="276" w:lineRule="auto"/>
              <w:jc w:val="both"/>
              <w:rPr>
                <w:rFonts w:ascii="Times New Roman" w:eastAsia="Calibri" w:hAnsi="Times New Roman" w:cs="Times New Roman"/>
                <w:strike/>
                <w:sz w:val="20"/>
              </w:rPr>
            </w:pPr>
          </w:p>
        </w:tc>
        <w:tc>
          <w:tcPr>
            <w:tcW w:w="7938" w:type="dxa"/>
          </w:tcPr>
          <w:p w14:paraId="7FE1C2F3" w14:textId="77777777" w:rsidR="00696584" w:rsidRDefault="002C4F63">
            <w:pPr>
              <w:pStyle w:val="P68B1DB1-Normal55"/>
              <w:spacing w:line="276" w:lineRule="auto"/>
              <w:jc w:val="both"/>
            </w:pPr>
            <w:r>
              <w:rPr>
                <w:szCs w:val="20"/>
              </w:rPr>
              <w:t>Anwendbares Recht</w:t>
            </w:r>
            <w:r>
              <w:t xml:space="preserve"> </w:t>
            </w:r>
          </w:p>
          <w:p w14:paraId="7FE1C2F4" w14:textId="77777777" w:rsidR="00696584" w:rsidRDefault="002C4F63">
            <w:pPr>
              <w:pStyle w:val="P68B1DB1-Normal45"/>
              <w:spacing w:line="276" w:lineRule="auto"/>
              <w:jc w:val="both"/>
            </w:pPr>
            <w:r>
              <w:t>ISO-Code des Landes, dessen Recht auf den Vertrag Anwendung findet.</w:t>
            </w:r>
          </w:p>
          <w:p w14:paraId="7FE1C2F5" w14:textId="77777777" w:rsidR="00696584" w:rsidRDefault="00696584">
            <w:pPr>
              <w:spacing w:line="276" w:lineRule="auto"/>
              <w:jc w:val="both"/>
              <w:rPr>
                <w:rFonts w:ascii="Times New Roman" w:eastAsia="Calibri" w:hAnsi="Times New Roman" w:cs="Times New Roman"/>
                <w:sz w:val="20"/>
              </w:rPr>
            </w:pPr>
          </w:p>
        </w:tc>
      </w:tr>
      <w:tr w:rsidR="00696584" w14:paraId="7FE1C2FC" w14:textId="77777777">
        <w:trPr>
          <w:trHeight w:val="628"/>
        </w:trPr>
        <w:tc>
          <w:tcPr>
            <w:tcW w:w="1129" w:type="dxa"/>
          </w:tcPr>
          <w:p w14:paraId="7FE1C2F7" w14:textId="77777777" w:rsidR="00696584" w:rsidRDefault="002C4F63">
            <w:pPr>
              <w:pStyle w:val="P68B1DB1-Normal45"/>
              <w:spacing w:line="276" w:lineRule="auto"/>
              <w:jc w:val="both"/>
            </w:pPr>
            <w:r>
              <w:lastRenderedPageBreak/>
              <w:t>0150-0170</w:t>
            </w:r>
          </w:p>
          <w:p w14:paraId="7FE1C2F8" w14:textId="77777777" w:rsidR="00696584" w:rsidRDefault="00696584">
            <w:pPr>
              <w:spacing w:line="276" w:lineRule="auto"/>
              <w:jc w:val="both"/>
              <w:rPr>
                <w:rFonts w:ascii="Times New Roman" w:eastAsia="Calibri" w:hAnsi="Times New Roman" w:cs="Times New Roman"/>
                <w:strike/>
                <w:sz w:val="20"/>
              </w:rPr>
            </w:pPr>
          </w:p>
        </w:tc>
        <w:tc>
          <w:tcPr>
            <w:tcW w:w="7938" w:type="dxa"/>
          </w:tcPr>
          <w:p w14:paraId="7FE1C2F9" w14:textId="77777777" w:rsidR="00696584" w:rsidRDefault="002C4F63">
            <w:pPr>
              <w:pStyle w:val="P68B1DB1-Normal49"/>
              <w:spacing w:before="120" w:after="120" w:line="276" w:lineRule="auto"/>
              <w:rPr>
                <w:bCs/>
                <w:iCs/>
              </w:rPr>
            </w:pPr>
            <w:r>
              <w:t xml:space="preserve">Widerstandsfähigkeit der Abwicklung </w:t>
            </w:r>
          </w:p>
          <w:p w14:paraId="7FE1C2FA" w14:textId="77777777" w:rsidR="00696584" w:rsidRDefault="002C4F63">
            <w:pPr>
              <w:pStyle w:val="P68B1DB1-NormalWeb59"/>
              <w:spacing w:before="0" w:beforeAutospacing="0" w:after="0" w:afterAutospacing="0"/>
              <w:rPr>
                <w:iCs/>
                <w:szCs w:val="20"/>
              </w:rPr>
            </w:pPr>
            <w:r>
              <w:rPr>
                <w:szCs w:val="20"/>
              </w:rPr>
              <w:t>Die Bewertung, ob der in Spalte 0020 angegebene Vertrag zur Unterstützung der Dienstleistung während der Umsetzung der Abwicklungsstrategie, einschließlich des Reorganisationsplans, im Einklang mit EBA/GL/2022/01 und den einschlägigen nationalen Rechtsvorschriften fortgeführt und übertragen werden könnte</w:t>
            </w:r>
            <w:r>
              <w:t>.</w:t>
            </w:r>
          </w:p>
          <w:p w14:paraId="7FE1C2FB" w14:textId="77777777" w:rsidR="00696584" w:rsidRDefault="00696584">
            <w:pPr>
              <w:spacing w:line="276" w:lineRule="auto"/>
              <w:jc w:val="both"/>
              <w:rPr>
                <w:rFonts w:ascii="Times New Roman" w:eastAsia="Calibri" w:hAnsi="Times New Roman" w:cs="Times New Roman"/>
                <w:iCs/>
                <w:sz w:val="20"/>
                <w:szCs w:val="20"/>
              </w:rPr>
            </w:pPr>
          </w:p>
        </w:tc>
      </w:tr>
      <w:tr w:rsidR="00696584" w14:paraId="7FE1C30C" w14:textId="77777777">
        <w:trPr>
          <w:trHeight w:val="2120"/>
        </w:trPr>
        <w:tc>
          <w:tcPr>
            <w:tcW w:w="1129" w:type="dxa"/>
          </w:tcPr>
          <w:p w14:paraId="7FE1C2FD" w14:textId="77777777" w:rsidR="00696584" w:rsidRDefault="002C4F63">
            <w:pPr>
              <w:pStyle w:val="P68B1DB1-Normal45"/>
              <w:spacing w:line="276" w:lineRule="auto"/>
              <w:jc w:val="both"/>
            </w:pPr>
            <w:r>
              <w:t>0150</w:t>
            </w:r>
          </w:p>
        </w:tc>
        <w:tc>
          <w:tcPr>
            <w:tcW w:w="7938" w:type="dxa"/>
          </w:tcPr>
          <w:p w14:paraId="7FE1C2FE" w14:textId="77777777" w:rsidR="00696584" w:rsidRDefault="002C4F63">
            <w:pPr>
              <w:pStyle w:val="P68B1DB1-Normal55"/>
              <w:spacing w:line="276" w:lineRule="auto"/>
              <w:jc w:val="both"/>
              <w:rPr>
                <w:bCs/>
              </w:rPr>
            </w:pPr>
            <w:r>
              <w:rPr>
                <w:szCs w:val="20"/>
              </w:rPr>
              <w:t>Merkmale der Abwicklungsresilienz</w:t>
            </w:r>
            <w:r>
              <w:t xml:space="preserve"> </w:t>
            </w:r>
          </w:p>
          <w:p w14:paraId="7FE1C2FF" w14:textId="77777777" w:rsidR="00696584" w:rsidRDefault="002C4F63">
            <w:pPr>
              <w:pStyle w:val="P68B1DB1-Normal50"/>
              <w:spacing w:line="276" w:lineRule="auto"/>
              <w:jc w:val="both"/>
              <w:rPr>
                <w:iCs/>
              </w:rPr>
            </w:pPr>
            <w:r>
              <w:t>Abwicklungsresiliente Merkmale sind Eigenschaften, die ein relevanter Dienstleistungsvertrag haben dürfte, um als abwicklungsresilient zu gelten. Dazu gehören unter der Voraussetzung, dass die wesentlichen Verpflichtungen aus dem Vertrag weiterhin erfüllt werden, Folgendes:</w:t>
            </w:r>
          </w:p>
          <w:p w14:paraId="7FE1C300" w14:textId="77777777" w:rsidR="00696584" w:rsidRDefault="002C4F63">
            <w:pPr>
              <w:pStyle w:val="P68B1DB1-ListParagraph60"/>
              <w:numPr>
                <w:ilvl w:val="0"/>
                <w:numId w:val="240"/>
              </w:numPr>
              <w:spacing w:line="276" w:lineRule="auto"/>
              <w:ind w:left="500"/>
              <w:contextualSpacing/>
              <w:jc w:val="both"/>
              <w:rPr>
                <w:iCs/>
              </w:rPr>
            </w:pPr>
            <w:r>
              <w:t xml:space="preserve">keine Kündigung, Aussetzung oder Änderung aufgrund einer Abwicklung (einschließlich einer Reorganisation gemäß Artikel 51 der Richtlinie 2014/59/EU); </w:t>
            </w:r>
          </w:p>
          <w:p w14:paraId="7FE1C301" w14:textId="77777777" w:rsidR="00696584" w:rsidRDefault="002C4F63">
            <w:pPr>
              <w:pStyle w:val="P68B1DB1-ListParagraph60"/>
              <w:numPr>
                <w:ilvl w:val="0"/>
                <w:numId w:val="240"/>
              </w:numPr>
              <w:spacing w:line="276" w:lineRule="auto"/>
              <w:ind w:left="500"/>
              <w:contextualSpacing/>
              <w:jc w:val="both"/>
              <w:rPr>
                <w:iCs/>
              </w:rPr>
            </w:pPr>
            <w:r>
              <w:t xml:space="preserve">die Übertragbarkeit der Dienstleistung aufgrund der Abwicklung an einen neuen Empfänger entweder durch den Dienstleistungsempfänger oder die Abwicklungsbehörde (einschließlich einer Reorganisation gemäß Artikel 51 der Richtlinie 2014/59/EU); </w:t>
            </w:r>
          </w:p>
          <w:p w14:paraId="7FE1C302" w14:textId="77777777" w:rsidR="00696584" w:rsidRDefault="002C4F63">
            <w:pPr>
              <w:pStyle w:val="P68B1DB1-ListParagraph60"/>
              <w:numPr>
                <w:ilvl w:val="0"/>
                <w:numId w:val="240"/>
              </w:numPr>
              <w:spacing w:line="276" w:lineRule="auto"/>
              <w:ind w:left="500"/>
              <w:contextualSpacing/>
              <w:jc w:val="both"/>
              <w:rPr>
                <w:iCs/>
              </w:rPr>
            </w:pPr>
            <w:r>
              <w:t>die Unterstützung bei einer Übertragung oder Kündigung während der Abwicklung (einschließlich einer Reorganisation gemäß Artikel 51 der Richtlinie 2014/59/EU) für einen angemessenen Zeitraum (wie etwa 24 Monate) durch den aktuellen Dienstleister sowie unter denselben Bedingungen; und</w:t>
            </w:r>
          </w:p>
          <w:p w14:paraId="7FE1C303" w14:textId="77777777" w:rsidR="00696584" w:rsidRDefault="002C4F63">
            <w:pPr>
              <w:pStyle w:val="P68B1DB1-ListParagraph60"/>
              <w:numPr>
                <w:ilvl w:val="0"/>
                <w:numId w:val="240"/>
              </w:numPr>
              <w:spacing w:line="276" w:lineRule="auto"/>
              <w:ind w:left="500"/>
              <w:contextualSpacing/>
              <w:jc w:val="both"/>
              <w:rPr>
                <w:iCs/>
              </w:rPr>
            </w:pPr>
            <w:r>
              <w:t>die Fortsetzung der Dienstleistungserbringung für ein veräußertes Unternehmen der Gruppe während der Abwicklung (einschließlich einer Reorganisation gemäß Artikel 51 der Richtlinie 2014/59/EU) für einen angemessenen Zeitraum nach der Veräußerung – wie etwa 24 Monate.</w:t>
            </w:r>
          </w:p>
          <w:p w14:paraId="7FE1C304" w14:textId="77777777" w:rsidR="00696584" w:rsidRDefault="002C4F63">
            <w:pPr>
              <w:spacing w:line="276" w:lineRule="auto"/>
              <w:jc w:val="both"/>
              <w:rPr>
                <w:rFonts w:ascii="Times New Roman" w:eastAsia="Calibri" w:hAnsi="Times New Roman" w:cs="Times New Roman"/>
                <w:iCs/>
                <w:sz w:val="20"/>
                <w:szCs w:val="20"/>
              </w:rPr>
            </w:pPr>
            <w:r>
              <w:rPr>
                <w:rFonts w:ascii="Times New Roman" w:eastAsia="Calibri" w:hAnsi="Times New Roman" w:cs="Times New Roman"/>
                <w:sz w:val="20"/>
                <w:szCs w:val="20"/>
              </w:rPr>
              <w:t>Dies gilt für Verträge, für die das Recht und die Gerichtsbarkeit eines EU-Mitgliedstaats maßgebend sind (im Folgenden „</w:t>
            </w:r>
            <w:r>
              <w:rPr>
                <w:rStyle w:val="FootnoteReference"/>
                <w:rFonts w:ascii="Times New Roman" w:eastAsia="Calibri" w:hAnsi="Times New Roman" w:cs="Times New Roman"/>
                <w:sz w:val="20"/>
                <w:szCs w:val="20"/>
              </w:rPr>
              <w:footnoteReference w:id="26"/>
            </w:r>
            <w:r>
              <w:rPr>
                <w:rFonts w:ascii="Times New Roman" w:eastAsia="Calibri" w:hAnsi="Times New Roman" w:cs="Times New Roman"/>
                <w:sz w:val="20"/>
                <w:szCs w:val="20"/>
              </w:rPr>
              <w:t>EU-Verträge“), sowie für Verträge, für die das Recht eines Drittstaats gilt.</w:t>
            </w:r>
          </w:p>
          <w:p w14:paraId="7FE1C305" w14:textId="77777777" w:rsidR="00696584" w:rsidRDefault="00696584">
            <w:pPr>
              <w:spacing w:line="276" w:lineRule="auto"/>
              <w:jc w:val="both"/>
              <w:rPr>
                <w:rFonts w:ascii="Times New Roman" w:eastAsia="Calibri" w:hAnsi="Times New Roman" w:cs="Times New Roman"/>
                <w:sz w:val="20"/>
              </w:rPr>
            </w:pPr>
          </w:p>
          <w:p w14:paraId="7FE1C306" w14:textId="77777777" w:rsidR="00696584" w:rsidRDefault="002C4F63">
            <w:pPr>
              <w:pStyle w:val="P68B1DB1-Normal45"/>
              <w:spacing w:line="276" w:lineRule="auto"/>
              <w:jc w:val="both"/>
            </w:pPr>
            <w:r>
              <w:t>Einer der folgenden Werte ist anzugeben:</w:t>
            </w:r>
          </w:p>
          <w:p w14:paraId="7FE1C307" w14:textId="77777777" w:rsidR="00696584" w:rsidRDefault="002C4F63">
            <w:pPr>
              <w:pStyle w:val="P68B1DB1-Normal50"/>
              <w:spacing w:line="276" w:lineRule="auto"/>
              <w:jc w:val="both"/>
            </w:pPr>
            <w:r>
              <w:t>Ja, wenn der Vertrag als abwicklungsgeeignet eingestuft wird</w:t>
            </w:r>
            <w:r>
              <w:rPr>
                <w:strike/>
              </w:rPr>
              <w:t xml:space="preserve">. </w:t>
            </w:r>
          </w:p>
          <w:p w14:paraId="7FE1C308" w14:textId="6F4FE618" w:rsidR="00696584" w:rsidRDefault="002C4F63">
            <w:pPr>
              <w:pStyle w:val="P68B1DB1-Normal50"/>
              <w:spacing w:line="276" w:lineRule="auto"/>
              <w:jc w:val="both"/>
            </w:pPr>
            <w:r>
              <w:t>Nein, wenn der Vertrag als nicht</w:t>
            </w:r>
            <w:r w:rsidR="00BC2A0D">
              <w:t xml:space="preserve"> abwicklungsgeeignet</w:t>
            </w:r>
            <w:r>
              <w:rPr>
                <w:strike/>
              </w:rPr>
              <w:t xml:space="preserve">  </w:t>
            </w:r>
            <w:r>
              <w:t>eingestuft wird.</w:t>
            </w:r>
          </w:p>
          <w:p w14:paraId="7FE1C309" w14:textId="77777777" w:rsidR="00696584" w:rsidRDefault="002C4F63">
            <w:pPr>
              <w:pStyle w:val="P68B1DB1-Normal50"/>
              <w:spacing w:line="276" w:lineRule="auto"/>
              <w:jc w:val="both"/>
            </w:pPr>
            <w:r>
              <w:t>Nicht bewertet, wenn keine Bewertung vorgenommen wurde.</w:t>
            </w:r>
          </w:p>
          <w:p w14:paraId="7FE1C30A" w14:textId="1EFBE978" w:rsidR="00696584" w:rsidRDefault="002C4F63">
            <w:pPr>
              <w:pStyle w:val="P68B1DB1-Normal50"/>
              <w:spacing w:line="276" w:lineRule="auto"/>
              <w:jc w:val="both"/>
            </w:pPr>
            <w:r>
              <w:t>„Nicht zutreffend“</w:t>
            </w:r>
            <w:r w:rsidR="00D3698C">
              <w:t xml:space="preserve"> (NA)</w:t>
            </w:r>
            <w:r>
              <w:t xml:space="preserve"> – für unternehmensinterne Dienstleistungen</w:t>
            </w:r>
          </w:p>
          <w:p w14:paraId="7FE1C30B" w14:textId="77777777" w:rsidR="00696584" w:rsidRDefault="00696584">
            <w:pPr>
              <w:spacing w:line="276" w:lineRule="auto"/>
              <w:jc w:val="both"/>
              <w:rPr>
                <w:rFonts w:ascii="Times New Roman" w:eastAsia="Calibri" w:hAnsi="Times New Roman" w:cs="Times New Roman"/>
                <w:sz w:val="20"/>
              </w:rPr>
            </w:pPr>
          </w:p>
        </w:tc>
      </w:tr>
      <w:tr w:rsidR="00696584" w14:paraId="7FE1C316" w14:textId="77777777">
        <w:trPr>
          <w:trHeight w:val="2120"/>
        </w:trPr>
        <w:tc>
          <w:tcPr>
            <w:tcW w:w="1129" w:type="dxa"/>
          </w:tcPr>
          <w:p w14:paraId="7FE1C30D" w14:textId="77777777" w:rsidR="00696584" w:rsidRDefault="002C4F63">
            <w:pPr>
              <w:pStyle w:val="P68B1DB1-Normal45"/>
              <w:spacing w:line="276" w:lineRule="auto"/>
              <w:jc w:val="both"/>
            </w:pPr>
            <w:r>
              <w:t>0160</w:t>
            </w:r>
          </w:p>
        </w:tc>
        <w:tc>
          <w:tcPr>
            <w:tcW w:w="7938" w:type="dxa"/>
          </w:tcPr>
          <w:p w14:paraId="7FE1C30E" w14:textId="77777777" w:rsidR="00696584" w:rsidRDefault="002C4F63">
            <w:pPr>
              <w:pStyle w:val="P68B1DB1-Normal55"/>
              <w:spacing w:line="276" w:lineRule="auto"/>
              <w:jc w:val="both"/>
              <w:rPr>
                <w:bCs/>
                <w:iCs/>
              </w:rPr>
            </w:pPr>
            <w:r>
              <w:t>Geschäftsreorganisationsplan (BRP)</w:t>
            </w:r>
          </w:p>
          <w:p w14:paraId="7FE1C30F" w14:textId="77777777" w:rsidR="00696584" w:rsidRDefault="002C4F63">
            <w:pPr>
              <w:pStyle w:val="P68B1DB1-Normal45"/>
              <w:spacing w:line="276" w:lineRule="auto"/>
              <w:jc w:val="both"/>
              <w:rPr>
                <w:iCs/>
              </w:rPr>
            </w:pPr>
            <w:r>
              <w:t xml:space="preserve">Wenn die Abwicklungsstrategie (entweder bevorzugte Abwicklungsstrategie oder Variante) einen Reorganisationsplan erfordert, wird erwartet, dass EU-Verträge explizite Klauseln enthalten, um ihre Abwicklungs-/Resilienz bei der Umsetzung des Sanierungsplans zu gewährleisten. </w:t>
            </w:r>
          </w:p>
          <w:p w14:paraId="7FE1C310" w14:textId="77777777" w:rsidR="00696584" w:rsidRDefault="00696584">
            <w:pPr>
              <w:spacing w:line="276" w:lineRule="auto"/>
              <w:jc w:val="both"/>
              <w:rPr>
                <w:rFonts w:ascii="Times New Roman" w:eastAsia="Calibri" w:hAnsi="Times New Roman" w:cs="Times New Roman"/>
                <w:iCs/>
                <w:sz w:val="20"/>
              </w:rPr>
            </w:pPr>
          </w:p>
          <w:p w14:paraId="7FE1C311" w14:textId="77777777" w:rsidR="00696584" w:rsidRDefault="002C4F63">
            <w:pPr>
              <w:pStyle w:val="P68B1DB1-Normal45"/>
              <w:spacing w:line="276" w:lineRule="auto"/>
              <w:jc w:val="both"/>
              <w:rPr>
                <w:iCs/>
              </w:rPr>
            </w:pPr>
            <w:r>
              <w:t>Einer der folgenden Werte ist anzugeben:</w:t>
            </w:r>
          </w:p>
          <w:p w14:paraId="7FE1C312" w14:textId="77777777" w:rsidR="00696584" w:rsidRDefault="002C4F63">
            <w:pPr>
              <w:spacing w:line="276" w:lineRule="auto"/>
              <w:jc w:val="both"/>
              <w:rPr>
                <w:rFonts w:ascii="Times New Roman" w:eastAsia="Calibri" w:hAnsi="Times New Roman" w:cs="Times New Roman"/>
                <w:iCs/>
                <w:sz w:val="20"/>
              </w:rPr>
            </w:pPr>
            <w:r>
              <w:rPr>
                <w:rFonts w:ascii="Times New Roman" w:hAnsi="Times New Roman" w:cs="Times New Roman"/>
              </w:rPr>
              <w:t>„</w:t>
            </w:r>
            <w:r>
              <w:rPr>
                <w:rFonts w:ascii="Times New Roman" w:eastAsia="Calibri" w:hAnsi="Times New Roman" w:cs="Times New Roman"/>
                <w:sz w:val="20"/>
              </w:rPr>
              <w:t>Ja“ – wenn der Vertrag ausdrückliche Klauseln enthält, um ihre Abwicklungs-/Resilienz bei der Umsetzung der BRP sicherzustellen</w:t>
            </w:r>
          </w:p>
          <w:p w14:paraId="7FE1C313" w14:textId="77777777" w:rsidR="00696584" w:rsidRDefault="002C4F63">
            <w:pPr>
              <w:spacing w:line="276" w:lineRule="auto"/>
              <w:jc w:val="both"/>
              <w:rPr>
                <w:rFonts w:ascii="Times New Roman" w:eastAsia="Calibri" w:hAnsi="Times New Roman" w:cs="Times New Roman"/>
                <w:iCs/>
                <w:sz w:val="20"/>
              </w:rPr>
            </w:pPr>
            <w:r>
              <w:rPr>
                <w:rFonts w:ascii="Times New Roman" w:hAnsi="Times New Roman" w:cs="Times New Roman"/>
              </w:rPr>
              <w:lastRenderedPageBreak/>
              <w:t>„</w:t>
            </w:r>
            <w:r>
              <w:rPr>
                <w:rFonts w:ascii="Times New Roman" w:eastAsia="Calibri" w:hAnsi="Times New Roman" w:cs="Times New Roman"/>
                <w:sz w:val="20"/>
              </w:rPr>
              <w:t>Nein“ – wenn der Vertrag keine ausdrücklichen Klauseln enthält, um ihre Abwicklungs-/Resilienz bei der Umsetzung der BRP sicherzustellen</w:t>
            </w:r>
          </w:p>
          <w:p w14:paraId="7FE1C314" w14:textId="77777777" w:rsidR="00696584" w:rsidRDefault="002C4F63">
            <w:pPr>
              <w:spacing w:line="276" w:lineRule="auto"/>
              <w:jc w:val="both"/>
              <w:rPr>
                <w:rFonts w:ascii="Times New Roman" w:eastAsia="Calibri" w:hAnsi="Times New Roman" w:cs="Times New Roman"/>
                <w:iCs/>
                <w:sz w:val="20"/>
              </w:rPr>
            </w:pPr>
            <w:r>
              <w:rPr>
                <w:rFonts w:ascii="Times New Roman" w:eastAsia="Calibri" w:hAnsi="Times New Roman" w:cs="Times New Roman"/>
                <w:sz w:val="20"/>
              </w:rPr>
              <w:t>Nicht bewertet, wenn keine Bewertung vorgenommen wurde.</w:t>
            </w:r>
          </w:p>
          <w:p w14:paraId="7FE1C315" w14:textId="21C2B52A" w:rsidR="00696584" w:rsidRDefault="002C4F63">
            <w:pPr>
              <w:spacing w:line="276" w:lineRule="auto"/>
              <w:jc w:val="both"/>
              <w:rPr>
                <w:rFonts w:ascii="Times New Roman" w:eastAsia="Calibri" w:hAnsi="Times New Roman" w:cs="Times New Roman"/>
                <w:iCs/>
                <w:sz w:val="20"/>
              </w:rPr>
            </w:pPr>
            <w:r>
              <w:rPr>
                <w:rFonts w:ascii="Times New Roman" w:hAnsi="Times New Roman" w:cs="Times New Roman"/>
              </w:rPr>
              <w:t>„</w:t>
            </w:r>
            <w:r>
              <w:rPr>
                <w:rFonts w:ascii="Times New Roman" w:eastAsia="Calibri" w:hAnsi="Times New Roman" w:cs="Times New Roman"/>
                <w:sz w:val="20"/>
              </w:rPr>
              <w:t>Nicht zutreffend“</w:t>
            </w:r>
            <w:r w:rsidR="00D3698C">
              <w:rPr>
                <w:rFonts w:ascii="Times New Roman" w:eastAsia="Calibri" w:hAnsi="Times New Roman" w:cs="Times New Roman"/>
                <w:sz w:val="20"/>
              </w:rPr>
              <w:t xml:space="preserve"> (NA)</w:t>
            </w:r>
            <w:r>
              <w:rPr>
                <w:rFonts w:ascii="Times New Roman" w:eastAsia="Calibri" w:hAnsi="Times New Roman" w:cs="Times New Roman"/>
                <w:sz w:val="20"/>
              </w:rPr>
              <w:t xml:space="preserve"> – für unternehmensinterne Dienstleistungen oder für gruppeninterne und externe Dienstleistungen, wenn die Abwicklungsstrategie (bevorzugte Abwicklungsstrategie und Variante) keinen Reorganisationsplan erfordert </w:t>
            </w:r>
          </w:p>
        </w:tc>
      </w:tr>
      <w:tr w:rsidR="00696584" w14:paraId="7FE1C320" w14:textId="77777777">
        <w:trPr>
          <w:trHeight w:val="416"/>
        </w:trPr>
        <w:tc>
          <w:tcPr>
            <w:tcW w:w="1129" w:type="dxa"/>
          </w:tcPr>
          <w:p w14:paraId="7FE1C317" w14:textId="77777777" w:rsidR="00696584" w:rsidRDefault="002C4F63">
            <w:pPr>
              <w:pStyle w:val="P68B1DB1-Normal45"/>
              <w:spacing w:line="276" w:lineRule="auto"/>
              <w:jc w:val="both"/>
            </w:pPr>
            <w:r>
              <w:lastRenderedPageBreak/>
              <w:t>0170</w:t>
            </w:r>
          </w:p>
        </w:tc>
        <w:tc>
          <w:tcPr>
            <w:tcW w:w="7938" w:type="dxa"/>
          </w:tcPr>
          <w:p w14:paraId="7FE1C318" w14:textId="77777777" w:rsidR="00696584" w:rsidRDefault="002C4F63">
            <w:pPr>
              <w:pStyle w:val="P68B1DB1-Normal55"/>
              <w:spacing w:line="276" w:lineRule="auto"/>
              <w:jc w:val="both"/>
              <w:rPr>
                <w:bCs/>
              </w:rPr>
            </w:pPr>
            <w:r>
              <w:t xml:space="preserve">Alternative Abhilfemaßnahmen </w:t>
            </w:r>
          </w:p>
          <w:p w14:paraId="7FE1C319" w14:textId="77777777" w:rsidR="00696584" w:rsidRDefault="002C4F63">
            <w:pPr>
              <w:pStyle w:val="P68B1DB1-Normal45"/>
              <w:spacing w:line="276" w:lineRule="auto"/>
              <w:jc w:val="both"/>
            </w:pPr>
            <w:r>
              <w:t xml:space="preserve">Wenn erwartet wird, dass die Abwicklungsresilienz erreicht wird, die Banken jedoch nicht in der Lage waren, dies zu tun, wird von den Banken erwartet, dass sie alternative Abhilfemaßnahmen prüfen. </w:t>
            </w:r>
          </w:p>
          <w:p w14:paraId="7FE1C31A" w14:textId="77777777" w:rsidR="00696584" w:rsidRDefault="00696584">
            <w:pPr>
              <w:spacing w:line="276" w:lineRule="auto"/>
              <w:jc w:val="both"/>
              <w:rPr>
                <w:rFonts w:ascii="Times New Roman" w:eastAsia="Calibri" w:hAnsi="Times New Roman" w:cs="Times New Roman"/>
                <w:sz w:val="20"/>
              </w:rPr>
            </w:pPr>
          </w:p>
          <w:p w14:paraId="7FE1C31B" w14:textId="77777777" w:rsidR="00696584" w:rsidRDefault="002C4F63">
            <w:pPr>
              <w:pStyle w:val="P68B1DB1-Normal45"/>
              <w:spacing w:line="276" w:lineRule="auto"/>
              <w:jc w:val="both"/>
              <w:rPr>
                <w:iCs/>
              </w:rPr>
            </w:pPr>
            <w:r>
              <w:t>Einer der folgenden Werte ist anzugeben:</w:t>
            </w:r>
          </w:p>
          <w:p w14:paraId="7FE1C31C" w14:textId="77777777" w:rsidR="00696584" w:rsidRDefault="002C4F63">
            <w:pPr>
              <w:spacing w:line="276" w:lineRule="auto"/>
              <w:jc w:val="both"/>
              <w:rPr>
                <w:rFonts w:ascii="Times New Roman" w:eastAsia="Calibri" w:hAnsi="Times New Roman" w:cs="Times New Roman"/>
                <w:iCs/>
                <w:sz w:val="20"/>
              </w:rPr>
            </w:pPr>
            <w:r>
              <w:rPr>
                <w:rFonts w:ascii="Times New Roman" w:hAnsi="Times New Roman" w:cs="Times New Roman"/>
              </w:rPr>
              <w:t>„</w:t>
            </w:r>
            <w:r>
              <w:rPr>
                <w:rFonts w:ascii="Times New Roman" w:eastAsia="Calibri" w:hAnsi="Times New Roman" w:cs="Times New Roman"/>
                <w:sz w:val="20"/>
              </w:rPr>
              <w:t>Ja“ – wenn die Bank alternative Abhilfemaßnahmen ergriffen hat</w:t>
            </w:r>
          </w:p>
          <w:p w14:paraId="7FE1C31D" w14:textId="77777777" w:rsidR="00696584" w:rsidRDefault="002C4F63">
            <w:pPr>
              <w:spacing w:line="276" w:lineRule="auto"/>
              <w:jc w:val="both"/>
              <w:rPr>
                <w:rFonts w:ascii="Times New Roman" w:eastAsia="Calibri" w:hAnsi="Times New Roman" w:cs="Times New Roman"/>
                <w:iCs/>
                <w:sz w:val="20"/>
              </w:rPr>
            </w:pPr>
            <w:r>
              <w:rPr>
                <w:rFonts w:ascii="Times New Roman" w:hAnsi="Times New Roman" w:cs="Times New Roman"/>
              </w:rPr>
              <w:t>„</w:t>
            </w:r>
            <w:r>
              <w:rPr>
                <w:rFonts w:ascii="Times New Roman" w:eastAsia="Calibri" w:hAnsi="Times New Roman" w:cs="Times New Roman"/>
                <w:sz w:val="20"/>
              </w:rPr>
              <w:t>Nein“ – wenn die Bank keine alternativen Abhilfemaßnahmen ergriffen hat</w:t>
            </w:r>
          </w:p>
          <w:p w14:paraId="7FE1C31E" w14:textId="673B1C47" w:rsidR="00696584" w:rsidRDefault="002C4F63">
            <w:pPr>
              <w:spacing w:line="276" w:lineRule="auto"/>
              <w:jc w:val="both"/>
              <w:rPr>
                <w:rFonts w:ascii="Times New Roman" w:eastAsia="Calibri" w:hAnsi="Times New Roman" w:cs="Times New Roman"/>
                <w:iCs/>
                <w:sz w:val="20"/>
              </w:rPr>
            </w:pPr>
            <w:r>
              <w:rPr>
                <w:rFonts w:ascii="Times New Roman" w:hAnsi="Times New Roman" w:cs="Times New Roman"/>
              </w:rPr>
              <w:t xml:space="preserve"> „</w:t>
            </w:r>
            <w:r>
              <w:rPr>
                <w:rFonts w:ascii="Times New Roman" w:eastAsia="Calibri" w:hAnsi="Times New Roman" w:cs="Times New Roman"/>
                <w:sz w:val="20"/>
              </w:rPr>
              <w:t>Nicht zutreffend“ – in Fällen, in denen eine der Spalten 0150 und 0160 mit „Ja“ oder „</w:t>
            </w:r>
            <w:r w:rsidR="00D3698C">
              <w:rPr>
                <w:rFonts w:ascii="Times New Roman" w:eastAsia="Calibri" w:hAnsi="Times New Roman" w:cs="Times New Roman"/>
                <w:sz w:val="20"/>
              </w:rPr>
              <w:t>NA</w:t>
            </w:r>
            <w:r>
              <w:rPr>
                <w:rFonts w:ascii="Times New Roman" w:eastAsia="Calibri" w:hAnsi="Times New Roman" w:cs="Times New Roman"/>
                <w:sz w:val="20"/>
              </w:rPr>
              <w:t>“ gekennzeichnet</w:t>
            </w:r>
            <w:r>
              <w:rPr>
                <w:rFonts w:ascii="Times New Roman" w:hAnsi="Times New Roman" w:cs="Times New Roman"/>
              </w:rPr>
              <w:t xml:space="preserve"> ist</w:t>
            </w:r>
          </w:p>
          <w:p w14:paraId="7FE1C31F" w14:textId="77777777" w:rsidR="00696584" w:rsidRDefault="00696584">
            <w:pPr>
              <w:spacing w:line="276" w:lineRule="auto"/>
              <w:jc w:val="both"/>
              <w:rPr>
                <w:rFonts w:ascii="Times New Roman" w:eastAsia="Calibri" w:hAnsi="Times New Roman" w:cs="Times New Roman"/>
                <w:sz w:val="20"/>
              </w:rPr>
            </w:pPr>
          </w:p>
        </w:tc>
      </w:tr>
      <w:tr w:rsidR="00696584" w14:paraId="7FE1C327" w14:textId="77777777">
        <w:trPr>
          <w:trHeight w:val="1257"/>
        </w:trPr>
        <w:tc>
          <w:tcPr>
            <w:tcW w:w="1129" w:type="dxa"/>
          </w:tcPr>
          <w:p w14:paraId="7FE1C321" w14:textId="77777777" w:rsidR="00696584" w:rsidRDefault="002C4F63">
            <w:pPr>
              <w:pStyle w:val="P68B1DB1-Normal45"/>
              <w:spacing w:line="276" w:lineRule="auto"/>
              <w:jc w:val="both"/>
            </w:pPr>
            <w:r>
              <w:t>0180</w:t>
            </w:r>
          </w:p>
        </w:tc>
        <w:tc>
          <w:tcPr>
            <w:tcW w:w="7938" w:type="dxa"/>
          </w:tcPr>
          <w:p w14:paraId="7FE1C322" w14:textId="77777777" w:rsidR="00696584" w:rsidRDefault="002C4F63">
            <w:pPr>
              <w:pStyle w:val="P68B1DB1-Normal55"/>
              <w:spacing w:line="276" w:lineRule="auto"/>
              <w:jc w:val="both"/>
              <w:rPr>
                <w:iCs/>
              </w:rPr>
            </w:pPr>
            <w:r>
              <w:rPr>
                <w:szCs w:val="20"/>
              </w:rPr>
              <w:t>Kritischer IKT-Drittdienstleister im Rahmen von DORA</w:t>
            </w:r>
            <w:r>
              <w:t xml:space="preserve"> </w:t>
            </w:r>
          </w:p>
          <w:p w14:paraId="7FE1C323" w14:textId="77777777" w:rsidR="00696584" w:rsidRDefault="002C4F63">
            <w:pPr>
              <w:pStyle w:val="P68B1DB1-Normal45"/>
              <w:spacing w:line="276" w:lineRule="auto"/>
              <w:jc w:val="both"/>
              <w:rPr>
                <w:iCs/>
              </w:rPr>
            </w:pPr>
            <w:r>
              <w:t>Einer der folgenden Werte ist anzugeben:</w:t>
            </w:r>
          </w:p>
          <w:p w14:paraId="7FE1C324" w14:textId="77777777" w:rsidR="00696584" w:rsidRDefault="002C4F63">
            <w:pPr>
              <w:pStyle w:val="P68B1DB1-Normal50"/>
              <w:spacing w:line="276" w:lineRule="auto"/>
              <w:jc w:val="both"/>
            </w:pPr>
            <w:r>
              <w:t>„Ja“ – wenn es sich um einen kritischen IKT-Drittdienstleister gemäß Artikel 3 Absatz 23 der Verordnung 2022/2554 (DORA) handelt</w:t>
            </w:r>
          </w:p>
          <w:p w14:paraId="7FE1C325" w14:textId="77777777" w:rsidR="00696584" w:rsidRDefault="002C4F63">
            <w:pPr>
              <w:spacing w:line="276" w:lineRule="auto"/>
              <w:jc w:val="both"/>
              <w:rPr>
                <w:rFonts w:ascii="Times New Roman" w:eastAsia="Calibri" w:hAnsi="Times New Roman" w:cs="Times New Roman"/>
                <w:sz w:val="20"/>
                <w:szCs w:val="20"/>
              </w:rPr>
            </w:pPr>
            <w:r>
              <w:rPr>
                <w:rFonts w:ascii="Times New Roman" w:hAnsi="Times New Roman" w:cs="Times New Roman"/>
              </w:rPr>
              <w:t>„</w:t>
            </w:r>
            <w:r>
              <w:rPr>
                <w:rFonts w:ascii="Times New Roman" w:eastAsia="Calibri" w:hAnsi="Times New Roman" w:cs="Times New Roman"/>
                <w:sz w:val="20"/>
                <w:szCs w:val="20"/>
              </w:rPr>
              <w:t>Nein“ – wenn es sich nicht um einen kritischen IKT-Drittdienstleister gemäß Artikel 3 Absatz 23 der Verordnung 2022/2554 (DORA)</w:t>
            </w:r>
            <w:r>
              <w:rPr>
                <w:rFonts w:ascii="Times New Roman" w:hAnsi="Times New Roman" w:cs="Times New Roman"/>
              </w:rPr>
              <w:t xml:space="preserve"> handelt</w:t>
            </w:r>
          </w:p>
          <w:p w14:paraId="7FE1C326" w14:textId="77777777" w:rsidR="00696584" w:rsidRDefault="00696584">
            <w:pPr>
              <w:spacing w:line="276" w:lineRule="auto"/>
              <w:jc w:val="both"/>
              <w:rPr>
                <w:rFonts w:ascii="Times New Roman" w:eastAsia="Calibri" w:hAnsi="Times New Roman" w:cs="Times New Roman"/>
                <w:sz w:val="20"/>
              </w:rPr>
            </w:pPr>
          </w:p>
        </w:tc>
      </w:tr>
      <w:tr w:rsidR="00696584" w14:paraId="7FE1C32E" w14:textId="77777777">
        <w:trPr>
          <w:trHeight w:val="1257"/>
        </w:trPr>
        <w:tc>
          <w:tcPr>
            <w:tcW w:w="1129" w:type="dxa"/>
          </w:tcPr>
          <w:p w14:paraId="7FE1C328" w14:textId="77777777" w:rsidR="00696584" w:rsidRDefault="002C4F63">
            <w:pPr>
              <w:pStyle w:val="P68B1DB1-Normal45"/>
              <w:spacing w:line="276" w:lineRule="auto"/>
              <w:jc w:val="both"/>
            </w:pPr>
            <w:r>
              <w:t>0190</w:t>
            </w:r>
          </w:p>
        </w:tc>
        <w:tc>
          <w:tcPr>
            <w:tcW w:w="7938" w:type="dxa"/>
          </w:tcPr>
          <w:p w14:paraId="7FE1C329" w14:textId="77777777" w:rsidR="00696584" w:rsidRDefault="002C4F63">
            <w:pPr>
              <w:pStyle w:val="P68B1DB1-Normal55"/>
              <w:spacing w:line="276" w:lineRule="auto"/>
              <w:jc w:val="both"/>
              <w:rPr>
                <w:iCs/>
              </w:rPr>
            </w:pPr>
            <w:r>
              <w:rPr>
                <w:szCs w:val="20"/>
              </w:rPr>
              <w:t>IKT-Dienst im Rahmen von DORA</w:t>
            </w:r>
            <w:r>
              <w:t xml:space="preserve"> </w:t>
            </w:r>
          </w:p>
          <w:p w14:paraId="7FE1C32A" w14:textId="77777777" w:rsidR="00696584" w:rsidRDefault="002C4F63">
            <w:pPr>
              <w:pStyle w:val="P68B1DB1-Normal45"/>
              <w:spacing w:line="276" w:lineRule="auto"/>
              <w:jc w:val="both"/>
              <w:rPr>
                <w:iCs/>
              </w:rPr>
            </w:pPr>
            <w:r>
              <w:t>Einer der folgenden Werte ist anzugeben:</w:t>
            </w:r>
          </w:p>
          <w:p w14:paraId="7FE1C32B" w14:textId="3A99D278" w:rsidR="00696584" w:rsidRDefault="002C4F63">
            <w:pPr>
              <w:spacing w:line="276"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„Ja“ – wenn es sich um einen IKT-Dienst im Sinne von Artikel 3 Absatz 21 der Verordnung 2022/2554</w:t>
            </w:r>
            <w:r>
              <w:rPr>
                <w:rStyle w:val="FootnoteReference"/>
                <w:rFonts w:eastAsia="Calibri" w:cs="Times New Roman"/>
              </w:rPr>
              <w:footnoteReference w:id="27"/>
            </w:r>
            <w:r>
              <w:rPr>
                <w:rFonts w:ascii="Times New Roman" w:eastAsia="Calibri" w:hAnsi="Times New Roman" w:cs="Times New Roman"/>
                <w:sz w:val="20"/>
                <w:szCs w:val="20"/>
              </w:rPr>
              <w:t xml:space="preserve"> (DORA) handelt</w:t>
            </w:r>
          </w:p>
          <w:p w14:paraId="7FE1C32C" w14:textId="77777777" w:rsidR="00696584" w:rsidRDefault="002C4F63">
            <w:pPr>
              <w:spacing w:line="276" w:lineRule="auto"/>
              <w:jc w:val="both"/>
              <w:rPr>
                <w:rFonts w:ascii="Times New Roman" w:eastAsia="Calibri" w:hAnsi="Times New Roman" w:cs="Times New Roman"/>
                <w:sz w:val="20"/>
                <w:szCs w:val="20"/>
              </w:rPr>
            </w:pPr>
            <w:r>
              <w:rPr>
                <w:rFonts w:ascii="Times New Roman" w:hAnsi="Times New Roman" w:cs="Times New Roman"/>
              </w:rPr>
              <w:t>„</w:t>
            </w:r>
            <w:r>
              <w:rPr>
                <w:rFonts w:ascii="Times New Roman" w:eastAsia="Calibri" w:hAnsi="Times New Roman" w:cs="Times New Roman"/>
                <w:sz w:val="20"/>
                <w:szCs w:val="20"/>
              </w:rPr>
              <w:t>Nein“ – wenn es sich nicht um einen IKT-Dienst im Sinne von Artikel 3 Absatz 21 der Verordnung 2022/2554 (DORA)</w:t>
            </w:r>
            <w:r>
              <w:rPr>
                <w:rFonts w:ascii="Times New Roman" w:hAnsi="Times New Roman" w:cs="Times New Roman"/>
              </w:rPr>
              <w:t xml:space="preserve"> handelt</w:t>
            </w:r>
          </w:p>
          <w:p w14:paraId="7FE1C32D" w14:textId="77777777" w:rsidR="00696584" w:rsidRDefault="00696584">
            <w:pPr>
              <w:spacing w:line="276" w:lineRule="auto"/>
              <w:jc w:val="both"/>
              <w:rPr>
                <w:rFonts w:ascii="Times New Roman" w:eastAsia="Calibri" w:hAnsi="Times New Roman" w:cs="Times New Roman"/>
                <w:iCs/>
                <w:sz w:val="20"/>
              </w:rPr>
            </w:pPr>
          </w:p>
        </w:tc>
      </w:tr>
    </w:tbl>
    <w:p w14:paraId="7FE1C32F" w14:textId="77777777" w:rsidR="00696584" w:rsidRDefault="00696584">
      <w:pPr>
        <w:spacing w:line="276" w:lineRule="auto"/>
        <w:jc w:val="both"/>
        <w:rPr>
          <w:rFonts w:ascii="Times New Roman" w:eastAsia="Calibri" w:hAnsi="Times New Roman" w:cs="Times New Roman"/>
          <w:color w:val="0070C0"/>
          <w:sz w:val="20"/>
        </w:rPr>
      </w:pPr>
    </w:p>
    <w:p w14:paraId="7FE1C478" w14:textId="77777777" w:rsidR="00696584" w:rsidRDefault="00696584">
      <w:pPr>
        <w:rPr>
          <w:rFonts w:ascii="Times New Roman" w:eastAsia="Times New Roman" w:hAnsi="Times New Roman" w:cs="Times New Roman"/>
          <w:sz w:val="20"/>
          <w:szCs w:val="20"/>
          <w:u w:val="single"/>
        </w:rPr>
      </w:pPr>
    </w:p>
    <w:p w14:paraId="7FE1C479" w14:textId="77777777" w:rsidR="00696584" w:rsidRDefault="00696584">
      <w:pPr>
        <w:rPr>
          <w:rFonts w:ascii="Times New Roman" w:eastAsia="Times New Roman" w:hAnsi="Times New Roman" w:cs="Times New Roman"/>
          <w:sz w:val="20"/>
          <w:szCs w:val="20"/>
          <w:u w:val="single"/>
        </w:rPr>
      </w:pPr>
    </w:p>
    <w:p w14:paraId="7FE1C47A" w14:textId="77777777" w:rsidR="00696584" w:rsidRDefault="002C4F63">
      <w:pPr>
        <w:pStyle w:val="P68B1DB1-Instructionsberschrift25"/>
        <w:numPr>
          <w:ilvl w:val="1"/>
          <w:numId w:val="49"/>
        </w:numPr>
        <w:ind w:left="357" w:hanging="357"/>
        <w:rPr>
          <w:szCs w:val="20"/>
        </w:rPr>
      </w:pPr>
      <w:bookmarkStart w:id="127" w:name="_Toc209533603"/>
      <w:r>
        <w:t>Z 08.02 – Relevante Dienste – Zuordnung zu operativen Vermögenswerten (SERV 2)</w:t>
      </w:r>
      <w:bookmarkEnd w:id="127"/>
    </w:p>
    <w:p w14:paraId="7FE1C47B" w14:textId="77777777" w:rsidR="00696584" w:rsidRDefault="002C4F63">
      <w:pPr>
        <w:pStyle w:val="P68B1DB1-Normal50"/>
        <w:spacing w:line="276" w:lineRule="auto"/>
        <w:jc w:val="both"/>
      </w:pPr>
      <w:r>
        <w:t>Allgemeine Hinweise</w:t>
      </w:r>
    </w:p>
    <w:p w14:paraId="7FE1C47C" w14:textId="77777777" w:rsidR="00696584" w:rsidRDefault="002C4F63">
      <w:pPr>
        <w:pStyle w:val="P68B1DB1-Instructionsberschrift346"/>
        <w:numPr>
          <w:ilvl w:val="4"/>
          <w:numId w:val="259"/>
        </w:numPr>
        <w:contextualSpacing/>
        <w:jc w:val="both"/>
        <w:rPr>
          <w:color w:val="auto"/>
        </w:rPr>
      </w:pPr>
      <w:bookmarkStart w:id="128" w:name="_Hlk161330001"/>
      <w:r>
        <w:rPr>
          <w:color w:val="auto"/>
          <w:szCs w:val="24"/>
        </w:rPr>
        <w:lastRenderedPageBreak/>
        <w:t>Die in diesem Meldebogen vorgesehenen Angaben sind einmal für die gesamte Gruppe zu machen.Hier werden die relevanten Dienstleistungen aufgelistet, die jedes Unternehmen in der Gruppe in Anspruch nimmt, und mit den von der Gruppe wahrgenommenen relevanten Betriebsmitteln verknüpft</w:t>
      </w:r>
      <w:r>
        <w:t>.</w:t>
      </w:r>
    </w:p>
    <w:p w14:paraId="7FE1C47D" w14:textId="790BE864" w:rsidR="00696584" w:rsidRDefault="002C4F63">
      <w:pPr>
        <w:pStyle w:val="P68B1DB1-Instructionsberschrift348"/>
        <w:numPr>
          <w:ilvl w:val="4"/>
          <w:numId w:val="49"/>
        </w:numPr>
        <w:contextualSpacing/>
        <w:jc w:val="both"/>
        <w:rPr>
          <w:color w:val="auto"/>
        </w:rPr>
      </w:pPr>
      <w:r>
        <w:t>Die Werte der Spalten 0010, 0020, 0030 und 0080 dieses Meldebogens bilden einen Primärschlüssel, der jeweils eine spezifische Zeile des Meldebogens bezeichnet.</w:t>
      </w:r>
    </w:p>
    <w:bookmarkEnd w:id="128"/>
    <w:p w14:paraId="7FE1C482" w14:textId="77777777" w:rsidR="00696584" w:rsidRDefault="00696584">
      <w:pPr>
        <w:rPr>
          <w:rFonts w:ascii="Times New Roman" w:eastAsia="Times New Roman" w:hAnsi="Times New Roman" w:cs="Times New Roman"/>
          <w:sz w:val="20"/>
          <w:szCs w:val="20"/>
          <w:u w:val="single"/>
        </w:rPr>
      </w:pPr>
    </w:p>
    <w:tbl>
      <w:tblPr>
        <w:tblStyle w:val="TableGrid11"/>
        <w:tblW w:w="9209" w:type="dxa"/>
        <w:tblLook w:val="04A0" w:firstRow="1" w:lastRow="0" w:firstColumn="1" w:lastColumn="0" w:noHBand="0" w:noVBand="1"/>
      </w:tblPr>
      <w:tblGrid>
        <w:gridCol w:w="1418"/>
        <w:gridCol w:w="7791"/>
      </w:tblGrid>
      <w:tr w:rsidR="00696584" w14:paraId="7FE1C54A" w14:textId="77777777">
        <w:trPr>
          <w:trHeight w:val="495"/>
          <w:tblHeader/>
        </w:trPr>
        <w:tc>
          <w:tcPr>
            <w:tcW w:w="1418" w:type="dxa"/>
            <w:shd w:val="clear" w:color="auto" w:fill="E7E6E6"/>
          </w:tcPr>
          <w:p w14:paraId="7FE1C548" w14:textId="77777777" w:rsidR="00696584" w:rsidRDefault="002C4F63">
            <w:pPr>
              <w:pStyle w:val="P68B1DB1-Normal61"/>
              <w:spacing w:before="120" w:after="120" w:line="276" w:lineRule="auto"/>
            </w:pPr>
            <w:r>
              <w:t>Spalten</w:t>
            </w:r>
          </w:p>
        </w:tc>
        <w:tc>
          <w:tcPr>
            <w:tcW w:w="7791" w:type="dxa"/>
            <w:shd w:val="clear" w:color="auto" w:fill="E7E6E6"/>
          </w:tcPr>
          <w:p w14:paraId="7FE1C549" w14:textId="77777777" w:rsidR="00696584" w:rsidRDefault="002C4F63">
            <w:pPr>
              <w:pStyle w:val="P68B1DB1-Normal61"/>
              <w:spacing w:before="120" w:after="120" w:line="276" w:lineRule="auto"/>
            </w:pPr>
            <w:r>
              <w:t>Erläuterungen</w:t>
            </w:r>
          </w:p>
        </w:tc>
      </w:tr>
      <w:tr w:rsidR="00696584" w14:paraId="7FE1C550" w14:textId="77777777">
        <w:trPr>
          <w:trHeight w:val="450"/>
        </w:trPr>
        <w:tc>
          <w:tcPr>
            <w:tcW w:w="1418" w:type="dxa"/>
            <w:shd w:val="clear" w:color="auto" w:fill="FFFFFF" w:themeFill="background1"/>
          </w:tcPr>
          <w:p w14:paraId="7FE1C54B" w14:textId="77777777" w:rsidR="00696584" w:rsidRDefault="002C4F63">
            <w:pPr>
              <w:pStyle w:val="P68B1DB1-Normal62"/>
              <w:spacing w:before="120" w:after="120" w:line="276" w:lineRule="auto"/>
            </w:pPr>
            <w:r>
              <w:t>0005</w:t>
            </w:r>
          </w:p>
        </w:tc>
        <w:tc>
          <w:tcPr>
            <w:tcW w:w="7791" w:type="dxa"/>
            <w:shd w:val="clear" w:color="auto" w:fill="FFFFFF" w:themeFill="background1"/>
          </w:tcPr>
          <w:p w14:paraId="7CBB667A" w14:textId="77777777" w:rsidR="007E4726" w:rsidRDefault="007E4726" w:rsidP="007E4726">
            <w:pPr>
              <w:pStyle w:val="P68B1DB1-Normal49"/>
              <w:spacing w:before="120" w:after="120" w:line="276" w:lineRule="auto"/>
              <w:rPr>
                <w:bCs/>
              </w:rPr>
            </w:pPr>
            <w:r>
              <w:t>Identifikator der Dienstleistung</w:t>
            </w:r>
          </w:p>
          <w:p w14:paraId="7FE1C54D" w14:textId="77777777" w:rsidR="00696584" w:rsidRDefault="002C4F63">
            <w:pPr>
              <w:pStyle w:val="P68B1DB1-Normal62"/>
              <w:spacing w:before="120" w:after="120" w:line="276" w:lineRule="auto"/>
            </w:pPr>
            <w:r>
              <w:t>Verwenden Sie die in Z 08.01 (SERV 1) gemeldete Service-Kennung.</w:t>
            </w:r>
          </w:p>
          <w:p w14:paraId="7FE1C54E" w14:textId="77777777" w:rsidR="00696584" w:rsidRDefault="002C4F63">
            <w:pPr>
              <w:pStyle w:val="P68B1DB1-Normal62"/>
              <w:spacing w:before="120" w:after="120" w:line="276" w:lineRule="auto"/>
            </w:pPr>
            <w:r>
              <w:t>Die Dienstkennung bezieht sich auf den unter c0020 gemeldeten Dienst.</w:t>
            </w:r>
          </w:p>
          <w:p w14:paraId="7FE1C54F" w14:textId="77777777" w:rsidR="00696584" w:rsidRDefault="00696584">
            <w:pPr>
              <w:spacing w:before="120" w:after="120" w:line="276" w:lineRule="auto"/>
              <w:rPr>
                <w:rFonts w:ascii="Times New Roman" w:hAnsi="Times New Roman"/>
                <w:i/>
                <w:sz w:val="20"/>
                <w:szCs w:val="20"/>
              </w:rPr>
            </w:pPr>
          </w:p>
        </w:tc>
      </w:tr>
      <w:tr w:rsidR="00696584" w14:paraId="7FE1C594" w14:textId="77777777">
        <w:trPr>
          <w:trHeight w:val="450"/>
        </w:trPr>
        <w:tc>
          <w:tcPr>
            <w:tcW w:w="1418" w:type="dxa"/>
            <w:shd w:val="clear" w:color="auto" w:fill="FFFFFF" w:themeFill="background1"/>
          </w:tcPr>
          <w:p w14:paraId="7FE1C551" w14:textId="77777777" w:rsidR="00696584" w:rsidRDefault="002C4F63">
            <w:pPr>
              <w:pStyle w:val="P68B1DB1-Normal62"/>
              <w:spacing w:before="120" w:after="120" w:line="276" w:lineRule="auto"/>
            </w:pPr>
            <w:r>
              <w:t>0010</w:t>
            </w:r>
          </w:p>
        </w:tc>
        <w:tc>
          <w:tcPr>
            <w:tcW w:w="7791" w:type="dxa"/>
            <w:shd w:val="clear" w:color="auto" w:fill="FFFFFF" w:themeFill="background1"/>
          </w:tcPr>
          <w:p w14:paraId="7FE1C552" w14:textId="77777777" w:rsidR="00696584" w:rsidRDefault="002C4F63">
            <w:pPr>
              <w:pStyle w:val="P68B1DB1-Normal61"/>
              <w:autoSpaceDE w:val="0"/>
              <w:autoSpaceDN w:val="0"/>
              <w:adjustRightInd w:val="0"/>
              <w:rPr>
                <w:rFonts w:eastAsia="MS Mincho"/>
              </w:rPr>
            </w:pPr>
            <w:r>
              <w:t xml:space="preserve">Art des Dienstes </w:t>
            </w:r>
          </w:p>
          <w:p w14:paraId="7FE1C57A" w14:textId="35040E48" w:rsidR="00696584" w:rsidRDefault="002C4F63">
            <w:pPr>
              <w:pStyle w:val="P68B1DB1-Normal63"/>
              <w:autoSpaceDE w:val="0"/>
              <w:autoSpaceDN w:val="0"/>
              <w:adjustRightInd w:val="0"/>
            </w:pPr>
            <w:r>
              <w:t>Für die Art der Dienstleistung ist eine der unter Z 08.01 0010 oben angegebenen Arten auszuwählen.</w:t>
            </w:r>
          </w:p>
          <w:p w14:paraId="7FE1C593" w14:textId="77777777" w:rsidR="00696584" w:rsidRDefault="00696584">
            <w:pPr>
              <w:autoSpaceDE w:val="0"/>
              <w:autoSpaceDN w:val="0"/>
              <w:adjustRightInd w:val="0"/>
              <w:rPr>
                <w:rFonts w:ascii="Times New Roman" w:hAnsi="Times New Roman"/>
                <w:sz w:val="20"/>
                <w:szCs w:val="20"/>
              </w:rPr>
            </w:pPr>
          </w:p>
        </w:tc>
      </w:tr>
      <w:tr w:rsidR="00696584" w14:paraId="7FE1C599" w14:textId="77777777">
        <w:trPr>
          <w:trHeight w:val="450"/>
        </w:trPr>
        <w:tc>
          <w:tcPr>
            <w:tcW w:w="1418" w:type="dxa"/>
            <w:shd w:val="clear" w:color="auto" w:fill="FFFFFF" w:themeFill="background1"/>
          </w:tcPr>
          <w:p w14:paraId="7FE1C595" w14:textId="77777777" w:rsidR="00696584" w:rsidRDefault="002C4F63">
            <w:pPr>
              <w:pStyle w:val="P68B1DB1-Normal62"/>
              <w:spacing w:before="120" w:after="120" w:line="276" w:lineRule="auto"/>
            </w:pPr>
            <w:r>
              <w:t>0020</w:t>
            </w:r>
          </w:p>
        </w:tc>
        <w:tc>
          <w:tcPr>
            <w:tcW w:w="7791" w:type="dxa"/>
            <w:shd w:val="clear" w:color="auto" w:fill="FFFFFF" w:themeFill="background1"/>
          </w:tcPr>
          <w:p w14:paraId="7FE1C596" w14:textId="4F334B4F" w:rsidR="00696584" w:rsidRDefault="007E4726">
            <w:pPr>
              <w:pStyle w:val="P68B1DB1-Normal61"/>
              <w:spacing w:line="276" w:lineRule="auto"/>
              <w:jc w:val="both"/>
              <w:rPr>
                <w:bCs/>
              </w:rPr>
            </w:pPr>
            <w:r>
              <w:t>Eindeutige Bezeichnung der Dienstleistung</w:t>
            </w:r>
            <w:r w:rsidR="002C4F63">
              <w:t xml:space="preserve"> gemäß Banktaxonomie </w:t>
            </w:r>
          </w:p>
          <w:p w14:paraId="7FE1C597" w14:textId="7DDCE32C" w:rsidR="00696584" w:rsidRDefault="002C4F63">
            <w:pPr>
              <w:pStyle w:val="P68B1DB1-Normal64"/>
              <w:rPr>
                <w:rFonts w:eastAsiaTheme="minorHAnsi"/>
                <w:sz w:val="24"/>
              </w:rPr>
            </w:pPr>
            <w:r>
              <w:t xml:space="preserve">Bezeichnung/Kurzbeschreibung des Dienstes gemäß der Taxonomie der Bank (Stufe 3) gemäß Z 08.01 (SERV 1) Spalte 0020. Von der Bank wird erwartet, dass sie die Dienstleistungen auf einer detaillierteren Ebene meldet als die </w:t>
            </w:r>
            <w:r w:rsidR="003139A0">
              <w:t xml:space="preserve">Meldung </w:t>
            </w:r>
            <w:r>
              <w:t>für Stufe 2 (c0010), sodass jede einzelne Dienstleistung präzise und zielgerichtet definiert wird.</w:t>
            </w:r>
          </w:p>
          <w:p w14:paraId="7FE1C598" w14:textId="77777777" w:rsidR="00696584" w:rsidRDefault="00696584">
            <w:pPr>
              <w:spacing w:before="120" w:after="120" w:line="276" w:lineRule="auto"/>
              <w:rPr>
                <w:rFonts w:ascii="Times New Roman" w:hAnsi="Times New Roman"/>
                <w:sz w:val="20"/>
                <w:szCs w:val="20"/>
              </w:rPr>
            </w:pPr>
          </w:p>
        </w:tc>
      </w:tr>
      <w:tr w:rsidR="00696584" w14:paraId="7FE1C59E" w14:textId="77777777">
        <w:trPr>
          <w:trHeight w:val="450"/>
        </w:trPr>
        <w:tc>
          <w:tcPr>
            <w:tcW w:w="1418" w:type="dxa"/>
            <w:shd w:val="clear" w:color="auto" w:fill="FFFFFF" w:themeFill="background1"/>
          </w:tcPr>
          <w:p w14:paraId="7FE1C59A" w14:textId="77777777" w:rsidR="00696584" w:rsidRDefault="002C4F63">
            <w:pPr>
              <w:pStyle w:val="P68B1DB1-Normal62"/>
              <w:spacing w:before="120" w:after="120" w:line="276" w:lineRule="auto"/>
            </w:pPr>
            <w:r>
              <w:t>0030</w:t>
            </w:r>
          </w:p>
        </w:tc>
        <w:tc>
          <w:tcPr>
            <w:tcW w:w="7791" w:type="dxa"/>
            <w:shd w:val="clear" w:color="auto" w:fill="FFFFFF" w:themeFill="background1"/>
          </w:tcPr>
          <w:p w14:paraId="7FE1C59B" w14:textId="77777777" w:rsidR="00696584" w:rsidRDefault="002C4F63">
            <w:pPr>
              <w:pStyle w:val="P68B1DB1-Normal61"/>
              <w:spacing w:before="120" w:after="120" w:line="276" w:lineRule="auto"/>
              <w:rPr>
                <w:bCs/>
              </w:rPr>
            </w:pPr>
            <w:r>
              <w:t>Kennung des Vermögenswerts</w:t>
            </w:r>
          </w:p>
          <w:p w14:paraId="7FE1C59C" w14:textId="77777777" w:rsidR="00696584" w:rsidRDefault="002C4F63">
            <w:pPr>
              <w:pStyle w:val="P68B1DB1-Normal64"/>
              <w:spacing w:line="276" w:lineRule="auto"/>
              <w:jc w:val="both"/>
            </w:pPr>
            <w:r>
              <w:t>Die Kennung des Vermögenswerts bezieht sich auf den unter c0050 gemeldeten Vermögenswert.</w:t>
            </w:r>
          </w:p>
          <w:p w14:paraId="7FE1C59D" w14:textId="77777777" w:rsidR="00696584" w:rsidRDefault="00696584">
            <w:pPr>
              <w:spacing w:before="120" w:after="120" w:line="276" w:lineRule="auto"/>
              <w:rPr>
                <w:rFonts w:ascii="Times New Roman" w:hAnsi="Times New Roman"/>
                <w:sz w:val="20"/>
                <w:szCs w:val="20"/>
              </w:rPr>
            </w:pPr>
          </w:p>
        </w:tc>
      </w:tr>
      <w:tr w:rsidR="00696584" w14:paraId="7FE1C5AD" w14:textId="77777777">
        <w:trPr>
          <w:trHeight w:val="450"/>
        </w:trPr>
        <w:tc>
          <w:tcPr>
            <w:tcW w:w="1418" w:type="dxa"/>
            <w:shd w:val="clear" w:color="auto" w:fill="FFFFFF" w:themeFill="background1"/>
          </w:tcPr>
          <w:p w14:paraId="7FE1C59F" w14:textId="77777777" w:rsidR="00696584" w:rsidRDefault="002C4F63">
            <w:pPr>
              <w:pStyle w:val="P68B1DB1-Normal62"/>
              <w:spacing w:before="120" w:after="120" w:line="276" w:lineRule="auto"/>
            </w:pPr>
            <w:r>
              <w:t>0040</w:t>
            </w:r>
          </w:p>
        </w:tc>
        <w:tc>
          <w:tcPr>
            <w:tcW w:w="7791" w:type="dxa"/>
            <w:shd w:val="clear" w:color="auto" w:fill="FFFFFF" w:themeFill="background1"/>
          </w:tcPr>
          <w:p w14:paraId="7FE1C5A0" w14:textId="77777777" w:rsidR="00696584" w:rsidRDefault="002C4F63">
            <w:pPr>
              <w:pStyle w:val="P68B1DB1-Normal64"/>
              <w:spacing w:line="276" w:lineRule="auto"/>
              <w:jc w:val="both"/>
            </w:pPr>
            <w:r>
              <w:rPr>
                <w:b/>
                <w:szCs w:val="20"/>
              </w:rPr>
              <w:t>Art des Vermögenswerts</w:t>
            </w:r>
            <w:r>
              <w:t xml:space="preserve"> </w:t>
            </w:r>
          </w:p>
          <w:p w14:paraId="7FE1C5A1" w14:textId="77777777" w:rsidR="00696584" w:rsidRDefault="002C4F63">
            <w:pPr>
              <w:pStyle w:val="P68B1DB1-Normal64"/>
              <w:spacing w:line="276" w:lineRule="auto"/>
              <w:jc w:val="both"/>
            </w:pPr>
            <w:r>
              <w:t xml:space="preserve">— IT- und Kommunikationsgeräte </w:t>
            </w:r>
          </w:p>
          <w:p w14:paraId="7FE1C5A2" w14:textId="77777777" w:rsidR="00696584" w:rsidRDefault="00696584">
            <w:pPr>
              <w:spacing w:line="276" w:lineRule="auto"/>
              <w:rPr>
                <w:rFonts w:ascii="Times New Roman" w:hAnsi="Times New Roman"/>
                <w:sz w:val="20"/>
              </w:rPr>
            </w:pPr>
          </w:p>
          <w:p w14:paraId="7FE1C5A3" w14:textId="77777777" w:rsidR="00696584" w:rsidRDefault="002C4F63">
            <w:pPr>
              <w:pStyle w:val="P68B1DB1-Normal64"/>
              <w:spacing w:line="276" w:lineRule="auto"/>
            </w:pPr>
            <w:r>
              <w:t>— Sonstige IT-Infrastruktur (wie IT-Arbeitsplätze, Telekommunikation, Server, Datenzentren und zugehörige Vermögenswerte)</w:t>
            </w:r>
          </w:p>
          <w:p w14:paraId="7FE1C5A4" w14:textId="77777777" w:rsidR="00696584" w:rsidRDefault="00696584">
            <w:pPr>
              <w:spacing w:line="276" w:lineRule="auto"/>
              <w:rPr>
                <w:rFonts w:ascii="Times New Roman" w:hAnsi="Times New Roman"/>
                <w:sz w:val="20"/>
              </w:rPr>
            </w:pPr>
          </w:p>
          <w:p w14:paraId="7FE1C5A5" w14:textId="77777777" w:rsidR="00696584" w:rsidRDefault="002C4F63">
            <w:pPr>
              <w:pStyle w:val="P68B1DB1-Normal64"/>
              <w:spacing w:line="276" w:lineRule="auto"/>
            </w:pPr>
            <w:r>
              <w:t xml:space="preserve">— Räumlichkeiten und Lagerung </w:t>
            </w:r>
          </w:p>
          <w:p w14:paraId="7FE1C5A6" w14:textId="77777777" w:rsidR="00696584" w:rsidRDefault="00696584">
            <w:pPr>
              <w:spacing w:line="276" w:lineRule="auto"/>
              <w:rPr>
                <w:rFonts w:ascii="Times New Roman" w:hAnsi="Times New Roman"/>
                <w:sz w:val="20"/>
              </w:rPr>
            </w:pPr>
          </w:p>
          <w:p w14:paraId="7FE1C5A7" w14:textId="77777777" w:rsidR="00696584" w:rsidRDefault="002C4F63">
            <w:pPr>
              <w:pStyle w:val="P68B1DB1-Normal64"/>
              <w:spacing w:line="276" w:lineRule="auto"/>
            </w:pPr>
            <w:r>
              <w:t>— Geistiges Eigentum (z. B. Patente, Marken usw.)</w:t>
            </w:r>
          </w:p>
          <w:p w14:paraId="7FE1C5A8" w14:textId="77777777" w:rsidR="00696584" w:rsidRDefault="00696584">
            <w:pPr>
              <w:spacing w:line="276" w:lineRule="auto"/>
              <w:rPr>
                <w:rFonts w:ascii="Times New Roman" w:hAnsi="Times New Roman"/>
                <w:sz w:val="20"/>
              </w:rPr>
            </w:pPr>
          </w:p>
          <w:p w14:paraId="7FE1C5A9" w14:textId="77777777" w:rsidR="00696584" w:rsidRDefault="002C4F63">
            <w:pPr>
              <w:pStyle w:val="P68B1DB1-Normal64"/>
              <w:spacing w:line="276" w:lineRule="auto"/>
            </w:pPr>
            <w:r>
              <w:t xml:space="preserve"> — Selbstbedienungsgeräte in Filialen und Geldautomaten</w:t>
            </w:r>
          </w:p>
          <w:p w14:paraId="7FE1C5AA" w14:textId="77777777" w:rsidR="00696584" w:rsidRDefault="00696584">
            <w:pPr>
              <w:spacing w:line="276" w:lineRule="auto"/>
              <w:rPr>
                <w:rFonts w:ascii="Times New Roman" w:hAnsi="Times New Roman"/>
                <w:sz w:val="20"/>
              </w:rPr>
            </w:pPr>
          </w:p>
          <w:p w14:paraId="7FE1C5AB" w14:textId="07413E54" w:rsidR="00696584" w:rsidRDefault="002C4F63">
            <w:pPr>
              <w:pStyle w:val="P68B1DB1-Normal62"/>
              <w:spacing w:line="276" w:lineRule="auto"/>
              <w:jc w:val="both"/>
              <w:rPr>
                <w:b/>
              </w:rPr>
            </w:pPr>
            <w:r>
              <w:t>— Andere Arten von Vermögenswerten</w:t>
            </w:r>
          </w:p>
          <w:p w14:paraId="7FE1C5AC" w14:textId="77777777" w:rsidR="00696584" w:rsidRDefault="00696584">
            <w:pPr>
              <w:spacing w:line="276" w:lineRule="auto"/>
              <w:jc w:val="both"/>
              <w:rPr>
                <w:rFonts w:ascii="Times New Roman" w:hAnsi="Times New Roman"/>
                <w:sz w:val="20"/>
              </w:rPr>
            </w:pPr>
          </w:p>
        </w:tc>
      </w:tr>
      <w:tr w:rsidR="00696584" w14:paraId="7FE1C5B2" w14:textId="77777777">
        <w:trPr>
          <w:trHeight w:val="450"/>
        </w:trPr>
        <w:tc>
          <w:tcPr>
            <w:tcW w:w="1418" w:type="dxa"/>
            <w:shd w:val="clear" w:color="auto" w:fill="FFFFFF" w:themeFill="background1"/>
          </w:tcPr>
          <w:p w14:paraId="7FE1C5AE" w14:textId="77777777" w:rsidR="00696584" w:rsidRDefault="002C4F63">
            <w:pPr>
              <w:pStyle w:val="P68B1DB1-Normal62"/>
              <w:spacing w:before="120" w:after="120" w:line="276" w:lineRule="auto"/>
            </w:pPr>
            <w:r>
              <w:t>0050</w:t>
            </w:r>
          </w:p>
        </w:tc>
        <w:tc>
          <w:tcPr>
            <w:tcW w:w="7791" w:type="dxa"/>
            <w:shd w:val="clear" w:color="auto" w:fill="FFFFFF" w:themeFill="background1"/>
          </w:tcPr>
          <w:p w14:paraId="7FE1C5AF" w14:textId="77777777" w:rsidR="00696584" w:rsidRDefault="002C4F63">
            <w:pPr>
              <w:pStyle w:val="P68B1DB1-Normal61"/>
              <w:spacing w:line="276" w:lineRule="auto"/>
              <w:jc w:val="both"/>
            </w:pPr>
            <w:r>
              <w:t xml:space="preserve">Name des Vermögenswerts </w:t>
            </w:r>
          </w:p>
          <w:p w14:paraId="7FE1C5B0" w14:textId="77777777" w:rsidR="00696584" w:rsidRDefault="002C4F63">
            <w:pPr>
              <w:pStyle w:val="P68B1DB1-Normal64"/>
              <w:spacing w:line="276" w:lineRule="auto"/>
              <w:jc w:val="both"/>
            </w:pPr>
            <w:r>
              <w:t>Firmenname oder interne Bezeichnung des Assets</w:t>
            </w:r>
          </w:p>
          <w:p w14:paraId="7FE1C5B1" w14:textId="77777777" w:rsidR="00696584" w:rsidRDefault="00696584">
            <w:pPr>
              <w:spacing w:line="276" w:lineRule="auto"/>
              <w:jc w:val="both"/>
              <w:rPr>
                <w:rFonts w:ascii="Times New Roman" w:hAnsi="Times New Roman"/>
                <w:sz w:val="20"/>
              </w:rPr>
            </w:pPr>
          </w:p>
        </w:tc>
      </w:tr>
      <w:tr w:rsidR="00696584" w14:paraId="7FE1C5BA" w14:textId="77777777">
        <w:trPr>
          <w:trHeight w:val="450"/>
        </w:trPr>
        <w:tc>
          <w:tcPr>
            <w:tcW w:w="1418" w:type="dxa"/>
            <w:shd w:val="clear" w:color="auto" w:fill="FFFFFF" w:themeFill="background1"/>
          </w:tcPr>
          <w:p w14:paraId="7FE1C5B3" w14:textId="77777777" w:rsidR="00696584" w:rsidRDefault="002C4F63">
            <w:pPr>
              <w:pStyle w:val="P68B1DB1-Normal62"/>
              <w:spacing w:before="120" w:after="120" w:line="276" w:lineRule="auto"/>
            </w:pPr>
            <w:r>
              <w:lastRenderedPageBreak/>
              <w:t>0060</w:t>
            </w:r>
          </w:p>
        </w:tc>
        <w:tc>
          <w:tcPr>
            <w:tcW w:w="7791" w:type="dxa"/>
            <w:shd w:val="clear" w:color="auto" w:fill="FFFFFF" w:themeFill="background1"/>
          </w:tcPr>
          <w:p w14:paraId="7FE1C5B4" w14:textId="1E040825" w:rsidR="00696584" w:rsidRDefault="002C4F63">
            <w:pPr>
              <w:pStyle w:val="P68B1DB1-Normal65"/>
              <w:spacing w:line="276" w:lineRule="auto"/>
              <w:jc w:val="both"/>
              <w:rPr>
                <w:iCs/>
              </w:rPr>
            </w:pPr>
            <w:r>
              <w:rPr>
                <w:szCs w:val="20"/>
              </w:rPr>
              <w:t>Kriti</w:t>
            </w:r>
            <w:r w:rsidR="007E4726">
              <w:rPr>
                <w:szCs w:val="20"/>
              </w:rPr>
              <w:t>kal</w:t>
            </w:r>
            <w:r>
              <w:rPr>
                <w:szCs w:val="20"/>
              </w:rPr>
              <w:t>ität</w:t>
            </w:r>
            <w:r>
              <w:t xml:space="preserve"> </w:t>
            </w:r>
          </w:p>
          <w:p w14:paraId="7FE1C5B5" w14:textId="77777777" w:rsidR="00696584" w:rsidRDefault="002C4F63">
            <w:pPr>
              <w:pStyle w:val="P68B1DB1-Normal64"/>
              <w:spacing w:line="276" w:lineRule="auto"/>
              <w:jc w:val="both"/>
              <w:rPr>
                <w:iCs/>
              </w:rPr>
            </w:pPr>
            <w:r>
              <w:t>Einer der folgenden Werte ist anzugeben:</w:t>
            </w:r>
          </w:p>
          <w:p w14:paraId="7FE1C5B6" w14:textId="77777777" w:rsidR="00696584" w:rsidRDefault="002C4F63">
            <w:pPr>
              <w:pStyle w:val="P68B1DB1-ListParagraph58"/>
              <w:numPr>
                <w:ilvl w:val="0"/>
                <w:numId w:val="236"/>
              </w:numPr>
              <w:spacing w:line="276" w:lineRule="auto"/>
              <w:contextualSpacing/>
              <w:jc w:val="both"/>
              <w:rPr>
                <w:iCs/>
              </w:rPr>
            </w:pPr>
            <w:r>
              <w:t>Kritisch: wenn der Dienst für die Ausführung einer oder mehrerer kritischer Funktionen erforderlich ist, deren Diskontinuität die Ausführung dieser kritischen Funktionen ernsthaft behindern oder verhindern würde.</w:t>
            </w:r>
          </w:p>
          <w:p w14:paraId="7FE1C5B7" w14:textId="77777777" w:rsidR="00696584" w:rsidRDefault="002C4F63">
            <w:pPr>
              <w:pStyle w:val="P68B1DB1-ListParagraph58"/>
              <w:numPr>
                <w:ilvl w:val="0"/>
                <w:numId w:val="236"/>
              </w:numPr>
              <w:spacing w:line="276" w:lineRule="auto"/>
              <w:contextualSpacing/>
              <w:jc w:val="both"/>
              <w:rPr>
                <w:iCs/>
              </w:rPr>
            </w:pPr>
            <w:r>
              <w:t>Wesentliche Anforderungen: wenn die Dienstleistung mit Kerngeschäftsbereichen verbunden ist, deren Kontinuität für die wirksame Umsetzung der Abwicklungsstrategie und jede sich daraus ergebende Umstrukturierung erforderlich ist.</w:t>
            </w:r>
          </w:p>
          <w:p w14:paraId="7FE1C5B8" w14:textId="475A76CC" w:rsidR="00696584" w:rsidRDefault="002C4F63">
            <w:pPr>
              <w:pStyle w:val="P68B1DB1-ListParagraph58"/>
              <w:numPr>
                <w:ilvl w:val="0"/>
                <w:numId w:val="236"/>
              </w:numPr>
              <w:spacing w:line="276" w:lineRule="auto"/>
              <w:contextualSpacing/>
              <w:jc w:val="both"/>
              <w:rPr>
                <w:iCs/>
              </w:rPr>
            </w:pPr>
            <w:r>
              <w:t>Kritisch und wesentlich</w:t>
            </w:r>
          </w:p>
          <w:p w14:paraId="7FE1C5B9" w14:textId="77777777" w:rsidR="00696584" w:rsidRDefault="00696584">
            <w:pPr>
              <w:spacing w:line="276" w:lineRule="auto"/>
              <w:jc w:val="both"/>
              <w:rPr>
                <w:rFonts w:ascii="Times New Roman" w:hAnsi="Times New Roman"/>
                <w:sz w:val="20"/>
              </w:rPr>
            </w:pPr>
          </w:p>
        </w:tc>
      </w:tr>
      <w:tr w:rsidR="00696584" w14:paraId="7FE1C5C3" w14:textId="77777777">
        <w:trPr>
          <w:trHeight w:val="450"/>
        </w:trPr>
        <w:tc>
          <w:tcPr>
            <w:tcW w:w="1418" w:type="dxa"/>
            <w:shd w:val="clear" w:color="auto" w:fill="FFFFFF" w:themeFill="background1"/>
          </w:tcPr>
          <w:p w14:paraId="7FE1C5BB" w14:textId="77777777" w:rsidR="00696584" w:rsidRDefault="002C4F63">
            <w:pPr>
              <w:pStyle w:val="P68B1DB1-Normal62"/>
              <w:spacing w:before="120" w:after="120" w:line="276" w:lineRule="auto"/>
            </w:pPr>
            <w:r>
              <w:t>0070</w:t>
            </w:r>
          </w:p>
        </w:tc>
        <w:tc>
          <w:tcPr>
            <w:tcW w:w="7791" w:type="dxa"/>
            <w:shd w:val="clear" w:color="auto" w:fill="FFFFFF" w:themeFill="background1"/>
          </w:tcPr>
          <w:p w14:paraId="7FE1C5BC" w14:textId="77777777" w:rsidR="00696584" w:rsidRDefault="002C4F63">
            <w:pPr>
              <w:pStyle w:val="P68B1DB1-Normal64"/>
              <w:spacing w:line="276" w:lineRule="auto"/>
              <w:jc w:val="both"/>
              <w:rPr>
                <w:iCs/>
              </w:rPr>
            </w:pPr>
            <w:r>
              <w:rPr>
                <w:b/>
                <w:szCs w:val="20"/>
              </w:rPr>
              <w:t>Rechts-/Vertragsart</w:t>
            </w:r>
            <w:r>
              <w:t xml:space="preserve"> </w:t>
            </w:r>
          </w:p>
          <w:p w14:paraId="7FE1C5BD" w14:textId="77777777" w:rsidR="00696584" w:rsidRDefault="002C4F63">
            <w:pPr>
              <w:pStyle w:val="P68B1DB1-Normal64"/>
              <w:spacing w:line="276" w:lineRule="auto"/>
              <w:jc w:val="both"/>
              <w:rPr>
                <w:iCs/>
              </w:rPr>
            </w:pPr>
            <w:r>
              <w:t>Einer der folgenden Werte ist anzugeben:</w:t>
            </w:r>
          </w:p>
          <w:p w14:paraId="7FE1C5BE" w14:textId="77777777" w:rsidR="00696584" w:rsidRDefault="002C4F63">
            <w:pPr>
              <w:pStyle w:val="P68B1DB1-Normal66"/>
              <w:numPr>
                <w:ilvl w:val="0"/>
                <w:numId w:val="236"/>
              </w:numPr>
              <w:contextualSpacing/>
              <w:jc w:val="both"/>
            </w:pPr>
            <w:r>
              <w:t>Im Eigentum</w:t>
            </w:r>
          </w:p>
          <w:p w14:paraId="7FE1C5BF" w14:textId="77777777" w:rsidR="00696584" w:rsidRDefault="002C4F63">
            <w:pPr>
              <w:pStyle w:val="P68B1DB1-Normal66"/>
              <w:numPr>
                <w:ilvl w:val="0"/>
                <w:numId w:val="236"/>
              </w:numPr>
              <w:contextualSpacing/>
              <w:jc w:val="both"/>
            </w:pPr>
            <w:r>
              <w:t>Geleast</w:t>
            </w:r>
          </w:p>
          <w:p w14:paraId="7FE1C5C0" w14:textId="77777777" w:rsidR="00696584" w:rsidRDefault="002C4F63">
            <w:pPr>
              <w:pStyle w:val="P68B1DB1-Normal66"/>
              <w:numPr>
                <w:ilvl w:val="0"/>
                <w:numId w:val="236"/>
              </w:numPr>
              <w:contextualSpacing/>
              <w:jc w:val="both"/>
            </w:pPr>
            <w:r>
              <w:t>Zugelassen</w:t>
            </w:r>
          </w:p>
          <w:p w14:paraId="7FE1C5C1" w14:textId="3AFF0D43" w:rsidR="00696584" w:rsidRDefault="002C4F63">
            <w:pPr>
              <w:pStyle w:val="P68B1DB1-Normal66"/>
              <w:numPr>
                <w:ilvl w:val="0"/>
                <w:numId w:val="236"/>
              </w:numPr>
              <w:contextualSpacing/>
              <w:jc w:val="both"/>
            </w:pPr>
            <w:r>
              <w:t>Sonstige Rechts-/Vertragsart</w:t>
            </w:r>
          </w:p>
          <w:p w14:paraId="7FE1C5C2" w14:textId="77777777" w:rsidR="00696584" w:rsidRDefault="00696584">
            <w:pPr>
              <w:spacing w:line="276" w:lineRule="auto"/>
              <w:jc w:val="both"/>
              <w:rPr>
                <w:rFonts w:ascii="Times New Roman" w:hAnsi="Times New Roman"/>
                <w:sz w:val="20"/>
              </w:rPr>
            </w:pPr>
          </w:p>
        </w:tc>
      </w:tr>
      <w:tr w:rsidR="00696584" w14:paraId="7FE1C5C9" w14:textId="77777777">
        <w:trPr>
          <w:trHeight w:val="450"/>
        </w:trPr>
        <w:tc>
          <w:tcPr>
            <w:tcW w:w="1418" w:type="dxa"/>
            <w:shd w:val="clear" w:color="auto" w:fill="FFFFFF" w:themeFill="background1"/>
          </w:tcPr>
          <w:p w14:paraId="7FE1C5C4" w14:textId="77777777" w:rsidR="00696584" w:rsidRDefault="002C4F63">
            <w:pPr>
              <w:pStyle w:val="P68B1DB1-Normal62"/>
              <w:spacing w:before="120" w:after="120" w:line="276" w:lineRule="auto"/>
            </w:pPr>
            <w:r>
              <w:t>0080</w:t>
            </w:r>
          </w:p>
        </w:tc>
        <w:tc>
          <w:tcPr>
            <w:tcW w:w="7791" w:type="dxa"/>
            <w:shd w:val="clear" w:color="auto" w:fill="FFFFFF" w:themeFill="background1"/>
          </w:tcPr>
          <w:p w14:paraId="7FE1C5C5" w14:textId="77777777" w:rsidR="00696584" w:rsidRDefault="002C4F63">
            <w:pPr>
              <w:pStyle w:val="P68B1DB1-Normal61"/>
              <w:spacing w:before="120" w:after="120" w:line="276" w:lineRule="auto"/>
              <w:rPr>
                <w:bCs/>
              </w:rPr>
            </w:pPr>
            <w:r>
              <w:t>Kennung des Vertrags</w:t>
            </w:r>
          </w:p>
          <w:p w14:paraId="7FE1C5C6" w14:textId="77777777" w:rsidR="00696584" w:rsidRDefault="002C4F63">
            <w:pPr>
              <w:pStyle w:val="P68B1DB1-Normal64"/>
              <w:spacing w:line="276" w:lineRule="auto"/>
              <w:jc w:val="both"/>
              <w:rPr>
                <w:i/>
              </w:rPr>
            </w:pPr>
            <w:r>
              <w:t>Eindeutige Kennung des Vertrags, der dem Vermögenswert gemäß der Dienstleistungstaxonomie der Gruppe zugrunde liegt.</w:t>
            </w:r>
          </w:p>
          <w:p w14:paraId="7FE1C5C7" w14:textId="77777777" w:rsidR="00696584" w:rsidRDefault="00696584">
            <w:pPr>
              <w:spacing w:line="276" w:lineRule="auto"/>
              <w:jc w:val="both"/>
              <w:rPr>
                <w:rFonts w:ascii="Times New Roman" w:hAnsi="Times New Roman"/>
                <w:i/>
                <w:sz w:val="20"/>
              </w:rPr>
            </w:pPr>
          </w:p>
          <w:p w14:paraId="7FE1C5C8" w14:textId="77777777" w:rsidR="00696584" w:rsidRDefault="00696584">
            <w:pPr>
              <w:spacing w:line="276" w:lineRule="auto"/>
              <w:jc w:val="both"/>
              <w:rPr>
                <w:rFonts w:ascii="Times New Roman" w:hAnsi="Times New Roman"/>
                <w:iCs/>
                <w:sz w:val="20"/>
              </w:rPr>
            </w:pPr>
          </w:p>
        </w:tc>
      </w:tr>
      <w:tr w:rsidR="00696584" w14:paraId="7FE1C5CE" w14:textId="77777777">
        <w:trPr>
          <w:trHeight w:val="450"/>
        </w:trPr>
        <w:tc>
          <w:tcPr>
            <w:tcW w:w="1418" w:type="dxa"/>
            <w:shd w:val="clear" w:color="auto" w:fill="FFFFFF" w:themeFill="background1"/>
          </w:tcPr>
          <w:p w14:paraId="7FE1C5CA" w14:textId="77777777" w:rsidR="00696584" w:rsidRDefault="002C4F63">
            <w:pPr>
              <w:pStyle w:val="P68B1DB1-Normal62"/>
              <w:spacing w:before="120" w:after="120" w:line="276" w:lineRule="auto"/>
            </w:pPr>
            <w:r>
              <w:t>0090</w:t>
            </w:r>
          </w:p>
        </w:tc>
        <w:tc>
          <w:tcPr>
            <w:tcW w:w="7791" w:type="dxa"/>
            <w:shd w:val="clear" w:color="auto" w:fill="FFFFFF" w:themeFill="background1"/>
          </w:tcPr>
          <w:p w14:paraId="7FE1C5CB" w14:textId="77777777" w:rsidR="00696584" w:rsidRDefault="002C4F63">
            <w:pPr>
              <w:pStyle w:val="P68B1DB1-Normal65"/>
              <w:spacing w:line="276" w:lineRule="auto"/>
              <w:jc w:val="both"/>
            </w:pPr>
            <w:r>
              <w:rPr>
                <w:szCs w:val="20"/>
              </w:rPr>
              <w:t>Anwendbares Recht</w:t>
            </w:r>
            <w:r>
              <w:t xml:space="preserve"> </w:t>
            </w:r>
          </w:p>
          <w:p w14:paraId="7FE1C5CC" w14:textId="77777777" w:rsidR="00696584" w:rsidRDefault="002C4F63">
            <w:pPr>
              <w:pStyle w:val="P68B1DB1-Normal64"/>
              <w:spacing w:line="276" w:lineRule="auto"/>
              <w:jc w:val="both"/>
            </w:pPr>
            <w:r>
              <w:t>ISO-Code des Landes, dessen Recht auf den Vertrag Anwendung findet.</w:t>
            </w:r>
          </w:p>
          <w:p w14:paraId="7FE1C5CD" w14:textId="77777777" w:rsidR="00696584" w:rsidRDefault="00696584">
            <w:pPr>
              <w:spacing w:line="276" w:lineRule="auto"/>
              <w:jc w:val="both"/>
              <w:rPr>
                <w:rFonts w:ascii="Times New Roman" w:hAnsi="Times New Roman"/>
                <w:iCs/>
                <w:sz w:val="20"/>
              </w:rPr>
            </w:pPr>
          </w:p>
        </w:tc>
      </w:tr>
      <w:tr w:rsidR="00696584" w14:paraId="7FE1C5D4" w14:textId="77777777">
        <w:trPr>
          <w:trHeight w:val="463"/>
        </w:trPr>
        <w:tc>
          <w:tcPr>
            <w:tcW w:w="1418" w:type="dxa"/>
            <w:shd w:val="clear" w:color="auto" w:fill="FFFFFF" w:themeFill="background1"/>
          </w:tcPr>
          <w:p w14:paraId="7FE1C5CF" w14:textId="77777777" w:rsidR="00696584" w:rsidRDefault="002C4F63">
            <w:pPr>
              <w:pStyle w:val="P68B1DB1-Normal64"/>
              <w:spacing w:line="276" w:lineRule="auto"/>
              <w:jc w:val="both"/>
            </w:pPr>
            <w:r>
              <w:t>0100-0120</w:t>
            </w:r>
          </w:p>
          <w:p w14:paraId="7FE1C5D0" w14:textId="77777777" w:rsidR="00696584" w:rsidRDefault="00696584">
            <w:pPr>
              <w:spacing w:before="120" w:after="120" w:line="276" w:lineRule="auto"/>
              <w:rPr>
                <w:rFonts w:ascii="Times New Roman" w:hAnsi="Times New Roman"/>
                <w:sz w:val="20"/>
                <w:szCs w:val="20"/>
              </w:rPr>
            </w:pPr>
          </w:p>
        </w:tc>
        <w:tc>
          <w:tcPr>
            <w:tcW w:w="7791" w:type="dxa"/>
            <w:shd w:val="clear" w:color="auto" w:fill="FFFFFF" w:themeFill="background1"/>
          </w:tcPr>
          <w:p w14:paraId="7FE1C5D1" w14:textId="77777777" w:rsidR="00696584" w:rsidRDefault="002C4F63">
            <w:pPr>
              <w:pStyle w:val="P68B1DB1-Normal61"/>
              <w:spacing w:before="120" w:after="120" w:line="276" w:lineRule="auto"/>
              <w:rPr>
                <w:bCs/>
                <w:iCs/>
              </w:rPr>
            </w:pPr>
            <w:r>
              <w:t xml:space="preserve">Widerstandsfähigkeit der Abwicklung </w:t>
            </w:r>
          </w:p>
          <w:p w14:paraId="7FE1C5D2" w14:textId="77777777" w:rsidR="00696584" w:rsidRDefault="002C4F63">
            <w:pPr>
              <w:pStyle w:val="P68B1DB1-NormalWeb59"/>
              <w:spacing w:before="0" w:beforeAutospacing="0" w:after="0" w:afterAutospacing="0"/>
              <w:rPr>
                <w:iCs/>
                <w:szCs w:val="20"/>
              </w:rPr>
            </w:pPr>
            <w:r>
              <w:rPr>
                <w:szCs w:val="20"/>
              </w:rPr>
              <w:t>Die Bewertung, ob der Vertrag zur Unterstützung des in Spalte 0030 angegebenen Vermögenswerts während der Umsetzung der Abwicklungsstrategie, einschließlich des Reorganisationsplans, im Einklang mit den Leitlinien EBA/GL/2022/01 und den einschlägigen nationalen Rechtsvorschriften fortgeführt und übertragen werden könnte</w:t>
            </w:r>
            <w:r>
              <w:t>.</w:t>
            </w:r>
          </w:p>
          <w:p w14:paraId="7FE1C5D3" w14:textId="77777777" w:rsidR="00696584" w:rsidRDefault="00696584">
            <w:pPr>
              <w:pStyle w:val="NormalWeb"/>
              <w:spacing w:before="0" w:beforeAutospacing="0" w:after="0" w:afterAutospacing="0"/>
              <w:rPr>
                <w:sz w:val="20"/>
              </w:rPr>
            </w:pPr>
          </w:p>
        </w:tc>
      </w:tr>
      <w:tr w:rsidR="00696584" w14:paraId="7FE1C5E4" w14:textId="77777777">
        <w:trPr>
          <w:trHeight w:val="463"/>
        </w:trPr>
        <w:tc>
          <w:tcPr>
            <w:tcW w:w="1418" w:type="dxa"/>
            <w:shd w:val="clear" w:color="auto" w:fill="FFFFFF" w:themeFill="background1"/>
          </w:tcPr>
          <w:p w14:paraId="7FE1C5D5" w14:textId="77777777" w:rsidR="00696584" w:rsidRDefault="002C4F63">
            <w:pPr>
              <w:pStyle w:val="P68B1DB1-Normal64"/>
              <w:spacing w:before="120" w:after="120" w:line="276" w:lineRule="auto"/>
              <w:rPr>
                <w:szCs w:val="20"/>
              </w:rPr>
            </w:pPr>
            <w:r>
              <w:t>0100</w:t>
            </w:r>
          </w:p>
        </w:tc>
        <w:tc>
          <w:tcPr>
            <w:tcW w:w="7791" w:type="dxa"/>
            <w:shd w:val="clear" w:color="auto" w:fill="FFFFFF" w:themeFill="background1"/>
          </w:tcPr>
          <w:p w14:paraId="7FE1C5D6" w14:textId="77777777" w:rsidR="00696584" w:rsidRDefault="002C4F63">
            <w:pPr>
              <w:pStyle w:val="P68B1DB1-Normal65"/>
              <w:spacing w:line="276" w:lineRule="auto"/>
              <w:jc w:val="both"/>
              <w:rPr>
                <w:bCs/>
              </w:rPr>
            </w:pPr>
            <w:r>
              <w:rPr>
                <w:szCs w:val="20"/>
              </w:rPr>
              <w:t>Merkmale der Abwicklungsresilienz</w:t>
            </w:r>
            <w:r>
              <w:t xml:space="preserve"> </w:t>
            </w:r>
          </w:p>
          <w:p w14:paraId="7FE1C5D7" w14:textId="77777777" w:rsidR="00696584" w:rsidRDefault="002C4F63">
            <w:pPr>
              <w:pStyle w:val="P68B1DB1-Normal62"/>
              <w:spacing w:line="276" w:lineRule="auto"/>
              <w:jc w:val="both"/>
              <w:rPr>
                <w:iCs/>
              </w:rPr>
            </w:pPr>
            <w:r>
              <w:t>Abwicklungsresiliente Merkmale sind Eigenschaften, die ein relevanter Vertrag haben dürfte, um als abwicklungsresilient zu gelten. Dazu gehören unter der Voraussetzung, dass die wesentlichen Verpflichtungen aus dem Vertrag weiterhin erfüllt werden, Folgendes:</w:t>
            </w:r>
          </w:p>
          <w:p w14:paraId="7FE1C5D8" w14:textId="77777777" w:rsidR="00696584" w:rsidRDefault="002C4F63">
            <w:pPr>
              <w:pStyle w:val="P68B1DB1-ListParagraph60"/>
              <w:numPr>
                <w:ilvl w:val="0"/>
                <w:numId w:val="263"/>
              </w:numPr>
              <w:spacing w:line="276" w:lineRule="auto"/>
              <w:contextualSpacing/>
              <w:jc w:val="both"/>
              <w:rPr>
                <w:iCs/>
              </w:rPr>
            </w:pPr>
            <w:r>
              <w:t xml:space="preserve">keine Kündigung, Aussetzung oder Änderung aufgrund einer Abwicklung (einschließlich einer Reorganisation gemäß Artikel 51 der Richtlinie 2014/59/EU); </w:t>
            </w:r>
          </w:p>
          <w:p w14:paraId="7FE1C5D9" w14:textId="77777777" w:rsidR="00696584" w:rsidRDefault="002C4F63">
            <w:pPr>
              <w:pStyle w:val="P68B1DB1-ListParagraph60"/>
              <w:numPr>
                <w:ilvl w:val="0"/>
                <w:numId w:val="263"/>
              </w:numPr>
              <w:spacing w:line="276" w:lineRule="auto"/>
              <w:contextualSpacing/>
              <w:jc w:val="both"/>
              <w:rPr>
                <w:iCs/>
              </w:rPr>
            </w:pPr>
            <w:r>
              <w:t xml:space="preserve">die Übertragbarkeit der Dienstleistung aufgrund der Abwicklung an einen neuen Empfänger entweder durch den Dienstleistungsempfänger oder die Abwicklungsbehörde (einschließlich einer Reorganisation gemäß Artikel 51 der Richtlinie 2014/59/EU); </w:t>
            </w:r>
          </w:p>
          <w:p w14:paraId="7FE1C5DA" w14:textId="77777777" w:rsidR="00696584" w:rsidRDefault="002C4F63">
            <w:pPr>
              <w:pStyle w:val="P68B1DB1-ListParagraph60"/>
              <w:numPr>
                <w:ilvl w:val="0"/>
                <w:numId w:val="263"/>
              </w:numPr>
              <w:spacing w:line="276" w:lineRule="auto"/>
              <w:contextualSpacing/>
              <w:jc w:val="both"/>
              <w:rPr>
                <w:iCs/>
              </w:rPr>
            </w:pPr>
            <w:r>
              <w:t>die Unterstützung bei einer Übertragung oder Kündigung während der Abwicklung (einschließlich einer Reorganisation gemäß Artikel 51 der Richtlinie 2014/59/EU) für einen angemessenen Zeitraum (wie etwa 24 Monate) durch den aktuellen Dienstleister sowie unter denselben Bedingungen; und</w:t>
            </w:r>
          </w:p>
          <w:p w14:paraId="7FE1C5DB" w14:textId="77777777" w:rsidR="00696584" w:rsidRDefault="002C4F63">
            <w:pPr>
              <w:pStyle w:val="P68B1DB1-ListParagraph60"/>
              <w:numPr>
                <w:ilvl w:val="0"/>
                <w:numId w:val="263"/>
              </w:numPr>
              <w:spacing w:line="276" w:lineRule="auto"/>
              <w:contextualSpacing/>
              <w:jc w:val="both"/>
              <w:rPr>
                <w:iCs/>
              </w:rPr>
            </w:pPr>
            <w:r>
              <w:lastRenderedPageBreak/>
              <w:t>die Fortsetzung der Dienstleistungserbringung für ein veräußertes Unternehmen der Gruppe während der Abwicklung (einschließlich einer Reorganisation gemäß Artikel 51 der Richtlinie 2014/59/EU) für einen angemessenen Zeitraum nach der Veräußerung – wie etwa 24 Monate.</w:t>
            </w:r>
          </w:p>
          <w:p w14:paraId="7FE1C5DC" w14:textId="1BB94258" w:rsidR="00696584" w:rsidRDefault="002C4F63">
            <w:pPr>
              <w:spacing w:line="276" w:lineRule="auto"/>
              <w:jc w:val="both"/>
              <w:rPr>
                <w:rFonts w:ascii="Times New Roman" w:hAnsi="Times New Roman"/>
                <w:iCs/>
                <w:sz w:val="20"/>
                <w:szCs w:val="20"/>
              </w:rPr>
            </w:pPr>
            <w:r>
              <w:rPr>
                <w:rFonts w:ascii="Times New Roman" w:hAnsi="Times New Roman"/>
                <w:sz w:val="20"/>
                <w:szCs w:val="20"/>
              </w:rPr>
              <w:t>Dies gilt für Verträge, für die das Recht und die Gerichtsbarkeit eines EU-Mitgliedstaats maßgebend sind (im Folgenden „</w:t>
            </w:r>
            <w:r w:rsidR="00400683">
              <w:rPr>
                <w:rFonts w:ascii="Times New Roman" w:hAnsi="Times New Roman"/>
                <w:sz w:val="20"/>
                <w:szCs w:val="20"/>
              </w:rPr>
              <w:t>EU-Verträge</w:t>
            </w:r>
            <w:r w:rsidR="00400683">
              <w:rPr>
                <w:rStyle w:val="FootnoteReference"/>
                <w:rFonts w:ascii="Times New Roman" w:hAnsi="Times New Roman"/>
                <w:sz w:val="20"/>
                <w:szCs w:val="20"/>
              </w:rPr>
              <w:t xml:space="preserve"> </w:t>
            </w:r>
            <w:r>
              <w:rPr>
                <w:rStyle w:val="FootnoteReference"/>
                <w:rFonts w:ascii="Times New Roman" w:hAnsi="Times New Roman"/>
                <w:sz w:val="20"/>
                <w:szCs w:val="20"/>
              </w:rPr>
              <w:footnoteReference w:id="28"/>
            </w:r>
            <w:r>
              <w:rPr>
                <w:rFonts w:ascii="Times New Roman" w:hAnsi="Times New Roman"/>
                <w:sz w:val="20"/>
                <w:szCs w:val="20"/>
              </w:rPr>
              <w:t>“), sowie für Verträge, für die das Recht eines Drittstaats gilt.</w:t>
            </w:r>
          </w:p>
          <w:p w14:paraId="7FE1C5DD" w14:textId="77777777" w:rsidR="00696584" w:rsidRDefault="00696584">
            <w:pPr>
              <w:spacing w:line="276" w:lineRule="auto"/>
              <w:jc w:val="both"/>
              <w:rPr>
                <w:rFonts w:ascii="Times New Roman" w:hAnsi="Times New Roman"/>
                <w:sz w:val="20"/>
              </w:rPr>
            </w:pPr>
          </w:p>
          <w:p w14:paraId="7FE1C5DE" w14:textId="77777777" w:rsidR="00696584" w:rsidRDefault="002C4F63">
            <w:pPr>
              <w:pStyle w:val="P68B1DB1-Normal64"/>
              <w:spacing w:line="276" w:lineRule="auto"/>
              <w:jc w:val="both"/>
            </w:pPr>
            <w:r>
              <w:t>Einer der folgenden Werte ist anzugeben:</w:t>
            </w:r>
          </w:p>
          <w:p w14:paraId="7FE1C5DF" w14:textId="77777777" w:rsidR="00696584" w:rsidRDefault="002C4F63">
            <w:pPr>
              <w:pStyle w:val="P68B1DB1-Normal62"/>
              <w:spacing w:line="276" w:lineRule="auto"/>
              <w:jc w:val="both"/>
            </w:pPr>
            <w:r>
              <w:t>Ja, wenn der Vertrag als abwicklungsgeeignet eingestuft wird.</w:t>
            </w:r>
          </w:p>
          <w:p w14:paraId="7FE1C5E0" w14:textId="77777777" w:rsidR="00696584" w:rsidRDefault="002C4F63">
            <w:pPr>
              <w:pStyle w:val="P68B1DB1-Normal62"/>
              <w:spacing w:line="276" w:lineRule="auto"/>
              <w:jc w:val="both"/>
            </w:pPr>
            <w:r>
              <w:t>Nein, wenn der Vertrag als nicht abwicklungsgeeignet eingestuft wird.</w:t>
            </w:r>
          </w:p>
          <w:p w14:paraId="7FE1C5E1" w14:textId="77777777" w:rsidR="00696584" w:rsidRDefault="002C4F63">
            <w:pPr>
              <w:pStyle w:val="P68B1DB1-Normal62"/>
              <w:spacing w:line="276" w:lineRule="auto"/>
              <w:jc w:val="both"/>
            </w:pPr>
            <w:r>
              <w:t>Nicht bewertet, wenn keine Bewertung vorgenommen wurde.</w:t>
            </w:r>
          </w:p>
          <w:p w14:paraId="7FE1C5E2" w14:textId="2D32E7B6" w:rsidR="00696584" w:rsidRDefault="002C4F63">
            <w:pPr>
              <w:pStyle w:val="P68B1DB1-Normal62"/>
              <w:spacing w:line="276" w:lineRule="auto"/>
              <w:jc w:val="both"/>
            </w:pPr>
            <w:r>
              <w:t>„Nicht zutreffend“</w:t>
            </w:r>
            <w:r w:rsidR="00D3698C">
              <w:t xml:space="preserve"> (NA) </w:t>
            </w:r>
            <w:r>
              <w:t>– für unternehmensinterne Dienstleistungen</w:t>
            </w:r>
          </w:p>
          <w:p w14:paraId="7FE1C5E3" w14:textId="77777777" w:rsidR="00696584" w:rsidRDefault="00696584">
            <w:pPr>
              <w:spacing w:line="276" w:lineRule="auto"/>
              <w:jc w:val="both"/>
              <w:rPr>
                <w:rFonts w:ascii="Times New Roman" w:hAnsi="Times New Roman"/>
                <w:sz w:val="20"/>
              </w:rPr>
            </w:pPr>
          </w:p>
        </w:tc>
      </w:tr>
      <w:tr w:rsidR="00696584" w14:paraId="7FE1C5EF" w14:textId="77777777">
        <w:trPr>
          <w:trHeight w:val="463"/>
        </w:trPr>
        <w:tc>
          <w:tcPr>
            <w:tcW w:w="1418" w:type="dxa"/>
            <w:shd w:val="clear" w:color="auto" w:fill="FFFFFF" w:themeFill="background1"/>
          </w:tcPr>
          <w:p w14:paraId="7FE1C5E5" w14:textId="77777777" w:rsidR="00696584" w:rsidRDefault="002C4F63">
            <w:pPr>
              <w:pStyle w:val="P68B1DB1-Normal64"/>
              <w:spacing w:before="120" w:after="120" w:line="276" w:lineRule="auto"/>
              <w:rPr>
                <w:szCs w:val="20"/>
              </w:rPr>
            </w:pPr>
            <w:r>
              <w:lastRenderedPageBreak/>
              <w:t>0110</w:t>
            </w:r>
          </w:p>
        </w:tc>
        <w:tc>
          <w:tcPr>
            <w:tcW w:w="7791" w:type="dxa"/>
            <w:shd w:val="clear" w:color="auto" w:fill="FFFFFF" w:themeFill="background1"/>
          </w:tcPr>
          <w:p w14:paraId="7FE1C5E6" w14:textId="77777777" w:rsidR="00696584" w:rsidRDefault="002C4F63">
            <w:pPr>
              <w:pStyle w:val="P68B1DB1-Normal65"/>
              <w:spacing w:line="276" w:lineRule="auto"/>
              <w:jc w:val="both"/>
              <w:rPr>
                <w:bCs/>
                <w:iCs/>
              </w:rPr>
            </w:pPr>
            <w:r>
              <w:t>Geschäftsreorganisationsplan (BRP)</w:t>
            </w:r>
          </w:p>
          <w:p w14:paraId="7FE1C5E7" w14:textId="77777777" w:rsidR="00696584" w:rsidRDefault="002C4F63">
            <w:pPr>
              <w:pStyle w:val="P68B1DB1-Normal64"/>
              <w:spacing w:line="276" w:lineRule="auto"/>
              <w:jc w:val="both"/>
              <w:rPr>
                <w:iCs/>
              </w:rPr>
            </w:pPr>
            <w:r>
              <w:t>Wenn die Abwicklungsstrategie (entweder bevorzugte Abwicklungsstrategie oder Variante) einen Reorganisationsplan erfordert, wird erwartet, dass EU-Verträge ausdrückliche Klauseln enthalten, um ihre Abwicklungs-/Resilienz bei der Umsetzung von Reorganisationsplänen zu gewährleisten.</w:t>
            </w:r>
          </w:p>
          <w:p w14:paraId="7FE1C5E8" w14:textId="77777777" w:rsidR="00696584" w:rsidRDefault="00696584">
            <w:pPr>
              <w:spacing w:line="276" w:lineRule="auto"/>
              <w:jc w:val="both"/>
              <w:rPr>
                <w:rFonts w:ascii="Times New Roman" w:hAnsi="Times New Roman"/>
                <w:iCs/>
                <w:sz w:val="20"/>
              </w:rPr>
            </w:pPr>
          </w:p>
          <w:p w14:paraId="7FE1C5E9" w14:textId="77777777" w:rsidR="00696584" w:rsidRDefault="002C4F63">
            <w:pPr>
              <w:pStyle w:val="P68B1DB1-Normal64"/>
              <w:spacing w:line="276" w:lineRule="auto"/>
              <w:jc w:val="both"/>
              <w:rPr>
                <w:iCs/>
              </w:rPr>
            </w:pPr>
            <w:r>
              <w:t>Einer der folgenden Werte ist anzugeben:</w:t>
            </w:r>
          </w:p>
          <w:p w14:paraId="7FE1C5EA" w14:textId="77777777" w:rsidR="00696584" w:rsidRDefault="002C4F63">
            <w:pPr>
              <w:pStyle w:val="P68B1DB1-Normal67"/>
              <w:spacing w:line="276" w:lineRule="auto"/>
              <w:jc w:val="both"/>
              <w:rPr>
                <w:iCs/>
                <w:sz w:val="20"/>
              </w:rPr>
            </w:pPr>
            <w:r>
              <w:t>„</w:t>
            </w:r>
            <w:r>
              <w:rPr>
                <w:sz w:val="20"/>
              </w:rPr>
              <w:t>Ja“ – wenn der Vertrag ausdrückliche Klauseln enthält, um ihre Abwicklungs-/Resilienz bei der Umsetzung der BRP sicherzustellen</w:t>
            </w:r>
          </w:p>
          <w:p w14:paraId="7FE1C5EB" w14:textId="77777777" w:rsidR="00696584" w:rsidRDefault="002C4F63">
            <w:pPr>
              <w:pStyle w:val="P68B1DB1-Normal67"/>
              <w:spacing w:line="276" w:lineRule="auto"/>
              <w:jc w:val="both"/>
              <w:rPr>
                <w:iCs/>
                <w:sz w:val="20"/>
              </w:rPr>
            </w:pPr>
            <w:r>
              <w:t>„</w:t>
            </w:r>
            <w:r>
              <w:rPr>
                <w:sz w:val="20"/>
              </w:rPr>
              <w:t>Nein“ – wenn der Vertrag keine ausdrücklichen Klauseln enthält, um ihre Abwicklungs-/Resilienz bei der Umsetzung der BRP sicherzustellen</w:t>
            </w:r>
          </w:p>
          <w:p w14:paraId="7FE1C5EC" w14:textId="77777777" w:rsidR="00696584" w:rsidRDefault="002C4F63">
            <w:pPr>
              <w:pStyle w:val="P68B1DB1-Normal67"/>
              <w:spacing w:line="276" w:lineRule="auto"/>
              <w:jc w:val="both"/>
              <w:rPr>
                <w:iCs/>
                <w:sz w:val="20"/>
              </w:rPr>
            </w:pPr>
            <w:r>
              <w:rPr>
                <w:sz w:val="20"/>
              </w:rPr>
              <w:t>Nicht bewertet, wenn keine Bewertung vorgenommen wurde.</w:t>
            </w:r>
          </w:p>
          <w:p w14:paraId="7FE1C5ED" w14:textId="14EFFE5F" w:rsidR="00696584" w:rsidRDefault="002C4F63">
            <w:pPr>
              <w:pStyle w:val="P68B1DB1-Normal67"/>
              <w:spacing w:line="276" w:lineRule="auto"/>
              <w:jc w:val="both"/>
              <w:rPr>
                <w:iCs/>
                <w:sz w:val="20"/>
              </w:rPr>
            </w:pPr>
            <w:r>
              <w:t>„</w:t>
            </w:r>
            <w:r>
              <w:rPr>
                <w:sz w:val="20"/>
              </w:rPr>
              <w:t xml:space="preserve">Nicht zutreffend“ </w:t>
            </w:r>
            <w:r w:rsidR="00D3698C">
              <w:rPr>
                <w:sz w:val="20"/>
              </w:rPr>
              <w:t>(N</w:t>
            </w:r>
            <w:r w:rsidR="00400683">
              <w:rPr>
                <w:sz w:val="20"/>
              </w:rPr>
              <w:t>A</w:t>
            </w:r>
            <w:r w:rsidR="00D3698C">
              <w:rPr>
                <w:sz w:val="20"/>
              </w:rPr>
              <w:t xml:space="preserve">) </w:t>
            </w:r>
            <w:r>
              <w:rPr>
                <w:sz w:val="20"/>
              </w:rPr>
              <w:t xml:space="preserve">– für unternehmensinterne Dienstleistungen oder für gruppeninterne und externe Dienstleistungen, wenn die Abwicklungsstrategie (bevorzugte Abwicklungsstrategie und Variante) keinen Reorganisationsplan erfordert </w:t>
            </w:r>
          </w:p>
          <w:p w14:paraId="7FE1C5EE" w14:textId="77777777" w:rsidR="00696584" w:rsidRDefault="00696584">
            <w:pPr>
              <w:spacing w:line="276" w:lineRule="auto"/>
              <w:jc w:val="both"/>
              <w:rPr>
                <w:rFonts w:ascii="Times New Roman" w:hAnsi="Times New Roman"/>
                <w:i/>
                <w:sz w:val="20"/>
              </w:rPr>
            </w:pPr>
          </w:p>
        </w:tc>
      </w:tr>
      <w:tr w:rsidR="00696584" w14:paraId="7FE1C5F9" w14:textId="77777777">
        <w:trPr>
          <w:trHeight w:val="463"/>
        </w:trPr>
        <w:tc>
          <w:tcPr>
            <w:tcW w:w="1418" w:type="dxa"/>
            <w:shd w:val="clear" w:color="auto" w:fill="FFFFFF" w:themeFill="background1"/>
          </w:tcPr>
          <w:p w14:paraId="7FE1C5F0" w14:textId="77777777" w:rsidR="00696584" w:rsidRDefault="002C4F63">
            <w:pPr>
              <w:pStyle w:val="P68B1DB1-Normal64"/>
              <w:spacing w:before="120" w:after="120" w:line="276" w:lineRule="auto"/>
              <w:rPr>
                <w:szCs w:val="20"/>
              </w:rPr>
            </w:pPr>
            <w:r>
              <w:t>0120</w:t>
            </w:r>
          </w:p>
        </w:tc>
        <w:tc>
          <w:tcPr>
            <w:tcW w:w="7791" w:type="dxa"/>
            <w:shd w:val="clear" w:color="auto" w:fill="FFFFFF" w:themeFill="background1"/>
          </w:tcPr>
          <w:p w14:paraId="7FE1C5F1" w14:textId="77777777" w:rsidR="00696584" w:rsidRDefault="002C4F63">
            <w:pPr>
              <w:pStyle w:val="P68B1DB1-Normal64"/>
              <w:spacing w:line="276" w:lineRule="auto"/>
              <w:jc w:val="both"/>
            </w:pPr>
            <w:r>
              <w:rPr>
                <w:b/>
              </w:rPr>
              <w:t>Alternative Abhilfemaßnahmen</w:t>
            </w:r>
            <w:r>
              <w:t xml:space="preserve"> </w:t>
            </w:r>
          </w:p>
          <w:p w14:paraId="7FE1C5F2" w14:textId="77777777" w:rsidR="00696584" w:rsidRDefault="002C4F63">
            <w:pPr>
              <w:pStyle w:val="P68B1DB1-Normal64"/>
              <w:spacing w:line="276" w:lineRule="auto"/>
              <w:jc w:val="both"/>
            </w:pPr>
            <w:r>
              <w:t xml:space="preserve">Wenn erwartet wird, dass die Abwicklungsresilienz erreicht wird, die Banken jedoch nicht in der Lage waren, dies zu tun, wird von den Banken erwartet, dass sie alternative Abhilfemaßnahmen prüfen. </w:t>
            </w:r>
          </w:p>
          <w:p w14:paraId="7FE1C5F3" w14:textId="77777777" w:rsidR="00696584" w:rsidRDefault="00696584">
            <w:pPr>
              <w:spacing w:line="276" w:lineRule="auto"/>
              <w:jc w:val="both"/>
              <w:rPr>
                <w:rFonts w:ascii="Times New Roman" w:hAnsi="Times New Roman"/>
                <w:sz w:val="20"/>
              </w:rPr>
            </w:pPr>
          </w:p>
          <w:p w14:paraId="7FE1C5F4" w14:textId="77777777" w:rsidR="00696584" w:rsidRDefault="002C4F63">
            <w:pPr>
              <w:pStyle w:val="P68B1DB1-Normal64"/>
              <w:spacing w:line="276" w:lineRule="auto"/>
              <w:jc w:val="both"/>
              <w:rPr>
                <w:iCs/>
              </w:rPr>
            </w:pPr>
            <w:r>
              <w:t>Einer der folgenden Werte ist anzugeben:</w:t>
            </w:r>
          </w:p>
          <w:p w14:paraId="7FE1C5F5" w14:textId="77777777" w:rsidR="00696584" w:rsidRDefault="002C4F63">
            <w:pPr>
              <w:pStyle w:val="P68B1DB1-Normal67"/>
              <w:spacing w:line="276" w:lineRule="auto"/>
              <w:jc w:val="both"/>
              <w:rPr>
                <w:iCs/>
                <w:sz w:val="20"/>
              </w:rPr>
            </w:pPr>
            <w:r>
              <w:t>„</w:t>
            </w:r>
            <w:r>
              <w:rPr>
                <w:sz w:val="20"/>
              </w:rPr>
              <w:t>Ja“ – wenn die Bank alternative Abhilfemaßnahmen ergriffen hat</w:t>
            </w:r>
          </w:p>
          <w:p w14:paraId="7FE1C5F6" w14:textId="77777777" w:rsidR="00696584" w:rsidRDefault="002C4F63">
            <w:pPr>
              <w:pStyle w:val="P68B1DB1-Normal67"/>
              <w:spacing w:line="276" w:lineRule="auto"/>
              <w:jc w:val="both"/>
              <w:rPr>
                <w:iCs/>
                <w:sz w:val="20"/>
              </w:rPr>
            </w:pPr>
            <w:r>
              <w:t>„</w:t>
            </w:r>
            <w:r>
              <w:rPr>
                <w:sz w:val="20"/>
              </w:rPr>
              <w:t>Nein“ – wenn die Bank keine alternativen Abhilfemaßnahmen ergriffen hat</w:t>
            </w:r>
          </w:p>
          <w:p w14:paraId="7FE1C5F7" w14:textId="55FE4067" w:rsidR="00696584" w:rsidRDefault="002C4F63">
            <w:pPr>
              <w:pStyle w:val="P68B1DB1-Normal67"/>
              <w:spacing w:line="276" w:lineRule="auto"/>
              <w:jc w:val="both"/>
              <w:rPr>
                <w:iCs/>
                <w:sz w:val="20"/>
              </w:rPr>
            </w:pPr>
            <w:r>
              <w:t>„</w:t>
            </w:r>
            <w:r>
              <w:rPr>
                <w:sz w:val="20"/>
              </w:rPr>
              <w:t>Nicht zutreffend“ – in Fällen, in denen eine der Spalten 0150 und 0160 mit „Ja“ oder „</w:t>
            </w:r>
            <w:r w:rsidR="00D3698C">
              <w:rPr>
                <w:sz w:val="20"/>
              </w:rPr>
              <w:t>NA</w:t>
            </w:r>
            <w:r>
              <w:rPr>
                <w:sz w:val="20"/>
              </w:rPr>
              <w:t>“ gekennzeichnet</w:t>
            </w:r>
            <w:r>
              <w:t xml:space="preserve"> ist</w:t>
            </w:r>
          </w:p>
          <w:p w14:paraId="7FE1C5F8" w14:textId="77777777" w:rsidR="00696584" w:rsidRDefault="00696584">
            <w:pPr>
              <w:spacing w:line="276" w:lineRule="auto"/>
              <w:jc w:val="both"/>
              <w:rPr>
                <w:rFonts w:ascii="Times New Roman" w:hAnsi="Times New Roman"/>
                <w:sz w:val="20"/>
              </w:rPr>
            </w:pPr>
          </w:p>
        </w:tc>
      </w:tr>
    </w:tbl>
    <w:p w14:paraId="7FE1C5FA" w14:textId="77777777" w:rsidR="00696584" w:rsidRDefault="00696584">
      <w:pPr>
        <w:rPr>
          <w:rFonts w:ascii="Times New Roman" w:eastAsia="Times New Roman" w:hAnsi="Times New Roman" w:cs="Times New Roman"/>
          <w:sz w:val="20"/>
          <w:szCs w:val="20"/>
          <w:u w:val="single"/>
        </w:rPr>
      </w:pPr>
    </w:p>
    <w:p w14:paraId="7FE1C5FB" w14:textId="77777777" w:rsidR="00696584" w:rsidRDefault="00696584">
      <w:pPr>
        <w:rPr>
          <w:rFonts w:ascii="Times New Roman" w:hAnsi="Times New Roman" w:cs="Times New Roman"/>
        </w:rPr>
      </w:pPr>
    </w:p>
    <w:p w14:paraId="7FE1C5FC" w14:textId="77777777" w:rsidR="00696584" w:rsidRDefault="002C4F63">
      <w:pPr>
        <w:pStyle w:val="P68B1DB1-Instructionsberschrift25"/>
        <w:numPr>
          <w:ilvl w:val="1"/>
          <w:numId w:val="49"/>
        </w:numPr>
        <w:ind w:left="357" w:hanging="357"/>
        <w:rPr>
          <w:rFonts w:eastAsia="Calibri"/>
          <w:szCs w:val="20"/>
        </w:rPr>
      </w:pPr>
      <w:bookmarkStart w:id="129" w:name="_Toc209533604"/>
      <w:r>
        <w:lastRenderedPageBreak/>
        <w:t>Z 08.03 – Relevante Dienste – Zuordnung zu Rollen (SERV 3)</w:t>
      </w:r>
      <w:bookmarkEnd w:id="129"/>
    </w:p>
    <w:p w14:paraId="7FE1C5FD" w14:textId="77777777" w:rsidR="00696584" w:rsidRDefault="002C4F63">
      <w:pPr>
        <w:pStyle w:val="P68B1DB1-Normal50"/>
        <w:spacing w:line="276" w:lineRule="auto"/>
        <w:jc w:val="both"/>
      </w:pPr>
      <w:r>
        <w:t>Allgemeine Hinweise</w:t>
      </w:r>
    </w:p>
    <w:p w14:paraId="7FE1C5FE" w14:textId="3F9E3971" w:rsidR="00696584" w:rsidRDefault="002C4F63">
      <w:pPr>
        <w:pStyle w:val="P68B1DB1-Instructionsberschrift346"/>
        <w:numPr>
          <w:ilvl w:val="2"/>
          <w:numId w:val="211"/>
        </w:numPr>
        <w:ind w:left="993"/>
        <w:contextualSpacing/>
        <w:jc w:val="both"/>
      </w:pPr>
      <w:r>
        <w:rPr>
          <w:color w:val="auto"/>
          <w:szCs w:val="24"/>
        </w:rPr>
        <w:t>Die in diesem Meldebogen vorgesehenen Angaben sind einmal für die gesamte Gruppe zu machen.</w:t>
      </w:r>
      <w:r w:rsidR="007E4726">
        <w:rPr>
          <w:color w:val="auto"/>
          <w:szCs w:val="24"/>
        </w:rPr>
        <w:t xml:space="preserve"> </w:t>
      </w:r>
      <w:r>
        <w:rPr>
          <w:color w:val="auto"/>
          <w:szCs w:val="24"/>
        </w:rPr>
        <w:t>Hier werden die relevanten Dienstleistungen aufgelistet, die jedes Unternehmen in der Gruppe in Anspruch nimmt, und mit den von der Gruppe wahrgenommenen relevanten Rollen verknüpft</w:t>
      </w:r>
      <w:r>
        <w:t>.</w:t>
      </w:r>
    </w:p>
    <w:p w14:paraId="7FE1C5FF" w14:textId="77777777" w:rsidR="00696584" w:rsidRDefault="002C4F63">
      <w:pPr>
        <w:pStyle w:val="P68B1DB1-Instructionsberschrift368"/>
        <w:numPr>
          <w:ilvl w:val="2"/>
          <w:numId w:val="211"/>
        </w:numPr>
        <w:ind w:left="993"/>
        <w:contextualSpacing/>
        <w:jc w:val="both"/>
      </w:pPr>
      <w:r>
        <w:t>Die Werte der Spalten 0010, 0020 und 0030 dieses Meldebogens bilden einen Primärschlüssel, der jeweils eine spezifische Zeile des Meldebogens bezeichnet.</w:t>
      </w:r>
    </w:p>
    <w:p w14:paraId="7FE1C604" w14:textId="77777777" w:rsidR="00696584" w:rsidRDefault="00696584">
      <w:pPr>
        <w:spacing w:line="276" w:lineRule="auto"/>
        <w:jc w:val="both"/>
        <w:rPr>
          <w:rFonts w:ascii="Times New Roman" w:eastAsia="Calibri" w:hAnsi="Times New Roman" w:cs="Times New Roman"/>
          <w:color w:val="0070C0"/>
          <w:sz w:val="20"/>
        </w:rPr>
      </w:pPr>
    </w:p>
    <w:tbl>
      <w:tblPr>
        <w:tblStyle w:val="TableGrid1"/>
        <w:tblW w:w="9067" w:type="dxa"/>
        <w:tblLook w:val="04A0" w:firstRow="1" w:lastRow="0" w:firstColumn="1" w:lastColumn="0" w:noHBand="0" w:noVBand="1"/>
      </w:tblPr>
      <w:tblGrid>
        <w:gridCol w:w="1418"/>
        <w:gridCol w:w="7649"/>
      </w:tblGrid>
      <w:tr w:rsidR="00696584" w14:paraId="7FE1C607" w14:textId="77777777">
        <w:trPr>
          <w:trHeight w:val="519"/>
          <w:tblHeader/>
        </w:trPr>
        <w:tc>
          <w:tcPr>
            <w:tcW w:w="1418" w:type="dxa"/>
            <w:shd w:val="clear" w:color="auto" w:fill="D9D9D9" w:themeFill="background1" w:themeFillShade="D9"/>
          </w:tcPr>
          <w:p w14:paraId="7FE1C605" w14:textId="77777777" w:rsidR="00696584" w:rsidRDefault="002C4F63">
            <w:pPr>
              <w:pStyle w:val="P68B1DB1-Normal61"/>
              <w:spacing w:before="120" w:after="120" w:line="276" w:lineRule="auto"/>
            </w:pPr>
            <w:r>
              <w:t>Spalten</w:t>
            </w:r>
          </w:p>
        </w:tc>
        <w:tc>
          <w:tcPr>
            <w:tcW w:w="7649" w:type="dxa"/>
            <w:shd w:val="clear" w:color="auto" w:fill="D9D9D9" w:themeFill="background1" w:themeFillShade="D9"/>
          </w:tcPr>
          <w:p w14:paraId="7FE1C606" w14:textId="77777777" w:rsidR="00696584" w:rsidRDefault="002C4F63">
            <w:pPr>
              <w:pStyle w:val="P68B1DB1-Normal61"/>
              <w:spacing w:before="120" w:after="120" w:line="276" w:lineRule="auto"/>
            </w:pPr>
            <w:r>
              <w:t>Erläuterungen</w:t>
            </w:r>
          </w:p>
        </w:tc>
      </w:tr>
      <w:tr w:rsidR="00696584" w14:paraId="7FE1C60C" w14:textId="77777777">
        <w:trPr>
          <w:trHeight w:val="450"/>
        </w:trPr>
        <w:tc>
          <w:tcPr>
            <w:tcW w:w="1418" w:type="dxa"/>
          </w:tcPr>
          <w:p w14:paraId="7FE1C608" w14:textId="77777777" w:rsidR="00696584" w:rsidRDefault="002C4F63">
            <w:pPr>
              <w:pStyle w:val="P68B1DB1-Normal62"/>
              <w:spacing w:before="120" w:after="120" w:line="276" w:lineRule="auto"/>
            </w:pPr>
            <w:r>
              <w:t>0005</w:t>
            </w:r>
          </w:p>
        </w:tc>
        <w:tc>
          <w:tcPr>
            <w:tcW w:w="7649" w:type="dxa"/>
          </w:tcPr>
          <w:p w14:paraId="278A1B3C" w14:textId="77777777" w:rsidR="00194B9D" w:rsidRDefault="00194B9D" w:rsidP="00194B9D">
            <w:pPr>
              <w:pStyle w:val="P68B1DB1-Normal49"/>
              <w:spacing w:before="120" w:after="120" w:line="276" w:lineRule="auto"/>
              <w:rPr>
                <w:bCs/>
              </w:rPr>
            </w:pPr>
            <w:r>
              <w:t>Identifikator der Dienstleistung</w:t>
            </w:r>
          </w:p>
          <w:p w14:paraId="7FE1C60A" w14:textId="77777777" w:rsidR="00696584" w:rsidRDefault="002C4F63">
            <w:pPr>
              <w:pStyle w:val="P68B1DB1-Normal62"/>
              <w:spacing w:before="120" w:after="120" w:line="276" w:lineRule="auto"/>
            </w:pPr>
            <w:r>
              <w:t>Verwenden Sie die in Z 08.01 (SERV 1) gemeldete Service-Kennung.</w:t>
            </w:r>
          </w:p>
          <w:p w14:paraId="7FE1C60B" w14:textId="77777777" w:rsidR="00696584" w:rsidRDefault="002C4F63">
            <w:pPr>
              <w:pStyle w:val="P68B1DB1-Normal62"/>
              <w:spacing w:before="120" w:after="120" w:line="276" w:lineRule="auto"/>
              <w:rPr>
                <w:iCs/>
              </w:rPr>
            </w:pPr>
            <w:r>
              <w:t>Die Dienstkennung bezieht sich auf den unter c0020 gemeldeten Dienst.</w:t>
            </w:r>
          </w:p>
        </w:tc>
      </w:tr>
      <w:tr w:rsidR="00696584" w14:paraId="7FE1C650" w14:textId="77777777">
        <w:trPr>
          <w:trHeight w:val="450"/>
        </w:trPr>
        <w:tc>
          <w:tcPr>
            <w:tcW w:w="1418" w:type="dxa"/>
          </w:tcPr>
          <w:p w14:paraId="7FE1C60D" w14:textId="77777777" w:rsidR="00696584" w:rsidRDefault="002C4F63">
            <w:pPr>
              <w:pStyle w:val="P68B1DB1-Normal62"/>
              <w:spacing w:before="120" w:after="120" w:line="276" w:lineRule="auto"/>
            </w:pPr>
            <w:r>
              <w:t>0010</w:t>
            </w:r>
          </w:p>
        </w:tc>
        <w:tc>
          <w:tcPr>
            <w:tcW w:w="7649" w:type="dxa"/>
          </w:tcPr>
          <w:p w14:paraId="7FE1C60E" w14:textId="44487DBA" w:rsidR="00696584" w:rsidRDefault="002C4F63">
            <w:pPr>
              <w:pStyle w:val="P68B1DB1-Normal61"/>
              <w:autoSpaceDE w:val="0"/>
              <w:autoSpaceDN w:val="0"/>
              <w:adjustRightInd w:val="0"/>
              <w:rPr>
                <w:rFonts w:eastAsia="MS Mincho"/>
                <w:bCs/>
              </w:rPr>
            </w:pPr>
            <w:r>
              <w:t xml:space="preserve">Art </w:t>
            </w:r>
            <w:r w:rsidR="00194B9D">
              <w:t xml:space="preserve">der Dienstleistung </w:t>
            </w:r>
          </w:p>
          <w:p w14:paraId="7FE1C645" w14:textId="21F3184E" w:rsidR="00696584" w:rsidRDefault="002C4F63">
            <w:pPr>
              <w:pStyle w:val="P68B1DB1-Normal63"/>
              <w:autoSpaceDE w:val="0"/>
              <w:autoSpaceDN w:val="0"/>
              <w:adjustRightInd w:val="0"/>
            </w:pPr>
            <w:r>
              <w:t xml:space="preserve">Für die Art der Dienstleistung ist eine der unter Z 08.01 0010 oben angegebenen Arten auszuwählen. </w:t>
            </w:r>
          </w:p>
          <w:p w14:paraId="7FE1C64F" w14:textId="2C039B1C" w:rsidR="00696584" w:rsidRDefault="00696584">
            <w:pPr>
              <w:spacing w:before="120" w:after="120" w:line="276" w:lineRule="auto"/>
              <w:rPr>
                <w:rFonts w:ascii="Times New Roman" w:hAnsi="Times New Roman"/>
                <w:sz w:val="20"/>
                <w:szCs w:val="20"/>
              </w:rPr>
            </w:pPr>
          </w:p>
        </w:tc>
      </w:tr>
      <w:tr w:rsidR="00696584" w14:paraId="7FE1C655" w14:textId="77777777">
        <w:trPr>
          <w:trHeight w:val="450"/>
        </w:trPr>
        <w:tc>
          <w:tcPr>
            <w:tcW w:w="1418" w:type="dxa"/>
          </w:tcPr>
          <w:p w14:paraId="7FE1C651" w14:textId="77777777" w:rsidR="00696584" w:rsidRDefault="002C4F63">
            <w:pPr>
              <w:pStyle w:val="P68B1DB1-Normal62"/>
              <w:spacing w:before="120" w:after="120" w:line="276" w:lineRule="auto"/>
            </w:pPr>
            <w:r>
              <w:t>0020</w:t>
            </w:r>
          </w:p>
        </w:tc>
        <w:tc>
          <w:tcPr>
            <w:tcW w:w="7649" w:type="dxa"/>
          </w:tcPr>
          <w:p w14:paraId="7FE1C652" w14:textId="67D61038" w:rsidR="00696584" w:rsidRDefault="002C4F63">
            <w:pPr>
              <w:pStyle w:val="P68B1DB1-Normal65"/>
              <w:spacing w:line="276" w:lineRule="auto"/>
              <w:jc w:val="both"/>
            </w:pPr>
            <w:r>
              <w:rPr>
                <w:szCs w:val="20"/>
              </w:rPr>
              <w:t>Eindeutige</w:t>
            </w:r>
            <w:r w:rsidR="00194B9D">
              <w:rPr>
                <w:szCs w:val="20"/>
              </w:rPr>
              <w:t xml:space="preserve"> Bezeichnung der Dienstleistung</w:t>
            </w:r>
            <w:r>
              <w:rPr>
                <w:szCs w:val="20"/>
              </w:rPr>
              <w:t xml:space="preserve"> gemäß Banktaxonomie</w:t>
            </w:r>
            <w:r>
              <w:t xml:space="preserve"> </w:t>
            </w:r>
          </w:p>
          <w:p w14:paraId="7FE1C653" w14:textId="1A39336D" w:rsidR="00696584" w:rsidRDefault="002C4F63">
            <w:pPr>
              <w:pStyle w:val="P68B1DB1-Normal64"/>
              <w:rPr>
                <w:rFonts w:eastAsiaTheme="minorHAnsi"/>
                <w:sz w:val="24"/>
              </w:rPr>
            </w:pPr>
            <w:r>
              <w:t xml:space="preserve">Bezeichnung/Kurzbeschreibung des Dienstes gemäß der Taxonomie der Bank (Stufe 3) gemäß Z 08.01 (SERV 1) Spalte 0020. Von der Bank wird erwartet, dass sie die Dienstleistungen auf einer detaillierteren Ebene meldet als die </w:t>
            </w:r>
            <w:r w:rsidR="003139A0">
              <w:t xml:space="preserve">Meldung </w:t>
            </w:r>
            <w:r>
              <w:t>für Stufe 2 (c0010), sodass jede einzelne Dienstleistung präzise und zielgerichtet definiert wird.</w:t>
            </w:r>
          </w:p>
          <w:p w14:paraId="7FE1C654" w14:textId="77777777" w:rsidR="00696584" w:rsidRDefault="00696584">
            <w:pPr>
              <w:spacing w:before="120" w:after="120" w:line="276" w:lineRule="auto"/>
              <w:rPr>
                <w:rFonts w:ascii="Times New Roman" w:hAnsi="Times New Roman"/>
                <w:sz w:val="20"/>
                <w:szCs w:val="20"/>
              </w:rPr>
            </w:pPr>
          </w:p>
        </w:tc>
      </w:tr>
      <w:tr w:rsidR="00696584" w14:paraId="7FE1C65A" w14:textId="77777777">
        <w:trPr>
          <w:trHeight w:val="450"/>
        </w:trPr>
        <w:tc>
          <w:tcPr>
            <w:tcW w:w="1418" w:type="dxa"/>
          </w:tcPr>
          <w:p w14:paraId="7FE1C656" w14:textId="77777777" w:rsidR="00696584" w:rsidRDefault="002C4F63">
            <w:pPr>
              <w:pStyle w:val="P68B1DB1-Normal62"/>
              <w:spacing w:before="120" w:after="120" w:line="276" w:lineRule="auto"/>
              <w:rPr>
                <w:b/>
              </w:rPr>
            </w:pPr>
            <w:r>
              <w:t>0030</w:t>
            </w:r>
          </w:p>
        </w:tc>
        <w:tc>
          <w:tcPr>
            <w:tcW w:w="7649" w:type="dxa"/>
          </w:tcPr>
          <w:p w14:paraId="7FE1C657" w14:textId="77777777" w:rsidR="00696584" w:rsidRDefault="002C4F63">
            <w:pPr>
              <w:pStyle w:val="P68B1DB1-Normal65"/>
              <w:spacing w:before="120" w:after="120" w:line="276" w:lineRule="auto"/>
              <w:rPr>
                <w:bCs/>
              </w:rPr>
            </w:pPr>
            <w:r>
              <w:rPr>
                <w:szCs w:val="20"/>
              </w:rPr>
              <w:t>Funktionskennung</w:t>
            </w:r>
            <w:r>
              <w:t xml:space="preserve"> </w:t>
            </w:r>
          </w:p>
          <w:p w14:paraId="7FE1C658" w14:textId="77777777" w:rsidR="00696584" w:rsidRDefault="002C4F63">
            <w:pPr>
              <w:pStyle w:val="P68B1DB1-Normal64"/>
              <w:spacing w:before="120" w:after="120" w:line="276" w:lineRule="auto"/>
            </w:pPr>
            <w:r>
              <w:t>Die Rollenkennung bezieht sich auf die unter c0040 gemeldete Rolle.</w:t>
            </w:r>
          </w:p>
          <w:p w14:paraId="7FE1C659" w14:textId="77777777" w:rsidR="00696584" w:rsidRDefault="00696584">
            <w:pPr>
              <w:spacing w:before="120" w:after="120" w:line="276" w:lineRule="auto"/>
              <w:rPr>
                <w:rFonts w:ascii="Times New Roman" w:hAnsi="Times New Roman"/>
                <w:sz w:val="20"/>
                <w:szCs w:val="20"/>
              </w:rPr>
            </w:pPr>
          </w:p>
        </w:tc>
      </w:tr>
      <w:tr w:rsidR="00696584" w14:paraId="7FE1C65F" w14:textId="77777777">
        <w:trPr>
          <w:trHeight w:val="450"/>
        </w:trPr>
        <w:tc>
          <w:tcPr>
            <w:tcW w:w="1418" w:type="dxa"/>
          </w:tcPr>
          <w:p w14:paraId="7FE1C65B" w14:textId="77777777" w:rsidR="00696584" w:rsidRDefault="002C4F63">
            <w:pPr>
              <w:pStyle w:val="P68B1DB1-Normal62"/>
              <w:spacing w:before="120" w:after="120" w:line="276" w:lineRule="auto"/>
            </w:pPr>
            <w:r>
              <w:t>0040</w:t>
            </w:r>
          </w:p>
        </w:tc>
        <w:tc>
          <w:tcPr>
            <w:tcW w:w="7649" w:type="dxa"/>
          </w:tcPr>
          <w:p w14:paraId="7FE1C65C" w14:textId="77777777" w:rsidR="00696584" w:rsidRDefault="002C4F63">
            <w:pPr>
              <w:pStyle w:val="P68B1DB1-Normal61"/>
              <w:spacing w:before="120" w:after="120" w:line="276" w:lineRule="auto"/>
              <w:rPr>
                <w:bCs/>
              </w:rPr>
            </w:pPr>
            <w:r>
              <w:t>Bezeichnung der Rolle</w:t>
            </w:r>
          </w:p>
          <w:p w14:paraId="7FE1C65D" w14:textId="77777777" w:rsidR="00696584" w:rsidRDefault="002C4F63">
            <w:pPr>
              <w:pStyle w:val="P68B1DB1-Normal64"/>
              <w:spacing w:line="276" w:lineRule="auto"/>
              <w:jc w:val="both"/>
            </w:pPr>
            <w:r>
              <w:t>Der interne Name, der für die jeweilige Funktion verwendet wird.</w:t>
            </w:r>
          </w:p>
          <w:p w14:paraId="7FE1C65E" w14:textId="77777777" w:rsidR="00696584" w:rsidRDefault="00696584">
            <w:pPr>
              <w:spacing w:before="120" w:after="120" w:line="276" w:lineRule="auto"/>
              <w:rPr>
                <w:rFonts w:ascii="Times New Roman" w:hAnsi="Times New Roman"/>
                <w:sz w:val="20"/>
                <w:szCs w:val="20"/>
              </w:rPr>
            </w:pPr>
          </w:p>
        </w:tc>
      </w:tr>
      <w:tr w:rsidR="00696584" w14:paraId="7FE1C664" w14:textId="77777777">
        <w:trPr>
          <w:trHeight w:val="450"/>
        </w:trPr>
        <w:tc>
          <w:tcPr>
            <w:tcW w:w="1418" w:type="dxa"/>
          </w:tcPr>
          <w:p w14:paraId="7FE1C660" w14:textId="77777777" w:rsidR="00696584" w:rsidRDefault="002C4F63">
            <w:pPr>
              <w:pStyle w:val="P68B1DB1-Normal62"/>
              <w:spacing w:before="120" w:after="120" w:line="276" w:lineRule="auto"/>
            </w:pPr>
            <w:r>
              <w:t>0050</w:t>
            </w:r>
          </w:p>
        </w:tc>
        <w:tc>
          <w:tcPr>
            <w:tcW w:w="7649" w:type="dxa"/>
          </w:tcPr>
          <w:p w14:paraId="7FE1C661" w14:textId="77777777" w:rsidR="00696584" w:rsidRDefault="002C4F63">
            <w:pPr>
              <w:pStyle w:val="P68B1DB1-Normal61"/>
              <w:spacing w:before="120" w:after="120" w:line="276" w:lineRule="auto"/>
              <w:rPr>
                <w:bCs/>
              </w:rPr>
            </w:pPr>
            <w:r>
              <w:t>Abteilung</w:t>
            </w:r>
          </w:p>
          <w:p w14:paraId="7FE1C662" w14:textId="77777777" w:rsidR="00696584" w:rsidRDefault="002C4F63">
            <w:pPr>
              <w:pStyle w:val="P68B1DB1-Normal64"/>
              <w:spacing w:line="276" w:lineRule="auto"/>
              <w:jc w:val="both"/>
            </w:pPr>
            <w:r>
              <w:t>Der interne Name der Abteilung, in der der unter c0040 genannte Funktionsname gehört.</w:t>
            </w:r>
          </w:p>
          <w:p w14:paraId="7FE1C663" w14:textId="77777777" w:rsidR="00696584" w:rsidRDefault="00696584">
            <w:pPr>
              <w:spacing w:line="276" w:lineRule="auto"/>
              <w:jc w:val="both"/>
              <w:rPr>
                <w:rFonts w:ascii="Times New Roman" w:hAnsi="Times New Roman"/>
                <w:iCs/>
                <w:sz w:val="20"/>
              </w:rPr>
            </w:pPr>
          </w:p>
        </w:tc>
      </w:tr>
      <w:tr w:rsidR="00696584" w14:paraId="7FE1C66C" w14:textId="77777777">
        <w:trPr>
          <w:trHeight w:val="450"/>
        </w:trPr>
        <w:tc>
          <w:tcPr>
            <w:tcW w:w="1418" w:type="dxa"/>
          </w:tcPr>
          <w:p w14:paraId="7FE1C665" w14:textId="77777777" w:rsidR="00696584" w:rsidRDefault="002C4F63">
            <w:pPr>
              <w:pStyle w:val="P68B1DB1-Normal62"/>
              <w:spacing w:before="120" w:after="120" w:line="276" w:lineRule="auto"/>
            </w:pPr>
            <w:r>
              <w:t>0060</w:t>
            </w:r>
          </w:p>
        </w:tc>
        <w:tc>
          <w:tcPr>
            <w:tcW w:w="7649" w:type="dxa"/>
          </w:tcPr>
          <w:p w14:paraId="7FE1C666" w14:textId="1F769279" w:rsidR="00696584" w:rsidRDefault="00194B9D">
            <w:pPr>
              <w:pStyle w:val="P68B1DB1-Normal61"/>
              <w:spacing w:before="120" w:after="120" w:line="276" w:lineRule="auto"/>
              <w:rPr>
                <w:bCs/>
              </w:rPr>
            </w:pPr>
            <w:r>
              <w:t>Kritikalität</w:t>
            </w:r>
          </w:p>
          <w:p w14:paraId="7FE1C667" w14:textId="77777777" w:rsidR="00696584" w:rsidRDefault="002C4F63">
            <w:pPr>
              <w:pStyle w:val="P68B1DB1-Normal64"/>
              <w:spacing w:line="276" w:lineRule="auto"/>
              <w:jc w:val="both"/>
              <w:rPr>
                <w:iCs/>
              </w:rPr>
            </w:pPr>
            <w:r>
              <w:t>Einer der folgenden Werte ist anzugeben:</w:t>
            </w:r>
          </w:p>
          <w:p w14:paraId="7FE1C668" w14:textId="77777777" w:rsidR="00696584" w:rsidRDefault="002C4F63">
            <w:pPr>
              <w:pStyle w:val="P68B1DB1-ListParagraph58"/>
              <w:numPr>
                <w:ilvl w:val="0"/>
                <w:numId w:val="236"/>
              </w:numPr>
              <w:spacing w:line="276" w:lineRule="auto"/>
              <w:contextualSpacing/>
              <w:jc w:val="both"/>
              <w:rPr>
                <w:iCs/>
              </w:rPr>
            </w:pPr>
            <w:r>
              <w:t>Kritisch: wenn der Dienst für die Ausführung einer oder mehrerer kritischer Funktionen erforderlich ist, deren Diskontinuität die Ausführung dieser kritischen Funktionen ernsthaft behindern oder verhindern würde.</w:t>
            </w:r>
          </w:p>
          <w:p w14:paraId="7FE1C669" w14:textId="77777777" w:rsidR="00696584" w:rsidRDefault="002C4F63">
            <w:pPr>
              <w:pStyle w:val="P68B1DB1-ListParagraph58"/>
              <w:numPr>
                <w:ilvl w:val="0"/>
                <w:numId w:val="236"/>
              </w:numPr>
              <w:spacing w:line="276" w:lineRule="auto"/>
              <w:contextualSpacing/>
              <w:jc w:val="both"/>
              <w:rPr>
                <w:iCs/>
              </w:rPr>
            </w:pPr>
            <w:r>
              <w:t xml:space="preserve">Wesentliche Anforderungen: wenn die Dienstleistung mit Kerngeschäftsbereichen verbunden ist, deren Kontinuität für die wirksame Umsetzung der </w:t>
            </w:r>
            <w:r>
              <w:lastRenderedPageBreak/>
              <w:t>Abwicklungsstrategie und jede sich daraus ergebende Umstrukturierung erforderlich ist.</w:t>
            </w:r>
          </w:p>
          <w:p w14:paraId="7FE1C66A" w14:textId="21623EFD" w:rsidR="00696584" w:rsidRDefault="002C4F63">
            <w:pPr>
              <w:pStyle w:val="P68B1DB1-ListParagraph58"/>
              <w:numPr>
                <w:ilvl w:val="0"/>
                <w:numId w:val="236"/>
              </w:numPr>
              <w:spacing w:line="276" w:lineRule="auto"/>
              <w:contextualSpacing/>
              <w:jc w:val="both"/>
              <w:rPr>
                <w:iCs/>
              </w:rPr>
            </w:pPr>
            <w:r>
              <w:t>Kritisch und wesentlich</w:t>
            </w:r>
          </w:p>
          <w:p w14:paraId="7FE1C66B" w14:textId="77777777" w:rsidR="00696584" w:rsidRDefault="00696584">
            <w:pPr>
              <w:spacing w:before="120" w:after="120" w:line="276" w:lineRule="auto"/>
              <w:rPr>
                <w:rFonts w:ascii="Times New Roman" w:hAnsi="Times New Roman"/>
                <w:sz w:val="20"/>
                <w:szCs w:val="20"/>
              </w:rPr>
            </w:pPr>
          </w:p>
        </w:tc>
      </w:tr>
    </w:tbl>
    <w:p w14:paraId="7FE1C6D5" w14:textId="77777777" w:rsidR="00696584" w:rsidRDefault="00696584">
      <w:pPr>
        <w:rPr>
          <w:rFonts w:ascii="Times New Roman" w:hAnsi="Times New Roman" w:cs="Times New Roman"/>
        </w:rPr>
      </w:pPr>
    </w:p>
    <w:p w14:paraId="7FE1C6D6" w14:textId="22DDF670" w:rsidR="00696584" w:rsidRDefault="002C4F63">
      <w:pPr>
        <w:pStyle w:val="P68B1DB1-Instructionsberschrift25"/>
        <w:numPr>
          <w:ilvl w:val="1"/>
          <w:numId w:val="49"/>
        </w:numPr>
        <w:ind w:left="357" w:hanging="357"/>
        <w:rPr>
          <w:rFonts w:eastAsia="Calibri"/>
          <w:szCs w:val="20"/>
        </w:rPr>
      </w:pPr>
      <w:bookmarkStart w:id="130" w:name="_Toc209533605"/>
      <w:r>
        <w:t xml:space="preserve">Z 08.04 – Kritische </w:t>
      </w:r>
      <w:r w:rsidR="00194B9D">
        <w:t xml:space="preserve">Dienstleistungen </w:t>
      </w:r>
      <w:r>
        <w:t>– Zuordnung zu kritischen Funktionen (SERV 4)</w:t>
      </w:r>
      <w:bookmarkEnd w:id="130"/>
    </w:p>
    <w:p w14:paraId="7FE1C6D7" w14:textId="77777777" w:rsidR="00696584" w:rsidRDefault="002C4F63">
      <w:pPr>
        <w:pStyle w:val="P68B1DB1-Instructionsberschrift269"/>
        <w:ind w:left="357"/>
      </w:pPr>
      <w:bookmarkStart w:id="131" w:name="_Toc164263859"/>
      <w:bookmarkStart w:id="132" w:name="_Toc209533606"/>
      <w:r>
        <w:t>Allgemeine Hinweise</w:t>
      </w:r>
      <w:bookmarkEnd w:id="131"/>
      <w:bookmarkEnd w:id="132"/>
    </w:p>
    <w:p w14:paraId="7FE1C6D8" w14:textId="77777777" w:rsidR="00696584" w:rsidRDefault="00696584">
      <w:pPr>
        <w:spacing w:line="276" w:lineRule="auto"/>
        <w:jc w:val="both"/>
        <w:rPr>
          <w:rFonts w:ascii="Times New Roman" w:eastAsia="Calibri" w:hAnsi="Times New Roman" w:cs="Times New Roman"/>
          <w:sz w:val="20"/>
          <w:szCs w:val="20"/>
        </w:rPr>
      </w:pPr>
    </w:p>
    <w:p w14:paraId="7FE1C6D9" w14:textId="2FA191DE" w:rsidR="00696584" w:rsidRDefault="002C4F63">
      <w:pPr>
        <w:pStyle w:val="P68B1DB1-ListParagraph53"/>
        <w:numPr>
          <w:ilvl w:val="0"/>
          <w:numId w:val="267"/>
        </w:numPr>
        <w:ind w:left="1418"/>
        <w:contextualSpacing/>
        <w:jc w:val="both"/>
      </w:pPr>
      <w:r>
        <w:t xml:space="preserve">Die in diesem Meldebogen vorgesehenen Angaben sind einmal für die gesamte Gruppe zu </w:t>
      </w:r>
      <w:r w:rsidR="00C4259E">
        <w:t>machen. Hier</w:t>
      </w:r>
      <w:r>
        <w:t xml:space="preserve"> werden die kritischen Dienstleistungen aufgelistet, die jedes Unternehmen in der Gruppe in Anspruch nimmt, und mit den von der Gruppe wahrgenommenen kritischen Funktionen verknüpft.</w:t>
      </w:r>
    </w:p>
    <w:p w14:paraId="7FE1C6DA" w14:textId="77777777" w:rsidR="00696584" w:rsidRDefault="002C4F63">
      <w:pPr>
        <w:pStyle w:val="P68B1DB1-ListParagraph53"/>
        <w:numPr>
          <w:ilvl w:val="0"/>
          <w:numId w:val="267"/>
        </w:numPr>
        <w:ind w:left="1418"/>
        <w:contextualSpacing/>
        <w:jc w:val="both"/>
      </w:pPr>
      <w:r>
        <w:t>Die Werte der Spalten 0010, 0020, 0030 und 0040 dieses Meldebogens bilden einen Primärschlüssel, der jeweils eine spezifische Zeile des Meldebogens bezeichnet.</w:t>
      </w:r>
    </w:p>
    <w:p w14:paraId="7FE1C6DB" w14:textId="77777777" w:rsidR="00696584" w:rsidRDefault="00696584">
      <w:pPr>
        <w:rPr>
          <w:rFonts w:ascii="Times New Roman" w:hAnsi="Times New Roman" w:cs="Times New Roman"/>
        </w:rPr>
      </w:pPr>
    </w:p>
    <w:tbl>
      <w:tblPr>
        <w:tblStyle w:val="TableGrid12"/>
        <w:tblW w:w="8926" w:type="dxa"/>
        <w:tblLook w:val="04A0" w:firstRow="1" w:lastRow="0" w:firstColumn="1" w:lastColumn="0" w:noHBand="0" w:noVBand="1"/>
      </w:tblPr>
      <w:tblGrid>
        <w:gridCol w:w="1418"/>
        <w:gridCol w:w="7508"/>
      </w:tblGrid>
      <w:tr w:rsidR="00696584" w14:paraId="7FE1C6DE" w14:textId="77777777">
        <w:trPr>
          <w:trHeight w:val="445"/>
          <w:tblHeader/>
        </w:trPr>
        <w:tc>
          <w:tcPr>
            <w:tcW w:w="1418" w:type="dxa"/>
            <w:shd w:val="clear" w:color="auto" w:fill="E7E6E6"/>
          </w:tcPr>
          <w:p w14:paraId="7FE1C6DC" w14:textId="77777777" w:rsidR="00696584" w:rsidRDefault="002C4F63">
            <w:pPr>
              <w:pStyle w:val="P68B1DB1-Normal61"/>
              <w:spacing w:before="120" w:after="120" w:line="276" w:lineRule="auto"/>
            </w:pPr>
            <w:r>
              <w:t>Spalten</w:t>
            </w:r>
          </w:p>
        </w:tc>
        <w:tc>
          <w:tcPr>
            <w:tcW w:w="7508" w:type="dxa"/>
            <w:shd w:val="clear" w:color="auto" w:fill="E7E6E6"/>
          </w:tcPr>
          <w:p w14:paraId="7FE1C6DD" w14:textId="77777777" w:rsidR="00696584" w:rsidRDefault="002C4F63">
            <w:pPr>
              <w:pStyle w:val="P68B1DB1-Normal61"/>
              <w:spacing w:before="120" w:after="120" w:line="276" w:lineRule="auto"/>
            </w:pPr>
            <w:r>
              <w:t>Erläuterungen</w:t>
            </w:r>
          </w:p>
        </w:tc>
      </w:tr>
      <w:tr w:rsidR="00696584" w14:paraId="7FE1C6E3" w14:textId="77777777">
        <w:trPr>
          <w:trHeight w:val="450"/>
        </w:trPr>
        <w:tc>
          <w:tcPr>
            <w:tcW w:w="1418" w:type="dxa"/>
            <w:shd w:val="clear" w:color="auto" w:fill="FFFFFF"/>
          </w:tcPr>
          <w:p w14:paraId="7FE1C6DF" w14:textId="77777777" w:rsidR="00696584" w:rsidRDefault="002C4F63">
            <w:pPr>
              <w:pStyle w:val="P68B1DB1-Normal62"/>
              <w:spacing w:before="120" w:after="120" w:line="276" w:lineRule="auto"/>
            </w:pPr>
            <w:r>
              <w:t>0005</w:t>
            </w:r>
          </w:p>
        </w:tc>
        <w:tc>
          <w:tcPr>
            <w:tcW w:w="7508" w:type="dxa"/>
            <w:shd w:val="clear" w:color="auto" w:fill="FFFFFF"/>
          </w:tcPr>
          <w:p w14:paraId="7FE1C6E0" w14:textId="6465BF1F" w:rsidR="00696584" w:rsidRDefault="00194B9D">
            <w:pPr>
              <w:pStyle w:val="P68B1DB1-Normal61"/>
              <w:spacing w:before="120" w:after="120" w:line="276" w:lineRule="auto"/>
            </w:pPr>
            <w:r>
              <w:t>Identifikator der Dienstleistung</w:t>
            </w:r>
          </w:p>
          <w:p w14:paraId="7FE1C6E1" w14:textId="77777777" w:rsidR="00696584" w:rsidRDefault="002C4F63">
            <w:pPr>
              <w:pStyle w:val="P68B1DB1-Normal62"/>
              <w:spacing w:before="120" w:after="120" w:line="276" w:lineRule="auto"/>
            </w:pPr>
            <w:r>
              <w:t>Verwenden Sie die in Z 08.01 (SERV 1) gemeldete Service-Kennung.</w:t>
            </w:r>
          </w:p>
          <w:p w14:paraId="7FE1C6E2" w14:textId="77777777" w:rsidR="00696584" w:rsidRDefault="002C4F63">
            <w:pPr>
              <w:pStyle w:val="P68B1DB1-Normal62"/>
              <w:spacing w:before="120" w:after="120" w:line="276" w:lineRule="auto"/>
              <w:rPr>
                <w:i/>
              </w:rPr>
            </w:pPr>
            <w:r>
              <w:t>Die Dienstkennung bezieht sich auf den unter c0020 gemeldeten Dienst.</w:t>
            </w:r>
          </w:p>
        </w:tc>
      </w:tr>
      <w:tr w:rsidR="00696584" w14:paraId="7FE1C727" w14:textId="77777777">
        <w:trPr>
          <w:trHeight w:val="450"/>
        </w:trPr>
        <w:tc>
          <w:tcPr>
            <w:tcW w:w="1418" w:type="dxa"/>
            <w:shd w:val="clear" w:color="auto" w:fill="FFFFFF"/>
          </w:tcPr>
          <w:p w14:paraId="7FE1C6E4" w14:textId="77777777" w:rsidR="00696584" w:rsidRDefault="002C4F63">
            <w:pPr>
              <w:pStyle w:val="P68B1DB1-Normal62"/>
              <w:spacing w:before="120" w:after="120" w:line="276" w:lineRule="auto"/>
            </w:pPr>
            <w:r>
              <w:t>0010</w:t>
            </w:r>
          </w:p>
        </w:tc>
        <w:tc>
          <w:tcPr>
            <w:tcW w:w="7508" w:type="dxa"/>
            <w:shd w:val="clear" w:color="auto" w:fill="FFFFFF"/>
          </w:tcPr>
          <w:p w14:paraId="7FE1C6E5" w14:textId="77777777" w:rsidR="00696584" w:rsidRDefault="002C4F63">
            <w:pPr>
              <w:pStyle w:val="P68B1DB1-Normal61"/>
              <w:autoSpaceDE w:val="0"/>
              <w:autoSpaceDN w:val="0"/>
              <w:adjustRightInd w:val="0"/>
              <w:rPr>
                <w:rFonts w:eastAsia="MS Mincho"/>
                <w:bCs/>
              </w:rPr>
            </w:pPr>
            <w:r>
              <w:t xml:space="preserve">Art des Dienstes </w:t>
            </w:r>
          </w:p>
          <w:p w14:paraId="7FE1C6E6" w14:textId="328A5068" w:rsidR="00696584" w:rsidRDefault="002C4F63">
            <w:pPr>
              <w:pStyle w:val="P68B1DB1-Normal63"/>
              <w:autoSpaceDE w:val="0"/>
              <w:autoSpaceDN w:val="0"/>
              <w:adjustRightInd w:val="0"/>
            </w:pPr>
            <w:r>
              <w:t xml:space="preserve">Für die Art der Dienstleistung ist eine der unter Z 08.01 0010 oben angegebenen Arten auszuwählen. </w:t>
            </w:r>
          </w:p>
          <w:p w14:paraId="7FE1C726" w14:textId="7C7FFCB5" w:rsidR="00696584" w:rsidRDefault="00696584">
            <w:pPr>
              <w:spacing w:before="120" w:after="120" w:line="276" w:lineRule="auto"/>
              <w:rPr>
                <w:rFonts w:ascii="Times New Roman" w:hAnsi="Times New Roman"/>
                <w:sz w:val="20"/>
                <w:szCs w:val="20"/>
              </w:rPr>
            </w:pPr>
          </w:p>
        </w:tc>
      </w:tr>
      <w:tr w:rsidR="00696584" w14:paraId="7FE1C72C" w14:textId="77777777">
        <w:trPr>
          <w:trHeight w:val="450"/>
        </w:trPr>
        <w:tc>
          <w:tcPr>
            <w:tcW w:w="1418" w:type="dxa"/>
            <w:shd w:val="clear" w:color="auto" w:fill="FFFFFF"/>
          </w:tcPr>
          <w:p w14:paraId="7FE1C728" w14:textId="77777777" w:rsidR="00696584" w:rsidRDefault="002C4F63">
            <w:pPr>
              <w:pStyle w:val="P68B1DB1-Normal62"/>
              <w:spacing w:before="120" w:after="120" w:line="276" w:lineRule="auto"/>
            </w:pPr>
            <w:r>
              <w:t>0020</w:t>
            </w:r>
          </w:p>
        </w:tc>
        <w:tc>
          <w:tcPr>
            <w:tcW w:w="7508" w:type="dxa"/>
            <w:shd w:val="clear" w:color="auto" w:fill="FFFFFF"/>
          </w:tcPr>
          <w:p w14:paraId="7FE1C729" w14:textId="00DD5B10" w:rsidR="00696584" w:rsidRDefault="00194B9D">
            <w:pPr>
              <w:pStyle w:val="P68B1DB1-Normal65"/>
              <w:spacing w:line="276" w:lineRule="auto"/>
              <w:jc w:val="both"/>
            </w:pPr>
            <w:r>
              <w:rPr>
                <w:szCs w:val="20"/>
              </w:rPr>
              <w:t>Eindeutige Bezeichnung der Dienstleistung gemäß Banktaxonomie</w:t>
            </w:r>
          </w:p>
          <w:p w14:paraId="7FE1C72A" w14:textId="73160FA0" w:rsidR="00696584" w:rsidRDefault="002C4F63">
            <w:pPr>
              <w:pStyle w:val="P68B1DB1-Normal64"/>
            </w:pPr>
            <w:r>
              <w:t xml:space="preserve">Bezeichnung/Kurzbeschreibung </w:t>
            </w:r>
            <w:r w:rsidR="00194B9D">
              <w:t xml:space="preserve">der Dienstleistung </w:t>
            </w:r>
            <w:r>
              <w:t xml:space="preserve">gemäß der Taxonomie der Bank (Stufe 3) gemäß Z 08.01 (SERV 1) Spalte 0020. Von der Bank wird erwartet, dass sie die Dienstleistungen auf einer detaillierteren Ebene meldet als die </w:t>
            </w:r>
            <w:r w:rsidR="003139A0">
              <w:t xml:space="preserve">Meldung </w:t>
            </w:r>
            <w:r>
              <w:t>für Stufe 2 (c0010), sodass jede einzelne Dienstleistung präzise und zielgerichtet definiert wird.</w:t>
            </w:r>
          </w:p>
          <w:p w14:paraId="7FE1C72B" w14:textId="77777777" w:rsidR="00696584" w:rsidRDefault="00696584">
            <w:pPr>
              <w:spacing w:before="120" w:after="120" w:line="276" w:lineRule="auto"/>
              <w:rPr>
                <w:rFonts w:ascii="Times New Roman" w:hAnsi="Times New Roman"/>
                <w:sz w:val="20"/>
                <w:szCs w:val="20"/>
              </w:rPr>
            </w:pPr>
          </w:p>
        </w:tc>
      </w:tr>
      <w:tr w:rsidR="00696584" w14:paraId="7FE1C731" w14:textId="77777777">
        <w:trPr>
          <w:trHeight w:val="450"/>
        </w:trPr>
        <w:tc>
          <w:tcPr>
            <w:tcW w:w="1418" w:type="dxa"/>
            <w:shd w:val="clear" w:color="auto" w:fill="FFFFFF"/>
          </w:tcPr>
          <w:p w14:paraId="7FE1C72D" w14:textId="77777777" w:rsidR="00696584" w:rsidRDefault="002C4F63">
            <w:pPr>
              <w:pStyle w:val="P68B1DB1-Normal62"/>
              <w:spacing w:before="120" w:after="120" w:line="276" w:lineRule="auto"/>
            </w:pPr>
            <w:r>
              <w:t>0030-0040</w:t>
            </w:r>
          </w:p>
        </w:tc>
        <w:tc>
          <w:tcPr>
            <w:tcW w:w="7508" w:type="dxa"/>
            <w:shd w:val="clear" w:color="auto" w:fill="FFFFFF"/>
          </w:tcPr>
          <w:p w14:paraId="7FE1C72E" w14:textId="77777777" w:rsidR="00696584" w:rsidRDefault="002C4F63">
            <w:pPr>
              <w:pStyle w:val="P68B1DB1-Normal65"/>
              <w:spacing w:line="276" w:lineRule="auto"/>
              <w:jc w:val="both"/>
              <w:rPr>
                <w:bCs/>
              </w:rPr>
            </w:pPr>
            <w:r>
              <w:rPr>
                <w:szCs w:val="20"/>
              </w:rPr>
              <w:t>Kritische Funktion</w:t>
            </w:r>
            <w:r>
              <w:t xml:space="preserve"> </w:t>
            </w:r>
          </w:p>
          <w:p w14:paraId="7FE1C72F" w14:textId="77777777" w:rsidR="00696584" w:rsidRDefault="002C4F63">
            <w:pPr>
              <w:pStyle w:val="P68B1DB1-Normal64"/>
              <w:spacing w:line="276" w:lineRule="auto"/>
              <w:jc w:val="both"/>
            </w:pPr>
            <w:r>
              <w:t>Funktion, deren Wahrnehmung bei Unterbrechung der kritischen Dienstleistung ernsthaft behindert oder vollständig unterbunden würde. Diese Funktion muss auch im Meldebogen Z 07.01 (FUNC 1) als kritisch eingestuft worden sein.</w:t>
            </w:r>
          </w:p>
          <w:p w14:paraId="7FE1C730" w14:textId="77777777" w:rsidR="00696584" w:rsidRDefault="00696584">
            <w:pPr>
              <w:spacing w:line="276" w:lineRule="auto"/>
              <w:jc w:val="both"/>
              <w:rPr>
                <w:rFonts w:ascii="Times New Roman" w:hAnsi="Times New Roman"/>
                <w:sz w:val="20"/>
              </w:rPr>
            </w:pPr>
          </w:p>
        </w:tc>
      </w:tr>
      <w:tr w:rsidR="00696584" w14:paraId="7FE1C736" w14:textId="77777777">
        <w:trPr>
          <w:trHeight w:val="450"/>
        </w:trPr>
        <w:tc>
          <w:tcPr>
            <w:tcW w:w="1418" w:type="dxa"/>
            <w:shd w:val="clear" w:color="auto" w:fill="FFFFFF"/>
          </w:tcPr>
          <w:p w14:paraId="7FE1C732" w14:textId="77777777" w:rsidR="00696584" w:rsidRDefault="002C4F63">
            <w:pPr>
              <w:pStyle w:val="P68B1DB1-Normal64"/>
              <w:spacing w:before="120" w:after="120" w:line="276" w:lineRule="auto"/>
              <w:rPr>
                <w:szCs w:val="20"/>
              </w:rPr>
            </w:pPr>
            <w:r>
              <w:t>0030</w:t>
            </w:r>
          </w:p>
        </w:tc>
        <w:tc>
          <w:tcPr>
            <w:tcW w:w="7508" w:type="dxa"/>
            <w:shd w:val="clear" w:color="auto" w:fill="FFFFFF"/>
          </w:tcPr>
          <w:p w14:paraId="7FE1C733" w14:textId="77777777" w:rsidR="00696584" w:rsidRDefault="002C4F63">
            <w:pPr>
              <w:pStyle w:val="P68B1DB1-Normal65"/>
              <w:spacing w:line="276" w:lineRule="auto"/>
              <w:jc w:val="both"/>
              <w:rPr>
                <w:bCs/>
              </w:rPr>
            </w:pPr>
            <w:r>
              <w:t>Land</w:t>
            </w:r>
          </w:p>
          <w:p w14:paraId="7FE1C734" w14:textId="77777777" w:rsidR="00696584" w:rsidRDefault="002C4F63">
            <w:pPr>
              <w:pStyle w:val="P68B1DB1-Normal64"/>
              <w:spacing w:line="276" w:lineRule="auto"/>
              <w:jc w:val="both"/>
            </w:pPr>
            <w:r>
              <w:t>Mitgliedstaat, für den die Funktion kritisch ist, wie im Meldebogen Z 07.01 (FUNC 1) angegeben.</w:t>
            </w:r>
          </w:p>
          <w:p w14:paraId="7FE1C735" w14:textId="77777777" w:rsidR="00696584" w:rsidRDefault="00696584">
            <w:pPr>
              <w:spacing w:line="276" w:lineRule="auto"/>
              <w:jc w:val="both"/>
              <w:rPr>
                <w:rFonts w:ascii="Times New Roman" w:hAnsi="Times New Roman"/>
                <w:sz w:val="20"/>
              </w:rPr>
            </w:pPr>
          </w:p>
        </w:tc>
      </w:tr>
      <w:tr w:rsidR="00696584" w14:paraId="7FE1C73B" w14:textId="77777777">
        <w:trPr>
          <w:trHeight w:val="450"/>
        </w:trPr>
        <w:tc>
          <w:tcPr>
            <w:tcW w:w="1418" w:type="dxa"/>
            <w:shd w:val="clear" w:color="auto" w:fill="FFFFFF"/>
          </w:tcPr>
          <w:p w14:paraId="7FE1C737" w14:textId="77777777" w:rsidR="00696584" w:rsidRDefault="002C4F63">
            <w:pPr>
              <w:pStyle w:val="P68B1DB1-Normal64"/>
              <w:spacing w:before="120" w:after="120" w:line="276" w:lineRule="auto"/>
              <w:rPr>
                <w:szCs w:val="20"/>
              </w:rPr>
            </w:pPr>
            <w:r>
              <w:t>0040</w:t>
            </w:r>
          </w:p>
        </w:tc>
        <w:tc>
          <w:tcPr>
            <w:tcW w:w="7508" w:type="dxa"/>
            <w:shd w:val="clear" w:color="auto" w:fill="FFFFFF"/>
          </w:tcPr>
          <w:p w14:paraId="7FE1C738" w14:textId="30626A2E" w:rsidR="00696584" w:rsidRDefault="00194B9D">
            <w:pPr>
              <w:pStyle w:val="P68B1DB1-Normal65"/>
              <w:spacing w:line="276" w:lineRule="auto"/>
              <w:jc w:val="both"/>
              <w:rPr>
                <w:bCs/>
              </w:rPr>
            </w:pPr>
            <w:r>
              <w:t>ID</w:t>
            </w:r>
          </w:p>
          <w:p w14:paraId="7FE1C739" w14:textId="77777777" w:rsidR="00696584" w:rsidRDefault="002C4F63">
            <w:pPr>
              <w:pStyle w:val="P68B1DB1-Normal64"/>
              <w:spacing w:line="276" w:lineRule="auto"/>
              <w:jc w:val="both"/>
            </w:pPr>
            <w:r>
              <w:t>ID nach Abschnitt II.7.1.4 der im Meldebogen Z 07.01 (FUNC 1) ermittelten kritischen Funktionen</w:t>
            </w:r>
          </w:p>
          <w:p w14:paraId="7FE1C73A" w14:textId="77777777" w:rsidR="00696584" w:rsidRDefault="00696584">
            <w:pPr>
              <w:spacing w:line="276" w:lineRule="auto"/>
              <w:jc w:val="both"/>
              <w:rPr>
                <w:rFonts w:ascii="Times New Roman" w:hAnsi="Times New Roman"/>
                <w:sz w:val="20"/>
              </w:rPr>
            </w:pPr>
          </w:p>
        </w:tc>
      </w:tr>
    </w:tbl>
    <w:p w14:paraId="7FE1C746" w14:textId="77777777" w:rsidR="00696584" w:rsidRDefault="00696584">
      <w:pPr>
        <w:rPr>
          <w:rFonts w:ascii="Times New Roman" w:hAnsi="Times New Roman" w:cs="Times New Roman"/>
        </w:rPr>
      </w:pPr>
    </w:p>
    <w:p w14:paraId="7FE1C748" w14:textId="77777777" w:rsidR="00696584" w:rsidRDefault="002C4F63">
      <w:pPr>
        <w:pStyle w:val="P68B1DB1-Instructionsberschrift25"/>
        <w:numPr>
          <w:ilvl w:val="1"/>
          <w:numId w:val="49"/>
        </w:numPr>
        <w:ind w:left="357" w:hanging="357"/>
        <w:rPr>
          <w:rFonts w:eastAsia="Calibri"/>
          <w:szCs w:val="20"/>
        </w:rPr>
      </w:pPr>
      <w:bookmarkStart w:id="133" w:name="_Toc209533607"/>
      <w:r>
        <w:t>Z 08.05 – Wesentliche Dienstleistungen – Zuordnung zu den Kerngeschäftsbereichen (SERV 5)</w:t>
      </w:r>
      <w:bookmarkEnd w:id="133"/>
    </w:p>
    <w:p w14:paraId="7FE1C749" w14:textId="77777777" w:rsidR="00696584" w:rsidRDefault="002C4F63">
      <w:pPr>
        <w:pStyle w:val="P68B1DB1-Normal70"/>
        <w:spacing w:line="276" w:lineRule="auto"/>
        <w:jc w:val="both"/>
        <w:rPr>
          <w:sz w:val="20"/>
          <w:szCs w:val="20"/>
        </w:rPr>
      </w:pPr>
      <w:r>
        <w:t>Erläuterungen zu bestimmten Positionen</w:t>
      </w:r>
    </w:p>
    <w:p w14:paraId="7FE1C74A" w14:textId="01387323" w:rsidR="00696584" w:rsidRDefault="002C4F63">
      <w:pPr>
        <w:pStyle w:val="P68B1DB1-Instructionsberschrift368"/>
        <w:numPr>
          <w:ilvl w:val="2"/>
          <w:numId w:val="210"/>
        </w:numPr>
        <w:ind w:left="1418"/>
        <w:contextualSpacing/>
        <w:jc w:val="both"/>
      </w:pPr>
      <w:r>
        <w:t xml:space="preserve">Die in diesem Meldebogen vorgesehenen Angaben sind einmal für die gesamte Gruppe zu </w:t>
      </w:r>
      <w:r w:rsidR="00C4259E">
        <w:t>machen. Hier</w:t>
      </w:r>
      <w:r>
        <w:t xml:space="preserve"> werden die kritischen Dienstleistungen aufgelistet, die jedes Unternehmen in der Gruppe in Anspruch nimmt, und mit den von der Gruppe wahrgenommenen kritischen Funktionen verknüpft.</w:t>
      </w:r>
    </w:p>
    <w:p w14:paraId="7FE1C74B" w14:textId="77777777" w:rsidR="00696584" w:rsidRDefault="002C4F63">
      <w:pPr>
        <w:pStyle w:val="P68B1DB1-Instructionsberschrift368"/>
        <w:numPr>
          <w:ilvl w:val="2"/>
          <w:numId w:val="210"/>
        </w:numPr>
        <w:ind w:left="1418"/>
        <w:contextualSpacing/>
        <w:jc w:val="both"/>
      </w:pPr>
      <w:r>
        <w:t>Die Werte der Spalten 0010, 0020 und 0040 dieses Meldebogens bilden einen Primärschlüssel, der jeweils eine spezifische Zeile des Meldebogens bezeichnet.</w:t>
      </w:r>
    </w:p>
    <w:p w14:paraId="7FE1C74C" w14:textId="77777777" w:rsidR="00696584" w:rsidRDefault="00696584">
      <w:pPr>
        <w:rPr>
          <w:rFonts w:ascii="Times New Roman" w:hAnsi="Times New Roman" w:cs="Times New Roman"/>
        </w:rPr>
      </w:pPr>
    </w:p>
    <w:tbl>
      <w:tblPr>
        <w:tblStyle w:val="TableGrid13"/>
        <w:tblW w:w="9067" w:type="dxa"/>
        <w:tblLook w:val="04A0" w:firstRow="1" w:lastRow="0" w:firstColumn="1" w:lastColumn="0" w:noHBand="0" w:noVBand="1"/>
      </w:tblPr>
      <w:tblGrid>
        <w:gridCol w:w="1418"/>
        <w:gridCol w:w="7649"/>
      </w:tblGrid>
      <w:tr w:rsidR="00696584" w14:paraId="7FE1C74F" w14:textId="77777777">
        <w:trPr>
          <w:trHeight w:val="644"/>
          <w:tblHeader/>
        </w:trPr>
        <w:tc>
          <w:tcPr>
            <w:tcW w:w="1418" w:type="dxa"/>
            <w:shd w:val="clear" w:color="auto" w:fill="E7E6E6"/>
          </w:tcPr>
          <w:p w14:paraId="7FE1C74D" w14:textId="77777777" w:rsidR="00696584" w:rsidRDefault="002C4F63">
            <w:pPr>
              <w:pStyle w:val="P68B1DB1-Normal61"/>
              <w:spacing w:before="120" w:after="120" w:line="276" w:lineRule="auto"/>
            </w:pPr>
            <w:r>
              <w:t>Spalten</w:t>
            </w:r>
          </w:p>
        </w:tc>
        <w:tc>
          <w:tcPr>
            <w:tcW w:w="7649" w:type="dxa"/>
            <w:shd w:val="clear" w:color="auto" w:fill="E7E6E6"/>
          </w:tcPr>
          <w:p w14:paraId="7FE1C74E" w14:textId="77777777" w:rsidR="00696584" w:rsidRDefault="002C4F63">
            <w:pPr>
              <w:pStyle w:val="P68B1DB1-Normal61"/>
              <w:spacing w:before="120" w:after="120" w:line="276" w:lineRule="auto"/>
            </w:pPr>
            <w:r>
              <w:t>Erläuterungen</w:t>
            </w:r>
          </w:p>
        </w:tc>
      </w:tr>
      <w:tr w:rsidR="00696584" w14:paraId="7FE1C754" w14:textId="77777777">
        <w:trPr>
          <w:trHeight w:val="450"/>
        </w:trPr>
        <w:tc>
          <w:tcPr>
            <w:tcW w:w="1418" w:type="dxa"/>
            <w:shd w:val="clear" w:color="auto" w:fill="FFFFFF"/>
          </w:tcPr>
          <w:p w14:paraId="7FE1C750" w14:textId="77777777" w:rsidR="00696584" w:rsidRDefault="002C4F63">
            <w:pPr>
              <w:pStyle w:val="P68B1DB1-Normal62"/>
              <w:spacing w:before="120" w:after="120" w:line="276" w:lineRule="auto"/>
            </w:pPr>
            <w:r>
              <w:t>0005</w:t>
            </w:r>
          </w:p>
        </w:tc>
        <w:tc>
          <w:tcPr>
            <w:tcW w:w="7649" w:type="dxa"/>
            <w:shd w:val="clear" w:color="auto" w:fill="FFFFFF"/>
          </w:tcPr>
          <w:p w14:paraId="141FCF94" w14:textId="77777777" w:rsidR="00194B9D" w:rsidRDefault="00194B9D" w:rsidP="00194B9D">
            <w:pPr>
              <w:pStyle w:val="P68B1DB1-Normal49"/>
              <w:spacing w:before="120" w:after="120" w:line="276" w:lineRule="auto"/>
              <w:rPr>
                <w:bCs/>
              </w:rPr>
            </w:pPr>
            <w:r>
              <w:t>Identifikator der Dienstleistung</w:t>
            </w:r>
          </w:p>
          <w:p w14:paraId="7FE1C752" w14:textId="77777777" w:rsidR="00696584" w:rsidRDefault="002C4F63">
            <w:pPr>
              <w:pStyle w:val="P68B1DB1-Normal62"/>
              <w:spacing w:before="120" w:after="120" w:line="276" w:lineRule="auto"/>
            </w:pPr>
            <w:r>
              <w:t>Verwenden Sie die in Z 08.01 (SERV 1) gemeldete Service-Kennung.</w:t>
            </w:r>
          </w:p>
          <w:p w14:paraId="7FE1C753" w14:textId="77777777" w:rsidR="00696584" w:rsidRDefault="002C4F63">
            <w:pPr>
              <w:pStyle w:val="P68B1DB1-Normal62"/>
              <w:spacing w:before="120" w:after="120" w:line="276" w:lineRule="auto"/>
              <w:rPr>
                <w:i/>
              </w:rPr>
            </w:pPr>
            <w:r>
              <w:t>Die Dienstkennung bezieht sich auf den unter c0020 gemeldeten Dienst.</w:t>
            </w:r>
          </w:p>
        </w:tc>
      </w:tr>
      <w:tr w:rsidR="00696584" w14:paraId="7FE1C798" w14:textId="77777777">
        <w:trPr>
          <w:trHeight w:val="450"/>
        </w:trPr>
        <w:tc>
          <w:tcPr>
            <w:tcW w:w="1418" w:type="dxa"/>
            <w:shd w:val="clear" w:color="auto" w:fill="FFFFFF"/>
          </w:tcPr>
          <w:p w14:paraId="7FE1C755" w14:textId="77777777" w:rsidR="00696584" w:rsidRDefault="002C4F63">
            <w:pPr>
              <w:pStyle w:val="P68B1DB1-Normal62"/>
              <w:spacing w:before="120" w:after="120" w:line="276" w:lineRule="auto"/>
            </w:pPr>
            <w:r>
              <w:t>0010</w:t>
            </w:r>
          </w:p>
        </w:tc>
        <w:tc>
          <w:tcPr>
            <w:tcW w:w="7649" w:type="dxa"/>
            <w:shd w:val="clear" w:color="auto" w:fill="FFFFFF"/>
          </w:tcPr>
          <w:p w14:paraId="7FE1C756" w14:textId="48123D39" w:rsidR="00696584" w:rsidRDefault="002C4F63">
            <w:pPr>
              <w:pStyle w:val="P68B1DB1-Normal61"/>
              <w:autoSpaceDE w:val="0"/>
              <w:autoSpaceDN w:val="0"/>
              <w:adjustRightInd w:val="0"/>
              <w:rPr>
                <w:rFonts w:eastAsia="MS Mincho"/>
                <w:bCs/>
              </w:rPr>
            </w:pPr>
            <w:r>
              <w:t xml:space="preserve">Art </w:t>
            </w:r>
            <w:r w:rsidR="00194B9D">
              <w:t xml:space="preserve">der </w:t>
            </w:r>
            <w:r>
              <w:t>Dienst</w:t>
            </w:r>
            <w:r w:rsidR="00194B9D">
              <w:t>leistung</w:t>
            </w:r>
            <w:r>
              <w:t xml:space="preserve"> </w:t>
            </w:r>
          </w:p>
          <w:p w14:paraId="7FE1C757" w14:textId="15BF69BF" w:rsidR="00696584" w:rsidRDefault="002C4F63">
            <w:pPr>
              <w:pStyle w:val="P68B1DB1-Normal63"/>
              <w:autoSpaceDE w:val="0"/>
              <w:autoSpaceDN w:val="0"/>
              <w:adjustRightInd w:val="0"/>
            </w:pPr>
            <w:r>
              <w:t xml:space="preserve">Für die Art der Dienstleistung ist eine der unter Z 08.01 0010 oben angegebenen Arten auszuwählen. </w:t>
            </w:r>
          </w:p>
          <w:p w14:paraId="7FE1C797" w14:textId="77777777" w:rsidR="00696584" w:rsidRDefault="00696584">
            <w:pPr>
              <w:autoSpaceDE w:val="0"/>
              <w:autoSpaceDN w:val="0"/>
              <w:adjustRightInd w:val="0"/>
              <w:rPr>
                <w:rFonts w:ascii="Times New Roman" w:hAnsi="Times New Roman"/>
                <w:sz w:val="20"/>
                <w:szCs w:val="20"/>
              </w:rPr>
            </w:pPr>
          </w:p>
        </w:tc>
      </w:tr>
      <w:tr w:rsidR="00696584" w14:paraId="7FE1C79D" w14:textId="77777777">
        <w:trPr>
          <w:trHeight w:val="450"/>
        </w:trPr>
        <w:tc>
          <w:tcPr>
            <w:tcW w:w="1418" w:type="dxa"/>
            <w:shd w:val="clear" w:color="auto" w:fill="FFFFFF"/>
          </w:tcPr>
          <w:p w14:paraId="7FE1C799" w14:textId="77777777" w:rsidR="00696584" w:rsidRDefault="002C4F63">
            <w:pPr>
              <w:pStyle w:val="P68B1DB1-Normal62"/>
              <w:spacing w:before="120" w:after="120" w:line="276" w:lineRule="auto"/>
            </w:pPr>
            <w:r>
              <w:t>0020</w:t>
            </w:r>
          </w:p>
        </w:tc>
        <w:tc>
          <w:tcPr>
            <w:tcW w:w="7649" w:type="dxa"/>
            <w:shd w:val="clear" w:color="auto" w:fill="FFFFFF"/>
          </w:tcPr>
          <w:p w14:paraId="1BF99256" w14:textId="77777777" w:rsidR="00194B9D" w:rsidRDefault="00194B9D" w:rsidP="00194B9D">
            <w:pPr>
              <w:pStyle w:val="P68B1DB1-Normal65"/>
              <w:spacing w:line="276" w:lineRule="auto"/>
              <w:jc w:val="both"/>
            </w:pPr>
            <w:r>
              <w:rPr>
                <w:szCs w:val="20"/>
              </w:rPr>
              <w:t>Eindeutige Bezeichnung der Dienstleistung gemäß Banktaxonomie</w:t>
            </w:r>
            <w:r>
              <w:t xml:space="preserve"> </w:t>
            </w:r>
          </w:p>
          <w:p w14:paraId="7FE1C79B" w14:textId="60958336" w:rsidR="00696584" w:rsidRDefault="002C4F63">
            <w:pPr>
              <w:pStyle w:val="P68B1DB1-Normal64"/>
            </w:pPr>
            <w:r>
              <w:t xml:space="preserve">Bezeichnung/Kurzbeschreibung </w:t>
            </w:r>
            <w:r w:rsidR="00194B9D">
              <w:t xml:space="preserve">der Dienstleistung </w:t>
            </w:r>
            <w:r>
              <w:t xml:space="preserve">gemäß der Taxonomie der Bank (Stufe 3) gemäß Z 08.01 (SERV 1) Spalte 0020. Von der Bank wird erwartet, dass sie die Dienstleistungen auf einer detaillierteren Ebene meldet als die </w:t>
            </w:r>
            <w:r w:rsidR="003139A0">
              <w:t xml:space="preserve">Meldung </w:t>
            </w:r>
            <w:r>
              <w:t>für Stufe 2 (c0010), sodass jede einzelne Dienstleistung präzise und zielgerichtet definiert wird.</w:t>
            </w:r>
          </w:p>
          <w:p w14:paraId="7FE1C79C" w14:textId="77777777" w:rsidR="00696584" w:rsidRDefault="00696584">
            <w:pPr>
              <w:spacing w:before="120" w:after="120" w:line="276" w:lineRule="auto"/>
              <w:rPr>
                <w:rFonts w:ascii="Times New Roman" w:hAnsi="Times New Roman"/>
                <w:sz w:val="20"/>
                <w:szCs w:val="20"/>
              </w:rPr>
            </w:pPr>
          </w:p>
        </w:tc>
      </w:tr>
      <w:tr w:rsidR="00696584" w14:paraId="7FE1C7A2" w14:textId="77777777">
        <w:trPr>
          <w:trHeight w:val="450"/>
        </w:trPr>
        <w:tc>
          <w:tcPr>
            <w:tcW w:w="1418" w:type="dxa"/>
            <w:shd w:val="clear" w:color="auto" w:fill="FFFFFF"/>
          </w:tcPr>
          <w:p w14:paraId="7FE1C79E" w14:textId="77777777" w:rsidR="00696584" w:rsidRDefault="002C4F63">
            <w:pPr>
              <w:pStyle w:val="P68B1DB1-Normal64"/>
              <w:spacing w:before="120" w:after="120" w:line="276" w:lineRule="auto"/>
              <w:rPr>
                <w:szCs w:val="20"/>
              </w:rPr>
            </w:pPr>
            <w:r>
              <w:t>0030-0040</w:t>
            </w:r>
          </w:p>
        </w:tc>
        <w:tc>
          <w:tcPr>
            <w:tcW w:w="7649" w:type="dxa"/>
            <w:shd w:val="clear" w:color="auto" w:fill="FFFFFF"/>
          </w:tcPr>
          <w:p w14:paraId="7FE1C79F" w14:textId="77777777" w:rsidR="00696584" w:rsidRDefault="002C4F63">
            <w:pPr>
              <w:pStyle w:val="P68B1DB1-Normal65"/>
              <w:spacing w:line="276" w:lineRule="auto"/>
              <w:jc w:val="both"/>
            </w:pPr>
            <w:r>
              <w:rPr>
                <w:szCs w:val="20"/>
              </w:rPr>
              <w:t>Kerngeschäftsbereich</w:t>
            </w:r>
            <w:r>
              <w:t xml:space="preserve"> </w:t>
            </w:r>
          </w:p>
          <w:p w14:paraId="7FE1C7A0" w14:textId="69CF44DD" w:rsidR="00696584" w:rsidRDefault="002C4F63">
            <w:pPr>
              <w:pStyle w:val="P68B1DB1-Normal67"/>
              <w:spacing w:line="276" w:lineRule="auto"/>
              <w:jc w:val="both"/>
              <w:rPr>
                <w:sz w:val="20"/>
              </w:rPr>
            </w:pPr>
            <w:r>
              <w:rPr>
                <w:sz w:val="20"/>
              </w:rPr>
              <w:t>Kerngeschäftsbereich im Sinne von Artikel 2 Absatz 1 Nummer 36 und Artikel 2 Absatz 2 der Richtlinie 2016/778.</w:t>
            </w:r>
            <w:r>
              <w:t xml:space="preserve"> </w:t>
            </w:r>
          </w:p>
          <w:p w14:paraId="7FE1C7A1" w14:textId="77777777" w:rsidR="00696584" w:rsidRDefault="00696584">
            <w:pPr>
              <w:spacing w:line="276" w:lineRule="auto"/>
              <w:jc w:val="both"/>
              <w:rPr>
                <w:rFonts w:ascii="Times New Roman" w:hAnsi="Times New Roman"/>
                <w:sz w:val="20"/>
              </w:rPr>
            </w:pPr>
          </w:p>
        </w:tc>
      </w:tr>
      <w:tr w:rsidR="00696584" w14:paraId="7FE1C7A7" w14:textId="77777777">
        <w:trPr>
          <w:trHeight w:val="450"/>
        </w:trPr>
        <w:tc>
          <w:tcPr>
            <w:tcW w:w="1418" w:type="dxa"/>
            <w:shd w:val="clear" w:color="auto" w:fill="FFFFFF"/>
          </w:tcPr>
          <w:p w14:paraId="7FE1C7A3" w14:textId="77777777" w:rsidR="00696584" w:rsidRDefault="002C4F63">
            <w:pPr>
              <w:pStyle w:val="P68B1DB1-Normal64"/>
              <w:spacing w:before="120" w:after="120" w:line="276" w:lineRule="auto"/>
              <w:rPr>
                <w:szCs w:val="20"/>
              </w:rPr>
            </w:pPr>
            <w:r>
              <w:t>0030</w:t>
            </w:r>
          </w:p>
        </w:tc>
        <w:tc>
          <w:tcPr>
            <w:tcW w:w="7649" w:type="dxa"/>
            <w:shd w:val="clear" w:color="auto" w:fill="FFFFFF"/>
          </w:tcPr>
          <w:p w14:paraId="7FE1C7A4" w14:textId="77777777" w:rsidR="00696584" w:rsidRDefault="002C4F63">
            <w:pPr>
              <w:pStyle w:val="P68B1DB1-Normal65"/>
              <w:spacing w:line="276" w:lineRule="auto"/>
              <w:jc w:val="both"/>
              <w:rPr>
                <w:bCs/>
              </w:rPr>
            </w:pPr>
            <w:r>
              <w:t>Bezeichnung</w:t>
            </w:r>
          </w:p>
          <w:p w14:paraId="7FE1C7A5" w14:textId="77777777" w:rsidR="00696584" w:rsidRDefault="002C4F63">
            <w:pPr>
              <w:pStyle w:val="P68B1DB1-Normal64"/>
              <w:jc w:val="both"/>
            </w:pPr>
            <w:r>
              <w:t>Diese Funktion muss auch im Meldebogen Z 07.01 (FUNC 1) als kritisch eingestuft worden sein.</w:t>
            </w:r>
          </w:p>
          <w:p w14:paraId="7FE1C7A6" w14:textId="77777777" w:rsidR="00696584" w:rsidRDefault="00696584">
            <w:pPr>
              <w:spacing w:line="276" w:lineRule="auto"/>
              <w:jc w:val="both"/>
              <w:rPr>
                <w:rFonts w:ascii="Times New Roman" w:hAnsi="Times New Roman"/>
                <w:sz w:val="20"/>
              </w:rPr>
            </w:pPr>
          </w:p>
        </w:tc>
      </w:tr>
      <w:tr w:rsidR="00696584" w14:paraId="7FE1C7AD" w14:textId="77777777">
        <w:trPr>
          <w:trHeight w:val="450"/>
        </w:trPr>
        <w:tc>
          <w:tcPr>
            <w:tcW w:w="1418" w:type="dxa"/>
            <w:shd w:val="clear" w:color="auto" w:fill="FFFFFF"/>
          </w:tcPr>
          <w:p w14:paraId="7FE1C7A8" w14:textId="77777777" w:rsidR="00696584" w:rsidRDefault="002C4F63">
            <w:pPr>
              <w:pStyle w:val="P68B1DB1-Normal64"/>
              <w:spacing w:before="120" w:after="120" w:line="276" w:lineRule="auto"/>
              <w:rPr>
                <w:szCs w:val="20"/>
              </w:rPr>
            </w:pPr>
            <w:r>
              <w:t>0040</w:t>
            </w:r>
          </w:p>
        </w:tc>
        <w:tc>
          <w:tcPr>
            <w:tcW w:w="7649" w:type="dxa"/>
            <w:shd w:val="clear" w:color="auto" w:fill="FFFFFF"/>
          </w:tcPr>
          <w:p w14:paraId="7FE1C7A9" w14:textId="62D785D5" w:rsidR="00696584" w:rsidRDefault="00194B9D">
            <w:pPr>
              <w:pStyle w:val="P68B1DB1-Normal65"/>
              <w:spacing w:line="276" w:lineRule="auto"/>
              <w:jc w:val="both"/>
              <w:rPr>
                <w:bCs/>
              </w:rPr>
            </w:pPr>
            <w:r>
              <w:t>ID</w:t>
            </w:r>
          </w:p>
          <w:p w14:paraId="7FE1C7AA" w14:textId="77777777" w:rsidR="00696584" w:rsidRDefault="002C4F63">
            <w:pPr>
              <w:pStyle w:val="P68B1DB1-Normal64"/>
              <w:spacing w:line="276" w:lineRule="auto"/>
              <w:jc w:val="both"/>
            </w:pPr>
            <w:r>
              <w:t xml:space="preserve">Kennung der Kerngeschäftsbereiche, deren Kontinuität für die wirksame Umsetzung der Abwicklungsstrategie und jede sich daraus ergebende Umstrukturierung erforderlich ist. Es handelt sich um eine der im Meldebogen Z 07.03 0020 angegebenen ID. </w:t>
            </w:r>
          </w:p>
          <w:p w14:paraId="7FE1C7AB" w14:textId="77777777" w:rsidR="00696584" w:rsidRDefault="00696584">
            <w:pPr>
              <w:spacing w:line="276" w:lineRule="auto"/>
              <w:jc w:val="both"/>
              <w:rPr>
                <w:rFonts w:ascii="Times New Roman" w:hAnsi="Times New Roman"/>
                <w:sz w:val="20"/>
              </w:rPr>
            </w:pPr>
          </w:p>
          <w:p w14:paraId="7FE1C7AC" w14:textId="77777777" w:rsidR="00696584" w:rsidRDefault="00696584">
            <w:pPr>
              <w:spacing w:line="276" w:lineRule="auto"/>
              <w:jc w:val="both"/>
              <w:rPr>
                <w:rFonts w:ascii="Times New Roman" w:hAnsi="Times New Roman"/>
                <w:sz w:val="20"/>
              </w:rPr>
            </w:pPr>
          </w:p>
        </w:tc>
      </w:tr>
    </w:tbl>
    <w:p w14:paraId="7FE1C7B8" w14:textId="77777777" w:rsidR="00696584" w:rsidRDefault="00696584">
      <w:pPr>
        <w:rPr>
          <w:rFonts w:ascii="Times New Roman" w:hAnsi="Times New Roman" w:cs="Times New Roman"/>
        </w:rPr>
      </w:pPr>
    </w:p>
    <w:p w14:paraId="7FE1C7BA" w14:textId="77777777" w:rsidR="00696584" w:rsidRDefault="002C4F63">
      <w:pPr>
        <w:pStyle w:val="P68B1DB1-Instructionsberschrift271"/>
        <w:numPr>
          <w:ilvl w:val="1"/>
          <w:numId w:val="49"/>
        </w:numPr>
        <w:ind w:left="357" w:hanging="357"/>
      </w:pPr>
      <w:bookmarkStart w:id="134" w:name="_Toc209533608"/>
      <w:r>
        <w:t>FMI-Dienstleistungen</w:t>
      </w:r>
      <w:bookmarkEnd w:id="134"/>
    </w:p>
    <w:p w14:paraId="7FE1C7BC" w14:textId="227D5127" w:rsidR="00696584" w:rsidRDefault="002C4F63">
      <w:pPr>
        <w:pStyle w:val="P68B1DB1-Numberedtitlelevel372"/>
      </w:pPr>
      <w:r>
        <w:t>Allgemeine Bemerkungen</w:t>
      </w:r>
    </w:p>
    <w:p w14:paraId="7FE1C7BD" w14:textId="77777777" w:rsidR="00696584" w:rsidRDefault="002C4F63">
      <w:pPr>
        <w:pStyle w:val="P68B1DB1-InstructionsText26"/>
        <w:numPr>
          <w:ilvl w:val="2"/>
          <w:numId w:val="209"/>
        </w:numPr>
        <w:spacing w:before="0"/>
        <w:ind w:left="1276"/>
      </w:pPr>
      <w:r>
        <w:lastRenderedPageBreak/>
        <w:t>Melden Sie den gesamten direkten und indirekten Zugang zu den in Spalte 0040 genannten FMI und Systemen. Dieser Meldebogen ist für das gesamte Unternehmen bzw. die gesamte Gruppe auszufüllen.</w:t>
      </w:r>
    </w:p>
    <w:p w14:paraId="7FE1C7BE" w14:textId="77777777" w:rsidR="00696584" w:rsidRDefault="002C4F63">
      <w:pPr>
        <w:pStyle w:val="P68B1DB1-InstructionsText26"/>
        <w:numPr>
          <w:ilvl w:val="2"/>
          <w:numId w:val="209"/>
        </w:numPr>
        <w:spacing w:before="0"/>
        <w:ind w:left="1276"/>
      </w:pPr>
      <w:r>
        <w:t>Dieser Meldebogen ist für das gesamte Unternehmen bzw. die gesamte Gruppe auszufüllen. Jede relevante juristische Person, die direkt oder indirekt auf eine FMI zugreifen kann, ist gesondert als Nutzer zu melden. Melden Sie sowohl die gruppeninternen Beziehungen als auch die Beziehungen zwischen Dritten.</w:t>
      </w:r>
    </w:p>
    <w:p w14:paraId="7FE1C7BF" w14:textId="5CCDA51A" w:rsidR="00696584" w:rsidRDefault="002C4F63">
      <w:pPr>
        <w:pStyle w:val="P68B1DB1-ListParagraph32"/>
        <w:numPr>
          <w:ilvl w:val="2"/>
          <w:numId w:val="209"/>
        </w:numPr>
        <w:ind w:left="1276"/>
      </w:pPr>
      <w:r>
        <w:t>Die Kombination der Werte der Spalten 0030, 0040, 0070 und 0110 dieses Meldebogens bildet einen Primärschlüssel, der jeweils eine spezifische Zeile des Meldebogens bezeichnet.</w:t>
      </w:r>
    </w:p>
    <w:p w14:paraId="7FE1C7C0" w14:textId="77777777" w:rsidR="00696584" w:rsidRDefault="00696584">
      <w:pPr>
        <w:pStyle w:val="ListParagraph"/>
        <w:ind w:left="1276"/>
        <w:rPr>
          <w:rFonts w:ascii="Times New Roman" w:eastAsia="Times New Roman" w:hAnsi="Times New Roman"/>
          <w:sz w:val="20"/>
          <w:szCs w:val="20"/>
        </w:rPr>
      </w:pPr>
    </w:p>
    <w:p w14:paraId="7FE1C7C1" w14:textId="77777777" w:rsidR="00696584" w:rsidRDefault="002C4F63">
      <w:pPr>
        <w:pStyle w:val="P68B1DB1-InstructionsText26"/>
        <w:numPr>
          <w:ilvl w:val="2"/>
          <w:numId w:val="209"/>
        </w:numPr>
        <w:spacing w:before="0"/>
        <w:ind w:left="1276"/>
      </w:pPr>
      <w:r>
        <w:t>Wenn mehr als ein Element in freien Feldern gemeldet werden muss, ist jede Position durch ein Semikolon (;) zu trennen.</w:t>
      </w:r>
    </w:p>
    <w:p w14:paraId="7FE1C7C2" w14:textId="77777777" w:rsidR="00696584" w:rsidRDefault="00696584">
      <w:pPr>
        <w:pStyle w:val="Instructionsberschrift2"/>
        <w:ind w:left="357"/>
        <w:rPr>
          <w:rFonts w:ascii="Times New Roman" w:eastAsia="Calibri" w:hAnsi="Times New Roman" w:cs="Times New Roman"/>
          <w:szCs w:val="20"/>
        </w:rPr>
      </w:pPr>
    </w:p>
    <w:p w14:paraId="7FE1C7C3" w14:textId="77777777" w:rsidR="00696584" w:rsidRDefault="002C4F63">
      <w:pPr>
        <w:pStyle w:val="P68B1DB1-Instructionsberschrift271"/>
        <w:numPr>
          <w:ilvl w:val="1"/>
          <w:numId w:val="49"/>
        </w:numPr>
        <w:ind w:left="357" w:hanging="357"/>
      </w:pPr>
      <w:bookmarkStart w:id="135" w:name="_Toc209533609"/>
      <w:r>
        <w:t>Z 09.01 – FMI-Dienstleistungen – Anbieter und Nutzer (FMI 1)</w:t>
      </w:r>
      <w:bookmarkEnd w:id="135"/>
    </w:p>
    <w:p w14:paraId="7FE1C7C5" w14:textId="6BE08ACD" w:rsidR="00696584" w:rsidRDefault="00696584">
      <w:pPr>
        <w:pStyle w:val="Numberedtitlelevel3"/>
        <w:rPr>
          <w:rFonts w:ascii="Times New Roman" w:hAnsi="Times New Roman" w:cs="Times New Roman"/>
          <w:color w:val="000000" w:themeColor="text1"/>
          <w:szCs w:val="20"/>
        </w:rPr>
      </w:pPr>
    </w:p>
    <w:tbl>
      <w:tblPr>
        <w:tblW w:w="9015" w:type="dxa"/>
        <w:tblInd w:w="135" w:type="dxa"/>
        <w:tblLayout w:type="fixed"/>
        <w:tblLook w:val="04A0" w:firstRow="1" w:lastRow="0" w:firstColumn="1" w:lastColumn="0" w:noHBand="0" w:noVBand="1"/>
      </w:tblPr>
      <w:tblGrid>
        <w:gridCol w:w="1183"/>
        <w:gridCol w:w="7832"/>
      </w:tblGrid>
      <w:tr w:rsidR="00696584" w14:paraId="7FE1C7C8" w14:textId="77777777">
        <w:trPr>
          <w:tblHeader/>
        </w:trPr>
        <w:tc>
          <w:tcPr>
            <w:tcW w:w="1183" w:type="dxa"/>
            <w:tcBorders>
              <w:top w:val="single" w:sz="8" w:space="0" w:color="1A171C"/>
              <w:left w:val="nil"/>
              <w:bottom w:val="single" w:sz="4" w:space="0" w:color="auto"/>
              <w:right w:val="single" w:sz="8" w:space="0" w:color="1A171C"/>
            </w:tcBorders>
            <w:shd w:val="clear" w:color="auto" w:fill="D9D9D9" w:themeFill="background1" w:themeFillShade="D9"/>
          </w:tcPr>
          <w:p w14:paraId="7FE1C7C6" w14:textId="77777777" w:rsidR="00696584" w:rsidRDefault="002C4F63">
            <w:pPr>
              <w:pStyle w:val="P68B1DB1-TableParagraph17"/>
              <w:spacing w:before="108"/>
              <w:ind w:left="85"/>
            </w:pPr>
            <w:r>
              <w:t xml:space="preserve">Spalten </w:t>
            </w:r>
          </w:p>
        </w:tc>
        <w:tc>
          <w:tcPr>
            <w:tcW w:w="7832" w:type="dxa"/>
            <w:tcBorders>
              <w:top w:val="single" w:sz="8" w:space="0" w:color="1A171C"/>
              <w:left w:val="single" w:sz="8" w:space="0" w:color="1A171C"/>
              <w:bottom w:val="single" w:sz="8" w:space="0" w:color="auto"/>
              <w:right w:val="nil"/>
            </w:tcBorders>
            <w:shd w:val="clear" w:color="auto" w:fill="D9D9D9" w:themeFill="background1" w:themeFillShade="D9"/>
          </w:tcPr>
          <w:p w14:paraId="7FE1C7C7" w14:textId="77777777" w:rsidR="00696584" w:rsidRDefault="002C4F63">
            <w:pPr>
              <w:pStyle w:val="P68B1DB1-TableParagraph17"/>
              <w:spacing w:before="108"/>
              <w:ind w:left="85"/>
            </w:pPr>
            <w:r>
              <w:t xml:space="preserve">Erläuterungen </w:t>
            </w:r>
          </w:p>
        </w:tc>
      </w:tr>
      <w:tr w:rsidR="00696584" w14:paraId="7FE1C7CD" w14:textId="77777777">
        <w:tc>
          <w:tcPr>
            <w:tcW w:w="1183" w:type="dxa"/>
            <w:tcBorders>
              <w:top w:val="single" w:sz="4" w:space="0" w:color="auto"/>
              <w:bottom w:val="single" w:sz="4" w:space="0" w:color="auto"/>
              <w:right w:val="single" w:sz="4" w:space="0" w:color="auto"/>
            </w:tcBorders>
            <w:vAlign w:val="center"/>
          </w:tcPr>
          <w:p w14:paraId="7FE1C7C9" w14:textId="77777777" w:rsidR="00696584" w:rsidRDefault="002C4F63">
            <w:pPr>
              <w:pStyle w:val="P68B1DB1-Normal31"/>
            </w:pPr>
            <w:r>
              <w:t>0010</w:t>
            </w:r>
          </w:p>
        </w:tc>
        <w:tc>
          <w:tcPr>
            <w:tcW w:w="7832" w:type="dxa"/>
            <w:tcBorders>
              <w:top w:val="single" w:sz="8" w:space="0" w:color="auto"/>
              <w:left w:val="single" w:sz="4" w:space="0" w:color="auto"/>
              <w:bottom w:val="single" w:sz="8" w:space="0" w:color="auto"/>
            </w:tcBorders>
            <w:vAlign w:val="bottom"/>
          </w:tcPr>
          <w:p w14:paraId="7FE1C7CA" w14:textId="6A59E1B7" w:rsidR="00696584" w:rsidRDefault="002C4F63">
            <w:pPr>
              <w:pStyle w:val="P68B1DB1-TableParagraph73"/>
              <w:spacing w:before="108"/>
              <w:jc w:val="both"/>
            </w:pPr>
            <w:r>
              <w:t xml:space="preserve">ID als Kombination von Nutzer, FMI, Art des Systems und </w:t>
            </w:r>
            <w:r w:rsidRPr="00401B63">
              <w:t>Finanzmittler</w:t>
            </w:r>
          </w:p>
          <w:p w14:paraId="7FE1C7CB" w14:textId="38705D18" w:rsidR="00696584" w:rsidRDefault="002C4F63">
            <w:pPr>
              <w:pStyle w:val="P68B1DB1-Normal31"/>
            </w:pPr>
            <w:r>
              <w:t xml:space="preserve">Es ist eine einzige Kennung je Zeile zu verwenden, die einer eindeutigen Kombination von Nutzer, </w:t>
            </w:r>
            <w:r w:rsidR="00C4259E">
              <w:t>FMI</w:t>
            </w:r>
            <w:r>
              <w:t xml:space="preserve">, Art des Systems und </w:t>
            </w:r>
            <w:r w:rsidRPr="00401B63">
              <w:t>Finanzmittler</w:t>
            </w:r>
            <w:r>
              <w:t xml:space="preserve"> entspricht. In den Meldebögen </w:t>
            </w:r>
            <w:r w:rsidR="00194B9D">
              <w:t>Z </w:t>
            </w:r>
            <w:r>
              <w:t xml:space="preserve">09.01 bis Z 09.04 ist gegebenenfalls dieselbe Kennung, die derselben Kombination entspricht, zu verwenden. </w:t>
            </w:r>
          </w:p>
          <w:p w14:paraId="7FE1C7CC" w14:textId="77777777" w:rsidR="00696584" w:rsidRDefault="00696584">
            <w:pPr>
              <w:rPr>
                <w:rFonts w:ascii="Times New Roman" w:eastAsia="Times New Roman" w:hAnsi="Times New Roman" w:cs="Times New Roman"/>
                <w:sz w:val="20"/>
                <w:szCs w:val="20"/>
              </w:rPr>
            </w:pPr>
          </w:p>
        </w:tc>
      </w:tr>
      <w:tr w:rsidR="00696584" w14:paraId="7FE1C7D0" w14:textId="77777777">
        <w:tc>
          <w:tcPr>
            <w:tcW w:w="1183" w:type="dxa"/>
            <w:tcBorders>
              <w:top w:val="single" w:sz="4" w:space="0" w:color="auto"/>
              <w:bottom w:val="single" w:sz="8" w:space="0" w:color="auto"/>
              <w:right w:val="single" w:sz="8" w:space="0" w:color="auto"/>
            </w:tcBorders>
            <w:vAlign w:val="center"/>
          </w:tcPr>
          <w:p w14:paraId="7FE1C7CE" w14:textId="77777777" w:rsidR="00696584" w:rsidRDefault="002C4F63">
            <w:pPr>
              <w:pStyle w:val="P68B1DB1-Normal74"/>
            </w:pPr>
            <w:r>
              <w:t>0020-0030</w:t>
            </w:r>
          </w:p>
        </w:tc>
        <w:tc>
          <w:tcPr>
            <w:tcW w:w="7832" w:type="dxa"/>
            <w:tcBorders>
              <w:top w:val="single" w:sz="8" w:space="0" w:color="auto"/>
              <w:left w:val="single" w:sz="8" w:space="0" w:color="auto"/>
              <w:bottom w:val="single" w:sz="8" w:space="0" w:color="auto"/>
            </w:tcBorders>
            <w:vAlign w:val="bottom"/>
          </w:tcPr>
          <w:p w14:paraId="7FE1C7CF" w14:textId="77777777" w:rsidR="00696584" w:rsidRDefault="002C4F63">
            <w:pPr>
              <w:pStyle w:val="P68B1DB1-TableParagraph75"/>
              <w:spacing w:before="108"/>
              <w:ind w:left="85"/>
              <w:jc w:val="both"/>
              <w:rPr>
                <w:color w:val="D13438"/>
                <w:u w:val="single"/>
              </w:rPr>
            </w:pPr>
            <w:r>
              <w:t>Verwender</w:t>
            </w:r>
          </w:p>
        </w:tc>
      </w:tr>
      <w:tr w:rsidR="00696584" w14:paraId="7FE1C7D4" w14:textId="77777777">
        <w:tc>
          <w:tcPr>
            <w:tcW w:w="1183" w:type="dxa"/>
            <w:tcBorders>
              <w:top w:val="single" w:sz="4" w:space="0" w:color="auto"/>
              <w:bottom w:val="single" w:sz="8" w:space="0" w:color="auto"/>
              <w:right w:val="single" w:sz="8" w:space="0" w:color="auto"/>
            </w:tcBorders>
            <w:vAlign w:val="center"/>
          </w:tcPr>
          <w:p w14:paraId="7FE1C7D1" w14:textId="77777777" w:rsidR="00696584" w:rsidRDefault="002C4F63">
            <w:pPr>
              <w:pStyle w:val="P68B1DB1-Normal31"/>
            </w:pPr>
            <w:r>
              <w:t>0020</w:t>
            </w:r>
          </w:p>
        </w:tc>
        <w:tc>
          <w:tcPr>
            <w:tcW w:w="7832" w:type="dxa"/>
            <w:tcBorders>
              <w:top w:val="single" w:sz="8" w:space="0" w:color="auto"/>
              <w:left w:val="single" w:sz="8" w:space="0" w:color="auto"/>
              <w:bottom w:val="single" w:sz="8" w:space="0" w:color="auto"/>
            </w:tcBorders>
            <w:vAlign w:val="bottom"/>
          </w:tcPr>
          <w:p w14:paraId="7FE1C7D2" w14:textId="77777777" w:rsidR="00696584" w:rsidRDefault="002C4F63">
            <w:pPr>
              <w:pStyle w:val="P68B1DB1-TableParagraph73"/>
              <w:spacing w:before="108" w:after="120"/>
              <w:jc w:val="both"/>
            </w:pPr>
            <w:r>
              <w:t>Name des Unternehmens</w:t>
            </w:r>
          </w:p>
          <w:p w14:paraId="7FE1C7D3" w14:textId="1C1A6E42" w:rsidR="00696584" w:rsidRDefault="002C4F63">
            <w:pPr>
              <w:pStyle w:val="P68B1DB1-TableParagraph40"/>
              <w:spacing w:before="108"/>
              <w:ind w:left="85"/>
              <w:jc w:val="both"/>
              <w:rPr>
                <w:b/>
                <w:bCs/>
                <w:i/>
                <w:iCs/>
                <w:color w:val="D13438"/>
                <w:u w:val="single"/>
              </w:rPr>
            </w:pPr>
            <w:r>
              <w:t xml:space="preserve">In Z 01.01 – Rechtliche Einheiten (ORG 1) ausgewiesene Bezeichnung des Unternehmens, das Zahlungs-, Verwahrungs-, Abwicklungs-, Clearing- oder Transaktionsregisterdienste in Anspruch nimmt. Offizielle Bezeichnung, wie in den Gründungsakten angegeben, mit Angabe der Rechtsform. </w:t>
            </w:r>
          </w:p>
        </w:tc>
      </w:tr>
      <w:tr w:rsidR="00696584" w14:paraId="7FE1C7D9" w14:textId="77777777">
        <w:tc>
          <w:tcPr>
            <w:tcW w:w="1183" w:type="dxa"/>
            <w:tcBorders>
              <w:top w:val="single" w:sz="8" w:space="0" w:color="auto"/>
              <w:bottom w:val="single" w:sz="8" w:space="0" w:color="auto"/>
              <w:right w:val="single" w:sz="8" w:space="0" w:color="auto"/>
            </w:tcBorders>
            <w:vAlign w:val="center"/>
          </w:tcPr>
          <w:p w14:paraId="7FE1C7D5" w14:textId="77777777" w:rsidR="00696584" w:rsidRDefault="002C4F63">
            <w:pPr>
              <w:pStyle w:val="P68B1DB1-Normal31"/>
            </w:pPr>
            <w:r>
              <w:t>0030</w:t>
            </w:r>
          </w:p>
        </w:tc>
        <w:tc>
          <w:tcPr>
            <w:tcW w:w="7832" w:type="dxa"/>
            <w:tcBorders>
              <w:top w:val="single" w:sz="8" w:space="0" w:color="auto"/>
              <w:left w:val="single" w:sz="8" w:space="0" w:color="auto"/>
              <w:bottom w:val="single" w:sz="8" w:space="0" w:color="auto"/>
            </w:tcBorders>
            <w:vAlign w:val="bottom"/>
          </w:tcPr>
          <w:p w14:paraId="7FE1C7D6" w14:textId="77777777" w:rsidR="00696584" w:rsidRDefault="002C4F63">
            <w:pPr>
              <w:pStyle w:val="P68B1DB1-TableParagraph73"/>
              <w:spacing w:before="108"/>
              <w:jc w:val="both"/>
            </w:pPr>
            <w:r>
              <w:t>Unternehmenscode</w:t>
            </w:r>
          </w:p>
          <w:p w14:paraId="7FE1C7D7" w14:textId="6DA7FBC1" w:rsidR="00696584" w:rsidRDefault="002C4F63">
            <w:pPr>
              <w:pStyle w:val="P68B1DB1-TableParagraph40"/>
              <w:spacing w:before="108"/>
              <w:jc w:val="both"/>
            </w:pPr>
            <w:r>
              <w:t xml:space="preserve">20-stellige alphanumerische LEI-Kennung des Rechtsträgers, der Zahlungs-, Verwahrungs-, Abwicklungs-, Clearing- oder Transaktionsregisterdienste in Anspruch nimmt, so wie im Meldebogen der Durchführungsverordnung (EU) 2018/1624 der Kommission Z 01.01 – Rechtsträger (ORG 1) angegeben. </w:t>
            </w:r>
          </w:p>
          <w:p w14:paraId="7FE1C7D8" w14:textId="77777777" w:rsidR="00696584" w:rsidRDefault="002C4F63">
            <w:pPr>
              <w:pStyle w:val="P68B1DB1-Normal31"/>
            </w:pPr>
            <w:r>
              <w:t xml:space="preserve">In Ermangelung eines LEI-Codes ist die institutsspezifische EZB-Kennung für monetäre Finanzinstitute (MFI ID) zur Verwendung in RIAD anzugeben. </w:t>
            </w:r>
          </w:p>
        </w:tc>
      </w:tr>
      <w:tr w:rsidR="00696584" w14:paraId="7FE1C7DC" w14:textId="77777777">
        <w:tc>
          <w:tcPr>
            <w:tcW w:w="1183" w:type="dxa"/>
            <w:tcBorders>
              <w:top w:val="single" w:sz="8" w:space="0" w:color="auto"/>
              <w:bottom w:val="single" w:sz="8" w:space="0" w:color="auto"/>
              <w:right w:val="single" w:sz="8" w:space="0" w:color="auto"/>
            </w:tcBorders>
            <w:vAlign w:val="center"/>
          </w:tcPr>
          <w:p w14:paraId="7FE1C7DA" w14:textId="77777777" w:rsidR="00696584" w:rsidRDefault="002C4F63">
            <w:pPr>
              <w:pStyle w:val="P68B1DB1-Normal74"/>
            </w:pPr>
            <w:r>
              <w:t>0040-0270</w:t>
            </w:r>
          </w:p>
        </w:tc>
        <w:tc>
          <w:tcPr>
            <w:tcW w:w="7832" w:type="dxa"/>
            <w:tcBorders>
              <w:top w:val="single" w:sz="8" w:space="0" w:color="auto"/>
              <w:left w:val="single" w:sz="8" w:space="0" w:color="auto"/>
              <w:bottom w:val="single" w:sz="8" w:space="0" w:color="auto"/>
            </w:tcBorders>
            <w:vAlign w:val="bottom"/>
          </w:tcPr>
          <w:p w14:paraId="7FE1C7DB" w14:textId="77777777" w:rsidR="00696584" w:rsidRDefault="002C4F63">
            <w:pPr>
              <w:pStyle w:val="P68B1DB1-TableParagraph75"/>
              <w:spacing w:before="108"/>
              <w:ind w:left="85"/>
              <w:jc w:val="both"/>
            </w:pPr>
            <w:r>
              <w:t>Anbieter</w:t>
            </w:r>
          </w:p>
        </w:tc>
      </w:tr>
      <w:tr w:rsidR="00696584" w14:paraId="7FE1C7DF" w14:textId="77777777">
        <w:tc>
          <w:tcPr>
            <w:tcW w:w="1183" w:type="dxa"/>
            <w:tcBorders>
              <w:top w:val="single" w:sz="8" w:space="0" w:color="auto"/>
              <w:bottom w:val="single" w:sz="8" w:space="0" w:color="auto"/>
              <w:right w:val="single" w:sz="8" w:space="0" w:color="auto"/>
            </w:tcBorders>
            <w:vAlign w:val="center"/>
          </w:tcPr>
          <w:p w14:paraId="7FE1C7DD" w14:textId="77777777" w:rsidR="00696584" w:rsidRDefault="002C4F63">
            <w:pPr>
              <w:pStyle w:val="P68B1DB1-Normal74"/>
            </w:pPr>
            <w:r>
              <w:t>0040-0090</w:t>
            </w:r>
          </w:p>
        </w:tc>
        <w:tc>
          <w:tcPr>
            <w:tcW w:w="7832" w:type="dxa"/>
            <w:tcBorders>
              <w:top w:val="single" w:sz="8" w:space="0" w:color="auto"/>
              <w:left w:val="single" w:sz="8" w:space="0" w:color="auto"/>
              <w:bottom w:val="single" w:sz="8" w:space="0" w:color="auto"/>
            </w:tcBorders>
            <w:vAlign w:val="bottom"/>
          </w:tcPr>
          <w:p w14:paraId="7FE1C7DE" w14:textId="77777777" w:rsidR="00696584" w:rsidRDefault="002C4F63">
            <w:pPr>
              <w:pStyle w:val="P68B1DB1-TableParagraph75"/>
              <w:spacing w:before="108"/>
              <w:ind w:left="85"/>
              <w:jc w:val="both"/>
            </w:pPr>
            <w:r>
              <w:t>FMI</w:t>
            </w:r>
          </w:p>
        </w:tc>
      </w:tr>
      <w:tr w:rsidR="00696584" w14:paraId="7FE1C7ED" w14:textId="77777777">
        <w:tc>
          <w:tcPr>
            <w:tcW w:w="1183" w:type="dxa"/>
            <w:tcBorders>
              <w:top w:val="single" w:sz="8" w:space="0" w:color="auto"/>
              <w:bottom w:val="single" w:sz="8" w:space="0" w:color="auto"/>
              <w:right w:val="single" w:sz="8" w:space="0" w:color="auto"/>
            </w:tcBorders>
            <w:vAlign w:val="center"/>
          </w:tcPr>
          <w:p w14:paraId="7FE1C7E0" w14:textId="77777777" w:rsidR="00696584" w:rsidRDefault="002C4F63">
            <w:pPr>
              <w:pStyle w:val="P68B1DB1-Normal31"/>
            </w:pPr>
            <w:r>
              <w:t>0040</w:t>
            </w:r>
          </w:p>
        </w:tc>
        <w:tc>
          <w:tcPr>
            <w:tcW w:w="7832" w:type="dxa"/>
            <w:tcBorders>
              <w:top w:val="single" w:sz="8" w:space="0" w:color="auto"/>
              <w:left w:val="single" w:sz="8" w:space="0" w:color="auto"/>
              <w:bottom w:val="single" w:sz="8" w:space="0" w:color="auto"/>
            </w:tcBorders>
            <w:vAlign w:val="bottom"/>
          </w:tcPr>
          <w:p w14:paraId="7FE1C7E1" w14:textId="77777777" w:rsidR="00696584" w:rsidRDefault="002C4F63">
            <w:pPr>
              <w:pStyle w:val="P68B1DB1-TableParagraph73"/>
              <w:spacing w:before="108"/>
              <w:ind w:left="85"/>
              <w:jc w:val="both"/>
            </w:pPr>
            <w:r>
              <w:t>Art des Systems</w:t>
            </w:r>
          </w:p>
          <w:p w14:paraId="7FE1C7E2" w14:textId="77777777" w:rsidR="00696584" w:rsidRDefault="002C4F63">
            <w:pPr>
              <w:pStyle w:val="P68B1DB1-TableParagraph40"/>
              <w:spacing w:before="108"/>
              <w:ind w:left="85"/>
              <w:jc w:val="both"/>
            </w:pPr>
            <w:r>
              <w:t>Art des Systems, das Dienstleistungen für den Nutzer erbringt. Wählen Sie unter den folgenden Arten aus:</w:t>
            </w:r>
          </w:p>
          <w:p w14:paraId="7FE1C7E3" w14:textId="64030D90" w:rsidR="00696584" w:rsidRDefault="002C4F63">
            <w:pPr>
              <w:pStyle w:val="P68B1DB1-TableParagraph40"/>
              <w:spacing w:before="108"/>
              <w:ind w:left="85"/>
              <w:jc w:val="both"/>
            </w:pPr>
            <w:r>
              <w:t xml:space="preserve">Zahlungssysteme </w:t>
            </w:r>
          </w:p>
          <w:p w14:paraId="7FE1C7E4" w14:textId="642C3011" w:rsidR="00696584" w:rsidRDefault="002C4F63">
            <w:pPr>
              <w:pStyle w:val="P68B1DB1-TableParagraph40"/>
              <w:spacing w:before="108"/>
              <w:ind w:left="85"/>
              <w:jc w:val="both"/>
            </w:pPr>
            <w:r>
              <w:t>„CSDs und ICSDs“</w:t>
            </w:r>
          </w:p>
          <w:p w14:paraId="7FE1C7E5" w14:textId="513B4E7C" w:rsidR="00696584" w:rsidRDefault="002C4F63">
            <w:pPr>
              <w:pStyle w:val="P68B1DB1-TableParagraph40"/>
              <w:spacing w:before="108"/>
              <w:ind w:left="85"/>
              <w:jc w:val="both"/>
            </w:pPr>
            <w:r>
              <w:t>„Sicherheitsabwicklungssystem“</w:t>
            </w:r>
          </w:p>
          <w:p w14:paraId="7FE1C7E6" w14:textId="61451372" w:rsidR="00696584" w:rsidRDefault="002C4F63">
            <w:pPr>
              <w:pStyle w:val="TableParagraph"/>
              <w:spacing w:before="108"/>
              <w:ind w:left="8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„Zentrale Gegenparteien für das Wertpapierclearing“</w:t>
            </w:r>
            <w:r>
              <w:rPr>
                <w:rStyle w:val="FootnoteReference"/>
                <w:rFonts w:ascii="Times New Roman" w:eastAsia="Times New Roman" w:hAnsi="Times New Roman" w:cs="Times New Roman"/>
              </w:rPr>
              <w:footnoteReference w:id="29"/>
            </w:r>
          </w:p>
          <w:p w14:paraId="7FE1C7E7" w14:textId="75E09D2C" w:rsidR="00696584" w:rsidRDefault="002C4F63">
            <w:pPr>
              <w:pStyle w:val="P68B1DB1-TableParagraph40"/>
              <w:spacing w:before="108"/>
              <w:ind w:left="85"/>
              <w:jc w:val="both"/>
            </w:pPr>
            <w:r>
              <w:t>„Zentrale Gegenparteien für das Clearing von Derivaten“</w:t>
            </w:r>
          </w:p>
          <w:p w14:paraId="7FE1C7E8" w14:textId="44FAA23C" w:rsidR="00696584" w:rsidRDefault="002C4F63">
            <w:pPr>
              <w:pStyle w:val="P68B1DB1-TableParagraph40"/>
              <w:spacing w:before="108"/>
              <w:ind w:left="85"/>
              <w:jc w:val="both"/>
            </w:pPr>
            <w:r>
              <w:t>„Registrierte Transaktionsregister“.</w:t>
            </w:r>
          </w:p>
          <w:p w14:paraId="7FE1C7E9" w14:textId="424A35E7" w:rsidR="00696584" w:rsidRDefault="002C4F63">
            <w:pPr>
              <w:pStyle w:val="TableParagraph"/>
              <w:spacing w:before="108"/>
              <w:ind w:left="8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„Multilaterale Handelssysteme“</w:t>
            </w:r>
            <w:r>
              <w:rPr>
                <w:rStyle w:val="FootnoteReference"/>
                <w:rFonts w:ascii="Times New Roman" w:eastAsia="Times New Roman" w:hAnsi="Times New Roman" w:cs="Times New Roman"/>
                <w:sz w:val="20"/>
                <w:szCs w:val="20"/>
              </w:rPr>
              <w:footnoteReference w:id="30"/>
            </w:r>
          </w:p>
          <w:p w14:paraId="7FE1C7EB" w14:textId="51093740" w:rsidR="00696584" w:rsidRDefault="002C4F63">
            <w:pPr>
              <w:pStyle w:val="P68B1DB1-TableParagraph40"/>
              <w:spacing w:before="108"/>
              <w:ind w:left="85"/>
              <w:jc w:val="both"/>
            </w:pPr>
            <w:r>
              <w:t>„Kartensysteme für Massenzahlungen“</w:t>
            </w:r>
          </w:p>
          <w:p w14:paraId="7FE1C7EC" w14:textId="69997621" w:rsidR="00696584" w:rsidRDefault="002C4F63">
            <w:pPr>
              <w:pStyle w:val="P68B1DB1-TableParagraph40"/>
              <w:spacing w:before="108"/>
              <w:ind w:left="85"/>
              <w:jc w:val="both"/>
            </w:pPr>
            <w:r>
              <w:t>„Entfällt“ – Für andere Zahlungs-, Clearing-, Abwicklungs- oder Verwahrungsdienstleistungen, die von einem Unternehmen erbracht werden, das keiner der oben genannten Kategorien angehört, z. B. Korrespondenzbanken und/oder Depotbanken, für die das Institut die endgültigen FMI nicht ermitteln kann. In Spalte 0110 ist die erbrachte Dienstleistung anzugeben.</w:t>
            </w:r>
          </w:p>
        </w:tc>
      </w:tr>
      <w:tr w:rsidR="00696584" w14:paraId="7FE1C7F4" w14:textId="77777777">
        <w:tc>
          <w:tcPr>
            <w:tcW w:w="1183" w:type="dxa"/>
            <w:tcBorders>
              <w:top w:val="single" w:sz="8" w:space="0" w:color="auto"/>
              <w:bottom w:val="single" w:sz="8" w:space="0" w:color="auto"/>
              <w:right w:val="single" w:sz="8" w:space="0" w:color="auto"/>
            </w:tcBorders>
            <w:vAlign w:val="center"/>
          </w:tcPr>
          <w:p w14:paraId="7FE1C7EE" w14:textId="77777777" w:rsidR="00696584" w:rsidRDefault="002C4F63">
            <w:pPr>
              <w:pStyle w:val="P68B1DB1-Normal31"/>
            </w:pPr>
            <w:r>
              <w:lastRenderedPageBreak/>
              <w:t>0050 – 0060</w:t>
            </w:r>
          </w:p>
        </w:tc>
        <w:tc>
          <w:tcPr>
            <w:tcW w:w="7832" w:type="dxa"/>
            <w:tcBorders>
              <w:top w:val="single" w:sz="8" w:space="0" w:color="auto"/>
              <w:left w:val="single" w:sz="8" w:space="0" w:color="auto"/>
              <w:bottom w:val="single" w:sz="8" w:space="0" w:color="auto"/>
            </w:tcBorders>
            <w:vAlign w:val="bottom"/>
          </w:tcPr>
          <w:p w14:paraId="7FE1C7EF" w14:textId="77777777" w:rsidR="00696584" w:rsidRDefault="002C4F63">
            <w:pPr>
              <w:pStyle w:val="P68B1DB1-TableParagraph73"/>
              <w:spacing w:before="108"/>
              <w:ind w:left="85"/>
              <w:jc w:val="both"/>
            </w:pPr>
            <w:r>
              <w:t>Name der FMI</w:t>
            </w:r>
          </w:p>
          <w:p w14:paraId="7FE1C7F0" w14:textId="77777777" w:rsidR="00696584" w:rsidRDefault="002C4F63">
            <w:pPr>
              <w:pStyle w:val="P68B1DB1-TableParagraph40"/>
              <w:spacing w:before="108"/>
              <w:ind w:left="85"/>
              <w:jc w:val="both"/>
            </w:pPr>
            <w:r>
              <w:t xml:space="preserve">Firmenname der Finanzmarktinfrastruktur </w:t>
            </w:r>
          </w:p>
          <w:p w14:paraId="7FE1C7F1" w14:textId="6A71A5BE" w:rsidR="00696584" w:rsidRDefault="002C4F63">
            <w:pPr>
              <w:pStyle w:val="P68B1DB1-TableParagraph40"/>
              <w:numPr>
                <w:ilvl w:val="0"/>
                <w:numId w:val="246"/>
              </w:numPr>
              <w:spacing w:before="108"/>
              <w:jc w:val="both"/>
            </w:pPr>
            <w:r>
              <w:t>Falls in Spalte 0050 enthalten, vordefinierte FMI-Bezeichnung, die in Anhang I dieser Hinweise aufgeführt ist;</w:t>
            </w:r>
          </w:p>
          <w:p w14:paraId="7FE1C7F2" w14:textId="77777777" w:rsidR="00696584" w:rsidRDefault="002C4F63">
            <w:pPr>
              <w:pStyle w:val="P68B1DB1-TableParagraph40"/>
              <w:numPr>
                <w:ilvl w:val="0"/>
                <w:numId w:val="246"/>
              </w:numPr>
              <w:spacing w:before="108" w:after="120"/>
              <w:ind w:left="442" w:hanging="357"/>
              <w:jc w:val="both"/>
            </w:pPr>
            <w:r>
              <w:t xml:space="preserve">Falls in Spalte 0050 nicht vorhanden, Name im Freitext Spalte 0060. </w:t>
            </w:r>
          </w:p>
          <w:p w14:paraId="7FE1C7F3" w14:textId="77777777" w:rsidR="00696584" w:rsidRDefault="002C4F63">
            <w:pPr>
              <w:pStyle w:val="P68B1DB1-Normal31"/>
            </w:pPr>
            <w:r>
              <w:t xml:space="preserve">Wenn in Spalte 0040 „Nicht anwendbar“ angegeben wird, bleiben diese Spalten leer. </w:t>
            </w:r>
          </w:p>
        </w:tc>
      </w:tr>
      <w:tr w:rsidR="00696584" w14:paraId="7FE1C7FB" w14:textId="77777777">
        <w:tc>
          <w:tcPr>
            <w:tcW w:w="1183" w:type="dxa"/>
            <w:tcBorders>
              <w:top w:val="single" w:sz="8" w:space="0" w:color="auto"/>
              <w:bottom w:val="single" w:sz="8" w:space="0" w:color="auto"/>
              <w:right w:val="single" w:sz="8" w:space="0" w:color="auto"/>
            </w:tcBorders>
            <w:vAlign w:val="center"/>
          </w:tcPr>
          <w:p w14:paraId="7FE1C7F5" w14:textId="77777777" w:rsidR="00696584" w:rsidRDefault="002C4F63">
            <w:pPr>
              <w:pStyle w:val="P68B1DB1-Normal31"/>
            </w:pPr>
            <w:r>
              <w:t>0070</w:t>
            </w:r>
          </w:p>
        </w:tc>
        <w:tc>
          <w:tcPr>
            <w:tcW w:w="7832" w:type="dxa"/>
            <w:tcBorders>
              <w:top w:val="single" w:sz="8" w:space="0" w:color="auto"/>
              <w:left w:val="single" w:sz="8" w:space="0" w:color="auto"/>
              <w:bottom w:val="single" w:sz="8" w:space="0" w:color="auto"/>
            </w:tcBorders>
            <w:vAlign w:val="bottom"/>
          </w:tcPr>
          <w:p w14:paraId="7FE1C7F6" w14:textId="77777777" w:rsidR="00696584" w:rsidRDefault="002C4F63">
            <w:pPr>
              <w:pStyle w:val="P68B1DB1-TableParagraph73"/>
              <w:spacing w:before="108"/>
              <w:ind w:left="85"/>
              <w:jc w:val="both"/>
            </w:pPr>
            <w:r>
              <w:t>Code der FMI</w:t>
            </w:r>
          </w:p>
          <w:p w14:paraId="7FE1C7F7" w14:textId="77777777" w:rsidR="00696584" w:rsidRDefault="002C4F63">
            <w:pPr>
              <w:pStyle w:val="P68B1DB1-TableParagraph40"/>
              <w:spacing w:before="108"/>
              <w:ind w:left="85"/>
              <w:jc w:val="both"/>
            </w:pPr>
            <w:r>
              <w:t xml:space="preserve">20-stelliger alphanumerischer LEI-Code der FMI. </w:t>
            </w:r>
          </w:p>
          <w:p w14:paraId="7FE1C7F8" w14:textId="77777777" w:rsidR="00696584" w:rsidRDefault="002C4F63">
            <w:pPr>
              <w:pStyle w:val="P68B1DB1-TableParagraph40"/>
              <w:spacing w:before="108"/>
              <w:ind w:left="85"/>
              <w:jc w:val="both"/>
            </w:pPr>
            <w:r>
              <w:t xml:space="preserve">Ist für die FMI keine LEI verfügbar, ist der LEI-Code des Betreibers anzugeben. </w:t>
            </w:r>
          </w:p>
          <w:p w14:paraId="7FE1C7F9" w14:textId="77777777" w:rsidR="00696584" w:rsidRDefault="002C4F63">
            <w:pPr>
              <w:pStyle w:val="P68B1DB1-TableParagraph40"/>
              <w:spacing w:before="108"/>
              <w:ind w:left="85"/>
              <w:jc w:val="both"/>
            </w:pPr>
            <w:r>
              <w:t>Wenn in Spalte 0040 „Nicht anwendbar (Art des FMI-Systems)“ angegeben wird, oder wenn das FMI keinen Code hat, enthält Spalte 0070 „Nicht anwendbar“.</w:t>
            </w:r>
          </w:p>
          <w:p w14:paraId="7FE1C7FA" w14:textId="77777777" w:rsidR="00696584" w:rsidRDefault="00696584">
            <w:pPr>
              <w:rPr>
                <w:rFonts w:ascii="Times New Roman" w:eastAsia="Times New Roman" w:hAnsi="Times New Roman" w:cs="Times New Roman"/>
                <w:color w:val="D13438"/>
                <w:sz w:val="20"/>
                <w:szCs w:val="20"/>
                <w:u w:val="single"/>
              </w:rPr>
            </w:pPr>
          </w:p>
        </w:tc>
      </w:tr>
      <w:tr w:rsidR="00696584" w14:paraId="7FE1C800" w14:textId="77777777">
        <w:tc>
          <w:tcPr>
            <w:tcW w:w="1183" w:type="dxa"/>
            <w:tcBorders>
              <w:top w:val="single" w:sz="8" w:space="0" w:color="auto"/>
              <w:bottom w:val="single" w:sz="8" w:space="0" w:color="auto"/>
              <w:right w:val="single" w:sz="8" w:space="0" w:color="auto"/>
            </w:tcBorders>
            <w:vAlign w:val="center"/>
          </w:tcPr>
          <w:p w14:paraId="7FE1C7FC" w14:textId="77777777" w:rsidR="00696584" w:rsidRDefault="002C4F63">
            <w:pPr>
              <w:pStyle w:val="P68B1DB1-Normal31"/>
            </w:pPr>
            <w:r>
              <w:t>0080</w:t>
            </w:r>
          </w:p>
        </w:tc>
        <w:tc>
          <w:tcPr>
            <w:tcW w:w="7832" w:type="dxa"/>
            <w:tcBorders>
              <w:top w:val="single" w:sz="8" w:space="0" w:color="auto"/>
              <w:left w:val="single" w:sz="8" w:space="0" w:color="auto"/>
              <w:bottom w:val="single" w:sz="8" w:space="0" w:color="auto"/>
            </w:tcBorders>
            <w:vAlign w:val="bottom"/>
          </w:tcPr>
          <w:p w14:paraId="7FE1C7FD" w14:textId="77777777" w:rsidR="00696584" w:rsidRDefault="002C4F63">
            <w:pPr>
              <w:pStyle w:val="P68B1DB1-Normal76"/>
              <w:spacing w:after="120"/>
            </w:pPr>
            <w:r>
              <w:t>Betreiber des FMI</w:t>
            </w:r>
          </w:p>
          <w:p w14:paraId="7FE1C7FE" w14:textId="77777777" w:rsidR="00696584" w:rsidRDefault="002C4F63">
            <w:pPr>
              <w:pStyle w:val="P68B1DB1-Normal31"/>
              <w:rPr>
                <w:b/>
              </w:rPr>
            </w:pPr>
            <w:r>
              <w:t xml:space="preserve">Name des Betreibers der FMI. </w:t>
            </w:r>
          </w:p>
          <w:p w14:paraId="7FE1C7FF" w14:textId="77777777" w:rsidR="00696584" w:rsidRDefault="00696584">
            <w:pPr>
              <w:rPr>
                <w:rFonts w:ascii="Times New Roman" w:hAnsi="Times New Roman" w:cs="Times New Roman"/>
                <w:color w:val="D13438"/>
                <w:sz w:val="20"/>
                <w:szCs w:val="20"/>
                <w:highlight w:val="yellow"/>
                <w:u w:val="single"/>
              </w:rPr>
            </w:pPr>
          </w:p>
        </w:tc>
      </w:tr>
      <w:tr w:rsidR="00696584" w14:paraId="7FE1C808" w14:textId="77777777">
        <w:tc>
          <w:tcPr>
            <w:tcW w:w="1183" w:type="dxa"/>
            <w:tcBorders>
              <w:top w:val="single" w:sz="8" w:space="0" w:color="auto"/>
              <w:bottom w:val="single" w:sz="8" w:space="0" w:color="auto"/>
              <w:right w:val="single" w:sz="8" w:space="0" w:color="auto"/>
            </w:tcBorders>
            <w:vAlign w:val="center"/>
          </w:tcPr>
          <w:p w14:paraId="7FE1C801" w14:textId="77777777" w:rsidR="00696584" w:rsidRDefault="002C4F63">
            <w:pPr>
              <w:pStyle w:val="P68B1DB1-Normal31"/>
            </w:pPr>
            <w:r>
              <w:t>0090</w:t>
            </w:r>
          </w:p>
        </w:tc>
        <w:tc>
          <w:tcPr>
            <w:tcW w:w="7832" w:type="dxa"/>
            <w:tcBorders>
              <w:top w:val="single" w:sz="8" w:space="0" w:color="auto"/>
              <w:left w:val="single" w:sz="8" w:space="0" w:color="auto"/>
              <w:bottom w:val="single" w:sz="8" w:space="0" w:color="auto"/>
            </w:tcBorders>
            <w:vAlign w:val="bottom"/>
          </w:tcPr>
          <w:p w14:paraId="7FE1C802" w14:textId="77777777" w:rsidR="00696584" w:rsidRDefault="002C4F63">
            <w:pPr>
              <w:pStyle w:val="P68B1DB1-Normal76"/>
            </w:pPr>
            <w:r>
              <w:t>Art der Beteiligung</w:t>
            </w:r>
          </w:p>
          <w:p w14:paraId="7FE1C803" w14:textId="77777777" w:rsidR="00696584" w:rsidRDefault="002C4F63">
            <w:pPr>
              <w:pStyle w:val="TableParagraph"/>
              <w:spacing w:before="108"/>
              <w:ind w:left="8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Einer der folgenden Werte ist anzugeben</w:t>
            </w:r>
            <w:r>
              <w:rPr>
                <w:rStyle w:val="FootnoteReference"/>
                <w:rFonts w:ascii="Times New Roman" w:eastAsia="Times New Roman" w:hAnsi="Times New Roman" w:cs="Times New Roman"/>
              </w:rPr>
              <w:footnoteReference w:id="31"/>
            </w:r>
            <w:r>
              <w:rPr>
                <w:rFonts w:ascii="Times New Roman" w:eastAsia="Times New Roman" w:hAnsi="Times New Roman" w:cs="Times New Roman"/>
                <w:sz w:val="20"/>
                <w:szCs w:val="20"/>
              </w:rPr>
              <w:t>:</w:t>
            </w:r>
          </w:p>
          <w:p w14:paraId="7FE1C804" w14:textId="77777777" w:rsidR="00696584" w:rsidRDefault="002C4F63">
            <w:pPr>
              <w:pStyle w:val="P68B1DB1-TableParagraph40"/>
              <w:numPr>
                <w:ilvl w:val="0"/>
                <w:numId w:val="181"/>
              </w:numPr>
              <w:spacing w:before="108"/>
              <w:jc w:val="both"/>
            </w:pPr>
            <w:r>
              <w:t xml:space="preserve">„Direkt“ im Falle der direkten Beteiligung an/Mitgliedschaft in der FMI. </w:t>
            </w:r>
          </w:p>
          <w:p w14:paraId="7FE1C805" w14:textId="77777777" w:rsidR="00696584" w:rsidRDefault="002C4F63">
            <w:pPr>
              <w:pStyle w:val="P68B1DB1-TableParagraph40"/>
              <w:numPr>
                <w:ilvl w:val="0"/>
                <w:numId w:val="181"/>
              </w:numPr>
              <w:spacing w:before="108"/>
              <w:jc w:val="both"/>
            </w:pPr>
            <w:r>
              <w:t xml:space="preserve">„Indirekt“ im Falle der indirekten Beteiligung an/Mitgliedschaft in der FMI. </w:t>
            </w:r>
          </w:p>
          <w:p w14:paraId="7FE1C806" w14:textId="77777777" w:rsidR="00696584" w:rsidRDefault="002C4F63">
            <w:pPr>
              <w:pStyle w:val="P68B1DB1-TableParagraph40"/>
              <w:numPr>
                <w:ilvl w:val="0"/>
                <w:numId w:val="181"/>
              </w:numPr>
              <w:spacing w:before="108"/>
              <w:jc w:val="both"/>
              <w:rPr>
                <w:b/>
              </w:rPr>
            </w:pPr>
            <w:r>
              <w:t>„Nicht anwendbar (Art der Beteiligung an FMI)“, wenn in Spalte 0040 „Nicht anwendbar (Art des FMI-Systems)“ angegeben wird.</w:t>
            </w:r>
          </w:p>
          <w:p w14:paraId="7FE1C807" w14:textId="77777777" w:rsidR="00696584" w:rsidRDefault="00696584">
            <w:pPr>
              <w:pStyle w:val="TableParagraph"/>
              <w:spacing w:before="108"/>
              <w:ind w:left="85"/>
              <w:jc w:val="both"/>
              <w:rPr>
                <w:rFonts w:ascii="Times New Roman" w:eastAsia="Times New Roman" w:hAnsi="Times New Roman" w:cs="Times New Roman"/>
                <w:b/>
                <w:sz w:val="20"/>
                <w:szCs w:val="20"/>
              </w:rPr>
            </w:pPr>
          </w:p>
        </w:tc>
      </w:tr>
      <w:tr w:rsidR="00696584" w14:paraId="7FE1C80B" w14:textId="77777777">
        <w:tc>
          <w:tcPr>
            <w:tcW w:w="1183" w:type="dxa"/>
            <w:tcBorders>
              <w:top w:val="single" w:sz="8" w:space="0" w:color="auto"/>
              <w:bottom w:val="single" w:sz="8" w:space="0" w:color="auto"/>
              <w:right w:val="single" w:sz="8" w:space="0" w:color="auto"/>
            </w:tcBorders>
            <w:vAlign w:val="center"/>
          </w:tcPr>
          <w:p w14:paraId="7FE1C809" w14:textId="77777777" w:rsidR="00696584" w:rsidRDefault="002C4F63">
            <w:pPr>
              <w:pStyle w:val="P68B1DB1-Normal74"/>
            </w:pPr>
            <w:r>
              <w:lastRenderedPageBreak/>
              <w:t>0100-0110</w:t>
            </w:r>
          </w:p>
        </w:tc>
        <w:tc>
          <w:tcPr>
            <w:tcW w:w="7832" w:type="dxa"/>
            <w:tcBorders>
              <w:top w:val="single" w:sz="8" w:space="0" w:color="auto"/>
              <w:left w:val="single" w:sz="8" w:space="0" w:color="auto"/>
              <w:bottom w:val="single" w:sz="8" w:space="0" w:color="auto"/>
            </w:tcBorders>
            <w:vAlign w:val="bottom"/>
          </w:tcPr>
          <w:p w14:paraId="7FE1C80A" w14:textId="04F8BC05" w:rsidR="00696584" w:rsidRDefault="00401B63">
            <w:pPr>
              <w:pStyle w:val="P68B1DB1-TableParagraph75"/>
              <w:spacing w:before="108"/>
              <w:ind w:left="85"/>
              <w:jc w:val="both"/>
            </w:pPr>
            <w:r>
              <w:t>Finanzmittler</w:t>
            </w:r>
          </w:p>
        </w:tc>
      </w:tr>
      <w:tr w:rsidR="00696584" w14:paraId="7FE1C811" w14:textId="77777777">
        <w:tc>
          <w:tcPr>
            <w:tcW w:w="1183" w:type="dxa"/>
            <w:tcBorders>
              <w:top w:val="single" w:sz="8" w:space="0" w:color="auto"/>
              <w:bottom w:val="single" w:sz="8" w:space="0" w:color="auto"/>
              <w:right w:val="single" w:sz="8" w:space="0" w:color="auto"/>
            </w:tcBorders>
            <w:vAlign w:val="center"/>
          </w:tcPr>
          <w:p w14:paraId="7FE1C80C" w14:textId="77777777" w:rsidR="00696584" w:rsidRDefault="002C4F63">
            <w:pPr>
              <w:pStyle w:val="P68B1DB1-Normal31"/>
            </w:pPr>
            <w:r>
              <w:t>0100</w:t>
            </w:r>
          </w:p>
        </w:tc>
        <w:tc>
          <w:tcPr>
            <w:tcW w:w="7832" w:type="dxa"/>
            <w:tcBorders>
              <w:top w:val="single" w:sz="8" w:space="0" w:color="auto"/>
              <w:left w:val="single" w:sz="8" w:space="0" w:color="auto"/>
              <w:bottom w:val="single" w:sz="8" w:space="0" w:color="auto"/>
            </w:tcBorders>
            <w:vAlign w:val="bottom"/>
          </w:tcPr>
          <w:p w14:paraId="7FE1C80D" w14:textId="77777777" w:rsidR="00696584" w:rsidRPr="00401B63" w:rsidRDefault="002C4F63">
            <w:pPr>
              <w:pStyle w:val="P68B1DB1-Normal76"/>
            </w:pPr>
            <w:r w:rsidRPr="00401B63">
              <w:t>Name der zwischengeschalteten Stelle</w:t>
            </w:r>
          </w:p>
          <w:p w14:paraId="7FE1C80E" w14:textId="073C603C" w:rsidR="00696584" w:rsidRPr="00401B63" w:rsidRDefault="002C4F63">
            <w:pPr>
              <w:pStyle w:val="P68B1DB1-TableParagraph40"/>
              <w:spacing w:before="108"/>
              <w:ind w:left="85"/>
              <w:jc w:val="both"/>
            </w:pPr>
            <w:r w:rsidRPr="00401B63">
              <w:t xml:space="preserve">Firmenname des </w:t>
            </w:r>
            <w:r w:rsidR="00401B63">
              <w:t>Finanzmittler</w:t>
            </w:r>
            <w:r w:rsidRPr="00401B63">
              <w:t xml:space="preserve">s, mit dem der Nutzer ein Vertragsverhältnis hat, und der den Zugang zu dem FMI ermöglicht. Zu melden, wenn in Spalte 0100 „Art der Beteiligung“ „Indirekt“ oder „Nicht anwendbar (Art der Beteiligung an FMI)“ angegeben wurde. </w:t>
            </w:r>
          </w:p>
          <w:p w14:paraId="7FE1C80F" w14:textId="4649DDA8" w:rsidR="00696584" w:rsidRPr="00401B63" w:rsidRDefault="002C4F63">
            <w:pPr>
              <w:pStyle w:val="P68B1DB1-TableParagraph40"/>
              <w:spacing w:before="108"/>
              <w:ind w:left="85"/>
              <w:jc w:val="both"/>
            </w:pPr>
            <w:r w:rsidRPr="00401B63">
              <w:t xml:space="preserve">Sofern der </w:t>
            </w:r>
            <w:r w:rsidR="00401B63">
              <w:t>Finanzmittler</w:t>
            </w:r>
            <w:r w:rsidRPr="00401B63">
              <w:t xml:space="preserve"> einen indirekten Zugang zu mehreren FMI anbietet, ist eine Zeile pro FMI aufzufüllen, für die der </w:t>
            </w:r>
            <w:r w:rsidR="00401B63">
              <w:t>Finanzmittler</w:t>
            </w:r>
            <w:r w:rsidRPr="00401B63">
              <w:t xml:space="preserve"> einen indirekten Zugang anbietet.</w:t>
            </w:r>
          </w:p>
          <w:p w14:paraId="7FE1C810" w14:textId="77777777" w:rsidR="00696584" w:rsidRPr="00401B63" w:rsidRDefault="002C4F63">
            <w:pPr>
              <w:pStyle w:val="P68B1DB1-TableParagraph40"/>
              <w:spacing w:before="108"/>
              <w:ind w:left="85"/>
              <w:jc w:val="both"/>
              <w:rPr>
                <w:b/>
              </w:rPr>
            </w:pPr>
            <w:r w:rsidRPr="00401B63">
              <w:t>Wenn in Spalte 0090 „Direkt“ angegeben wurde, bleibt diese Spalte leer.</w:t>
            </w:r>
          </w:p>
        </w:tc>
      </w:tr>
      <w:tr w:rsidR="00696584" w14:paraId="7FE1C819" w14:textId="77777777">
        <w:tc>
          <w:tcPr>
            <w:tcW w:w="1183" w:type="dxa"/>
            <w:tcBorders>
              <w:top w:val="single" w:sz="8" w:space="0" w:color="auto"/>
              <w:bottom w:val="single" w:sz="8" w:space="0" w:color="auto"/>
              <w:right w:val="single" w:sz="8" w:space="0" w:color="auto"/>
            </w:tcBorders>
            <w:vAlign w:val="center"/>
          </w:tcPr>
          <w:p w14:paraId="7FE1C812" w14:textId="77777777" w:rsidR="00696584" w:rsidRDefault="002C4F63">
            <w:pPr>
              <w:pStyle w:val="P68B1DB1-Normal31"/>
            </w:pPr>
            <w:r>
              <w:t>0110</w:t>
            </w:r>
          </w:p>
        </w:tc>
        <w:tc>
          <w:tcPr>
            <w:tcW w:w="7832" w:type="dxa"/>
            <w:tcBorders>
              <w:top w:val="single" w:sz="8" w:space="0" w:color="auto"/>
              <w:left w:val="single" w:sz="8" w:space="0" w:color="auto"/>
              <w:bottom w:val="single" w:sz="8" w:space="0" w:color="auto"/>
            </w:tcBorders>
            <w:vAlign w:val="bottom"/>
          </w:tcPr>
          <w:p w14:paraId="7FE1C813" w14:textId="116BD6CD" w:rsidR="00696584" w:rsidRPr="00401B63" w:rsidRDefault="002C4F63">
            <w:pPr>
              <w:pStyle w:val="P68B1DB1-Normal76"/>
            </w:pPr>
            <w:r w:rsidRPr="00401B63">
              <w:t xml:space="preserve">Code des </w:t>
            </w:r>
            <w:r w:rsidR="00401B63">
              <w:t>Finanzmittler</w:t>
            </w:r>
            <w:r w:rsidRPr="00401B63">
              <w:t>s</w:t>
            </w:r>
          </w:p>
          <w:p w14:paraId="7FE1C814" w14:textId="4FABB2C4" w:rsidR="00696584" w:rsidRPr="00401B63" w:rsidRDefault="002C4F63">
            <w:pPr>
              <w:pStyle w:val="P68B1DB1-TableParagraph40"/>
              <w:spacing w:before="108"/>
              <w:ind w:left="85"/>
              <w:jc w:val="both"/>
            </w:pPr>
            <w:r w:rsidRPr="00401B63">
              <w:t xml:space="preserve">20-stelliger alphanumerischer LEI-Code des </w:t>
            </w:r>
            <w:r w:rsidR="00401B63">
              <w:t>Finanzmittler</w:t>
            </w:r>
            <w:r w:rsidRPr="00401B63">
              <w:t xml:space="preserve">s. </w:t>
            </w:r>
          </w:p>
          <w:p w14:paraId="7FE1C815" w14:textId="77777777" w:rsidR="00696584" w:rsidRPr="00401B63" w:rsidRDefault="002C4F63">
            <w:pPr>
              <w:pStyle w:val="P68B1DB1-TableParagraph13"/>
              <w:spacing w:before="108"/>
              <w:ind w:left="85"/>
              <w:jc w:val="both"/>
              <w:rPr>
                <w:rFonts w:eastAsia="Cambria"/>
              </w:rPr>
            </w:pPr>
            <w:r w:rsidRPr="00401B63">
              <w:t>Die Art des Codes ist vorzugsweise der LEI-Code.</w:t>
            </w:r>
          </w:p>
          <w:p w14:paraId="7FE1C816" w14:textId="08F5DD47" w:rsidR="00696584" w:rsidRPr="00401B63" w:rsidRDefault="002C4F63">
            <w:pPr>
              <w:pStyle w:val="P68B1DB1-TableParagraph17"/>
              <w:spacing w:before="108"/>
            </w:pPr>
            <w:r w:rsidRPr="00401B63">
              <w:t>Ist die LEI nicht verfügbar, ist eine MFI-ID anzugeben oder, falls nicht verfügbar, einen nationalen Code.</w:t>
            </w:r>
          </w:p>
          <w:p w14:paraId="7FE1C817" w14:textId="3F55AEB3" w:rsidR="00696584" w:rsidRPr="00401B63" w:rsidRDefault="002C4F63">
            <w:pPr>
              <w:pStyle w:val="P68B1DB1-TableParagraph41"/>
              <w:spacing w:before="108"/>
              <w:ind w:left="85"/>
              <w:jc w:val="both"/>
              <w:rPr>
                <w:rFonts w:ascii="Times New Roman" w:eastAsia="Times New Roman" w:hAnsi="Times New Roman" w:cs="Times New Roman"/>
              </w:rPr>
            </w:pPr>
            <w:r w:rsidRPr="00401B63">
              <w:rPr>
                <w:rFonts w:ascii="Times New Roman" w:hAnsi="Times New Roman" w:cs="Times New Roman"/>
                <w:color w:val="000000" w:themeColor="text1"/>
              </w:rPr>
              <w:t>Die Identifizierung der Unternehmen erfolgt gegebenenfalls über die Meldebögen Z 09.01 bis Z 09.05 hinweg einheitlich.</w:t>
            </w:r>
            <w:r w:rsidRPr="00401B63">
              <w:rPr>
                <w:rFonts w:ascii="Times New Roman" w:eastAsia="Times New Roman" w:hAnsi="Times New Roman" w:cs="Times New Roman"/>
              </w:rPr>
              <w:t xml:space="preserve"> </w:t>
            </w:r>
          </w:p>
          <w:p w14:paraId="7FE1C818" w14:textId="77777777" w:rsidR="00696584" w:rsidRPr="00401B63" w:rsidRDefault="002C4F63">
            <w:pPr>
              <w:pStyle w:val="P68B1DB1-TableParagraph40"/>
              <w:spacing w:before="108"/>
              <w:ind w:left="85"/>
              <w:jc w:val="both"/>
              <w:rPr>
                <w:b/>
              </w:rPr>
            </w:pPr>
            <w:r w:rsidRPr="00401B63">
              <w:t>Wenn in Spalte 0090 „Direkt“ angegeben wurde, bleibt diese Spalte leer.</w:t>
            </w:r>
          </w:p>
        </w:tc>
      </w:tr>
      <w:tr w:rsidR="00696584" w14:paraId="7FE1C81C" w14:textId="77777777">
        <w:tc>
          <w:tcPr>
            <w:tcW w:w="1183" w:type="dxa"/>
            <w:tcBorders>
              <w:top w:val="single" w:sz="8" w:space="0" w:color="auto"/>
              <w:bottom w:val="single" w:sz="8" w:space="0" w:color="auto"/>
              <w:right w:val="single" w:sz="8" w:space="0" w:color="auto"/>
            </w:tcBorders>
            <w:vAlign w:val="center"/>
          </w:tcPr>
          <w:p w14:paraId="7FE1C81A" w14:textId="77777777" w:rsidR="00696584" w:rsidRDefault="002C4F63">
            <w:pPr>
              <w:pStyle w:val="P68B1DB1-Normal74"/>
            </w:pPr>
            <w:r>
              <w:t>0120-0260</w:t>
            </w:r>
          </w:p>
        </w:tc>
        <w:tc>
          <w:tcPr>
            <w:tcW w:w="7832" w:type="dxa"/>
            <w:tcBorders>
              <w:top w:val="single" w:sz="8" w:space="0" w:color="auto"/>
              <w:left w:val="single" w:sz="8" w:space="0" w:color="auto"/>
              <w:bottom w:val="single" w:sz="8" w:space="0" w:color="auto"/>
            </w:tcBorders>
            <w:vAlign w:val="bottom"/>
          </w:tcPr>
          <w:p w14:paraId="7FE1C81B" w14:textId="77777777" w:rsidR="00696584" w:rsidRDefault="002C4F63">
            <w:pPr>
              <w:pStyle w:val="P68B1DB1-Normal77"/>
              <w:rPr>
                <w:color w:val="D13438"/>
                <w:u w:val="single"/>
              </w:rPr>
            </w:pPr>
            <w:r>
              <w:t>Aufträge und Dienstleistungen</w:t>
            </w:r>
          </w:p>
        </w:tc>
      </w:tr>
      <w:tr w:rsidR="00696584" w14:paraId="7FE1C820" w14:textId="77777777">
        <w:tc>
          <w:tcPr>
            <w:tcW w:w="1183" w:type="dxa"/>
            <w:tcBorders>
              <w:top w:val="single" w:sz="8" w:space="0" w:color="auto"/>
              <w:bottom w:val="single" w:sz="8" w:space="0" w:color="auto"/>
              <w:right w:val="single" w:sz="8" w:space="0" w:color="auto"/>
            </w:tcBorders>
            <w:vAlign w:val="center"/>
          </w:tcPr>
          <w:p w14:paraId="7FE1C81D" w14:textId="77777777" w:rsidR="00696584" w:rsidRDefault="002C4F63">
            <w:pPr>
              <w:pStyle w:val="P68B1DB1-Normal31"/>
            </w:pPr>
            <w:r>
              <w:t>0120</w:t>
            </w:r>
          </w:p>
        </w:tc>
        <w:tc>
          <w:tcPr>
            <w:tcW w:w="7832" w:type="dxa"/>
            <w:tcBorders>
              <w:top w:val="single" w:sz="8" w:space="0" w:color="auto"/>
              <w:left w:val="single" w:sz="8" w:space="0" w:color="auto"/>
              <w:bottom w:val="single" w:sz="8" w:space="0" w:color="auto"/>
            </w:tcBorders>
            <w:vAlign w:val="bottom"/>
          </w:tcPr>
          <w:p w14:paraId="7FE1C81E" w14:textId="77777777" w:rsidR="00696584" w:rsidRDefault="002C4F63">
            <w:pPr>
              <w:pStyle w:val="P68B1DB1-TableParagraph73"/>
              <w:spacing w:before="108"/>
              <w:ind w:left="85"/>
              <w:jc w:val="both"/>
            </w:pPr>
            <w:r>
              <w:t>Kennung des Vertrags</w:t>
            </w:r>
          </w:p>
          <w:p w14:paraId="7FE1C81F" w14:textId="77777777" w:rsidR="00696584" w:rsidRDefault="002C4F63">
            <w:pPr>
              <w:pStyle w:val="P68B1DB1-TableParagraph40"/>
              <w:spacing w:before="108"/>
              <w:jc w:val="both"/>
              <w:rPr>
                <w:b/>
              </w:rPr>
            </w:pPr>
            <w:r>
              <w:t>Interne Kennung des Vertrags, die das Verhältnis zum FMI/Vermittler, der die Dienstleistung erbringt, regelt.</w:t>
            </w:r>
          </w:p>
        </w:tc>
      </w:tr>
      <w:tr w:rsidR="00696584" w14:paraId="7FE1C826" w14:textId="77777777">
        <w:tc>
          <w:tcPr>
            <w:tcW w:w="1183" w:type="dxa"/>
            <w:tcBorders>
              <w:top w:val="single" w:sz="8" w:space="0" w:color="auto"/>
              <w:bottom w:val="single" w:sz="8" w:space="0" w:color="auto"/>
              <w:right w:val="single" w:sz="8" w:space="0" w:color="auto"/>
            </w:tcBorders>
            <w:vAlign w:val="center"/>
          </w:tcPr>
          <w:p w14:paraId="7FE1C821" w14:textId="77777777" w:rsidR="00696584" w:rsidRDefault="002C4F63">
            <w:pPr>
              <w:pStyle w:val="P68B1DB1-Normal31"/>
            </w:pPr>
            <w:r>
              <w:t>0130</w:t>
            </w:r>
          </w:p>
        </w:tc>
        <w:tc>
          <w:tcPr>
            <w:tcW w:w="7832" w:type="dxa"/>
            <w:tcBorders>
              <w:top w:val="single" w:sz="8" w:space="0" w:color="auto"/>
              <w:left w:val="single" w:sz="8" w:space="0" w:color="auto"/>
              <w:bottom w:val="single" w:sz="8" w:space="0" w:color="auto"/>
            </w:tcBorders>
            <w:vAlign w:val="bottom"/>
          </w:tcPr>
          <w:p w14:paraId="7FE1C822" w14:textId="5B3698A0" w:rsidR="00696584" w:rsidRDefault="002C4F63">
            <w:pPr>
              <w:pStyle w:val="P68B1DB1-TableParagraph73"/>
              <w:spacing w:before="108"/>
              <w:ind w:left="85"/>
              <w:jc w:val="both"/>
              <w:rPr>
                <w:bCs/>
              </w:rPr>
            </w:pPr>
            <w:r>
              <w:t>Anwendbares Recht</w:t>
            </w:r>
          </w:p>
          <w:p w14:paraId="7FE1C823" w14:textId="77777777" w:rsidR="00696584" w:rsidRDefault="002C4F63">
            <w:pPr>
              <w:pStyle w:val="P68B1DB1-TableParagraph40"/>
              <w:spacing w:before="108"/>
              <w:ind w:left="85"/>
              <w:jc w:val="both"/>
            </w:pPr>
            <w:r>
              <w:t xml:space="preserve">Alpha-2-Ländercode nach ISO 3166-1 des Landes, dessen Recht für das vertragliche Verhältnis mit der FMI maßgeblich ist. </w:t>
            </w:r>
          </w:p>
          <w:p w14:paraId="7FE1C824" w14:textId="77777777" w:rsidR="00696584" w:rsidRDefault="002C4F63">
            <w:pPr>
              <w:pStyle w:val="P68B1DB1-TableParagraph40"/>
              <w:numPr>
                <w:ilvl w:val="0"/>
                <w:numId w:val="247"/>
              </w:numPr>
              <w:spacing w:before="108"/>
              <w:jc w:val="both"/>
              <w:rPr>
                <w:b/>
                <w:bCs/>
              </w:rPr>
            </w:pPr>
            <w:r>
              <w:t>Für direkte Zugriffe: anwendbares Recht des Vertrags zwischen der FMI und dem Nutzer</w:t>
            </w:r>
          </w:p>
          <w:p w14:paraId="7FE1C825" w14:textId="77777777" w:rsidR="00696584" w:rsidRDefault="002C4F63">
            <w:pPr>
              <w:pStyle w:val="P68B1DB1-TableParagraph40"/>
              <w:numPr>
                <w:ilvl w:val="0"/>
                <w:numId w:val="247"/>
              </w:numPr>
              <w:spacing w:before="108"/>
              <w:jc w:val="both"/>
            </w:pPr>
            <w:r>
              <w:t>Für indirekte Zugriffe: anwendbares Recht des Vertrags zwischen dem Vermittler und dem Nutzer.</w:t>
            </w:r>
          </w:p>
        </w:tc>
      </w:tr>
      <w:tr w:rsidR="00696584" w14:paraId="7FE1C82E" w14:textId="77777777">
        <w:tc>
          <w:tcPr>
            <w:tcW w:w="1183" w:type="dxa"/>
            <w:tcBorders>
              <w:top w:val="single" w:sz="8" w:space="0" w:color="auto"/>
              <w:bottom w:val="single" w:sz="8" w:space="0" w:color="auto"/>
              <w:right w:val="single" w:sz="8" w:space="0" w:color="auto"/>
            </w:tcBorders>
            <w:vAlign w:val="center"/>
          </w:tcPr>
          <w:p w14:paraId="7FE1C827" w14:textId="77777777" w:rsidR="00696584" w:rsidRDefault="002C4F63">
            <w:pPr>
              <w:pStyle w:val="P68B1DB1-Normal31"/>
            </w:pPr>
            <w:r>
              <w:t>0140</w:t>
            </w:r>
          </w:p>
        </w:tc>
        <w:tc>
          <w:tcPr>
            <w:tcW w:w="7832" w:type="dxa"/>
            <w:tcBorders>
              <w:top w:val="single" w:sz="8" w:space="0" w:color="auto"/>
              <w:left w:val="single" w:sz="8" w:space="0" w:color="auto"/>
              <w:bottom w:val="single" w:sz="8" w:space="0" w:color="auto"/>
            </w:tcBorders>
            <w:vAlign w:val="bottom"/>
          </w:tcPr>
          <w:p w14:paraId="7FE1C828" w14:textId="588A15EE" w:rsidR="00696584" w:rsidRDefault="00194B9D">
            <w:pPr>
              <w:pStyle w:val="P68B1DB1-TableParagraph73"/>
              <w:spacing w:before="108"/>
              <w:ind w:left="85"/>
              <w:jc w:val="both"/>
              <w:rPr>
                <w:bCs/>
              </w:rPr>
            </w:pPr>
            <w:r>
              <w:t xml:space="preserve">Abwicklungsgeeigneter </w:t>
            </w:r>
            <w:r w:rsidR="002C4F63">
              <w:t xml:space="preserve">Vertrag </w:t>
            </w:r>
          </w:p>
          <w:p w14:paraId="7FE1C829" w14:textId="77777777" w:rsidR="00696584" w:rsidRDefault="002C4F63">
            <w:pPr>
              <w:pStyle w:val="P68B1DB1-TableParagraph40"/>
              <w:spacing w:before="108"/>
              <w:ind w:left="85"/>
              <w:jc w:val="both"/>
            </w:pPr>
            <w:r>
              <w:t>Einer der folgenden Werte ist anzugeben:</w:t>
            </w:r>
          </w:p>
          <w:p w14:paraId="7FE1C82A" w14:textId="6A33252E" w:rsidR="00696584" w:rsidRDefault="002C4F63">
            <w:pPr>
              <w:pStyle w:val="TableParagraph"/>
              <w:spacing w:before="108"/>
              <w:ind w:left="8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„Ja“ – wenn das berichtende Unternehmen den Vertrag als abwicklungsresilient bewertet hat</w:t>
            </w:r>
            <w:r>
              <w:rPr>
                <w:rStyle w:val="FootnoteReference"/>
                <w:rFonts w:ascii="Times New Roman" w:eastAsia="Times New Roman" w:hAnsi="Times New Roman" w:cs="Times New Roman"/>
              </w:rPr>
              <w:footnoteReference w:id="32"/>
            </w:r>
            <w:r>
              <w:rPr>
                <w:rFonts w:ascii="Times New Roman" w:eastAsia="Times New Roman" w:hAnsi="Times New Roman" w:cs="Times New Roman"/>
                <w:sz w:val="20"/>
                <w:szCs w:val="20"/>
              </w:rPr>
              <w:t>.</w:t>
            </w:r>
          </w:p>
          <w:p w14:paraId="7FE1C82B" w14:textId="47263BD7" w:rsidR="00696584" w:rsidRDefault="002C4F63">
            <w:pPr>
              <w:pStyle w:val="P68B1DB1-TableParagraph40"/>
              <w:spacing w:before="108"/>
              <w:ind w:left="85"/>
              <w:jc w:val="both"/>
            </w:pPr>
            <w:r>
              <w:t>„Nein“ – wenn das berichtende Unternehmen den Vertrag als nicht abwicklungsfest eingestuft hat.</w:t>
            </w:r>
          </w:p>
          <w:p w14:paraId="7FE1C82C" w14:textId="77777777" w:rsidR="00696584" w:rsidRDefault="002C4F63">
            <w:pPr>
              <w:pStyle w:val="P68B1DB1-TableParagraph40"/>
              <w:spacing w:before="108"/>
              <w:ind w:left="85"/>
              <w:jc w:val="both"/>
            </w:pPr>
            <w:r>
              <w:t>„Nicht bewertet“ – wenn die Informationen nicht verfügbar sind.</w:t>
            </w:r>
          </w:p>
          <w:p w14:paraId="7FE1C82D" w14:textId="77777777" w:rsidR="00696584" w:rsidRDefault="002C4F63">
            <w:pPr>
              <w:pStyle w:val="P68B1DB1-TableParagraph40"/>
              <w:spacing w:before="108"/>
              <w:ind w:left="85"/>
              <w:jc w:val="both"/>
              <w:rPr>
                <w:b/>
                <w:bCs/>
                <w:i/>
                <w:iCs/>
                <w:u w:val="single"/>
              </w:rPr>
            </w:pPr>
            <w:r>
              <w:t xml:space="preserve">Nur für Intermediäre anzugeben. Bericht „Y“ für alle Verträge nach EWR-Recht.  </w:t>
            </w:r>
          </w:p>
        </w:tc>
      </w:tr>
      <w:tr w:rsidR="00696584" w14:paraId="7FE1C833" w14:textId="77777777">
        <w:tc>
          <w:tcPr>
            <w:tcW w:w="1183" w:type="dxa"/>
            <w:tcBorders>
              <w:top w:val="single" w:sz="8" w:space="0" w:color="auto"/>
              <w:bottom w:val="single" w:sz="8" w:space="0" w:color="auto"/>
              <w:right w:val="single" w:sz="8" w:space="0" w:color="auto"/>
            </w:tcBorders>
            <w:vAlign w:val="center"/>
          </w:tcPr>
          <w:p w14:paraId="7FE1C82F" w14:textId="77777777" w:rsidR="00696584" w:rsidRDefault="002C4F63">
            <w:pPr>
              <w:pStyle w:val="P68B1DB1-Normal31"/>
            </w:pPr>
            <w:r>
              <w:t>0150-0200</w:t>
            </w:r>
          </w:p>
        </w:tc>
        <w:tc>
          <w:tcPr>
            <w:tcW w:w="7832" w:type="dxa"/>
            <w:tcBorders>
              <w:top w:val="single" w:sz="8" w:space="0" w:color="auto"/>
              <w:left w:val="single" w:sz="8" w:space="0" w:color="auto"/>
              <w:bottom w:val="single" w:sz="8" w:space="0" w:color="auto"/>
            </w:tcBorders>
            <w:vAlign w:val="bottom"/>
          </w:tcPr>
          <w:p w14:paraId="7FE1C830" w14:textId="77777777" w:rsidR="00696584" w:rsidRDefault="002C4F63">
            <w:pPr>
              <w:pStyle w:val="P68B1DB1-TableParagraph73"/>
              <w:spacing w:before="108"/>
              <w:ind w:left="85"/>
              <w:jc w:val="both"/>
            </w:pPr>
            <w:r>
              <w:t>Für das meldende Unternehmen maßgebliche Währungen</w:t>
            </w:r>
          </w:p>
          <w:p w14:paraId="7FE1C831" w14:textId="77777777" w:rsidR="00696584" w:rsidRDefault="002C4F63">
            <w:pPr>
              <w:pStyle w:val="P68B1DB1-TableParagraph40"/>
              <w:spacing w:before="108"/>
              <w:ind w:left="85"/>
              <w:jc w:val="both"/>
            </w:pPr>
            <w:r>
              <w:t>Währung(en), in denen Transaktionen des meldenden Unternehmens im System akzeptiert und abgewickelt werden. Es sind nur Währungen zu melden, die mindestens 5 % der gesamten Geschäfte des meldenden Instituts mit der FMI/der zwischengeschalteten Einrichtung ausmachen.</w:t>
            </w:r>
          </w:p>
          <w:p w14:paraId="7FE1C832" w14:textId="77777777" w:rsidR="00696584" w:rsidRDefault="002C4F63">
            <w:pPr>
              <w:pStyle w:val="P68B1DB1-TableParagraph40"/>
              <w:spacing w:before="108"/>
              <w:ind w:left="85"/>
              <w:jc w:val="both"/>
              <w:rPr>
                <w:b/>
              </w:rPr>
            </w:pPr>
            <w:r>
              <w:t>Sp. 150-200 schließen sich nicht gegenseitig aus. Für „andere Währungen“ (Spalte 0170): Dreistelliger ISO-4217-Code der Währung(en).</w:t>
            </w:r>
          </w:p>
        </w:tc>
      </w:tr>
      <w:tr w:rsidR="00696584" w14:paraId="7FE1C837" w14:textId="77777777">
        <w:tc>
          <w:tcPr>
            <w:tcW w:w="1183" w:type="dxa"/>
            <w:tcBorders>
              <w:top w:val="single" w:sz="8" w:space="0" w:color="auto"/>
              <w:bottom w:val="single" w:sz="8" w:space="0" w:color="auto"/>
              <w:right w:val="single" w:sz="8" w:space="0" w:color="auto"/>
            </w:tcBorders>
            <w:vAlign w:val="center"/>
          </w:tcPr>
          <w:p w14:paraId="7FE1C834" w14:textId="77777777" w:rsidR="00696584" w:rsidRDefault="002C4F63">
            <w:pPr>
              <w:pStyle w:val="P68B1DB1-Normal31"/>
            </w:pPr>
            <w:r>
              <w:lastRenderedPageBreak/>
              <w:t>0210</w:t>
            </w:r>
          </w:p>
        </w:tc>
        <w:tc>
          <w:tcPr>
            <w:tcW w:w="7832" w:type="dxa"/>
            <w:tcBorders>
              <w:top w:val="single" w:sz="8" w:space="0" w:color="auto"/>
              <w:left w:val="single" w:sz="8" w:space="0" w:color="auto"/>
              <w:bottom w:val="single" w:sz="8" w:space="0" w:color="auto"/>
            </w:tcBorders>
            <w:vAlign w:val="bottom"/>
          </w:tcPr>
          <w:p w14:paraId="7FE1C835" w14:textId="4DCADBC7" w:rsidR="00696584" w:rsidRDefault="002C4F63">
            <w:pPr>
              <w:pStyle w:val="P68B1DB1-TableParagraph73"/>
              <w:spacing w:before="108"/>
              <w:ind w:left="85"/>
              <w:jc w:val="both"/>
            </w:pPr>
            <w:r>
              <w:t>Für FMI oder Finanzmittler erbrachte Dienstleistungen</w:t>
            </w:r>
          </w:p>
          <w:p w14:paraId="7FE1C836" w14:textId="3FA389EC" w:rsidR="00696584" w:rsidRDefault="002C4F63">
            <w:pPr>
              <w:pStyle w:val="P68B1DB1-TableParagraph40"/>
              <w:spacing w:before="108"/>
              <w:ind w:left="85"/>
              <w:jc w:val="both"/>
            </w:pPr>
            <w:r>
              <w:t xml:space="preserve">Melden Sie nur, wenn der Nutzer Dienstleistungen für die FMI/Intermediär erbringt, wie z. B. Preisanbieter, Liquiditätsgeber, Barausgleich (Währung angeben), Verwahrung, indirekter Zugang zu (ausländischen) Zentralverwahrern, Gegenpartei der Anlage usw. </w:t>
            </w:r>
          </w:p>
        </w:tc>
      </w:tr>
      <w:tr w:rsidR="00696584" w14:paraId="7FE1C83B" w14:textId="77777777">
        <w:tc>
          <w:tcPr>
            <w:tcW w:w="1183" w:type="dxa"/>
            <w:tcBorders>
              <w:top w:val="single" w:sz="8" w:space="0" w:color="auto"/>
              <w:bottom w:val="single" w:sz="8" w:space="0" w:color="auto"/>
              <w:right w:val="single" w:sz="8" w:space="0" w:color="auto"/>
            </w:tcBorders>
            <w:vAlign w:val="center"/>
          </w:tcPr>
          <w:p w14:paraId="7FE1C838" w14:textId="77777777" w:rsidR="00696584" w:rsidRDefault="002C4F63">
            <w:pPr>
              <w:pStyle w:val="P68B1DB1-Normal31"/>
            </w:pPr>
            <w:r>
              <w:t>0220</w:t>
            </w:r>
          </w:p>
        </w:tc>
        <w:tc>
          <w:tcPr>
            <w:tcW w:w="7832" w:type="dxa"/>
            <w:tcBorders>
              <w:top w:val="single" w:sz="8" w:space="0" w:color="auto"/>
              <w:left w:val="single" w:sz="8" w:space="0" w:color="auto"/>
              <w:bottom w:val="single" w:sz="8" w:space="0" w:color="auto"/>
            </w:tcBorders>
            <w:vAlign w:val="bottom"/>
          </w:tcPr>
          <w:p w14:paraId="7FE1C839" w14:textId="02B58034" w:rsidR="00696584" w:rsidRDefault="002C4F63">
            <w:pPr>
              <w:pStyle w:val="P68B1DB1-TableParagraph73"/>
              <w:spacing w:before="108"/>
              <w:ind w:left="85"/>
              <w:jc w:val="both"/>
            </w:pPr>
            <w:r>
              <w:t>Von FMI oder Finanzmittler erbrachte Dienstleistungen</w:t>
            </w:r>
          </w:p>
          <w:p w14:paraId="7FE1C83A" w14:textId="77777777" w:rsidR="00696584" w:rsidRDefault="002C4F63">
            <w:pPr>
              <w:pStyle w:val="P68B1DB1-TableParagraph40"/>
              <w:spacing w:before="108"/>
              <w:ind w:left="85"/>
              <w:jc w:val="both"/>
            </w:pPr>
            <w:r>
              <w:t>Dienstleistungen, die die FMI/der Intermediär für das berichtende Unternehmen erbringt. Geben Sie an, ob 0040 „NA“ ist.</w:t>
            </w:r>
          </w:p>
        </w:tc>
      </w:tr>
      <w:tr w:rsidR="00696584" w14:paraId="7FE1C83E" w14:textId="77777777">
        <w:tc>
          <w:tcPr>
            <w:tcW w:w="1183" w:type="dxa"/>
            <w:tcBorders>
              <w:top w:val="single" w:sz="8" w:space="0" w:color="auto"/>
              <w:bottom w:val="single" w:sz="8" w:space="0" w:color="auto"/>
              <w:right w:val="single" w:sz="8" w:space="0" w:color="auto"/>
            </w:tcBorders>
            <w:vAlign w:val="center"/>
          </w:tcPr>
          <w:p w14:paraId="7FE1C83C" w14:textId="77777777" w:rsidR="00696584" w:rsidRDefault="002C4F63">
            <w:pPr>
              <w:pStyle w:val="P68B1DB1-Normal74"/>
            </w:pPr>
            <w:r>
              <w:t>0230-0250</w:t>
            </w:r>
          </w:p>
        </w:tc>
        <w:tc>
          <w:tcPr>
            <w:tcW w:w="7832" w:type="dxa"/>
            <w:tcBorders>
              <w:top w:val="single" w:sz="8" w:space="0" w:color="auto"/>
              <w:left w:val="single" w:sz="8" w:space="0" w:color="auto"/>
              <w:bottom w:val="single" w:sz="8" w:space="0" w:color="auto"/>
            </w:tcBorders>
            <w:vAlign w:val="bottom"/>
          </w:tcPr>
          <w:p w14:paraId="7FE1C83D" w14:textId="77777777" w:rsidR="00696584" w:rsidRDefault="002C4F63">
            <w:pPr>
              <w:pStyle w:val="P68B1DB1-TableParagraph75"/>
              <w:spacing w:before="108"/>
              <w:ind w:left="85"/>
              <w:jc w:val="both"/>
            </w:pPr>
            <w:r>
              <w:t>Dienstleistungserbringer</w:t>
            </w:r>
          </w:p>
        </w:tc>
      </w:tr>
      <w:tr w:rsidR="00696584" w14:paraId="7FE1C843" w14:textId="77777777">
        <w:tc>
          <w:tcPr>
            <w:tcW w:w="1183" w:type="dxa"/>
            <w:tcBorders>
              <w:top w:val="single" w:sz="8" w:space="0" w:color="auto"/>
              <w:bottom w:val="single" w:sz="8" w:space="0" w:color="auto"/>
              <w:right w:val="single" w:sz="8" w:space="0" w:color="auto"/>
            </w:tcBorders>
            <w:vAlign w:val="center"/>
          </w:tcPr>
          <w:p w14:paraId="7FE1C83F" w14:textId="77777777" w:rsidR="00696584" w:rsidRDefault="002C4F63">
            <w:pPr>
              <w:pStyle w:val="P68B1DB1-Normal31"/>
            </w:pPr>
            <w:r>
              <w:t>0230-0250</w:t>
            </w:r>
          </w:p>
        </w:tc>
        <w:tc>
          <w:tcPr>
            <w:tcW w:w="7832" w:type="dxa"/>
            <w:tcBorders>
              <w:top w:val="single" w:sz="8" w:space="0" w:color="auto"/>
              <w:left w:val="single" w:sz="8" w:space="0" w:color="auto"/>
              <w:bottom w:val="single" w:sz="8" w:space="0" w:color="auto"/>
            </w:tcBorders>
            <w:vAlign w:val="bottom"/>
          </w:tcPr>
          <w:p w14:paraId="7FE1C840" w14:textId="77777777" w:rsidR="00696584" w:rsidRDefault="002C4F63">
            <w:pPr>
              <w:pStyle w:val="P68B1DB1-TableParagraph73"/>
              <w:spacing w:before="108"/>
              <w:ind w:left="85"/>
              <w:jc w:val="both"/>
            </w:pPr>
            <w:r>
              <w:t>Kommunikationsdienstleister</w:t>
            </w:r>
          </w:p>
          <w:p w14:paraId="7FE1C841" w14:textId="7B818514" w:rsidR="00696584" w:rsidRDefault="002C4F63">
            <w:pPr>
              <w:pStyle w:val="P68B1DB1-TableParagraph40"/>
              <w:spacing w:before="108"/>
              <w:ind w:left="85"/>
              <w:jc w:val="both"/>
            </w:pPr>
            <w:r>
              <w:t xml:space="preserve">Anbieter von Kommunikationsdiensten, die vom Institut für den Zugang zur FMI in Anspruch genommen werden. Die Spalten 230-250 schließen sich nicht gegenseitig aus. </w:t>
            </w:r>
          </w:p>
          <w:p w14:paraId="32DB4B00" w14:textId="44782334" w:rsidR="00696584" w:rsidRDefault="002C4F63">
            <w:pPr>
              <w:pStyle w:val="P68B1DB1-TableParagraph40"/>
              <w:spacing w:before="108"/>
              <w:ind w:left="85"/>
              <w:jc w:val="both"/>
            </w:pPr>
            <w:r>
              <w:t>Für „FMI propriety“-</w:t>
            </w:r>
            <w:r w:rsidR="00F75217">
              <w:t xml:space="preserve"> </w:t>
            </w:r>
            <w:r>
              <w:t xml:space="preserve">c0230 und „SWIFT“ – c0240, </w:t>
            </w:r>
            <w:r w:rsidR="003139A0">
              <w:t>Meldung</w:t>
            </w:r>
            <w:r>
              <w:t>:</w:t>
            </w:r>
          </w:p>
          <w:p w14:paraId="1D0FFCBE" w14:textId="373924D7" w:rsidR="00696584" w:rsidRDefault="002C4F63">
            <w:pPr>
              <w:pStyle w:val="P68B1DB1-TableParagraph40"/>
              <w:numPr>
                <w:ilvl w:val="0"/>
                <w:numId w:val="181"/>
              </w:numPr>
              <w:spacing w:before="108"/>
              <w:jc w:val="both"/>
            </w:pPr>
            <w:r>
              <w:t>Nein</w:t>
            </w:r>
          </w:p>
          <w:p w14:paraId="26472FE9" w14:textId="3ED80557" w:rsidR="00696584" w:rsidRDefault="002C4F63">
            <w:pPr>
              <w:pStyle w:val="P68B1DB1-TableParagraph40"/>
              <w:numPr>
                <w:ilvl w:val="0"/>
                <w:numId w:val="181"/>
              </w:numPr>
              <w:spacing w:before="108"/>
              <w:jc w:val="both"/>
            </w:pPr>
            <w:r>
              <w:t>Nr.</w:t>
            </w:r>
          </w:p>
          <w:p w14:paraId="7FE1C842" w14:textId="0C70DB31" w:rsidR="00696584" w:rsidRDefault="002C4F63">
            <w:pPr>
              <w:pStyle w:val="P68B1DB1-TableParagraph40"/>
              <w:spacing w:before="108"/>
              <w:ind w:left="85"/>
              <w:jc w:val="both"/>
            </w:pPr>
            <w:r>
              <w:t>Für „Sonstige Anbieter von Kommunikationsdiensten“ – c0250: Geben Sie den Handelsnamen Ihres Lieferanten an.</w:t>
            </w:r>
          </w:p>
        </w:tc>
      </w:tr>
      <w:tr w:rsidR="00696584" w14:paraId="7FE1C846" w14:textId="77777777">
        <w:tc>
          <w:tcPr>
            <w:tcW w:w="1183" w:type="dxa"/>
            <w:tcBorders>
              <w:top w:val="single" w:sz="8" w:space="0" w:color="auto"/>
              <w:bottom w:val="single" w:sz="8" w:space="0" w:color="auto"/>
              <w:right w:val="single" w:sz="8" w:space="0" w:color="auto"/>
            </w:tcBorders>
            <w:vAlign w:val="center"/>
          </w:tcPr>
          <w:p w14:paraId="7FE1C844" w14:textId="77777777" w:rsidR="00696584" w:rsidRDefault="002C4F63">
            <w:pPr>
              <w:pStyle w:val="P68B1DB1-Normal74"/>
            </w:pPr>
            <w:r>
              <w:t>0260-0270</w:t>
            </w:r>
          </w:p>
        </w:tc>
        <w:tc>
          <w:tcPr>
            <w:tcW w:w="7832" w:type="dxa"/>
            <w:tcBorders>
              <w:top w:val="single" w:sz="8" w:space="0" w:color="auto"/>
              <w:left w:val="single" w:sz="8" w:space="0" w:color="auto"/>
              <w:bottom w:val="single" w:sz="8" w:space="0" w:color="auto"/>
            </w:tcBorders>
            <w:vAlign w:val="bottom"/>
          </w:tcPr>
          <w:p w14:paraId="7FE1C845" w14:textId="77777777" w:rsidR="00696584" w:rsidRDefault="002C4F63">
            <w:pPr>
              <w:pStyle w:val="P68B1DB1-TableParagraph75"/>
              <w:spacing w:before="108"/>
              <w:ind w:left="85"/>
              <w:jc w:val="both"/>
            </w:pPr>
            <w:r>
              <w:t>Sonstige Zugang zu FMI bereitstellende Dienstleister</w:t>
            </w:r>
          </w:p>
        </w:tc>
      </w:tr>
      <w:tr w:rsidR="00696584" w14:paraId="7FE1C84A" w14:textId="77777777">
        <w:tc>
          <w:tcPr>
            <w:tcW w:w="1183" w:type="dxa"/>
            <w:tcBorders>
              <w:top w:val="single" w:sz="8" w:space="0" w:color="auto"/>
              <w:bottom w:val="single" w:sz="8" w:space="0" w:color="auto"/>
              <w:right w:val="single" w:sz="8" w:space="0" w:color="auto"/>
            </w:tcBorders>
            <w:vAlign w:val="center"/>
          </w:tcPr>
          <w:p w14:paraId="7FE1C847" w14:textId="77777777" w:rsidR="00696584" w:rsidRDefault="002C4F63">
            <w:pPr>
              <w:pStyle w:val="P68B1DB1-Normal31"/>
            </w:pPr>
            <w:r>
              <w:t>0260</w:t>
            </w:r>
          </w:p>
        </w:tc>
        <w:tc>
          <w:tcPr>
            <w:tcW w:w="7832" w:type="dxa"/>
            <w:tcBorders>
              <w:top w:val="single" w:sz="8" w:space="0" w:color="auto"/>
              <w:left w:val="single" w:sz="8" w:space="0" w:color="auto"/>
              <w:bottom w:val="single" w:sz="8" w:space="0" w:color="auto"/>
            </w:tcBorders>
            <w:vAlign w:val="bottom"/>
          </w:tcPr>
          <w:p w14:paraId="7FE1C848" w14:textId="77777777" w:rsidR="00696584" w:rsidRDefault="002C4F63">
            <w:pPr>
              <w:pStyle w:val="P68B1DB1-TableParagraph73"/>
              <w:spacing w:before="108"/>
              <w:ind w:left="85"/>
            </w:pPr>
            <w:r>
              <w:t xml:space="preserve">Name der zusätzlichen Dienstleister </w:t>
            </w:r>
          </w:p>
          <w:p w14:paraId="7FE1C849" w14:textId="77777777" w:rsidR="00696584" w:rsidRDefault="002C4F63">
            <w:pPr>
              <w:pStyle w:val="P68B1DB1-TableParagraph40"/>
              <w:spacing w:before="108"/>
              <w:ind w:left="85"/>
              <w:jc w:val="both"/>
              <w:rPr>
                <w:b/>
              </w:rPr>
            </w:pPr>
            <w:r>
              <w:t xml:space="preserve">Anbieter, die nicht der Vermittler sind und die für den Nutzer unbedingt erforderlich sind, falls zutreffend: Verrechnungsbank, Bargeldkorrespondent/Nostro-Agent, Liquiditätsgeber.  </w:t>
            </w:r>
            <w:r>
              <w:br/>
              <w:t>Bezeichnung des Anbieters</w:t>
            </w:r>
          </w:p>
        </w:tc>
      </w:tr>
      <w:tr w:rsidR="00696584" w14:paraId="7FE1C84E" w14:textId="77777777">
        <w:tc>
          <w:tcPr>
            <w:tcW w:w="1183" w:type="dxa"/>
            <w:tcBorders>
              <w:top w:val="single" w:sz="8" w:space="0" w:color="auto"/>
              <w:bottom w:val="single" w:sz="8" w:space="0" w:color="auto"/>
              <w:right w:val="single" w:sz="8" w:space="0" w:color="auto"/>
            </w:tcBorders>
            <w:vAlign w:val="center"/>
          </w:tcPr>
          <w:p w14:paraId="7FE1C84B" w14:textId="77777777" w:rsidR="00696584" w:rsidRDefault="002C4F63">
            <w:pPr>
              <w:pStyle w:val="P68B1DB1-Normal31"/>
            </w:pPr>
            <w:r>
              <w:t>0270</w:t>
            </w:r>
          </w:p>
        </w:tc>
        <w:tc>
          <w:tcPr>
            <w:tcW w:w="7832" w:type="dxa"/>
            <w:tcBorders>
              <w:top w:val="single" w:sz="8" w:space="0" w:color="auto"/>
              <w:left w:val="single" w:sz="8" w:space="0" w:color="auto"/>
              <w:bottom w:val="single" w:sz="8" w:space="0" w:color="auto"/>
            </w:tcBorders>
            <w:vAlign w:val="bottom"/>
          </w:tcPr>
          <w:p w14:paraId="7FE1C84C" w14:textId="77777777" w:rsidR="00696584" w:rsidRDefault="002C4F63">
            <w:pPr>
              <w:pStyle w:val="P68B1DB1-TableParagraph73"/>
              <w:spacing w:before="108"/>
              <w:ind w:left="85"/>
              <w:jc w:val="both"/>
            </w:pPr>
            <w:r>
              <w:t xml:space="preserve">Weitere Leistungen </w:t>
            </w:r>
          </w:p>
          <w:p w14:paraId="7FE1C84D" w14:textId="77777777" w:rsidR="00696584" w:rsidRDefault="002C4F63">
            <w:pPr>
              <w:pStyle w:val="P68B1DB1-TableParagraph40"/>
              <w:spacing w:before="108"/>
              <w:ind w:left="85"/>
              <w:jc w:val="both"/>
              <w:rPr>
                <w:b/>
              </w:rPr>
            </w:pPr>
            <w:r>
              <w:t xml:space="preserve">Unter 0260 gemeldete Dienstleistungen von Anbietern. </w:t>
            </w:r>
          </w:p>
        </w:tc>
      </w:tr>
      <w:tr w:rsidR="00696584" w14:paraId="7FE1C855" w14:textId="77777777">
        <w:tc>
          <w:tcPr>
            <w:tcW w:w="1183" w:type="dxa"/>
            <w:tcBorders>
              <w:top w:val="single" w:sz="8" w:space="0" w:color="auto"/>
              <w:bottom w:val="single" w:sz="8" w:space="0" w:color="auto"/>
              <w:right w:val="single" w:sz="8" w:space="0" w:color="auto"/>
            </w:tcBorders>
            <w:vAlign w:val="center"/>
          </w:tcPr>
          <w:p w14:paraId="7FE1C84F" w14:textId="77777777" w:rsidR="00696584" w:rsidRDefault="002C4F63">
            <w:pPr>
              <w:pStyle w:val="P68B1DB1-Normal31"/>
            </w:pPr>
            <w:r>
              <w:t>0280</w:t>
            </w:r>
          </w:p>
        </w:tc>
        <w:tc>
          <w:tcPr>
            <w:tcW w:w="7832" w:type="dxa"/>
            <w:tcBorders>
              <w:top w:val="single" w:sz="8" w:space="0" w:color="auto"/>
              <w:left w:val="single" w:sz="8" w:space="0" w:color="auto"/>
              <w:bottom w:val="single" w:sz="8" w:space="0" w:color="auto"/>
            </w:tcBorders>
            <w:vAlign w:val="bottom"/>
          </w:tcPr>
          <w:p w14:paraId="7FE1C850" w14:textId="77777777" w:rsidR="00696584" w:rsidRDefault="002C4F63">
            <w:pPr>
              <w:pStyle w:val="P68B1DB1-TableParagraph73"/>
              <w:spacing w:before="108"/>
              <w:ind w:left="85"/>
              <w:jc w:val="both"/>
            </w:pPr>
            <w:r>
              <w:t>Kontaktstelle bei FMI/Vermittler</w:t>
            </w:r>
          </w:p>
          <w:p w14:paraId="7FE1C851" w14:textId="4FEB5044" w:rsidR="00696584" w:rsidRDefault="002C4F63">
            <w:pPr>
              <w:pStyle w:val="P68B1DB1-TableParagraph40"/>
              <w:spacing w:before="108"/>
              <w:ind w:left="85"/>
              <w:jc w:val="both"/>
            </w:pPr>
            <w:r>
              <w:t xml:space="preserve">Kontaktstelle bei der FMI im Falle der Abwicklung des meldenden Unternehmens. </w:t>
            </w:r>
            <w:r w:rsidR="00D913E7">
              <w:t>Meldung</w:t>
            </w:r>
            <w:r>
              <w:t>:</w:t>
            </w:r>
          </w:p>
          <w:p w14:paraId="7FE1C852" w14:textId="77777777" w:rsidR="00696584" w:rsidRDefault="002C4F63">
            <w:pPr>
              <w:pStyle w:val="P68B1DB1-TableParagraph40"/>
              <w:numPr>
                <w:ilvl w:val="0"/>
                <w:numId w:val="181"/>
              </w:numPr>
              <w:ind w:left="799" w:hanging="357"/>
              <w:jc w:val="both"/>
            </w:pPr>
            <w:r>
              <w:t>Bezeichnung</w:t>
            </w:r>
          </w:p>
          <w:p w14:paraId="7FE1C853" w14:textId="77777777" w:rsidR="00696584" w:rsidRDefault="002C4F63">
            <w:pPr>
              <w:pStyle w:val="P68B1DB1-TableParagraph40"/>
              <w:numPr>
                <w:ilvl w:val="0"/>
                <w:numId w:val="181"/>
              </w:numPr>
              <w:ind w:left="799" w:hanging="357"/>
              <w:jc w:val="both"/>
            </w:pPr>
            <w:r>
              <w:t>Funktion</w:t>
            </w:r>
          </w:p>
          <w:p w14:paraId="7FE1C854" w14:textId="5FE95CD9" w:rsidR="00696584" w:rsidRDefault="002C4F63">
            <w:pPr>
              <w:pStyle w:val="P68B1DB1-TableParagraph40"/>
              <w:numPr>
                <w:ilvl w:val="0"/>
                <w:numId w:val="181"/>
              </w:numPr>
              <w:ind w:left="799" w:hanging="357"/>
              <w:jc w:val="both"/>
            </w:pPr>
            <w:r>
              <w:t>E-Mail-Adresse</w:t>
            </w:r>
          </w:p>
        </w:tc>
      </w:tr>
    </w:tbl>
    <w:p w14:paraId="7FE1C856" w14:textId="77777777" w:rsidR="00696584" w:rsidRDefault="002C4F63">
      <w:pPr>
        <w:pStyle w:val="P68B1DB1-Normal78"/>
      </w:pPr>
      <w:r>
        <w:br/>
      </w:r>
      <w:r>
        <w:br/>
      </w:r>
    </w:p>
    <w:p w14:paraId="7FE1C857" w14:textId="77777777" w:rsidR="00696584" w:rsidRDefault="002C4F63">
      <w:pPr>
        <w:spacing w:line="257" w:lineRule="auto"/>
        <w:jc w:val="both"/>
        <w:rPr>
          <w:rFonts w:ascii="Times New Roman" w:eastAsia="Verdana" w:hAnsi="Times New Roman" w:cs="Times New Roman"/>
          <w:sz w:val="20"/>
          <w:szCs w:val="20"/>
        </w:rPr>
      </w:pPr>
      <w:hyperlink r:id="rId13" w:anchor="_ftnref1" w:history="1">
        <w:r>
          <w:rPr>
            <w:rStyle w:val="Hyperlink"/>
            <w:rFonts w:ascii="Times New Roman" w:eastAsia="Verdana" w:hAnsi="Times New Roman" w:cs="Times New Roman"/>
            <w:sz w:val="20"/>
            <w:szCs w:val="20"/>
            <w:vertAlign w:val="superscript"/>
          </w:rPr>
          <w:t>[1]</w:t>
        </w:r>
      </w:hyperlink>
      <w:r>
        <w:rPr>
          <w:rFonts w:ascii="Times New Roman" w:eastAsia="Verdana" w:hAnsi="Times New Roman" w:cs="Times New Roman"/>
          <w:sz w:val="20"/>
          <w:szCs w:val="20"/>
        </w:rPr>
        <w:t xml:space="preserve"> Zum Beispiel die institutsspezifische EZB-Kennung für monetäre Finanzinstitute (MFI ID) zur Verwendung in RIAD.</w:t>
      </w:r>
    </w:p>
    <w:p w14:paraId="7FE1C858" w14:textId="11731A65" w:rsidR="00696584" w:rsidRPr="000D7090" w:rsidRDefault="002C4F63">
      <w:pPr>
        <w:spacing w:line="257" w:lineRule="auto"/>
        <w:jc w:val="both"/>
        <w:rPr>
          <w:rFonts w:ascii="Times New Roman" w:eastAsia="Verdana" w:hAnsi="Times New Roman" w:cs="Times New Roman"/>
          <w:sz w:val="20"/>
          <w:szCs w:val="20"/>
          <w:lang w:val="en-GB"/>
        </w:rPr>
      </w:pPr>
      <w:hyperlink r:id="rId14" w:anchor="_ftnref2" w:history="1">
        <w:r w:rsidRPr="000D7090">
          <w:rPr>
            <w:rStyle w:val="Hyperlink"/>
            <w:rFonts w:ascii="Times New Roman" w:eastAsia="Verdana" w:hAnsi="Times New Roman" w:cs="Times New Roman"/>
            <w:sz w:val="20"/>
            <w:szCs w:val="20"/>
            <w:vertAlign w:val="superscript"/>
            <w:lang w:val="en-GB"/>
          </w:rPr>
          <w:t>[2]</w:t>
        </w:r>
      </w:hyperlink>
      <w:r w:rsidRPr="000D7090">
        <w:rPr>
          <w:rFonts w:ascii="Times New Roman" w:eastAsia="Verdana" w:hAnsi="Times New Roman" w:cs="Times New Roman"/>
          <w:sz w:val="20"/>
          <w:szCs w:val="20"/>
          <w:lang w:val="en-GB"/>
        </w:rPr>
        <w:t xml:space="preserve"> Europäische Zentralbank, ECB Glossary of terms related to payment, clearing and settlement systems, Dezember 2009.</w:t>
      </w:r>
    </w:p>
    <w:p w14:paraId="7FE1C859" w14:textId="07C8586E" w:rsidR="00696584" w:rsidRDefault="002C4F63">
      <w:pPr>
        <w:spacing w:line="257" w:lineRule="auto"/>
        <w:jc w:val="both"/>
        <w:rPr>
          <w:rFonts w:ascii="Times New Roman" w:eastAsia="Verdana" w:hAnsi="Times New Roman" w:cs="Times New Roman"/>
          <w:sz w:val="20"/>
          <w:szCs w:val="20"/>
        </w:rPr>
      </w:pPr>
      <w:hyperlink r:id="rId15" w:anchor="_ftnref3" w:history="1">
        <w:r w:rsidRPr="000D7090">
          <w:rPr>
            <w:rStyle w:val="Hyperlink"/>
            <w:rFonts w:ascii="Times New Roman" w:eastAsia="Verdana" w:hAnsi="Times New Roman" w:cs="Times New Roman"/>
            <w:sz w:val="20"/>
            <w:szCs w:val="20"/>
            <w:vertAlign w:val="superscript"/>
            <w:lang w:val="de-AT"/>
          </w:rPr>
          <w:t xml:space="preserve"> </w:t>
        </w:r>
        <w:r>
          <w:rPr>
            <w:rStyle w:val="Hyperlink"/>
            <w:rFonts w:ascii="Times New Roman" w:eastAsia="Verdana" w:hAnsi="Times New Roman" w:cs="Times New Roman"/>
            <w:sz w:val="20"/>
            <w:szCs w:val="20"/>
            <w:vertAlign w:val="superscript"/>
          </w:rPr>
          <w:t>[3]</w:t>
        </w:r>
      </w:hyperlink>
      <w:r>
        <w:rPr>
          <w:rFonts w:ascii="Times New Roman" w:eastAsia="Verdana" w:hAnsi="Times New Roman" w:cs="Times New Roman"/>
          <w:sz w:val="20"/>
          <w:szCs w:val="20"/>
        </w:rPr>
        <w:t xml:space="preserve"> Ebd.</w:t>
      </w:r>
    </w:p>
    <w:p w14:paraId="7FE1C85A" w14:textId="77777777" w:rsidR="00696584" w:rsidRDefault="002C4F63">
      <w:pPr>
        <w:spacing w:line="257" w:lineRule="auto"/>
        <w:jc w:val="both"/>
        <w:rPr>
          <w:rFonts w:ascii="Times New Roman" w:hAnsi="Times New Roman" w:cs="Times New Roman"/>
        </w:rPr>
      </w:pPr>
      <w:hyperlink r:id="rId16" w:anchor="_ftnref4" w:history="1">
        <w:r>
          <w:rPr>
            <w:rStyle w:val="Hyperlink"/>
            <w:rFonts w:ascii="Times New Roman" w:eastAsia="Verdana" w:hAnsi="Times New Roman" w:cs="Times New Roman"/>
            <w:sz w:val="20"/>
            <w:szCs w:val="20"/>
            <w:vertAlign w:val="superscript"/>
          </w:rPr>
          <w:t>[4]</w:t>
        </w:r>
      </w:hyperlink>
      <w:r>
        <w:rPr>
          <w:rFonts w:ascii="Times New Roman" w:eastAsia="Verdana" w:hAnsi="Times New Roman" w:cs="Times New Roman"/>
          <w:sz w:val="20"/>
          <w:szCs w:val="20"/>
        </w:rPr>
        <w:t xml:space="preserve"> Zum Beispiel die institutsspezifische EZB-Kennung für monetäre Finanzinstitute (MFI ID) zur Verwendung in RIAD.</w:t>
      </w:r>
    </w:p>
    <w:p w14:paraId="7FE1C8BF" w14:textId="77777777" w:rsidR="00696584" w:rsidRDefault="00696584">
      <w:pPr>
        <w:rPr>
          <w:rFonts w:ascii="Times New Roman" w:hAnsi="Times New Roman" w:cs="Times New Roman"/>
        </w:rPr>
      </w:pPr>
    </w:p>
    <w:p w14:paraId="7FE1C8C0" w14:textId="77777777" w:rsidR="00696584" w:rsidRDefault="00696584">
      <w:pPr>
        <w:rPr>
          <w:rFonts w:ascii="Times New Roman" w:hAnsi="Times New Roman"/>
          <w:sz w:val="20"/>
          <w:szCs w:val="20"/>
          <w:u w:val="single"/>
        </w:rPr>
      </w:pPr>
    </w:p>
    <w:p w14:paraId="7FE1C8C1" w14:textId="77777777" w:rsidR="00696584" w:rsidRDefault="002C4F63">
      <w:pPr>
        <w:pStyle w:val="P68B1DB1-Instructionsberschrift25"/>
        <w:numPr>
          <w:ilvl w:val="1"/>
          <w:numId w:val="49"/>
        </w:numPr>
        <w:ind w:left="357" w:hanging="357"/>
        <w:rPr>
          <w:rFonts w:eastAsia="Calibri"/>
          <w:szCs w:val="20"/>
        </w:rPr>
      </w:pPr>
      <w:bookmarkStart w:id="136" w:name="_Toc209533610"/>
      <w:r>
        <w:t>Z 09.02 – Zuordnung zu kritischen und wesentlichen FMI (FMI 2)</w:t>
      </w:r>
      <w:bookmarkEnd w:id="136"/>
    </w:p>
    <w:p w14:paraId="7FE1C8C3" w14:textId="77777777" w:rsidR="00696584" w:rsidRDefault="002C4F63">
      <w:pPr>
        <w:pStyle w:val="P68B1DB1-InstructionsText279"/>
        <w:numPr>
          <w:ilvl w:val="2"/>
          <w:numId w:val="209"/>
        </w:numPr>
        <w:spacing w:before="0"/>
        <w:ind w:left="1276"/>
      </w:pPr>
      <w:r>
        <w:t>Kritische und wesentliche FMI-Dienstleister sind FMI-Dienstleistungen, auf die direkt oder indirekt zugegriffen wird und deren Einstellung die Ausübung einer oder mehrerer kritischer Funktionen oder Kerngeschäftsbereiche des Nutzers ernsthaft behindern oder verhindern kann.</w:t>
      </w:r>
    </w:p>
    <w:p w14:paraId="7FE1C8C4" w14:textId="77777777" w:rsidR="00696584" w:rsidRDefault="002C4F63">
      <w:pPr>
        <w:pStyle w:val="P68B1DB1-ListParagraph80"/>
        <w:numPr>
          <w:ilvl w:val="2"/>
          <w:numId w:val="209"/>
        </w:numPr>
        <w:ind w:left="1276"/>
      </w:pPr>
      <w:r>
        <w:lastRenderedPageBreak/>
        <w:t>In diesem Blatt sind nur die FMI für alle Systemtypen anzugeben, die die meldende Stelle als kritisch oder wesentlich ansieht. Andere FMI, die weder kritisch noch wesentlich sind, sind nicht enthalten.</w:t>
      </w:r>
    </w:p>
    <w:p w14:paraId="7FE1C8C5" w14:textId="77777777" w:rsidR="00696584" w:rsidRDefault="00696584">
      <w:pPr>
        <w:pStyle w:val="ListParagraph"/>
        <w:ind w:left="1276"/>
        <w:rPr>
          <w:rFonts w:ascii="Times New Roman" w:eastAsiaTheme="majorEastAsia" w:hAnsi="Times New Roman"/>
          <w:sz w:val="20"/>
          <w:szCs w:val="20"/>
        </w:rPr>
      </w:pPr>
    </w:p>
    <w:p w14:paraId="7FE1C8C6" w14:textId="77777777" w:rsidR="00696584" w:rsidRDefault="002C4F63">
      <w:pPr>
        <w:pStyle w:val="P68B1DB1-InstructionsText279"/>
        <w:numPr>
          <w:ilvl w:val="2"/>
          <w:numId w:val="209"/>
        </w:numPr>
        <w:spacing w:before="0"/>
        <w:ind w:left="1276"/>
      </w:pPr>
      <w:r>
        <w:t xml:space="preserve">Für die Zwecke der Benennung kritischer und wesentlicher FMI ist die Möglichkeit einer gleichzeitigen Beendigung der Beteiligung zu berücksichtigen.  </w:t>
      </w:r>
    </w:p>
    <w:p w14:paraId="7FE1C8C7" w14:textId="77777777" w:rsidR="00696584" w:rsidRDefault="00696584">
      <w:pPr>
        <w:pStyle w:val="Instructionsberschrift2"/>
        <w:ind w:left="1434"/>
        <w:rPr>
          <w:rFonts w:ascii="Times New Roman" w:hAnsi="Times New Roman" w:cs="Times New Roman"/>
        </w:rPr>
      </w:pPr>
    </w:p>
    <w:tbl>
      <w:tblPr>
        <w:tblW w:w="9015" w:type="dxa"/>
        <w:tblInd w:w="135" w:type="dxa"/>
        <w:tblLayout w:type="fixed"/>
        <w:tblLook w:val="04A0" w:firstRow="1" w:lastRow="0" w:firstColumn="1" w:lastColumn="0" w:noHBand="0" w:noVBand="1"/>
      </w:tblPr>
      <w:tblGrid>
        <w:gridCol w:w="1183"/>
        <w:gridCol w:w="7832"/>
      </w:tblGrid>
      <w:tr w:rsidR="00696584" w14:paraId="7FE1C8CA" w14:textId="77777777">
        <w:trPr>
          <w:tblHeader/>
        </w:trPr>
        <w:tc>
          <w:tcPr>
            <w:tcW w:w="1183" w:type="dxa"/>
            <w:tcBorders>
              <w:top w:val="single" w:sz="8" w:space="0" w:color="1A171C"/>
              <w:left w:val="nil"/>
              <w:bottom w:val="single" w:sz="8" w:space="0" w:color="1A171C"/>
              <w:right w:val="single" w:sz="8" w:space="0" w:color="1A171C"/>
            </w:tcBorders>
            <w:shd w:val="clear" w:color="auto" w:fill="D9D9D9" w:themeFill="background1" w:themeFillShade="D9"/>
          </w:tcPr>
          <w:p w14:paraId="7FE1C8C8" w14:textId="77777777" w:rsidR="00696584" w:rsidRDefault="002C4F63">
            <w:pPr>
              <w:pStyle w:val="P68B1DB1-TableParagraph17"/>
              <w:spacing w:before="108"/>
              <w:ind w:left="85"/>
            </w:pPr>
            <w:r>
              <w:t xml:space="preserve">Spalten </w:t>
            </w:r>
          </w:p>
        </w:tc>
        <w:tc>
          <w:tcPr>
            <w:tcW w:w="7832" w:type="dxa"/>
            <w:tcBorders>
              <w:top w:val="single" w:sz="8" w:space="0" w:color="1A171C"/>
              <w:left w:val="single" w:sz="8" w:space="0" w:color="1A171C"/>
              <w:bottom w:val="single" w:sz="8" w:space="0" w:color="1A171C"/>
              <w:right w:val="nil"/>
            </w:tcBorders>
            <w:shd w:val="clear" w:color="auto" w:fill="D9D9D9" w:themeFill="background1" w:themeFillShade="D9"/>
          </w:tcPr>
          <w:p w14:paraId="7FE1C8C9" w14:textId="77777777" w:rsidR="00696584" w:rsidRDefault="002C4F63">
            <w:pPr>
              <w:pStyle w:val="P68B1DB1-TableParagraph17"/>
              <w:spacing w:before="108"/>
              <w:ind w:left="85"/>
            </w:pPr>
            <w:r>
              <w:t xml:space="preserve">Erläuterungen </w:t>
            </w:r>
          </w:p>
        </w:tc>
      </w:tr>
      <w:tr w:rsidR="00696584" w14:paraId="7FE1C8CE" w14:textId="77777777">
        <w:tc>
          <w:tcPr>
            <w:tcW w:w="1183" w:type="dxa"/>
            <w:tcBorders>
              <w:top w:val="single" w:sz="8" w:space="0" w:color="1A171C"/>
              <w:bottom w:val="single" w:sz="8" w:space="0" w:color="auto"/>
              <w:right w:val="single" w:sz="8" w:space="0" w:color="auto"/>
            </w:tcBorders>
            <w:vAlign w:val="center"/>
          </w:tcPr>
          <w:p w14:paraId="7FE1C8CB" w14:textId="77777777" w:rsidR="00696584" w:rsidRDefault="002C4F63">
            <w:pPr>
              <w:pStyle w:val="P68B1DB1-Normal31"/>
            </w:pPr>
            <w:r>
              <w:t>0010</w:t>
            </w:r>
          </w:p>
        </w:tc>
        <w:tc>
          <w:tcPr>
            <w:tcW w:w="7832" w:type="dxa"/>
            <w:tcBorders>
              <w:top w:val="single" w:sz="8" w:space="0" w:color="1A171C"/>
              <w:left w:val="single" w:sz="8" w:space="0" w:color="auto"/>
              <w:bottom w:val="single" w:sz="8" w:space="0" w:color="auto"/>
            </w:tcBorders>
            <w:vAlign w:val="bottom"/>
          </w:tcPr>
          <w:p w14:paraId="7FE1C8CC" w14:textId="2BF52F3B" w:rsidR="00696584" w:rsidRDefault="002C4F63">
            <w:pPr>
              <w:pStyle w:val="P68B1DB1-TableParagraph73"/>
              <w:spacing w:before="108"/>
              <w:ind w:left="85"/>
              <w:jc w:val="both"/>
            </w:pPr>
            <w:r>
              <w:t xml:space="preserve">ID als Kombination von Nutzer, FMI, Art des Systems und </w:t>
            </w:r>
            <w:r w:rsidR="00401B63">
              <w:t>Finanzmittler</w:t>
            </w:r>
          </w:p>
          <w:p w14:paraId="7FE1C8CD" w14:textId="40993871" w:rsidR="00696584" w:rsidRDefault="002C4F63">
            <w:pPr>
              <w:pStyle w:val="P68B1DB1-TableParagraph40"/>
              <w:spacing w:before="108"/>
              <w:ind w:left="85"/>
              <w:jc w:val="both"/>
              <w:rPr>
                <w:b/>
              </w:rPr>
            </w:pPr>
            <w:r>
              <w:t xml:space="preserve">Es ist eine einzige Kennung je Zeile zu verwenden, die einer eindeutigen Kombination von Nutzer, </w:t>
            </w:r>
            <w:r w:rsidR="00C4259E">
              <w:t>FMI</w:t>
            </w:r>
            <w:r>
              <w:t xml:space="preserve">, Art des Systems und </w:t>
            </w:r>
            <w:r w:rsidR="00401B63">
              <w:t>Finanzmittler</w:t>
            </w:r>
            <w:r>
              <w:t xml:space="preserve"> entspricht. In den Meldebögen Z 09.01 bis Z 09.05 ist gegebenenfalls dieselbe Kennung, die derselben Kombination entspricht, zu verwenden.</w:t>
            </w:r>
          </w:p>
        </w:tc>
      </w:tr>
      <w:tr w:rsidR="00696584" w14:paraId="7FE1C8D1" w14:textId="77777777">
        <w:tc>
          <w:tcPr>
            <w:tcW w:w="1183" w:type="dxa"/>
            <w:tcBorders>
              <w:top w:val="single" w:sz="8" w:space="0" w:color="auto"/>
              <w:bottom w:val="single" w:sz="8" w:space="0" w:color="auto"/>
              <w:right w:val="single" w:sz="8" w:space="0" w:color="auto"/>
            </w:tcBorders>
            <w:vAlign w:val="center"/>
          </w:tcPr>
          <w:p w14:paraId="7FE1C8CF" w14:textId="77777777" w:rsidR="00696584" w:rsidRDefault="002C4F63">
            <w:pPr>
              <w:pStyle w:val="P68B1DB1-Normal74"/>
            </w:pPr>
            <w:r>
              <w:t>0020-0040</w:t>
            </w:r>
          </w:p>
        </w:tc>
        <w:tc>
          <w:tcPr>
            <w:tcW w:w="7832" w:type="dxa"/>
            <w:tcBorders>
              <w:top w:val="single" w:sz="8" w:space="0" w:color="auto"/>
              <w:left w:val="single" w:sz="8" w:space="0" w:color="auto"/>
              <w:bottom w:val="single" w:sz="8" w:space="0" w:color="auto"/>
            </w:tcBorders>
            <w:vAlign w:val="bottom"/>
          </w:tcPr>
          <w:p w14:paraId="7FE1C8D0" w14:textId="77777777" w:rsidR="00696584" w:rsidRDefault="002C4F63">
            <w:pPr>
              <w:pStyle w:val="P68B1DB1-TableParagraph75"/>
              <w:spacing w:before="108"/>
              <w:ind w:left="85"/>
              <w:jc w:val="both"/>
              <w:rPr>
                <w:bCs/>
                <w:iCs/>
              </w:rPr>
            </w:pPr>
            <w:r>
              <w:t>Kritische FMI</w:t>
            </w:r>
          </w:p>
        </w:tc>
      </w:tr>
      <w:tr w:rsidR="00696584" w14:paraId="7FE1C8D7" w14:textId="77777777">
        <w:tc>
          <w:tcPr>
            <w:tcW w:w="1183" w:type="dxa"/>
            <w:tcBorders>
              <w:top w:val="single" w:sz="8" w:space="0" w:color="auto"/>
              <w:bottom w:val="single" w:sz="8" w:space="0" w:color="auto"/>
              <w:right w:val="single" w:sz="8" w:space="0" w:color="auto"/>
            </w:tcBorders>
            <w:vAlign w:val="center"/>
          </w:tcPr>
          <w:p w14:paraId="7FE1C8D2" w14:textId="77777777" w:rsidR="00696584" w:rsidRDefault="002C4F63">
            <w:pPr>
              <w:pStyle w:val="P68B1DB1-Normal31"/>
            </w:pPr>
            <w:r>
              <w:t>0020</w:t>
            </w:r>
          </w:p>
        </w:tc>
        <w:tc>
          <w:tcPr>
            <w:tcW w:w="7832" w:type="dxa"/>
            <w:tcBorders>
              <w:top w:val="single" w:sz="8" w:space="0" w:color="auto"/>
              <w:left w:val="single" w:sz="8" w:space="0" w:color="auto"/>
              <w:bottom w:val="single" w:sz="8" w:space="0" w:color="auto"/>
            </w:tcBorders>
            <w:vAlign w:val="bottom"/>
          </w:tcPr>
          <w:p w14:paraId="7FE1C8D3" w14:textId="77777777" w:rsidR="00696584" w:rsidRDefault="002C4F63">
            <w:pPr>
              <w:pStyle w:val="P68B1DB1-TableParagraph73"/>
              <w:spacing w:before="108"/>
              <w:ind w:left="85"/>
              <w:jc w:val="both"/>
            </w:pPr>
            <w:r>
              <w:t>Kritische FMI: J/N</w:t>
            </w:r>
          </w:p>
          <w:p w14:paraId="7FE1C8D4" w14:textId="4439D1A6" w:rsidR="00696584" w:rsidRDefault="002C4F63">
            <w:pPr>
              <w:pStyle w:val="P68B1DB1-TableParagraph40"/>
              <w:numPr>
                <w:ilvl w:val="0"/>
                <w:numId w:val="248"/>
              </w:numPr>
              <w:spacing w:before="108"/>
              <w:jc w:val="both"/>
            </w:pPr>
            <w:r>
              <w:t>„Ja“, wenn die FMI kritisch ist</w:t>
            </w:r>
          </w:p>
          <w:p w14:paraId="7FE1C8D5" w14:textId="792CB29B" w:rsidR="00696584" w:rsidRDefault="002C4F63">
            <w:pPr>
              <w:pStyle w:val="P68B1DB1-TableParagraph40"/>
              <w:numPr>
                <w:ilvl w:val="0"/>
                <w:numId w:val="248"/>
              </w:numPr>
              <w:spacing w:before="108"/>
              <w:jc w:val="both"/>
              <w:rPr>
                <w:b/>
                <w:bCs/>
              </w:rPr>
            </w:pPr>
            <w:r>
              <w:t>„Nein“, wenn die FMI nicht kritisch ist</w:t>
            </w:r>
            <w:r>
              <w:rPr>
                <w:b/>
              </w:rPr>
              <w:t xml:space="preserve"> </w:t>
            </w:r>
          </w:p>
          <w:p w14:paraId="7FE1C8D6" w14:textId="77777777" w:rsidR="00696584" w:rsidRDefault="002C4F63">
            <w:pPr>
              <w:pStyle w:val="P68B1DB1-TableParagraph40"/>
              <w:spacing w:before="108"/>
              <w:ind w:left="85"/>
              <w:jc w:val="both"/>
            </w:pPr>
            <w:r>
              <w:t>Die Spalten 0020 und 0050 schließen sich nicht gegenseitig aus.</w:t>
            </w:r>
          </w:p>
        </w:tc>
      </w:tr>
      <w:tr w:rsidR="00696584" w14:paraId="7FE1C8DB" w14:textId="77777777">
        <w:tc>
          <w:tcPr>
            <w:tcW w:w="1183" w:type="dxa"/>
            <w:tcBorders>
              <w:top w:val="single" w:sz="8" w:space="0" w:color="auto"/>
              <w:bottom w:val="single" w:sz="8" w:space="0" w:color="auto"/>
              <w:right w:val="single" w:sz="8" w:space="0" w:color="auto"/>
            </w:tcBorders>
            <w:vAlign w:val="center"/>
          </w:tcPr>
          <w:p w14:paraId="7FE1C8D8" w14:textId="77777777" w:rsidR="00696584" w:rsidRDefault="002C4F63">
            <w:pPr>
              <w:pStyle w:val="P68B1DB1-Normal31"/>
            </w:pPr>
            <w:r>
              <w:t>0030</w:t>
            </w:r>
          </w:p>
        </w:tc>
        <w:tc>
          <w:tcPr>
            <w:tcW w:w="7832" w:type="dxa"/>
            <w:tcBorders>
              <w:top w:val="single" w:sz="8" w:space="0" w:color="auto"/>
              <w:left w:val="single" w:sz="8" w:space="0" w:color="auto"/>
              <w:bottom w:val="single" w:sz="8" w:space="0" w:color="auto"/>
            </w:tcBorders>
            <w:vAlign w:val="bottom"/>
          </w:tcPr>
          <w:p w14:paraId="7FE1C8D9" w14:textId="77777777" w:rsidR="00696584" w:rsidRDefault="002C4F63">
            <w:pPr>
              <w:pStyle w:val="P68B1DB1-TableParagraph73"/>
              <w:spacing w:before="108"/>
              <w:ind w:left="85"/>
              <w:jc w:val="both"/>
            </w:pPr>
            <w:r>
              <w:t>Land</w:t>
            </w:r>
          </w:p>
          <w:p w14:paraId="7FE1C8DA" w14:textId="56240ABE" w:rsidR="00696584" w:rsidRDefault="002C4F63">
            <w:pPr>
              <w:pStyle w:val="P68B1DB1-TableParagraph40"/>
              <w:spacing w:before="108"/>
              <w:ind w:left="85"/>
              <w:jc w:val="both"/>
            </w:pPr>
            <w:r>
              <w:t xml:space="preserve">Land, in dem die kritische Funktion bereitgestellt wird, wie im Meldebogen Z 07.01 angegeben. </w:t>
            </w:r>
          </w:p>
        </w:tc>
      </w:tr>
      <w:tr w:rsidR="00696584" w14:paraId="7FE1C8E0" w14:textId="77777777">
        <w:tc>
          <w:tcPr>
            <w:tcW w:w="1183" w:type="dxa"/>
            <w:tcBorders>
              <w:top w:val="single" w:sz="8" w:space="0" w:color="auto"/>
              <w:bottom w:val="single" w:sz="8" w:space="0" w:color="auto"/>
              <w:right w:val="single" w:sz="8" w:space="0" w:color="auto"/>
            </w:tcBorders>
            <w:vAlign w:val="center"/>
          </w:tcPr>
          <w:p w14:paraId="7FE1C8DC" w14:textId="77777777" w:rsidR="00696584" w:rsidRDefault="002C4F63">
            <w:pPr>
              <w:pStyle w:val="P68B1DB1-Normal31"/>
              <w:rPr>
                <w:b/>
                <w:i/>
              </w:rPr>
            </w:pPr>
            <w:r>
              <w:t>0040</w:t>
            </w:r>
          </w:p>
        </w:tc>
        <w:tc>
          <w:tcPr>
            <w:tcW w:w="7832" w:type="dxa"/>
            <w:tcBorders>
              <w:top w:val="single" w:sz="8" w:space="0" w:color="auto"/>
              <w:left w:val="single" w:sz="8" w:space="0" w:color="auto"/>
              <w:bottom w:val="single" w:sz="8" w:space="0" w:color="auto"/>
            </w:tcBorders>
            <w:vAlign w:val="bottom"/>
          </w:tcPr>
          <w:p w14:paraId="7FE1C8DD" w14:textId="77777777" w:rsidR="00696584" w:rsidRDefault="002C4F63">
            <w:pPr>
              <w:pStyle w:val="P68B1DB1-TableParagraph73"/>
              <w:spacing w:before="108"/>
              <w:ind w:left="85"/>
              <w:jc w:val="both"/>
            </w:pPr>
            <w:r>
              <w:t>ID der kritischen Funktion</w:t>
            </w:r>
          </w:p>
          <w:p w14:paraId="7FE1C8DE" w14:textId="77777777" w:rsidR="00696584" w:rsidRDefault="002C4F63">
            <w:pPr>
              <w:pStyle w:val="P68B1DB1-TableParagraph40"/>
              <w:spacing w:before="108"/>
              <w:ind w:left="85"/>
              <w:jc w:val="both"/>
            </w:pPr>
            <w:r>
              <w:t>Kritische Funktion(en), die von dem Unternehmen wahrgenommen werden und deren Erfüllung durch die Unterbrechung des Zugangs zu Zahlungs-, Verwahrungs-, Abrechnungs-, Clearing- oder Transaktionsregisterdiensten behindert oder unterbunden würde.</w:t>
            </w:r>
          </w:p>
          <w:p w14:paraId="79796B83" w14:textId="298E6F56" w:rsidR="00696584" w:rsidRDefault="002C4F63">
            <w:pPr>
              <w:pStyle w:val="P68B1DB1-TableParagraph40"/>
              <w:spacing w:before="108"/>
              <w:ind w:left="85"/>
              <w:jc w:val="both"/>
              <w:rPr>
                <w:b/>
                <w:bCs/>
              </w:rPr>
            </w:pPr>
            <w:r>
              <w:t>Kennung der kritischen Funktionen gemäß Z07.01</w:t>
            </w:r>
            <w:r>
              <w:rPr>
                <w:b/>
              </w:rPr>
              <w:t>:</w:t>
            </w:r>
          </w:p>
          <w:p w14:paraId="58520404" w14:textId="77777777" w:rsidR="00696584" w:rsidRDefault="00696584">
            <w:pPr>
              <w:pStyle w:val="TableParagraph"/>
              <w:spacing w:before="108"/>
              <w:ind w:left="85"/>
              <w:jc w:val="both"/>
              <w:rPr>
                <w:rFonts w:ascii="Times New Roman" w:eastAsia="Times New Roman" w:hAnsi="Times New Roman" w:cs="Times New Roman"/>
                <w:b/>
                <w:bCs/>
                <w:sz w:val="20"/>
                <w:szCs w:val="20"/>
              </w:rPr>
            </w:pPr>
          </w:p>
          <w:p w14:paraId="0E718D7B" w14:textId="77777777" w:rsidR="00696584" w:rsidRDefault="002C4F63">
            <w:pPr>
              <w:pStyle w:val="P68B1DB1-Normal19"/>
              <w:rPr>
                <w:rFonts w:eastAsiaTheme="minorHAnsi"/>
              </w:rPr>
            </w:pPr>
            <w:r>
              <w:t>Einlagen</w:t>
            </w:r>
          </w:p>
          <w:p w14:paraId="354D6B7F" w14:textId="77777777" w:rsidR="00696584" w:rsidRDefault="002C4F63">
            <w:pPr>
              <w:pStyle w:val="P68B1DB1-Normal19"/>
              <w:ind w:left="708"/>
            </w:pPr>
            <w:r>
              <w:t>Einlagen privater Haushalte</w:t>
            </w:r>
          </w:p>
          <w:p w14:paraId="71C89914" w14:textId="77777777" w:rsidR="00696584" w:rsidRDefault="002C4F63">
            <w:pPr>
              <w:pStyle w:val="P68B1DB1-Normal19"/>
              <w:ind w:left="708"/>
            </w:pPr>
            <w:r>
              <w:t xml:space="preserve">Einlagen nichtfinanzieller Kapitalgesellschaften </w:t>
            </w:r>
          </w:p>
          <w:p w14:paraId="7621A95F" w14:textId="69E34691" w:rsidR="00696584" w:rsidRDefault="002C4F63">
            <w:pPr>
              <w:pStyle w:val="P68B1DB1-Normal19"/>
              <w:ind w:left="1405"/>
            </w:pPr>
            <w:r>
              <w:t>Einlagen von KMU nichtfinanzieller Kapitalgesellschaften</w:t>
            </w:r>
          </w:p>
          <w:p w14:paraId="046B913C" w14:textId="73440AD0" w:rsidR="00696584" w:rsidRDefault="002C4F63">
            <w:pPr>
              <w:pStyle w:val="P68B1DB1-Normal19"/>
              <w:ind w:left="1405"/>
            </w:pPr>
            <w:r>
              <w:t>Einlagen von Nichtfinanzielle Kapitalgesellschaften (keine KMU)</w:t>
            </w:r>
          </w:p>
          <w:p w14:paraId="2DAF57AE" w14:textId="77777777" w:rsidR="00696584" w:rsidRDefault="002C4F63">
            <w:pPr>
              <w:pStyle w:val="P68B1DB1-Normal19"/>
              <w:ind w:left="708"/>
            </w:pPr>
            <w:r>
              <w:t>Einlagen von Generalstaaten</w:t>
            </w:r>
          </w:p>
          <w:p w14:paraId="3AC3807C" w14:textId="77777777" w:rsidR="00696584" w:rsidRDefault="002C4F63">
            <w:pPr>
              <w:pStyle w:val="P68B1DB1-Normal19"/>
              <w:ind w:left="708"/>
            </w:pPr>
            <w:r>
              <w:t>Einlagen von anderen Sektoren/Gegenparteien (1)</w:t>
            </w:r>
          </w:p>
          <w:p w14:paraId="7924D974" w14:textId="77777777" w:rsidR="00696584" w:rsidRDefault="002C4F63">
            <w:pPr>
              <w:pStyle w:val="P68B1DB1-Normal19"/>
              <w:ind w:left="708"/>
            </w:pPr>
            <w:r>
              <w:t>Einlagen von anderen Sektoren/Gegenparteien (2)</w:t>
            </w:r>
          </w:p>
          <w:p w14:paraId="15B73120" w14:textId="77777777" w:rsidR="00696584" w:rsidRDefault="002C4F63">
            <w:pPr>
              <w:pStyle w:val="P68B1DB1-Normal19"/>
              <w:ind w:left="708"/>
            </w:pPr>
            <w:r>
              <w:t>Einlagen von anderen Sektoren/Gegenparteien (3)</w:t>
            </w:r>
          </w:p>
          <w:p w14:paraId="2FE46760" w14:textId="77777777" w:rsidR="00696584" w:rsidRDefault="00696584">
            <w:pPr>
              <w:rPr>
                <w:rFonts w:ascii="Times New Roman" w:hAnsi="Times New Roman" w:cs="Times New Roman"/>
                <w:sz w:val="20"/>
                <w:szCs w:val="20"/>
              </w:rPr>
            </w:pPr>
          </w:p>
          <w:p w14:paraId="685EA40A" w14:textId="77777777" w:rsidR="00696584" w:rsidRDefault="002C4F63">
            <w:pPr>
              <w:pStyle w:val="P68B1DB1-Normal19"/>
            </w:pPr>
            <w:r>
              <w:t>Finanzierungen</w:t>
            </w:r>
          </w:p>
          <w:p w14:paraId="11C80F7E" w14:textId="77777777" w:rsidR="00696584" w:rsidRDefault="002C4F63">
            <w:pPr>
              <w:pStyle w:val="P68B1DB1-Normal19"/>
              <w:ind w:left="708"/>
            </w:pPr>
            <w:r>
              <w:t>Kreditvergabe an private Haushalte</w:t>
            </w:r>
          </w:p>
          <w:p w14:paraId="430711EA" w14:textId="77777777" w:rsidR="00696584" w:rsidRDefault="002C4F63">
            <w:pPr>
              <w:pStyle w:val="P68B1DB1-Normal19"/>
              <w:ind w:left="1416"/>
            </w:pPr>
            <w:r>
              <w:t>Wohnungsbaukredite an private Haushalte</w:t>
            </w:r>
          </w:p>
          <w:p w14:paraId="0147203E" w14:textId="77777777" w:rsidR="00696584" w:rsidRDefault="002C4F63">
            <w:pPr>
              <w:pStyle w:val="P68B1DB1-Normal19"/>
              <w:ind w:left="1416"/>
            </w:pPr>
            <w:r>
              <w:t>Kredite an private Haushalte (außer Wohnungsbau)</w:t>
            </w:r>
          </w:p>
          <w:p w14:paraId="20ACA306" w14:textId="77777777" w:rsidR="00696584" w:rsidRDefault="002C4F63">
            <w:pPr>
              <w:pStyle w:val="P68B1DB1-Normal19"/>
              <w:ind w:left="708"/>
            </w:pPr>
            <w:r>
              <w:t>Kredite an nichtfinanzielle Kapitalgesellschaften</w:t>
            </w:r>
          </w:p>
          <w:p w14:paraId="19F6CF03" w14:textId="3FBCFA7C" w:rsidR="00696584" w:rsidRDefault="002C4F63">
            <w:pPr>
              <w:pStyle w:val="P68B1DB1-Normal19"/>
              <w:ind w:left="1416"/>
            </w:pPr>
            <w:r>
              <w:t>Kredite an nichtfinanzielle Kapitalgesellschaften</w:t>
            </w:r>
          </w:p>
          <w:p w14:paraId="2C705D0D" w14:textId="77777777" w:rsidR="00696584" w:rsidRDefault="002C4F63">
            <w:pPr>
              <w:pStyle w:val="P68B1DB1-Normal19"/>
              <w:ind w:left="1416"/>
            </w:pPr>
            <w:r>
              <w:t>Kreditvergabe an Nichtfinanzielle Kapitalgesellschaften (keine KMU)</w:t>
            </w:r>
          </w:p>
          <w:p w14:paraId="6DAE8B55" w14:textId="77777777" w:rsidR="00696584" w:rsidRDefault="002C4F63">
            <w:pPr>
              <w:pStyle w:val="P68B1DB1-Normal19"/>
              <w:ind w:left="708"/>
            </w:pPr>
            <w:r>
              <w:t>Darlehen an allgemeine Regierungen</w:t>
            </w:r>
          </w:p>
          <w:p w14:paraId="5C2428A3" w14:textId="77777777" w:rsidR="00696584" w:rsidRDefault="002C4F63">
            <w:pPr>
              <w:pStyle w:val="P68B1DB1-Normal19"/>
              <w:ind w:left="708"/>
            </w:pPr>
            <w:r>
              <w:t>Kreditvergabe an andere Sektoren/Gegenparteien (1)</w:t>
            </w:r>
          </w:p>
          <w:p w14:paraId="7237D4E5" w14:textId="77777777" w:rsidR="00696584" w:rsidRDefault="002C4F63">
            <w:pPr>
              <w:pStyle w:val="P68B1DB1-Normal19"/>
              <w:ind w:left="708"/>
            </w:pPr>
            <w:r>
              <w:t>Kreditvergabe an andere Sektoren/Gegenparteien (2)</w:t>
            </w:r>
          </w:p>
          <w:p w14:paraId="62EF53AB" w14:textId="77777777" w:rsidR="00696584" w:rsidRDefault="002C4F63">
            <w:pPr>
              <w:pStyle w:val="P68B1DB1-Normal19"/>
              <w:ind w:left="708"/>
            </w:pPr>
            <w:r>
              <w:t>Kreditvergabe an andere Sektoren/Gegenparteien (3)</w:t>
            </w:r>
          </w:p>
          <w:p w14:paraId="1269B857" w14:textId="77777777" w:rsidR="00696584" w:rsidRDefault="00696584">
            <w:pPr>
              <w:rPr>
                <w:rFonts w:ascii="Times New Roman" w:hAnsi="Times New Roman" w:cs="Times New Roman"/>
                <w:sz w:val="20"/>
                <w:szCs w:val="20"/>
              </w:rPr>
            </w:pPr>
          </w:p>
          <w:p w14:paraId="7CD1A6B0" w14:textId="77777777" w:rsidR="00696584" w:rsidRDefault="002C4F63">
            <w:pPr>
              <w:pStyle w:val="P68B1DB1-Normal19"/>
            </w:pPr>
            <w:r>
              <w:t xml:space="preserve">Zahlung, Bargeld, Abrechnung, Clearing, Verwahrung </w:t>
            </w:r>
          </w:p>
          <w:p w14:paraId="11F499EA" w14:textId="77777777" w:rsidR="00696584" w:rsidRDefault="002C4F63">
            <w:pPr>
              <w:pStyle w:val="P68B1DB1-Normal19"/>
              <w:ind w:left="708"/>
            </w:pPr>
            <w:r>
              <w:lastRenderedPageBreak/>
              <w:t>Zahlungsdienste für MFI</w:t>
            </w:r>
          </w:p>
          <w:p w14:paraId="6FC14FBE" w14:textId="4F1706DC" w:rsidR="00696584" w:rsidRDefault="002C4F63">
            <w:pPr>
              <w:pStyle w:val="P68B1DB1-Normal19"/>
              <w:ind w:left="708"/>
            </w:pPr>
            <w:bookmarkStart w:id="137" w:name="_Hlk192600698"/>
            <w:r>
              <w:t>Zahlungsdienste für Nicht-MFI</w:t>
            </w:r>
          </w:p>
          <w:p w14:paraId="704B9B25" w14:textId="77777777" w:rsidR="00696584" w:rsidRDefault="002C4F63">
            <w:pPr>
              <w:pStyle w:val="P68B1DB1-Normal19"/>
              <w:ind w:left="1405"/>
            </w:pPr>
            <w:r>
              <w:t>Zahlungsdienste für Nicht-MFI für Haushalte</w:t>
            </w:r>
          </w:p>
          <w:p w14:paraId="1F8BC691" w14:textId="4FE22A42" w:rsidR="00696584" w:rsidRDefault="002C4F63">
            <w:pPr>
              <w:pStyle w:val="P68B1DB1-Normal19"/>
              <w:ind w:left="1405"/>
            </w:pPr>
            <w:r>
              <w:t>Zahlungsdienste für Nicht-MFIs für nichtfinanzielle Kapitalgesellschaften</w:t>
            </w:r>
          </w:p>
          <w:p w14:paraId="39782E47" w14:textId="1287030F" w:rsidR="00696584" w:rsidRDefault="002C4F63">
            <w:pPr>
              <w:pStyle w:val="P68B1DB1-Normal19"/>
              <w:ind w:left="1972"/>
            </w:pPr>
            <w:r>
              <w:t>Zahlungsdienste für Nicht-MFIs für KMU nichtfinanzieller Kapitalgesellschaften</w:t>
            </w:r>
          </w:p>
          <w:p w14:paraId="416F0C20" w14:textId="504D6059" w:rsidR="00696584" w:rsidRDefault="002C4F63">
            <w:pPr>
              <w:pStyle w:val="P68B1DB1-Normal19"/>
              <w:ind w:left="1972"/>
            </w:pPr>
            <w:r>
              <w:t>Zahlungsdienste für Nicht-MFIs für nichtfinanzielle Kapitalgesellschaften, Nicht-KMU</w:t>
            </w:r>
            <w:bookmarkEnd w:id="137"/>
          </w:p>
          <w:p w14:paraId="661D0C87" w14:textId="77777777" w:rsidR="00696584" w:rsidRDefault="002C4F63">
            <w:pPr>
              <w:pStyle w:val="P68B1DB1-Normal19"/>
              <w:ind w:left="708"/>
            </w:pPr>
            <w:r>
              <w:t>Bargelddienstleistungen</w:t>
            </w:r>
          </w:p>
          <w:p w14:paraId="03769573" w14:textId="77777777" w:rsidR="00696584" w:rsidRDefault="002C4F63">
            <w:pPr>
              <w:pStyle w:val="P68B1DB1-Normal19"/>
              <w:ind w:left="708"/>
            </w:pPr>
            <w:r>
              <w:t>Wertpapierabrechnungsdienstleistungen</w:t>
            </w:r>
          </w:p>
          <w:p w14:paraId="775020A9" w14:textId="77777777" w:rsidR="00696584" w:rsidRDefault="002C4F63">
            <w:pPr>
              <w:pStyle w:val="P68B1DB1-Normal19"/>
              <w:ind w:left="708"/>
            </w:pPr>
            <w:r>
              <w:t>CCP-Clearingdienste</w:t>
            </w:r>
          </w:p>
          <w:p w14:paraId="5801E2F6" w14:textId="77777777" w:rsidR="00696584" w:rsidRDefault="002C4F63">
            <w:pPr>
              <w:pStyle w:val="P68B1DB1-Normal19"/>
              <w:ind w:left="708"/>
            </w:pPr>
            <w:r>
              <w:t>Dienstleistungen der Effektenverwahrung</w:t>
            </w:r>
          </w:p>
          <w:p w14:paraId="5B6CE30A" w14:textId="77777777" w:rsidR="00696584" w:rsidRDefault="002C4F63">
            <w:pPr>
              <w:pStyle w:val="P68B1DB1-Normal19"/>
              <w:ind w:left="708"/>
            </w:pPr>
            <w:r>
              <w:t>Sonstige Dienstleistungen/Tätigkeiten/Funktionen (1) in Bezug auf Zahlungs-, Bargeld-, Abwicklungs-, Clearing- und Verwahrungsdienste</w:t>
            </w:r>
          </w:p>
          <w:p w14:paraId="7B4ED125" w14:textId="77777777" w:rsidR="00696584" w:rsidRDefault="002C4F63">
            <w:pPr>
              <w:pStyle w:val="P68B1DB1-Normal19"/>
              <w:ind w:left="708"/>
            </w:pPr>
            <w:r>
              <w:t>Sonstige Dienstleistungen/Tätigkeiten/Funktionen (2) in Bezug auf Zahlungs-, Bargeld-, Abwicklungs-, Clearing- und Verwahrungsdienste</w:t>
            </w:r>
          </w:p>
          <w:p w14:paraId="19BA6278" w14:textId="77777777" w:rsidR="00696584" w:rsidRDefault="002C4F63">
            <w:pPr>
              <w:pStyle w:val="P68B1DB1-Normal19"/>
              <w:ind w:left="708"/>
            </w:pPr>
            <w:r>
              <w:t>Sonstige Dienstleistungen/Tätigkeiten/Funktionen (3) in Bezug auf Zahlungs-, Bargeld-, Abwicklungs-, Clearing- und Verwahrungsdienste</w:t>
            </w:r>
          </w:p>
          <w:p w14:paraId="1E6049F9" w14:textId="77777777" w:rsidR="00696584" w:rsidRDefault="00696584">
            <w:pPr>
              <w:rPr>
                <w:rFonts w:ascii="Times New Roman" w:hAnsi="Times New Roman" w:cs="Times New Roman"/>
                <w:sz w:val="20"/>
                <w:szCs w:val="20"/>
              </w:rPr>
            </w:pPr>
          </w:p>
          <w:p w14:paraId="6F0287A8" w14:textId="77777777" w:rsidR="00696584" w:rsidRDefault="002C4F63">
            <w:pPr>
              <w:pStyle w:val="P68B1DB1-Normal19"/>
            </w:pPr>
            <w:r>
              <w:t>Kapitalmärkte</w:t>
            </w:r>
          </w:p>
          <w:p w14:paraId="4F1B2CB2" w14:textId="77777777" w:rsidR="00696584" w:rsidRDefault="002C4F63">
            <w:pPr>
              <w:pStyle w:val="P68B1DB1-Normal19"/>
              <w:ind w:left="708"/>
            </w:pPr>
            <w:r>
              <w:t xml:space="preserve">Zur Veräußerung verfügbare finanzielle Aktiva (*) </w:t>
            </w:r>
          </w:p>
          <w:p w14:paraId="608E7B75" w14:textId="77777777" w:rsidR="00696584" w:rsidRDefault="002C4F63">
            <w:pPr>
              <w:pStyle w:val="P68B1DB1-Normal19"/>
              <w:ind w:left="1416"/>
            </w:pPr>
            <w:r>
              <w:t>Zu Handelszwecken gehaltene Derivate (OTC)</w:t>
            </w:r>
          </w:p>
          <w:p w14:paraId="55232CB1" w14:textId="77777777" w:rsidR="00696584" w:rsidRDefault="002C4F63">
            <w:pPr>
              <w:pStyle w:val="P68B1DB1-Normal19"/>
              <w:ind w:left="1416"/>
            </w:pPr>
            <w:r>
              <w:t>Zu Handelszwecken gehaltene Derivate (Nicht-OTC)</w:t>
            </w:r>
          </w:p>
          <w:p w14:paraId="41765F70" w14:textId="77777777" w:rsidR="00696584" w:rsidRDefault="002C4F63">
            <w:pPr>
              <w:pStyle w:val="P68B1DB1-Normal19"/>
              <w:ind w:left="708"/>
            </w:pPr>
            <w:r>
              <w:t>Sekundärmarkthandel</w:t>
            </w:r>
          </w:p>
          <w:p w14:paraId="75381D0F" w14:textId="77777777" w:rsidR="00696584" w:rsidRDefault="002C4F63">
            <w:pPr>
              <w:pStyle w:val="P68B1DB1-Normal19"/>
              <w:ind w:left="708"/>
            </w:pPr>
            <w:r>
              <w:t>Primärmarkt/Übernahme</w:t>
            </w:r>
          </w:p>
          <w:p w14:paraId="04BFAC55" w14:textId="77777777" w:rsidR="00696584" w:rsidRDefault="002C4F63">
            <w:pPr>
              <w:pStyle w:val="P68B1DB1-Normal19"/>
              <w:ind w:left="708"/>
            </w:pPr>
            <w:r>
              <w:t>Sonstige Dienstleistungen/Tätigkeiten/Funktionen (1) in Kapitalmärkten</w:t>
            </w:r>
          </w:p>
          <w:p w14:paraId="4842F14D" w14:textId="77777777" w:rsidR="00696584" w:rsidRDefault="002C4F63">
            <w:pPr>
              <w:pStyle w:val="P68B1DB1-Normal19"/>
              <w:ind w:left="708"/>
            </w:pPr>
            <w:r>
              <w:t>Sonstige Dienstleistungen/Tätigkeiten/Funktionen (2) in Kapitalmärkten</w:t>
            </w:r>
          </w:p>
          <w:p w14:paraId="4B2FE832" w14:textId="77777777" w:rsidR="00696584" w:rsidRDefault="002C4F63">
            <w:pPr>
              <w:pStyle w:val="P68B1DB1-Normal19"/>
              <w:ind w:left="708"/>
            </w:pPr>
            <w:r>
              <w:t>Sonstige Dienstleistungen/Tätigkeiten/Funktionen (3) in Kapitalmärkten</w:t>
            </w:r>
          </w:p>
          <w:p w14:paraId="07EB9C1C" w14:textId="77777777" w:rsidR="00696584" w:rsidRDefault="00696584">
            <w:pPr>
              <w:ind w:left="708"/>
              <w:rPr>
                <w:rFonts w:ascii="Times New Roman" w:hAnsi="Times New Roman" w:cs="Times New Roman"/>
                <w:sz w:val="20"/>
                <w:szCs w:val="20"/>
              </w:rPr>
            </w:pPr>
          </w:p>
          <w:p w14:paraId="74D09EC2" w14:textId="77777777" w:rsidR="00696584" w:rsidRDefault="002C4F63">
            <w:pPr>
              <w:pStyle w:val="P68B1DB1-Normal19"/>
            </w:pPr>
            <w:r>
              <w:t>Großvolumige Finanzierungen</w:t>
            </w:r>
          </w:p>
          <w:p w14:paraId="02676859" w14:textId="77777777" w:rsidR="00696584" w:rsidRDefault="002C4F63">
            <w:pPr>
              <w:pStyle w:val="P68B1DB1-ListParagraph60"/>
            </w:pPr>
            <w:r>
              <w:t>Kreditaufnahme</w:t>
            </w:r>
          </w:p>
          <w:p w14:paraId="541AD926" w14:textId="77777777" w:rsidR="00696584" w:rsidRDefault="002C4F63">
            <w:pPr>
              <w:pStyle w:val="P68B1DB1-ListParagraph60"/>
            </w:pPr>
            <w:r>
              <w:t>Derivate (Vermögenswerte)</w:t>
            </w:r>
          </w:p>
          <w:p w14:paraId="25097734" w14:textId="77777777" w:rsidR="00696584" w:rsidRDefault="002C4F63">
            <w:pPr>
              <w:pStyle w:val="P68B1DB1-ListParagraph60"/>
            </w:pPr>
            <w:r>
              <w:t>Finanzierungen</w:t>
            </w:r>
          </w:p>
          <w:p w14:paraId="772EBBB0" w14:textId="77777777" w:rsidR="00696584" w:rsidRDefault="002C4F63">
            <w:pPr>
              <w:pStyle w:val="P68B1DB1-ListParagraph60"/>
            </w:pPr>
            <w:r>
              <w:t>Derivate (Verbindlichkeiten)</w:t>
            </w:r>
          </w:p>
          <w:p w14:paraId="56E338CF" w14:textId="77777777" w:rsidR="00696584" w:rsidRDefault="002C4F63">
            <w:pPr>
              <w:pStyle w:val="P68B1DB1-ListParagraph60"/>
            </w:pPr>
            <w:r>
              <w:t>Andere Produktarten (1) auf Großhandelsmärkten</w:t>
            </w:r>
          </w:p>
          <w:p w14:paraId="6607505D" w14:textId="77777777" w:rsidR="00696584" w:rsidRDefault="002C4F63">
            <w:pPr>
              <w:pStyle w:val="P68B1DB1-ListParagraph60"/>
            </w:pPr>
            <w:r>
              <w:t>Andere Produktarten (2) auf Großhandelsmärkten</w:t>
            </w:r>
          </w:p>
          <w:p w14:paraId="41A2E098" w14:textId="77777777" w:rsidR="00696584" w:rsidRDefault="002C4F63">
            <w:pPr>
              <w:pStyle w:val="P68B1DB1-ListParagraph60"/>
            </w:pPr>
            <w:r>
              <w:t>Andere Produktarten (3) auf Großhandelsmärkten</w:t>
            </w:r>
          </w:p>
          <w:p w14:paraId="7FE1C8DF" w14:textId="2134965F" w:rsidR="00696584" w:rsidRDefault="00696584">
            <w:pPr>
              <w:pStyle w:val="TableParagraph"/>
              <w:spacing w:before="108"/>
              <w:ind w:left="85"/>
              <w:jc w:val="both"/>
              <w:rPr>
                <w:rFonts w:ascii="Times New Roman" w:eastAsia="Times New Roman" w:hAnsi="Times New Roman" w:cs="Times New Roman"/>
                <w:b/>
                <w:bCs/>
                <w:i/>
                <w:iCs/>
                <w:sz w:val="20"/>
                <w:szCs w:val="20"/>
              </w:rPr>
            </w:pPr>
          </w:p>
        </w:tc>
      </w:tr>
      <w:tr w:rsidR="00696584" w14:paraId="7FE1C8E3" w14:textId="77777777">
        <w:tc>
          <w:tcPr>
            <w:tcW w:w="1183" w:type="dxa"/>
            <w:tcBorders>
              <w:top w:val="single" w:sz="8" w:space="0" w:color="auto"/>
              <w:bottom w:val="single" w:sz="8" w:space="0" w:color="auto"/>
              <w:right w:val="single" w:sz="8" w:space="0" w:color="auto"/>
            </w:tcBorders>
            <w:vAlign w:val="center"/>
          </w:tcPr>
          <w:p w14:paraId="7FE1C8E1" w14:textId="77777777" w:rsidR="00696584" w:rsidRDefault="002C4F63">
            <w:pPr>
              <w:pStyle w:val="P68B1DB1-Normal31"/>
            </w:pPr>
            <w:r>
              <w:lastRenderedPageBreak/>
              <w:t>0050-0060</w:t>
            </w:r>
          </w:p>
        </w:tc>
        <w:tc>
          <w:tcPr>
            <w:tcW w:w="7832" w:type="dxa"/>
            <w:tcBorders>
              <w:top w:val="single" w:sz="8" w:space="0" w:color="auto"/>
              <w:left w:val="single" w:sz="8" w:space="0" w:color="auto"/>
              <w:bottom w:val="single" w:sz="8" w:space="0" w:color="auto"/>
            </w:tcBorders>
            <w:vAlign w:val="bottom"/>
          </w:tcPr>
          <w:p w14:paraId="7FE1C8E2" w14:textId="77777777" w:rsidR="00696584" w:rsidRDefault="002C4F63">
            <w:pPr>
              <w:pStyle w:val="P68B1DB1-Heading481"/>
              <w:numPr>
                <w:ilvl w:val="3"/>
                <w:numId w:val="0"/>
              </w:numPr>
              <w:ind w:left="360"/>
            </w:pPr>
            <w:r>
              <w:t>Wesentliche FMI</w:t>
            </w:r>
          </w:p>
        </w:tc>
      </w:tr>
      <w:tr w:rsidR="00696584" w14:paraId="7FE1C8E9" w14:textId="77777777">
        <w:tc>
          <w:tcPr>
            <w:tcW w:w="1183" w:type="dxa"/>
            <w:tcBorders>
              <w:top w:val="single" w:sz="8" w:space="0" w:color="auto"/>
              <w:bottom w:val="single" w:sz="8" w:space="0" w:color="auto"/>
              <w:right w:val="single" w:sz="8" w:space="0" w:color="auto"/>
            </w:tcBorders>
            <w:vAlign w:val="center"/>
          </w:tcPr>
          <w:p w14:paraId="7FE1C8E4" w14:textId="77777777" w:rsidR="00696584" w:rsidRDefault="002C4F63">
            <w:pPr>
              <w:pStyle w:val="P68B1DB1-Normal31"/>
              <w:rPr>
                <w:strike/>
              </w:rPr>
            </w:pPr>
            <w:r>
              <w:t>0050</w:t>
            </w:r>
          </w:p>
        </w:tc>
        <w:tc>
          <w:tcPr>
            <w:tcW w:w="7832" w:type="dxa"/>
            <w:tcBorders>
              <w:top w:val="single" w:sz="8" w:space="0" w:color="auto"/>
              <w:left w:val="single" w:sz="8" w:space="0" w:color="auto"/>
              <w:bottom w:val="single" w:sz="8" w:space="0" w:color="auto"/>
            </w:tcBorders>
            <w:vAlign w:val="bottom"/>
          </w:tcPr>
          <w:p w14:paraId="7FE1C8E5" w14:textId="77777777" w:rsidR="00696584" w:rsidRDefault="002C4F63">
            <w:pPr>
              <w:pStyle w:val="P68B1DB1-TableParagraph73"/>
              <w:spacing w:before="108"/>
              <w:ind w:left="85"/>
              <w:jc w:val="both"/>
            </w:pPr>
            <w:r>
              <w:t>Wesentliche FMI: J/N</w:t>
            </w:r>
          </w:p>
          <w:p w14:paraId="7FE1C8E6" w14:textId="46FA6345" w:rsidR="00696584" w:rsidRDefault="002C4F63">
            <w:pPr>
              <w:pStyle w:val="P68B1DB1-TableParagraph40"/>
              <w:numPr>
                <w:ilvl w:val="0"/>
                <w:numId w:val="248"/>
              </w:numPr>
              <w:spacing w:before="108"/>
              <w:jc w:val="both"/>
            </w:pPr>
            <w:r>
              <w:t>„Ja“, wenn die FMI wesentlich ist</w:t>
            </w:r>
          </w:p>
          <w:p w14:paraId="7FE1C8E7" w14:textId="0EBF3638" w:rsidR="00696584" w:rsidRDefault="002C4F63">
            <w:pPr>
              <w:pStyle w:val="P68B1DB1-TableParagraph40"/>
              <w:numPr>
                <w:ilvl w:val="0"/>
                <w:numId w:val="248"/>
              </w:numPr>
              <w:spacing w:before="108"/>
              <w:jc w:val="both"/>
            </w:pPr>
            <w:r>
              <w:t>„Nein“, wenn die FMI nicht wesentlich ist</w:t>
            </w:r>
          </w:p>
          <w:p w14:paraId="7FE1C8E8" w14:textId="77777777" w:rsidR="00696584" w:rsidRDefault="002C4F63">
            <w:pPr>
              <w:pStyle w:val="P68B1DB1-Heading482"/>
              <w:numPr>
                <w:ilvl w:val="3"/>
                <w:numId w:val="0"/>
              </w:numPr>
              <w:ind w:left="360"/>
            </w:pPr>
            <w:r>
              <w:t>Die Spalten 0020 und 0050 schließen sich nicht gegenseitig aus.</w:t>
            </w:r>
          </w:p>
        </w:tc>
      </w:tr>
      <w:tr w:rsidR="00696584" w14:paraId="7FE1C8EE" w14:textId="77777777">
        <w:tc>
          <w:tcPr>
            <w:tcW w:w="1183" w:type="dxa"/>
            <w:tcBorders>
              <w:top w:val="single" w:sz="8" w:space="0" w:color="auto"/>
              <w:bottom w:val="single" w:sz="8" w:space="0" w:color="auto"/>
              <w:right w:val="single" w:sz="8" w:space="0" w:color="auto"/>
            </w:tcBorders>
            <w:vAlign w:val="center"/>
          </w:tcPr>
          <w:p w14:paraId="7FE1C8EA" w14:textId="77777777" w:rsidR="00696584" w:rsidRDefault="002C4F63">
            <w:pPr>
              <w:pStyle w:val="P68B1DB1-Normal31"/>
            </w:pPr>
            <w:r>
              <w:t>0060</w:t>
            </w:r>
          </w:p>
        </w:tc>
        <w:tc>
          <w:tcPr>
            <w:tcW w:w="7832" w:type="dxa"/>
            <w:tcBorders>
              <w:top w:val="single" w:sz="8" w:space="0" w:color="auto"/>
              <w:left w:val="single" w:sz="8" w:space="0" w:color="auto"/>
              <w:bottom w:val="single" w:sz="8" w:space="0" w:color="auto"/>
            </w:tcBorders>
            <w:vAlign w:val="bottom"/>
          </w:tcPr>
          <w:p w14:paraId="7FE1C8EB" w14:textId="77777777" w:rsidR="00696584" w:rsidRDefault="002C4F63">
            <w:pPr>
              <w:pStyle w:val="P68B1DB1-TableParagraph73"/>
              <w:spacing w:before="108"/>
              <w:ind w:left="85"/>
              <w:jc w:val="both"/>
            </w:pPr>
            <w:r>
              <w:t>ID des Kerngeschäftsbereichs</w:t>
            </w:r>
          </w:p>
          <w:p w14:paraId="7FE1C8EC" w14:textId="62673BB2" w:rsidR="00696584" w:rsidRDefault="002C4F63">
            <w:pPr>
              <w:pStyle w:val="P68B1DB1-TableParagraph40"/>
              <w:spacing w:before="108"/>
              <w:ind w:left="85"/>
              <w:jc w:val="both"/>
              <w:rPr>
                <w:u w:val="single"/>
              </w:rPr>
            </w:pPr>
            <w:r>
              <w:t>Kerngeschäftsbereiche des Nutzers, deren Leistung durch die Unterbrechung des Zugangs zum FMI-Dienstleister behindert oder verhindert würde.</w:t>
            </w:r>
          </w:p>
          <w:p w14:paraId="7FE1C8ED" w14:textId="77777777" w:rsidR="00696584" w:rsidRDefault="002C4F63">
            <w:pPr>
              <w:pStyle w:val="P68B1DB1-TableParagraph40"/>
              <w:spacing w:before="108"/>
              <w:ind w:left="85"/>
              <w:jc w:val="both"/>
              <w:rPr>
                <w:b/>
                <w:bCs/>
              </w:rPr>
            </w:pPr>
            <w:r>
              <w:t>Kennung des Kerngeschäftsbereichs gemäß Z 07.03 Spalte 0010.</w:t>
            </w:r>
          </w:p>
        </w:tc>
      </w:tr>
    </w:tbl>
    <w:p w14:paraId="7FE1C8EF" w14:textId="77777777" w:rsidR="00696584" w:rsidRDefault="00696584">
      <w:pPr>
        <w:pStyle w:val="Instructionsberschrift2"/>
        <w:ind w:left="357"/>
        <w:rPr>
          <w:rFonts w:ascii="Times New Roman" w:eastAsia="Calibri" w:hAnsi="Times New Roman" w:cs="Times New Roman"/>
          <w:szCs w:val="20"/>
        </w:rPr>
      </w:pPr>
    </w:p>
    <w:p w14:paraId="7FE1C8F0" w14:textId="77777777" w:rsidR="00696584" w:rsidRDefault="002C4F63">
      <w:pPr>
        <w:pStyle w:val="P68B1DB1-Instructionsberschrift271"/>
        <w:numPr>
          <w:ilvl w:val="1"/>
          <w:numId w:val="49"/>
        </w:numPr>
        <w:ind w:left="357" w:hanging="357"/>
      </w:pPr>
      <w:bookmarkStart w:id="138" w:name="_Toc209533611"/>
      <w:r>
        <w:t>Z 09.03 – FMI-Dienstleistungen – Schlüsselmessgrößen (FMI 3)</w:t>
      </w:r>
      <w:bookmarkEnd w:id="138"/>
    </w:p>
    <w:p w14:paraId="7FE1C8F1" w14:textId="77777777" w:rsidR="00696584" w:rsidRDefault="002C4F63">
      <w:pPr>
        <w:pStyle w:val="P68B1DB1-Numberedtitlelevel383"/>
      </w:pPr>
      <w:r>
        <w:t>Erläuterungen zu bestimmten Positionen</w:t>
      </w:r>
    </w:p>
    <w:p w14:paraId="7FE1C8F2" w14:textId="6D7EB755" w:rsidR="00696584" w:rsidRDefault="002C4F63">
      <w:pPr>
        <w:pStyle w:val="InstructionsText2"/>
        <w:spacing w:before="0"/>
        <w:ind w:left="1418"/>
        <w:rPr>
          <w:rFonts w:ascii="Times New Roman" w:eastAsiaTheme="majorEastAsia" w:hAnsi="Times New Roman" w:cs="Times New Roman"/>
          <w:sz w:val="20"/>
          <w:szCs w:val="20"/>
        </w:rPr>
      </w:pPr>
      <w:r>
        <w:rPr>
          <w:rFonts w:ascii="Times New Roman" w:eastAsiaTheme="majorEastAsia" w:hAnsi="Times New Roman" w:cs="Times New Roman"/>
          <w:sz w:val="20"/>
          <w:szCs w:val="20"/>
        </w:rPr>
        <w:t>Nur für Zahlungssysteme, (internationale) Zentralverwahrer, Abrechnungsdienste für Wertpapiertransaktionen, zentrale Gegenparteiderivate, zentrale Gegenparteien Wertpapiere, sofern nicht anders angegeben</w:t>
      </w:r>
      <w:r>
        <w:rPr>
          <w:rStyle w:val="FootnoteReference"/>
          <w:rFonts w:eastAsiaTheme="majorEastAsia" w:cs="Times New Roman"/>
        </w:rPr>
        <w:footnoteReference w:id="33"/>
      </w:r>
      <w:r>
        <w:rPr>
          <w:rFonts w:ascii="Times New Roman" w:eastAsiaTheme="majorEastAsia" w:hAnsi="Times New Roman" w:cs="Times New Roman"/>
          <w:sz w:val="20"/>
          <w:szCs w:val="20"/>
        </w:rPr>
        <w:t>.</w:t>
      </w:r>
    </w:p>
    <w:tbl>
      <w:tblPr>
        <w:tblW w:w="9015" w:type="dxa"/>
        <w:tblInd w:w="135" w:type="dxa"/>
        <w:tblLayout w:type="fixed"/>
        <w:tblLook w:val="04A0" w:firstRow="1" w:lastRow="0" w:firstColumn="1" w:lastColumn="0" w:noHBand="0" w:noVBand="1"/>
      </w:tblPr>
      <w:tblGrid>
        <w:gridCol w:w="1183"/>
        <w:gridCol w:w="7832"/>
      </w:tblGrid>
      <w:tr w:rsidR="00696584" w14:paraId="7FE1C8F5" w14:textId="77777777">
        <w:trPr>
          <w:tblHeader/>
        </w:trPr>
        <w:tc>
          <w:tcPr>
            <w:tcW w:w="1183" w:type="dxa"/>
            <w:tcBorders>
              <w:top w:val="single" w:sz="8" w:space="0" w:color="1A171C"/>
              <w:left w:val="nil"/>
              <w:bottom w:val="single" w:sz="8" w:space="0" w:color="1A171C"/>
              <w:right w:val="single" w:sz="8" w:space="0" w:color="1A171C"/>
            </w:tcBorders>
            <w:shd w:val="clear" w:color="auto" w:fill="D9D9D9" w:themeFill="background1" w:themeFillShade="D9"/>
          </w:tcPr>
          <w:p w14:paraId="7FE1C8F3" w14:textId="77777777" w:rsidR="00696584" w:rsidRDefault="002C4F63">
            <w:pPr>
              <w:pStyle w:val="P68B1DB1-TableParagraph17"/>
              <w:spacing w:before="108"/>
              <w:ind w:left="85"/>
            </w:pPr>
            <w:r>
              <w:t xml:space="preserve">Spalten </w:t>
            </w:r>
          </w:p>
        </w:tc>
        <w:tc>
          <w:tcPr>
            <w:tcW w:w="7832" w:type="dxa"/>
            <w:tcBorders>
              <w:top w:val="single" w:sz="8" w:space="0" w:color="1A171C"/>
              <w:left w:val="single" w:sz="8" w:space="0" w:color="1A171C"/>
              <w:bottom w:val="single" w:sz="8" w:space="0" w:color="1A171C"/>
              <w:right w:val="nil"/>
            </w:tcBorders>
            <w:shd w:val="clear" w:color="auto" w:fill="D9D9D9" w:themeFill="background1" w:themeFillShade="D9"/>
          </w:tcPr>
          <w:p w14:paraId="7FE1C8F4" w14:textId="77777777" w:rsidR="00696584" w:rsidRDefault="002C4F63">
            <w:pPr>
              <w:pStyle w:val="P68B1DB1-TableParagraph17"/>
              <w:spacing w:before="108"/>
              <w:ind w:left="85"/>
            </w:pPr>
            <w:r>
              <w:t xml:space="preserve">Erläuterungen </w:t>
            </w:r>
          </w:p>
        </w:tc>
      </w:tr>
      <w:tr w:rsidR="00696584" w14:paraId="7FE1C8F9" w14:textId="77777777">
        <w:tc>
          <w:tcPr>
            <w:tcW w:w="1183" w:type="dxa"/>
            <w:tcBorders>
              <w:top w:val="single" w:sz="8" w:space="0" w:color="1A171C"/>
              <w:bottom w:val="single" w:sz="8" w:space="0" w:color="auto"/>
              <w:right w:val="single" w:sz="8" w:space="0" w:color="auto"/>
            </w:tcBorders>
            <w:vAlign w:val="center"/>
          </w:tcPr>
          <w:p w14:paraId="7FE1C8F6" w14:textId="77777777" w:rsidR="00696584" w:rsidRDefault="002C4F63">
            <w:pPr>
              <w:pStyle w:val="P68B1DB1-Normal31"/>
            </w:pPr>
            <w:r>
              <w:t>0010</w:t>
            </w:r>
          </w:p>
        </w:tc>
        <w:tc>
          <w:tcPr>
            <w:tcW w:w="7832" w:type="dxa"/>
            <w:tcBorders>
              <w:top w:val="single" w:sz="8" w:space="0" w:color="1A171C"/>
              <w:left w:val="single" w:sz="8" w:space="0" w:color="auto"/>
              <w:bottom w:val="single" w:sz="8" w:space="0" w:color="auto"/>
            </w:tcBorders>
            <w:vAlign w:val="bottom"/>
          </w:tcPr>
          <w:p w14:paraId="7FE1C8F7" w14:textId="511715F3" w:rsidR="00696584" w:rsidRDefault="002C4F63">
            <w:pPr>
              <w:pStyle w:val="P68B1DB1-TableParagraph73"/>
              <w:spacing w:before="108"/>
              <w:jc w:val="both"/>
            </w:pPr>
            <w:r>
              <w:t xml:space="preserve">ID als Kombination von Nutzer, FMI, Art des Systems und </w:t>
            </w:r>
            <w:r w:rsidR="00401B63">
              <w:t>Finanzmittler</w:t>
            </w:r>
          </w:p>
          <w:p w14:paraId="7FE1C8F8" w14:textId="2E394FDB" w:rsidR="00696584" w:rsidRDefault="002C4F63">
            <w:pPr>
              <w:pStyle w:val="P68B1DB1-TableParagraph40"/>
              <w:spacing w:before="108"/>
              <w:jc w:val="both"/>
              <w:rPr>
                <w:b/>
                <w:bCs/>
                <w:i/>
                <w:iCs/>
              </w:rPr>
            </w:pPr>
            <w:r>
              <w:t xml:space="preserve">Es ist eine einzige Kennung je Zeile zu verwenden, die einer eindeutigen Kombination von Nutzer, </w:t>
            </w:r>
            <w:r w:rsidR="00C4259E">
              <w:t>FMI</w:t>
            </w:r>
            <w:r>
              <w:t xml:space="preserve">, Art des Systems und </w:t>
            </w:r>
            <w:r w:rsidR="00401B63">
              <w:t>Finanzmittler</w:t>
            </w:r>
            <w:r>
              <w:t xml:space="preserve"> entspricht. In den Meldebögen Z 09.01 bis Z 09.05 ist gegebenenfalls dieselbe Kennung, die derselben Kombination entspricht, zu verwenden.</w:t>
            </w:r>
          </w:p>
        </w:tc>
      </w:tr>
      <w:tr w:rsidR="00696584" w14:paraId="7FE1C8FD" w14:textId="77777777">
        <w:tc>
          <w:tcPr>
            <w:tcW w:w="1183" w:type="dxa"/>
            <w:tcBorders>
              <w:top w:val="single" w:sz="8" w:space="0" w:color="auto"/>
              <w:bottom w:val="single" w:sz="8" w:space="0" w:color="auto"/>
              <w:right w:val="single" w:sz="8" w:space="0" w:color="auto"/>
            </w:tcBorders>
            <w:vAlign w:val="center"/>
          </w:tcPr>
          <w:p w14:paraId="7FE1C8FA" w14:textId="77777777" w:rsidR="00696584" w:rsidRDefault="002C4F63">
            <w:pPr>
              <w:pStyle w:val="P68B1DB1-Normal31"/>
              <w:rPr>
                <w:strike/>
              </w:rPr>
            </w:pPr>
            <w:r>
              <w:t>0020</w:t>
            </w:r>
          </w:p>
        </w:tc>
        <w:tc>
          <w:tcPr>
            <w:tcW w:w="7832" w:type="dxa"/>
            <w:tcBorders>
              <w:top w:val="single" w:sz="8" w:space="0" w:color="auto"/>
              <w:left w:val="single" w:sz="8" w:space="0" w:color="auto"/>
              <w:bottom w:val="single" w:sz="8" w:space="0" w:color="auto"/>
            </w:tcBorders>
            <w:vAlign w:val="bottom"/>
          </w:tcPr>
          <w:p w14:paraId="7FE1C8FB" w14:textId="77777777" w:rsidR="00696584" w:rsidRDefault="002C4F63">
            <w:pPr>
              <w:pStyle w:val="P68B1DB1-TableParagraph73"/>
              <w:spacing w:before="108"/>
              <w:jc w:val="both"/>
            </w:pPr>
            <w:r>
              <w:t>Segment</w:t>
            </w:r>
          </w:p>
          <w:p w14:paraId="7FE1C8FC" w14:textId="77777777" w:rsidR="00696584" w:rsidRDefault="002C4F63">
            <w:pPr>
              <w:pStyle w:val="P68B1DB1-TableParagraph40"/>
              <w:spacing w:before="108"/>
              <w:ind w:left="85"/>
              <w:jc w:val="both"/>
              <w:rPr>
                <w:b/>
                <w:bCs/>
                <w:i/>
                <w:iCs/>
                <w:strike/>
              </w:rPr>
            </w:pPr>
            <w:r>
              <w:t xml:space="preserve">Marktsegmente, in denen der Nutzer tätig ist. Eine Zeile je Segment. Nur für zentrale Gegenparteien anzugeben. </w:t>
            </w:r>
          </w:p>
        </w:tc>
      </w:tr>
      <w:tr w:rsidR="00696584" w14:paraId="7FE1C902" w14:textId="77777777">
        <w:tc>
          <w:tcPr>
            <w:tcW w:w="1183" w:type="dxa"/>
            <w:tcBorders>
              <w:top w:val="single" w:sz="8" w:space="0" w:color="auto"/>
              <w:bottom w:val="single" w:sz="8" w:space="0" w:color="auto"/>
              <w:right w:val="single" w:sz="8" w:space="0" w:color="auto"/>
            </w:tcBorders>
            <w:vAlign w:val="center"/>
          </w:tcPr>
          <w:p w14:paraId="7FE1C8FE" w14:textId="77777777" w:rsidR="00696584" w:rsidRDefault="002C4F63">
            <w:pPr>
              <w:pStyle w:val="P68B1DB1-Normal31"/>
            </w:pPr>
            <w:r>
              <w:t>0030</w:t>
            </w:r>
          </w:p>
        </w:tc>
        <w:tc>
          <w:tcPr>
            <w:tcW w:w="7832" w:type="dxa"/>
            <w:tcBorders>
              <w:top w:val="single" w:sz="8" w:space="0" w:color="auto"/>
              <w:left w:val="single" w:sz="8" w:space="0" w:color="auto"/>
              <w:bottom w:val="single" w:sz="8" w:space="0" w:color="auto"/>
            </w:tcBorders>
            <w:vAlign w:val="bottom"/>
          </w:tcPr>
          <w:p w14:paraId="7FE1C8FF" w14:textId="77777777" w:rsidR="00696584" w:rsidRDefault="002C4F63">
            <w:pPr>
              <w:pStyle w:val="P68B1DB1-TableParagraph73"/>
              <w:spacing w:before="108"/>
              <w:jc w:val="both"/>
            </w:pPr>
            <w:r>
              <w:t>Beitrag zum Ausfallfonds</w:t>
            </w:r>
          </w:p>
          <w:p w14:paraId="7FE1C900" w14:textId="77777777" w:rsidR="00696584" w:rsidRDefault="002C4F63">
            <w:pPr>
              <w:pStyle w:val="P68B1DB1-TableParagraph40"/>
              <w:spacing w:before="108"/>
              <w:jc w:val="both"/>
            </w:pPr>
            <w:r>
              <w:t xml:space="preserve">Beitrag zum Ausfallfonds. Durchschnittsbetrag über das Jahr. </w:t>
            </w:r>
          </w:p>
          <w:p w14:paraId="7FE1C901" w14:textId="77777777" w:rsidR="00696584" w:rsidRDefault="002C4F63">
            <w:pPr>
              <w:pStyle w:val="P68B1DB1-TableParagraph40"/>
              <w:spacing w:before="108"/>
              <w:ind w:left="85"/>
              <w:jc w:val="both"/>
              <w:rPr>
                <w:b/>
                <w:bCs/>
                <w:i/>
                <w:iCs/>
              </w:rPr>
            </w:pPr>
            <w:r>
              <w:t>Nur für zentrale Gegenparteien anzugeben.</w:t>
            </w:r>
          </w:p>
        </w:tc>
      </w:tr>
      <w:tr w:rsidR="00696584" w14:paraId="7FE1C906" w14:textId="77777777">
        <w:tc>
          <w:tcPr>
            <w:tcW w:w="1183" w:type="dxa"/>
            <w:tcBorders>
              <w:top w:val="single" w:sz="8" w:space="0" w:color="auto"/>
              <w:bottom w:val="single" w:sz="8" w:space="0" w:color="auto"/>
              <w:right w:val="single" w:sz="8" w:space="0" w:color="auto"/>
            </w:tcBorders>
            <w:vAlign w:val="center"/>
          </w:tcPr>
          <w:p w14:paraId="7FE1C903" w14:textId="77777777" w:rsidR="00696584" w:rsidRDefault="002C4F63">
            <w:pPr>
              <w:pStyle w:val="P68B1DB1-Normal31"/>
            </w:pPr>
            <w:r>
              <w:t>0040-0050</w:t>
            </w:r>
          </w:p>
        </w:tc>
        <w:tc>
          <w:tcPr>
            <w:tcW w:w="7832" w:type="dxa"/>
            <w:tcBorders>
              <w:top w:val="single" w:sz="8" w:space="0" w:color="auto"/>
              <w:left w:val="single" w:sz="8" w:space="0" w:color="auto"/>
              <w:bottom w:val="single" w:sz="8" w:space="0" w:color="auto"/>
            </w:tcBorders>
            <w:vAlign w:val="bottom"/>
          </w:tcPr>
          <w:p w14:paraId="7FE1C904" w14:textId="63CC55B1" w:rsidR="00696584" w:rsidRDefault="002C4F63">
            <w:pPr>
              <w:pStyle w:val="P68B1DB1-TableParagraph73"/>
              <w:spacing w:before="108"/>
              <w:jc w:val="both"/>
              <w:rPr>
                <w:bCs/>
              </w:rPr>
            </w:pPr>
            <w:r>
              <w:t>Ersteinschuss für Eigen- und Kundenkonten</w:t>
            </w:r>
          </w:p>
          <w:p w14:paraId="7FE1C905" w14:textId="1C30A5D8" w:rsidR="00696584" w:rsidRDefault="002C4F63">
            <w:pPr>
              <w:pStyle w:val="P68B1DB1-TableParagraph40"/>
              <w:spacing w:before="108"/>
              <w:ind w:left="85"/>
              <w:jc w:val="both"/>
              <w:rPr>
                <w:b/>
              </w:rPr>
            </w:pPr>
            <w:r>
              <w:t>Hinterlegte Ersteinschusszahlungen, aufgegliedert nach Haus- und Kundenkonten. Durchschnittsbetrag über das Jahr. Nur für zentrale Gegenparteien anzugeben. Spalte 0050 enthält sowohl Sammel- als auch Einzelkundenkonten.</w:t>
            </w:r>
          </w:p>
        </w:tc>
      </w:tr>
      <w:tr w:rsidR="00696584" w14:paraId="7FE1C90D" w14:textId="77777777">
        <w:tc>
          <w:tcPr>
            <w:tcW w:w="1183" w:type="dxa"/>
            <w:tcBorders>
              <w:top w:val="single" w:sz="8" w:space="0" w:color="auto"/>
              <w:bottom w:val="single" w:sz="8" w:space="0" w:color="auto"/>
              <w:right w:val="single" w:sz="8" w:space="0" w:color="auto"/>
            </w:tcBorders>
            <w:vAlign w:val="center"/>
          </w:tcPr>
          <w:p w14:paraId="7FE1C907" w14:textId="1157106F" w:rsidR="00696584" w:rsidRDefault="002C4F63">
            <w:pPr>
              <w:pStyle w:val="P68B1DB1-Normal31"/>
            </w:pPr>
            <w:r>
              <w:t>0060-0070</w:t>
            </w:r>
          </w:p>
        </w:tc>
        <w:tc>
          <w:tcPr>
            <w:tcW w:w="7832" w:type="dxa"/>
            <w:tcBorders>
              <w:top w:val="single" w:sz="8" w:space="0" w:color="auto"/>
              <w:left w:val="single" w:sz="8" w:space="0" w:color="auto"/>
              <w:bottom w:val="single" w:sz="8" w:space="0" w:color="auto"/>
            </w:tcBorders>
            <w:vAlign w:val="bottom"/>
          </w:tcPr>
          <w:p w14:paraId="7FE1C908" w14:textId="77777777" w:rsidR="00696584" w:rsidRDefault="002C4F63">
            <w:pPr>
              <w:pStyle w:val="P68B1DB1-TableParagraph73"/>
              <w:spacing w:before="108"/>
              <w:ind w:left="85"/>
              <w:jc w:val="both"/>
            </w:pPr>
            <w:r>
              <w:t>Wert der Positionen auf Eigen- und Kundenkonten</w:t>
            </w:r>
          </w:p>
          <w:p w14:paraId="7FE1C909" w14:textId="2662FB34" w:rsidR="00696584" w:rsidRDefault="002C4F63">
            <w:pPr>
              <w:pStyle w:val="P68B1DB1-TableParagraph40"/>
              <w:spacing w:before="108"/>
              <w:ind w:left="85"/>
              <w:jc w:val="both"/>
            </w:pPr>
            <w:r>
              <w:t>Nur für zentrale Gegenparteien (CCP) und internationale Zentralverwahrer ((I)CSD) zu melden. Spalte 0070 enthält sowohl Sammel- als auch Einzelkundenkonten.</w:t>
            </w:r>
          </w:p>
          <w:p w14:paraId="7FE1C90A" w14:textId="77777777" w:rsidR="00696584" w:rsidRDefault="002C4F63">
            <w:pPr>
              <w:pStyle w:val="TableParagraph"/>
              <w:numPr>
                <w:ilvl w:val="0"/>
                <w:numId w:val="249"/>
              </w:numPr>
              <w:spacing w:before="108"/>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Zentrale Gegenparteien (CCP): Wert der Positionen bei CCPs in den jeweiligen Kontotypen</w:t>
            </w:r>
            <w:r>
              <w:rPr>
                <w:rStyle w:val="FootnoteReference"/>
                <w:rFonts w:ascii="Times New Roman" w:eastAsia="Times New Roman" w:hAnsi="Times New Roman" w:cs="Times New Roman"/>
              </w:rPr>
              <w:footnoteReference w:id="34"/>
            </w:r>
            <w:r>
              <w:rPr>
                <w:rFonts w:ascii="Times New Roman" w:eastAsia="Times New Roman" w:hAnsi="Times New Roman" w:cs="Times New Roman"/>
                <w:sz w:val="20"/>
                <w:szCs w:val="20"/>
              </w:rPr>
              <w:t xml:space="preserve">. </w:t>
            </w:r>
          </w:p>
          <w:p w14:paraId="7FE1C90B" w14:textId="2E3660F6" w:rsidR="00696584" w:rsidRDefault="00EE2582">
            <w:pPr>
              <w:pStyle w:val="P68B1DB1-TableParagraph40"/>
              <w:numPr>
                <w:ilvl w:val="0"/>
                <w:numId w:val="249"/>
              </w:numPr>
              <w:spacing w:before="108"/>
              <w:jc w:val="both"/>
            </w:pPr>
            <w:r>
              <w:t>(</w:t>
            </w:r>
            <w:r w:rsidR="002C4F63">
              <w:t xml:space="preserve">I)CSD: Wert der in den jeweiligen Kontotypen gehaltenen Wertpapiere. </w:t>
            </w:r>
          </w:p>
          <w:p w14:paraId="7FE1C90C" w14:textId="77777777" w:rsidR="00696584" w:rsidRDefault="002C4F63">
            <w:pPr>
              <w:pStyle w:val="P68B1DB1-TableParagraph40"/>
              <w:spacing w:before="108"/>
              <w:ind w:left="85"/>
              <w:jc w:val="both"/>
              <w:rPr>
                <w:b/>
              </w:rPr>
            </w:pPr>
            <w:r>
              <w:t xml:space="preserve">Durchschnittswert am Abwicklungstag im Vorjahr. </w:t>
            </w:r>
          </w:p>
        </w:tc>
      </w:tr>
      <w:tr w:rsidR="00696584" w14:paraId="7FE1C912" w14:textId="77777777">
        <w:tc>
          <w:tcPr>
            <w:tcW w:w="1183" w:type="dxa"/>
            <w:tcBorders>
              <w:top w:val="single" w:sz="8" w:space="0" w:color="auto"/>
              <w:bottom w:val="single" w:sz="8" w:space="0" w:color="auto"/>
              <w:right w:val="single" w:sz="8" w:space="0" w:color="auto"/>
            </w:tcBorders>
            <w:vAlign w:val="center"/>
          </w:tcPr>
          <w:p w14:paraId="7FE1C90E" w14:textId="3E4BBED3" w:rsidR="00696584" w:rsidRDefault="002C4F63">
            <w:pPr>
              <w:pStyle w:val="P68B1DB1-Normal31"/>
              <w:rPr>
                <w:strike/>
              </w:rPr>
            </w:pPr>
            <w:r>
              <w:t>0080-0090</w:t>
            </w:r>
          </w:p>
        </w:tc>
        <w:tc>
          <w:tcPr>
            <w:tcW w:w="7832" w:type="dxa"/>
            <w:tcBorders>
              <w:top w:val="single" w:sz="8" w:space="0" w:color="auto"/>
              <w:left w:val="single" w:sz="8" w:space="0" w:color="auto"/>
              <w:bottom w:val="single" w:sz="8" w:space="0" w:color="auto"/>
            </w:tcBorders>
            <w:vAlign w:val="bottom"/>
          </w:tcPr>
          <w:p w14:paraId="7FE1C90F" w14:textId="77777777" w:rsidR="00696584" w:rsidRDefault="002C4F63">
            <w:pPr>
              <w:pStyle w:val="P68B1DB1-TableParagraph73"/>
              <w:spacing w:before="108"/>
              <w:ind w:left="85"/>
              <w:jc w:val="both"/>
            </w:pPr>
            <w:r>
              <w:t xml:space="preserve">Zahl der Kunden </w:t>
            </w:r>
          </w:p>
          <w:p w14:paraId="7FE1C910" w14:textId="77777777" w:rsidR="00696584" w:rsidRDefault="002C4F63">
            <w:pPr>
              <w:pStyle w:val="P68B1DB1-TableParagraph40"/>
              <w:spacing w:before="108"/>
              <w:ind w:left="85"/>
              <w:jc w:val="both"/>
            </w:pPr>
            <w:r>
              <w:t xml:space="preserve">Nur für zentrale Gegenparteien (CCP) und internationale Zentralverwahrer ((I)CSD) zu melden. </w:t>
            </w:r>
          </w:p>
          <w:p w14:paraId="7FE1C911" w14:textId="77777777" w:rsidR="00696584" w:rsidRDefault="002C4F63">
            <w:pPr>
              <w:pStyle w:val="P68B1DB1-Heading482"/>
              <w:numPr>
                <w:ilvl w:val="3"/>
                <w:numId w:val="0"/>
              </w:numPr>
              <w:ind w:left="360"/>
              <w:rPr>
                <w:strike/>
                <w:color w:val="D13438"/>
              </w:rPr>
            </w:pPr>
            <w:r>
              <w:t>Gesamtzahl der Kunden, die in den verschiedenen Arten von Kundenkonten enthalten sind.</w:t>
            </w:r>
          </w:p>
        </w:tc>
      </w:tr>
      <w:tr w:rsidR="00696584" w14:paraId="7FE1C916" w14:textId="77777777">
        <w:tc>
          <w:tcPr>
            <w:tcW w:w="1183" w:type="dxa"/>
            <w:tcBorders>
              <w:top w:val="single" w:sz="8" w:space="0" w:color="auto"/>
              <w:bottom w:val="single" w:sz="8" w:space="0" w:color="auto"/>
              <w:right w:val="single" w:sz="8" w:space="0" w:color="auto"/>
            </w:tcBorders>
            <w:vAlign w:val="center"/>
          </w:tcPr>
          <w:p w14:paraId="7FE1C913" w14:textId="7AE482AF" w:rsidR="00696584" w:rsidRDefault="002C4F63">
            <w:pPr>
              <w:pStyle w:val="P68B1DB1-Normal31"/>
              <w:rPr>
                <w:strike/>
              </w:rPr>
            </w:pPr>
            <w:r>
              <w:lastRenderedPageBreak/>
              <w:t>0100-0110</w:t>
            </w:r>
          </w:p>
        </w:tc>
        <w:tc>
          <w:tcPr>
            <w:tcW w:w="7832" w:type="dxa"/>
            <w:tcBorders>
              <w:top w:val="single" w:sz="8" w:space="0" w:color="auto"/>
              <w:left w:val="single" w:sz="8" w:space="0" w:color="auto"/>
              <w:bottom w:val="single" w:sz="8" w:space="0" w:color="auto"/>
            </w:tcBorders>
            <w:vAlign w:val="bottom"/>
          </w:tcPr>
          <w:p w14:paraId="7FE1C914" w14:textId="77777777" w:rsidR="00696584" w:rsidRDefault="002C4F63">
            <w:pPr>
              <w:pStyle w:val="P68B1DB1-TableParagraph73"/>
              <w:spacing w:before="108"/>
              <w:ind w:left="85"/>
              <w:jc w:val="both"/>
            </w:pPr>
            <w:r>
              <w:t>Anzahl der Transaktionen auf Eigenhandelskonten und Kundenkonten</w:t>
            </w:r>
          </w:p>
          <w:p w14:paraId="7FE1C915" w14:textId="77777777" w:rsidR="00696584" w:rsidRDefault="002C4F63">
            <w:pPr>
              <w:pStyle w:val="P68B1DB1-Heading482"/>
              <w:numPr>
                <w:ilvl w:val="3"/>
                <w:numId w:val="0"/>
              </w:numPr>
              <w:ind w:left="360"/>
              <w:rPr>
                <w:strike/>
                <w:color w:val="D13438"/>
                <w:u w:val="single"/>
              </w:rPr>
            </w:pPr>
            <w:r>
              <w:t xml:space="preserve">Gesamtzahl der im Laufe des Jahres ausgeführten Transaktionen für die jeweilige Kontoart. </w:t>
            </w:r>
          </w:p>
        </w:tc>
      </w:tr>
      <w:tr w:rsidR="00696584" w14:paraId="7FE1C921" w14:textId="77777777">
        <w:tc>
          <w:tcPr>
            <w:tcW w:w="1183" w:type="dxa"/>
            <w:tcBorders>
              <w:top w:val="single" w:sz="8" w:space="0" w:color="auto"/>
              <w:bottom w:val="single" w:sz="8" w:space="0" w:color="auto"/>
              <w:right w:val="single" w:sz="8" w:space="0" w:color="auto"/>
            </w:tcBorders>
            <w:vAlign w:val="center"/>
          </w:tcPr>
          <w:p w14:paraId="7FE1C917" w14:textId="2B767234" w:rsidR="00696584" w:rsidRDefault="002C4F63">
            <w:pPr>
              <w:pStyle w:val="P68B1DB1-Normal31"/>
              <w:rPr>
                <w:strike/>
              </w:rPr>
            </w:pPr>
            <w:r>
              <w:t>0120-0130</w:t>
            </w:r>
          </w:p>
        </w:tc>
        <w:tc>
          <w:tcPr>
            <w:tcW w:w="7832" w:type="dxa"/>
            <w:tcBorders>
              <w:top w:val="single" w:sz="8" w:space="0" w:color="auto"/>
              <w:left w:val="single" w:sz="8" w:space="0" w:color="auto"/>
              <w:bottom w:val="single" w:sz="8" w:space="0" w:color="auto"/>
            </w:tcBorders>
            <w:vAlign w:val="bottom"/>
          </w:tcPr>
          <w:p w14:paraId="7FE1C918" w14:textId="77777777" w:rsidR="00696584" w:rsidRDefault="002C4F63">
            <w:pPr>
              <w:pStyle w:val="P68B1DB1-TableParagraph73"/>
              <w:spacing w:before="108"/>
              <w:ind w:left="85"/>
              <w:jc w:val="both"/>
            </w:pPr>
            <w:r>
              <w:t>Wert der Transaktionen auf Eigenhandelskonten und Kundenkonten</w:t>
            </w:r>
          </w:p>
          <w:p w14:paraId="7FE1C919" w14:textId="7A080DD4" w:rsidR="00696584" w:rsidRDefault="002C4F63">
            <w:pPr>
              <w:pStyle w:val="P68B1DB1-TableParagraph40"/>
              <w:spacing w:before="108"/>
              <w:ind w:left="85"/>
              <w:jc w:val="both"/>
            </w:pPr>
            <w:r>
              <w:t xml:space="preserve">Wert der Transaktionen im Berichtsjahr aus den jeweiligen Arten von Konten. Spalte 0130 enthält sowohl Omnibus- als auch getrennte Kundenkonten. </w:t>
            </w:r>
          </w:p>
          <w:p w14:paraId="7FE1C91A" w14:textId="77777777" w:rsidR="00696584" w:rsidRDefault="002C4F63">
            <w:pPr>
              <w:pStyle w:val="TableParagraph"/>
              <w:spacing w:before="108"/>
              <w:ind w:left="8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Bericht für PS, CCP, (I)CSD</w:t>
            </w:r>
            <w:r>
              <w:rPr>
                <w:rStyle w:val="FootnoteReference"/>
                <w:rFonts w:ascii="Times New Roman" w:eastAsia="Times New Roman" w:hAnsi="Times New Roman" w:cs="Times New Roman"/>
              </w:rPr>
              <w:footnoteReference w:id="35"/>
            </w:r>
            <w:r>
              <w:rPr>
                <w:rFonts w:ascii="Times New Roman" w:eastAsia="Times New Roman" w:hAnsi="Times New Roman" w:cs="Times New Roman"/>
                <w:sz w:val="20"/>
                <w:szCs w:val="20"/>
              </w:rPr>
              <w:t>.</w:t>
            </w:r>
          </w:p>
          <w:p w14:paraId="7FE1C91B" w14:textId="77777777" w:rsidR="00696584" w:rsidRDefault="002C4F63">
            <w:pPr>
              <w:pStyle w:val="P68B1DB1-TableParagraph40"/>
              <w:numPr>
                <w:ilvl w:val="0"/>
                <w:numId w:val="250"/>
              </w:numPr>
              <w:spacing w:before="108"/>
              <w:jc w:val="both"/>
            </w:pPr>
            <w:r>
              <w:t>TEILNEHMERSTAAT: Wert der gesendeten Transaktionen.</w:t>
            </w:r>
          </w:p>
          <w:p w14:paraId="7FE1C91C" w14:textId="77777777" w:rsidR="00696584" w:rsidRDefault="002C4F63">
            <w:pPr>
              <w:pStyle w:val="P68B1DB1-TableParagraph40"/>
              <w:numPr>
                <w:ilvl w:val="0"/>
                <w:numId w:val="250"/>
              </w:numPr>
              <w:spacing w:before="108"/>
              <w:jc w:val="both"/>
            </w:pPr>
            <w:r>
              <w:t>Zentrale Gegenparteien: Gesamtwert der im Laufe des Jahres ausgeführten Transaktionen. Bei CCP-Derivaten:</w:t>
            </w:r>
          </w:p>
          <w:p w14:paraId="7FE1C91D" w14:textId="77777777" w:rsidR="00696584" w:rsidRDefault="002C4F63">
            <w:pPr>
              <w:pStyle w:val="P68B1DB1-TableParagraph40"/>
              <w:numPr>
                <w:ilvl w:val="1"/>
                <w:numId w:val="250"/>
              </w:numPr>
              <w:spacing w:before="108"/>
              <w:jc w:val="both"/>
            </w:pPr>
            <w:r>
              <w:t>Optionen = Ausübungspreis;</w:t>
            </w:r>
          </w:p>
          <w:p w14:paraId="7FE1C91E" w14:textId="77777777" w:rsidR="00696584" w:rsidRDefault="002C4F63">
            <w:pPr>
              <w:pStyle w:val="P68B1DB1-TableParagraph40"/>
              <w:numPr>
                <w:ilvl w:val="1"/>
                <w:numId w:val="250"/>
              </w:numPr>
              <w:spacing w:before="108"/>
              <w:jc w:val="both"/>
            </w:pPr>
            <w:r>
              <w:t>Futures = Wert des Basiswerts zum Zeitpunkt der Transaktion oder, falls fiktive Basiswerte vorhanden sind, Marktpreis von Terminkontrakten zum Zeitpunkt der Transaktion.</w:t>
            </w:r>
          </w:p>
          <w:p w14:paraId="7FE1C91F" w14:textId="77777777" w:rsidR="00696584" w:rsidRDefault="002C4F63">
            <w:pPr>
              <w:pStyle w:val="P68B1DB1-TableParagraph40"/>
              <w:numPr>
                <w:ilvl w:val="1"/>
                <w:numId w:val="250"/>
              </w:numPr>
              <w:spacing w:before="108"/>
              <w:jc w:val="both"/>
            </w:pPr>
            <w:r>
              <w:t>Swaps = Gesamtmarktwert der zum Jahresende ausstehenden Transaktionen.</w:t>
            </w:r>
          </w:p>
          <w:p w14:paraId="7FE1C920" w14:textId="10EC0BD7" w:rsidR="00696584" w:rsidRDefault="00EE2582">
            <w:pPr>
              <w:pStyle w:val="P68B1DB1-TableParagraph40"/>
              <w:numPr>
                <w:ilvl w:val="0"/>
                <w:numId w:val="250"/>
              </w:numPr>
              <w:spacing w:before="108"/>
              <w:jc w:val="both"/>
              <w:rPr>
                <w:strike/>
                <w:color w:val="D13438"/>
                <w:u w:val="single"/>
              </w:rPr>
            </w:pPr>
            <w:r>
              <w:t>(</w:t>
            </w:r>
            <w:r w:rsidR="002C4F63">
              <w:t xml:space="preserve">I)CSD: Gesamtwert der Lieferanweisungen. </w:t>
            </w:r>
          </w:p>
        </w:tc>
      </w:tr>
      <w:tr w:rsidR="00696584" w14:paraId="7FE1C926" w14:textId="77777777">
        <w:tc>
          <w:tcPr>
            <w:tcW w:w="1183" w:type="dxa"/>
            <w:tcBorders>
              <w:top w:val="single" w:sz="8" w:space="0" w:color="auto"/>
              <w:bottom w:val="single" w:sz="8" w:space="0" w:color="auto"/>
              <w:right w:val="single" w:sz="8" w:space="0" w:color="auto"/>
            </w:tcBorders>
            <w:vAlign w:val="center"/>
          </w:tcPr>
          <w:p w14:paraId="7FE1C922" w14:textId="1240362A" w:rsidR="00696584" w:rsidRDefault="002C4F63">
            <w:pPr>
              <w:pStyle w:val="P68B1DB1-Normal31"/>
              <w:rPr>
                <w:strike/>
              </w:rPr>
            </w:pPr>
            <w:r>
              <w:t>0140</w:t>
            </w:r>
          </w:p>
        </w:tc>
        <w:tc>
          <w:tcPr>
            <w:tcW w:w="7832" w:type="dxa"/>
            <w:tcBorders>
              <w:top w:val="single" w:sz="8" w:space="0" w:color="auto"/>
              <w:left w:val="single" w:sz="8" w:space="0" w:color="auto"/>
              <w:bottom w:val="single" w:sz="8" w:space="0" w:color="auto"/>
            </w:tcBorders>
            <w:vAlign w:val="bottom"/>
          </w:tcPr>
          <w:p w14:paraId="7FE1C923" w14:textId="77777777" w:rsidR="00696584" w:rsidRDefault="002C4F63">
            <w:pPr>
              <w:pStyle w:val="P68B1DB1-TableParagraph73"/>
              <w:spacing w:before="108" w:after="120"/>
              <w:ind w:left="85"/>
              <w:jc w:val="both"/>
            </w:pPr>
            <w:r>
              <w:t>Kumulierter Nominalbetrag</w:t>
            </w:r>
          </w:p>
          <w:p w14:paraId="7FE1C924" w14:textId="77777777" w:rsidR="00696584" w:rsidRDefault="002C4F63">
            <w:pPr>
              <w:pStyle w:val="P68B1DB1-TableParagraph40"/>
              <w:spacing w:before="108"/>
              <w:ind w:left="85"/>
              <w:jc w:val="both"/>
            </w:pPr>
            <w:r>
              <w:t xml:space="preserve">Summe der Nominalbeträge der im Laufe des Jahres ausgeführten Geschäfte, sowohl für Haus- als auch für Kundenkonten. Bericht in Mrd. EUR. </w:t>
            </w:r>
          </w:p>
          <w:p w14:paraId="7FE1C925" w14:textId="77777777" w:rsidR="00696584" w:rsidRDefault="002C4F63">
            <w:pPr>
              <w:pStyle w:val="P68B1DB1-Heading482"/>
              <w:numPr>
                <w:ilvl w:val="3"/>
                <w:numId w:val="0"/>
              </w:numPr>
              <w:ind w:left="360"/>
              <w:rPr>
                <w:strike/>
                <w:color w:val="D13438"/>
                <w:u w:val="single"/>
              </w:rPr>
            </w:pPr>
            <w:r>
              <w:t>Nur für CCP-Derivate.</w:t>
            </w:r>
          </w:p>
        </w:tc>
      </w:tr>
      <w:tr w:rsidR="00696584" w14:paraId="7FE1C92A" w14:textId="77777777">
        <w:tc>
          <w:tcPr>
            <w:tcW w:w="1183" w:type="dxa"/>
            <w:tcBorders>
              <w:top w:val="single" w:sz="8" w:space="0" w:color="auto"/>
              <w:bottom w:val="single" w:sz="8" w:space="0" w:color="auto"/>
              <w:right w:val="single" w:sz="8" w:space="0" w:color="auto"/>
            </w:tcBorders>
            <w:vAlign w:val="center"/>
          </w:tcPr>
          <w:p w14:paraId="7FE1C927" w14:textId="446A9A90" w:rsidR="00696584" w:rsidRDefault="002C4F63">
            <w:pPr>
              <w:pStyle w:val="P68B1DB1-Normal31"/>
              <w:rPr>
                <w:strike/>
              </w:rPr>
            </w:pPr>
            <w:r>
              <w:t>0150</w:t>
            </w:r>
          </w:p>
        </w:tc>
        <w:tc>
          <w:tcPr>
            <w:tcW w:w="7832" w:type="dxa"/>
            <w:tcBorders>
              <w:top w:val="single" w:sz="8" w:space="0" w:color="auto"/>
              <w:left w:val="single" w:sz="8" w:space="0" w:color="auto"/>
              <w:bottom w:val="single" w:sz="8" w:space="0" w:color="auto"/>
            </w:tcBorders>
            <w:vAlign w:val="bottom"/>
          </w:tcPr>
          <w:p w14:paraId="7FE1C928" w14:textId="77777777" w:rsidR="00696584" w:rsidRDefault="002C4F63">
            <w:pPr>
              <w:pStyle w:val="P68B1DB1-TableParagraph73"/>
              <w:spacing w:before="108"/>
              <w:ind w:left="85"/>
              <w:jc w:val="both"/>
            </w:pPr>
            <w:r>
              <w:t>Kreditlinie</w:t>
            </w:r>
          </w:p>
          <w:p w14:paraId="7FE1C929" w14:textId="67B94286" w:rsidR="00696584" w:rsidRDefault="002C4F63">
            <w:pPr>
              <w:pStyle w:val="P68B1DB1-Heading482"/>
              <w:numPr>
                <w:ilvl w:val="3"/>
                <w:numId w:val="0"/>
              </w:numPr>
              <w:ind w:left="360"/>
              <w:rPr>
                <w:strike/>
                <w:color w:val="D13438"/>
                <w:u w:val="single"/>
              </w:rPr>
            </w:pPr>
            <w:r>
              <w:t>Im Falle direkten Zugangs: im System gewährte (zugesagte oder unbestätigte) Kreditlinie.</w:t>
            </w:r>
            <w:r w:rsidR="00F75217">
              <w:t xml:space="preserve"> </w:t>
            </w:r>
            <w:r>
              <w:t xml:space="preserve">Im Falle indirekten Zugangs: vom </w:t>
            </w:r>
            <w:r w:rsidR="00401B63">
              <w:t>Finanzmittler</w:t>
            </w:r>
            <w:r>
              <w:t xml:space="preserve"> oder einem anderen Liquiditätsgeber gewährte (zugesagte oder unbestätigte) Kreditlinie. Bei nicht offengelegten Mengen die maximale Nutzung im Laufe des Jahres. </w:t>
            </w:r>
          </w:p>
        </w:tc>
      </w:tr>
      <w:tr w:rsidR="00696584" w14:paraId="7FE1C931" w14:textId="77777777">
        <w:tc>
          <w:tcPr>
            <w:tcW w:w="1183" w:type="dxa"/>
            <w:tcBorders>
              <w:top w:val="single" w:sz="8" w:space="0" w:color="auto"/>
              <w:bottom w:val="single" w:sz="8" w:space="0" w:color="auto"/>
              <w:right w:val="single" w:sz="8" w:space="0" w:color="auto"/>
            </w:tcBorders>
            <w:vAlign w:val="center"/>
          </w:tcPr>
          <w:p w14:paraId="7FE1C92B" w14:textId="48B84DB8" w:rsidR="00696584" w:rsidRDefault="002C4F63">
            <w:pPr>
              <w:pStyle w:val="P68B1DB1-Normal31"/>
              <w:rPr>
                <w:strike/>
              </w:rPr>
            </w:pPr>
            <w:r>
              <w:t>0160</w:t>
            </w:r>
          </w:p>
        </w:tc>
        <w:tc>
          <w:tcPr>
            <w:tcW w:w="7832" w:type="dxa"/>
            <w:tcBorders>
              <w:top w:val="single" w:sz="8" w:space="0" w:color="auto"/>
              <w:left w:val="single" w:sz="8" w:space="0" w:color="auto"/>
              <w:bottom w:val="single" w:sz="8" w:space="0" w:color="auto"/>
            </w:tcBorders>
            <w:vAlign w:val="bottom"/>
          </w:tcPr>
          <w:p w14:paraId="7FE1C92C" w14:textId="77777777" w:rsidR="00696584" w:rsidRDefault="002C4F63">
            <w:pPr>
              <w:pStyle w:val="P68B1DB1-TableParagraph73"/>
              <w:spacing w:before="108"/>
              <w:ind w:left="85"/>
              <w:jc w:val="both"/>
            </w:pPr>
            <w:r>
              <w:t>Spitze der Liquiditäts- oder Sicherheitsanforderungen</w:t>
            </w:r>
          </w:p>
          <w:p w14:paraId="7FE1C92D" w14:textId="77777777" w:rsidR="00696584" w:rsidRDefault="002C4F63">
            <w:pPr>
              <w:pStyle w:val="P68B1DB1-TableParagraph40"/>
              <w:spacing w:before="108"/>
              <w:ind w:left="85"/>
              <w:jc w:val="both"/>
            </w:pPr>
            <w:r>
              <w:t>Nur Bericht für PS, (I)CSD, CCPs, je nach Anwendbarkeit. Spitzenwert im Vorjahr.</w:t>
            </w:r>
          </w:p>
          <w:p w14:paraId="7FE1C92E" w14:textId="77777777" w:rsidR="00696584" w:rsidRDefault="002C4F63">
            <w:pPr>
              <w:pStyle w:val="P68B1DB1-TableParagraph40"/>
              <w:numPr>
                <w:ilvl w:val="0"/>
                <w:numId w:val="251"/>
              </w:numPr>
              <w:spacing w:before="108"/>
              <w:jc w:val="both"/>
            </w:pPr>
            <w:r>
              <w:t xml:space="preserve">Für (I)CSD und PS: Spitzenwert der Nutzung von Kreditlinien.  </w:t>
            </w:r>
          </w:p>
          <w:p w14:paraId="7FE1C92F" w14:textId="77777777" w:rsidR="00696584" w:rsidRDefault="002C4F63">
            <w:pPr>
              <w:pStyle w:val="P68B1DB1-TableParagraph40"/>
              <w:numPr>
                <w:ilvl w:val="0"/>
                <w:numId w:val="251"/>
              </w:numPr>
              <w:spacing w:before="108"/>
              <w:jc w:val="both"/>
            </w:pPr>
            <w:r>
              <w:t>Für zentrale Gegenparteien: Spitzenwert der Margenanforderungen.</w:t>
            </w:r>
          </w:p>
          <w:p w14:paraId="7FE1C930" w14:textId="77777777" w:rsidR="00696584" w:rsidRDefault="002C4F63">
            <w:pPr>
              <w:pStyle w:val="P68B1DB1-TableParagraph40"/>
              <w:numPr>
                <w:ilvl w:val="0"/>
                <w:numId w:val="251"/>
              </w:numPr>
              <w:spacing w:before="108"/>
              <w:jc w:val="both"/>
              <w:rPr>
                <w:strike/>
                <w:color w:val="D13438"/>
                <w:u w:val="single"/>
              </w:rPr>
            </w:pPr>
            <w:r>
              <w:t>Für indirekte Zugänge: Spitzenfinanzierungsbedarf des Intermediärs.</w:t>
            </w:r>
          </w:p>
        </w:tc>
      </w:tr>
      <w:tr w:rsidR="00696584" w14:paraId="7FE1C935" w14:textId="77777777">
        <w:tc>
          <w:tcPr>
            <w:tcW w:w="1183" w:type="dxa"/>
            <w:tcBorders>
              <w:top w:val="single" w:sz="8" w:space="0" w:color="auto"/>
              <w:bottom w:val="single" w:sz="8" w:space="0" w:color="auto"/>
              <w:right w:val="single" w:sz="8" w:space="0" w:color="auto"/>
            </w:tcBorders>
            <w:vAlign w:val="center"/>
          </w:tcPr>
          <w:p w14:paraId="7FE1C932" w14:textId="618A69A7" w:rsidR="00696584" w:rsidRDefault="002C4F63">
            <w:pPr>
              <w:pStyle w:val="P68B1DB1-Normal31"/>
              <w:rPr>
                <w:strike/>
              </w:rPr>
            </w:pPr>
            <w:r>
              <w:t>0170</w:t>
            </w:r>
          </w:p>
        </w:tc>
        <w:tc>
          <w:tcPr>
            <w:tcW w:w="7832" w:type="dxa"/>
            <w:tcBorders>
              <w:top w:val="single" w:sz="8" w:space="0" w:color="auto"/>
              <w:left w:val="single" w:sz="8" w:space="0" w:color="auto"/>
              <w:bottom w:val="single" w:sz="8" w:space="0" w:color="auto"/>
            </w:tcBorders>
            <w:vAlign w:val="bottom"/>
          </w:tcPr>
          <w:p w14:paraId="7FE1C933" w14:textId="77777777" w:rsidR="00696584" w:rsidRDefault="002C4F63">
            <w:pPr>
              <w:pStyle w:val="P68B1DB1-TableParagraph73"/>
              <w:spacing w:before="108"/>
              <w:ind w:left="85"/>
              <w:jc w:val="both"/>
            </w:pPr>
            <w:r>
              <w:t>Geschätzte zusätzliche Liquiditäts- oder Sicherheitsanforderungen im Stressfall</w:t>
            </w:r>
          </w:p>
          <w:p w14:paraId="7FE1C934" w14:textId="16041565" w:rsidR="00696584" w:rsidRDefault="002C4F63">
            <w:pPr>
              <w:pStyle w:val="P68B1DB1-Heading482"/>
              <w:numPr>
                <w:ilvl w:val="3"/>
                <w:numId w:val="0"/>
              </w:numPr>
              <w:ind w:left="360"/>
              <w:rPr>
                <w:strike/>
                <w:color w:val="D13438"/>
                <w:u w:val="single"/>
              </w:rPr>
            </w:pPr>
            <w:r>
              <w:t xml:space="preserve">Schätzung der potenziellen zusätzlichen Liquidität oder Sicherheiten, die über die Spitzenanforderung in Spalte 0160 hinausgehen und mit denen der Nutzer in einer Situation schwerer Stresssituation konfrontiert sein könnte. </w:t>
            </w:r>
          </w:p>
        </w:tc>
      </w:tr>
    </w:tbl>
    <w:p w14:paraId="7FE1C936" w14:textId="77777777" w:rsidR="00696584" w:rsidRDefault="00696584">
      <w:pPr>
        <w:pStyle w:val="Instructionsberschrift2"/>
        <w:ind w:left="357"/>
        <w:rPr>
          <w:rFonts w:ascii="Times New Roman" w:eastAsia="Calibri" w:hAnsi="Times New Roman" w:cs="Times New Roman"/>
          <w:szCs w:val="20"/>
        </w:rPr>
      </w:pPr>
    </w:p>
    <w:p w14:paraId="7FE1C937" w14:textId="77777777" w:rsidR="00696584" w:rsidRDefault="002C4F63">
      <w:pPr>
        <w:pStyle w:val="P68B1DB1-Instructionsberschrift271"/>
        <w:numPr>
          <w:ilvl w:val="1"/>
          <w:numId w:val="49"/>
        </w:numPr>
        <w:ind w:left="357" w:hanging="357"/>
      </w:pPr>
      <w:bookmarkStart w:id="139" w:name="_Toc209533612"/>
      <w:r>
        <w:t>Z 09.04 – FMI-Dienstleistungen – CCPs – alternative Anbieter (FMI 4)</w:t>
      </w:r>
      <w:bookmarkEnd w:id="139"/>
    </w:p>
    <w:tbl>
      <w:tblPr>
        <w:tblW w:w="0" w:type="auto"/>
        <w:tblInd w:w="135" w:type="dxa"/>
        <w:tblLook w:val="04A0" w:firstRow="1" w:lastRow="0" w:firstColumn="1" w:lastColumn="0" w:noHBand="0" w:noVBand="1"/>
      </w:tblPr>
      <w:tblGrid>
        <w:gridCol w:w="1178"/>
        <w:gridCol w:w="7713"/>
      </w:tblGrid>
      <w:tr w:rsidR="00696584" w14:paraId="7FE1CBEC" w14:textId="77777777">
        <w:tc>
          <w:tcPr>
            <w:tcW w:w="1178" w:type="dxa"/>
            <w:tcBorders>
              <w:top w:val="single" w:sz="8" w:space="0" w:color="1A171C"/>
              <w:left w:val="nil"/>
              <w:bottom w:val="single" w:sz="8" w:space="0" w:color="1A171C"/>
              <w:right w:val="single" w:sz="8" w:space="0" w:color="1A171C"/>
            </w:tcBorders>
            <w:shd w:val="clear" w:color="auto" w:fill="D9D9D9" w:themeFill="background1" w:themeFillShade="D9"/>
          </w:tcPr>
          <w:p w14:paraId="7FE1CBEA" w14:textId="77777777" w:rsidR="00696584" w:rsidRDefault="002C4F63">
            <w:pPr>
              <w:pStyle w:val="P68B1DB1-TableParagraph17"/>
              <w:spacing w:before="108"/>
              <w:ind w:left="85"/>
            </w:pPr>
            <w:bookmarkStart w:id="140" w:name="_Toc162265152"/>
            <w:bookmarkStart w:id="141" w:name="_Toc162265682"/>
            <w:bookmarkStart w:id="142" w:name="_Toc162265752"/>
            <w:bookmarkStart w:id="143" w:name="_Toc162266097"/>
            <w:bookmarkStart w:id="144" w:name="_Toc163639558"/>
            <w:bookmarkStart w:id="145" w:name="_Toc162265153"/>
            <w:bookmarkStart w:id="146" w:name="_Toc162265683"/>
            <w:bookmarkStart w:id="147" w:name="_Toc162265753"/>
            <w:bookmarkStart w:id="148" w:name="_Toc162266098"/>
            <w:bookmarkStart w:id="149" w:name="_Toc163639559"/>
            <w:bookmarkStart w:id="150" w:name="_Toc160027996"/>
            <w:bookmarkStart w:id="151" w:name="_Toc160028068"/>
            <w:bookmarkStart w:id="152" w:name="_Toc160028140"/>
            <w:bookmarkStart w:id="153" w:name="_Toc161034556"/>
            <w:bookmarkStart w:id="154" w:name="_Toc162265154"/>
            <w:bookmarkStart w:id="155" w:name="_Toc162265684"/>
            <w:bookmarkStart w:id="156" w:name="_Toc162265754"/>
            <w:bookmarkStart w:id="157" w:name="_Toc162266099"/>
            <w:bookmarkStart w:id="158" w:name="_Toc163639560"/>
            <w:bookmarkStart w:id="159" w:name="_Toc189493010"/>
            <w:bookmarkStart w:id="160" w:name="_Toc192249287"/>
            <w:bookmarkStart w:id="161" w:name="_Toc189493015"/>
            <w:bookmarkStart w:id="162" w:name="_Toc192249292"/>
            <w:bookmarkStart w:id="163" w:name="_Toc189493098"/>
            <w:bookmarkStart w:id="164" w:name="_Toc192249375"/>
            <w:bookmarkStart w:id="165" w:name="_Toc189493105"/>
            <w:bookmarkStart w:id="166" w:name="_Toc192249382"/>
            <w:bookmarkStart w:id="167" w:name="_Toc160027999"/>
            <w:bookmarkStart w:id="168" w:name="_Toc160028071"/>
            <w:bookmarkStart w:id="169" w:name="_Toc160028143"/>
            <w:bookmarkStart w:id="170" w:name="_Toc161034559"/>
            <w:bookmarkStart w:id="171" w:name="_Toc162265157"/>
            <w:bookmarkStart w:id="172" w:name="_Toc162265687"/>
            <w:bookmarkStart w:id="173" w:name="_Toc162265757"/>
            <w:bookmarkStart w:id="174" w:name="_Toc162266102"/>
            <w:bookmarkStart w:id="175" w:name="_Toc163639563"/>
            <w:bookmarkStart w:id="176" w:name="_Toc160028000"/>
            <w:bookmarkStart w:id="177" w:name="_Toc160028072"/>
            <w:bookmarkStart w:id="178" w:name="_Toc160028144"/>
            <w:bookmarkStart w:id="179" w:name="_Toc161034560"/>
            <w:bookmarkStart w:id="180" w:name="_Toc162265158"/>
            <w:bookmarkStart w:id="181" w:name="_Toc162265688"/>
            <w:bookmarkStart w:id="182" w:name="_Toc162265758"/>
            <w:bookmarkStart w:id="183" w:name="_Toc162266103"/>
            <w:bookmarkStart w:id="184" w:name="_Toc163639564"/>
            <w:bookmarkStart w:id="185" w:name="_Toc160028001"/>
            <w:bookmarkStart w:id="186" w:name="_Toc160028073"/>
            <w:bookmarkStart w:id="187" w:name="_Toc160028145"/>
            <w:bookmarkStart w:id="188" w:name="_Toc161034561"/>
            <w:bookmarkStart w:id="189" w:name="_Toc162265159"/>
            <w:bookmarkStart w:id="190" w:name="_Toc162265689"/>
            <w:bookmarkStart w:id="191" w:name="_Toc162265759"/>
            <w:bookmarkStart w:id="192" w:name="_Toc162266104"/>
            <w:bookmarkStart w:id="193" w:name="_Toc163639565"/>
            <w:bookmarkStart w:id="194" w:name="_Toc81454197"/>
            <w:bookmarkStart w:id="195" w:name="_Toc81485512"/>
            <w:bookmarkStart w:id="196" w:name="_Toc81485589"/>
            <w:bookmarkStart w:id="197" w:name="_Toc81485710"/>
            <w:bookmarkStart w:id="198" w:name="_Toc81485994"/>
            <w:bookmarkStart w:id="199" w:name="_Toc160028002"/>
            <w:bookmarkStart w:id="200" w:name="_Toc160028074"/>
            <w:bookmarkStart w:id="201" w:name="_Toc160028146"/>
            <w:bookmarkStart w:id="202" w:name="_Toc161034562"/>
            <w:bookmarkStart w:id="203" w:name="_Toc162265160"/>
            <w:bookmarkStart w:id="204" w:name="_Toc162265690"/>
            <w:bookmarkStart w:id="205" w:name="_Toc162265760"/>
            <w:bookmarkStart w:id="206" w:name="_Toc162266105"/>
            <w:bookmarkStart w:id="207" w:name="_Toc163639566"/>
            <w:bookmarkStart w:id="208" w:name="_Toc81454198"/>
            <w:bookmarkStart w:id="209" w:name="_Toc81485513"/>
            <w:bookmarkStart w:id="210" w:name="_Toc81485590"/>
            <w:bookmarkStart w:id="211" w:name="_Toc81485711"/>
            <w:bookmarkStart w:id="212" w:name="_Toc81485995"/>
            <w:bookmarkStart w:id="213" w:name="_Toc160028003"/>
            <w:bookmarkStart w:id="214" w:name="_Toc160028075"/>
            <w:bookmarkStart w:id="215" w:name="_Toc160028147"/>
            <w:bookmarkStart w:id="216" w:name="_Toc161034563"/>
            <w:bookmarkStart w:id="217" w:name="_Toc162265161"/>
            <w:bookmarkStart w:id="218" w:name="_Toc162265691"/>
            <w:bookmarkStart w:id="219" w:name="_Toc162265761"/>
            <w:bookmarkStart w:id="220" w:name="_Toc162266106"/>
            <w:bookmarkStart w:id="221" w:name="_Toc163639567"/>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r>
              <w:t xml:space="preserve">Spalten </w:t>
            </w:r>
          </w:p>
        </w:tc>
        <w:tc>
          <w:tcPr>
            <w:tcW w:w="7713" w:type="dxa"/>
            <w:tcBorders>
              <w:top w:val="single" w:sz="8" w:space="0" w:color="1A171C"/>
              <w:left w:val="single" w:sz="8" w:space="0" w:color="1A171C"/>
              <w:bottom w:val="single" w:sz="8" w:space="0" w:color="1A171C"/>
              <w:right w:val="nil"/>
            </w:tcBorders>
            <w:shd w:val="clear" w:color="auto" w:fill="D9D9D9" w:themeFill="background1" w:themeFillShade="D9"/>
          </w:tcPr>
          <w:p w14:paraId="7FE1CBEB" w14:textId="77777777" w:rsidR="00696584" w:rsidRDefault="002C4F63">
            <w:pPr>
              <w:pStyle w:val="P68B1DB1-TableParagraph17"/>
              <w:spacing w:before="108"/>
              <w:ind w:left="85"/>
            </w:pPr>
            <w:r>
              <w:t xml:space="preserve">Erläuterungen </w:t>
            </w:r>
          </w:p>
        </w:tc>
      </w:tr>
      <w:tr w:rsidR="00696584" w14:paraId="7FE1CBF3" w14:textId="77777777">
        <w:tc>
          <w:tcPr>
            <w:tcW w:w="1178" w:type="dxa"/>
            <w:tcBorders>
              <w:top w:val="single" w:sz="8" w:space="0" w:color="1A171C"/>
              <w:bottom w:val="single" w:sz="8" w:space="0" w:color="auto"/>
              <w:right w:val="single" w:sz="8" w:space="0" w:color="auto"/>
            </w:tcBorders>
            <w:vAlign w:val="center"/>
          </w:tcPr>
          <w:p w14:paraId="7FE1CBED" w14:textId="2655C4FA" w:rsidR="00696584" w:rsidRDefault="002C4F63">
            <w:pPr>
              <w:pStyle w:val="P68B1DB1-Normal31"/>
            </w:pPr>
            <w:r>
              <w:t>0010</w:t>
            </w:r>
          </w:p>
        </w:tc>
        <w:tc>
          <w:tcPr>
            <w:tcW w:w="7713" w:type="dxa"/>
            <w:tcBorders>
              <w:top w:val="single" w:sz="8" w:space="0" w:color="1A171C"/>
              <w:left w:val="single" w:sz="8" w:space="0" w:color="auto"/>
              <w:bottom w:val="single" w:sz="8" w:space="0" w:color="auto"/>
            </w:tcBorders>
            <w:vAlign w:val="bottom"/>
          </w:tcPr>
          <w:p w14:paraId="7FE1CBEE" w14:textId="4939F0D6" w:rsidR="00696584" w:rsidRDefault="002C4F63">
            <w:pPr>
              <w:pStyle w:val="P68B1DB1-TableParagraph73"/>
              <w:spacing w:before="108"/>
              <w:ind w:left="85"/>
              <w:jc w:val="both"/>
            </w:pPr>
            <w:r>
              <w:t xml:space="preserve">ID als Kombination von Nutzer, FMI, Art des Systems und </w:t>
            </w:r>
            <w:r w:rsidR="00401B63">
              <w:t>Finanzmittler</w:t>
            </w:r>
          </w:p>
          <w:p w14:paraId="7FE1CBEF" w14:textId="2166D4DC" w:rsidR="00696584" w:rsidRDefault="002C4F63">
            <w:pPr>
              <w:pStyle w:val="P68B1DB1-TableParagraph40"/>
              <w:spacing w:before="108"/>
              <w:ind w:left="85"/>
              <w:jc w:val="both"/>
            </w:pPr>
            <w:r>
              <w:t xml:space="preserve">Kennung der CCP gemäß Z 09.01 Spalte 0010. </w:t>
            </w:r>
          </w:p>
          <w:p w14:paraId="7FE1CBF2" w14:textId="2A5BCF53" w:rsidR="00696584" w:rsidRDefault="002C4F63">
            <w:pPr>
              <w:pStyle w:val="P68B1DB1-TableParagraph40"/>
              <w:spacing w:before="108"/>
              <w:ind w:left="85"/>
              <w:jc w:val="both"/>
              <w:rPr>
                <w:b/>
                <w:bCs/>
                <w:i/>
                <w:iCs/>
              </w:rPr>
            </w:pPr>
            <w:r>
              <w:t>Nur für CCPs, auf die direkt oder indirekt zugegriffen wurde. Melden Sie alle Zugriffe auf CCPs.</w:t>
            </w:r>
          </w:p>
        </w:tc>
      </w:tr>
      <w:tr w:rsidR="00696584" w14:paraId="7FE1CBF9" w14:textId="77777777">
        <w:tc>
          <w:tcPr>
            <w:tcW w:w="1178" w:type="dxa"/>
            <w:tcBorders>
              <w:top w:val="single" w:sz="8" w:space="0" w:color="auto"/>
              <w:bottom w:val="single" w:sz="8" w:space="0" w:color="auto"/>
              <w:right w:val="single" w:sz="8" w:space="0" w:color="auto"/>
            </w:tcBorders>
            <w:vAlign w:val="center"/>
          </w:tcPr>
          <w:p w14:paraId="7FE1CBF4" w14:textId="1F2D5BBA" w:rsidR="00696584" w:rsidRDefault="002C4F63">
            <w:pPr>
              <w:pStyle w:val="P68B1DB1-Normal31"/>
            </w:pPr>
            <w:r>
              <w:t>0020</w:t>
            </w:r>
          </w:p>
        </w:tc>
        <w:tc>
          <w:tcPr>
            <w:tcW w:w="7713" w:type="dxa"/>
            <w:tcBorders>
              <w:top w:val="single" w:sz="8" w:space="0" w:color="auto"/>
              <w:left w:val="single" w:sz="8" w:space="0" w:color="auto"/>
              <w:bottom w:val="single" w:sz="8" w:space="0" w:color="auto"/>
            </w:tcBorders>
            <w:vAlign w:val="bottom"/>
          </w:tcPr>
          <w:p w14:paraId="7FE1CBF5" w14:textId="77777777" w:rsidR="00696584" w:rsidRDefault="002C4F63">
            <w:pPr>
              <w:pStyle w:val="P68B1DB1-TableParagraph73"/>
              <w:spacing w:before="108"/>
              <w:ind w:left="85"/>
              <w:jc w:val="both"/>
              <w:rPr>
                <w:bCs/>
              </w:rPr>
            </w:pPr>
            <w:r>
              <w:t>Produktart</w:t>
            </w:r>
          </w:p>
          <w:p w14:paraId="7FE1CBF8" w14:textId="4ED919A2" w:rsidR="00696584" w:rsidRDefault="002C4F63">
            <w:pPr>
              <w:pStyle w:val="P68B1DB1-TableParagraph40"/>
              <w:spacing w:before="108"/>
              <w:ind w:left="85"/>
              <w:jc w:val="both"/>
              <w:rPr>
                <w:b/>
                <w:bCs/>
                <w:i/>
                <w:iCs/>
              </w:rPr>
            </w:pPr>
            <w:r>
              <w:t xml:space="preserve">Produktart, die unter die Clearingvereinbarung fällt. </w:t>
            </w:r>
            <w:r w:rsidR="003139A0">
              <w:t xml:space="preserve">Meldung </w:t>
            </w:r>
            <w:r>
              <w:t xml:space="preserve">auf geeigneter Granularitätsebene, die für die Substituierbarkeitsanalyse erforderlich ist. </w:t>
            </w:r>
          </w:p>
        </w:tc>
      </w:tr>
      <w:tr w:rsidR="00696584" w14:paraId="7FE1CC03" w14:textId="77777777">
        <w:tc>
          <w:tcPr>
            <w:tcW w:w="1178" w:type="dxa"/>
            <w:tcBorders>
              <w:top w:val="single" w:sz="8" w:space="0" w:color="auto"/>
              <w:bottom w:val="single" w:sz="8" w:space="0" w:color="auto"/>
              <w:right w:val="single" w:sz="8" w:space="0" w:color="auto"/>
            </w:tcBorders>
            <w:vAlign w:val="center"/>
          </w:tcPr>
          <w:p w14:paraId="7FE1CBFA" w14:textId="37C17AD0" w:rsidR="00696584" w:rsidRDefault="002C4F63">
            <w:pPr>
              <w:pStyle w:val="P68B1DB1-Normal31"/>
            </w:pPr>
            <w:r>
              <w:t>0030</w:t>
            </w:r>
          </w:p>
        </w:tc>
        <w:tc>
          <w:tcPr>
            <w:tcW w:w="7713" w:type="dxa"/>
            <w:tcBorders>
              <w:top w:val="single" w:sz="8" w:space="0" w:color="auto"/>
              <w:left w:val="single" w:sz="8" w:space="0" w:color="auto"/>
              <w:bottom w:val="single" w:sz="8" w:space="0" w:color="auto"/>
            </w:tcBorders>
            <w:vAlign w:val="bottom"/>
          </w:tcPr>
          <w:p w14:paraId="7FE1CBFB" w14:textId="79B93829" w:rsidR="00696584" w:rsidRDefault="00F75217">
            <w:pPr>
              <w:pStyle w:val="P68B1DB1-TableParagraph73"/>
              <w:spacing w:before="108"/>
              <w:ind w:left="85"/>
              <w:jc w:val="both"/>
            </w:pPr>
            <w:r>
              <w:t xml:space="preserve">Substituierbarkeit </w:t>
            </w:r>
            <w:r w:rsidR="002C4F63">
              <w:t>J/N</w:t>
            </w:r>
          </w:p>
          <w:p w14:paraId="7FE1CBFC" w14:textId="51AC74B4" w:rsidR="00696584" w:rsidRDefault="002C4F63">
            <w:pPr>
              <w:pStyle w:val="P68B1DB1-TableParagraph40"/>
              <w:spacing w:before="108"/>
              <w:ind w:left="85"/>
              <w:jc w:val="both"/>
            </w:pPr>
            <w:r>
              <w:t>Fähigkeit des Nutzers, den Clearingdienstleister in Z 09.01 Spalte 0020 durch einen alternativen FMI/Intermediär zu ersetzen, mit dem er zum Meldestichtag eine Vertragsbeziehung unterhält.</w:t>
            </w:r>
          </w:p>
          <w:p w14:paraId="7FE1CBFE" w14:textId="1F022B26" w:rsidR="00696584" w:rsidRDefault="002C4F63">
            <w:pPr>
              <w:pStyle w:val="P68B1DB1-TableParagraph40"/>
              <w:numPr>
                <w:ilvl w:val="0"/>
                <w:numId w:val="256"/>
              </w:numPr>
              <w:spacing w:before="108"/>
              <w:jc w:val="both"/>
            </w:pPr>
            <w:r>
              <w:t>„Ja“, wenn eine Substitution möglich ist</w:t>
            </w:r>
          </w:p>
          <w:p w14:paraId="7FE1CBFF" w14:textId="719E31EA" w:rsidR="00696584" w:rsidRDefault="002C4F63">
            <w:pPr>
              <w:pStyle w:val="P68B1DB1-TableParagraph40"/>
              <w:numPr>
                <w:ilvl w:val="0"/>
                <w:numId w:val="256"/>
              </w:numPr>
              <w:spacing w:before="108"/>
              <w:jc w:val="both"/>
            </w:pPr>
            <w:r>
              <w:t>„Nein“, wenn eine Substitution nicht möglich ist</w:t>
            </w:r>
          </w:p>
          <w:p w14:paraId="7FE1CC02" w14:textId="77777777" w:rsidR="00696584" w:rsidRDefault="00696584">
            <w:pPr>
              <w:pStyle w:val="TableParagraph"/>
              <w:spacing w:before="108"/>
              <w:jc w:val="both"/>
              <w:rPr>
                <w:rFonts w:ascii="Times New Roman" w:eastAsia="Times New Roman" w:hAnsi="Times New Roman" w:cs="Times New Roman"/>
                <w:b/>
                <w:sz w:val="20"/>
                <w:szCs w:val="20"/>
              </w:rPr>
            </w:pPr>
          </w:p>
        </w:tc>
      </w:tr>
      <w:tr w:rsidR="00696584" w14:paraId="7FE1CC08" w14:textId="77777777">
        <w:tc>
          <w:tcPr>
            <w:tcW w:w="1178" w:type="dxa"/>
            <w:tcBorders>
              <w:top w:val="single" w:sz="8" w:space="0" w:color="auto"/>
              <w:bottom w:val="single" w:sz="8" w:space="0" w:color="auto"/>
              <w:right w:val="single" w:sz="8" w:space="0" w:color="auto"/>
            </w:tcBorders>
            <w:vAlign w:val="center"/>
          </w:tcPr>
          <w:p w14:paraId="7FE1CC04" w14:textId="77777777" w:rsidR="00696584" w:rsidRDefault="002C4F63">
            <w:pPr>
              <w:pStyle w:val="P68B1DB1-Normal31"/>
            </w:pPr>
            <w:r>
              <w:t>0040</w:t>
            </w:r>
          </w:p>
        </w:tc>
        <w:tc>
          <w:tcPr>
            <w:tcW w:w="7713" w:type="dxa"/>
            <w:tcBorders>
              <w:top w:val="single" w:sz="8" w:space="0" w:color="auto"/>
              <w:left w:val="single" w:sz="8" w:space="0" w:color="auto"/>
              <w:bottom w:val="single" w:sz="8" w:space="0" w:color="auto"/>
            </w:tcBorders>
            <w:vAlign w:val="bottom"/>
          </w:tcPr>
          <w:p w14:paraId="7FE1CC05" w14:textId="77777777" w:rsidR="00696584" w:rsidRDefault="002C4F63">
            <w:pPr>
              <w:pStyle w:val="P68B1DB1-TableParagraph73"/>
              <w:spacing w:before="108" w:after="120"/>
              <w:jc w:val="both"/>
              <w:rPr>
                <w:bCs/>
              </w:rPr>
            </w:pPr>
            <w:r>
              <w:t>Alternativer Anbieter</w:t>
            </w:r>
          </w:p>
          <w:p w14:paraId="7FE1CC06" w14:textId="77777777" w:rsidR="00696584" w:rsidRDefault="002C4F63">
            <w:pPr>
              <w:pStyle w:val="P68B1DB1-Normal31"/>
              <w:spacing w:line="276" w:lineRule="auto"/>
              <w:jc w:val="both"/>
            </w:pPr>
            <w:r>
              <w:t xml:space="preserve">Name des FMI/Vermittlers, der als potenzieller Ersatz ermittelt wurde. </w:t>
            </w:r>
          </w:p>
          <w:p w14:paraId="7FE1CC07" w14:textId="2011DAFC" w:rsidR="00696584" w:rsidRDefault="002C4F63">
            <w:pPr>
              <w:pStyle w:val="P68B1DB1-TableParagraph40"/>
              <w:spacing w:before="108"/>
              <w:ind w:left="85"/>
              <w:jc w:val="both"/>
              <w:rPr>
                <w:b/>
                <w:bCs/>
              </w:rPr>
            </w:pPr>
            <w:r>
              <w:t>Nur angeben, wenn Z 09.04 Spalte 0030 Ja ist.</w:t>
            </w:r>
          </w:p>
        </w:tc>
      </w:tr>
      <w:tr w:rsidR="00696584" w14:paraId="7FE1CC0D" w14:textId="77777777">
        <w:tc>
          <w:tcPr>
            <w:tcW w:w="1178" w:type="dxa"/>
            <w:tcBorders>
              <w:top w:val="single" w:sz="8" w:space="0" w:color="auto"/>
              <w:bottom w:val="single" w:sz="8" w:space="0" w:color="auto"/>
              <w:right w:val="single" w:sz="8" w:space="0" w:color="auto"/>
            </w:tcBorders>
            <w:vAlign w:val="center"/>
          </w:tcPr>
          <w:p w14:paraId="7FE1CC09" w14:textId="77777777" w:rsidR="00696584" w:rsidRDefault="002C4F63">
            <w:pPr>
              <w:pStyle w:val="P68B1DB1-Normal31"/>
            </w:pPr>
            <w:r>
              <w:t>0050</w:t>
            </w:r>
          </w:p>
        </w:tc>
        <w:tc>
          <w:tcPr>
            <w:tcW w:w="7713" w:type="dxa"/>
            <w:tcBorders>
              <w:top w:val="single" w:sz="8" w:space="0" w:color="auto"/>
              <w:left w:val="single" w:sz="8" w:space="0" w:color="auto"/>
              <w:bottom w:val="single" w:sz="8" w:space="0" w:color="auto"/>
            </w:tcBorders>
            <w:vAlign w:val="bottom"/>
          </w:tcPr>
          <w:p w14:paraId="7FE1CC0A" w14:textId="77777777" w:rsidR="00696584" w:rsidRDefault="002C4F63">
            <w:pPr>
              <w:pStyle w:val="P68B1DB1-TableParagraph73"/>
              <w:spacing w:before="108"/>
              <w:jc w:val="both"/>
              <w:rPr>
                <w:bCs/>
              </w:rPr>
            </w:pPr>
            <w:r>
              <w:t>ID-Alternativer Anbieter</w:t>
            </w:r>
          </w:p>
          <w:p w14:paraId="7FE1CC0B" w14:textId="680AAC78" w:rsidR="00696584" w:rsidRDefault="002C4F63">
            <w:pPr>
              <w:pStyle w:val="P68B1DB1-Normal31"/>
              <w:spacing w:after="120" w:line="276" w:lineRule="auto"/>
              <w:jc w:val="both"/>
              <w:rPr>
                <w:b/>
                <w:bCs/>
              </w:rPr>
            </w:pPr>
            <w:r>
              <w:t>Eindeutige Kennung für die Kombination von Nutzer, FMI, Systemtyp und Vermittler des alternativen Anbieters, mit dem der Nutzer eine etablierte vertragliche Beziehung unterhält, wie in Z 09.01 Spalte 0010 angegeben.</w:t>
            </w:r>
            <w:r>
              <w:rPr>
                <w:b/>
              </w:rPr>
              <w:t xml:space="preserve"> </w:t>
            </w:r>
          </w:p>
          <w:p w14:paraId="7FE1CC0C" w14:textId="7C8756E6" w:rsidR="00696584" w:rsidRDefault="002C4F63">
            <w:pPr>
              <w:pStyle w:val="P68B1DB1-TableParagraph40"/>
              <w:spacing w:before="108"/>
              <w:ind w:left="85"/>
              <w:jc w:val="both"/>
              <w:rPr>
                <w:b/>
                <w:bCs/>
              </w:rPr>
            </w:pPr>
            <w:r>
              <w:t>Nur angeben, wenn Z 09.04 Spalte 0030 Ja ist.</w:t>
            </w:r>
          </w:p>
        </w:tc>
      </w:tr>
    </w:tbl>
    <w:p w14:paraId="7FE1CECA" w14:textId="77777777" w:rsidR="00696584" w:rsidRDefault="00696584">
      <w:pPr>
        <w:rPr>
          <w:rFonts w:ascii="Times New Roman" w:hAnsi="Times New Roman" w:cs="Times New Roman"/>
          <w:b/>
          <w:color w:val="000000" w:themeColor="text1"/>
          <w:sz w:val="20"/>
          <w:szCs w:val="20"/>
          <w:u w:val="single"/>
        </w:rPr>
      </w:pPr>
      <w:bookmarkStart w:id="222" w:name="_Toc80891744"/>
      <w:bookmarkStart w:id="223" w:name="_Toc81454206"/>
      <w:bookmarkStart w:id="224" w:name="_Toc81485521"/>
      <w:bookmarkStart w:id="225" w:name="_Toc81485598"/>
      <w:bookmarkStart w:id="226" w:name="_Toc81485719"/>
      <w:bookmarkStart w:id="227" w:name="_Toc81486003"/>
      <w:bookmarkStart w:id="228" w:name="_Toc160028011"/>
      <w:bookmarkStart w:id="229" w:name="_Toc160028083"/>
      <w:bookmarkStart w:id="230" w:name="_Toc160028155"/>
      <w:bookmarkStart w:id="231" w:name="_Toc80891746"/>
      <w:bookmarkStart w:id="232" w:name="_Toc81454208"/>
      <w:bookmarkStart w:id="233" w:name="_Toc81485523"/>
      <w:bookmarkStart w:id="234" w:name="_Toc81485600"/>
      <w:bookmarkStart w:id="235" w:name="_Toc81485721"/>
      <w:bookmarkStart w:id="236" w:name="_Toc81486005"/>
      <w:bookmarkStart w:id="237" w:name="_Toc160028013"/>
      <w:bookmarkStart w:id="238" w:name="_Toc160028085"/>
      <w:bookmarkStart w:id="239" w:name="_Toc160028157"/>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p>
    <w:p w14:paraId="7FE1CF06" w14:textId="77777777" w:rsidR="00696584" w:rsidRDefault="00696584">
      <w:pPr>
        <w:pStyle w:val="Instructionsberschrift2"/>
        <w:ind w:left="357"/>
        <w:rPr>
          <w:rFonts w:ascii="Times New Roman" w:eastAsia="Calibri" w:hAnsi="Times New Roman" w:cs="Times New Roman"/>
          <w:szCs w:val="20"/>
        </w:rPr>
      </w:pPr>
    </w:p>
    <w:p w14:paraId="7FE1CF07" w14:textId="60060850" w:rsidR="00696584" w:rsidRDefault="002C4F63">
      <w:pPr>
        <w:pStyle w:val="P68B1DB1-Instructionsberschrift284"/>
        <w:numPr>
          <w:ilvl w:val="1"/>
          <w:numId w:val="49"/>
        </w:numPr>
        <w:spacing w:before="0"/>
        <w:ind w:left="357" w:hanging="357"/>
      </w:pPr>
      <w:bookmarkStart w:id="240" w:name="_Toc209533613"/>
      <w:r>
        <w:t xml:space="preserve">Analyse der </w:t>
      </w:r>
      <w:r w:rsidR="00F75217">
        <w:t>Verbindlichkeiten</w:t>
      </w:r>
      <w:bookmarkEnd w:id="240"/>
    </w:p>
    <w:p w14:paraId="7FE1CF08" w14:textId="53CCE3BD" w:rsidR="00696584" w:rsidRDefault="002C4F63">
      <w:pPr>
        <w:pStyle w:val="Instructionsberschrift2"/>
        <w:numPr>
          <w:ilvl w:val="1"/>
          <w:numId w:val="49"/>
        </w:numPr>
        <w:spacing w:before="0"/>
        <w:ind w:left="357" w:hanging="357"/>
        <w:rPr>
          <w:rFonts w:ascii="Times New Roman" w:hAnsi="Times New Roman" w:cs="Times New Roman"/>
        </w:rPr>
      </w:pPr>
      <w:bookmarkStart w:id="241" w:name="_Toc209533614"/>
      <w:r>
        <w:rPr>
          <w:rFonts w:ascii="Times New Roman" w:hAnsi="Times New Roman" w:cs="Times New Roman"/>
          <w:color w:val="000000" w:themeColor="text1"/>
        </w:rPr>
        <w:t>Z 11.00 gruppeninterne Verbindlichkeiten</w:t>
      </w:r>
      <w:r>
        <w:rPr>
          <w:rFonts w:ascii="Times New Roman" w:eastAsia="Calibri" w:hAnsi="Times New Roman" w:cs="Times New Roman"/>
          <w:szCs w:val="20"/>
        </w:rPr>
        <w:t xml:space="preserve"> (LIAB-G-1)</w:t>
      </w:r>
      <w:bookmarkEnd w:id="241"/>
    </w:p>
    <w:p w14:paraId="7FE1CF0A" w14:textId="69A86E79" w:rsidR="00696584" w:rsidRDefault="002C4F63">
      <w:pPr>
        <w:pStyle w:val="P68B1DB1-Numberedtitlelevel385"/>
      </w:pPr>
      <w:bookmarkStart w:id="242" w:name="_Toc81454213"/>
      <w:r>
        <w:t>Allgemeine Bemerkungen</w:t>
      </w:r>
    </w:p>
    <w:p w14:paraId="7FE1CF0B" w14:textId="77777777" w:rsidR="00696584" w:rsidRDefault="002C4F63">
      <w:pPr>
        <w:pStyle w:val="P68B1DB1-InstructionsText26"/>
        <w:numPr>
          <w:ilvl w:val="2"/>
          <w:numId w:val="209"/>
        </w:numPr>
        <w:spacing w:before="0"/>
        <w:ind w:left="1276"/>
        <w:rPr>
          <w:rFonts w:eastAsiaTheme="majorEastAsia"/>
        </w:rPr>
      </w:pPr>
      <w:r>
        <w:t>Diese Tabelle enthält Angaben zu gruppeninternen Verbindlichkeiten, die alle Eigenmittel und Verbindlichkeiten abdecken.</w:t>
      </w:r>
    </w:p>
    <w:p w14:paraId="7FE1CF0C" w14:textId="4049DE4D" w:rsidR="00696584" w:rsidRDefault="002C4F63">
      <w:pPr>
        <w:pStyle w:val="P68B1DB1-InstructionsText26"/>
        <w:numPr>
          <w:ilvl w:val="2"/>
          <w:numId w:val="209"/>
        </w:numPr>
        <w:spacing w:before="0"/>
        <w:ind w:left="1276"/>
        <w:rPr>
          <w:rFonts w:eastAsiaTheme="majorEastAsia"/>
        </w:rPr>
      </w:pPr>
      <w:r>
        <w:t>Unternehmen, die als gruppenintern gelten, sind die Unternehmen, die – gemäß der Definition von Spalte 0100 in Z02.00 – zum bilanziellen Konsolidierungskreis des obersten Mutterunternehmens gehören. Infolgedessen werden diese Verbindlichkeiten nicht unter den detaillierten Registerkarten Z 12.00 bis Z 17.00 gemeldet, mit Ausnahme von Z 15.00 Derivaten (siehe unten).</w:t>
      </w:r>
    </w:p>
    <w:p w14:paraId="7FE1CF0D" w14:textId="170B6ABA" w:rsidR="00696584" w:rsidRDefault="002C4F63">
      <w:pPr>
        <w:pStyle w:val="P68B1DB1-InstructionsText26"/>
        <w:numPr>
          <w:ilvl w:val="2"/>
          <w:numId w:val="209"/>
        </w:numPr>
        <w:spacing w:before="0"/>
        <w:ind w:left="1276"/>
        <w:rPr>
          <w:rFonts w:eastAsiaTheme="majorEastAsia"/>
        </w:rPr>
      </w:pPr>
      <w:r>
        <w:t>Derivate sind spezifischer Natur und sollten nicht in Z 11.00, sondern gegebenenfalls immer in Z 15.00 gemeldet werden.</w:t>
      </w:r>
    </w:p>
    <w:p w14:paraId="7FE1CF0E" w14:textId="35990C30" w:rsidR="00696584" w:rsidRDefault="002C4F63">
      <w:pPr>
        <w:pStyle w:val="P68B1DB1-InstructionsText26"/>
        <w:numPr>
          <w:ilvl w:val="2"/>
          <w:numId w:val="209"/>
        </w:numPr>
        <w:spacing w:before="0"/>
        <w:ind w:left="1276"/>
        <w:rPr>
          <w:rFonts w:eastAsiaTheme="majorEastAsia"/>
        </w:rPr>
      </w:pPr>
      <w:r>
        <w:lastRenderedPageBreak/>
        <w:t xml:space="preserve">Alle Verbindlichkeiten, die an Unternehmen des Konsolidierungskreises für Rechnungslegungszwecke (einschließlich Zweckgesellschaften im Konsolidierungskreis) sowohl innerhalb als auch außerhalb der Abwicklungsgruppe ausgegeben werden, sind im Meldebogen Z 11.00 auszuweisen. In dieser Tabelle müssen Verbindlichkeiten auf Transaktionsbasis aufgeführt werden, d. h., jede Transaktion wird als Einzelposition aufgeführt. Transaktionen müssen jedoch in mehreren Zeilen ausgewiesen werden, wenn sie sich auf unterschiedliche </w:t>
      </w:r>
      <w:r w:rsidR="00346701">
        <w:t xml:space="preserve">Insolvenzrange </w:t>
      </w:r>
      <w:r>
        <w:t>beziehen.</w:t>
      </w:r>
    </w:p>
    <w:p w14:paraId="7FE1CF0F" w14:textId="77777777" w:rsidR="00696584" w:rsidRDefault="002C4F63">
      <w:pPr>
        <w:pStyle w:val="P68B1DB1-Numberedtitlelevel372"/>
      </w:pPr>
      <w:r>
        <w:t>Erläuterungen zu bestimmten Positionen</w:t>
      </w:r>
    </w:p>
    <w:tbl>
      <w:tblPr>
        <w:tblW w:w="0" w:type="auto"/>
        <w:tblLook w:val="01E0" w:firstRow="1" w:lastRow="1" w:firstColumn="1" w:lastColumn="1" w:noHBand="0" w:noVBand="0"/>
      </w:tblPr>
      <w:tblGrid>
        <w:gridCol w:w="1244"/>
        <w:gridCol w:w="7717"/>
        <w:gridCol w:w="65"/>
      </w:tblGrid>
      <w:tr w:rsidR="00696584" w14:paraId="7FE1CF14" w14:textId="77777777">
        <w:trPr>
          <w:gridAfter w:val="1"/>
          <w:wAfter w:w="65" w:type="dxa"/>
          <w:tblHeader/>
        </w:trPr>
        <w:tc>
          <w:tcPr>
            <w:tcW w:w="1244" w:type="dxa"/>
            <w:tcBorders>
              <w:top w:val="single" w:sz="4" w:space="0" w:color="1A171C"/>
              <w:left w:val="nil"/>
              <w:bottom w:val="single" w:sz="4" w:space="0" w:color="1A171C"/>
              <w:right w:val="single" w:sz="4" w:space="0" w:color="1A171C"/>
            </w:tcBorders>
            <w:shd w:val="clear" w:color="auto" w:fill="E4E5E5"/>
          </w:tcPr>
          <w:p w14:paraId="7FE1CF12" w14:textId="77777777" w:rsidR="00696584" w:rsidRDefault="002C4F63">
            <w:pPr>
              <w:pStyle w:val="P68B1DB1-TableParagraph17"/>
              <w:spacing w:before="108"/>
              <w:ind w:left="85"/>
            </w:pPr>
            <w:r>
              <w:t xml:space="preserve">Spalten </w:t>
            </w:r>
          </w:p>
        </w:tc>
        <w:tc>
          <w:tcPr>
            <w:tcW w:w="7717" w:type="dxa"/>
            <w:tcBorders>
              <w:top w:val="single" w:sz="4" w:space="0" w:color="1A171C"/>
              <w:left w:val="single" w:sz="4" w:space="0" w:color="1A171C"/>
              <w:bottom w:val="single" w:sz="4" w:space="0" w:color="1A171C"/>
              <w:right w:val="nil"/>
            </w:tcBorders>
            <w:shd w:val="clear" w:color="auto" w:fill="E4E5E5"/>
          </w:tcPr>
          <w:p w14:paraId="7FE1CF13" w14:textId="77777777" w:rsidR="00696584" w:rsidRDefault="002C4F63">
            <w:pPr>
              <w:pStyle w:val="P68B1DB1-TableParagraph17"/>
              <w:spacing w:before="108"/>
              <w:ind w:left="85" w:right="1"/>
            </w:pPr>
            <w:r>
              <w:t>Erläuterungen</w:t>
            </w:r>
          </w:p>
        </w:tc>
      </w:tr>
      <w:tr w:rsidR="00696584" w14:paraId="7FE1CF18" w14:textId="77777777">
        <w:tc>
          <w:tcPr>
            <w:tcW w:w="1244" w:type="dxa"/>
            <w:tcBorders>
              <w:top w:val="single" w:sz="8" w:space="0" w:color="1A171C"/>
              <w:left w:val="nil"/>
              <w:bottom w:val="single" w:sz="8" w:space="0" w:color="1A171C"/>
              <w:right w:val="single" w:sz="8" w:space="0" w:color="1A171C"/>
            </w:tcBorders>
            <w:vAlign w:val="center"/>
          </w:tcPr>
          <w:p w14:paraId="7FE1CF15" w14:textId="77777777" w:rsidR="00696584" w:rsidRDefault="002C4F63">
            <w:pPr>
              <w:pStyle w:val="P68B1DB1-Normal31"/>
            </w:pPr>
            <w:r>
              <w:t>0010</w:t>
            </w:r>
          </w:p>
        </w:tc>
        <w:tc>
          <w:tcPr>
            <w:tcW w:w="7782" w:type="dxa"/>
            <w:gridSpan w:val="2"/>
            <w:tcBorders>
              <w:top w:val="single" w:sz="8" w:space="0" w:color="1A171C"/>
              <w:left w:val="single" w:sz="8" w:space="0" w:color="1A171C"/>
              <w:bottom w:val="single" w:sz="8" w:space="0" w:color="1A171C"/>
              <w:right w:val="nil"/>
            </w:tcBorders>
            <w:vAlign w:val="bottom"/>
          </w:tcPr>
          <w:p w14:paraId="7FE1CF16" w14:textId="735DF112" w:rsidR="00696584" w:rsidRDefault="00F75217">
            <w:pPr>
              <w:pStyle w:val="P68B1DB1-TableParagraph40"/>
              <w:spacing w:before="108"/>
              <w:ind w:left="85"/>
              <w:jc w:val="both"/>
              <w:rPr>
                <w:b/>
                <w:bCs/>
              </w:rPr>
            </w:pPr>
            <w:r>
              <w:rPr>
                <w:b/>
              </w:rPr>
              <w:t>Nr</w:t>
            </w:r>
            <w:r w:rsidR="002C4F63">
              <w:rPr>
                <w:b/>
              </w:rPr>
              <w:t>.</w:t>
            </w:r>
          </w:p>
          <w:p w14:paraId="7FE1CF17" w14:textId="77777777" w:rsidR="00696584" w:rsidRDefault="002C4F63">
            <w:pPr>
              <w:pStyle w:val="P68B1DB1-TableParagraph40"/>
              <w:spacing w:before="108"/>
              <w:ind w:left="85"/>
              <w:jc w:val="both"/>
            </w:pPr>
            <w:r>
              <w:t xml:space="preserve">Eindeutige Zahl/eindeutiger Primärschlüssel zur Identifizierung der Zeilenpositionen. </w:t>
            </w:r>
          </w:p>
        </w:tc>
      </w:tr>
      <w:tr w:rsidR="00696584" w14:paraId="7FE1CF1C" w14:textId="77777777">
        <w:tc>
          <w:tcPr>
            <w:tcW w:w="1244" w:type="dxa"/>
            <w:tcBorders>
              <w:top w:val="single" w:sz="8" w:space="0" w:color="1A171C"/>
              <w:left w:val="nil"/>
              <w:bottom w:val="single" w:sz="8" w:space="0" w:color="1A171C"/>
              <w:right w:val="single" w:sz="8" w:space="0" w:color="1A171C"/>
            </w:tcBorders>
            <w:vAlign w:val="center"/>
          </w:tcPr>
          <w:p w14:paraId="7FE1CF19" w14:textId="77777777" w:rsidR="00696584" w:rsidRDefault="002C4F63">
            <w:pPr>
              <w:pStyle w:val="P68B1DB1-Normal31"/>
            </w:pPr>
            <w:r>
              <w:t>0020</w:t>
            </w:r>
          </w:p>
        </w:tc>
        <w:tc>
          <w:tcPr>
            <w:tcW w:w="7782" w:type="dxa"/>
            <w:gridSpan w:val="2"/>
            <w:tcBorders>
              <w:top w:val="single" w:sz="8" w:space="0" w:color="1A171C"/>
              <w:left w:val="single" w:sz="8" w:space="0" w:color="1A171C"/>
              <w:bottom w:val="single" w:sz="8" w:space="0" w:color="1A171C"/>
              <w:right w:val="nil"/>
            </w:tcBorders>
            <w:vAlign w:val="bottom"/>
          </w:tcPr>
          <w:p w14:paraId="7FE1CF1A" w14:textId="75F6479B" w:rsidR="00696584" w:rsidRDefault="002C4F63">
            <w:pPr>
              <w:pStyle w:val="P68B1DB1-TableParagraph40"/>
              <w:spacing w:before="108"/>
              <w:ind w:left="85"/>
              <w:jc w:val="both"/>
              <w:rPr>
                <w:b/>
                <w:bCs/>
              </w:rPr>
            </w:pPr>
            <w:r>
              <w:rPr>
                <w:b/>
              </w:rPr>
              <w:t>Zeile</w:t>
            </w:r>
          </w:p>
          <w:p w14:paraId="7FE1CF1B" w14:textId="0D0F190C" w:rsidR="00696584" w:rsidRDefault="002C4F63">
            <w:pPr>
              <w:pStyle w:val="P68B1DB1-TableParagraph40"/>
              <w:spacing w:before="108"/>
              <w:ind w:left="85"/>
              <w:jc w:val="both"/>
            </w:pPr>
            <w:r>
              <w:t>Jedes Instrument muss der entsprechenden Verbindlichkeitskategorie der Verbindlichkeitsstruktur des Meldebogens Z02.00 zugeordnet werden.</w:t>
            </w:r>
            <w:r w:rsidR="00F75217">
              <w:t xml:space="preserve"> </w:t>
            </w:r>
            <w:r>
              <w:t>Die Kategorie ist aus einer vorgegebenen Auswahlliste auszuwählen.</w:t>
            </w:r>
          </w:p>
        </w:tc>
      </w:tr>
      <w:tr w:rsidR="00696584" w14:paraId="7FE1CF20" w14:textId="77777777">
        <w:tc>
          <w:tcPr>
            <w:tcW w:w="1244" w:type="dxa"/>
            <w:tcBorders>
              <w:top w:val="single" w:sz="8" w:space="0" w:color="1A171C"/>
              <w:left w:val="nil"/>
              <w:bottom w:val="single" w:sz="8" w:space="0" w:color="1A171C"/>
              <w:right w:val="single" w:sz="8" w:space="0" w:color="1A171C"/>
            </w:tcBorders>
            <w:vAlign w:val="center"/>
          </w:tcPr>
          <w:p w14:paraId="7FE1CF1D" w14:textId="77777777" w:rsidR="00696584" w:rsidRDefault="002C4F63">
            <w:pPr>
              <w:pStyle w:val="P68B1DB1-Normal31"/>
            </w:pPr>
            <w:r>
              <w:t>0021</w:t>
            </w:r>
          </w:p>
        </w:tc>
        <w:tc>
          <w:tcPr>
            <w:tcW w:w="7782" w:type="dxa"/>
            <w:gridSpan w:val="2"/>
            <w:tcBorders>
              <w:top w:val="single" w:sz="8" w:space="0" w:color="1A171C"/>
              <w:left w:val="single" w:sz="8" w:space="0" w:color="1A171C"/>
              <w:bottom w:val="single" w:sz="8" w:space="0" w:color="1A171C"/>
              <w:right w:val="nil"/>
            </w:tcBorders>
            <w:vAlign w:val="bottom"/>
          </w:tcPr>
          <w:p w14:paraId="7FE1CF1E" w14:textId="77777777" w:rsidR="00696584" w:rsidRDefault="002C4F63">
            <w:pPr>
              <w:pStyle w:val="P68B1DB1-TableParagraph73"/>
              <w:spacing w:before="108"/>
              <w:ind w:left="85"/>
              <w:jc w:val="both"/>
              <w:rPr>
                <w:bCs/>
              </w:rPr>
            </w:pPr>
            <w:r>
              <w:t xml:space="preserve">Spalte </w:t>
            </w:r>
          </w:p>
          <w:p w14:paraId="7FE1CF1F" w14:textId="43499A8B" w:rsidR="00696584" w:rsidRDefault="002C4F63">
            <w:pPr>
              <w:pStyle w:val="P68B1DB1-TableParagraph40"/>
              <w:spacing w:before="108"/>
              <w:ind w:left="85"/>
              <w:jc w:val="both"/>
            </w:pPr>
            <w:r>
              <w:t>Je nach Art des Gläubigers muss jedes Instrument der entsprechenden Gegenpartei-Kategorie des Meldebogens Z02.00 zugeordnet werden.</w:t>
            </w:r>
            <w:r w:rsidR="00F75217">
              <w:t xml:space="preserve"> </w:t>
            </w:r>
            <w:r>
              <w:t>Die Kategorie ist aus einer vorgegebenen Auswahlliste auszuwählen.</w:t>
            </w:r>
          </w:p>
        </w:tc>
      </w:tr>
      <w:tr w:rsidR="00696584" w14:paraId="7FE1CF24" w14:textId="77777777">
        <w:tc>
          <w:tcPr>
            <w:tcW w:w="1244" w:type="dxa"/>
            <w:tcBorders>
              <w:top w:val="single" w:sz="8" w:space="0" w:color="1A171C"/>
              <w:left w:val="nil"/>
              <w:bottom w:val="single" w:sz="8" w:space="0" w:color="1A171C"/>
              <w:right w:val="single" w:sz="8" w:space="0" w:color="1A171C"/>
            </w:tcBorders>
            <w:vAlign w:val="center"/>
          </w:tcPr>
          <w:p w14:paraId="7FE1CF21" w14:textId="77777777" w:rsidR="00696584" w:rsidRDefault="002C4F63">
            <w:pPr>
              <w:pStyle w:val="P68B1DB1-Normal31"/>
            </w:pPr>
            <w:r>
              <w:t>0030</w:t>
            </w:r>
          </w:p>
        </w:tc>
        <w:tc>
          <w:tcPr>
            <w:tcW w:w="7782" w:type="dxa"/>
            <w:gridSpan w:val="2"/>
            <w:tcBorders>
              <w:top w:val="single" w:sz="8" w:space="0" w:color="1A171C"/>
              <w:left w:val="single" w:sz="8" w:space="0" w:color="1A171C"/>
              <w:bottom w:val="single" w:sz="8" w:space="0" w:color="1A171C"/>
              <w:right w:val="nil"/>
            </w:tcBorders>
            <w:vAlign w:val="bottom"/>
          </w:tcPr>
          <w:p w14:paraId="7FE1CF22" w14:textId="0426001F" w:rsidR="00696584" w:rsidRDefault="002C4F63">
            <w:pPr>
              <w:pStyle w:val="P68B1DB1-TableParagraph73"/>
              <w:spacing w:before="108"/>
              <w:ind w:left="85"/>
              <w:jc w:val="both"/>
              <w:rPr>
                <w:bCs/>
              </w:rPr>
            </w:pPr>
            <w:r>
              <w:t>Insolvenzrang</w:t>
            </w:r>
          </w:p>
          <w:p w14:paraId="7FE1CF23" w14:textId="396478FE" w:rsidR="00696584" w:rsidRDefault="002C4F63">
            <w:pPr>
              <w:pStyle w:val="P68B1DB1-TableParagraph40"/>
              <w:spacing w:before="108"/>
              <w:ind w:left="85"/>
              <w:jc w:val="both"/>
            </w:pPr>
            <w:r>
              <w:t>Der Rang in der Insolvenz muss einer der Ränge sein, die in der von der Abwicklungsbehörde der betreffenden Rechtsordnung veröffentlichten Insolvenzrangliste enthalten sind.</w:t>
            </w:r>
          </w:p>
        </w:tc>
      </w:tr>
      <w:tr w:rsidR="00696584" w14:paraId="7FE1CF28" w14:textId="77777777">
        <w:tc>
          <w:tcPr>
            <w:tcW w:w="1244" w:type="dxa"/>
            <w:tcBorders>
              <w:top w:val="single" w:sz="8" w:space="0" w:color="1A171C"/>
              <w:left w:val="nil"/>
              <w:bottom w:val="single" w:sz="8" w:space="0" w:color="1A171C"/>
              <w:right w:val="single" w:sz="8" w:space="0" w:color="1A171C"/>
            </w:tcBorders>
            <w:vAlign w:val="center"/>
          </w:tcPr>
          <w:p w14:paraId="7FE1CF25" w14:textId="77777777" w:rsidR="00696584" w:rsidRDefault="002C4F63">
            <w:pPr>
              <w:pStyle w:val="P68B1DB1-Normal31"/>
            </w:pPr>
            <w:r>
              <w:t>0040</w:t>
            </w:r>
          </w:p>
        </w:tc>
        <w:tc>
          <w:tcPr>
            <w:tcW w:w="7782" w:type="dxa"/>
            <w:gridSpan w:val="2"/>
            <w:tcBorders>
              <w:top w:val="single" w:sz="8" w:space="0" w:color="1A171C"/>
              <w:left w:val="single" w:sz="8" w:space="0" w:color="1A171C"/>
              <w:bottom w:val="single" w:sz="8" w:space="0" w:color="1A171C"/>
              <w:right w:val="nil"/>
            </w:tcBorders>
            <w:vAlign w:val="bottom"/>
          </w:tcPr>
          <w:p w14:paraId="7FE1CF26" w14:textId="77777777" w:rsidR="00696584" w:rsidRDefault="002C4F63">
            <w:pPr>
              <w:pStyle w:val="P68B1DB1-TableParagraph73"/>
              <w:spacing w:before="108"/>
              <w:ind w:left="85"/>
              <w:jc w:val="both"/>
              <w:rPr>
                <w:bCs/>
              </w:rPr>
            </w:pPr>
            <w:r>
              <w:t>Vertragskennung</w:t>
            </w:r>
          </w:p>
          <w:p w14:paraId="7FE1CF27" w14:textId="5E827C31" w:rsidR="00696584" w:rsidRDefault="002C4F63">
            <w:pPr>
              <w:pStyle w:val="P68B1DB1-TableParagraph40"/>
              <w:spacing w:before="108"/>
              <w:ind w:left="85"/>
              <w:jc w:val="both"/>
            </w:pPr>
            <w:r>
              <w:t>Die ISIN oder, falls die ISIN nicht verfügbar ist, eine andere Vertragskennung des Instruments ist anzugeben.</w:t>
            </w:r>
          </w:p>
        </w:tc>
      </w:tr>
      <w:tr w:rsidR="00696584" w14:paraId="7FE1CF2C" w14:textId="77777777">
        <w:tc>
          <w:tcPr>
            <w:tcW w:w="1244" w:type="dxa"/>
            <w:tcBorders>
              <w:top w:val="single" w:sz="8" w:space="0" w:color="1A171C"/>
              <w:left w:val="nil"/>
              <w:bottom w:val="single" w:sz="8" w:space="0" w:color="1A171C"/>
              <w:right w:val="single" w:sz="8" w:space="0" w:color="1A171C"/>
            </w:tcBorders>
            <w:vAlign w:val="center"/>
          </w:tcPr>
          <w:p w14:paraId="7FE1CF29" w14:textId="77777777" w:rsidR="00696584" w:rsidRDefault="002C4F63">
            <w:pPr>
              <w:pStyle w:val="P68B1DB1-Normal31"/>
            </w:pPr>
            <w:r>
              <w:t>0045</w:t>
            </w:r>
          </w:p>
        </w:tc>
        <w:tc>
          <w:tcPr>
            <w:tcW w:w="7782" w:type="dxa"/>
            <w:gridSpan w:val="2"/>
            <w:tcBorders>
              <w:top w:val="single" w:sz="8" w:space="0" w:color="1A171C"/>
              <w:left w:val="single" w:sz="8" w:space="0" w:color="1A171C"/>
              <w:bottom w:val="single" w:sz="8" w:space="0" w:color="1A171C"/>
              <w:right w:val="nil"/>
            </w:tcBorders>
            <w:vAlign w:val="bottom"/>
          </w:tcPr>
          <w:p w14:paraId="7FE1CF2A" w14:textId="49B7BD39" w:rsidR="00696584" w:rsidRDefault="002C4F63">
            <w:pPr>
              <w:pStyle w:val="P68B1DB1-TableParagraph73"/>
              <w:spacing w:before="108"/>
              <w:ind w:left="85"/>
              <w:jc w:val="both"/>
              <w:rPr>
                <w:bCs/>
              </w:rPr>
            </w:pPr>
            <w:r>
              <w:t>Name der Gegenpartei</w:t>
            </w:r>
          </w:p>
          <w:p w14:paraId="7FE1CF2B" w14:textId="28E31BB6" w:rsidR="00696584" w:rsidRDefault="002C4F63">
            <w:pPr>
              <w:pStyle w:val="P68B1DB1-TableParagraph40"/>
              <w:spacing w:before="108"/>
              <w:ind w:left="85"/>
              <w:jc w:val="both"/>
            </w:pPr>
            <w:r>
              <w:t>Name des Unternehmens der Gegenpartei der Verbindlichkeit.</w:t>
            </w:r>
          </w:p>
        </w:tc>
      </w:tr>
      <w:tr w:rsidR="00696584" w14:paraId="7FE1CF31" w14:textId="77777777">
        <w:tc>
          <w:tcPr>
            <w:tcW w:w="1244" w:type="dxa"/>
            <w:tcBorders>
              <w:top w:val="single" w:sz="8" w:space="0" w:color="1A171C"/>
              <w:left w:val="nil"/>
              <w:bottom w:val="single" w:sz="8" w:space="0" w:color="1A171C"/>
              <w:right w:val="single" w:sz="8" w:space="0" w:color="1A171C"/>
            </w:tcBorders>
            <w:vAlign w:val="center"/>
          </w:tcPr>
          <w:p w14:paraId="7FE1CF2D" w14:textId="77777777" w:rsidR="00696584" w:rsidRDefault="002C4F63">
            <w:pPr>
              <w:pStyle w:val="P68B1DB1-Normal31"/>
            </w:pPr>
            <w:r>
              <w:t>0050</w:t>
            </w:r>
          </w:p>
        </w:tc>
        <w:tc>
          <w:tcPr>
            <w:tcW w:w="7782" w:type="dxa"/>
            <w:gridSpan w:val="2"/>
            <w:tcBorders>
              <w:top w:val="single" w:sz="8" w:space="0" w:color="1A171C"/>
              <w:left w:val="single" w:sz="8" w:space="0" w:color="1A171C"/>
              <w:bottom w:val="single" w:sz="8" w:space="0" w:color="1A171C"/>
              <w:right w:val="nil"/>
            </w:tcBorders>
            <w:vAlign w:val="bottom"/>
          </w:tcPr>
          <w:p w14:paraId="7FE1CF2E" w14:textId="2BAACD17" w:rsidR="00696584" w:rsidRDefault="002C4F63">
            <w:pPr>
              <w:pStyle w:val="P68B1DB1-TableParagraph73"/>
              <w:spacing w:before="108"/>
              <w:ind w:left="85"/>
              <w:jc w:val="both"/>
              <w:rPr>
                <w:bCs/>
              </w:rPr>
            </w:pPr>
            <w:r>
              <w:t>Kennung der Gegenpartei</w:t>
            </w:r>
          </w:p>
          <w:p w14:paraId="7FE1CF2F" w14:textId="5864B2BC" w:rsidR="00696584" w:rsidRDefault="002C4F63">
            <w:pPr>
              <w:pStyle w:val="P68B1DB1-TableParagraph40"/>
              <w:spacing w:before="108"/>
              <w:ind w:left="85"/>
              <w:jc w:val="both"/>
            </w:pPr>
            <w:r>
              <w:t>Der eindeutige LEI-Code der Gegenpartei. In Ermangelung eines LEI-Codes ist die eindeutige Kennung für monetäre Finanzinstitute der EZB (MFI ID) des Kreditinstituts zur Verwendung in RIAD anzugeben. Wenn beide Kennungen nicht vorhanden sind, kann die interne Kennung verwendet werden.</w:t>
            </w:r>
          </w:p>
          <w:p w14:paraId="7FE1CF30" w14:textId="585107E3" w:rsidR="00696584" w:rsidRDefault="00696584">
            <w:pPr>
              <w:pStyle w:val="TableParagraph"/>
              <w:spacing w:before="108"/>
              <w:ind w:left="85"/>
              <w:jc w:val="both"/>
              <w:rPr>
                <w:rFonts w:ascii="Times New Roman" w:eastAsia="Times New Roman" w:hAnsi="Times New Roman" w:cs="Times New Roman"/>
                <w:sz w:val="20"/>
                <w:szCs w:val="20"/>
              </w:rPr>
            </w:pPr>
          </w:p>
        </w:tc>
      </w:tr>
      <w:tr w:rsidR="00696584" w14:paraId="7FE1CF35" w14:textId="77777777">
        <w:tc>
          <w:tcPr>
            <w:tcW w:w="1244" w:type="dxa"/>
            <w:tcBorders>
              <w:top w:val="single" w:sz="8" w:space="0" w:color="1A171C"/>
              <w:left w:val="nil"/>
              <w:bottom w:val="single" w:sz="8" w:space="0" w:color="1A171C"/>
              <w:right w:val="single" w:sz="8" w:space="0" w:color="1A171C"/>
            </w:tcBorders>
            <w:vAlign w:val="center"/>
          </w:tcPr>
          <w:p w14:paraId="7FE1CF32" w14:textId="37A8736C" w:rsidR="00696584" w:rsidRDefault="002C4F63">
            <w:pPr>
              <w:pStyle w:val="P68B1DB1-Normal31"/>
            </w:pPr>
            <w:r>
              <w:t>0053</w:t>
            </w:r>
          </w:p>
        </w:tc>
        <w:tc>
          <w:tcPr>
            <w:tcW w:w="7782" w:type="dxa"/>
            <w:gridSpan w:val="2"/>
            <w:tcBorders>
              <w:top w:val="single" w:sz="8" w:space="0" w:color="1A171C"/>
              <w:left w:val="single" w:sz="8" w:space="0" w:color="1A171C"/>
              <w:bottom w:val="single" w:sz="8" w:space="0" w:color="1A171C"/>
              <w:right w:val="nil"/>
            </w:tcBorders>
            <w:vAlign w:val="bottom"/>
          </w:tcPr>
          <w:p w14:paraId="7FE1CF33" w14:textId="77777777" w:rsidR="00696584" w:rsidRDefault="002C4F63">
            <w:pPr>
              <w:pStyle w:val="P68B1DB1-TableParagraph73"/>
              <w:spacing w:before="108"/>
              <w:ind w:left="85"/>
              <w:jc w:val="both"/>
              <w:rPr>
                <w:bCs/>
              </w:rPr>
            </w:pPr>
            <w:r>
              <w:t>Art der Kennung</w:t>
            </w:r>
          </w:p>
          <w:p w14:paraId="7FE1CF34" w14:textId="77777777" w:rsidR="00696584" w:rsidRDefault="002C4F63">
            <w:pPr>
              <w:pStyle w:val="P68B1DB1-TableParagraph40"/>
              <w:spacing w:before="108"/>
              <w:ind w:left="85"/>
              <w:jc w:val="both"/>
            </w:pPr>
            <w:r>
              <w:t>Auswahl unter folgenden Optionen: „LEI-Code“, „MFI-Code“ oder „Andere Art der Kennung als LEI-Code oder MFI-Code“.</w:t>
            </w:r>
          </w:p>
        </w:tc>
      </w:tr>
      <w:tr w:rsidR="00696584" w14:paraId="7FE1CF39" w14:textId="77777777">
        <w:tc>
          <w:tcPr>
            <w:tcW w:w="1244" w:type="dxa"/>
            <w:tcBorders>
              <w:top w:val="single" w:sz="8" w:space="0" w:color="1A171C"/>
              <w:left w:val="nil"/>
              <w:bottom w:val="single" w:sz="8" w:space="0" w:color="1A171C"/>
              <w:right w:val="single" w:sz="8" w:space="0" w:color="1A171C"/>
            </w:tcBorders>
            <w:vAlign w:val="center"/>
          </w:tcPr>
          <w:p w14:paraId="7FE1CF36" w14:textId="5460B58C" w:rsidR="00696584" w:rsidRDefault="002C4F63">
            <w:pPr>
              <w:pStyle w:val="P68B1DB1-Normal31"/>
            </w:pPr>
            <w:r>
              <w:t>0055</w:t>
            </w:r>
          </w:p>
        </w:tc>
        <w:tc>
          <w:tcPr>
            <w:tcW w:w="7782" w:type="dxa"/>
            <w:gridSpan w:val="2"/>
            <w:tcBorders>
              <w:top w:val="single" w:sz="8" w:space="0" w:color="1A171C"/>
              <w:left w:val="single" w:sz="8" w:space="0" w:color="1A171C"/>
              <w:bottom w:val="single" w:sz="8" w:space="0" w:color="1A171C"/>
              <w:right w:val="nil"/>
            </w:tcBorders>
            <w:vAlign w:val="bottom"/>
          </w:tcPr>
          <w:p w14:paraId="7FE1CF37" w14:textId="1D21A85C" w:rsidR="00696584" w:rsidRDefault="002C4F63">
            <w:pPr>
              <w:pStyle w:val="P68B1DB1-TableParagraph73"/>
              <w:spacing w:before="108"/>
              <w:ind w:left="85"/>
              <w:jc w:val="both"/>
              <w:rPr>
                <w:bCs/>
              </w:rPr>
            </w:pPr>
            <w:r>
              <w:t>Beziehung zur Gegenpartei</w:t>
            </w:r>
          </w:p>
          <w:p w14:paraId="7FE1CF38" w14:textId="1D86F34C" w:rsidR="00696584" w:rsidRDefault="002C4F63">
            <w:pPr>
              <w:pStyle w:val="P68B1DB1-TableParagraph40"/>
              <w:spacing w:before="108"/>
              <w:ind w:left="85"/>
              <w:jc w:val="both"/>
            </w:pPr>
            <w:r>
              <w:t>In diesem Feld wird die Beziehung des Kreditgebers zum meldenden Unternehmen angegeben. Für dieses Feld ist eine Liste von Werten vorgesehen: die Gegenpartei kann entweder ein „direktes oder indirektes Mutterunternehmen“, ein „direktes oder indirektes Tochterunternehmen“ oder alternativ ein „Sister“ sein.</w:t>
            </w:r>
          </w:p>
        </w:tc>
      </w:tr>
      <w:tr w:rsidR="00696584" w14:paraId="7FE1CF3D" w14:textId="77777777">
        <w:tc>
          <w:tcPr>
            <w:tcW w:w="1244" w:type="dxa"/>
            <w:tcBorders>
              <w:top w:val="single" w:sz="8" w:space="0" w:color="1A171C"/>
              <w:left w:val="nil"/>
              <w:bottom w:val="single" w:sz="8" w:space="0" w:color="1A171C"/>
              <w:right w:val="single" w:sz="8" w:space="0" w:color="1A171C"/>
            </w:tcBorders>
            <w:vAlign w:val="center"/>
          </w:tcPr>
          <w:p w14:paraId="7FE1CF3A" w14:textId="77777777" w:rsidR="00696584" w:rsidRDefault="002C4F63">
            <w:pPr>
              <w:pStyle w:val="P68B1DB1-Normal31"/>
            </w:pPr>
            <w:r>
              <w:t>0056</w:t>
            </w:r>
          </w:p>
        </w:tc>
        <w:tc>
          <w:tcPr>
            <w:tcW w:w="7782" w:type="dxa"/>
            <w:gridSpan w:val="2"/>
            <w:tcBorders>
              <w:top w:val="single" w:sz="8" w:space="0" w:color="1A171C"/>
              <w:left w:val="single" w:sz="8" w:space="0" w:color="1A171C"/>
              <w:bottom w:val="single" w:sz="8" w:space="0" w:color="1A171C"/>
              <w:right w:val="nil"/>
            </w:tcBorders>
            <w:vAlign w:val="bottom"/>
          </w:tcPr>
          <w:p w14:paraId="7FE1CF3B" w14:textId="40DF4DA6" w:rsidR="00696584" w:rsidRDefault="002C4F63">
            <w:pPr>
              <w:pStyle w:val="P68B1DB1-TableParagraph73"/>
              <w:spacing w:before="108"/>
              <w:ind w:left="85"/>
              <w:jc w:val="both"/>
              <w:rPr>
                <w:bCs/>
              </w:rPr>
            </w:pPr>
            <w:r>
              <w:t xml:space="preserve">Art der </w:t>
            </w:r>
            <w:r w:rsidR="00F75217">
              <w:t>Verbindlichkeit</w:t>
            </w:r>
          </w:p>
          <w:p w14:paraId="7FE1CF3C" w14:textId="07B04D08" w:rsidR="00696584" w:rsidRDefault="002C4F63">
            <w:pPr>
              <w:pStyle w:val="P68B1DB1-TableParagraph40"/>
              <w:spacing w:before="108"/>
              <w:ind w:left="85"/>
              <w:jc w:val="both"/>
            </w:pPr>
            <w:r>
              <w:t xml:space="preserve">Bei Verbindlichkeiten, die unter Z02.00-c0020 „R0210 – Verbindlichkeiten gegenüber anderen Unternehmen der Abwicklungsgruppe“ ausgewiesen werden, ist die Art der Verbindlichkeit anzugeben, wie sie in Z02.00 gemeldet worden wäre, wenn die </w:t>
            </w:r>
            <w:r>
              <w:lastRenderedPageBreak/>
              <w:t>Verbindlichkeit nicht als ausgeschlossen betrachtet worden wäre.</w:t>
            </w:r>
          </w:p>
        </w:tc>
      </w:tr>
      <w:tr w:rsidR="00696584" w14:paraId="7FE1CF41" w14:textId="77777777">
        <w:tc>
          <w:tcPr>
            <w:tcW w:w="1244" w:type="dxa"/>
            <w:tcBorders>
              <w:top w:val="single" w:sz="8" w:space="0" w:color="1A171C"/>
              <w:left w:val="nil"/>
              <w:bottom w:val="single" w:sz="8" w:space="0" w:color="1A171C"/>
              <w:right w:val="single" w:sz="8" w:space="0" w:color="1A171C"/>
            </w:tcBorders>
            <w:vAlign w:val="center"/>
          </w:tcPr>
          <w:p w14:paraId="7FE1CF3E" w14:textId="23D0ECF1" w:rsidR="00696584" w:rsidRDefault="002C4F63">
            <w:pPr>
              <w:pStyle w:val="P68B1DB1-Normal31"/>
            </w:pPr>
            <w:r>
              <w:lastRenderedPageBreak/>
              <w:t>0060</w:t>
            </w:r>
          </w:p>
        </w:tc>
        <w:tc>
          <w:tcPr>
            <w:tcW w:w="7782" w:type="dxa"/>
            <w:gridSpan w:val="2"/>
            <w:tcBorders>
              <w:top w:val="single" w:sz="8" w:space="0" w:color="1A171C"/>
              <w:left w:val="single" w:sz="8" w:space="0" w:color="1A171C"/>
              <w:bottom w:val="single" w:sz="8" w:space="0" w:color="1A171C"/>
              <w:right w:val="nil"/>
            </w:tcBorders>
            <w:vAlign w:val="bottom"/>
          </w:tcPr>
          <w:p w14:paraId="7FE1CF3F" w14:textId="211E9426" w:rsidR="00696584" w:rsidRDefault="002C4F63">
            <w:pPr>
              <w:pStyle w:val="P68B1DB1-TableParagraph73"/>
              <w:spacing w:before="108"/>
              <w:ind w:left="85"/>
              <w:jc w:val="both"/>
              <w:rPr>
                <w:bCs/>
              </w:rPr>
            </w:pPr>
            <w:r>
              <w:t>Anzuwendendes Recht</w:t>
            </w:r>
          </w:p>
          <w:p w14:paraId="7FE1CF40" w14:textId="2C49BDFC" w:rsidR="00696584" w:rsidRDefault="002C4F63">
            <w:pPr>
              <w:pStyle w:val="P68B1DB1-TableParagraph40"/>
              <w:spacing w:before="108"/>
              <w:ind w:left="85"/>
              <w:jc w:val="both"/>
            </w:pPr>
            <w:r>
              <w:t xml:space="preserve">Der ISO-Alpha-2-Code nach ISO 3166-1 des Landes, dessen Recht für das Instrument maßgebend ist (verwenden Sie den ISO-Code 3166-2, wenn das Recht einer Verwaltungsunterteilung relevant ist, z. B. „US-NY“). Ist für den Vertrag das Recht von mehr als einem Land anwendbar, ist das Land anzugeben, dessen Recht die höchste Relevanz für die Anerkennung von Abschreibungs- und Umwandlungsbefugnissen hat.  </w:t>
            </w:r>
          </w:p>
        </w:tc>
      </w:tr>
      <w:tr w:rsidR="00696584" w14:paraId="7FE1CF4A" w14:textId="77777777">
        <w:tc>
          <w:tcPr>
            <w:tcW w:w="1244" w:type="dxa"/>
            <w:tcBorders>
              <w:top w:val="single" w:sz="8" w:space="0" w:color="1A171C"/>
              <w:left w:val="nil"/>
              <w:bottom w:val="single" w:sz="8" w:space="0" w:color="1A171C"/>
              <w:right w:val="single" w:sz="8" w:space="0" w:color="1A171C"/>
            </w:tcBorders>
            <w:vAlign w:val="center"/>
          </w:tcPr>
          <w:p w14:paraId="7FE1CF42" w14:textId="77777777" w:rsidR="00696584" w:rsidRDefault="002C4F63">
            <w:pPr>
              <w:pStyle w:val="P68B1DB1-Normal31"/>
            </w:pPr>
            <w:r>
              <w:t>0070</w:t>
            </w:r>
          </w:p>
        </w:tc>
        <w:tc>
          <w:tcPr>
            <w:tcW w:w="7782" w:type="dxa"/>
            <w:gridSpan w:val="2"/>
            <w:tcBorders>
              <w:top w:val="single" w:sz="8" w:space="0" w:color="1A171C"/>
              <w:left w:val="single" w:sz="8" w:space="0" w:color="1A171C"/>
              <w:bottom w:val="single" w:sz="8" w:space="0" w:color="1A171C"/>
              <w:right w:val="nil"/>
            </w:tcBorders>
            <w:vAlign w:val="bottom"/>
          </w:tcPr>
          <w:p w14:paraId="7FE1CF43" w14:textId="37132E78" w:rsidR="00696584" w:rsidRDefault="002C4F63">
            <w:pPr>
              <w:pStyle w:val="P68B1DB1-TableParagraph73"/>
              <w:spacing w:before="108"/>
              <w:ind w:left="85"/>
              <w:jc w:val="both"/>
              <w:rPr>
                <w:bCs/>
              </w:rPr>
            </w:pPr>
            <w:r>
              <w:t xml:space="preserve">Falls Drittland, vertragliche Anerkennung </w:t>
            </w:r>
          </w:p>
          <w:p w14:paraId="7FE1CF45" w14:textId="77777777" w:rsidR="00696584" w:rsidRDefault="002C4F63">
            <w:pPr>
              <w:pStyle w:val="P68B1DB1-TableParagraph40"/>
              <w:spacing w:before="108"/>
              <w:ind w:left="85"/>
              <w:jc w:val="both"/>
            </w:pPr>
            <w:r>
              <w:t xml:space="preserve">Festlegung vertraglicher Bestimmungen für die Anerkennung von Bail-in-Befugnissen gemäß Artikel 55 BRRD, entweder </w:t>
            </w:r>
          </w:p>
          <w:p w14:paraId="7FE1CF46" w14:textId="77777777" w:rsidR="00696584" w:rsidRDefault="002C4F63">
            <w:pPr>
              <w:pStyle w:val="P68B1DB1-TableParagraph40"/>
              <w:spacing w:before="108"/>
              <w:ind w:left="85"/>
              <w:jc w:val="both"/>
            </w:pPr>
            <w:r>
              <w:t>„Ja, unterstützt durch ein Rechtsgutachten“ = die Verbindlichkeit enthält eine Bail-in-Anerkennungsklausel im Einklang mit Artikel 55 BRRD, die durch ein Rechtsgutachten gestützt wird;</w:t>
            </w:r>
          </w:p>
          <w:p w14:paraId="7FE1CF47" w14:textId="77777777" w:rsidR="00696584" w:rsidRDefault="002C4F63">
            <w:pPr>
              <w:pStyle w:val="P68B1DB1-TableParagraph40"/>
              <w:spacing w:before="108"/>
              <w:ind w:left="85"/>
              <w:jc w:val="both"/>
            </w:pPr>
            <w:r>
              <w:t>„Ja, nicht durch ein Rechtsgutachten unterstützt“ = die Verbindlichkeit enthält eine Bail-in-Anerkennungsklausel im Einklang mit Artikel 55 BRRD, die derzeit nicht durch ein Rechtsgutachten gestützt wird;</w:t>
            </w:r>
          </w:p>
          <w:p w14:paraId="7FE1CF48" w14:textId="7427A49E" w:rsidR="00696584" w:rsidRDefault="002C4F63">
            <w:pPr>
              <w:pStyle w:val="P68B1DB1-TableParagraph40"/>
              <w:spacing w:before="108"/>
              <w:ind w:left="85"/>
              <w:jc w:val="both"/>
            </w:pPr>
            <w:r>
              <w:t>„Nein“ = die Verbindlichkeit enthält keine Bail-in-Anerkennungsklausel;</w:t>
            </w:r>
          </w:p>
          <w:p w14:paraId="7FE1CF49" w14:textId="2FE33A69" w:rsidR="00696584" w:rsidRDefault="002C4F63">
            <w:pPr>
              <w:pStyle w:val="P68B1DB1-TableParagraph40"/>
              <w:spacing w:before="108"/>
              <w:ind w:left="85"/>
              <w:jc w:val="both"/>
            </w:pPr>
            <w:r>
              <w:t>„Entfällt“.  aus einer vorgegebenen Liste.</w:t>
            </w:r>
          </w:p>
        </w:tc>
      </w:tr>
      <w:tr w:rsidR="00696584" w14:paraId="7FE1CF4E" w14:textId="77777777">
        <w:tc>
          <w:tcPr>
            <w:tcW w:w="1244" w:type="dxa"/>
            <w:vAlign w:val="center"/>
          </w:tcPr>
          <w:p w14:paraId="7FE1CF4B" w14:textId="77777777" w:rsidR="00696584" w:rsidRDefault="002C4F63">
            <w:pPr>
              <w:pStyle w:val="P68B1DB1-Normal31"/>
            </w:pPr>
            <w:r>
              <w:t>0080</w:t>
            </w:r>
          </w:p>
        </w:tc>
        <w:tc>
          <w:tcPr>
            <w:tcW w:w="7782" w:type="dxa"/>
            <w:gridSpan w:val="2"/>
            <w:tcBorders>
              <w:top w:val="single" w:sz="8" w:space="0" w:color="1A171C"/>
              <w:left w:val="single" w:sz="8" w:space="0" w:color="1A171C"/>
              <w:bottom w:val="single" w:sz="8" w:space="0" w:color="1A171C"/>
              <w:right w:val="nil"/>
            </w:tcBorders>
            <w:vAlign w:val="bottom"/>
          </w:tcPr>
          <w:p w14:paraId="7FE1CF4C" w14:textId="5032EB27" w:rsidR="00696584" w:rsidRDefault="002C4F63">
            <w:pPr>
              <w:pStyle w:val="P68B1DB1-TableParagraph73"/>
              <w:spacing w:before="108"/>
              <w:ind w:left="85"/>
              <w:jc w:val="both"/>
              <w:rPr>
                <w:bCs/>
              </w:rPr>
            </w:pPr>
            <w:r>
              <w:t xml:space="preserve">Ausstehender Kapitalbetrag </w:t>
            </w:r>
          </w:p>
          <w:p w14:paraId="7FE1CF4D" w14:textId="1F7D6035" w:rsidR="00696584" w:rsidRDefault="002C4F63">
            <w:pPr>
              <w:pStyle w:val="P68B1DB1-TableParagraph40"/>
              <w:spacing w:before="108"/>
              <w:ind w:left="85"/>
              <w:jc w:val="both"/>
            </w:pPr>
            <w:r>
              <w:t>Den ausstehenden Kapitalbetrag der Verbindlichkeit.</w:t>
            </w:r>
          </w:p>
        </w:tc>
      </w:tr>
      <w:tr w:rsidR="00696584" w14:paraId="7FE1CF52" w14:textId="77777777">
        <w:tc>
          <w:tcPr>
            <w:tcW w:w="1244" w:type="dxa"/>
            <w:tcBorders>
              <w:top w:val="single" w:sz="8" w:space="0" w:color="1A171C"/>
              <w:left w:val="nil"/>
              <w:bottom w:val="single" w:sz="8" w:space="0" w:color="1A171C"/>
              <w:right w:val="single" w:sz="8" w:space="0" w:color="1A171C"/>
            </w:tcBorders>
            <w:vAlign w:val="center"/>
          </w:tcPr>
          <w:p w14:paraId="7FE1CF4F" w14:textId="77777777" w:rsidR="00696584" w:rsidRDefault="002C4F63">
            <w:pPr>
              <w:pStyle w:val="P68B1DB1-Normal31"/>
            </w:pPr>
            <w:r>
              <w:t>0090</w:t>
            </w:r>
          </w:p>
        </w:tc>
        <w:tc>
          <w:tcPr>
            <w:tcW w:w="7782" w:type="dxa"/>
            <w:gridSpan w:val="2"/>
            <w:tcBorders>
              <w:top w:val="single" w:sz="8" w:space="0" w:color="1A171C"/>
              <w:left w:val="single" w:sz="8" w:space="0" w:color="1A171C"/>
              <w:bottom w:val="single" w:sz="8" w:space="0" w:color="1A171C"/>
              <w:right w:val="nil"/>
            </w:tcBorders>
            <w:vAlign w:val="bottom"/>
          </w:tcPr>
          <w:p w14:paraId="7FE1CF50" w14:textId="77777777" w:rsidR="00696584" w:rsidRDefault="002C4F63">
            <w:pPr>
              <w:pStyle w:val="P68B1DB1-TableParagraph73"/>
              <w:spacing w:before="108"/>
              <w:ind w:left="85"/>
              <w:jc w:val="both"/>
              <w:rPr>
                <w:bCs/>
              </w:rPr>
            </w:pPr>
            <w:r>
              <w:t>Aufgelaufene Zinsen</w:t>
            </w:r>
          </w:p>
          <w:p w14:paraId="7FE1CF51" w14:textId="6BF1C45C" w:rsidR="00696584" w:rsidRDefault="002C4F63">
            <w:pPr>
              <w:pStyle w:val="P68B1DB1-TableParagraph40"/>
              <w:spacing w:before="108"/>
              <w:ind w:left="85"/>
              <w:jc w:val="both"/>
            </w:pPr>
            <w:r>
              <w:t>Die ausstehenden aufgelaufenen Zinsen auf die Verbindlichkeit.</w:t>
            </w:r>
          </w:p>
        </w:tc>
      </w:tr>
      <w:tr w:rsidR="00696584" w14:paraId="7FE1CF56" w14:textId="77777777">
        <w:tc>
          <w:tcPr>
            <w:tcW w:w="1244" w:type="dxa"/>
            <w:tcBorders>
              <w:top w:val="single" w:sz="8" w:space="0" w:color="1A171C"/>
              <w:left w:val="nil"/>
              <w:bottom w:val="single" w:sz="8" w:space="0" w:color="1A171C"/>
              <w:right w:val="single" w:sz="8" w:space="0" w:color="1A171C"/>
            </w:tcBorders>
            <w:vAlign w:val="center"/>
          </w:tcPr>
          <w:p w14:paraId="7FE1CF53" w14:textId="77777777" w:rsidR="00696584" w:rsidRDefault="002C4F63">
            <w:pPr>
              <w:pStyle w:val="P68B1DB1-Normal31"/>
            </w:pPr>
            <w:r>
              <w:t>0100</w:t>
            </w:r>
          </w:p>
        </w:tc>
        <w:tc>
          <w:tcPr>
            <w:tcW w:w="7782" w:type="dxa"/>
            <w:gridSpan w:val="2"/>
            <w:tcBorders>
              <w:top w:val="single" w:sz="8" w:space="0" w:color="1A171C"/>
              <w:left w:val="single" w:sz="8" w:space="0" w:color="1A171C"/>
              <w:bottom w:val="single" w:sz="8" w:space="0" w:color="1A171C"/>
              <w:right w:val="nil"/>
            </w:tcBorders>
            <w:vAlign w:val="bottom"/>
          </w:tcPr>
          <w:p w14:paraId="7FE1CF54" w14:textId="3506FC94" w:rsidR="00696584" w:rsidRDefault="002C4F63">
            <w:pPr>
              <w:pStyle w:val="P68B1DB1-TableParagraph73"/>
              <w:spacing w:before="108"/>
              <w:ind w:left="85"/>
              <w:jc w:val="both"/>
              <w:rPr>
                <w:bCs/>
              </w:rPr>
            </w:pPr>
            <w:r>
              <w:t>Währung</w:t>
            </w:r>
          </w:p>
          <w:p w14:paraId="7FE1CF55" w14:textId="7419E4E6" w:rsidR="00696584" w:rsidRDefault="002C4F63">
            <w:pPr>
              <w:pStyle w:val="P68B1DB1-TableParagraph40"/>
              <w:spacing w:before="108"/>
              <w:ind w:left="85"/>
              <w:jc w:val="both"/>
            </w:pPr>
            <w:r>
              <w:t>Währung der Verbindlichkeit gemäß ihrem 3-Buchstaben-Code nach ISO 4217.</w:t>
            </w:r>
          </w:p>
        </w:tc>
      </w:tr>
      <w:tr w:rsidR="00696584" w14:paraId="7FE1CF5A" w14:textId="77777777">
        <w:tc>
          <w:tcPr>
            <w:tcW w:w="1244" w:type="dxa"/>
            <w:tcBorders>
              <w:top w:val="single" w:sz="8" w:space="0" w:color="1A171C"/>
              <w:left w:val="nil"/>
              <w:bottom w:val="single" w:sz="8" w:space="0" w:color="1A171C"/>
              <w:right w:val="single" w:sz="8" w:space="0" w:color="1A171C"/>
            </w:tcBorders>
            <w:vAlign w:val="center"/>
          </w:tcPr>
          <w:p w14:paraId="7FE1CF57" w14:textId="77777777" w:rsidR="00696584" w:rsidRDefault="002C4F63">
            <w:pPr>
              <w:pStyle w:val="P68B1DB1-Normal31"/>
            </w:pPr>
            <w:r>
              <w:t>0110</w:t>
            </w:r>
          </w:p>
        </w:tc>
        <w:tc>
          <w:tcPr>
            <w:tcW w:w="7782" w:type="dxa"/>
            <w:gridSpan w:val="2"/>
            <w:tcBorders>
              <w:top w:val="single" w:sz="8" w:space="0" w:color="1A171C"/>
              <w:left w:val="single" w:sz="8" w:space="0" w:color="1A171C"/>
              <w:bottom w:val="single" w:sz="8" w:space="0" w:color="1A171C"/>
              <w:right w:val="nil"/>
            </w:tcBorders>
            <w:vAlign w:val="bottom"/>
          </w:tcPr>
          <w:p w14:paraId="7FE1CF58" w14:textId="77777777" w:rsidR="00696584" w:rsidRDefault="002C4F63">
            <w:pPr>
              <w:pStyle w:val="P68B1DB1-TableParagraph73"/>
              <w:spacing w:before="108"/>
              <w:ind w:left="85"/>
              <w:jc w:val="both"/>
              <w:rPr>
                <w:bCs/>
              </w:rPr>
            </w:pPr>
            <w:r>
              <w:t>Tag der Erteilung</w:t>
            </w:r>
          </w:p>
          <w:p w14:paraId="7FE1CF59" w14:textId="77777777" w:rsidR="00696584" w:rsidRDefault="002C4F63">
            <w:pPr>
              <w:pStyle w:val="P68B1DB1-TableParagraph40"/>
              <w:spacing w:before="108"/>
              <w:ind w:left="85"/>
              <w:jc w:val="both"/>
            </w:pPr>
            <w:r>
              <w:t>Datum der ursprünglichen Emission der Verbindlichkeit. Für Wertpapierfinanzierungsgeschäfte, die einer Saldierungsvereinbarung unterliegen und als Netting-Satz gemeldet werden, kann der Meldetermin als Emissionsdatum verwendet werden.</w:t>
            </w:r>
          </w:p>
        </w:tc>
      </w:tr>
      <w:tr w:rsidR="00696584" w14:paraId="7FE1CF5E" w14:textId="77777777">
        <w:tc>
          <w:tcPr>
            <w:tcW w:w="1244" w:type="dxa"/>
            <w:tcBorders>
              <w:top w:val="single" w:sz="8" w:space="0" w:color="1A171C"/>
              <w:left w:val="nil"/>
              <w:bottom w:val="single" w:sz="8" w:space="0" w:color="1A171C"/>
              <w:right w:val="single" w:sz="8" w:space="0" w:color="1A171C"/>
            </w:tcBorders>
            <w:vAlign w:val="center"/>
          </w:tcPr>
          <w:p w14:paraId="7FE1CF5B" w14:textId="77777777" w:rsidR="00696584" w:rsidRDefault="002C4F63">
            <w:pPr>
              <w:pStyle w:val="P68B1DB1-Normal31"/>
            </w:pPr>
            <w:r>
              <w:t>0120</w:t>
            </w:r>
          </w:p>
        </w:tc>
        <w:tc>
          <w:tcPr>
            <w:tcW w:w="7782" w:type="dxa"/>
            <w:gridSpan w:val="2"/>
            <w:tcBorders>
              <w:top w:val="single" w:sz="8" w:space="0" w:color="1A171C"/>
              <w:left w:val="single" w:sz="8" w:space="0" w:color="1A171C"/>
              <w:bottom w:val="single" w:sz="8" w:space="0" w:color="1A171C"/>
              <w:right w:val="nil"/>
            </w:tcBorders>
            <w:vAlign w:val="bottom"/>
          </w:tcPr>
          <w:p w14:paraId="7FE1CF5C" w14:textId="77777777" w:rsidR="00696584" w:rsidRDefault="002C4F63">
            <w:pPr>
              <w:pStyle w:val="P68B1DB1-TableParagraph73"/>
              <w:spacing w:before="108"/>
              <w:ind w:left="85"/>
              <w:jc w:val="both"/>
              <w:rPr>
                <w:bCs/>
              </w:rPr>
            </w:pPr>
            <w:r>
              <w:t>Frühester Tilgungszeitpunkt</w:t>
            </w:r>
          </w:p>
          <w:p w14:paraId="7FE1CF5D" w14:textId="206F36C8" w:rsidR="00696584" w:rsidRDefault="002C4F63">
            <w:pPr>
              <w:pStyle w:val="P68B1DB1-TableParagraph40"/>
              <w:spacing w:before="108"/>
              <w:ind w:left="85"/>
              <w:jc w:val="both"/>
            </w:pPr>
            <w:r>
              <w:t>Falls der Gläubiger die Möglichkeit hat, eine vorzeitige Rückzahlung zu fordern, oder Bedingungen für vorzeitige Rückzahlungen im Vertrag vorgesehen sind, ist hier der frühestmögliche Zeitpunkt für eine vorzeitige Rückzahlung anzugeben. Falls sich die vorzeitige Rückzahlung nur auf einen Teil der Verbindlichkeit bezieht (beispielsweise vorzeitige Rückzahlung von 50 % des Nominalwerts), teilen Sie die Verbindlichkeit auf, um eine solche Klausel für eine vorzeitige Teilrückzahlung zu berücksichtigen. Für Wertpapierfinanzierungsgeschäfte, die einer Saldierungsvereinbarung unterliegen und als Netting-Satz gemeldet werden, verwenden Sie den Tag, der auf den Meldetermin folgt.</w:t>
            </w:r>
          </w:p>
        </w:tc>
      </w:tr>
      <w:tr w:rsidR="00696584" w14:paraId="7FE1CF63" w14:textId="77777777">
        <w:tc>
          <w:tcPr>
            <w:tcW w:w="1244" w:type="dxa"/>
            <w:tcBorders>
              <w:top w:val="single" w:sz="8" w:space="0" w:color="1A171C"/>
              <w:left w:val="nil"/>
              <w:bottom w:val="single" w:sz="8" w:space="0" w:color="1A171C"/>
              <w:right w:val="single" w:sz="8" w:space="0" w:color="1A171C"/>
            </w:tcBorders>
            <w:vAlign w:val="center"/>
          </w:tcPr>
          <w:p w14:paraId="7FE1CF5F" w14:textId="77777777" w:rsidR="00696584" w:rsidRDefault="002C4F63">
            <w:pPr>
              <w:pStyle w:val="P68B1DB1-Normal31"/>
            </w:pPr>
            <w:r>
              <w:t>0130</w:t>
            </w:r>
          </w:p>
        </w:tc>
        <w:tc>
          <w:tcPr>
            <w:tcW w:w="7782" w:type="dxa"/>
            <w:gridSpan w:val="2"/>
            <w:tcBorders>
              <w:top w:val="single" w:sz="8" w:space="0" w:color="1A171C"/>
              <w:left w:val="single" w:sz="8" w:space="0" w:color="1A171C"/>
              <w:bottom w:val="single" w:sz="8" w:space="0" w:color="1A171C"/>
              <w:right w:val="nil"/>
            </w:tcBorders>
            <w:vAlign w:val="bottom"/>
          </w:tcPr>
          <w:p w14:paraId="7FE1CF60" w14:textId="77777777" w:rsidR="00696584" w:rsidRDefault="002C4F63">
            <w:pPr>
              <w:pStyle w:val="P68B1DB1-TableParagraph73"/>
              <w:spacing w:before="108"/>
              <w:ind w:left="85"/>
              <w:jc w:val="both"/>
              <w:rPr>
                <w:bCs/>
              </w:rPr>
            </w:pPr>
            <w:r>
              <w:t>Rechtliche Fälligkeit</w:t>
            </w:r>
          </w:p>
          <w:p w14:paraId="7FE1CF61" w14:textId="6595476F" w:rsidR="00696584" w:rsidRDefault="002C4F63">
            <w:pPr>
              <w:pStyle w:val="P68B1DB1-TableParagraph40"/>
              <w:spacing w:before="108"/>
              <w:ind w:left="85"/>
              <w:jc w:val="both"/>
            </w:pPr>
            <w:r>
              <w:t>Zeitpunkt der rechtlichen Endfälligkeit der Verbindlichkeit. Bei Dauerinstrumenten ist „2099-01-31“ zu verwenden.</w:t>
            </w:r>
          </w:p>
          <w:p w14:paraId="7FE1CF62" w14:textId="77777777" w:rsidR="00696584" w:rsidRDefault="002C4F63">
            <w:pPr>
              <w:pStyle w:val="P68B1DB1-TableParagraph40"/>
              <w:spacing w:before="108"/>
              <w:ind w:left="85"/>
              <w:jc w:val="both"/>
            </w:pPr>
            <w:r>
              <w:t>Für Wertpapierfinanzierungsgeschäfte, die einer Saldierungsvereinbarung unterliegen und als Netting-Satz gemeldet werden, verwenden Sie den Tag, der auf den Meldetermin folgt.</w:t>
            </w:r>
          </w:p>
        </w:tc>
      </w:tr>
      <w:tr w:rsidR="00696584" w14:paraId="7FE1CF67" w14:textId="77777777">
        <w:tc>
          <w:tcPr>
            <w:tcW w:w="1244" w:type="dxa"/>
            <w:tcBorders>
              <w:top w:val="single" w:sz="8" w:space="0" w:color="1A171C"/>
              <w:left w:val="nil"/>
              <w:bottom w:val="single" w:sz="8" w:space="0" w:color="1A171C"/>
              <w:right w:val="single" w:sz="8" w:space="0" w:color="1A171C"/>
            </w:tcBorders>
            <w:vAlign w:val="center"/>
          </w:tcPr>
          <w:p w14:paraId="7FE1CF64" w14:textId="77777777" w:rsidR="00696584" w:rsidRDefault="002C4F63">
            <w:pPr>
              <w:pStyle w:val="P68B1DB1-Normal31"/>
            </w:pPr>
            <w:r>
              <w:t>0150</w:t>
            </w:r>
          </w:p>
        </w:tc>
        <w:tc>
          <w:tcPr>
            <w:tcW w:w="7782" w:type="dxa"/>
            <w:gridSpan w:val="2"/>
            <w:tcBorders>
              <w:top w:val="single" w:sz="8" w:space="0" w:color="1A171C"/>
              <w:left w:val="single" w:sz="8" w:space="0" w:color="1A171C"/>
              <w:bottom w:val="single" w:sz="8" w:space="0" w:color="1A171C"/>
              <w:right w:val="nil"/>
            </w:tcBorders>
            <w:vAlign w:val="bottom"/>
          </w:tcPr>
          <w:p w14:paraId="7FE1CF65" w14:textId="2AE250AE" w:rsidR="00696584" w:rsidRDefault="002C4F63">
            <w:pPr>
              <w:pStyle w:val="P68B1DB1-TableParagraph73"/>
              <w:spacing w:before="108"/>
              <w:ind w:left="85"/>
              <w:jc w:val="both"/>
              <w:rPr>
                <w:bCs/>
              </w:rPr>
            </w:pPr>
            <w:r>
              <w:t>Höhe der Verpfändung, des Pfand- und Zurückbehaltungsrechts oder der Sicherheit</w:t>
            </w:r>
          </w:p>
          <w:p w14:paraId="7FE1CF66" w14:textId="77777777" w:rsidR="00696584" w:rsidRDefault="002C4F63">
            <w:pPr>
              <w:pStyle w:val="P68B1DB1-TableParagraph40"/>
              <w:spacing w:before="108"/>
              <w:ind w:left="85"/>
              <w:jc w:val="both"/>
            </w:pPr>
            <w:r>
              <w:t xml:space="preserve">Wird eine Verbindlichkeit von einem Pfand- und Zurückbehaltungsrecht oder einer Sicherheit besichert, wird der Bruttowert des/der Letztgenannten vorgelegt. Bei unbesicherten </w:t>
            </w:r>
            <w:r>
              <w:lastRenderedPageBreak/>
              <w:t>Verbindlichkeiten ist hier Null anzugeben. Dieser Betrag bestimmt den besicherten und damit auch den unbesicherten Teil jeder besicherten Verbindlichkeit. Bei Sicherheitenpools, die mehrere Zeilenpositionen besichern, ist die Gesamtdeckungsquote zu bestimmen und anteilig auf alle von diesem Pool abgedeckten Zeilenpositionen anzuwenden.</w:t>
            </w:r>
          </w:p>
        </w:tc>
      </w:tr>
      <w:tr w:rsidR="00696584" w14:paraId="7FE1CF6B" w14:textId="77777777">
        <w:tc>
          <w:tcPr>
            <w:tcW w:w="1244" w:type="dxa"/>
            <w:tcBorders>
              <w:top w:val="single" w:sz="8" w:space="0" w:color="1A171C"/>
              <w:left w:val="nil"/>
              <w:bottom w:val="single" w:sz="8" w:space="0" w:color="1A171C"/>
              <w:right w:val="single" w:sz="8" w:space="0" w:color="1A171C"/>
            </w:tcBorders>
            <w:vAlign w:val="center"/>
          </w:tcPr>
          <w:p w14:paraId="7FE1CF68" w14:textId="77777777" w:rsidR="00696584" w:rsidRDefault="002C4F63">
            <w:pPr>
              <w:pStyle w:val="P68B1DB1-Normal31"/>
            </w:pPr>
            <w:r>
              <w:lastRenderedPageBreak/>
              <w:t>0160</w:t>
            </w:r>
          </w:p>
        </w:tc>
        <w:tc>
          <w:tcPr>
            <w:tcW w:w="7782" w:type="dxa"/>
            <w:gridSpan w:val="2"/>
            <w:tcBorders>
              <w:top w:val="single" w:sz="8" w:space="0" w:color="1A171C"/>
              <w:left w:val="single" w:sz="8" w:space="0" w:color="1A171C"/>
              <w:bottom w:val="single" w:sz="8" w:space="0" w:color="1A171C"/>
              <w:right w:val="nil"/>
            </w:tcBorders>
            <w:vAlign w:val="bottom"/>
          </w:tcPr>
          <w:p w14:paraId="7FE1CF69" w14:textId="77777777" w:rsidR="00696584" w:rsidRDefault="002C4F63">
            <w:pPr>
              <w:pStyle w:val="P68B1DB1-TableParagraph73"/>
              <w:spacing w:before="108"/>
              <w:ind w:left="85"/>
              <w:jc w:val="both"/>
              <w:rPr>
                <w:bCs/>
              </w:rPr>
            </w:pPr>
            <w:r>
              <w:t>Garantiegeber (falls zutreffend)</w:t>
            </w:r>
          </w:p>
          <w:p w14:paraId="7FE1CF6A" w14:textId="77777777" w:rsidR="00696584" w:rsidRDefault="002C4F63">
            <w:pPr>
              <w:pStyle w:val="P68B1DB1-TableParagraph40"/>
              <w:spacing w:before="108"/>
              <w:ind w:left="85"/>
              <w:jc w:val="both"/>
            </w:pPr>
            <w:r>
              <w:t>Bei einem mit Garantien versehenen Instrument ist die genaue Kennung des Garantiegebers anzugeben (LEI-Code, ISO-3166-1-Alpha-2-Code für Staat usw.). Gibt es mehrere Garantiegeber, sind die Kennungen für alle anzugeben, jeweils getrennt durch ein Semikolon.</w:t>
            </w:r>
          </w:p>
        </w:tc>
      </w:tr>
      <w:tr w:rsidR="00696584" w14:paraId="7FE1CF70" w14:textId="77777777">
        <w:tc>
          <w:tcPr>
            <w:tcW w:w="1244" w:type="dxa"/>
            <w:tcBorders>
              <w:top w:val="single" w:sz="8" w:space="0" w:color="1A171C"/>
              <w:left w:val="nil"/>
              <w:bottom w:val="single" w:sz="8" w:space="0" w:color="1A171C"/>
              <w:right w:val="single" w:sz="8" w:space="0" w:color="1A171C"/>
            </w:tcBorders>
            <w:vAlign w:val="center"/>
          </w:tcPr>
          <w:p w14:paraId="7FE1CF6C" w14:textId="77777777" w:rsidR="00696584" w:rsidRDefault="002C4F63">
            <w:pPr>
              <w:pStyle w:val="P68B1DB1-Normal31"/>
            </w:pPr>
            <w:r>
              <w:t>0175</w:t>
            </w:r>
          </w:p>
        </w:tc>
        <w:tc>
          <w:tcPr>
            <w:tcW w:w="7782" w:type="dxa"/>
            <w:gridSpan w:val="2"/>
            <w:tcBorders>
              <w:top w:val="single" w:sz="8" w:space="0" w:color="1A171C"/>
              <w:left w:val="single" w:sz="8" w:space="0" w:color="1A171C"/>
              <w:bottom w:val="single" w:sz="8" w:space="0" w:color="1A171C"/>
              <w:right w:val="nil"/>
            </w:tcBorders>
            <w:vAlign w:val="bottom"/>
          </w:tcPr>
          <w:p w14:paraId="7FE1CF6D" w14:textId="2F4CF6F7" w:rsidR="00696584" w:rsidRDefault="002C4F63">
            <w:pPr>
              <w:pStyle w:val="P68B1DB1-TableParagraph73"/>
              <w:spacing w:before="108"/>
              <w:ind w:left="85"/>
              <w:jc w:val="both"/>
              <w:rPr>
                <w:bCs/>
              </w:rPr>
            </w:pPr>
            <w:r>
              <w:t>Betrag, der die Voraussetzungen für die interne Anrechenbarkeit auf die MREL erfüllt</w:t>
            </w:r>
          </w:p>
          <w:p w14:paraId="7FE1CF6F" w14:textId="4E658BD3" w:rsidR="00696584" w:rsidRDefault="002C4F63">
            <w:pPr>
              <w:pStyle w:val="P68B1DB1-TableParagraph40"/>
              <w:spacing w:before="108"/>
              <w:ind w:left="85"/>
              <w:jc w:val="both"/>
            </w:pPr>
            <w:r>
              <w:t xml:space="preserve">Der Betrag der Eigenmittel und berücksichtigungsfähigen Verbindlichkeiten, der auf die gemäß Artikel 45 Absatz 1 der Richtlinie 2014/59/EU festgelegte Anforderung angerechnet wird. </w:t>
            </w:r>
          </w:p>
        </w:tc>
      </w:tr>
      <w:tr w:rsidR="00696584" w14:paraId="7FE1CF76" w14:textId="77777777">
        <w:tc>
          <w:tcPr>
            <w:tcW w:w="1244" w:type="dxa"/>
            <w:tcBorders>
              <w:top w:val="single" w:sz="8" w:space="0" w:color="1A171C"/>
              <w:left w:val="nil"/>
              <w:bottom w:val="single" w:sz="8" w:space="0" w:color="1A171C"/>
              <w:right w:val="single" w:sz="8" w:space="0" w:color="1A171C"/>
            </w:tcBorders>
            <w:vAlign w:val="center"/>
          </w:tcPr>
          <w:p w14:paraId="7FE1CF71" w14:textId="77777777" w:rsidR="00696584" w:rsidRDefault="002C4F63">
            <w:pPr>
              <w:pStyle w:val="P68B1DB1-Normal31"/>
            </w:pPr>
            <w:r>
              <w:t>0180</w:t>
            </w:r>
          </w:p>
        </w:tc>
        <w:tc>
          <w:tcPr>
            <w:tcW w:w="7782" w:type="dxa"/>
            <w:gridSpan w:val="2"/>
            <w:tcBorders>
              <w:top w:val="single" w:sz="8" w:space="0" w:color="1A171C"/>
              <w:left w:val="single" w:sz="8" w:space="0" w:color="1A171C"/>
              <w:bottom w:val="single" w:sz="8" w:space="0" w:color="1A171C"/>
              <w:right w:val="nil"/>
            </w:tcBorders>
            <w:vAlign w:val="bottom"/>
          </w:tcPr>
          <w:p w14:paraId="7FE1CF72" w14:textId="77777777" w:rsidR="00696584" w:rsidRDefault="002C4F63">
            <w:pPr>
              <w:pStyle w:val="P68B1DB1-TableParagraph73"/>
              <w:spacing w:before="108"/>
              <w:ind w:left="85"/>
              <w:jc w:val="both"/>
              <w:rPr>
                <w:bCs/>
              </w:rPr>
            </w:pPr>
            <w:r>
              <w:t>Einstufung als Eigenmittel</w:t>
            </w:r>
          </w:p>
          <w:p w14:paraId="7FE1CF73" w14:textId="0B29038C" w:rsidR="00696584" w:rsidRDefault="002C4F63">
            <w:pPr>
              <w:pStyle w:val="P68B1DB1-TableParagraph40"/>
              <w:spacing w:before="108"/>
              <w:ind w:left="85"/>
              <w:jc w:val="both"/>
            </w:pPr>
            <w:r>
              <w:t>Es ist anzugeben, ob und in welcher Position das Instrument als Eigenmittel eingestuft wird;</w:t>
            </w:r>
            <w:r w:rsidR="00F75217">
              <w:t xml:space="preserve"> </w:t>
            </w:r>
            <w:r>
              <w:t>zudem sind Informationen zu Auslaufregelungen und Bestandsschutzvereinbarungen zu geben. Aus der vorgegebenen Liste kann Folgendes ausgewählt werden:</w:t>
            </w:r>
            <w:r w:rsidR="00F75217">
              <w:t xml:space="preserve"> </w:t>
            </w:r>
            <w:r>
              <w:t>„Nein“, „Teilweise zusätzliches Kernkapital, Kernkapital und Ergänzungskapital“, „Ergänzungskapital – Auslaufregelung“, „Ergänzungskapital mit Bestandsschutz“, „Ergänzungskapital mit voller Erfüllung der Anforderungen“, „Zusätzliches Kernkapital mit Bestandsschutz“, „Zusätzliches Kernkapital mit voller Erfüllung der Anforderungen“ oder „Hartes Kernkapital“.</w:t>
            </w:r>
          </w:p>
          <w:p w14:paraId="7FE1CF74" w14:textId="590572C7" w:rsidR="00696584" w:rsidRDefault="002C4F63">
            <w:pPr>
              <w:pStyle w:val="P68B1DB1-TableParagraph40"/>
              <w:spacing w:before="108"/>
              <w:ind w:left="85"/>
              <w:jc w:val="both"/>
            </w:pPr>
            <w:r>
              <w:t>In der Auswahlliste gilt „auslaufend“ für den Zeitraum von fünf Jahren vor der Fälligkeit eines Instruments des Ergänzungskapitals;</w:t>
            </w:r>
            <w:r w:rsidR="00F75217">
              <w:t xml:space="preserve"> </w:t>
            </w:r>
            <w:r>
              <w:t>in diesem Zeitraum wird das Instrument gemäß der bis zur Fälligkeit verbleibenden Laufzeit nur anteilig angerechnet. Die Option „mit Bestandsschutz“ bezieht sich auf jegliche Übergangsmaßnahmen bei Instrumenten des Ergänzungskapitals, mit Ausnahme von „auslaufend“. Im Rahmen dieses Bestandsschutzes kann die Anerkennung in vollem Umfang oder teilweise erfolgen.</w:t>
            </w:r>
          </w:p>
          <w:p w14:paraId="7FE1CF75" w14:textId="77777777" w:rsidR="00696584" w:rsidRDefault="00696584">
            <w:pPr>
              <w:pStyle w:val="TableParagraph"/>
              <w:spacing w:before="108"/>
              <w:ind w:left="85"/>
              <w:jc w:val="both"/>
              <w:rPr>
                <w:rFonts w:ascii="Times New Roman" w:eastAsia="Times New Roman" w:hAnsi="Times New Roman" w:cs="Times New Roman"/>
                <w:sz w:val="20"/>
                <w:szCs w:val="20"/>
              </w:rPr>
            </w:pPr>
          </w:p>
        </w:tc>
      </w:tr>
      <w:tr w:rsidR="00696584" w14:paraId="7FE1CF7A" w14:textId="77777777">
        <w:tc>
          <w:tcPr>
            <w:tcW w:w="1244" w:type="dxa"/>
            <w:tcBorders>
              <w:top w:val="single" w:sz="8" w:space="0" w:color="1A171C"/>
              <w:left w:val="nil"/>
              <w:bottom w:val="single" w:sz="8" w:space="0" w:color="1A171C"/>
              <w:right w:val="single" w:sz="8" w:space="0" w:color="1A171C"/>
            </w:tcBorders>
            <w:vAlign w:val="center"/>
          </w:tcPr>
          <w:p w14:paraId="7FE1CF77" w14:textId="77777777" w:rsidR="00696584" w:rsidRDefault="002C4F63">
            <w:pPr>
              <w:pStyle w:val="P68B1DB1-Normal31"/>
            </w:pPr>
            <w:r>
              <w:t>0190</w:t>
            </w:r>
          </w:p>
        </w:tc>
        <w:tc>
          <w:tcPr>
            <w:tcW w:w="7782" w:type="dxa"/>
            <w:gridSpan w:val="2"/>
            <w:tcBorders>
              <w:top w:val="single" w:sz="8" w:space="0" w:color="1A171C"/>
              <w:left w:val="single" w:sz="8" w:space="0" w:color="1A171C"/>
              <w:bottom w:val="single" w:sz="8" w:space="0" w:color="1A171C"/>
              <w:right w:val="nil"/>
            </w:tcBorders>
            <w:vAlign w:val="bottom"/>
          </w:tcPr>
          <w:p w14:paraId="7FE1CF78" w14:textId="51B2AF79" w:rsidR="00696584" w:rsidRDefault="002C4F63">
            <w:pPr>
              <w:pStyle w:val="P68B1DB1-TableParagraph73"/>
              <w:spacing w:before="108"/>
              <w:ind w:left="85"/>
              <w:jc w:val="both"/>
              <w:rPr>
                <w:bCs/>
              </w:rPr>
            </w:pPr>
            <w:r>
              <w:t xml:space="preserve">Als Eigenmittel </w:t>
            </w:r>
            <w:r w:rsidR="00F61D1C">
              <w:t xml:space="preserve">anrechenbarer </w:t>
            </w:r>
            <w:r>
              <w:t>Betrag</w:t>
            </w:r>
          </w:p>
          <w:p w14:paraId="7FE1CF79" w14:textId="28EFFBCF" w:rsidR="00696584" w:rsidRDefault="002C4F63">
            <w:pPr>
              <w:pStyle w:val="P68B1DB1-TableParagraph40"/>
              <w:spacing w:before="108"/>
              <w:ind w:left="85"/>
              <w:jc w:val="both"/>
            </w:pPr>
            <w:r>
              <w:t>Der Betrag des als Eigenmittel geltenden Instruments.</w:t>
            </w:r>
          </w:p>
        </w:tc>
      </w:tr>
    </w:tbl>
    <w:p w14:paraId="7FE1CF7B" w14:textId="77777777" w:rsidR="00696584" w:rsidRDefault="00696584">
      <w:pPr>
        <w:pStyle w:val="Instructionsberschrift2"/>
        <w:ind w:left="357"/>
        <w:rPr>
          <w:rFonts w:ascii="Times New Roman" w:eastAsia="Calibri" w:hAnsi="Times New Roman" w:cs="Times New Roman"/>
          <w:szCs w:val="20"/>
        </w:rPr>
      </w:pPr>
    </w:p>
    <w:p w14:paraId="7FE1CF7C" w14:textId="78CE26C4" w:rsidR="00696584" w:rsidRDefault="002C4F63">
      <w:pPr>
        <w:pStyle w:val="Instructionsberschrift2"/>
        <w:numPr>
          <w:ilvl w:val="1"/>
          <w:numId w:val="49"/>
        </w:numPr>
        <w:spacing w:before="0"/>
        <w:ind w:left="357" w:hanging="357"/>
        <w:rPr>
          <w:rFonts w:ascii="Times New Roman" w:hAnsi="Times New Roman" w:cs="Times New Roman"/>
        </w:rPr>
      </w:pPr>
      <w:bookmarkStart w:id="243" w:name="_Toc209533615"/>
      <w:r>
        <w:rPr>
          <w:rFonts w:ascii="Times New Roman" w:hAnsi="Times New Roman" w:cs="Times New Roman"/>
          <w:color w:val="000000" w:themeColor="text1"/>
        </w:rPr>
        <w:t xml:space="preserve">Z 12.00 – Wertpapiere </w:t>
      </w:r>
      <w:r>
        <w:rPr>
          <w:rFonts w:ascii="Times New Roman" w:eastAsia="Cambria" w:hAnsi="Times New Roman" w:cs="Times New Roman"/>
        </w:rPr>
        <w:t>(einschließlich Instrumente des harten Kernkapitals, des zusätzlichen Kernkapitals und des Ergänzungskapitals; ohne gruppeninterne)</w:t>
      </w:r>
      <w:bookmarkEnd w:id="242"/>
      <w:r>
        <w:rPr>
          <w:rFonts w:ascii="Times New Roman" w:eastAsia="Cambria" w:hAnsi="Times New Roman" w:cs="Times New Roman"/>
        </w:rPr>
        <w:t xml:space="preserve"> </w:t>
      </w:r>
      <w:r>
        <w:rPr>
          <w:rFonts w:ascii="Times New Roman" w:eastAsia="Calibri" w:hAnsi="Times New Roman" w:cs="Times New Roman"/>
          <w:szCs w:val="20"/>
        </w:rPr>
        <w:t>(LIAB-G-2)</w:t>
      </w:r>
      <w:bookmarkEnd w:id="243"/>
    </w:p>
    <w:p w14:paraId="7FE1CF7D" w14:textId="77777777" w:rsidR="00696584" w:rsidRDefault="002C4F63">
      <w:pPr>
        <w:pStyle w:val="P68B1DB1-Numberedtitlelevel372"/>
      </w:pPr>
      <w:r>
        <w:t>Allgemeine Bemerkungen</w:t>
      </w:r>
    </w:p>
    <w:p w14:paraId="7FE1CF7F" w14:textId="048C4053" w:rsidR="00696584" w:rsidRDefault="002C4F63">
      <w:pPr>
        <w:pStyle w:val="InstructionsText2"/>
        <w:spacing w:before="0"/>
        <w:ind w:left="1134"/>
        <w:rPr>
          <w:rFonts w:ascii="Times New Roman" w:eastAsiaTheme="majorEastAsia" w:hAnsi="Times New Roman" w:cs="Times New Roman"/>
          <w:sz w:val="20"/>
          <w:szCs w:val="20"/>
        </w:rPr>
      </w:pPr>
      <w:r>
        <w:rPr>
          <w:rFonts w:ascii="Times New Roman" w:eastAsia="Cambria" w:hAnsi="Times New Roman" w:cs="Times New Roman"/>
          <w:sz w:val="20"/>
          <w:szCs w:val="20"/>
        </w:rPr>
        <w:t>Ein Wertpapier ist ein handelbares, begebbares Finanzinstrument, das einen finanziellen Wert darstellt und zwar unabhängig von der spezifischen Ausgestaltung (beispielsweise sind diese Instrumente entweder besichert oder unbesichert). Diese Tabelle enthält auch Eigenmittelinstrumente</w:t>
      </w:r>
      <w:r>
        <w:rPr>
          <w:rStyle w:val="FootnoteReference"/>
          <w:rFonts w:eastAsia="Cambria" w:cs="Times New Roman"/>
        </w:rPr>
        <w:footnoteReference w:id="36"/>
      </w:r>
      <w:r>
        <w:rPr>
          <w:rFonts w:ascii="Times New Roman" w:eastAsia="Cambria" w:hAnsi="Times New Roman" w:cs="Times New Roman"/>
          <w:sz w:val="20"/>
          <w:szCs w:val="20"/>
        </w:rPr>
        <w:t>. Für die Zwecke von Kapitalinstrumenten des harten Kernkapitals ist der Restanspruch von Anteilen auf das gesamte bilanzielle Eigenkapital (gemäß der Definition in Z 02.00-r0511) auf Instrumentenebene auszuweisen.</w:t>
      </w:r>
    </w:p>
    <w:p w14:paraId="7FE1CF81" w14:textId="262B713C" w:rsidR="00696584" w:rsidRDefault="002C4F63">
      <w:pPr>
        <w:pStyle w:val="P68B1DB1-InstructionsText286"/>
        <w:numPr>
          <w:ilvl w:val="2"/>
          <w:numId w:val="209"/>
        </w:numPr>
        <w:spacing w:before="0"/>
        <w:ind w:left="1134"/>
      </w:pPr>
      <w:r>
        <w:lastRenderedPageBreak/>
        <w:t>Ist die Gläubigerkennung (Spalte 0210) nicht verfügbar (z. B. bei Instrumenten, die auf Plattformen gehandelt werden), ist jede Zeile in Bezug auf dieses Feld auf aggregierter Ebene zu melden.</w:t>
      </w:r>
    </w:p>
    <w:p w14:paraId="7FE1CF83" w14:textId="77777777" w:rsidR="00696584" w:rsidRDefault="002C4F63">
      <w:pPr>
        <w:pStyle w:val="P68B1DB1-InstructionsText286"/>
        <w:numPr>
          <w:ilvl w:val="2"/>
          <w:numId w:val="209"/>
        </w:numPr>
        <w:spacing w:before="0"/>
        <w:ind w:left="1134"/>
      </w:pPr>
      <w:r>
        <w:t>Für die Zwecke dieser Tabelle werden die Verbindlichkeiten in Zeilen auf der durch die verlangten Felder definierten Granularität ausgewiesen.</w:t>
      </w:r>
    </w:p>
    <w:p w14:paraId="7FE1CF86" w14:textId="77777777" w:rsidR="00696584" w:rsidRDefault="00696584">
      <w:pPr>
        <w:spacing w:line="276" w:lineRule="auto"/>
        <w:rPr>
          <w:rFonts w:ascii="Times New Roman" w:hAnsi="Times New Roman" w:cs="Times New Roman"/>
          <w:sz w:val="20"/>
          <w:szCs w:val="20"/>
        </w:rPr>
      </w:pPr>
    </w:p>
    <w:p w14:paraId="7FE1CF87" w14:textId="77777777" w:rsidR="00696584" w:rsidRDefault="002C4F63">
      <w:pPr>
        <w:pStyle w:val="P68B1DB1-Numberedtitlelevel372"/>
      </w:pPr>
      <w:r>
        <w:t>Erläuterungen zu bestimmten Positionen</w:t>
      </w:r>
    </w:p>
    <w:p w14:paraId="7FE1CF88" w14:textId="77777777" w:rsidR="00696584" w:rsidRDefault="00696584">
      <w:pPr>
        <w:pStyle w:val="body"/>
        <w:rPr>
          <w:rFonts w:ascii="Times New Roman" w:hAnsi="Times New Roman" w:cs="Times New Roman"/>
          <w:color w:val="000000" w:themeColor="text1"/>
          <w:sz w:val="20"/>
          <w:szCs w:val="20"/>
        </w:rPr>
      </w:pPr>
    </w:p>
    <w:tbl>
      <w:tblPr>
        <w:tblW w:w="0" w:type="auto"/>
        <w:tblLook w:val="01E0" w:firstRow="1" w:lastRow="1" w:firstColumn="1" w:lastColumn="1" w:noHBand="0" w:noVBand="0"/>
      </w:tblPr>
      <w:tblGrid>
        <w:gridCol w:w="1415"/>
        <w:gridCol w:w="7547"/>
        <w:gridCol w:w="64"/>
      </w:tblGrid>
      <w:tr w:rsidR="00696584" w14:paraId="7FE1CF8B" w14:textId="77777777">
        <w:trPr>
          <w:gridAfter w:val="1"/>
          <w:wAfter w:w="64" w:type="dxa"/>
          <w:tblHeader/>
        </w:trPr>
        <w:tc>
          <w:tcPr>
            <w:tcW w:w="1415" w:type="dxa"/>
            <w:tcBorders>
              <w:top w:val="single" w:sz="4" w:space="0" w:color="1A171C"/>
              <w:left w:val="nil"/>
              <w:bottom w:val="single" w:sz="4" w:space="0" w:color="1A171C"/>
              <w:right w:val="single" w:sz="4" w:space="0" w:color="1A171C"/>
            </w:tcBorders>
            <w:shd w:val="clear" w:color="auto" w:fill="E4E5E5"/>
          </w:tcPr>
          <w:p w14:paraId="7FE1CF89" w14:textId="77777777" w:rsidR="00696584" w:rsidRDefault="002C4F63">
            <w:pPr>
              <w:pStyle w:val="P68B1DB1-TableParagraph17"/>
              <w:spacing w:before="108"/>
              <w:ind w:left="85"/>
            </w:pPr>
            <w:r>
              <w:t>Spalten</w:t>
            </w:r>
          </w:p>
        </w:tc>
        <w:tc>
          <w:tcPr>
            <w:tcW w:w="7547" w:type="dxa"/>
            <w:tcBorders>
              <w:top w:val="single" w:sz="4" w:space="0" w:color="1A171C"/>
              <w:left w:val="single" w:sz="4" w:space="0" w:color="1A171C"/>
              <w:bottom w:val="single" w:sz="4" w:space="0" w:color="1A171C"/>
              <w:right w:val="nil"/>
            </w:tcBorders>
            <w:shd w:val="clear" w:color="auto" w:fill="E4E5E5"/>
          </w:tcPr>
          <w:p w14:paraId="7FE1CF8A" w14:textId="77777777" w:rsidR="00696584" w:rsidRDefault="002C4F63">
            <w:pPr>
              <w:pStyle w:val="P68B1DB1-TableParagraph17"/>
              <w:spacing w:before="108"/>
              <w:ind w:left="85" w:right="1"/>
            </w:pPr>
            <w:r>
              <w:t>Erläuterungen</w:t>
            </w:r>
          </w:p>
        </w:tc>
      </w:tr>
      <w:tr w:rsidR="00696584" w14:paraId="7FE1CF8F" w14:textId="77777777">
        <w:tc>
          <w:tcPr>
            <w:tcW w:w="1415" w:type="dxa"/>
            <w:tcBorders>
              <w:top w:val="single" w:sz="8" w:space="0" w:color="1A171C"/>
              <w:left w:val="nil"/>
              <w:bottom w:val="single" w:sz="8" w:space="0" w:color="1A171C"/>
              <w:right w:val="single" w:sz="8" w:space="0" w:color="1A171C"/>
            </w:tcBorders>
            <w:vAlign w:val="center"/>
          </w:tcPr>
          <w:p w14:paraId="7FE1CF8C" w14:textId="77777777" w:rsidR="00696584" w:rsidRDefault="002C4F63">
            <w:pPr>
              <w:pStyle w:val="P68B1DB1-Normal31"/>
            </w:pPr>
            <w:r>
              <w:t>0010</w:t>
            </w:r>
          </w:p>
        </w:tc>
        <w:tc>
          <w:tcPr>
            <w:tcW w:w="7611" w:type="dxa"/>
            <w:gridSpan w:val="2"/>
            <w:tcBorders>
              <w:top w:val="single" w:sz="8" w:space="0" w:color="1A171C"/>
              <w:left w:val="single" w:sz="8" w:space="0" w:color="1A171C"/>
              <w:bottom w:val="single" w:sz="8" w:space="0" w:color="1A171C"/>
              <w:right w:val="nil"/>
            </w:tcBorders>
            <w:vAlign w:val="bottom"/>
          </w:tcPr>
          <w:p w14:paraId="7FE1CF8D" w14:textId="653CB1BC" w:rsidR="00696584" w:rsidRDefault="00F75217">
            <w:pPr>
              <w:pStyle w:val="P68B1DB1-TableParagraph40"/>
              <w:spacing w:before="108"/>
              <w:ind w:left="85"/>
              <w:jc w:val="both"/>
              <w:rPr>
                <w:b/>
                <w:bCs/>
              </w:rPr>
            </w:pPr>
            <w:r>
              <w:rPr>
                <w:b/>
              </w:rPr>
              <w:t>Nr</w:t>
            </w:r>
            <w:r w:rsidR="002C4F63">
              <w:rPr>
                <w:b/>
              </w:rPr>
              <w:t>.</w:t>
            </w:r>
          </w:p>
          <w:p w14:paraId="7FE1CF8E" w14:textId="77777777" w:rsidR="00696584" w:rsidRDefault="002C4F63">
            <w:pPr>
              <w:pStyle w:val="P68B1DB1-TableParagraph40"/>
              <w:spacing w:before="108"/>
              <w:ind w:left="85"/>
              <w:jc w:val="both"/>
            </w:pPr>
            <w:r>
              <w:t>Eindeutige Zahl/eindeutiger Primärschlüssel zur Identifizierung der Zeilenpositionen.</w:t>
            </w:r>
          </w:p>
        </w:tc>
      </w:tr>
      <w:tr w:rsidR="00696584" w14:paraId="7FE1CF93" w14:textId="77777777">
        <w:tc>
          <w:tcPr>
            <w:tcW w:w="1415" w:type="dxa"/>
            <w:tcBorders>
              <w:top w:val="single" w:sz="8" w:space="0" w:color="1A171C"/>
              <w:left w:val="nil"/>
              <w:bottom w:val="single" w:sz="8" w:space="0" w:color="1A171C"/>
              <w:right w:val="single" w:sz="8" w:space="0" w:color="1A171C"/>
            </w:tcBorders>
            <w:vAlign w:val="center"/>
          </w:tcPr>
          <w:p w14:paraId="7FE1CF90" w14:textId="77777777" w:rsidR="00696584" w:rsidRDefault="002C4F63">
            <w:pPr>
              <w:pStyle w:val="P68B1DB1-Normal31"/>
            </w:pPr>
            <w:r>
              <w:t>0020</w:t>
            </w:r>
          </w:p>
        </w:tc>
        <w:tc>
          <w:tcPr>
            <w:tcW w:w="7611" w:type="dxa"/>
            <w:gridSpan w:val="2"/>
            <w:tcBorders>
              <w:top w:val="single" w:sz="8" w:space="0" w:color="1A171C"/>
              <w:left w:val="single" w:sz="8" w:space="0" w:color="1A171C"/>
              <w:bottom w:val="single" w:sz="8" w:space="0" w:color="1A171C"/>
              <w:right w:val="nil"/>
            </w:tcBorders>
            <w:vAlign w:val="bottom"/>
          </w:tcPr>
          <w:p w14:paraId="7FE1CF91" w14:textId="2D0C3327" w:rsidR="00696584" w:rsidRDefault="002C4F63">
            <w:pPr>
              <w:pStyle w:val="P68B1DB1-TableParagraph73"/>
              <w:spacing w:before="108"/>
              <w:ind w:left="85"/>
              <w:jc w:val="both"/>
              <w:rPr>
                <w:bCs/>
              </w:rPr>
            </w:pPr>
            <w:r>
              <w:t>Zeile</w:t>
            </w:r>
          </w:p>
          <w:p w14:paraId="7FE1CF92" w14:textId="1B7E4CC7" w:rsidR="00696584" w:rsidRDefault="002C4F63">
            <w:pPr>
              <w:pStyle w:val="P68B1DB1-TableParagraph40"/>
              <w:spacing w:before="108"/>
              <w:ind w:left="85"/>
              <w:jc w:val="both"/>
            </w:pPr>
            <w:r>
              <w:t>Jede Zeile muss der entsprechenden Verbindlichkeitskategorie der Verbindlichkeitsstruktur des Meldebogens Z02.00 auf Laufzeitebene zugeordnet werden.</w:t>
            </w:r>
            <w:r w:rsidR="00F75217">
              <w:t xml:space="preserve"> </w:t>
            </w:r>
            <w:r>
              <w:t>Die Kategorie ist aus einer vorgegebenen Auswahlliste auszuwählen.</w:t>
            </w:r>
          </w:p>
        </w:tc>
      </w:tr>
      <w:tr w:rsidR="00696584" w14:paraId="7FE1CF97" w14:textId="77777777">
        <w:tc>
          <w:tcPr>
            <w:tcW w:w="1415" w:type="dxa"/>
            <w:tcBorders>
              <w:top w:val="single" w:sz="8" w:space="0" w:color="1A171C"/>
              <w:left w:val="nil"/>
              <w:bottom w:val="single" w:sz="8" w:space="0" w:color="1A171C"/>
              <w:right w:val="single" w:sz="8" w:space="0" w:color="1A171C"/>
            </w:tcBorders>
            <w:vAlign w:val="center"/>
          </w:tcPr>
          <w:p w14:paraId="7FE1CF94" w14:textId="77777777" w:rsidR="00696584" w:rsidRDefault="002C4F63">
            <w:pPr>
              <w:pStyle w:val="P68B1DB1-Normal31"/>
            </w:pPr>
            <w:r>
              <w:t>0030</w:t>
            </w:r>
          </w:p>
        </w:tc>
        <w:tc>
          <w:tcPr>
            <w:tcW w:w="7611" w:type="dxa"/>
            <w:gridSpan w:val="2"/>
            <w:tcBorders>
              <w:top w:val="single" w:sz="8" w:space="0" w:color="1A171C"/>
              <w:left w:val="single" w:sz="8" w:space="0" w:color="1A171C"/>
              <w:bottom w:val="single" w:sz="8" w:space="0" w:color="1A171C"/>
              <w:right w:val="nil"/>
            </w:tcBorders>
            <w:vAlign w:val="bottom"/>
          </w:tcPr>
          <w:p w14:paraId="7FE1CF95" w14:textId="77777777" w:rsidR="00696584" w:rsidRDefault="002C4F63">
            <w:pPr>
              <w:pStyle w:val="P68B1DB1-TableParagraph73"/>
              <w:spacing w:before="108"/>
              <w:ind w:left="85"/>
              <w:jc w:val="both"/>
              <w:rPr>
                <w:bCs/>
              </w:rPr>
            </w:pPr>
            <w:r>
              <w:t xml:space="preserve">Spalte </w:t>
            </w:r>
          </w:p>
          <w:p w14:paraId="7FE1CF96" w14:textId="42EAC585" w:rsidR="00696584" w:rsidRDefault="002C4F63">
            <w:pPr>
              <w:pStyle w:val="P68B1DB1-TableParagraph40"/>
              <w:spacing w:before="108"/>
              <w:ind w:left="85"/>
              <w:jc w:val="both"/>
            </w:pPr>
            <w:r>
              <w:t>Je nach Art des Gläubigers muss jede Zeile der entsprechenden Gegenpartei-Kategorie des Meldebogens Ζ02.00 zugeordnet werden.</w:t>
            </w:r>
            <w:r w:rsidR="00F75217">
              <w:t xml:space="preserve"> </w:t>
            </w:r>
            <w:r>
              <w:t>Die Kategorie ist aus einer vorgegebenen Auswahlliste auszuwählen.</w:t>
            </w:r>
          </w:p>
        </w:tc>
      </w:tr>
      <w:tr w:rsidR="00696584" w14:paraId="7FE1CF9B" w14:textId="77777777">
        <w:tc>
          <w:tcPr>
            <w:tcW w:w="1415" w:type="dxa"/>
            <w:tcBorders>
              <w:top w:val="single" w:sz="8" w:space="0" w:color="1A171C"/>
              <w:left w:val="nil"/>
              <w:bottom w:val="single" w:sz="8" w:space="0" w:color="1A171C"/>
              <w:right w:val="single" w:sz="8" w:space="0" w:color="1A171C"/>
            </w:tcBorders>
            <w:vAlign w:val="center"/>
          </w:tcPr>
          <w:p w14:paraId="7FE1CF98" w14:textId="77777777" w:rsidR="00696584" w:rsidRDefault="002C4F63">
            <w:pPr>
              <w:pStyle w:val="P68B1DB1-Normal31"/>
            </w:pPr>
            <w:r>
              <w:t>0040</w:t>
            </w:r>
          </w:p>
        </w:tc>
        <w:tc>
          <w:tcPr>
            <w:tcW w:w="7611" w:type="dxa"/>
            <w:gridSpan w:val="2"/>
            <w:tcBorders>
              <w:top w:val="single" w:sz="8" w:space="0" w:color="1A171C"/>
              <w:left w:val="single" w:sz="8" w:space="0" w:color="1A171C"/>
              <w:bottom w:val="single" w:sz="8" w:space="0" w:color="1A171C"/>
              <w:right w:val="nil"/>
            </w:tcBorders>
            <w:vAlign w:val="bottom"/>
          </w:tcPr>
          <w:p w14:paraId="7FE1CF99" w14:textId="647B5A2D" w:rsidR="00696584" w:rsidRDefault="002C4F63">
            <w:pPr>
              <w:pStyle w:val="P68B1DB1-TableParagraph40"/>
              <w:spacing w:before="108"/>
              <w:ind w:left="85"/>
              <w:jc w:val="both"/>
              <w:rPr>
                <w:b/>
                <w:bCs/>
              </w:rPr>
            </w:pPr>
            <w:r>
              <w:rPr>
                <w:b/>
              </w:rPr>
              <w:t>Insolvenzrang</w:t>
            </w:r>
          </w:p>
          <w:p w14:paraId="7FE1CF9A" w14:textId="33768518" w:rsidR="00696584" w:rsidRDefault="002C4F63">
            <w:pPr>
              <w:pStyle w:val="P68B1DB1-TableParagraph40"/>
              <w:spacing w:before="108"/>
              <w:ind w:left="85"/>
              <w:jc w:val="both"/>
            </w:pPr>
            <w:r>
              <w:t xml:space="preserve">Der Rang in der Insolvenz muss einer der Ränge sein, die in der von der Abwicklungsbehörde der betreffenden Rechtsordnung veröffentlichten Insolvenzrangliste enthalten sind. </w:t>
            </w:r>
          </w:p>
        </w:tc>
      </w:tr>
      <w:tr w:rsidR="00696584" w14:paraId="7FE1CF9F" w14:textId="77777777">
        <w:tc>
          <w:tcPr>
            <w:tcW w:w="1415" w:type="dxa"/>
            <w:tcBorders>
              <w:top w:val="single" w:sz="8" w:space="0" w:color="1A171C"/>
              <w:left w:val="nil"/>
              <w:bottom w:val="single" w:sz="8" w:space="0" w:color="1A171C"/>
              <w:right w:val="single" w:sz="8" w:space="0" w:color="1A171C"/>
            </w:tcBorders>
            <w:vAlign w:val="center"/>
          </w:tcPr>
          <w:p w14:paraId="7FE1CF9C" w14:textId="77777777" w:rsidR="00696584" w:rsidRDefault="002C4F63">
            <w:pPr>
              <w:pStyle w:val="P68B1DB1-Normal31"/>
            </w:pPr>
            <w:r>
              <w:t>0050</w:t>
            </w:r>
          </w:p>
        </w:tc>
        <w:tc>
          <w:tcPr>
            <w:tcW w:w="7611" w:type="dxa"/>
            <w:gridSpan w:val="2"/>
            <w:tcBorders>
              <w:top w:val="single" w:sz="8" w:space="0" w:color="1A171C"/>
              <w:left w:val="single" w:sz="8" w:space="0" w:color="1A171C"/>
              <w:bottom w:val="single" w:sz="8" w:space="0" w:color="1A171C"/>
              <w:right w:val="nil"/>
            </w:tcBorders>
            <w:vAlign w:val="bottom"/>
          </w:tcPr>
          <w:p w14:paraId="7FE1CF9D" w14:textId="77777777" w:rsidR="00696584" w:rsidRDefault="002C4F63">
            <w:pPr>
              <w:pStyle w:val="P68B1DB1-TableParagraph73"/>
              <w:spacing w:before="108"/>
              <w:ind w:left="85"/>
              <w:jc w:val="both"/>
              <w:rPr>
                <w:bCs/>
              </w:rPr>
            </w:pPr>
            <w:r>
              <w:t>ISIN</w:t>
            </w:r>
          </w:p>
          <w:p w14:paraId="7FE1CF9E" w14:textId="02C8C7D3" w:rsidR="00696584" w:rsidRDefault="002C4F63">
            <w:pPr>
              <w:pStyle w:val="P68B1DB1-TableParagraph40"/>
              <w:spacing w:before="108"/>
              <w:ind w:left="85"/>
              <w:jc w:val="both"/>
            </w:pPr>
            <w:r>
              <w:t>Die ISIN oder, falls die ISIN nicht verfügbar ist, eine andere Vertragskennung des Instruments ist anzugeben.</w:t>
            </w:r>
          </w:p>
        </w:tc>
      </w:tr>
      <w:tr w:rsidR="00696584" w14:paraId="7FE1CFAC" w14:textId="77777777">
        <w:tc>
          <w:tcPr>
            <w:tcW w:w="1415" w:type="dxa"/>
            <w:tcBorders>
              <w:top w:val="single" w:sz="8" w:space="0" w:color="1A171C"/>
              <w:left w:val="nil"/>
              <w:bottom w:val="single" w:sz="8" w:space="0" w:color="1A171C"/>
              <w:right w:val="single" w:sz="8" w:space="0" w:color="1A171C"/>
            </w:tcBorders>
            <w:vAlign w:val="center"/>
          </w:tcPr>
          <w:p w14:paraId="7FE1CFA0" w14:textId="77777777" w:rsidR="00696584" w:rsidRDefault="002C4F63">
            <w:pPr>
              <w:pStyle w:val="P68B1DB1-Normal31"/>
            </w:pPr>
            <w:r>
              <w:t>0060</w:t>
            </w:r>
          </w:p>
        </w:tc>
        <w:tc>
          <w:tcPr>
            <w:tcW w:w="7611" w:type="dxa"/>
            <w:gridSpan w:val="2"/>
            <w:tcBorders>
              <w:top w:val="single" w:sz="8" w:space="0" w:color="1A171C"/>
              <w:left w:val="single" w:sz="8" w:space="0" w:color="1A171C"/>
              <w:bottom w:val="single" w:sz="8" w:space="0" w:color="1A171C"/>
              <w:right w:val="nil"/>
            </w:tcBorders>
            <w:vAlign w:val="bottom"/>
          </w:tcPr>
          <w:p w14:paraId="7FE1CFA1" w14:textId="6BA6A7B1" w:rsidR="00696584" w:rsidRDefault="002C4F63">
            <w:pPr>
              <w:pStyle w:val="P68B1DB1-TableParagraph73"/>
              <w:spacing w:before="108"/>
              <w:ind w:left="85"/>
              <w:jc w:val="both"/>
              <w:rPr>
                <w:bCs/>
              </w:rPr>
            </w:pPr>
            <w:r>
              <w:t xml:space="preserve">Art des Instruments  </w:t>
            </w:r>
          </w:p>
          <w:p w14:paraId="7FE1CFA2" w14:textId="77777777" w:rsidR="00696584" w:rsidRDefault="002C4F63">
            <w:pPr>
              <w:pStyle w:val="P68B1DB1-TableParagraph40"/>
              <w:spacing w:before="108"/>
              <w:ind w:left="85"/>
              <w:jc w:val="both"/>
            </w:pPr>
            <w:r>
              <w:t xml:space="preserve">Angabe der Art des Instruments, entweder </w:t>
            </w:r>
          </w:p>
          <w:p w14:paraId="7FE1CFA3" w14:textId="77777777" w:rsidR="00696584" w:rsidRDefault="002C4F63">
            <w:pPr>
              <w:pStyle w:val="P68B1DB1-TableParagraph40"/>
              <w:spacing w:before="108"/>
              <w:ind w:left="85"/>
              <w:jc w:val="both"/>
            </w:pPr>
            <w:r>
              <w:t>— Eingetragene Anleihe</w:t>
            </w:r>
          </w:p>
          <w:p w14:paraId="7FE1CFA4" w14:textId="77777777" w:rsidR="00696584" w:rsidRDefault="002C4F63">
            <w:pPr>
              <w:pStyle w:val="P68B1DB1-TableParagraph40"/>
              <w:spacing w:before="108"/>
              <w:ind w:left="85"/>
              <w:jc w:val="both"/>
            </w:pPr>
            <w:r>
              <w:t>— Inhaberanleihe</w:t>
            </w:r>
          </w:p>
          <w:p w14:paraId="7FE1CFA5" w14:textId="77777777" w:rsidR="00696584" w:rsidRDefault="002C4F63">
            <w:pPr>
              <w:pStyle w:val="P68B1DB1-TableParagraph40"/>
              <w:spacing w:before="108"/>
              <w:ind w:left="85"/>
              <w:jc w:val="both"/>
            </w:pPr>
            <w:r>
              <w:t>— Anleihedarlehen des Kreditnehmers</w:t>
            </w:r>
          </w:p>
          <w:p w14:paraId="7FE1CFA7" w14:textId="3E3D590C" w:rsidR="00696584" w:rsidRDefault="002C4F63">
            <w:pPr>
              <w:pStyle w:val="P68B1DB1-TableParagraph40"/>
              <w:spacing w:before="108"/>
              <w:ind w:left="85"/>
              <w:jc w:val="both"/>
            </w:pPr>
            <w:r>
              <w:t>— Einlagenzertifikat/Handelspapier</w:t>
            </w:r>
          </w:p>
          <w:p w14:paraId="7FE1CFA8" w14:textId="77777777" w:rsidR="00696584" w:rsidRDefault="002C4F63">
            <w:pPr>
              <w:pStyle w:val="P68B1DB1-TableParagraph40"/>
              <w:spacing w:before="108"/>
              <w:ind w:left="85"/>
              <w:jc w:val="both"/>
            </w:pPr>
            <w:r>
              <w:t>— Eigentumstitel</w:t>
            </w:r>
          </w:p>
          <w:p w14:paraId="7FE1CFA9" w14:textId="77777777" w:rsidR="00696584" w:rsidRDefault="002C4F63">
            <w:pPr>
              <w:pStyle w:val="P68B1DB1-TableParagraph40"/>
              <w:spacing w:before="108"/>
              <w:ind w:left="85"/>
              <w:jc w:val="both"/>
            </w:pPr>
            <w:r>
              <w:t>Andere</w:t>
            </w:r>
          </w:p>
          <w:p w14:paraId="7FE1CFAA" w14:textId="2BCDE67E" w:rsidR="00696584" w:rsidRDefault="002C4F63">
            <w:pPr>
              <w:pStyle w:val="P68B1DB1-TableParagraph40"/>
              <w:spacing w:before="108"/>
              <w:ind w:left="85"/>
              <w:jc w:val="both"/>
            </w:pPr>
            <w:r>
              <w:t xml:space="preserve"> </w:t>
            </w:r>
          </w:p>
          <w:p w14:paraId="7FE1CFAB" w14:textId="77777777" w:rsidR="00696584" w:rsidRDefault="002C4F63">
            <w:pPr>
              <w:pStyle w:val="P68B1DB1-TableParagraph40"/>
              <w:spacing w:before="108"/>
              <w:ind w:left="85"/>
              <w:jc w:val="both"/>
            </w:pPr>
            <w:r>
              <w:t>aus einer vorgegebenen Liste.</w:t>
            </w:r>
          </w:p>
        </w:tc>
      </w:tr>
      <w:tr w:rsidR="00696584" w14:paraId="7FE1CFB0" w14:textId="77777777">
        <w:tc>
          <w:tcPr>
            <w:tcW w:w="1415" w:type="dxa"/>
            <w:tcBorders>
              <w:top w:val="single" w:sz="8" w:space="0" w:color="1A171C"/>
              <w:left w:val="nil"/>
              <w:bottom w:val="single" w:sz="8" w:space="0" w:color="1A171C"/>
              <w:right w:val="single" w:sz="8" w:space="0" w:color="1A171C"/>
            </w:tcBorders>
            <w:vAlign w:val="center"/>
          </w:tcPr>
          <w:p w14:paraId="7FE1CFAD" w14:textId="77777777" w:rsidR="00696584" w:rsidRDefault="002C4F63">
            <w:pPr>
              <w:pStyle w:val="P68B1DB1-Normal31"/>
            </w:pPr>
            <w:r>
              <w:t>0070</w:t>
            </w:r>
          </w:p>
        </w:tc>
        <w:tc>
          <w:tcPr>
            <w:tcW w:w="7611" w:type="dxa"/>
            <w:gridSpan w:val="2"/>
            <w:tcBorders>
              <w:top w:val="single" w:sz="8" w:space="0" w:color="1A171C"/>
              <w:left w:val="single" w:sz="8" w:space="0" w:color="1A171C"/>
              <w:bottom w:val="single" w:sz="8" w:space="0" w:color="1A171C"/>
              <w:right w:val="nil"/>
            </w:tcBorders>
            <w:vAlign w:val="bottom"/>
          </w:tcPr>
          <w:p w14:paraId="7FE1CFAE" w14:textId="6B3F6B3A" w:rsidR="00696584" w:rsidRDefault="002C4F63">
            <w:pPr>
              <w:pStyle w:val="P68B1DB1-TableParagraph73"/>
              <w:spacing w:before="108"/>
              <w:ind w:left="85"/>
              <w:jc w:val="both"/>
              <w:rPr>
                <w:bCs/>
              </w:rPr>
            </w:pPr>
            <w:r>
              <w:t xml:space="preserve">Anwendbares Recht  </w:t>
            </w:r>
          </w:p>
          <w:p w14:paraId="7FE1CFAF" w14:textId="2BE77EA5" w:rsidR="00696584" w:rsidRDefault="002C4F63">
            <w:pPr>
              <w:pStyle w:val="P68B1DB1-TableParagraph40"/>
              <w:spacing w:before="108"/>
              <w:ind w:left="85"/>
              <w:jc w:val="both"/>
            </w:pPr>
            <w:r>
              <w:t xml:space="preserve">Der ISO-Alpha-2-Code nach ISO 3166-1 des Landes, dessen Recht für das Instrument maßgebend ist (verwenden Sie den ISO-Code 3166-2, wenn das Recht einer Verwaltungsunterteilung relevant ist, z. B. „US-NY“). Ist für den Vertrag das Recht von mehr als einem Land anwendbar, ist das Land anzugeben, dessen Recht die höchste Relevanz für die Anerkennung von Abschreibungs- und Umwandlungsbefugnissen hat.  </w:t>
            </w:r>
          </w:p>
        </w:tc>
      </w:tr>
      <w:tr w:rsidR="00696584" w14:paraId="7FE1CFB9" w14:textId="77777777">
        <w:tc>
          <w:tcPr>
            <w:tcW w:w="1415" w:type="dxa"/>
            <w:tcBorders>
              <w:top w:val="single" w:sz="8" w:space="0" w:color="1A171C"/>
              <w:left w:val="nil"/>
              <w:bottom w:val="single" w:sz="8" w:space="0" w:color="1A171C"/>
              <w:right w:val="single" w:sz="8" w:space="0" w:color="1A171C"/>
            </w:tcBorders>
            <w:vAlign w:val="center"/>
          </w:tcPr>
          <w:p w14:paraId="7FE1CFB1" w14:textId="77777777" w:rsidR="00696584" w:rsidRDefault="002C4F63">
            <w:pPr>
              <w:pStyle w:val="P68B1DB1-Normal31"/>
            </w:pPr>
            <w:r>
              <w:lastRenderedPageBreak/>
              <w:t>0080</w:t>
            </w:r>
          </w:p>
        </w:tc>
        <w:tc>
          <w:tcPr>
            <w:tcW w:w="7611" w:type="dxa"/>
            <w:gridSpan w:val="2"/>
            <w:tcBorders>
              <w:top w:val="single" w:sz="8" w:space="0" w:color="1A171C"/>
              <w:left w:val="single" w:sz="8" w:space="0" w:color="1A171C"/>
              <w:bottom w:val="single" w:sz="8" w:space="0" w:color="1A171C"/>
              <w:right w:val="nil"/>
            </w:tcBorders>
            <w:vAlign w:val="bottom"/>
          </w:tcPr>
          <w:p w14:paraId="7FE1CFB2" w14:textId="5EBC9195" w:rsidR="00696584" w:rsidRDefault="002C4F63">
            <w:pPr>
              <w:pStyle w:val="P68B1DB1-TableParagraph73"/>
              <w:spacing w:before="108"/>
              <w:ind w:left="85"/>
              <w:jc w:val="both"/>
              <w:rPr>
                <w:bCs/>
              </w:rPr>
            </w:pPr>
            <w:r>
              <w:t xml:space="preserve">Falls Drittlandrecht, vertragliche Anerkennung </w:t>
            </w:r>
          </w:p>
          <w:p w14:paraId="7FE1CFB3" w14:textId="0329FBCA" w:rsidR="00696584" w:rsidRDefault="002C4F63">
            <w:pPr>
              <w:pStyle w:val="P68B1DB1-TableParagraph40"/>
              <w:spacing w:before="108"/>
              <w:ind w:left="85"/>
              <w:jc w:val="both"/>
            </w:pPr>
            <w:r>
              <w:t>Festlegung vertraglicher Bestimmungen für die Anerkennung von Bail-in-Befugnissen gemäß Artikel 55 BRRD, entweder</w:t>
            </w:r>
          </w:p>
          <w:p w14:paraId="7FE1CFB4" w14:textId="7CAD351E" w:rsidR="00696584" w:rsidRDefault="002C4F63">
            <w:pPr>
              <w:pStyle w:val="P68B1DB1-TableParagraph40"/>
              <w:spacing w:before="108"/>
              <w:ind w:left="85"/>
              <w:jc w:val="both"/>
            </w:pPr>
            <w:r>
              <w:t>„Ja, unterstützt durch ein Rechtsgutachten“ = die Verbindlichkeit enthält eine Bail-in-Anerkennungsklausel im Einklang mit Artikel 55 BRRD, die durch ein Rechtsgutachten gestützt wird;</w:t>
            </w:r>
          </w:p>
          <w:p w14:paraId="7FE1CFB5" w14:textId="77777777" w:rsidR="00696584" w:rsidRDefault="002C4F63">
            <w:pPr>
              <w:pStyle w:val="P68B1DB1-TableParagraph40"/>
              <w:spacing w:before="108"/>
              <w:ind w:left="85"/>
              <w:jc w:val="both"/>
            </w:pPr>
            <w:r>
              <w:t>„Ja, nicht durch ein Rechtsgutachten unterstützt“ = die Verbindlichkeit enthält eine Bail-in-Anerkennungsklausel im Einklang mit Artikel 55 BRRD, die derzeit nicht durch ein Rechtsgutachten gestützt wird;</w:t>
            </w:r>
          </w:p>
          <w:p w14:paraId="7FE1CFB6" w14:textId="77777777" w:rsidR="00696584" w:rsidRDefault="002C4F63">
            <w:pPr>
              <w:pStyle w:val="P68B1DB1-TableParagraph40"/>
              <w:spacing w:before="108"/>
              <w:ind w:left="85"/>
              <w:jc w:val="both"/>
            </w:pPr>
            <w:r>
              <w:t>„Nein“ = die Verbindlichkeit enthält keine Bail-in-Anerkennungsklausel;</w:t>
            </w:r>
          </w:p>
          <w:p w14:paraId="7FE1CFB7" w14:textId="58099242" w:rsidR="00696584" w:rsidRDefault="002C4F63">
            <w:pPr>
              <w:pStyle w:val="P68B1DB1-TableParagraph40"/>
              <w:spacing w:before="108"/>
              <w:ind w:left="85"/>
              <w:jc w:val="both"/>
            </w:pPr>
            <w:r>
              <w:t xml:space="preserve">„Entfällt“,  </w:t>
            </w:r>
          </w:p>
          <w:p w14:paraId="7FE1CFB8" w14:textId="77777777" w:rsidR="00696584" w:rsidRDefault="002C4F63">
            <w:pPr>
              <w:pStyle w:val="P68B1DB1-TableParagraph40"/>
              <w:spacing w:before="108"/>
              <w:ind w:left="85"/>
              <w:jc w:val="both"/>
            </w:pPr>
            <w:r>
              <w:t>aus einer vorgegebenen Liste.</w:t>
            </w:r>
          </w:p>
        </w:tc>
      </w:tr>
      <w:tr w:rsidR="00696584" w14:paraId="7FE1CFBD" w14:textId="77777777">
        <w:tc>
          <w:tcPr>
            <w:tcW w:w="1415" w:type="dxa"/>
            <w:tcBorders>
              <w:top w:val="single" w:sz="8" w:space="0" w:color="1A171C"/>
              <w:left w:val="nil"/>
              <w:bottom w:val="single" w:sz="8" w:space="0" w:color="1A171C"/>
              <w:right w:val="single" w:sz="8" w:space="0" w:color="1A171C"/>
            </w:tcBorders>
            <w:vAlign w:val="center"/>
          </w:tcPr>
          <w:p w14:paraId="7FE1CFBA" w14:textId="77777777" w:rsidR="00696584" w:rsidRDefault="002C4F63">
            <w:pPr>
              <w:pStyle w:val="P68B1DB1-Normal31"/>
            </w:pPr>
            <w:r>
              <w:t>0090</w:t>
            </w:r>
          </w:p>
        </w:tc>
        <w:tc>
          <w:tcPr>
            <w:tcW w:w="7611" w:type="dxa"/>
            <w:gridSpan w:val="2"/>
            <w:tcBorders>
              <w:top w:val="single" w:sz="8" w:space="0" w:color="1A171C"/>
              <w:left w:val="single" w:sz="8" w:space="0" w:color="1A171C"/>
              <w:bottom w:val="single" w:sz="8" w:space="0" w:color="1A171C"/>
              <w:right w:val="nil"/>
            </w:tcBorders>
            <w:vAlign w:val="bottom"/>
          </w:tcPr>
          <w:p w14:paraId="7FE1CFBB" w14:textId="023CCF16" w:rsidR="00696584" w:rsidRDefault="002C4F63">
            <w:pPr>
              <w:pStyle w:val="P68B1DB1-TableParagraph73"/>
              <w:spacing w:before="108"/>
              <w:ind w:left="85"/>
              <w:jc w:val="both"/>
              <w:rPr>
                <w:bCs/>
              </w:rPr>
            </w:pPr>
            <w:r>
              <w:t xml:space="preserve">Währung </w:t>
            </w:r>
          </w:p>
          <w:p w14:paraId="7FE1CFBC" w14:textId="71E1420D" w:rsidR="00696584" w:rsidRDefault="002C4F63">
            <w:pPr>
              <w:pStyle w:val="P68B1DB1-TableParagraph40"/>
              <w:spacing w:before="108"/>
              <w:ind w:left="85"/>
              <w:jc w:val="both"/>
            </w:pPr>
            <w:r>
              <w:t>Währung der Verbindlichkeit gemäß ihrem 3-Buchstaben-Code nach ISO 4217.</w:t>
            </w:r>
          </w:p>
        </w:tc>
      </w:tr>
      <w:tr w:rsidR="00696584" w14:paraId="7FE1CFC8" w14:textId="77777777">
        <w:trPr>
          <w:trHeight w:val="2041"/>
        </w:trPr>
        <w:tc>
          <w:tcPr>
            <w:tcW w:w="1415" w:type="dxa"/>
            <w:tcBorders>
              <w:top w:val="single" w:sz="8" w:space="0" w:color="1A171C"/>
              <w:left w:val="nil"/>
              <w:bottom w:val="single" w:sz="8" w:space="0" w:color="1A171C"/>
              <w:right w:val="single" w:sz="8" w:space="0" w:color="1A171C"/>
            </w:tcBorders>
            <w:vAlign w:val="center"/>
          </w:tcPr>
          <w:p w14:paraId="7FE1CFC2" w14:textId="77777777" w:rsidR="00696584" w:rsidRDefault="002C4F63">
            <w:pPr>
              <w:pStyle w:val="P68B1DB1-Normal31"/>
            </w:pPr>
            <w:r>
              <w:t>0110</w:t>
            </w:r>
          </w:p>
          <w:p w14:paraId="7FE1CFC3" w14:textId="77777777" w:rsidR="00696584" w:rsidRDefault="002C4F63">
            <w:pPr>
              <w:pStyle w:val="P68B1DB1-Normal31"/>
            </w:pPr>
            <w:r>
              <w:t xml:space="preserve"> </w:t>
            </w:r>
          </w:p>
        </w:tc>
        <w:tc>
          <w:tcPr>
            <w:tcW w:w="7611" w:type="dxa"/>
            <w:gridSpan w:val="2"/>
            <w:tcBorders>
              <w:top w:val="single" w:sz="8" w:space="0" w:color="1A171C"/>
              <w:left w:val="single" w:sz="8" w:space="0" w:color="1A171C"/>
              <w:right w:val="nil"/>
            </w:tcBorders>
            <w:vAlign w:val="bottom"/>
          </w:tcPr>
          <w:p w14:paraId="7FE1CFC4" w14:textId="77777777" w:rsidR="00696584" w:rsidRDefault="002C4F63">
            <w:pPr>
              <w:pStyle w:val="P68B1DB1-TableParagraph73"/>
              <w:spacing w:before="108"/>
              <w:ind w:left="85"/>
              <w:jc w:val="both"/>
              <w:rPr>
                <w:bCs/>
              </w:rPr>
            </w:pPr>
            <w:r>
              <w:t xml:space="preserve">Ausstehender Kapitalbetrag  </w:t>
            </w:r>
          </w:p>
          <w:p w14:paraId="7FE1CFC5" w14:textId="3E328E9E" w:rsidR="00696584" w:rsidRDefault="002C4F63">
            <w:pPr>
              <w:pStyle w:val="P68B1DB1-TableParagraph40"/>
              <w:spacing w:before="108"/>
              <w:ind w:left="85"/>
              <w:jc w:val="both"/>
            </w:pPr>
            <w:r>
              <w:t xml:space="preserve">Der ausstehende Nominalwert des von der in Zeile c0210 genannten Gegenpartei gehaltenen Instruments. Ist die Gegenpartei nicht verfügbar, weil die Gläubiger nicht ermittelt werden können, werden die ausstehenden Kapitalbeträge unter Nichtberücksichtigung der Gegenpartei zusammengefasst. Bei Aktien hat dieser Betrag gemäß den Erläuterungen zu dem Feld Z02.00-r0511 auch die Rücklagen zu enthalten. </w:t>
            </w:r>
          </w:p>
          <w:p w14:paraId="7FE1CFC7" w14:textId="1EFD62D1" w:rsidR="00696584" w:rsidRDefault="00696584">
            <w:pPr>
              <w:pStyle w:val="TableParagraph"/>
              <w:spacing w:before="108"/>
              <w:ind w:left="85"/>
              <w:jc w:val="both"/>
              <w:rPr>
                <w:rFonts w:ascii="Times New Roman" w:eastAsia="Times New Roman" w:hAnsi="Times New Roman" w:cs="Times New Roman"/>
                <w:sz w:val="20"/>
                <w:szCs w:val="20"/>
              </w:rPr>
            </w:pPr>
          </w:p>
        </w:tc>
      </w:tr>
      <w:tr w:rsidR="00696584" w14:paraId="7FE1CFCC" w14:textId="77777777">
        <w:tc>
          <w:tcPr>
            <w:tcW w:w="1415" w:type="dxa"/>
            <w:tcBorders>
              <w:top w:val="single" w:sz="8" w:space="0" w:color="1A171C"/>
              <w:left w:val="nil"/>
              <w:bottom w:val="single" w:sz="8" w:space="0" w:color="1A171C"/>
              <w:right w:val="single" w:sz="8" w:space="0" w:color="1A171C"/>
            </w:tcBorders>
            <w:vAlign w:val="center"/>
          </w:tcPr>
          <w:p w14:paraId="7FE1CFC9" w14:textId="77777777" w:rsidR="00696584" w:rsidRDefault="002C4F63">
            <w:pPr>
              <w:pStyle w:val="P68B1DB1-Normal31"/>
            </w:pPr>
            <w:r>
              <w:t>0120</w:t>
            </w:r>
          </w:p>
        </w:tc>
        <w:tc>
          <w:tcPr>
            <w:tcW w:w="7611" w:type="dxa"/>
            <w:gridSpan w:val="2"/>
            <w:tcBorders>
              <w:top w:val="single" w:sz="8" w:space="0" w:color="1A171C"/>
              <w:left w:val="single" w:sz="8" w:space="0" w:color="1A171C"/>
              <w:bottom w:val="single" w:sz="8" w:space="0" w:color="1A171C"/>
              <w:right w:val="nil"/>
            </w:tcBorders>
            <w:vAlign w:val="bottom"/>
          </w:tcPr>
          <w:p w14:paraId="7FE1CFCA" w14:textId="099C67A4" w:rsidR="00696584" w:rsidRDefault="002C4F63">
            <w:pPr>
              <w:pStyle w:val="P68B1DB1-TableParagraph73"/>
              <w:spacing w:before="108"/>
              <w:ind w:left="85"/>
              <w:jc w:val="both"/>
              <w:rPr>
                <w:bCs/>
              </w:rPr>
            </w:pPr>
            <w:r>
              <w:t xml:space="preserve">Aufgelaufene Zinsen </w:t>
            </w:r>
          </w:p>
          <w:p w14:paraId="7FE1CFCB" w14:textId="5040BFD7" w:rsidR="00696584" w:rsidRDefault="002C4F63">
            <w:pPr>
              <w:pStyle w:val="P68B1DB1-TableParagraph40"/>
              <w:spacing w:before="108"/>
              <w:ind w:left="85"/>
              <w:jc w:val="both"/>
            </w:pPr>
            <w:r>
              <w:t>Die ausstehenden aufgelaufenen Zinsen auf das Instrument.</w:t>
            </w:r>
          </w:p>
        </w:tc>
      </w:tr>
      <w:tr w:rsidR="00696584" w14:paraId="7FE1CFD0" w14:textId="77777777">
        <w:tc>
          <w:tcPr>
            <w:tcW w:w="1415" w:type="dxa"/>
            <w:tcBorders>
              <w:top w:val="single" w:sz="8" w:space="0" w:color="1A171C"/>
              <w:left w:val="nil"/>
              <w:bottom w:val="single" w:sz="8" w:space="0" w:color="1A171C"/>
              <w:right w:val="single" w:sz="8" w:space="0" w:color="1A171C"/>
            </w:tcBorders>
            <w:vAlign w:val="center"/>
          </w:tcPr>
          <w:p w14:paraId="7FE1CFCD" w14:textId="77777777" w:rsidR="00696584" w:rsidRDefault="002C4F63">
            <w:pPr>
              <w:pStyle w:val="P68B1DB1-Normal31"/>
            </w:pPr>
            <w:r>
              <w:t>0130</w:t>
            </w:r>
          </w:p>
        </w:tc>
        <w:tc>
          <w:tcPr>
            <w:tcW w:w="7611" w:type="dxa"/>
            <w:gridSpan w:val="2"/>
            <w:tcBorders>
              <w:top w:val="single" w:sz="8" w:space="0" w:color="1A171C"/>
              <w:left w:val="single" w:sz="8" w:space="0" w:color="1A171C"/>
              <w:bottom w:val="single" w:sz="8" w:space="0" w:color="1A171C"/>
              <w:right w:val="nil"/>
            </w:tcBorders>
            <w:vAlign w:val="bottom"/>
          </w:tcPr>
          <w:p w14:paraId="7FE1CFCE" w14:textId="7D22CBBF" w:rsidR="00696584" w:rsidRDefault="002C4F63">
            <w:pPr>
              <w:pStyle w:val="P68B1DB1-TableParagraph73"/>
              <w:spacing w:before="108"/>
              <w:ind w:left="85"/>
              <w:jc w:val="both"/>
              <w:rPr>
                <w:bCs/>
              </w:rPr>
            </w:pPr>
            <w:r>
              <w:t xml:space="preserve">Art der Verzinsung </w:t>
            </w:r>
          </w:p>
          <w:p w14:paraId="7FE1CFCF" w14:textId="6E2C57F0" w:rsidR="00696584" w:rsidRDefault="002C4F63">
            <w:pPr>
              <w:pStyle w:val="P68B1DB1-TableParagraph40"/>
              <w:spacing w:before="108"/>
              <w:ind w:left="85"/>
              <w:jc w:val="both"/>
            </w:pPr>
            <w:r>
              <w:t>Kennzeichnung der aktuellen Kuponzahlung.</w:t>
            </w:r>
            <w:r w:rsidR="00F75217">
              <w:t xml:space="preserve"> </w:t>
            </w:r>
            <w:r>
              <w:t>Aus der vorgegebenen Liste kann Folgendes ausgewählt werden: „Festkupon“, „Variabler Kupon“, „Strukturierter Kupon“ oder „Nullkupon“.</w:t>
            </w:r>
          </w:p>
        </w:tc>
      </w:tr>
      <w:tr w:rsidR="00696584" w14:paraId="7FE1CFD4" w14:textId="77777777">
        <w:tc>
          <w:tcPr>
            <w:tcW w:w="1415" w:type="dxa"/>
            <w:tcBorders>
              <w:top w:val="single" w:sz="8" w:space="0" w:color="1A171C"/>
              <w:left w:val="nil"/>
              <w:bottom w:val="single" w:sz="8" w:space="0" w:color="1A171C"/>
              <w:right w:val="single" w:sz="8" w:space="0" w:color="1A171C"/>
            </w:tcBorders>
            <w:vAlign w:val="center"/>
          </w:tcPr>
          <w:p w14:paraId="7FE1CFD1" w14:textId="77777777" w:rsidR="00696584" w:rsidRDefault="002C4F63">
            <w:pPr>
              <w:pStyle w:val="P68B1DB1-Normal31"/>
            </w:pPr>
            <w:r>
              <w:t>0140</w:t>
            </w:r>
          </w:p>
        </w:tc>
        <w:tc>
          <w:tcPr>
            <w:tcW w:w="7611" w:type="dxa"/>
            <w:gridSpan w:val="2"/>
            <w:tcBorders>
              <w:top w:val="single" w:sz="8" w:space="0" w:color="1A171C"/>
              <w:left w:val="single" w:sz="8" w:space="0" w:color="1A171C"/>
              <w:bottom w:val="single" w:sz="8" w:space="0" w:color="1A171C"/>
              <w:right w:val="nil"/>
            </w:tcBorders>
            <w:vAlign w:val="bottom"/>
          </w:tcPr>
          <w:p w14:paraId="7FE1CFD2" w14:textId="49072AC0" w:rsidR="00696584" w:rsidRDefault="002C4F63">
            <w:pPr>
              <w:pStyle w:val="P68B1DB1-TableParagraph73"/>
              <w:spacing w:before="108"/>
              <w:ind w:left="85"/>
              <w:jc w:val="both"/>
              <w:rPr>
                <w:bCs/>
              </w:rPr>
            </w:pPr>
            <w:r>
              <w:t>Aktueller Kuponsatz (%)</w:t>
            </w:r>
          </w:p>
          <w:p w14:paraId="7FE1CFD3" w14:textId="32FFE809" w:rsidR="00696584" w:rsidRDefault="002C4F63">
            <w:pPr>
              <w:pStyle w:val="P68B1DB1-TableParagraph40"/>
              <w:spacing w:before="108"/>
              <w:ind w:left="85"/>
              <w:jc w:val="both"/>
            </w:pPr>
            <w:r>
              <w:t xml:space="preserve">Der für das Instrument zum Meldezeitpunkt geltende Zinssatz. </w:t>
            </w:r>
          </w:p>
        </w:tc>
      </w:tr>
      <w:tr w:rsidR="00696584" w14:paraId="7FE1CFD8" w14:textId="77777777">
        <w:tc>
          <w:tcPr>
            <w:tcW w:w="1415" w:type="dxa"/>
            <w:tcBorders>
              <w:top w:val="single" w:sz="8" w:space="0" w:color="1A171C"/>
              <w:left w:val="nil"/>
              <w:bottom w:val="single" w:sz="8" w:space="0" w:color="1A171C"/>
              <w:right w:val="single" w:sz="8" w:space="0" w:color="1A171C"/>
            </w:tcBorders>
            <w:vAlign w:val="center"/>
          </w:tcPr>
          <w:p w14:paraId="7FE1CFD5" w14:textId="77777777" w:rsidR="00696584" w:rsidRDefault="002C4F63">
            <w:pPr>
              <w:pStyle w:val="P68B1DB1-Normal31"/>
            </w:pPr>
            <w:r>
              <w:t>0150</w:t>
            </w:r>
          </w:p>
        </w:tc>
        <w:tc>
          <w:tcPr>
            <w:tcW w:w="7611" w:type="dxa"/>
            <w:gridSpan w:val="2"/>
            <w:tcBorders>
              <w:top w:val="single" w:sz="8" w:space="0" w:color="1A171C"/>
              <w:left w:val="single" w:sz="8" w:space="0" w:color="1A171C"/>
              <w:bottom w:val="single" w:sz="8" w:space="0" w:color="1A171C"/>
              <w:right w:val="nil"/>
            </w:tcBorders>
            <w:vAlign w:val="bottom"/>
          </w:tcPr>
          <w:p w14:paraId="7FE1CFD6" w14:textId="5C828CFC" w:rsidR="00696584" w:rsidRDefault="002C4F63">
            <w:pPr>
              <w:pStyle w:val="P68B1DB1-TableParagraph73"/>
              <w:spacing w:before="108"/>
              <w:ind w:left="85"/>
              <w:jc w:val="both"/>
              <w:rPr>
                <w:bCs/>
              </w:rPr>
            </w:pPr>
            <w:r>
              <w:t xml:space="preserve">Ausstellungsdatum </w:t>
            </w:r>
          </w:p>
          <w:p w14:paraId="7FE1CFD7" w14:textId="77777777" w:rsidR="00696584" w:rsidRDefault="002C4F63">
            <w:pPr>
              <w:pStyle w:val="P68B1DB1-TableParagraph40"/>
              <w:spacing w:before="108"/>
              <w:ind w:left="85"/>
              <w:jc w:val="both"/>
            </w:pPr>
            <w:r>
              <w:t>Datum der ursprünglichen Emission des Instruments.</w:t>
            </w:r>
          </w:p>
        </w:tc>
      </w:tr>
      <w:tr w:rsidR="00696584" w14:paraId="7FE1CFDC" w14:textId="77777777">
        <w:tc>
          <w:tcPr>
            <w:tcW w:w="1415" w:type="dxa"/>
            <w:tcBorders>
              <w:top w:val="single" w:sz="8" w:space="0" w:color="1A171C"/>
              <w:left w:val="nil"/>
              <w:bottom w:val="single" w:sz="8" w:space="0" w:color="1A171C"/>
              <w:right w:val="single" w:sz="8" w:space="0" w:color="1A171C"/>
            </w:tcBorders>
            <w:vAlign w:val="center"/>
          </w:tcPr>
          <w:p w14:paraId="7FE1CFD9" w14:textId="77777777" w:rsidR="00696584" w:rsidRDefault="002C4F63">
            <w:pPr>
              <w:pStyle w:val="P68B1DB1-Normal31"/>
            </w:pPr>
            <w:r>
              <w:t>0160</w:t>
            </w:r>
          </w:p>
        </w:tc>
        <w:tc>
          <w:tcPr>
            <w:tcW w:w="7611" w:type="dxa"/>
            <w:gridSpan w:val="2"/>
            <w:tcBorders>
              <w:top w:val="single" w:sz="8" w:space="0" w:color="1A171C"/>
              <w:left w:val="single" w:sz="8" w:space="0" w:color="1A171C"/>
              <w:bottom w:val="single" w:sz="8" w:space="0" w:color="1A171C"/>
              <w:right w:val="nil"/>
            </w:tcBorders>
            <w:vAlign w:val="bottom"/>
          </w:tcPr>
          <w:p w14:paraId="7FE1CFDA" w14:textId="6E864D46" w:rsidR="00696584" w:rsidRDefault="002C4F63">
            <w:pPr>
              <w:pStyle w:val="P68B1DB1-TableParagraph73"/>
              <w:spacing w:before="108"/>
              <w:ind w:left="85"/>
              <w:jc w:val="both"/>
              <w:rPr>
                <w:bCs/>
              </w:rPr>
            </w:pPr>
            <w:r>
              <w:t xml:space="preserve">Frühester Tilgungszeitpunkt  </w:t>
            </w:r>
          </w:p>
          <w:p w14:paraId="7FE1CFDB" w14:textId="2A33C765" w:rsidR="00696584" w:rsidRDefault="002C4F63">
            <w:pPr>
              <w:pStyle w:val="P68B1DB1-TableParagraph40"/>
              <w:spacing w:before="108"/>
              <w:ind w:left="85"/>
              <w:jc w:val="both"/>
            </w:pPr>
            <w:r>
              <w:t>Falls der Gläubiger des Instruments die Möglichkeit hat, eine vorzeitige Rückzahlung zu fordern, oder Bedingungen für vorzeitige Rückzahlungen im Vertrag vorgesehen sind, ist hier der frühestmögliche Zeitpunkt für eine vorzeitige Rückzahlung anzugeben. Sind solche Kündigungsmöglichkeiten nicht an ein Datum gekoppelt, sondern an den Eintritt eines zukünftigen Ereignisses, ist in der Meldung der frühestmögliche Zeitpunkt anzugeben, an dem das Ereignis eintreten kann. Falls sich die vorzeitige Rückzahlung nur auf einen Teil der Verbindlichkeit bezieht (beispielsweise vorzeitige Rückzahlung von 50 % des Nominalwerts), teilen Sie die Verbindlichkeit auf, um eine solche Klausel für eine vorzeitige Teilrückzahlung zu berücksichtigen.</w:t>
            </w:r>
          </w:p>
        </w:tc>
      </w:tr>
      <w:tr w:rsidR="00696584" w14:paraId="7FE1CFE0" w14:textId="77777777">
        <w:tc>
          <w:tcPr>
            <w:tcW w:w="1415" w:type="dxa"/>
            <w:tcBorders>
              <w:top w:val="single" w:sz="8" w:space="0" w:color="1A171C"/>
              <w:left w:val="nil"/>
              <w:bottom w:val="single" w:sz="8" w:space="0" w:color="1A171C"/>
              <w:right w:val="single" w:sz="8" w:space="0" w:color="1A171C"/>
            </w:tcBorders>
            <w:vAlign w:val="center"/>
          </w:tcPr>
          <w:p w14:paraId="7FE1CFDD" w14:textId="77777777" w:rsidR="00696584" w:rsidRDefault="002C4F63">
            <w:pPr>
              <w:pStyle w:val="P68B1DB1-Normal31"/>
            </w:pPr>
            <w:r>
              <w:t>0170</w:t>
            </w:r>
          </w:p>
        </w:tc>
        <w:tc>
          <w:tcPr>
            <w:tcW w:w="7611" w:type="dxa"/>
            <w:gridSpan w:val="2"/>
            <w:tcBorders>
              <w:top w:val="single" w:sz="8" w:space="0" w:color="1A171C"/>
              <w:left w:val="single" w:sz="8" w:space="0" w:color="1A171C"/>
              <w:bottom w:val="single" w:sz="8" w:space="0" w:color="1A171C"/>
              <w:right w:val="nil"/>
            </w:tcBorders>
            <w:vAlign w:val="bottom"/>
          </w:tcPr>
          <w:p w14:paraId="7FE1CFDE" w14:textId="7C85BAAB" w:rsidR="00696584" w:rsidRDefault="002C4F63">
            <w:pPr>
              <w:pStyle w:val="P68B1DB1-TableParagraph73"/>
              <w:spacing w:before="108"/>
              <w:ind w:left="85"/>
              <w:jc w:val="both"/>
              <w:rPr>
                <w:bCs/>
              </w:rPr>
            </w:pPr>
            <w:r>
              <w:t xml:space="preserve">Rechtliche Fälligkeit </w:t>
            </w:r>
          </w:p>
          <w:p w14:paraId="7FE1CFDF" w14:textId="3157371F" w:rsidR="00696584" w:rsidRDefault="002C4F63">
            <w:pPr>
              <w:pStyle w:val="P68B1DB1-TableParagraph40"/>
              <w:spacing w:before="108"/>
              <w:ind w:left="85"/>
              <w:jc w:val="both"/>
            </w:pPr>
            <w:r>
              <w:t>Zeitpunkt der rechtlichen Endfälligkeit des Instruments. Bei Dauerinstrumenten ist „2099-01-31“ zu verwenden.</w:t>
            </w:r>
          </w:p>
        </w:tc>
      </w:tr>
      <w:tr w:rsidR="00696584" w14:paraId="7FE1CFE4" w14:textId="77777777">
        <w:tc>
          <w:tcPr>
            <w:tcW w:w="1415" w:type="dxa"/>
            <w:tcBorders>
              <w:top w:val="single" w:sz="8" w:space="0" w:color="1A171C"/>
              <w:left w:val="nil"/>
              <w:bottom w:val="single" w:sz="8" w:space="0" w:color="1A171C"/>
              <w:right w:val="single" w:sz="8" w:space="0" w:color="1A171C"/>
            </w:tcBorders>
            <w:vAlign w:val="center"/>
          </w:tcPr>
          <w:p w14:paraId="7FE1CFE1" w14:textId="77777777" w:rsidR="00696584" w:rsidRDefault="002C4F63">
            <w:pPr>
              <w:pStyle w:val="P68B1DB1-Normal31"/>
            </w:pPr>
            <w:r>
              <w:lastRenderedPageBreak/>
              <w:t>0180</w:t>
            </w:r>
          </w:p>
        </w:tc>
        <w:tc>
          <w:tcPr>
            <w:tcW w:w="7611" w:type="dxa"/>
            <w:gridSpan w:val="2"/>
            <w:tcBorders>
              <w:top w:val="single" w:sz="8" w:space="0" w:color="1A171C"/>
              <w:left w:val="single" w:sz="8" w:space="0" w:color="1A171C"/>
              <w:bottom w:val="single" w:sz="8" w:space="0" w:color="1A171C"/>
              <w:right w:val="nil"/>
            </w:tcBorders>
            <w:vAlign w:val="bottom"/>
          </w:tcPr>
          <w:p w14:paraId="7FE1CFE2" w14:textId="2FFCAFEB" w:rsidR="00696584" w:rsidRDefault="002C4F63">
            <w:pPr>
              <w:pStyle w:val="P68B1DB1-TableParagraph73"/>
              <w:spacing w:before="108"/>
              <w:ind w:left="85"/>
              <w:jc w:val="both"/>
              <w:rPr>
                <w:bCs/>
              </w:rPr>
            </w:pPr>
            <w:r>
              <w:t xml:space="preserve">Öffentliche Platzierung/Privatplatzierung </w:t>
            </w:r>
          </w:p>
          <w:p w14:paraId="7FE1CFE3" w14:textId="77777777" w:rsidR="00696584" w:rsidRDefault="002C4F63">
            <w:pPr>
              <w:pStyle w:val="P68B1DB1-TableParagraph40"/>
              <w:spacing w:before="108"/>
              <w:ind w:left="85"/>
              <w:jc w:val="both"/>
            </w:pPr>
            <w:r>
              <w:t>Bei einer öffentlichen Platzierung hat das Unternehmen die Emission öffentlich bekanntgegeben und eine bestimmte Frist für das Bieterverfahren festgelegt. Dagegen werden Privatplatzierungen von einzelnen Parteien ausgehandelt, die jeweils entweder für eigene Rechnung oder für Rechnung Dritter handeln. Aus der vorgegebenen Liste kann „Öffentliches Angebot“ oder „Privates Angebot“ ausgewählt werden.</w:t>
            </w:r>
          </w:p>
        </w:tc>
      </w:tr>
      <w:tr w:rsidR="00696584" w14:paraId="7FE1CFE8" w14:textId="77777777">
        <w:tc>
          <w:tcPr>
            <w:tcW w:w="1415" w:type="dxa"/>
            <w:tcBorders>
              <w:top w:val="single" w:sz="8" w:space="0" w:color="1A171C"/>
              <w:left w:val="nil"/>
              <w:bottom w:val="single" w:sz="8" w:space="0" w:color="1A171C"/>
              <w:right w:val="single" w:sz="8" w:space="0" w:color="1A171C"/>
            </w:tcBorders>
            <w:vAlign w:val="center"/>
          </w:tcPr>
          <w:p w14:paraId="7FE1CFE5" w14:textId="77777777" w:rsidR="00696584" w:rsidRDefault="002C4F63">
            <w:pPr>
              <w:pStyle w:val="P68B1DB1-Normal31"/>
            </w:pPr>
            <w:r>
              <w:t>0190</w:t>
            </w:r>
          </w:p>
        </w:tc>
        <w:tc>
          <w:tcPr>
            <w:tcW w:w="7611" w:type="dxa"/>
            <w:gridSpan w:val="2"/>
            <w:tcBorders>
              <w:top w:val="single" w:sz="8" w:space="0" w:color="1A171C"/>
              <w:left w:val="single" w:sz="8" w:space="0" w:color="1A171C"/>
              <w:bottom w:val="single" w:sz="8" w:space="0" w:color="1A171C"/>
              <w:right w:val="nil"/>
            </w:tcBorders>
            <w:vAlign w:val="bottom"/>
          </w:tcPr>
          <w:p w14:paraId="7FE1CFE6" w14:textId="652BB104" w:rsidR="00696584" w:rsidRDefault="002C4F63">
            <w:pPr>
              <w:pStyle w:val="P68B1DB1-TableParagraph73"/>
              <w:spacing w:before="108"/>
              <w:ind w:left="85"/>
              <w:jc w:val="both"/>
              <w:rPr>
                <w:bCs/>
              </w:rPr>
            </w:pPr>
            <w:r>
              <w:t xml:space="preserve">Zahlstelle </w:t>
            </w:r>
          </w:p>
          <w:p w14:paraId="7FE1CFE7" w14:textId="77777777" w:rsidR="00696584" w:rsidRDefault="002C4F63">
            <w:pPr>
              <w:pStyle w:val="P68B1DB1-TableParagraph40"/>
              <w:spacing w:before="108"/>
              <w:ind w:left="85"/>
              <w:jc w:val="both"/>
            </w:pPr>
            <w:r>
              <w:t>Angabe der Zahlstelle für das Instrument unter Nennung des LEI-Codes. Eine Zahlstelle ist ein Institut, meist eine Investmentbank, die Gelder vom Emittenten eines Wertpapiers annimmt und sie an die Gläubiger des Wertpapiers auszahlt. Bei Aktien schüttet die Zahlstelle die Dividenden an die Aktionäre aus. Bei Anleihen übernimmt sie die Zahlung von Zinskupons und die Rückzahlung des Anleihekapitals an die Anleihegläubiger.</w:t>
            </w:r>
          </w:p>
        </w:tc>
      </w:tr>
      <w:tr w:rsidR="00696584" w14:paraId="7FE1CFF0" w14:textId="77777777">
        <w:tc>
          <w:tcPr>
            <w:tcW w:w="1415" w:type="dxa"/>
            <w:tcBorders>
              <w:top w:val="single" w:sz="8" w:space="0" w:color="1A171C"/>
              <w:left w:val="nil"/>
              <w:bottom w:val="single" w:sz="8" w:space="0" w:color="1A171C"/>
              <w:right w:val="single" w:sz="8" w:space="0" w:color="1A171C"/>
            </w:tcBorders>
            <w:vAlign w:val="center"/>
          </w:tcPr>
          <w:p w14:paraId="7FE1CFED" w14:textId="77777777" w:rsidR="00696584" w:rsidRDefault="002C4F63">
            <w:pPr>
              <w:pStyle w:val="P68B1DB1-TableParagraph40"/>
              <w:spacing w:before="108"/>
              <w:ind w:left="85"/>
              <w:jc w:val="both"/>
            </w:pPr>
            <w:r>
              <w:t>0210</w:t>
            </w:r>
          </w:p>
        </w:tc>
        <w:tc>
          <w:tcPr>
            <w:tcW w:w="7611" w:type="dxa"/>
            <w:gridSpan w:val="2"/>
            <w:tcBorders>
              <w:top w:val="single" w:sz="8" w:space="0" w:color="1A171C"/>
              <w:left w:val="single" w:sz="8" w:space="0" w:color="1A171C"/>
              <w:bottom w:val="single" w:sz="8" w:space="0" w:color="1A171C"/>
              <w:right w:val="nil"/>
            </w:tcBorders>
            <w:vAlign w:val="bottom"/>
          </w:tcPr>
          <w:p w14:paraId="7FE1CFEE" w14:textId="07CBB79D" w:rsidR="00696584" w:rsidRDefault="002C4F63">
            <w:pPr>
              <w:pStyle w:val="P68B1DB1-TableParagraph73"/>
              <w:spacing w:before="108"/>
              <w:ind w:left="85"/>
              <w:jc w:val="both"/>
              <w:rPr>
                <w:bCs/>
              </w:rPr>
            </w:pPr>
            <w:r>
              <w:t xml:space="preserve">Vertragspartnerkennung </w:t>
            </w:r>
          </w:p>
          <w:p w14:paraId="7FE1CFEF" w14:textId="599C6555" w:rsidR="00696584" w:rsidRDefault="002C4F63">
            <w:pPr>
              <w:pStyle w:val="P68B1DB1-TableParagraph40"/>
              <w:spacing w:before="108"/>
              <w:ind w:left="85"/>
              <w:jc w:val="both"/>
            </w:pPr>
            <w:r>
              <w:t>Geben Sie den LEI-Code des Gläubigers an. Sollte kein LEI-Code vorliegen, ist bei Banken die in RIAD (Register of Institutions and Affiliates Database) verwendete eindeutige Kennung für monetäre Finanzinstitute (monetary financial institutions unique IDentifier – MFI ID) anzugeben. Lediglich wenn keine dieser beiden Kennungen vorliegt, kann eine interne Kennung verwendet werden.</w:t>
            </w:r>
          </w:p>
        </w:tc>
      </w:tr>
      <w:tr w:rsidR="00696584" w14:paraId="7FE1CFF4" w14:textId="77777777">
        <w:tc>
          <w:tcPr>
            <w:tcW w:w="1415" w:type="dxa"/>
            <w:tcBorders>
              <w:top w:val="single" w:sz="8" w:space="0" w:color="1A171C"/>
              <w:left w:val="nil"/>
              <w:bottom w:val="single" w:sz="8" w:space="0" w:color="1A171C"/>
              <w:right w:val="single" w:sz="8" w:space="0" w:color="1A171C"/>
            </w:tcBorders>
            <w:vAlign w:val="center"/>
          </w:tcPr>
          <w:p w14:paraId="7FE1CFF1" w14:textId="77777777" w:rsidR="00696584" w:rsidRDefault="002C4F63">
            <w:pPr>
              <w:pStyle w:val="P68B1DB1-Normal31"/>
            </w:pPr>
            <w:r>
              <w:t>0215</w:t>
            </w:r>
          </w:p>
        </w:tc>
        <w:tc>
          <w:tcPr>
            <w:tcW w:w="7611" w:type="dxa"/>
            <w:gridSpan w:val="2"/>
            <w:tcBorders>
              <w:top w:val="single" w:sz="8" w:space="0" w:color="1A171C"/>
              <w:left w:val="single" w:sz="8" w:space="0" w:color="1A171C"/>
              <w:bottom w:val="single" w:sz="8" w:space="0" w:color="1A171C"/>
              <w:right w:val="nil"/>
            </w:tcBorders>
            <w:vAlign w:val="bottom"/>
          </w:tcPr>
          <w:p w14:paraId="7FE1CFF2" w14:textId="77777777" w:rsidR="00696584" w:rsidRDefault="002C4F63">
            <w:pPr>
              <w:pStyle w:val="P68B1DB1-TableParagraph73"/>
              <w:spacing w:before="108"/>
              <w:ind w:left="85"/>
              <w:jc w:val="both"/>
              <w:rPr>
                <w:bCs/>
              </w:rPr>
            </w:pPr>
            <w:r>
              <w:t xml:space="preserve">Art der Kennung </w:t>
            </w:r>
          </w:p>
          <w:p w14:paraId="7FE1CFF3" w14:textId="77777777" w:rsidR="00696584" w:rsidRDefault="002C4F63">
            <w:pPr>
              <w:pStyle w:val="P68B1DB1-TableParagraph40"/>
              <w:spacing w:before="108"/>
              <w:ind w:left="85"/>
              <w:jc w:val="both"/>
            </w:pPr>
            <w:r>
              <w:t>Auswahl unter folgenden Optionen: „LEI-Code“, „MFI-Code“ oder „Andere Art der Kennung als LEI-Code oder MFI-Code“.</w:t>
            </w:r>
          </w:p>
        </w:tc>
      </w:tr>
      <w:tr w:rsidR="00696584" w14:paraId="7FE1CFF8" w14:textId="77777777">
        <w:tc>
          <w:tcPr>
            <w:tcW w:w="1415" w:type="dxa"/>
            <w:tcBorders>
              <w:top w:val="single" w:sz="8" w:space="0" w:color="1A171C"/>
              <w:left w:val="nil"/>
              <w:bottom w:val="single" w:sz="8" w:space="0" w:color="1A171C"/>
              <w:right w:val="single" w:sz="8" w:space="0" w:color="1A171C"/>
            </w:tcBorders>
            <w:vAlign w:val="center"/>
          </w:tcPr>
          <w:p w14:paraId="7FE1CFF5" w14:textId="77777777" w:rsidR="00696584" w:rsidRDefault="002C4F63">
            <w:pPr>
              <w:pStyle w:val="P68B1DB1-Normal31"/>
            </w:pPr>
            <w:r>
              <w:t>0220</w:t>
            </w:r>
          </w:p>
        </w:tc>
        <w:tc>
          <w:tcPr>
            <w:tcW w:w="7611" w:type="dxa"/>
            <w:gridSpan w:val="2"/>
            <w:tcBorders>
              <w:top w:val="single" w:sz="8" w:space="0" w:color="1A171C"/>
              <w:left w:val="single" w:sz="8" w:space="0" w:color="1A171C"/>
              <w:bottom w:val="single" w:sz="8" w:space="0" w:color="1A171C"/>
              <w:right w:val="nil"/>
            </w:tcBorders>
            <w:vAlign w:val="bottom"/>
          </w:tcPr>
          <w:p w14:paraId="7FE1CFF6" w14:textId="5FE84F49" w:rsidR="00696584" w:rsidRDefault="002C4F63">
            <w:pPr>
              <w:pStyle w:val="P68B1DB1-TableParagraph73"/>
              <w:spacing w:before="108"/>
              <w:ind w:left="85"/>
              <w:jc w:val="both"/>
              <w:rPr>
                <w:bCs/>
              </w:rPr>
            </w:pPr>
            <w:r>
              <w:t xml:space="preserve">Notierung der Börsenpapiere </w:t>
            </w:r>
          </w:p>
          <w:p w14:paraId="7FE1CFF7" w14:textId="3C377B4D" w:rsidR="00696584" w:rsidRDefault="002C4F63">
            <w:pPr>
              <w:pStyle w:val="P68B1DB1-TableParagraph40"/>
              <w:spacing w:before="108"/>
              <w:ind w:left="85"/>
              <w:jc w:val="both"/>
            </w:pPr>
            <w:r>
              <w:t>Wenn Instrumente an einer oder mehreren Börsenplattformen gelistet sind, ist bzw. sind diese Börsenplattform(en) anzugeben. Bei der Angabe mehrerer Börsenplattformen sind die einzelnen Plattformen jeweils mit einem Semikolon zu trennen.</w:t>
            </w:r>
          </w:p>
        </w:tc>
      </w:tr>
      <w:tr w:rsidR="00696584" w14:paraId="7FE1CFFC" w14:textId="77777777">
        <w:tc>
          <w:tcPr>
            <w:tcW w:w="1415" w:type="dxa"/>
            <w:tcBorders>
              <w:top w:val="single" w:sz="8" w:space="0" w:color="1A171C"/>
              <w:left w:val="nil"/>
              <w:bottom w:val="single" w:sz="8" w:space="0" w:color="1A171C"/>
              <w:right w:val="single" w:sz="8" w:space="0" w:color="1A171C"/>
            </w:tcBorders>
            <w:vAlign w:val="center"/>
          </w:tcPr>
          <w:p w14:paraId="7FE1CFF9" w14:textId="77777777" w:rsidR="00696584" w:rsidRDefault="002C4F63">
            <w:pPr>
              <w:pStyle w:val="P68B1DB1-Normal31"/>
            </w:pPr>
            <w:r>
              <w:t>0230</w:t>
            </w:r>
          </w:p>
        </w:tc>
        <w:tc>
          <w:tcPr>
            <w:tcW w:w="7611" w:type="dxa"/>
            <w:gridSpan w:val="2"/>
            <w:tcBorders>
              <w:top w:val="single" w:sz="8" w:space="0" w:color="1A171C"/>
              <w:left w:val="single" w:sz="8" w:space="0" w:color="1A171C"/>
              <w:bottom w:val="single" w:sz="8" w:space="0" w:color="1A171C"/>
              <w:right w:val="nil"/>
            </w:tcBorders>
            <w:vAlign w:val="bottom"/>
          </w:tcPr>
          <w:p w14:paraId="7FE1CFFA" w14:textId="124C9BEE" w:rsidR="00696584" w:rsidRDefault="002C4F63">
            <w:pPr>
              <w:pStyle w:val="P68B1DB1-TableParagraph73"/>
              <w:spacing w:before="108"/>
              <w:ind w:left="85"/>
              <w:jc w:val="both"/>
              <w:rPr>
                <w:bCs/>
              </w:rPr>
            </w:pPr>
            <w:r>
              <w:t xml:space="preserve">Abrechnungssysteme  </w:t>
            </w:r>
          </w:p>
          <w:p w14:paraId="7FE1CFFB" w14:textId="2006B3AF" w:rsidR="00696584" w:rsidRDefault="002C4F63">
            <w:pPr>
              <w:pStyle w:val="P68B1DB1-TableParagraph40"/>
              <w:spacing w:before="108"/>
              <w:ind w:left="85"/>
              <w:jc w:val="both"/>
            </w:pPr>
            <w:r>
              <w:t>Hier sind die Abrechnungssysteme, über die Transaktionen in diesen Wertpapieren abgewickelt werden können, anzugeben. Bei Angabe mehrerer Abrechnungssysteme sind die einzelnen Abrechnungssysteme jeweils mit einem Semikolon zu trennen.</w:t>
            </w:r>
          </w:p>
        </w:tc>
      </w:tr>
      <w:tr w:rsidR="00696584" w14:paraId="7FE1D000" w14:textId="77777777">
        <w:tc>
          <w:tcPr>
            <w:tcW w:w="1415" w:type="dxa"/>
            <w:tcBorders>
              <w:top w:val="single" w:sz="8" w:space="0" w:color="1A171C"/>
              <w:left w:val="nil"/>
              <w:bottom w:val="single" w:sz="8" w:space="0" w:color="1A171C"/>
              <w:right w:val="single" w:sz="8" w:space="0" w:color="1A171C"/>
            </w:tcBorders>
            <w:vAlign w:val="center"/>
          </w:tcPr>
          <w:p w14:paraId="7FE1CFFD" w14:textId="77777777" w:rsidR="00696584" w:rsidRDefault="002C4F63">
            <w:pPr>
              <w:pStyle w:val="P68B1DB1-Normal31"/>
            </w:pPr>
            <w:r>
              <w:t>0240</w:t>
            </w:r>
          </w:p>
        </w:tc>
        <w:tc>
          <w:tcPr>
            <w:tcW w:w="7611" w:type="dxa"/>
            <w:gridSpan w:val="2"/>
            <w:tcBorders>
              <w:top w:val="single" w:sz="8" w:space="0" w:color="1A171C"/>
              <w:left w:val="single" w:sz="8" w:space="0" w:color="1A171C"/>
              <w:bottom w:val="single" w:sz="8" w:space="0" w:color="1A171C"/>
              <w:right w:val="nil"/>
            </w:tcBorders>
            <w:vAlign w:val="bottom"/>
          </w:tcPr>
          <w:p w14:paraId="7FE1CFFE" w14:textId="7B018C13" w:rsidR="00696584" w:rsidRDefault="002C4F63">
            <w:pPr>
              <w:pStyle w:val="P68B1DB1-TableParagraph73"/>
              <w:spacing w:before="108"/>
              <w:ind w:left="85"/>
              <w:jc w:val="both"/>
              <w:rPr>
                <w:bCs/>
              </w:rPr>
            </w:pPr>
            <w:r>
              <w:t xml:space="preserve">Der </w:t>
            </w:r>
            <w:r w:rsidR="00D1158C">
              <w:t>Registerführer</w:t>
            </w:r>
          </w:p>
          <w:p w14:paraId="7FE1CFFF" w14:textId="77777777" w:rsidR="00696584" w:rsidRDefault="002C4F63">
            <w:pPr>
              <w:pStyle w:val="P68B1DB1-TableParagraph40"/>
              <w:spacing w:before="108"/>
              <w:ind w:left="85"/>
              <w:jc w:val="both"/>
            </w:pPr>
            <w:r>
              <w:t xml:space="preserve">Angabe des Registerführers (der für das Führen des Verzeichnisses der Eigentümer der Wertpapiere verantwortlich ist). Der Registerführer bzw. Registerinhaber ist in der Regel der Emittent selbst, ein Zentralverwahrer oder ein anderes Unternehmen. </w:t>
            </w:r>
          </w:p>
        </w:tc>
      </w:tr>
      <w:tr w:rsidR="00696584" w14:paraId="7FE1D004" w14:textId="77777777">
        <w:tc>
          <w:tcPr>
            <w:tcW w:w="1415" w:type="dxa"/>
            <w:tcBorders>
              <w:top w:val="single" w:sz="8" w:space="0" w:color="1A171C"/>
              <w:left w:val="nil"/>
              <w:right w:val="single" w:sz="8" w:space="0" w:color="1A171C"/>
            </w:tcBorders>
            <w:vAlign w:val="center"/>
          </w:tcPr>
          <w:p w14:paraId="7FE1D001" w14:textId="77777777" w:rsidR="00696584" w:rsidRDefault="002C4F63">
            <w:pPr>
              <w:pStyle w:val="P68B1DB1-Normal31"/>
            </w:pPr>
            <w:r>
              <w:t>c250</w:t>
            </w:r>
          </w:p>
        </w:tc>
        <w:tc>
          <w:tcPr>
            <w:tcW w:w="7611" w:type="dxa"/>
            <w:gridSpan w:val="2"/>
            <w:tcBorders>
              <w:top w:val="single" w:sz="8" w:space="0" w:color="1A171C"/>
              <w:left w:val="single" w:sz="8" w:space="0" w:color="1A171C"/>
              <w:right w:val="nil"/>
            </w:tcBorders>
            <w:vAlign w:val="bottom"/>
          </w:tcPr>
          <w:p w14:paraId="7FE1D002" w14:textId="200E4E8A" w:rsidR="00696584" w:rsidRDefault="002C4F63">
            <w:pPr>
              <w:pStyle w:val="P68B1DB1-TableParagraph73"/>
              <w:spacing w:before="108"/>
              <w:ind w:left="85"/>
              <w:jc w:val="both"/>
              <w:rPr>
                <w:bCs/>
              </w:rPr>
            </w:pPr>
            <w:r>
              <w:t xml:space="preserve">Zentralverwahrer </w:t>
            </w:r>
          </w:p>
          <w:p w14:paraId="7FE1D003" w14:textId="77777777" w:rsidR="00696584" w:rsidRDefault="002C4F63">
            <w:pPr>
              <w:pStyle w:val="P68B1DB1-TableParagraph40"/>
              <w:spacing w:before="108"/>
              <w:ind w:left="85"/>
              <w:jc w:val="both"/>
            </w:pPr>
            <w:r>
              <w:t>Angabe des Zentralverwahrers für das Wertpapier.</w:t>
            </w:r>
          </w:p>
        </w:tc>
      </w:tr>
      <w:tr w:rsidR="00696584" w:rsidRPr="00CE138C" w14:paraId="7FE1D02F" w14:textId="77777777">
        <w:tc>
          <w:tcPr>
            <w:tcW w:w="1415" w:type="dxa"/>
            <w:tcBorders>
              <w:left w:val="nil"/>
              <w:bottom w:val="single" w:sz="8" w:space="0" w:color="1A171C"/>
              <w:right w:val="single" w:sz="8" w:space="0" w:color="1A171C"/>
            </w:tcBorders>
            <w:vAlign w:val="center"/>
          </w:tcPr>
          <w:p w14:paraId="7FE1D005" w14:textId="77777777" w:rsidR="00696584" w:rsidRDefault="002C4F63">
            <w:pPr>
              <w:pStyle w:val="P68B1DB1-Normal31"/>
            </w:pPr>
            <w:r>
              <w:t xml:space="preserve"> </w:t>
            </w:r>
          </w:p>
        </w:tc>
        <w:tc>
          <w:tcPr>
            <w:tcW w:w="7611" w:type="dxa"/>
            <w:gridSpan w:val="2"/>
            <w:tcBorders>
              <w:left w:val="single" w:sz="8" w:space="0" w:color="1A171C"/>
              <w:bottom w:val="single" w:sz="8" w:space="0" w:color="1A171C"/>
              <w:right w:val="nil"/>
            </w:tcBorders>
            <w:vAlign w:val="bottom"/>
          </w:tcPr>
          <w:p w14:paraId="7FE1D006" w14:textId="599DD4C5" w:rsidR="00696584" w:rsidRDefault="002C4F63">
            <w:pPr>
              <w:pStyle w:val="P68B1DB1-TableParagraph40"/>
              <w:spacing w:before="108"/>
              <w:ind w:left="85"/>
              <w:jc w:val="both"/>
            </w:pPr>
            <w:r>
              <w:t>Bei der Angabe des betreffenden Zentralverwahrers ist die in der nachfolgenden Tabelle angegebene Abkürzung zu verwenden, es sei denn, der maßgebliche Zentralverwahrer ist nicht in der Liste aufgeführt:</w:t>
            </w:r>
          </w:p>
          <w:p w14:paraId="12AC61A1" w14:textId="77777777" w:rsidR="00402CDD" w:rsidRPr="002F61BB" w:rsidRDefault="00402CDD" w:rsidP="00402CDD">
            <w:pPr>
              <w:pStyle w:val="TableParagraph"/>
              <w:spacing w:before="108"/>
              <w:ind w:left="85"/>
              <w:jc w:val="both"/>
              <w:rPr>
                <w:rFonts w:ascii="Times New Roman" w:eastAsia="Times New Roman" w:hAnsi="Times New Roman"/>
                <w:sz w:val="20"/>
                <w:szCs w:val="20"/>
                <w:lang w:val="es-ES"/>
              </w:rPr>
            </w:pPr>
            <w:r w:rsidRPr="002F61BB">
              <w:rPr>
                <w:rFonts w:ascii="Times New Roman" w:eastAsia="Times New Roman" w:hAnsi="Times New Roman" w:cs="Times New Roman"/>
                <w:sz w:val="20"/>
                <w:szCs w:val="20"/>
                <w:lang w:val="es-ES"/>
              </w:rPr>
              <w:t>ATHEX CSD_EL</w:t>
            </w:r>
          </w:p>
          <w:p w14:paraId="7A2A233E" w14:textId="77777777" w:rsidR="00402CDD" w:rsidRPr="002F61BB" w:rsidRDefault="00402CDD" w:rsidP="00402CDD">
            <w:pPr>
              <w:pStyle w:val="TableParagraph"/>
              <w:spacing w:before="108"/>
              <w:ind w:left="85"/>
              <w:jc w:val="both"/>
              <w:rPr>
                <w:rFonts w:ascii="Times New Roman" w:eastAsia="Times New Roman" w:hAnsi="Times New Roman"/>
                <w:sz w:val="20"/>
                <w:szCs w:val="20"/>
                <w:lang w:val="es-ES"/>
              </w:rPr>
            </w:pPr>
            <w:r w:rsidRPr="002F61BB">
              <w:rPr>
                <w:rFonts w:ascii="Times New Roman" w:eastAsia="Times New Roman" w:hAnsi="Times New Roman" w:cs="Times New Roman"/>
                <w:sz w:val="20"/>
                <w:szCs w:val="20"/>
                <w:lang w:val="es-ES"/>
              </w:rPr>
              <w:t>BOGS_EL</w:t>
            </w:r>
          </w:p>
          <w:p w14:paraId="3D9705D9" w14:textId="77777777" w:rsidR="00402CDD" w:rsidRPr="002F61BB" w:rsidRDefault="00402CDD" w:rsidP="00402CDD">
            <w:pPr>
              <w:pStyle w:val="TableParagraph"/>
              <w:spacing w:before="108"/>
              <w:ind w:left="85"/>
              <w:jc w:val="both"/>
              <w:rPr>
                <w:rFonts w:ascii="Times New Roman" w:eastAsia="Times New Roman" w:hAnsi="Times New Roman"/>
                <w:sz w:val="20"/>
                <w:szCs w:val="20"/>
                <w:lang w:val="es-ES"/>
              </w:rPr>
            </w:pPr>
            <w:r w:rsidRPr="002F61BB">
              <w:rPr>
                <w:rFonts w:ascii="Times New Roman" w:eastAsia="Times New Roman" w:hAnsi="Times New Roman" w:cs="Times New Roman"/>
                <w:sz w:val="20"/>
                <w:szCs w:val="20"/>
                <w:lang w:val="es-ES"/>
              </w:rPr>
              <w:t>CBF_DE</w:t>
            </w:r>
          </w:p>
          <w:p w14:paraId="65C82747" w14:textId="77777777" w:rsidR="00402CDD" w:rsidRPr="002F61BB" w:rsidRDefault="00402CDD" w:rsidP="00402CDD">
            <w:pPr>
              <w:pStyle w:val="TableParagraph"/>
              <w:spacing w:before="108"/>
              <w:ind w:left="85"/>
              <w:jc w:val="both"/>
              <w:rPr>
                <w:rFonts w:ascii="Times New Roman" w:eastAsia="Times New Roman" w:hAnsi="Times New Roman"/>
                <w:sz w:val="20"/>
                <w:szCs w:val="20"/>
                <w:lang w:val="es-ES"/>
              </w:rPr>
            </w:pPr>
            <w:r w:rsidRPr="002F61BB">
              <w:rPr>
                <w:rFonts w:ascii="Times New Roman" w:eastAsia="Times New Roman" w:hAnsi="Times New Roman" w:cs="Times New Roman"/>
                <w:sz w:val="20"/>
                <w:szCs w:val="20"/>
                <w:lang w:val="es-ES"/>
              </w:rPr>
              <w:t>CBL_LU</w:t>
            </w:r>
          </w:p>
          <w:p w14:paraId="4A97B9A4" w14:textId="77777777" w:rsidR="00402CDD" w:rsidRPr="002F61BB" w:rsidRDefault="00402CDD" w:rsidP="00402CDD">
            <w:pPr>
              <w:pStyle w:val="TableParagraph"/>
              <w:spacing w:before="108"/>
              <w:ind w:left="85"/>
              <w:jc w:val="both"/>
              <w:rPr>
                <w:rFonts w:ascii="Times New Roman" w:eastAsia="Times New Roman" w:hAnsi="Times New Roman"/>
                <w:sz w:val="20"/>
                <w:szCs w:val="20"/>
                <w:lang w:val="es-ES"/>
              </w:rPr>
            </w:pPr>
            <w:r w:rsidRPr="002F61BB">
              <w:rPr>
                <w:rFonts w:ascii="Times New Roman" w:eastAsia="Times New Roman" w:hAnsi="Times New Roman" w:cs="Times New Roman"/>
                <w:sz w:val="20"/>
                <w:szCs w:val="20"/>
                <w:lang w:val="es-ES"/>
              </w:rPr>
              <w:t>CDCP SR_SK</w:t>
            </w:r>
          </w:p>
          <w:p w14:paraId="39B9A32B" w14:textId="77777777" w:rsidR="00402CDD" w:rsidRPr="002F61BB" w:rsidRDefault="00402CDD" w:rsidP="00402CDD">
            <w:pPr>
              <w:pStyle w:val="TableParagraph"/>
              <w:spacing w:before="108"/>
              <w:ind w:left="85"/>
              <w:jc w:val="both"/>
              <w:rPr>
                <w:rFonts w:ascii="Times New Roman" w:eastAsia="Times New Roman" w:hAnsi="Times New Roman"/>
                <w:sz w:val="20"/>
                <w:szCs w:val="20"/>
                <w:lang w:val="es-ES"/>
              </w:rPr>
            </w:pPr>
            <w:r w:rsidRPr="002F61BB">
              <w:rPr>
                <w:rFonts w:ascii="Times New Roman" w:eastAsia="Times New Roman" w:hAnsi="Times New Roman" w:cs="Times New Roman"/>
                <w:sz w:val="20"/>
                <w:szCs w:val="20"/>
                <w:lang w:val="es-ES"/>
              </w:rPr>
              <w:t>CDCP_CZ</w:t>
            </w:r>
          </w:p>
          <w:p w14:paraId="21B57340" w14:textId="77777777" w:rsidR="00402CDD" w:rsidRPr="00C5754B" w:rsidRDefault="00402CDD" w:rsidP="00402CDD">
            <w:pPr>
              <w:pStyle w:val="TableParagraph"/>
              <w:spacing w:before="108"/>
              <w:ind w:left="85"/>
              <w:jc w:val="both"/>
              <w:rPr>
                <w:rFonts w:ascii="Times New Roman" w:eastAsia="Times New Roman" w:hAnsi="Times New Roman"/>
                <w:sz w:val="20"/>
                <w:szCs w:val="20"/>
                <w:lang w:val="en-GB"/>
              </w:rPr>
            </w:pPr>
            <w:r w:rsidRPr="00C5754B">
              <w:rPr>
                <w:rFonts w:ascii="Times New Roman" w:eastAsia="Times New Roman" w:hAnsi="Times New Roman" w:cs="Times New Roman"/>
                <w:sz w:val="20"/>
                <w:szCs w:val="20"/>
                <w:lang w:val="en-GB"/>
              </w:rPr>
              <w:lastRenderedPageBreak/>
              <w:t>Central Depository &amp; Clearing Company_HR</w:t>
            </w:r>
          </w:p>
          <w:p w14:paraId="491334CB" w14:textId="77777777" w:rsidR="00402CDD" w:rsidRPr="00C5754B" w:rsidRDefault="00402CDD" w:rsidP="00402CDD">
            <w:pPr>
              <w:pStyle w:val="TableParagraph"/>
              <w:spacing w:before="108"/>
              <w:ind w:left="85"/>
              <w:jc w:val="both"/>
              <w:rPr>
                <w:rFonts w:ascii="Times New Roman" w:eastAsia="Times New Roman" w:hAnsi="Times New Roman"/>
                <w:sz w:val="20"/>
                <w:szCs w:val="20"/>
                <w:lang w:val="en-GB"/>
              </w:rPr>
            </w:pPr>
            <w:r w:rsidRPr="00C5754B">
              <w:rPr>
                <w:rFonts w:ascii="Times New Roman" w:eastAsia="Times New Roman" w:hAnsi="Times New Roman" w:cs="Times New Roman"/>
                <w:sz w:val="20"/>
                <w:szCs w:val="20"/>
                <w:lang w:val="en-GB"/>
              </w:rPr>
              <w:t>Central Depository of Securities Prague_CZ</w:t>
            </w:r>
          </w:p>
          <w:p w14:paraId="00DD21B9" w14:textId="77777777" w:rsidR="00402CDD" w:rsidRPr="00C5754B" w:rsidRDefault="00402CDD" w:rsidP="00402CDD">
            <w:pPr>
              <w:pStyle w:val="TableParagraph"/>
              <w:spacing w:before="108"/>
              <w:ind w:left="85"/>
              <w:jc w:val="both"/>
              <w:rPr>
                <w:rFonts w:ascii="Times New Roman" w:eastAsia="Times New Roman" w:hAnsi="Times New Roman"/>
                <w:sz w:val="20"/>
                <w:szCs w:val="20"/>
                <w:lang w:val="en-GB"/>
              </w:rPr>
            </w:pPr>
            <w:r w:rsidRPr="00C5754B">
              <w:rPr>
                <w:rFonts w:ascii="Times New Roman" w:eastAsia="Times New Roman" w:hAnsi="Times New Roman" w:cs="Times New Roman"/>
                <w:sz w:val="20"/>
                <w:szCs w:val="20"/>
                <w:lang w:val="en-GB"/>
              </w:rPr>
              <w:t>Central Depository_BG</w:t>
            </w:r>
          </w:p>
          <w:p w14:paraId="3E635EBE" w14:textId="77777777" w:rsidR="00402CDD" w:rsidRPr="00C5754B" w:rsidRDefault="00402CDD" w:rsidP="00402CDD">
            <w:pPr>
              <w:pStyle w:val="TableParagraph"/>
              <w:spacing w:before="108"/>
              <w:ind w:left="85"/>
              <w:jc w:val="both"/>
              <w:rPr>
                <w:rFonts w:ascii="Times New Roman" w:eastAsia="Times New Roman" w:hAnsi="Times New Roman"/>
                <w:sz w:val="20"/>
                <w:szCs w:val="20"/>
                <w:lang w:val="en-GB"/>
              </w:rPr>
            </w:pPr>
            <w:r w:rsidRPr="00C5754B">
              <w:rPr>
                <w:rFonts w:ascii="Times New Roman" w:eastAsia="Times New Roman" w:hAnsi="Times New Roman" w:cs="Times New Roman"/>
                <w:sz w:val="20"/>
                <w:szCs w:val="20"/>
                <w:lang w:val="en-GB"/>
              </w:rPr>
              <w:t>Cyprus CDCR_CY</w:t>
            </w:r>
          </w:p>
          <w:p w14:paraId="05368322" w14:textId="77777777" w:rsidR="00402CDD" w:rsidRPr="00C5754B" w:rsidRDefault="00402CDD" w:rsidP="00402CDD">
            <w:pPr>
              <w:pStyle w:val="TableParagraph"/>
              <w:spacing w:before="108"/>
              <w:ind w:left="85"/>
              <w:jc w:val="both"/>
              <w:rPr>
                <w:rFonts w:ascii="Times New Roman" w:eastAsia="Times New Roman" w:hAnsi="Times New Roman"/>
                <w:sz w:val="20"/>
                <w:szCs w:val="20"/>
                <w:lang w:val="en-GB"/>
              </w:rPr>
            </w:pPr>
            <w:r w:rsidRPr="00C5754B">
              <w:rPr>
                <w:rFonts w:ascii="Times New Roman" w:eastAsia="Times New Roman" w:hAnsi="Times New Roman" w:cs="Times New Roman"/>
                <w:sz w:val="20"/>
                <w:szCs w:val="20"/>
                <w:lang w:val="en-GB"/>
              </w:rPr>
              <w:t>Depozitarul Central_RO</w:t>
            </w:r>
          </w:p>
          <w:p w14:paraId="175161B5" w14:textId="77777777" w:rsidR="00402CDD" w:rsidRPr="00C5754B" w:rsidRDefault="00402CDD" w:rsidP="00402CDD">
            <w:pPr>
              <w:pStyle w:val="TableParagraph"/>
              <w:spacing w:before="108"/>
              <w:ind w:left="85"/>
              <w:jc w:val="both"/>
              <w:rPr>
                <w:rFonts w:ascii="Times New Roman" w:eastAsia="Times New Roman" w:hAnsi="Times New Roman"/>
                <w:sz w:val="20"/>
                <w:szCs w:val="20"/>
                <w:lang w:val="en-GB"/>
              </w:rPr>
            </w:pPr>
            <w:r w:rsidRPr="00C5754B">
              <w:rPr>
                <w:rFonts w:ascii="Times New Roman" w:eastAsia="Times New Roman" w:hAnsi="Times New Roman" w:cs="Times New Roman"/>
                <w:sz w:val="20"/>
                <w:szCs w:val="20"/>
                <w:lang w:val="en-GB"/>
              </w:rPr>
              <w:t>DTC_US</w:t>
            </w:r>
          </w:p>
          <w:p w14:paraId="281E12A1" w14:textId="77777777" w:rsidR="00402CDD" w:rsidRPr="00C5754B" w:rsidRDefault="00402CDD" w:rsidP="00402CDD">
            <w:pPr>
              <w:pStyle w:val="TableParagraph"/>
              <w:spacing w:before="108"/>
              <w:ind w:left="85"/>
              <w:jc w:val="both"/>
              <w:rPr>
                <w:rFonts w:ascii="Times New Roman" w:eastAsia="Times New Roman" w:hAnsi="Times New Roman"/>
                <w:sz w:val="20"/>
                <w:szCs w:val="20"/>
                <w:lang w:val="en-GB"/>
              </w:rPr>
            </w:pPr>
            <w:r w:rsidRPr="00C5754B">
              <w:rPr>
                <w:rFonts w:ascii="Times New Roman" w:eastAsia="Times New Roman" w:hAnsi="Times New Roman" w:cs="Times New Roman"/>
                <w:sz w:val="20"/>
                <w:szCs w:val="20"/>
                <w:lang w:val="en-GB"/>
              </w:rPr>
              <w:t>Euroclear Bank_BE</w:t>
            </w:r>
          </w:p>
          <w:p w14:paraId="24BD74F8" w14:textId="77777777" w:rsidR="00402CDD" w:rsidRPr="00C5754B" w:rsidRDefault="00402CDD" w:rsidP="00402CDD">
            <w:pPr>
              <w:pStyle w:val="TableParagraph"/>
              <w:spacing w:before="108"/>
              <w:ind w:left="85"/>
              <w:jc w:val="both"/>
              <w:rPr>
                <w:rFonts w:ascii="Times New Roman" w:eastAsia="Times New Roman" w:hAnsi="Times New Roman"/>
                <w:sz w:val="20"/>
                <w:szCs w:val="20"/>
                <w:lang w:val="en-GB"/>
              </w:rPr>
            </w:pPr>
            <w:r w:rsidRPr="00C5754B">
              <w:rPr>
                <w:rFonts w:ascii="Times New Roman" w:eastAsia="Times New Roman" w:hAnsi="Times New Roman" w:cs="Times New Roman"/>
                <w:sz w:val="20"/>
                <w:szCs w:val="20"/>
                <w:lang w:val="en-GB"/>
              </w:rPr>
              <w:t>Euroclear Belgium_BE</w:t>
            </w:r>
          </w:p>
          <w:p w14:paraId="133D16B4" w14:textId="77777777" w:rsidR="00402CDD" w:rsidRPr="00C5754B" w:rsidRDefault="00402CDD" w:rsidP="00402CDD">
            <w:pPr>
              <w:pStyle w:val="TableParagraph"/>
              <w:spacing w:before="108"/>
              <w:ind w:left="85"/>
              <w:jc w:val="both"/>
              <w:rPr>
                <w:rFonts w:ascii="Times New Roman" w:eastAsia="Times New Roman" w:hAnsi="Times New Roman"/>
                <w:sz w:val="20"/>
                <w:szCs w:val="20"/>
                <w:lang w:val="en-GB"/>
              </w:rPr>
            </w:pPr>
            <w:r w:rsidRPr="00C5754B">
              <w:rPr>
                <w:rFonts w:ascii="Times New Roman" w:eastAsia="Times New Roman" w:hAnsi="Times New Roman" w:cs="Times New Roman"/>
                <w:sz w:val="20"/>
                <w:szCs w:val="20"/>
                <w:lang w:val="en-GB"/>
              </w:rPr>
              <w:t>Euroclear Finland_FI</w:t>
            </w:r>
          </w:p>
          <w:p w14:paraId="299CAB3E" w14:textId="77777777" w:rsidR="00402CDD" w:rsidRPr="00C5754B" w:rsidRDefault="00402CDD" w:rsidP="00402CDD">
            <w:pPr>
              <w:pStyle w:val="TableParagraph"/>
              <w:spacing w:before="108"/>
              <w:ind w:left="85"/>
              <w:jc w:val="both"/>
              <w:rPr>
                <w:rFonts w:ascii="Times New Roman" w:eastAsia="Times New Roman" w:hAnsi="Times New Roman"/>
                <w:sz w:val="20"/>
                <w:szCs w:val="20"/>
                <w:lang w:val="en-GB"/>
              </w:rPr>
            </w:pPr>
            <w:r w:rsidRPr="00C5754B">
              <w:rPr>
                <w:rFonts w:ascii="Times New Roman" w:eastAsia="Times New Roman" w:hAnsi="Times New Roman" w:cs="Times New Roman"/>
                <w:sz w:val="20"/>
                <w:szCs w:val="20"/>
                <w:lang w:val="en-GB"/>
              </w:rPr>
              <w:t>Euroclear France_FR</w:t>
            </w:r>
          </w:p>
          <w:p w14:paraId="7A6237AC" w14:textId="77777777" w:rsidR="00402CDD" w:rsidRPr="00C5754B" w:rsidRDefault="00402CDD" w:rsidP="00402CDD">
            <w:pPr>
              <w:pStyle w:val="TableParagraph"/>
              <w:spacing w:before="108"/>
              <w:ind w:left="85"/>
              <w:jc w:val="both"/>
              <w:rPr>
                <w:rFonts w:ascii="Times New Roman" w:eastAsia="Times New Roman" w:hAnsi="Times New Roman"/>
                <w:sz w:val="20"/>
                <w:szCs w:val="20"/>
                <w:lang w:val="en-GB"/>
              </w:rPr>
            </w:pPr>
            <w:r w:rsidRPr="00C5754B">
              <w:rPr>
                <w:rFonts w:ascii="Times New Roman" w:eastAsia="Times New Roman" w:hAnsi="Times New Roman" w:cs="Times New Roman"/>
                <w:sz w:val="20"/>
                <w:szCs w:val="20"/>
                <w:lang w:val="en-GB"/>
              </w:rPr>
              <w:t>Euroclear Netherlands_NL</w:t>
            </w:r>
          </w:p>
          <w:p w14:paraId="24FEACA2" w14:textId="77777777" w:rsidR="00402CDD" w:rsidRPr="00C5754B" w:rsidRDefault="00402CDD" w:rsidP="00402CDD">
            <w:pPr>
              <w:pStyle w:val="TableParagraph"/>
              <w:spacing w:before="108"/>
              <w:ind w:left="85"/>
              <w:jc w:val="both"/>
              <w:rPr>
                <w:rFonts w:ascii="Times New Roman" w:eastAsia="Times New Roman" w:hAnsi="Times New Roman"/>
                <w:sz w:val="20"/>
                <w:szCs w:val="20"/>
                <w:lang w:val="en-GB"/>
              </w:rPr>
            </w:pPr>
            <w:r w:rsidRPr="00C5754B">
              <w:rPr>
                <w:rFonts w:ascii="Times New Roman" w:eastAsia="Times New Roman" w:hAnsi="Times New Roman" w:cs="Times New Roman"/>
                <w:sz w:val="20"/>
                <w:szCs w:val="20"/>
                <w:lang w:val="en-GB"/>
              </w:rPr>
              <w:t>Euroclear Sweden_SE</w:t>
            </w:r>
          </w:p>
          <w:p w14:paraId="59319319" w14:textId="77777777" w:rsidR="00402CDD" w:rsidRPr="00C5754B" w:rsidRDefault="00402CDD" w:rsidP="00402CDD">
            <w:pPr>
              <w:pStyle w:val="TableParagraph"/>
              <w:spacing w:before="108"/>
              <w:ind w:left="85"/>
              <w:jc w:val="both"/>
              <w:rPr>
                <w:rFonts w:ascii="Times New Roman" w:eastAsia="Times New Roman" w:hAnsi="Times New Roman"/>
                <w:sz w:val="20"/>
                <w:szCs w:val="20"/>
                <w:lang w:val="en-GB"/>
              </w:rPr>
            </w:pPr>
            <w:r w:rsidRPr="00C5754B">
              <w:rPr>
                <w:rFonts w:ascii="Times New Roman" w:eastAsia="Times New Roman" w:hAnsi="Times New Roman" w:cs="Times New Roman"/>
                <w:sz w:val="20"/>
                <w:szCs w:val="20"/>
                <w:lang w:val="en-GB"/>
              </w:rPr>
              <w:t>Euroclear UK &amp; Ireland_UK</w:t>
            </w:r>
          </w:p>
          <w:p w14:paraId="5DE51486" w14:textId="77777777" w:rsidR="00402CDD" w:rsidRPr="00C5754B" w:rsidRDefault="00402CDD" w:rsidP="00402CDD">
            <w:pPr>
              <w:pStyle w:val="TableParagraph"/>
              <w:spacing w:before="108"/>
              <w:ind w:left="85"/>
              <w:jc w:val="both"/>
              <w:rPr>
                <w:rFonts w:ascii="Times New Roman" w:eastAsia="Times New Roman" w:hAnsi="Times New Roman"/>
                <w:sz w:val="20"/>
                <w:szCs w:val="20"/>
                <w:lang w:val="en-GB"/>
              </w:rPr>
            </w:pPr>
            <w:r w:rsidRPr="00C5754B">
              <w:rPr>
                <w:rFonts w:ascii="Times New Roman" w:eastAsia="Times New Roman" w:hAnsi="Times New Roman" w:cs="Times New Roman"/>
                <w:sz w:val="20"/>
                <w:szCs w:val="20"/>
                <w:lang w:val="en-GB"/>
              </w:rPr>
              <w:t>Government Securities Depository (GSD)_BG</w:t>
            </w:r>
          </w:p>
          <w:p w14:paraId="38514ED8" w14:textId="77777777" w:rsidR="00402CDD" w:rsidRPr="002F61BB" w:rsidRDefault="00402CDD" w:rsidP="00402CDD">
            <w:pPr>
              <w:pStyle w:val="TableParagraph"/>
              <w:spacing w:before="108"/>
              <w:ind w:left="85"/>
              <w:jc w:val="both"/>
              <w:rPr>
                <w:rFonts w:ascii="Times New Roman" w:eastAsia="Times New Roman" w:hAnsi="Times New Roman"/>
                <w:sz w:val="20"/>
                <w:szCs w:val="20"/>
                <w:lang w:val="es-ES"/>
              </w:rPr>
            </w:pPr>
            <w:r w:rsidRPr="002F61BB">
              <w:rPr>
                <w:rFonts w:ascii="Times New Roman" w:eastAsia="Times New Roman" w:hAnsi="Times New Roman" w:cs="Times New Roman"/>
                <w:sz w:val="20"/>
                <w:szCs w:val="20"/>
                <w:lang w:val="es-ES"/>
              </w:rPr>
              <w:t>Iberclear_ES</w:t>
            </w:r>
          </w:p>
          <w:p w14:paraId="224A791B" w14:textId="77777777" w:rsidR="00402CDD" w:rsidRPr="002F61BB" w:rsidRDefault="00402CDD" w:rsidP="00402CDD">
            <w:pPr>
              <w:pStyle w:val="TableParagraph"/>
              <w:spacing w:before="108"/>
              <w:ind w:left="85"/>
              <w:jc w:val="both"/>
              <w:rPr>
                <w:rFonts w:ascii="Times New Roman" w:eastAsia="Times New Roman" w:hAnsi="Times New Roman"/>
                <w:sz w:val="20"/>
                <w:szCs w:val="20"/>
                <w:lang w:val="es-ES"/>
              </w:rPr>
            </w:pPr>
            <w:r w:rsidRPr="002F61BB">
              <w:rPr>
                <w:rFonts w:ascii="Times New Roman" w:eastAsia="Times New Roman" w:hAnsi="Times New Roman" w:cs="Times New Roman"/>
                <w:sz w:val="20"/>
                <w:szCs w:val="20"/>
                <w:lang w:val="es-ES"/>
              </w:rPr>
              <w:t>INTERBOLSA_PT</w:t>
            </w:r>
          </w:p>
          <w:p w14:paraId="1E14C2F9" w14:textId="77777777" w:rsidR="00402CDD" w:rsidRPr="002F61BB" w:rsidRDefault="00402CDD" w:rsidP="00402CDD">
            <w:pPr>
              <w:pStyle w:val="TableParagraph"/>
              <w:spacing w:before="108"/>
              <w:ind w:left="85"/>
              <w:jc w:val="both"/>
              <w:rPr>
                <w:rFonts w:ascii="Times New Roman" w:eastAsia="Times New Roman" w:hAnsi="Times New Roman"/>
                <w:sz w:val="20"/>
                <w:szCs w:val="20"/>
                <w:lang w:val="es-ES"/>
              </w:rPr>
            </w:pPr>
            <w:r w:rsidRPr="002F61BB">
              <w:rPr>
                <w:rFonts w:ascii="Times New Roman" w:eastAsia="Times New Roman" w:hAnsi="Times New Roman" w:cs="Times New Roman"/>
                <w:sz w:val="20"/>
                <w:szCs w:val="20"/>
                <w:lang w:val="es-ES"/>
              </w:rPr>
              <w:t>KDD_SI</w:t>
            </w:r>
          </w:p>
          <w:p w14:paraId="1D888CD9" w14:textId="77777777" w:rsidR="00402CDD" w:rsidRPr="002F61BB" w:rsidRDefault="00402CDD" w:rsidP="00402CDD">
            <w:pPr>
              <w:pStyle w:val="TableParagraph"/>
              <w:spacing w:before="108"/>
              <w:ind w:left="85"/>
              <w:jc w:val="both"/>
              <w:rPr>
                <w:rFonts w:ascii="Times New Roman" w:eastAsia="Times New Roman" w:hAnsi="Times New Roman"/>
                <w:sz w:val="20"/>
                <w:szCs w:val="20"/>
                <w:lang w:val="es-ES"/>
              </w:rPr>
            </w:pPr>
            <w:r w:rsidRPr="002F61BB">
              <w:rPr>
                <w:rFonts w:ascii="Times New Roman" w:eastAsia="Times New Roman" w:hAnsi="Times New Roman" w:cs="Times New Roman"/>
                <w:sz w:val="20"/>
                <w:szCs w:val="20"/>
                <w:lang w:val="es-ES"/>
              </w:rPr>
              <w:t>KDPW_PL</w:t>
            </w:r>
          </w:p>
          <w:p w14:paraId="1A9011C3" w14:textId="77777777" w:rsidR="00402CDD" w:rsidRPr="002F61BB" w:rsidRDefault="00402CDD" w:rsidP="00402CDD">
            <w:pPr>
              <w:pStyle w:val="TableParagraph"/>
              <w:spacing w:before="108"/>
              <w:ind w:left="85"/>
              <w:jc w:val="both"/>
              <w:rPr>
                <w:rFonts w:ascii="Times New Roman" w:eastAsia="Times New Roman" w:hAnsi="Times New Roman"/>
                <w:sz w:val="20"/>
                <w:szCs w:val="20"/>
                <w:lang w:val="es-ES"/>
              </w:rPr>
            </w:pPr>
            <w:r w:rsidRPr="002F61BB">
              <w:rPr>
                <w:rFonts w:ascii="Times New Roman" w:eastAsia="Times New Roman" w:hAnsi="Times New Roman" w:cs="Times New Roman"/>
                <w:sz w:val="20"/>
                <w:szCs w:val="20"/>
                <w:lang w:val="es-ES"/>
              </w:rPr>
              <w:t>KELER_HU</w:t>
            </w:r>
          </w:p>
          <w:p w14:paraId="240630C5" w14:textId="77777777" w:rsidR="00402CDD" w:rsidRPr="002F61BB" w:rsidRDefault="00402CDD" w:rsidP="00402CDD">
            <w:pPr>
              <w:pStyle w:val="TableParagraph"/>
              <w:spacing w:before="108"/>
              <w:ind w:left="85"/>
              <w:jc w:val="both"/>
              <w:rPr>
                <w:rFonts w:ascii="Times New Roman" w:eastAsia="Times New Roman" w:hAnsi="Times New Roman"/>
                <w:sz w:val="20"/>
                <w:szCs w:val="20"/>
                <w:lang w:val="es-ES"/>
              </w:rPr>
            </w:pPr>
            <w:r w:rsidRPr="002F61BB">
              <w:rPr>
                <w:rFonts w:ascii="Times New Roman" w:eastAsia="Times New Roman" w:hAnsi="Times New Roman" w:cs="Times New Roman"/>
                <w:sz w:val="20"/>
                <w:szCs w:val="20"/>
                <w:lang w:val="es-ES"/>
              </w:rPr>
              <w:t>LUX CSD_LU</w:t>
            </w:r>
          </w:p>
          <w:p w14:paraId="1C89C19F" w14:textId="77777777" w:rsidR="00402CDD" w:rsidRPr="002F61BB" w:rsidRDefault="00402CDD" w:rsidP="00402CDD">
            <w:pPr>
              <w:pStyle w:val="TableParagraph"/>
              <w:spacing w:before="108"/>
              <w:ind w:left="85"/>
              <w:jc w:val="both"/>
              <w:rPr>
                <w:rFonts w:ascii="Times New Roman" w:eastAsia="Times New Roman" w:hAnsi="Times New Roman"/>
                <w:sz w:val="20"/>
                <w:szCs w:val="20"/>
                <w:lang w:val="es-ES"/>
              </w:rPr>
            </w:pPr>
            <w:r w:rsidRPr="002F61BB">
              <w:rPr>
                <w:rFonts w:ascii="Times New Roman" w:eastAsia="Times New Roman" w:hAnsi="Times New Roman" w:cs="Times New Roman"/>
                <w:sz w:val="20"/>
                <w:szCs w:val="20"/>
                <w:lang w:val="es-ES"/>
              </w:rPr>
              <w:t>Malta Stock Exchange CSD_MT</w:t>
            </w:r>
          </w:p>
          <w:p w14:paraId="6BD5B23F" w14:textId="77777777" w:rsidR="00402CDD" w:rsidRPr="00C5754B" w:rsidRDefault="00402CDD" w:rsidP="00402CDD">
            <w:pPr>
              <w:pStyle w:val="TableParagraph"/>
              <w:spacing w:before="108"/>
              <w:ind w:left="85"/>
              <w:jc w:val="both"/>
              <w:rPr>
                <w:rFonts w:ascii="Times New Roman" w:eastAsia="Times New Roman" w:hAnsi="Times New Roman"/>
                <w:sz w:val="20"/>
                <w:szCs w:val="20"/>
                <w:lang w:val="en-GB"/>
              </w:rPr>
            </w:pPr>
            <w:r w:rsidRPr="00C5754B">
              <w:rPr>
                <w:rFonts w:ascii="Times New Roman" w:eastAsia="Times New Roman" w:hAnsi="Times New Roman" w:cs="Times New Roman"/>
                <w:sz w:val="20"/>
                <w:szCs w:val="20"/>
                <w:lang w:val="en-GB"/>
              </w:rPr>
              <w:t>Euronext Securities Milan_IT</w:t>
            </w:r>
          </w:p>
          <w:p w14:paraId="002411A7" w14:textId="77777777" w:rsidR="00402CDD" w:rsidRPr="00C5754B" w:rsidRDefault="00402CDD" w:rsidP="00402CDD">
            <w:pPr>
              <w:pStyle w:val="TableParagraph"/>
              <w:spacing w:before="108"/>
              <w:ind w:left="85"/>
              <w:jc w:val="both"/>
              <w:rPr>
                <w:rFonts w:ascii="Times New Roman" w:eastAsia="Times New Roman" w:hAnsi="Times New Roman"/>
                <w:sz w:val="20"/>
                <w:szCs w:val="20"/>
                <w:lang w:val="en-GB"/>
              </w:rPr>
            </w:pPr>
            <w:r w:rsidRPr="00C5754B">
              <w:rPr>
                <w:rFonts w:ascii="Times New Roman" w:eastAsia="Times New Roman" w:hAnsi="Times New Roman" w:cs="Times New Roman"/>
                <w:sz w:val="20"/>
                <w:szCs w:val="20"/>
                <w:lang w:val="en-GB"/>
              </w:rPr>
              <w:t>Nasdaq CSD_EE</w:t>
            </w:r>
          </w:p>
          <w:p w14:paraId="02C5E367" w14:textId="77777777" w:rsidR="00402CDD" w:rsidRPr="00C5754B" w:rsidRDefault="00402CDD" w:rsidP="00402CDD">
            <w:pPr>
              <w:pStyle w:val="TableParagraph"/>
              <w:spacing w:before="108"/>
              <w:ind w:left="85"/>
              <w:jc w:val="both"/>
              <w:rPr>
                <w:rFonts w:ascii="Times New Roman" w:eastAsia="Times New Roman" w:hAnsi="Times New Roman"/>
                <w:sz w:val="20"/>
                <w:szCs w:val="20"/>
                <w:lang w:val="en-GB"/>
              </w:rPr>
            </w:pPr>
            <w:r w:rsidRPr="00C5754B">
              <w:rPr>
                <w:rFonts w:ascii="Times New Roman" w:eastAsia="Times New Roman" w:hAnsi="Times New Roman" w:cs="Times New Roman"/>
                <w:sz w:val="20"/>
                <w:szCs w:val="20"/>
                <w:lang w:val="en-GB"/>
              </w:rPr>
              <w:t>Nasdaq CSD_LT</w:t>
            </w:r>
          </w:p>
          <w:p w14:paraId="7CB18E94" w14:textId="77777777" w:rsidR="00402CDD" w:rsidRPr="00C5754B" w:rsidRDefault="00402CDD" w:rsidP="00402CDD">
            <w:pPr>
              <w:pStyle w:val="TableParagraph"/>
              <w:spacing w:before="108"/>
              <w:ind w:left="85"/>
              <w:jc w:val="both"/>
              <w:rPr>
                <w:rFonts w:ascii="Times New Roman" w:eastAsia="Times New Roman" w:hAnsi="Times New Roman"/>
                <w:sz w:val="20"/>
                <w:szCs w:val="20"/>
                <w:lang w:val="en-GB"/>
              </w:rPr>
            </w:pPr>
            <w:r w:rsidRPr="00C5754B">
              <w:rPr>
                <w:rFonts w:ascii="Times New Roman" w:eastAsia="Times New Roman" w:hAnsi="Times New Roman" w:cs="Times New Roman"/>
                <w:sz w:val="20"/>
                <w:szCs w:val="20"/>
                <w:lang w:val="en-GB"/>
              </w:rPr>
              <w:t>Nasdaq CSD_LV</w:t>
            </w:r>
          </w:p>
          <w:p w14:paraId="42B7B9C4" w14:textId="77777777" w:rsidR="00402CDD" w:rsidRPr="00C5754B" w:rsidRDefault="00402CDD" w:rsidP="00402CDD">
            <w:pPr>
              <w:pStyle w:val="TableParagraph"/>
              <w:spacing w:before="108"/>
              <w:ind w:left="85"/>
              <w:jc w:val="both"/>
              <w:rPr>
                <w:rFonts w:ascii="Times New Roman" w:eastAsia="Times New Roman" w:hAnsi="Times New Roman"/>
                <w:sz w:val="20"/>
                <w:szCs w:val="20"/>
                <w:lang w:val="en-GB"/>
              </w:rPr>
            </w:pPr>
            <w:r w:rsidRPr="00C5754B">
              <w:rPr>
                <w:rFonts w:ascii="Times New Roman" w:eastAsia="Times New Roman" w:hAnsi="Times New Roman" w:cs="Times New Roman"/>
                <w:sz w:val="20"/>
                <w:szCs w:val="20"/>
                <w:lang w:val="en-GB"/>
              </w:rPr>
              <w:t>NBB SSS_BE</w:t>
            </w:r>
          </w:p>
          <w:p w14:paraId="1D5E717E" w14:textId="77777777" w:rsidR="00402CDD" w:rsidRPr="00C5754B" w:rsidRDefault="00402CDD" w:rsidP="00402CDD">
            <w:pPr>
              <w:pStyle w:val="TableParagraph"/>
              <w:spacing w:before="108"/>
              <w:ind w:left="85"/>
              <w:jc w:val="both"/>
              <w:rPr>
                <w:rFonts w:ascii="Times New Roman" w:eastAsia="Times New Roman" w:hAnsi="Times New Roman"/>
                <w:sz w:val="20"/>
                <w:szCs w:val="20"/>
                <w:lang w:val="en-GB"/>
              </w:rPr>
            </w:pPr>
            <w:r w:rsidRPr="00C5754B">
              <w:rPr>
                <w:rFonts w:ascii="Times New Roman" w:eastAsia="Times New Roman" w:hAnsi="Times New Roman" w:cs="Times New Roman"/>
                <w:sz w:val="20"/>
                <w:szCs w:val="20"/>
                <w:lang w:val="en-GB"/>
              </w:rPr>
              <w:t>nCDCP_SK</w:t>
            </w:r>
          </w:p>
          <w:p w14:paraId="4B34A7B8" w14:textId="77777777" w:rsidR="00402CDD" w:rsidRPr="00C5754B" w:rsidRDefault="00402CDD" w:rsidP="00402CDD">
            <w:pPr>
              <w:pStyle w:val="TableParagraph"/>
              <w:spacing w:before="108"/>
              <w:ind w:left="85"/>
              <w:jc w:val="both"/>
              <w:rPr>
                <w:rFonts w:ascii="Times New Roman" w:eastAsia="Times New Roman" w:hAnsi="Times New Roman"/>
                <w:sz w:val="20"/>
                <w:szCs w:val="20"/>
                <w:lang w:val="en-GB"/>
              </w:rPr>
            </w:pPr>
            <w:r w:rsidRPr="00C5754B">
              <w:rPr>
                <w:rFonts w:ascii="Times New Roman" w:eastAsia="Times New Roman" w:hAnsi="Times New Roman" w:cs="Times New Roman"/>
                <w:sz w:val="20"/>
                <w:szCs w:val="20"/>
                <w:lang w:val="en-GB"/>
              </w:rPr>
              <w:t>OeKB CSD_AT</w:t>
            </w:r>
          </w:p>
          <w:p w14:paraId="3E13197B" w14:textId="77777777" w:rsidR="00402CDD" w:rsidRPr="00C5754B" w:rsidRDefault="00402CDD" w:rsidP="00402CDD">
            <w:pPr>
              <w:pStyle w:val="TableParagraph"/>
              <w:spacing w:before="108"/>
              <w:ind w:left="85"/>
              <w:jc w:val="both"/>
              <w:rPr>
                <w:rFonts w:ascii="Times New Roman" w:eastAsia="Times New Roman" w:hAnsi="Times New Roman"/>
                <w:sz w:val="20"/>
                <w:szCs w:val="20"/>
                <w:lang w:val="en-GB"/>
              </w:rPr>
            </w:pPr>
            <w:r w:rsidRPr="00C5754B">
              <w:rPr>
                <w:rFonts w:ascii="Times New Roman" w:eastAsia="Times New Roman" w:hAnsi="Times New Roman" w:cs="Times New Roman"/>
                <w:sz w:val="20"/>
                <w:szCs w:val="20"/>
                <w:lang w:val="en-GB"/>
              </w:rPr>
              <w:t>SAFIR_RO</w:t>
            </w:r>
          </w:p>
          <w:p w14:paraId="7DC56324" w14:textId="77777777" w:rsidR="00402CDD" w:rsidRPr="00C5754B" w:rsidRDefault="00402CDD" w:rsidP="00402CDD">
            <w:pPr>
              <w:pStyle w:val="TableParagraph"/>
              <w:spacing w:before="108"/>
              <w:ind w:left="85"/>
              <w:jc w:val="both"/>
              <w:rPr>
                <w:rFonts w:ascii="Times New Roman" w:eastAsia="Times New Roman" w:hAnsi="Times New Roman"/>
                <w:sz w:val="20"/>
                <w:szCs w:val="20"/>
                <w:lang w:val="en-GB"/>
              </w:rPr>
            </w:pPr>
            <w:r w:rsidRPr="00C5754B">
              <w:rPr>
                <w:rFonts w:ascii="Times New Roman" w:eastAsia="Times New Roman" w:hAnsi="Times New Roman" w:cs="Times New Roman"/>
                <w:sz w:val="20"/>
                <w:szCs w:val="20"/>
                <w:lang w:val="en-GB"/>
              </w:rPr>
              <w:t>SIX SIS_CH</w:t>
            </w:r>
          </w:p>
          <w:p w14:paraId="187945A8" w14:textId="77777777" w:rsidR="00402CDD" w:rsidRPr="00C5754B" w:rsidRDefault="00402CDD" w:rsidP="00402CDD">
            <w:pPr>
              <w:pStyle w:val="TableParagraph"/>
              <w:spacing w:before="108"/>
              <w:ind w:left="85"/>
              <w:jc w:val="both"/>
              <w:rPr>
                <w:rFonts w:ascii="Times New Roman" w:eastAsia="Times New Roman" w:hAnsi="Times New Roman"/>
                <w:sz w:val="20"/>
                <w:szCs w:val="20"/>
                <w:lang w:val="en-GB"/>
              </w:rPr>
            </w:pPr>
            <w:r w:rsidRPr="00C5754B">
              <w:rPr>
                <w:rFonts w:ascii="Times New Roman" w:eastAsia="Times New Roman" w:hAnsi="Times New Roman" w:cs="Times New Roman"/>
                <w:sz w:val="20"/>
                <w:szCs w:val="20"/>
                <w:lang w:val="en-GB"/>
              </w:rPr>
              <w:t>SKARBNET4_PL</w:t>
            </w:r>
          </w:p>
          <w:p w14:paraId="7F71EEF5" w14:textId="77777777" w:rsidR="00402CDD" w:rsidRPr="00C5754B" w:rsidRDefault="00402CDD" w:rsidP="00402CDD">
            <w:pPr>
              <w:pStyle w:val="TableParagraph"/>
              <w:spacing w:before="108"/>
              <w:ind w:left="85"/>
              <w:jc w:val="both"/>
              <w:rPr>
                <w:rFonts w:ascii="Times New Roman" w:eastAsia="Times New Roman" w:hAnsi="Times New Roman"/>
                <w:sz w:val="20"/>
                <w:szCs w:val="20"/>
                <w:lang w:val="en-GB"/>
              </w:rPr>
            </w:pPr>
            <w:r w:rsidRPr="00C5754B">
              <w:rPr>
                <w:rFonts w:ascii="Times New Roman" w:eastAsia="Times New Roman" w:hAnsi="Times New Roman" w:cs="Times New Roman"/>
                <w:sz w:val="20"/>
                <w:szCs w:val="20"/>
                <w:lang w:val="en-GB"/>
              </w:rPr>
              <w:t>SKD_CZ</w:t>
            </w:r>
          </w:p>
          <w:p w14:paraId="50E91E4B" w14:textId="77777777" w:rsidR="00402CDD" w:rsidRPr="00C5754B" w:rsidRDefault="00402CDD" w:rsidP="00402CDD">
            <w:pPr>
              <w:pStyle w:val="TableParagraph"/>
              <w:spacing w:before="108"/>
              <w:ind w:left="85"/>
              <w:jc w:val="both"/>
              <w:rPr>
                <w:rFonts w:ascii="Times New Roman" w:eastAsia="Times New Roman" w:hAnsi="Times New Roman"/>
                <w:sz w:val="20"/>
                <w:szCs w:val="20"/>
                <w:lang w:val="en-GB"/>
              </w:rPr>
            </w:pPr>
            <w:r w:rsidRPr="00C5754B">
              <w:rPr>
                <w:rFonts w:ascii="Times New Roman" w:eastAsia="Times New Roman" w:hAnsi="Times New Roman" w:cs="Times New Roman"/>
                <w:sz w:val="20"/>
                <w:szCs w:val="20"/>
                <w:lang w:val="en-GB"/>
              </w:rPr>
              <w:t>VP Securities_DK</w:t>
            </w:r>
          </w:p>
          <w:p w14:paraId="7FE1D02E" w14:textId="0522708D" w:rsidR="00696584" w:rsidRPr="00C5754B" w:rsidRDefault="00402CDD">
            <w:pPr>
              <w:pStyle w:val="P68B1DB1-TableParagraph40"/>
              <w:spacing w:before="108"/>
              <w:ind w:left="85"/>
              <w:jc w:val="both"/>
              <w:rPr>
                <w:lang w:val="en-GB"/>
              </w:rPr>
            </w:pPr>
            <w:r w:rsidRPr="00C5754B">
              <w:rPr>
                <w:lang w:val="en-GB"/>
              </w:rPr>
              <w:t>VPS_NO</w:t>
            </w:r>
          </w:p>
        </w:tc>
      </w:tr>
      <w:tr w:rsidR="00696584" w14:paraId="7FE1D036" w14:textId="77777777">
        <w:tc>
          <w:tcPr>
            <w:tcW w:w="1415" w:type="dxa"/>
            <w:tcBorders>
              <w:top w:val="single" w:sz="8" w:space="0" w:color="1A171C"/>
              <w:left w:val="nil"/>
              <w:bottom w:val="single" w:sz="8" w:space="0" w:color="1A171C"/>
              <w:right w:val="single" w:sz="8" w:space="0" w:color="1A171C"/>
            </w:tcBorders>
            <w:vAlign w:val="center"/>
          </w:tcPr>
          <w:p w14:paraId="7FE1D033" w14:textId="77777777" w:rsidR="00696584" w:rsidRDefault="002C4F63">
            <w:pPr>
              <w:pStyle w:val="P68B1DB1-Normal31"/>
            </w:pPr>
            <w:r>
              <w:lastRenderedPageBreak/>
              <w:t>0270</w:t>
            </w:r>
          </w:p>
        </w:tc>
        <w:tc>
          <w:tcPr>
            <w:tcW w:w="7611" w:type="dxa"/>
            <w:gridSpan w:val="2"/>
            <w:tcBorders>
              <w:top w:val="single" w:sz="8" w:space="0" w:color="1A171C"/>
              <w:left w:val="single" w:sz="8" w:space="0" w:color="1A171C"/>
              <w:bottom w:val="single" w:sz="8" w:space="0" w:color="1A171C"/>
              <w:right w:val="nil"/>
            </w:tcBorders>
            <w:vAlign w:val="bottom"/>
          </w:tcPr>
          <w:p w14:paraId="7FE1D034" w14:textId="7763C810" w:rsidR="00696584" w:rsidRDefault="002C4F63">
            <w:pPr>
              <w:pStyle w:val="P68B1DB1-TableParagraph73"/>
              <w:spacing w:before="108"/>
              <w:ind w:left="85"/>
              <w:jc w:val="both"/>
              <w:rPr>
                <w:bCs/>
              </w:rPr>
            </w:pPr>
            <w:r>
              <w:t>Höhe der Verpfändung, des Pfand- und Zurückbehaltungsrechts oder der Sicherheit</w:t>
            </w:r>
          </w:p>
          <w:p w14:paraId="7FE1D035" w14:textId="01C91AE9" w:rsidR="00696584" w:rsidRDefault="002C4F63">
            <w:pPr>
              <w:pStyle w:val="P68B1DB1-TableParagraph40"/>
              <w:spacing w:before="108"/>
              <w:ind w:left="85"/>
              <w:jc w:val="both"/>
            </w:pPr>
            <w:r>
              <w:t xml:space="preserve">Bei einer mit einem Pfand, einem Zurückbehaltungsrecht oder einer Sicherheit besicherten Verbindlichkeit ist der Brutto-Marktwert der Besicherung anzugeben. Bei unbesicherten Verbindlichkeiten ist hier Null anzugeben. Dieser Betrag bestimmt den besicherten und damit auch den unbesicherten Teil jeder besicherten Verbindlichkeit. Bei Sicherheitenpools, </w:t>
            </w:r>
            <w:r>
              <w:lastRenderedPageBreak/>
              <w:t>die der Besicherung mehrerer Einzelpositionen dienen, ist die Gesamt-Besicherungsquote zu bestimmen und anteilig auf alle durch diesen Sicherheitenpool abgedeckten Einzelpositionen anzuwenden.</w:t>
            </w:r>
          </w:p>
        </w:tc>
      </w:tr>
      <w:tr w:rsidR="00696584" w14:paraId="7FE1D03A" w14:textId="77777777">
        <w:tc>
          <w:tcPr>
            <w:tcW w:w="1415" w:type="dxa"/>
            <w:tcBorders>
              <w:top w:val="single" w:sz="8" w:space="0" w:color="1A171C"/>
              <w:left w:val="nil"/>
              <w:bottom w:val="single" w:sz="8" w:space="0" w:color="1A171C"/>
              <w:right w:val="single" w:sz="8" w:space="0" w:color="1A171C"/>
            </w:tcBorders>
            <w:vAlign w:val="center"/>
          </w:tcPr>
          <w:p w14:paraId="7FE1D037" w14:textId="77777777" w:rsidR="00696584" w:rsidRDefault="002C4F63">
            <w:pPr>
              <w:pStyle w:val="P68B1DB1-Normal31"/>
            </w:pPr>
            <w:r>
              <w:lastRenderedPageBreak/>
              <w:t>0280</w:t>
            </w:r>
          </w:p>
        </w:tc>
        <w:tc>
          <w:tcPr>
            <w:tcW w:w="7611" w:type="dxa"/>
            <w:gridSpan w:val="2"/>
            <w:tcBorders>
              <w:top w:val="single" w:sz="8" w:space="0" w:color="1A171C"/>
              <w:left w:val="single" w:sz="8" w:space="0" w:color="1A171C"/>
              <w:bottom w:val="single" w:sz="8" w:space="0" w:color="1A171C"/>
              <w:right w:val="nil"/>
            </w:tcBorders>
            <w:vAlign w:val="bottom"/>
          </w:tcPr>
          <w:p w14:paraId="7FE1D038" w14:textId="1544768A" w:rsidR="00696584" w:rsidRDefault="00F61D1C">
            <w:pPr>
              <w:pStyle w:val="P68B1DB1-TableParagraph73"/>
              <w:spacing w:before="108"/>
              <w:ind w:left="85"/>
              <w:jc w:val="both"/>
              <w:rPr>
                <w:bCs/>
              </w:rPr>
            </w:pPr>
            <w:r>
              <w:t>Garantiegeber</w:t>
            </w:r>
          </w:p>
          <w:p w14:paraId="7FE1D039" w14:textId="7525BFD5" w:rsidR="00696584" w:rsidRDefault="002C4F63">
            <w:pPr>
              <w:pStyle w:val="P68B1DB1-TableParagraph40"/>
              <w:spacing w:before="108"/>
              <w:ind w:left="85"/>
              <w:jc w:val="both"/>
            </w:pPr>
            <w:r>
              <w:t>Bei einem mit Garantien versehenen Instrument ist die genaue Kennung des Garantiegebers anzugeben (LEI-Code, ISO-3166-1-Alpha-2-Code für Staat usw.). Gibt es mehrere Garantiegeber, sind die Kennungen für alle anzugeben, jeweils getrennt durch ein Semikolon.</w:t>
            </w:r>
          </w:p>
        </w:tc>
      </w:tr>
      <w:tr w:rsidR="00696584" w14:paraId="7FE1D045" w14:textId="77777777">
        <w:tc>
          <w:tcPr>
            <w:tcW w:w="1415" w:type="dxa"/>
            <w:tcBorders>
              <w:top w:val="single" w:sz="8" w:space="0" w:color="1A171C"/>
              <w:left w:val="nil"/>
              <w:bottom w:val="single" w:sz="8" w:space="0" w:color="1A171C"/>
              <w:right w:val="single" w:sz="8" w:space="0" w:color="1A171C"/>
            </w:tcBorders>
            <w:vAlign w:val="center"/>
          </w:tcPr>
          <w:p w14:paraId="7FE1D042" w14:textId="77777777" w:rsidR="00696584" w:rsidRDefault="002C4F63">
            <w:pPr>
              <w:pStyle w:val="P68B1DB1-Normal31"/>
            </w:pPr>
            <w:r>
              <w:t>0305</w:t>
            </w:r>
          </w:p>
        </w:tc>
        <w:tc>
          <w:tcPr>
            <w:tcW w:w="7611" w:type="dxa"/>
            <w:gridSpan w:val="2"/>
            <w:tcBorders>
              <w:top w:val="single" w:sz="8" w:space="0" w:color="1A171C"/>
              <w:left w:val="single" w:sz="8" w:space="0" w:color="1A171C"/>
              <w:bottom w:val="single" w:sz="8" w:space="0" w:color="1A171C"/>
              <w:right w:val="nil"/>
            </w:tcBorders>
            <w:vAlign w:val="bottom"/>
          </w:tcPr>
          <w:p w14:paraId="7FE1D043" w14:textId="77777777" w:rsidR="00696584" w:rsidRDefault="002C4F63">
            <w:pPr>
              <w:pStyle w:val="P68B1DB1-TableParagraph73"/>
              <w:spacing w:before="108"/>
              <w:ind w:left="85"/>
              <w:jc w:val="both"/>
              <w:rPr>
                <w:bCs/>
              </w:rPr>
            </w:pPr>
            <w:r>
              <w:t xml:space="preserve">Betrag, der die Voraussetzungen für die interne Anrechenbarkeit auf die MREL erfüllt </w:t>
            </w:r>
          </w:p>
          <w:p w14:paraId="7FE1D044" w14:textId="63D3C63A" w:rsidR="00696584" w:rsidRDefault="002C4F63">
            <w:pPr>
              <w:pStyle w:val="P68B1DB1-TableParagraph40"/>
              <w:spacing w:before="108"/>
              <w:ind w:left="85"/>
              <w:jc w:val="both"/>
            </w:pPr>
            <w:r>
              <w:t>Der Betrag der Eigenmittel und berücksichtigungsfähigen Verbindlichkeiten, der auf die gemäß Artikel 45 Absatz 1 der Richtlinie 2014/59/EU festgelegte Anforderung angerechnet wird.</w:t>
            </w:r>
          </w:p>
        </w:tc>
      </w:tr>
      <w:tr w:rsidR="00696584" w14:paraId="7FE1D04C" w14:textId="77777777">
        <w:trPr>
          <w:trHeight w:val="2982"/>
        </w:trPr>
        <w:tc>
          <w:tcPr>
            <w:tcW w:w="1415" w:type="dxa"/>
            <w:tcBorders>
              <w:top w:val="single" w:sz="8" w:space="0" w:color="1A171C"/>
              <w:left w:val="nil"/>
              <w:bottom w:val="single" w:sz="8" w:space="0" w:color="1A171C"/>
              <w:right w:val="single" w:sz="8" w:space="0" w:color="1A171C"/>
            </w:tcBorders>
            <w:vAlign w:val="center"/>
          </w:tcPr>
          <w:p w14:paraId="7FE1D046" w14:textId="77777777" w:rsidR="00696584" w:rsidRDefault="002C4F63">
            <w:pPr>
              <w:pStyle w:val="P68B1DB1-Normal31"/>
            </w:pPr>
            <w:r>
              <w:t>0310</w:t>
            </w:r>
          </w:p>
          <w:p w14:paraId="7FE1D047" w14:textId="77777777" w:rsidR="00696584" w:rsidRDefault="002C4F63">
            <w:pPr>
              <w:pStyle w:val="P68B1DB1-Normal31"/>
            </w:pPr>
            <w:r>
              <w:t xml:space="preserve"> </w:t>
            </w:r>
          </w:p>
        </w:tc>
        <w:tc>
          <w:tcPr>
            <w:tcW w:w="7611" w:type="dxa"/>
            <w:gridSpan w:val="2"/>
            <w:tcBorders>
              <w:top w:val="single" w:sz="8" w:space="0" w:color="1A171C"/>
              <w:left w:val="single" w:sz="8" w:space="0" w:color="1A171C"/>
              <w:right w:val="nil"/>
            </w:tcBorders>
            <w:vAlign w:val="bottom"/>
          </w:tcPr>
          <w:p w14:paraId="7FE1D048" w14:textId="1CDBBE51" w:rsidR="00696584" w:rsidRDefault="002C4F63">
            <w:pPr>
              <w:pStyle w:val="P68B1DB1-TableParagraph73"/>
              <w:spacing w:before="108"/>
              <w:ind w:left="85"/>
              <w:jc w:val="both"/>
              <w:rPr>
                <w:bCs/>
              </w:rPr>
            </w:pPr>
            <w:r>
              <w:t xml:space="preserve">Einstufung als Eigenmittel </w:t>
            </w:r>
          </w:p>
          <w:p w14:paraId="7FE1D049" w14:textId="4DCD25E8" w:rsidR="00696584" w:rsidRDefault="002C4F63">
            <w:pPr>
              <w:pStyle w:val="P68B1DB1-TableParagraph40"/>
              <w:spacing w:before="108"/>
              <w:ind w:left="85"/>
              <w:jc w:val="both"/>
            </w:pPr>
            <w:r>
              <w:t>Es ist anzugeben, ob und in welcher Position das Instrument als Eigenmittel eingestuft wird;</w:t>
            </w:r>
            <w:r w:rsidR="00D1158C">
              <w:t xml:space="preserve"> </w:t>
            </w:r>
            <w:r>
              <w:t>zudem sind Informationen zu Auslaufregelungen und Bestandsschutzvereinbarungen zu geben. Aus der vorgegebenen Liste kann Folgendes ausgewählt werden:</w:t>
            </w:r>
            <w:r w:rsidR="00D1158C">
              <w:t xml:space="preserve"> </w:t>
            </w:r>
            <w:r>
              <w:t xml:space="preserve">„Nein“, „Teilweise zusätzliches Kernkapital, Kernkapital und Ergänzungskapital“, „Ergänzungskapital – Auslaufregelung“, „Ergänzungskapital mit Bestandsschutz“, „Ergänzungskapital mit voller Erfüllung der Anforderungen“, „Zusätzliches Kernkapital mit Bestandsschutz“, „Zusätzliches Kernkapital mit voller Erfüllung der Anforderungen“ oder „Hartes Kernkapital“. </w:t>
            </w:r>
          </w:p>
          <w:p w14:paraId="7FE1D04A" w14:textId="57677C97" w:rsidR="00696584" w:rsidRDefault="002C4F63">
            <w:pPr>
              <w:pStyle w:val="P68B1DB1-TableParagraph40"/>
              <w:spacing w:before="108"/>
              <w:ind w:left="85"/>
              <w:jc w:val="both"/>
            </w:pPr>
            <w:r>
              <w:t>In der Auswahlliste gilt „auslaufend“ für den Zeitraum von fünf Jahren vor der Fälligkeit eines Instruments des Ergänzungskapitals;</w:t>
            </w:r>
            <w:r w:rsidR="00D1158C">
              <w:t xml:space="preserve"> </w:t>
            </w:r>
            <w:r>
              <w:t>in diesem Zeitraum wird das Instrument gemäß der bis zur Fälligkeit verbleibenden Laufzeit nur anteilig angerechnet. Die Option „mit Bestandsschutz“ bezieht sich auf jegliche Übergangsmaßnahmen bei Instrumenten des Ergänzungskapitals, mit Ausnahme von „auslaufend“. Im Rahmen dieses Bestandsschutzes kann die Anerkennung in vollem Umfang oder teilweise erfolgen.</w:t>
            </w:r>
          </w:p>
          <w:p w14:paraId="7FE1D04B" w14:textId="56289907" w:rsidR="00696584" w:rsidRDefault="002C4F63">
            <w:pPr>
              <w:pStyle w:val="P68B1DB1-TableParagraph40"/>
              <w:spacing w:before="108"/>
              <w:ind w:left="85"/>
              <w:jc w:val="both"/>
            </w:pPr>
            <w:r>
              <w:t xml:space="preserve"> </w:t>
            </w:r>
          </w:p>
        </w:tc>
      </w:tr>
      <w:tr w:rsidR="00696584" w14:paraId="7FE1D051" w14:textId="77777777">
        <w:tc>
          <w:tcPr>
            <w:tcW w:w="1415" w:type="dxa"/>
            <w:tcBorders>
              <w:top w:val="single" w:sz="8" w:space="0" w:color="1A171C"/>
              <w:left w:val="nil"/>
              <w:bottom w:val="single" w:sz="8" w:space="0" w:color="1A171C"/>
              <w:right w:val="single" w:sz="8" w:space="0" w:color="1A171C"/>
            </w:tcBorders>
            <w:vAlign w:val="center"/>
          </w:tcPr>
          <w:p w14:paraId="7FE1D04D" w14:textId="77777777" w:rsidR="00696584" w:rsidRDefault="002C4F63">
            <w:pPr>
              <w:pStyle w:val="P68B1DB1-Normal31"/>
            </w:pPr>
            <w:r>
              <w:t>0320</w:t>
            </w:r>
          </w:p>
        </w:tc>
        <w:tc>
          <w:tcPr>
            <w:tcW w:w="7611" w:type="dxa"/>
            <w:gridSpan w:val="2"/>
            <w:tcBorders>
              <w:top w:val="single" w:sz="8" w:space="0" w:color="1A171C"/>
              <w:left w:val="single" w:sz="8" w:space="0" w:color="1A171C"/>
              <w:bottom w:val="single" w:sz="8" w:space="0" w:color="1A171C"/>
              <w:right w:val="nil"/>
            </w:tcBorders>
            <w:vAlign w:val="bottom"/>
          </w:tcPr>
          <w:p w14:paraId="7FE1D04E" w14:textId="7E845123" w:rsidR="00696584" w:rsidRDefault="002C4F63">
            <w:pPr>
              <w:pStyle w:val="P68B1DB1-TableParagraph40"/>
              <w:spacing w:before="108"/>
              <w:ind w:left="85"/>
              <w:jc w:val="both"/>
              <w:rPr>
                <w:b/>
                <w:bCs/>
              </w:rPr>
            </w:pPr>
            <w:r>
              <w:t xml:space="preserve"> </w:t>
            </w:r>
            <w:r>
              <w:rPr>
                <w:b/>
              </w:rPr>
              <w:t xml:space="preserve">Als Eigenmittel </w:t>
            </w:r>
            <w:r w:rsidR="00F61D1C">
              <w:rPr>
                <w:b/>
              </w:rPr>
              <w:t xml:space="preserve">anrechenbarer </w:t>
            </w:r>
            <w:r>
              <w:rPr>
                <w:b/>
              </w:rPr>
              <w:t>Betrag</w:t>
            </w:r>
          </w:p>
          <w:p w14:paraId="7FE1D050" w14:textId="1253231B" w:rsidR="00696584" w:rsidRDefault="002C4F63">
            <w:pPr>
              <w:pStyle w:val="P68B1DB1-TableParagraph40"/>
              <w:spacing w:before="108"/>
              <w:ind w:left="85"/>
              <w:jc w:val="both"/>
            </w:pPr>
            <w:r>
              <w:t>Der Betrag des als Eigenmittel geltenden Instruments.</w:t>
            </w:r>
          </w:p>
        </w:tc>
      </w:tr>
    </w:tbl>
    <w:p w14:paraId="7FE1D052" w14:textId="77777777" w:rsidR="00696584" w:rsidRDefault="00696584">
      <w:pPr>
        <w:rPr>
          <w:rFonts w:ascii="Times New Roman" w:hAnsi="Times New Roman" w:cs="Times New Roman"/>
        </w:rPr>
      </w:pPr>
    </w:p>
    <w:p w14:paraId="7FE1D053" w14:textId="77777777" w:rsidR="00696584" w:rsidRDefault="00696584">
      <w:pPr>
        <w:pStyle w:val="Instructionsberschrift2"/>
        <w:ind w:left="357"/>
        <w:rPr>
          <w:rFonts w:ascii="Times New Roman" w:eastAsia="Calibri" w:hAnsi="Times New Roman" w:cs="Times New Roman"/>
          <w:szCs w:val="20"/>
        </w:rPr>
      </w:pPr>
    </w:p>
    <w:p w14:paraId="7FE1D054" w14:textId="6B5C3BCC" w:rsidR="00696584" w:rsidRDefault="002C4F63">
      <w:pPr>
        <w:pStyle w:val="Instructionsberschrift2"/>
        <w:numPr>
          <w:ilvl w:val="1"/>
          <w:numId w:val="49"/>
        </w:numPr>
        <w:spacing w:before="0"/>
        <w:ind w:left="357" w:hanging="357"/>
        <w:rPr>
          <w:rFonts w:ascii="Times New Roman" w:hAnsi="Times New Roman" w:cs="Times New Roman"/>
        </w:rPr>
      </w:pPr>
      <w:bookmarkStart w:id="244" w:name="_Toc209533616"/>
      <w:r>
        <w:rPr>
          <w:rFonts w:ascii="Times New Roman" w:eastAsiaTheme="minorEastAsia" w:hAnsi="Times New Roman" w:cs="Times New Roman"/>
        </w:rPr>
        <w:t xml:space="preserve">Z 13.00 – Alle Einlagen (ohne gruppeninterne) </w:t>
      </w:r>
      <w:r>
        <w:rPr>
          <w:rFonts w:ascii="Times New Roman" w:eastAsia="Calibri" w:hAnsi="Times New Roman" w:cs="Times New Roman"/>
          <w:szCs w:val="20"/>
        </w:rPr>
        <w:t>(LIAB-G-3)</w:t>
      </w:r>
      <w:bookmarkEnd w:id="244"/>
    </w:p>
    <w:p w14:paraId="7FE1D057" w14:textId="77777777" w:rsidR="00696584" w:rsidRDefault="002C4F63">
      <w:pPr>
        <w:pStyle w:val="P68B1DB1-Numberedtitlelevel372"/>
      </w:pPr>
      <w:r>
        <w:t>Allgemeine Bemerkungen</w:t>
      </w:r>
    </w:p>
    <w:p w14:paraId="7FE1D058" w14:textId="669C462E" w:rsidR="00696584" w:rsidRDefault="002C4F63">
      <w:pPr>
        <w:pStyle w:val="P68B1DB1-InstructionsText26"/>
        <w:numPr>
          <w:ilvl w:val="2"/>
          <w:numId w:val="209"/>
        </w:numPr>
        <w:spacing w:before="0"/>
        <w:ind w:left="1418"/>
        <w:rPr>
          <w:rFonts w:eastAsia="Cambria"/>
        </w:rPr>
      </w:pPr>
      <w:r>
        <w:t>Der Anwendungsbereich dieser Meldung umfasst alle Einlagen, ungeachtet der Art der Einlage oder ihrer Laufzeit, jedoch unter Ausschluss von gruppeninternen Transaktionen. Einlagen sollten auf der Grundlage der Definition in Artikel 2 Absatz 1 Nummer 3 der Richtlinie 2014/49/EU ermittelt werden.</w:t>
      </w:r>
    </w:p>
    <w:p w14:paraId="7FE1D05A" w14:textId="3529B715" w:rsidR="00696584" w:rsidRDefault="002C4F63">
      <w:pPr>
        <w:pStyle w:val="P68B1DB1-InstructionsText286"/>
        <w:numPr>
          <w:ilvl w:val="2"/>
          <w:numId w:val="209"/>
        </w:numPr>
        <w:spacing w:before="0"/>
        <w:ind w:left="1418"/>
      </w:pPr>
      <w:r>
        <w:t xml:space="preserve">Für die Zwecke dieser Tabelle werden alle nicht gedeckten und nicht bevorrechtigten Einlagen (im Sinne von Z 02.00-r0320) mit einer Restlaufzeit von weniger als einem Jahr, alle gedeckten Einlagen und nicht gedeckten, aber bevorrechtigten Einlagen (im Sinne von Z 02.00-r0310 und unabhängig von ihrer Restlaufzeit), nach Kategorie der Verbindlichkeiten (Spalte 0020), Art der Gegenpartei (Spalte 0025) und </w:t>
      </w:r>
      <w:r w:rsidR="00D1158C">
        <w:t xml:space="preserve">Insolvenzrang </w:t>
      </w:r>
      <w:r>
        <w:t xml:space="preserve">(Spalte 0030) zusammengefasst. Nicht gedeckte und nicht bevorrechtigte Einlagen mit einer Restlaufzeit von mindestens einem Jahr sind in Bezug auf alle verlangten Felder als einzelne Zeilenposition zu melden. </w:t>
      </w:r>
    </w:p>
    <w:p w14:paraId="7FE1D05B" w14:textId="1C6174C7" w:rsidR="00696584" w:rsidRDefault="002C4F63">
      <w:pPr>
        <w:pStyle w:val="InstructionsText2"/>
        <w:numPr>
          <w:ilvl w:val="2"/>
          <w:numId w:val="209"/>
        </w:numPr>
        <w:spacing w:before="0"/>
        <w:ind w:left="1418"/>
        <w:rPr>
          <w:rFonts w:ascii="Times New Roman" w:eastAsia="Cambria" w:hAnsi="Times New Roman" w:cs="Times New Roman"/>
          <w:sz w:val="20"/>
          <w:szCs w:val="20"/>
        </w:rPr>
      </w:pPr>
      <w:r>
        <w:rPr>
          <w:rFonts w:ascii="Times New Roman" w:eastAsia="Cambria" w:hAnsi="Times New Roman" w:cs="Times New Roman"/>
          <w:sz w:val="20"/>
          <w:szCs w:val="20"/>
        </w:rPr>
        <w:lastRenderedPageBreak/>
        <w:t>Ungeachtet Nummer 67 ist jede Einlage eines Kreditinstituts unabhängig von der Art der Einlage in Bezug auf alle verlangten Felder als einzelne Zeilenposition zu melden. Beispielsweise muss eine einzelne Transaktion in mehreren Zeilen gemeldet werden, wenn sie sich auf unterschiedliche Insolvenzrange bezieht.</w:t>
      </w:r>
    </w:p>
    <w:p w14:paraId="7FE1D05C" w14:textId="0E610125" w:rsidR="00696584" w:rsidRDefault="002C4F63">
      <w:pPr>
        <w:pStyle w:val="InstructionsText2"/>
        <w:numPr>
          <w:ilvl w:val="2"/>
          <w:numId w:val="209"/>
        </w:numPr>
        <w:spacing w:before="0"/>
        <w:ind w:left="1418"/>
        <w:rPr>
          <w:rFonts w:ascii="Times New Roman" w:eastAsia="Cambria" w:hAnsi="Times New Roman" w:cs="Times New Roman"/>
          <w:sz w:val="20"/>
          <w:szCs w:val="20"/>
        </w:rPr>
      </w:pPr>
      <w:r>
        <w:rPr>
          <w:rFonts w:ascii="Times New Roman" w:eastAsia="Cambria" w:hAnsi="Times New Roman" w:cs="Times New Roman"/>
          <w:sz w:val="20"/>
          <w:szCs w:val="20"/>
        </w:rPr>
        <w:t>Alle sonstigen Einlagen, auf die oben nicht ausdrücklich Bezug genommen wird, sind in Bezug auf alle angeforderten Felder als einzelne Zeilenposition zu melden.</w:t>
      </w:r>
    </w:p>
    <w:p w14:paraId="7FE1D061" w14:textId="77777777" w:rsidR="00696584" w:rsidRDefault="002C4F63">
      <w:pPr>
        <w:pStyle w:val="P68B1DB1-InstructionsText287"/>
        <w:numPr>
          <w:ilvl w:val="0"/>
          <w:numId w:val="0"/>
        </w:numPr>
        <w:ind w:left="753"/>
      </w:pPr>
      <w:r>
        <w:t>Erläuterungen zu bestimmten Positionen</w:t>
      </w:r>
    </w:p>
    <w:tbl>
      <w:tblPr>
        <w:tblW w:w="0" w:type="auto"/>
        <w:tblLook w:val="01E0" w:firstRow="1" w:lastRow="1" w:firstColumn="1" w:lastColumn="1" w:noHBand="0" w:noVBand="0"/>
      </w:tblPr>
      <w:tblGrid>
        <w:gridCol w:w="1188"/>
        <w:gridCol w:w="7772"/>
        <w:gridCol w:w="66"/>
      </w:tblGrid>
      <w:tr w:rsidR="00696584" w14:paraId="7FE1D064" w14:textId="77777777">
        <w:trPr>
          <w:gridAfter w:val="1"/>
          <w:wAfter w:w="66" w:type="dxa"/>
          <w:tblHeader/>
        </w:trPr>
        <w:tc>
          <w:tcPr>
            <w:tcW w:w="1188" w:type="dxa"/>
            <w:tcBorders>
              <w:top w:val="single" w:sz="4" w:space="0" w:color="1A171C"/>
              <w:left w:val="nil"/>
              <w:bottom w:val="single" w:sz="4" w:space="0" w:color="1A171C"/>
              <w:right w:val="single" w:sz="4" w:space="0" w:color="1A171C"/>
            </w:tcBorders>
            <w:shd w:val="clear" w:color="auto" w:fill="E4E5E5"/>
          </w:tcPr>
          <w:p w14:paraId="7FE1D062" w14:textId="77777777" w:rsidR="00696584" w:rsidRDefault="002C4F63">
            <w:pPr>
              <w:pStyle w:val="P68B1DB1-TableParagraph17"/>
              <w:spacing w:before="108"/>
              <w:ind w:left="85"/>
            </w:pPr>
            <w:r>
              <w:t>Spalten</w:t>
            </w:r>
          </w:p>
        </w:tc>
        <w:tc>
          <w:tcPr>
            <w:tcW w:w="7772" w:type="dxa"/>
            <w:tcBorders>
              <w:top w:val="single" w:sz="4" w:space="0" w:color="1A171C"/>
              <w:left w:val="single" w:sz="4" w:space="0" w:color="1A171C"/>
              <w:bottom w:val="single" w:sz="4" w:space="0" w:color="1A171C"/>
              <w:right w:val="nil"/>
            </w:tcBorders>
            <w:shd w:val="clear" w:color="auto" w:fill="E4E5E5"/>
          </w:tcPr>
          <w:p w14:paraId="7FE1D063" w14:textId="77777777" w:rsidR="00696584" w:rsidRDefault="002C4F63">
            <w:pPr>
              <w:pStyle w:val="P68B1DB1-TableParagraph17"/>
              <w:spacing w:before="108"/>
              <w:ind w:left="85" w:right="1"/>
            </w:pPr>
            <w:r>
              <w:t>Erläuterungen</w:t>
            </w:r>
          </w:p>
        </w:tc>
      </w:tr>
      <w:tr w:rsidR="00696584" w14:paraId="7FE1D068" w14:textId="77777777">
        <w:tc>
          <w:tcPr>
            <w:tcW w:w="1188" w:type="dxa"/>
            <w:tcBorders>
              <w:top w:val="single" w:sz="8" w:space="0" w:color="1A171C"/>
              <w:left w:val="nil"/>
              <w:bottom w:val="single" w:sz="8" w:space="0" w:color="1A171C"/>
              <w:right w:val="single" w:sz="8" w:space="0" w:color="1A171C"/>
            </w:tcBorders>
          </w:tcPr>
          <w:p w14:paraId="7FE1D065" w14:textId="77777777" w:rsidR="00696584" w:rsidRDefault="002C4F63">
            <w:pPr>
              <w:pStyle w:val="P68B1DB1-Normal31"/>
            </w:pPr>
            <w:r>
              <w:t>0010</w:t>
            </w:r>
          </w:p>
        </w:tc>
        <w:tc>
          <w:tcPr>
            <w:tcW w:w="7838" w:type="dxa"/>
            <w:gridSpan w:val="2"/>
            <w:tcBorders>
              <w:top w:val="single" w:sz="8" w:space="0" w:color="1A171C"/>
              <w:left w:val="single" w:sz="8" w:space="0" w:color="1A171C"/>
              <w:bottom w:val="single" w:sz="8" w:space="0" w:color="1A171C"/>
              <w:right w:val="nil"/>
            </w:tcBorders>
          </w:tcPr>
          <w:p w14:paraId="7FE1D066" w14:textId="61C9A918" w:rsidR="00696584" w:rsidRDefault="00F61D1C">
            <w:pPr>
              <w:pStyle w:val="P68B1DB1-TableParagraph73"/>
              <w:spacing w:before="108"/>
              <w:ind w:left="85"/>
              <w:jc w:val="both"/>
              <w:rPr>
                <w:bCs/>
              </w:rPr>
            </w:pPr>
            <w:r>
              <w:t>Nr</w:t>
            </w:r>
            <w:r w:rsidR="002C4F63">
              <w:t xml:space="preserve">. </w:t>
            </w:r>
          </w:p>
          <w:p w14:paraId="7FE1D067" w14:textId="43449971" w:rsidR="00696584" w:rsidRDefault="002C4F63">
            <w:pPr>
              <w:pStyle w:val="P68B1DB1-TableParagraph40"/>
              <w:spacing w:before="108"/>
              <w:ind w:left="85"/>
              <w:jc w:val="both"/>
            </w:pPr>
            <w:r>
              <w:t>Eindeutige Zahl/eindeutiger Primärschlüssel zur Identifizierung der Zeilenpositionen.</w:t>
            </w:r>
          </w:p>
        </w:tc>
      </w:tr>
      <w:tr w:rsidR="00696584" w14:paraId="7FE1D06C" w14:textId="77777777">
        <w:tc>
          <w:tcPr>
            <w:tcW w:w="1188" w:type="dxa"/>
            <w:tcBorders>
              <w:top w:val="single" w:sz="8" w:space="0" w:color="1A171C"/>
              <w:left w:val="nil"/>
              <w:bottom w:val="single" w:sz="8" w:space="0" w:color="1A171C"/>
              <w:right w:val="single" w:sz="8" w:space="0" w:color="1A171C"/>
            </w:tcBorders>
          </w:tcPr>
          <w:p w14:paraId="7FE1D069" w14:textId="77777777" w:rsidR="00696584" w:rsidRDefault="002C4F63">
            <w:pPr>
              <w:pStyle w:val="P68B1DB1-Normal31"/>
            </w:pPr>
            <w:r>
              <w:t>0020</w:t>
            </w:r>
          </w:p>
        </w:tc>
        <w:tc>
          <w:tcPr>
            <w:tcW w:w="7838" w:type="dxa"/>
            <w:gridSpan w:val="2"/>
            <w:tcBorders>
              <w:top w:val="single" w:sz="8" w:space="0" w:color="1A171C"/>
              <w:left w:val="single" w:sz="8" w:space="0" w:color="1A171C"/>
              <w:bottom w:val="single" w:sz="8" w:space="0" w:color="1A171C"/>
              <w:right w:val="nil"/>
            </w:tcBorders>
          </w:tcPr>
          <w:p w14:paraId="7FE1D06A" w14:textId="7FE04A35" w:rsidR="00696584" w:rsidRDefault="002C4F63">
            <w:pPr>
              <w:pStyle w:val="P68B1DB1-TableParagraph73"/>
              <w:spacing w:before="108"/>
              <w:ind w:left="85"/>
              <w:jc w:val="both"/>
              <w:rPr>
                <w:bCs/>
              </w:rPr>
            </w:pPr>
            <w:r>
              <w:t xml:space="preserve">Zeile </w:t>
            </w:r>
          </w:p>
          <w:p w14:paraId="7FE1D06B" w14:textId="5E4873A6" w:rsidR="00696584" w:rsidRDefault="002C4F63">
            <w:pPr>
              <w:pStyle w:val="P68B1DB1-TableParagraph40"/>
              <w:spacing w:before="108"/>
              <w:ind w:left="85"/>
              <w:jc w:val="both"/>
            </w:pPr>
            <w:r>
              <w:t>Jede Zeile muss der entsprechenden Verbindlichkeitskategorie der Verbindlichkeitsstruktur des Meldebogens Z02.00 auf Laufzeitebene zugeordnet werden.</w:t>
            </w:r>
            <w:r w:rsidR="00D1158C">
              <w:t xml:space="preserve"> </w:t>
            </w:r>
            <w:r>
              <w:t>Die Kategorie ist aus einer vorgegebenen Auswahlliste auszuwählen.</w:t>
            </w:r>
          </w:p>
        </w:tc>
      </w:tr>
      <w:tr w:rsidR="00696584" w14:paraId="7FE1D070" w14:textId="77777777">
        <w:tc>
          <w:tcPr>
            <w:tcW w:w="1188" w:type="dxa"/>
            <w:tcBorders>
              <w:top w:val="single" w:sz="8" w:space="0" w:color="1A171C"/>
              <w:left w:val="nil"/>
              <w:bottom w:val="single" w:sz="8" w:space="0" w:color="1A171C"/>
              <w:right w:val="single" w:sz="8" w:space="0" w:color="1A171C"/>
            </w:tcBorders>
          </w:tcPr>
          <w:p w14:paraId="7FE1D06D" w14:textId="77777777" w:rsidR="00696584" w:rsidRDefault="002C4F63">
            <w:pPr>
              <w:pStyle w:val="P68B1DB1-Normal31"/>
            </w:pPr>
            <w:r>
              <w:t>0025</w:t>
            </w:r>
          </w:p>
        </w:tc>
        <w:tc>
          <w:tcPr>
            <w:tcW w:w="7838" w:type="dxa"/>
            <w:gridSpan w:val="2"/>
            <w:tcBorders>
              <w:top w:val="single" w:sz="8" w:space="0" w:color="1A171C"/>
              <w:left w:val="single" w:sz="8" w:space="0" w:color="1A171C"/>
              <w:bottom w:val="single" w:sz="8" w:space="0" w:color="1A171C"/>
              <w:right w:val="nil"/>
            </w:tcBorders>
          </w:tcPr>
          <w:p w14:paraId="7FE1D06E" w14:textId="77777777" w:rsidR="00696584" w:rsidRDefault="002C4F63">
            <w:pPr>
              <w:pStyle w:val="P68B1DB1-TableParagraph73"/>
              <w:spacing w:before="108"/>
              <w:ind w:left="85"/>
              <w:jc w:val="both"/>
              <w:rPr>
                <w:bCs/>
              </w:rPr>
            </w:pPr>
            <w:r>
              <w:t xml:space="preserve">Spalte </w:t>
            </w:r>
          </w:p>
          <w:p w14:paraId="7FE1D06F" w14:textId="1068DD68" w:rsidR="00696584" w:rsidRDefault="002C4F63">
            <w:pPr>
              <w:pStyle w:val="P68B1DB1-TableParagraph40"/>
              <w:spacing w:before="108"/>
              <w:ind w:left="85"/>
              <w:jc w:val="both"/>
            </w:pPr>
            <w:r>
              <w:t xml:space="preserve">Je nach Art des Gläubigers muss jede Einlage der entsprechenden Gegenpartei-Kategorie des Meldebogens Ζ02.00 zugeordnet </w:t>
            </w:r>
            <w:r w:rsidR="00F61D1C">
              <w:t>werden. Die</w:t>
            </w:r>
            <w:r>
              <w:t xml:space="preserve"> Kategorie ist aus einer vorgegebenen Auswahlliste auszuwählen.</w:t>
            </w:r>
          </w:p>
        </w:tc>
      </w:tr>
      <w:tr w:rsidR="00696584" w14:paraId="7FE1D074" w14:textId="77777777">
        <w:tc>
          <w:tcPr>
            <w:tcW w:w="1188" w:type="dxa"/>
            <w:tcBorders>
              <w:top w:val="single" w:sz="8" w:space="0" w:color="1A171C"/>
              <w:left w:val="nil"/>
              <w:bottom w:val="single" w:sz="8" w:space="0" w:color="1A171C"/>
              <w:right w:val="single" w:sz="8" w:space="0" w:color="1A171C"/>
            </w:tcBorders>
          </w:tcPr>
          <w:p w14:paraId="7FE1D071" w14:textId="77777777" w:rsidR="00696584" w:rsidRDefault="002C4F63">
            <w:pPr>
              <w:pStyle w:val="P68B1DB1-Normal31"/>
            </w:pPr>
            <w:r>
              <w:t>0030</w:t>
            </w:r>
          </w:p>
        </w:tc>
        <w:tc>
          <w:tcPr>
            <w:tcW w:w="7838" w:type="dxa"/>
            <w:gridSpan w:val="2"/>
            <w:tcBorders>
              <w:top w:val="single" w:sz="8" w:space="0" w:color="1A171C"/>
              <w:left w:val="single" w:sz="8" w:space="0" w:color="1A171C"/>
              <w:bottom w:val="single" w:sz="8" w:space="0" w:color="1A171C"/>
              <w:right w:val="nil"/>
            </w:tcBorders>
          </w:tcPr>
          <w:p w14:paraId="7FE1D072" w14:textId="22029089" w:rsidR="00696584" w:rsidRDefault="002C4F63">
            <w:pPr>
              <w:pStyle w:val="P68B1DB1-TableParagraph73"/>
              <w:spacing w:before="108"/>
              <w:ind w:left="85"/>
              <w:jc w:val="both"/>
              <w:rPr>
                <w:bCs/>
              </w:rPr>
            </w:pPr>
            <w:r>
              <w:t xml:space="preserve">Insolvenzrang </w:t>
            </w:r>
          </w:p>
          <w:p w14:paraId="7FE1D073" w14:textId="3CA3DC07" w:rsidR="00696584" w:rsidRDefault="002C4F63">
            <w:pPr>
              <w:pStyle w:val="P68B1DB1-TableParagraph40"/>
              <w:spacing w:before="108"/>
              <w:ind w:left="85"/>
              <w:jc w:val="both"/>
            </w:pPr>
            <w:r>
              <w:t>Der Rang in der Insolvenz muss einer der Ränge sein, die in der von der Abwicklungsbehörde der betreffenden Rechtsordnung veröffentlichten Insolvenzrangliste enthalten sind.</w:t>
            </w:r>
          </w:p>
        </w:tc>
      </w:tr>
      <w:tr w:rsidR="00696584" w14:paraId="7FE1D078" w14:textId="77777777">
        <w:tc>
          <w:tcPr>
            <w:tcW w:w="1188" w:type="dxa"/>
            <w:tcBorders>
              <w:top w:val="single" w:sz="8" w:space="0" w:color="1A171C"/>
              <w:left w:val="nil"/>
              <w:bottom w:val="single" w:sz="8" w:space="0" w:color="1A171C"/>
              <w:right w:val="single" w:sz="8" w:space="0" w:color="1A171C"/>
            </w:tcBorders>
          </w:tcPr>
          <w:p w14:paraId="7FE1D075" w14:textId="77777777" w:rsidR="00696584" w:rsidRDefault="002C4F63">
            <w:pPr>
              <w:pStyle w:val="P68B1DB1-Normal31"/>
            </w:pPr>
            <w:r>
              <w:t>0035</w:t>
            </w:r>
          </w:p>
        </w:tc>
        <w:tc>
          <w:tcPr>
            <w:tcW w:w="7838" w:type="dxa"/>
            <w:gridSpan w:val="2"/>
            <w:tcBorders>
              <w:top w:val="single" w:sz="8" w:space="0" w:color="1A171C"/>
              <w:left w:val="single" w:sz="8" w:space="0" w:color="1A171C"/>
              <w:bottom w:val="single" w:sz="8" w:space="0" w:color="1A171C"/>
              <w:right w:val="nil"/>
            </w:tcBorders>
          </w:tcPr>
          <w:p w14:paraId="7FE1D076" w14:textId="77777777" w:rsidR="00696584" w:rsidRDefault="002C4F63">
            <w:pPr>
              <w:pStyle w:val="P68B1DB1-TableParagraph73"/>
              <w:spacing w:before="108"/>
              <w:ind w:left="85"/>
              <w:jc w:val="both"/>
              <w:rPr>
                <w:bCs/>
              </w:rPr>
            </w:pPr>
            <w:r>
              <w:t xml:space="preserve">Auftrag – Kennung </w:t>
            </w:r>
          </w:p>
          <w:p w14:paraId="7FE1D077" w14:textId="77777777" w:rsidR="00696584" w:rsidRDefault="002C4F63">
            <w:pPr>
              <w:pStyle w:val="P68B1DB1-TableParagraph40"/>
              <w:spacing w:before="108"/>
              <w:ind w:left="85"/>
              <w:jc w:val="both"/>
            </w:pPr>
            <w:r>
              <w:t>Interne Kennung des Vertrags.</w:t>
            </w:r>
          </w:p>
        </w:tc>
      </w:tr>
      <w:tr w:rsidR="00696584" w14:paraId="7FE1D07C" w14:textId="77777777">
        <w:tc>
          <w:tcPr>
            <w:tcW w:w="1188" w:type="dxa"/>
            <w:vMerge w:val="restart"/>
            <w:tcBorders>
              <w:top w:val="single" w:sz="8" w:space="0" w:color="1A171C"/>
              <w:left w:val="nil"/>
              <w:bottom w:val="single" w:sz="8" w:space="0" w:color="1A171C"/>
              <w:right w:val="single" w:sz="8" w:space="0" w:color="1A171C"/>
            </w:tcBorders>
          </w:tcPr>
          <w:p w14:paraId="7FE1D079" w14:textId="77777777" w:rsidR="00696584" w:rsidRDefault="002C4F63">
            <w:pPr>
              <w:pStyle w:val="P68B1DB1-Normal31"/>
            </w:pPr>
            <w:r>
              <w:t>0040</w:t>
            </w:r>
          </w:p>
        </w:tc>
        <w:tc>
          <w:tcPr>
            <w:tcW w:w="7838" w:type="dxa"/>
            <w:gridSpan w:val="2"/>
            <w:tcBorders>
              <w:top w:val="single" w:sz="8" w:space="0" w:color="1A171C"/>
              <w:left w:val="single" w:sz="8" w:space="0" w:color="1A171C"/>
              <w:right w:val="nil"/>
            </w:tcBorders>
          </w:tcPr>
          <w:p w14:paraId="7FE1D07A" w14:textId="0FCA0B78" w:rsidR="00696584" w:rsidRDefault="002C4F63">
            <w:pPr>
              <w:pStyle w:val="P68B1DB1-TableParagraph73"/>
              <w:spacing w:before="108"/>
              <w:ind w:left="85"/>
              <w:jc w:val="both"/>
              <w:rPr>
                <w:bCs/>
              </w:rPr>
            </w:pPr>
            <w:r>
              <w:t xml:space="preserve">Vertragspartnerkennung  </w:t>
            </w:r>
          </w:p>
          <w:p w14:paraId="7FE1D07B" w14:textId="67D0F26D" w:rsidR="00696584" w:rsidRDefault="002C4F63">
            <w:pPr>
              <w:pStyle w:val="P68B1DB1-TableParagraph40"/>
              <w:spacing w:before="108"/>
              <w:ind w:left="85"/>
              <w:jc w:val="both"/>
            </w:pPr>
            <w:r>
              <w:t xml:space="preserve">Geben Sie den LEI-Code des Einlegers an. Sollte kein LEI-Code vorliegen, ist bei Banken die in RIAD (Register of Institutions and Affiliates Database) verwendete eindeutige Kennung für monetäre Finanzinstitute (monetary financial institutions unique IDentifier – MFI ID) anzugeben. Lediglich wenn keine dieser beiden Kennungen vorliegt, kann eine interne Kennung verwendet werden (es ist nur eine eindeutige Kennung pro Gegenpartei anzugeben). </w:t>
            </w:r>
          </w:p>
        </w:tc>
      </w:tr>
      <w:tr w:rsidR="00696584" w14:paraId="7FE1D07F" w14:textId="77777777">
        <w:tc>
          <w:tcPr>
            <w:tcW w:w="1188" w:type="dxa"/>
            <w:vMerge/>
            <w:tcBorders>
              <w:bottom w:val="single" w:sz="4" w:space="0" w:color="auto"/>
              <w:right w:val="single" w:sz="8" w:space="0" w:color="1A171C"/>
            </w:tcBorders>
            <w:vAlign w:val="center"/>
          </w:tcPr>
          <w:p w14:paraId="7FE1D07D" w14:textId="77777777" w:rsidR="00696584" w:rsidRDefault="00696584">
            <w:pPr>
              <w:rPr>
                <w:rFonts w:ascii="Times New Roman" w:hAnsi="Times New Roman" w:cs="Times New Roman"/>
              </w:rPr>
            </w:pPr>
          </w:p>
        </w:tc>
        <w:tc>
          <w:tcPr>
            <w:tcW w:w="7838" w:type="dxa"/>
            <w:gridSpan w:val="2"/>
            <w:tcBorders>
              <w:left w:val="single" w:sz="8" w:space="0" w:color="1A171C"/>
              <w:bottom w:val="single" w:sz="4" w:space="0" w:color="auto"/>
              <w:right w:val="nil"/>
            </w:tcBorders>
          </w:tcPr>
          <w:p w14:paraId="7FE1D07E" w14:textId="17BB416A" w:rsidR="00696584" w:rsidRDefault="002C4F63">
            <w:pPr>
              <w:pStyle w:val="P68B1DB1-TableParagraph40"/>
              <w:spacing w:before="108"/>
              <w:ind w:left="85"/>
              <w:jc w:val="both"/>
            </w:pPr>
            <w:r>
              <w:t>Für die auf aggregierter Ebene gemeldeten Einlagen ist „0000“ anzugeben, da dieses Feld obligatorisch ist.</w:t>
            </w:r>
          </w:p>
        </w:tc>
      </w:tr>
      <w:tr w:rsidR="00696584" w14:paraId="7FE1D083" w14:textId="77777777">
        <w:tc>
          <w:tcPr>
            <w:tcW w:w="1188" w:type="dxa"/>
            <w:vMerge w:val="restart"/>
            <w:tcBorders>
              <w:top w:val="single" w:sz="4" w:space="0" w:color="auto"/>
              <w:left w:val="nil"/>
              <w:bottom w:val="single" w:sz="8" w:space="0" w:color="1A171C"/>
              <w:right w:val="single" w:sz="4" w:space="0" w:color="auto"/>
            </w:tcBorders>
          </w:tcPr>
          <w:p w14:paraId="7FE1D080" w14:textId="77777777" w:rsidR="00696584" w:rsidRDefault="002C4F63">
            <w:pPr>
              <w:pStyle w:val="P68B1DB1-Normal31"/>
            </w:pPr>
            <w:r>
              <w:t>0045</w:t>
            </w:r>
          </w:p>
        </w:tc>
        <w:tc>
          <w:tcPr>
            <w:tcW w:w="7838" w:type="dxa"/>
            <w:gridSpan w:val="2"/>
            <w:tcBorders>
              <w:top w:val="single" w:sz="4" w:space="0" w:color="auto"/>
              <w:left w:val="single" w:sz="4" w:space="0" w:color="auto"/>
            </w:tcBorders>
          </w:tcPr>
          <w:p w14:paraId="7FE1D081" w14:textId="05C93935" w:rsidR="00696584" w:rsidRDefault="002C4F63">
            <w:pPr>
              <w:pStyle w:val="P68B1DB1-TableParagraph73"/>
              <w:spacing w:before="108"/>
              <w:ind w:left="85"/>
              <w:jc w:val="both"/>
              <w:rPr>
                <w:bCs/>
              </w:rPr>
            </w:pPr>
            <w:r>
              <w:t xml:space="preserve">Art der Kennung </w:t>
            </w:r>
          </w:p>
          <w:p w14:paraId="7FE1D082" w14:textId="77777777" w:rsidR="00696584" w:rsidRDefault="002C4F63">
            <w:pPr>
              <w:pStyle w:val="P68B1DB1-TableParagraph40"/>
              <w:spacing w:before="108"/>
              <w:ind w:left="85"/>
              <w:jc w:val="both"/>
            </w:pPr>
            <w:r>
              <w:t>Auswahl unter folgenden Optionen: „LEI-Code“, „MFI-Code“ oder „Andere Art der Kennung als LEI-Code oder MFI-Code“.</w:t>
            </w:r>
          </w:p>
        </w:tc>
      </w:tr>
      <w:tr w:rsidR="00696584" w14:paraId="7FE1D086" w14:textId="77777777">
        <w:tc>
          <w:tcPr>
            <w:tcW w:w="1188" w:type="dxa"/>
            <w:vMerge/>
            <w:tcBorders>
              <w:top w:val="single" w:sz="8" w:space="0" w:color="1A171C"/>
              <w:bottom w:val="single" w:sz="4" w:space="0" w:color="auto"/>
              <w:right w:val="single" w:sz="4" w:space="0" w:color="auto"/>
            </w:tcBorders>
            <w:vAlign w:val="center"/>
          </w:tcPr>
          <w:p w14:paraId="7FE1D084" w14:textId="77777777" w:rsidR="00696584" w:rsidRDefault="00696584">
            <w:pPr>
              <w:rPr>
                <w:rFonts w:ascii="Times New Roman" w:eastAsia="Times New Roman" w:hAnsi="Times New Roman" w:cs="Times New Roman"/>
                <w:sz w:val="20"/>
                <w:szCs w:val="20"/>
              </w:rPr>
            </w:pPr>
          </w:p>
        </w:tc>
        <w:tc>
          <w:tcPr>
            <w:tcW w:w="7838" w:type="dxa"/>
            <w:gridSpan w:val="2"/>
            <w:tcBorders>
              <w:left w:val="single" w:sz="4" w:space="0" w:color="auto"/>
              <w:bottom w:val="single" w:sz="4" w:space="0" w:color="auto"/>
            </w:tcBorders>
          </w:tcPr>
          <w:p w14:paraId="7FE1D085" w14:textId="2249F5A9" w:rsidR="00696584" w:rsidRDefault="002C4F63">
            <w:pPr>
              <w:pStyle w:val="P68B1DB1-TableParagraph40"/>
              <w:spacing w:before="108"/>
              <w:ind w:left="85"/>
              <w:jc w:val="both"/>
            </w:pPr>
            <w:r>
              <w:t>Für die auf aggregierter Ebene gemeldeten Einlagen ist „Art der Kennung, außer LEI- oder MFI-Code“ anzugeben.</w:t>
            </w:r>
          </w:p>
        </w:tc>
      </w:tr>
      <w:tr w:rsidR="00696584" w14:paraId="7FE1D08A" w14:textId="77777777">
        <w:tc>
          <w:tcPr>
            <w:tcW w:w="1188" w:type="dxa"/>
            <w:tcBorders>
              <w:top w:val="single" w:sz="4" w:space="0" w:color="auto"/>
              <w:left w:val="nil"/>
              <w:bottom w:val="single" w:sz="8" w:space="0" w:color="1A171C"/>
              <w:right w:val="single" w:sz="8" w:space="0" w:color="1A171C"/>
            </w:tcBorders>
          </w:tcPr>
          <w:p w14:paraId="7FE1D087" w14:textId="576FA29F" w:rsidR="00696584" w:rsidRDefault="00CE138C">
            <w:pPr>
              <w:pStyle w:val="P68B1DB1-Normal31"/>
            </w:pPr>
            <w:r>
              <w:t>0050</w:t>
            </w:r>
          </w:p>
        </w:tc>
        <w:tc>
          <w:tcPr>
            <w:tcW w:w="7838" w:type="dxa"/>
            <w:gridSpan w:val="2"/>
            <w:tcBorders>
              <w:top w:val="single" w:sz="4" w:space="0" w:color="auto"/>
              <w:left w:val="single" w:sz="8" w:space="0" w:color="1A171C"/>
              <w:bottom w:val="single" w:sz="8" w:space="0" w:color="1A171C"/>
              <w:right w:val="nil"/>
            </w:tcBorders>
          </w:tcPr>
          <w:p w14:paraId="7FE1D088" w14:textId="70BE9935" w:rsidR="00696584" w:rsidRDefault="002C4F63">
            <w:pPr>
              <w:pStyle w:val="P68B1DB1-TableParagraph73"/>
              <w:spacing w:before="108"/>
              <w:ind w:left="85"/>
              <w:jc w:val="both"/>
              <w:rPr>
                <w:bCs/>
              </w:rPr>
            </w:pPr>
            <w:r>
              <w:t xml:space="preserve">Anwendbares Recht  </w:t>
            </w:r>
          </w:p>
          <w:p w14:paraId="7FE1D089" w14:textId="5B087239" w:rsidR="00696584" w:rsidRDefault="002C4F63">
            <w:pPr>
              <w:pStyle w:val="P68B1DB1-TableParagraph40"/>
              <w:spacing w:before="108"/>
              <w:ind w:left="85"/>
              <w:jc w:val="both"/>
            </w:pPr>
            <w:r>
              <w:t>Der ISO-Alpha-2-Code nach ISO 3166-1 des Landes, dessen Recht für das Instrument maßgebend ist (verwenden Sie den ISO-Code 3166-2, wenn das Recht einer Verwaltungsunterteilung relevant ist, z. B. „US-NY“). Ist für den Vertrag das Recht von mehr als einem Land anwendbar, ist das Land anzugeben, dessen Recht die höchste Relevanz für die Anerkennung von Abschreibungs- und Umwandlungsbefugnissen hat. Für Einlagen, die auf aggregierter Ebene gemeldet werden, ist der Wert „Sonstige Länder“ zu verwenden.</w:t>
            </w:r>
          </w:p>
        </w:tc>
      </w:tr>
      <w:tr w:rsidR="00696584" w14:paraId="7FE1D08E" w14:textId="77777777">
        <w:tc>
          <w:tcPr>
            <w:tcW w:w="1188" w:type="dxa"/>
            <w:tcBorders>
              <w:top w:val="single" w:sz="8" w:space="0" w:color="1A171C"/>
              <w:left w:val="nil"/>
              <w:bottom w:val="single" w:sz="8" w:space="0" w:color="1A171C"/>
              <w:right w:val="single" w:sz="8" w:space="0" w:color="1A171C"/>
            </w:tcBorders>
          </w:tcPr>
          <w:p w14:paraId="7FE1D08B" w14:textId="77777777" w:rsidR="00696584" w:rsidRDefault="002C4F63">
            <w:pPr>
              <w:pStyle w:val="P68B1DB1-Normal31"/>
            </w:pPr>
            <w:r>
              <w:t>0060</w:t>
            </w:r>
          </w:p>
        </w:tc>
        <w:tc>
          <w:tcPr>
            <w:tcW w:w="7838" w:type="dxa"/>
            <w:gridSpan w:val="2"/>
            <w:tcBorders>
              <w:top w:val="single" w:sz="8" w:space="0" w:color="1A171C"/>
              <w:left w:val="single" w:sz="8" w:space="0" w:color="1A171C"/>
              <w:bottom w:val="single" w:sz="8" w:space="0" w:color="1A171C"/>
              <w:right w:val="nil"/>
            </w:tcBorders>
          </w:tcPr>
          <w:p w14:paraId="7FE1D08C" w14:textId="77777777" w:rsidR="00696584" w:rsidRDefault="002C4F63">
            <w:pPr>
              <w:pStyle w:val="P68B1DB1-TableParagraph73"/>
              <w:spacing w:before="108"/>
              <w:ind w:left="85"/>
              <w:jc w:val="both"/>
              <w:rPr>
                <w:bCs/>
              </w:rPr>
            </w:pPr>
            <w:r>
              <w:t xml:space="preserve">Währung  </w:t>
            </w:r>
          </w:p>
          <w:p w14:paraId="7FE1D08D" w14:textId="3FCE0053" w:rsidR="00696584" w:rsidRDefault="002C4F63">
            <w:pPr>
              <w:pStyle w:val="P68B1DB1-TableParagraph40"/>
              <w:spacing w:before="108"/>
              <w:ind w:left="85"/>
              <w:jc w:val="both"/>
            </w:pPr>
            <w:r>
              <w:lastRenderedPageBreak/>
              <w:t>Währung der Einlage gemäß ihrem 3-Buchstaben-Code nach ISO 4217. Für Einlagen, die auf aggregierter Ebene gemeldet werden, ist der Wert „XXX“ zu verwenden.</w:t>
            </w:r>
          </w:p>
        </w:tc>
      </w:tr>
      <w:tr w:rsidR="00696584" w14:paraId="7FE1D092" w14:textId="77777777">
        <w:tc>
          <w:tcPr>
            <w:tcW w:w="1188" w:type="dxa"/>
            <w:tcBorders>
              <w:top w:val="single" w:sz="8" w:space="0" w:color="1A171C"/>
              <w:left w:val="nil"/>
              <w:bottom w:val="single" w:sz="8" w:space="0" w:color="1A171C"/>
              <w:right w:val="single" w:sz="8" w:space="0" w:color="1A171C"/>
            </w:tcBorders>
          </w:tcPr>
          <w:p w14:paraId="7FE1D08F" w14:textId="77777777" w:rsidR="00696584" w:rsidRDefault="002C4F63">
            <w:pPr>
              <w:pStyle w:val="P68B1DB1-Normal31"/>
            </w:pPr>
            <w:r>
              <w:lastRenderedPageBreak/>
              <w:t>0070</w:t>
            </w:r>
          </w:p>
        </w:tc>
        <w:tc>
          <w:tcPr>
            <w:tcW w:w="7838" w:type="dxa"/>
            <w:gridSpan w:val="2"/>
            <w:tcBorders>
              <w:top w:val="single" w:sz="8" w:space="0" w:color="1A171C"/>
              <w:left w:val="single" w:sz="8" w:space="0" w:color="1A171C"/>
              <w:bottom w:val="single" w:sz="8" w:space="0" w:color="1A171C"/>
              <w:right w:val="nil"/>
            </w:tcBorders>
          </w:tcPr>
          <w:p w14:paraId="7FE1D090" w14:textId="5CEF44E5" w:rsidR="00696584" w:rsidRDefault="002C4F63">
            <w:pPr>
              <w:pStyle w:val="P68B1DB1-TableParagraph73"/>
              <w:spacing w:before="108"/>
              <w:ind w:left="85"/>
              <w:jc w:val="both"/>
              <w:rPr>
                <w:bCs/>
              </w:rPr>
            </w:pPr>
            <w:r>
              <w:t xml:space="preserve">Ausstehender Kapitalbetrag  </w:t>
            </w:r>
          </w:p>
          <w:p w14:paraId="7FE1D091" w14:textId="6232EFBD" w:rsidR="00696584" w:rsidRDefault="002C4F63">
            <w:pPr>
              <w:pStyle w:val="P68B1DB1-TableParagraph40"/>
              <w:spacing w:before="108"/>
              <w:ind w:left="85"/>
              <w:jc w:val="both"/>
            </w:pPr>
            <w:r>
              <w:t>Den ausstehenden Kapitalbetrag der Einlage.</w:t>
            </w:r>
          </w:p>
        </w:tc>
      </w:tr>
      <w:tr w:rsidR="00696584" w14:paraId="7FE1D096" w14:textId="77777777">
        <w:tc>
          <w:tcPr>
            <w:tcW w:w="1188" w:type="dxa"/>
            <w:tcBorders>
              <w:top w:val="single" w:sz="8" w:space="0" w:color="1A171C"/>
              <w:left w:val="nil"/>
              <w:bottom w:val="single" w:sz="8" w:space="0" w:color="1A171C"/>
              <w:right w:val="single" w:sz="8" w:space="0" w:color="1A171C"/>
            </w:tcBorders>
          </w:tcPr>
          <w:p w14:paraId="7FE1D093" w14:textId="77777777" w:rsidR="00696584" w:rsidRDefault="002C4F63">
            <w:pPr>
              <w:pStyle w:val="P68B1DB1-Normal31"/>
            </w:pPr>
            <w:r>
              <w:t>0080</w:t>
            </w:r>
          </w:p>
        </w:tc>
        <w:tc>
          <w:tcPr>
            <w:tcW w:w="7838" w:type="dxa"/>
            <w:gridSpan w:val="2"/>
            <w:tcBorders>
              <w:top w:val="single" w:sz="8" w:space="0" w:color="1A171C"/>
              <w:left w:val="single" w:sz="8" w:space="0" w:color="1A171C"/>
              <w:bottom w:val="single" w:sz="8" w:space="0" w:color="1A171C"/>
              <w:right w:val="nil"/>
            </w:tcBorders>
          </w:tcPr>
          <w:p w14:paraId="7FE1D094" w14:textId="57240ABD" w:rsidR="00696584" w:rsidRDefault="002C4F63">
            <w:pPr>
              <w:pStyle w:val="P68B1DB1-TableParagraph73"/>
              <w:spacing w:before="108"/>
              <w:ind w:left="85"/>
              <w:jc w:val="both"/>
              <w:rPr>
                <w:bCs/>
              </w:rPr>
            </w:pPr>
            <w:r>
              <w:t xml:space="preserve">Aufgelaufene Zinsen </w:t>
            </w:r>
          </w:p>
          <w:p w14:paraId="7FE1D095" w14:textId="1CBCCFC7" w:rsidR="00696584" w:rsidRDefault="002C4F63">
            <w:pPr>
              <w:pStyle w:val="P68B1DB1-TableParagraph40"/>
              <w:spacing w:before="108"/>
              <w:ind w:left="85"/>
              <w:jc w:val="both"/>
            </w:pPr>
            <w:r>
              <w:t>Die ausstehenden aufgelaufenen Zinsen auf die Einlage.</w:t>
            </w:r>
          </w:p>
        </w:tc>
      </w:tr>
      <w:tr w:rsidR="00696584" w14:paraId="7FE1D09A" w14:textId="77777777">
        <w:tc>
          <w:tcPr>
            <w:tcW w:w="1188" w:type="dxa"/>
            <w:tcBorders>
              <w:top w:val="single" w:sz="8" w:space="0" w:color="1A171C"/>
              <w:left w:val="nil"/>
              <w:bottom w:val="single" w:sz="8" w:space="0" w:color="1A171C"/>
              <w:right w:val="single" w:sz="8" w:space="0" w:color="1A171C"/>
            </w:tcBorders>
          </w:tcPr>
          <w:p w14:paraId="7FE1D097" w14:textId="77777777" w:rsidR="00696584" w:rsidRDefault="002C4F63">
            <w:pPr>
              <w:pStyle w:val="P68B1DB1-Normal31"/>
            </w:pPr>
            <w:r>
              <w:t>0090</w:t>
            </w:r>
          </w:p>
        </w:tc>
        <w:tc>
          <w:tcPr>
            <w:tcW w:w="7838" w:type="dxa"/>
            <w:gridSpan w:val="2"/>
            <w:tcBorders>
              <w:top w:val="single" w:sz="8" w:space="0" w:color="1A171C"/>
              <w:left w:val="single" w:sz="8" w:space="0" w:color="1A171C"/>
              <w:bottom w:val="single" w:sz="8" w:space="0" w:color="1A171C"/>
              <w:right w:val="nil"/>
            </w:tcBorders>
          </w:tcPr>
          <w:p w14:paraId="7FE1D098" w14:textId="52C2978C" w:rsidR="00696584" w:rsidRDefault="002C4F63">
            <w:pPr>
              <w:pStyle w:val="P68B1DB1-TableParagraph73"/>
              <w:spacing w:before="108"/>
              <w:ind w:left="85"/>
              <w:jc w:val="both"/>
              <w:rPr>
                <w:bCs/>
              </w:rPr>
            </w:pPr>
            <w:r>
              <w:t xml:space="preserve">Aktueller Zinssatz (%) </w:t>
            </w:r>
          </w:p>
          <w:p w14:paraId="7FE1D099" w14:textId="0E3CB279" w:rsidR="00696584" w:rsidRDefault="002C4F63">
            <w:pPr>
              <w:pStyle w:val="P68B1DB1-TableParagraph40"/>
              <w:spacing w:before="108"/>
              <w:ind w:left="85"/>
              <w:jc w:val="both"/>
            </w:pPr>
            <w:r>
              <w:t xml:space="preserve">Aktuelle Höhe des Zinssatzes, der auf die Einlage anzuwenden ist. </w:t>
            </w:r>
          </w:p>
        </w:tc>
      </w:tr>
      <w:tr w:rsidR="00696584" w14:paraId="7FE1D0A3" w14:textId="77777777">
        <w:tc>
          <w:tcPr>
            <w:tcW w:w="1188" w:type="dxa"/>
            <w:tcBorders>
              <w:top w:val="single" w:sz="8" w:space="0" w:color="1A171C"/>
              <w:left w:val="nil"/>
              <w:bottom w:val="single" w:sz="8" w:space="0" w:color="1A171C"/>
              <w:right w:val="single" w:sz="8" w:space="0" w:color="1A171C"/>
            </w:tcBorders>
          </w:tcPr>
          <w:p w14:paraId="7FE1D09F" w14:textId="77777777" w:rsidR="00696584" w:rsidRDefault="002C4F63">
            <w:pPr>
              <w:pStyle w:val="P68B1DB1-TableParagraph40"/>
              <w:spacing w:before="108"/>
              <w:ind w:left="85"/>
              <w:jc w:val="both"/>
            </w:pPr>
            <w:r>
              <w:t>0110</w:t>
            </w:r>
          </w:p>
        </w:tc>
        <w:tc>
          <w:tcPr>
            <w:tcW w:w="7838" w:type="dxa"/>
            <w:gridSpan w:val="2"/>
            <w:tcBorders>
              <w:top w:val="single" w:sz="8" w:space="0" w:color="1A171C"/>
              <w:left w:val="single" w:sz="8" w:space="0" w:color="1A171C"/>
              <w:bottom w:val="single" w:sz="8" w:space="0" w:color="1A171C"/>
              <w:right w:val="nil"/>
            </w:tcBorders>
          </w:tcPr>
          <w:p w14:paraId="7FE1D0A0" w14:textId="6354C873" w:rsidR="00696584" w:rsidRDefault="002C4F63">
            <w:pPr>
              <w:pStyle w:val="P68B1DB1-TableParagraph73"/>
              <w:spacing w:before="108"/>
              <w:ind w:left="85"/>
              <w:jc w:val="both"/>
              <w:rPr>
                <w:bCs/>
              </w:rPr>
            </w:pPr>
            <w:r>
              <w:t xml:space="preserve">Höhe der Verpfändung, des Pfand- und Zurückbehaltungsrechts oder der Sicherheit </w:t>
            </w:r>
          </w:p>
          <w:p w14:paraId="7FE1D0A2" w14:textId="5FFC3F02" w:rsidR="00696584" w:rsidRDefault="002C4F63">
            <w:pPr>
              <w:pStyle w:val="P68B1DB1-TableParagraph40"/>
              <w:spacing w:before="108"/>
              <w:ind w:left="85"/>
              <w:jc w:val="both"/>
            </w:pPr>
            <w:r>
              <w:t>Bei einer mit einem Pfand, einem Zurückbehaltungsrecht oder einer Sicherheit besicherten Verbindlichkeit ist der Brutto-Marktwert der Besicherung anzugeben. Bei unbesicherten Verbindlichkeiten ist hier Null anzugeben. Dieser Betrag bestimmt den besicherten und damit auch den unbesicherten Teil jeder besicherten Einlage. Bei Sicherheitenpools, die mehrere Zeilenpositionen besichern, ist die Gesamtdeckungsquote zu bestimmen und anteilig auf alle von diesem Pool abgedeckten Zeilenpositionen anzuwenden.</w:t>
            </w:r>
          </w:p>
        </w:tc>
      </w:tr>
      <w:tr w:rsidR="00696584" w14:paraId="7FE1D0A7" w14:textId="77777777">
        <w:tc>
          <w:tcPr>
            <w:tcW w:w="1188" w:type="dxa"/>
            <w:tcBorders>
              <w:top w:val="single" w:sz="8" w:space="0" w:color="1A171C"/>
              <w:left w:val="nil"/>
              <w:bottom w:val="single" w:sz="8" w:space="0" w:color="1A171C"/>
              <w:right w:val="single" w:sz="8" w:space="0" w:color="1A171C"/>
            </w:tcBorders>
          </w:tcPr>
          <w:p w14:paraId="7FE1D0A4" w14:textId="77777777" w:rsidR="00696584" w:rsidRDefault="002C4F63">
            <w:pPr>
              <w:pStyle w:val="P68B1DB1-Normal31"/>
            </w:pPr>
            <w:r>
              <w:t>0115</w:t>
            </w:r>
          </w:p>
        </w:tc>
        <w:tc>
          <w:tcPr>
            <w:tcW w:w="7838" w:type="dxa"/>
            <w:gridSpan w:val="2"/>
            <w:tcBorders>
              <w:top w:val="single" w:sz="8" w:space="0" w:color="1A171C"/>
              <w:left w:val="single" w:sz="8" w:space="0" w:color="1A171C"/>
              <w:bottom w:val="single" w:sz="8" w:space="0" w:color="1A171C"/>
              <w:right w:val="nil"/>
            </w:tcBorders>
          </w:tcPr>
          <w:p w14:paraId="7FE1D0A5" w14:textId="6B0A15B4" w:rsidR="00696584" w:rsidRDefault="002C4F63">
            <w:pPr>
              <w:pStyle w:val="P68B1DB1-TableParagraph73"/>
              <w:spacing w:before="108"/>
              <w:ind w:left="85"/>
              <w:jc w:val="both"/>
              <w:rPr>
                <w:bCs/>
              </w:rPr>
            </w:pPr>
            <w:r>
              <w:t xml:space="preserve">Betrag, der die Voraussetzungen für die interne Anrechenbarkeit auf die MREL erfüllt </w:t>
            </w:r>
          </w:p>
          <w:p w14:paraId="7FE1D0A6" w14:textId="65380CFA" w:rsidR="00696584" w:rsidRDefault="002C4F63">
            <w:pPr>
              <w:pStyle w:val="P68B1DB1-TableParagraph40"/>
              <w:spacing w:before="108"/>
              <w:ind w:left="85"/>
              <w:jc w:val="both"/>
            </w:pPr>
            <w:r>
              <w:t>Der Betrag der Eigenmittel und berücksichtigungsfähigen Verbindlichkeiten, der auf die gemäß Artikel 45 Absatz 1 der Richtlinie 2014/59/EU festgelegte Anforderung angerechnet wird.</w:t>
            </w:r>
          </w:p>
        </w:tc>
      </w:tr>
      <w:tr w:rsidR="00696584" w14:paraId="7FE1D0AB" w14:textId="77777777">
        <w:tc>
          <w:tcPr>
            <w:tcW w:w="1188" w:type="dxa"/>
            <w:tcBorders>
              <w:top w:val="single" w:sz="8" w:space="0" w:color="1A171C"/>
              <w:left w:val="nil"/>
              <w:bottom w:val="single" w:sz="8" w:space="0" w:color="1A171C"/>
              <w:right w:val="single" w:sz="8" w:space="0" w:color="1A171C"/>
            </w:tcBorders>
          </w:tcPr>
          <w:p w14:paraId="7FE1D0A8" w14:textId="77777777" w:rsidR="00696584" w:rsidRDefault="002C4F63">
            <w:pPr>
              <w:pStyle w:val="P68B1DB1-Normal31"/>
            </w:pPr>
            <w:r>
              <w:t>0120</w:t>
            </w:r>
          </w:p>
        </w:tc>
        <w:tc>
          <w:tcPr>
            <w:tcW w:w="7838" w:type="dxa"/>
            <w:gridSpan w:val="2"/>
            <w:tcBorders>
              <w:top w:val="single" w:sz="8" w:space="0" w:color="1A171C"/>
              <w:left w:val="single" w:sz="8" w:space="0" w:color="1A171C"/>
              <w:bottom w:val="single" w:sz="8" w:space="0" w:color="1A171C"/>
              <w:right w:val="nil"/>
            </w:tcBorders>
          </w:tcPr>
          <w:p w14:paraId="7FE1D0A9" w14:textId="3256B0A2" w:rsidR="00696584" w:rsidRDefault="002C4F63">
            <w:pPr>
              <w:pStyle w:val="P68B1DB1-TableParagraph73"/>
              <w:spacing w:before="108"/>
              <w:ind w:left="85"/>
              <w:jc w:val="both"/>
              <w:rPr>
                <w:bCs/>
              </w:rPr>
            </w:pPr>
            <w:r>
              <w:t xml:space="preserve">C0120 – Emissionsdatum für Termineinlagen </w:t>
            </w:r>
          </w:p>
          <w:p w14:paraId="7FE1D0AA" w14:textId="77777777" w:rsidR="00696584" w:rsidRDefault="002C4F63">
            <w:pPr>
              <w:pStyle w:val="P68B1DB1-TableParagraph40"/>
              <w:spacing w:before="108"/>
              <w:ind w:left="85"/>
              <w:jc w:val="both"/>
            </w:pPr>
            <w:r>
              <w:t>Datum der ursprünglichen Emission der Termineinlage.</w:t>
            </w:r>
          </w:p>
        </w:tc>
      </w:tr>
      <w:tr w:rsidR="00696584" w14:paraId="7FE1D0AF" w14:textId="77777777">
        <w:tc>
          <w:tcPr>
            <w:tcW w:w="1188" w:type="dxa"/>
            <w:vMerge w:val="restart"/>
            <w:tcBorders>
              <w:top w:val="single" w:sz="8" w:space="0" w:color="1A171C"/>
              <w:left w:val="nil"/>
              <w:right w:val="single" w:sz="8" w:space="0" w:color="1A171C"/>
            </w:tcBorders>
          </w:tcPr>
          <w:p w14:paraId="7FE1D0AC" w14:textId="77777777" w:rsidR="00696584" w:rsidRDefault="002C4F63">
            <w:pPr>
              <w:pStyle w:val="P68B1DB1-Normal31"/>
            </w:pPr>
            <w:r>
              <w:t>0130</w:t>
            </w:r>
          </w:p>
        </w:tc>
        <w:tc>
          <w:tcPr>
            <w:tcW w:w="7838" w:type="dxa"/>
            <w:gridSpan w:val="2"/>
            <w:tcBorders>
              <w:top w:val="single" w:sz="8" w:space="0" w:color="1A171C"/>
              <w:left w:val="single" w:sz="8" w:space="0" w:color="1A171C"/>
              <w:right w:val="nil"/>
            </w:tcBorders>
          </w:tcPr>
          <w:p w14:paraId="7FE1D0AD" w14:textId="42C2FA36" w:rsidR="00696584" w:rsidRDefault="002C4F63">
            <w:pPr>
              <w:pStyle w:val="P68B1DB1-TableParagraph73"/>
              <w:spacing w:before="108"/>
              <w:ind w:left="85"/>
              <w:jc w:val="both"/>
              <w:rPr>
                <w:bCs/>
              </w:rPr>
            </w:pPr>
            <w:r>
              <w:t xml:space="preserve">Frühester Tilgungszeitpunkt  </w:t>
            </w:r>
          </w:p>
          <w:p w14:paraId="7FE1D0AE" w14:textId="5DABFCEF" w:rsidR="00696584" w:rsidRDefault="002C4F63">
            <w:pPr>
              <w:pStyle w:val="P68B1DB1-TableParagraph40"/>
              <w:spacing w:before="108"/>
              <w:ind w:left="85"/>
              <w:jc w:val="both"/>
            </w:pPr>
            <w:r>
              <w:t>Besteht für die Inhaber des Kreditgebers die Möglichkeit, eine vorzeitige Rückzahlung der Verbindlichkeit zu verlangen, oder sind die Bedingungen für eine vorzeitige Rückzahlung vertraglich vorgesehen, ist das früheste Ereignis anzugeben, andernfalls das Datum der gesetzlichen Endfälligkeit der Einlage. Falls sich die vorzeitige Rückzahlung nur auf einen Teil der Verbindlichkeit bezieht (beispielsweise vorzeitige Rückzahlung von 50 % des Nominalwerts), teilen Sie die Verbindlichkeit auf, um eine solche Klausel für eine vorzeitige Teilrückzahlung zu berücksichtigen.</w:t>
            </w:r>
          </w:p>
        </w:tc>
      </w:tr>
      <w:tr w:rsidR="00696584" w14:paraId="7FE1D0B2" w14:textId="77777777">
        <w:tc>
          <w:tcPr>
            <w:tcW w:w="1188" w:type="dxa"/>
            <w:vMerge/>
            <w:tcBorders>
              <w:bottom w:val="single" w:sz="8" w:space="0" w:color="1A171C"/>
              <w:right w:val="single" w:sz="8" w:space="0" w:color="1A171C"/>
            </w:tcBorders>
            <w:vAlign w:val="center"/>
          </w:tcPr>
          <w:p w14:paraId="7FE1D0B0" w14:textId="77777777" w:rsidR="00696584" w:rsidRDefault="00696584">
            <w:pPr>
              <w:rPr>
                <w:rFonts w:ascii="Times New Roman" w:hAnsi="Times New Roman" w:cs="Times New Roman"/>
              </w:rPr>
            </w:pPr>
          </w:p>
        </w:tc>
        <w:tc>
          <w:tcPr>
            <w:tcW w:w="7838" w:type="dxa"/>
            <w:gridSpan w:val="2"/>
            <w:tcBorders>
              <w:left w:val="single" w:sz="8" w:space="0" w:color="1A171C"/>
              <w:bottom w:val="single" w:sz="8" w:space="0" w:color="1A171C"/>
              <w:right w:val="nil"/>
            </w:tcBorders>
          </w:tcPr>
          <w:p w14:paraId="7FE1D0B1" w14:textId="2A134B32" w:rsidR="00696584" w:rsidRDefault="002C4F63">
            <w:pPr>
              <w:pStyle w:val="P68B1DB1-TableParagraph40"/>
              <w:spacing w:before="108"/>
              <w:ind w:left="85"/>
              <w:jc w:val="both"/>
            </w:pPr>
            <w:r>
              <w:t xml:space="preserve">Für die auf aggregierter Ebene gemeldeten Einlagen wird das früheste Rückzahlungsdatum als ‚2199-12-31‘ gemeldet. </w:t>
            </w:r>
          </w:p>
        </w:tc>
      </w:tr>
      <w:tr w:rsidR="00696584" w14:paraId="7FE1D0B6" w14:textId="77777777">
        <w:tc>
          <w:tcPr>
            <w:tcW w:w="1188" w:type="dxa"/>
            <w:vMerge w:val="restart"/>
            <w:tcBorders>
              <w:top w:val="single" w:sz="8" w:space="0" w:color="1A171C"/>
              <w:left w:val="nil"/>
              <w:right w:val="single" w:sz="8" w:space="0" w:color="1A171C"/>
            </w:tcBorders>
          </w:tcPr>
          <w:p w14:paraId="7FE1D0B3" w14:textId="413885FF" w:rsidR="00696584" w:rsidRDefault="00696584">
            <w:pPr>
              <w:rPr>
                <w:rFonts w:ascii="Times New Roman" w:hAnsi="Times New Roman" w:cs="Times New Roman"/>
              </w:rPr>
            </w:pPr>
          </w:p>
        </w:tc>
        <w:tc>
          <w:tcPr>
            <w:tcW w:w="7838" w:type="dxa"/>
            <w:gridSpan w:val="2"/>
            <w:tcBorders>
              <w:top w:val="single" w:sz="8" w:space="0" w:color="1A171C"/>
              <w:left w:val="single" w:sz="8" w:space="0" w:color="1A171C"/>
              <w:right w:val="nil"/>
            </w:tcBorders>
          </w:tcPr>
          <w:p w14:paraId="7FE1D0B5" w14:textId="7EA5292A" w:rsidR="00696584" w:rsidRDefault="00696584">
            <w:pPr>
              <w:pStyle w:val="TableParagraph"/>
              <w:spacing w:before="108"/>
              <w:ind w:left="85"/>
              <w:jc w:val="both"/>
              <w:rPr>
                <w:rFonts w:ascii="Times New Roman" w:eastAsia="Times New Roman" w:hAnsi="Times New Roman" w:cs="Times New Roman"/>
                <w:sz w:val="20"/>
                <w:szCs w:val="20"/>
              </w:rPr>
            </w:pPr>
          </w:p>
        </w:tc>
      </w:tr>
      <w:tr w:rsidR="00696584" w14:paraId="7FE1D0B9" w14:textId="77777777">
        <w:tc>
          <w:tcPr>
            <w:tcW w:w="1188" w:type="dxa"/>
            <w:vMerge/>
            <w:tcBorders>
              <w:bottom w:val="single" w:sz="8" w:space="0" w:color="1A171C"/>
              <w:right w:val="single" w:sz="8" w:space="0" w:color="1A171C"/>
            </w:tcBorders>
            <w:vAlign w:val="center"/>
          </w:tcPr>
          <w:p w14:paraId="7FE1D0B7" w14:textId="77777777" w:rsidR="00696584" w:rsidRDefault="00696584">
            <w:pPr>
              <w:rPr>
                <w:rFonts w:ascii="Times New Roman" w:hAnsi="Times New Roman" w:cs="Times New Roman"/>
              </w:rPr>
            </w:pPr>
          </w:p>
        </w:tc>
        <w:tc>
          <w:tcPr>
            <w:tcW w:w="7838" w:type="dxa"/>
            <w:gridSpan w:val="2"/>
            <w:tcBorders>
              <w:left w:val="single" w:sz="8" w:space="0" w:color="1A171C"/>
              <w:bottom w:val="single" w:sz="8" w:space="0" w:color="1A171C"/>
              <w:right w:val="nil"/>
            </w:tcBorders>
          </w:tcPr>
          <w:p w14:paraId="7FE1D0B8" w14:textId="21293449" w:rsidR="00696584" w:rsidRDefault="00696584">
            <w:pPr>
              <w:rPr>
                <w:rFonts w:ascii="Times New Roman" w:hAnsi="Times New Roman" w:cs="Times New Roman"/>
              </w:rPr>
            </w:pPr>
          </w:p>
        </w:tc>
      </w:tr>
    </w:tbl>
    <w:p w14:paraId="7FE1D0BA" w14:textId="77777777" w:rsidR="00696584" w:rsidRDefault="00696584">
      <w:pPr>
        <w:pStyle w:val="body"/>
        <w:rPr>
          <w:rFonts w:ascii="Times New Roman" w:hAnsi="Times New Roman" w:cs="Times New Roman"/>
          <w:color w:val="000000" w:themeColor="text1"/>
          <w:sz w:val="20"/>
          <w:szCs w:val="20"/>
        </w:rPr>
      </w:pPr>
    </w:p>
    <w:p w14:paraId="7FE1D0BB" w14:textId="77777777" w:rsidR="00696584" w:rsidRDefault="00696584">
      <w:pPr>
        <w:rPr>
          <w:rFonts w:ascii="Times New Roman" w:hAnsi="Times New Roman" w:cs="Times New Roman"/>
        </w:rPr>
      </w:pPr>
    </w:p>
    <w:p w14:paraId="7FE1D0BD" w14:textId="6E12EB2B" w:rsidR="00696584" w:rsidRDefault="002C4F63">
      <w:pPr>
        <w:pStyle w:val="Instructionsberschrift2"/>
        <w:numPr>
          <w:ilvl w:val="1"/>
          <w:numId w:val="49"/>
        </w:numPr>
        <w:spacing w:before="0"/>
        <w:ind w:left="357" w:hanging="357"/>
        <w:rPr>
          <w:rFonts w:ascii="Times New Roman" w:hAnsi="Times New Roman" w:cs="Times New Roman"/>
          <w:color w:val="000000" w:themeColor="text1"/>
          <w:szCs w:val="20"/>
        </w:rPr>
      </w:pPr>
      <w:bookmarkStart w:id="245" w:name="_Toc209533617"/>
      <w:r>
        <w:rPr>
          <w:rFonts w:ascii="Times New Roman" w:eastAsiaTheme="minorEastAsia" w:hAnsi="Times New Roman" w:cs="Times New Roman"/>
        </w:rPr>
        <w:t xml:space="preserve">Z 14.00 – </w:t>
      </w:r>
      <w:r>
        <w:rPr>
          <w:rFonts w:ascii="Times New Roman" w:hAnsi="Times New Roman" w:cs="Times New Roman"/>
          <w:color w:val="000000" w:themeColor="text1"/>
        </w:rPr>
        <w:t xml:space="preserve">Sonstige finanzielle Verbindlichkeiten (nicht in anderen Tabellen enthalten, ausgenommen gruppeninterne) </w:t>
      </w:r>
      <w:r>
        <w:rPr>
          <w:rFonts w:ascii="Times New Roman" w:eastAsia="Calibri" w:hAnsi="Times New Roman" w:cs="Times New Roman"/>
          <w:szCs w:val="20"/>
        </w:rPr>
        <w:t>(LIAB-G-4)</w:t>
      </w:r>
      <w:bookmarkEnd w:id="245"/>
    </w:p>
    <w:p w14:paraId="7FE1D0BF" w14:textId="77777777" w:rsidR="00696584" w:rsidRDefault="002C4F63">
      <w:pPr>
        <w:pStyle w:val="P68B1DB1-Numberedtitlelevel372"/>
      </w:pPr>
      <w:r>
        <w:t>Allgemeine Bemerkungen</w:t>
      </w:r>
    </w:p>
    <w:p w14:paraId="7FE1D0C0" w14:textId="28B97243" w:rsidR="00696584" w:rsidRDefault="002C4F63">
      <w:pPr>
        <w:pStyle w:val="P68B1DB1-InstructionsText286"/>
        <w:numPr>
          <w:ilvl w:val="2"/>
          <w:numId w:val="209"/>
        </w:numPr>
        <w:spacing w:before="0"/>
        <w:ind w:left="1276"/>
      </w:pPr>
      <w:r>
        <w:t>Auf diesem Meldebogen sind alle Verbindlichkeiten aufzuführen, die nicht in einem der anderen detaillierten Meldebögen aufgeführt sind (d. h. Z11.00, Z12.00, Z13.00, Z15.00, Z16.00 und Z17.00), wie beispielsweise Kredite, betriebliche Verbindlichkeiten, Verbindlichkeiten gegenüber Clearinghäusern usw.</w:t>
      </w:r>
    </w:p>
    <w:p w14:paraId="7FE1D0C2" w14:textId="3CB02A11" w:rsidR="00696584" w:rsidRDefault="002C4F63">
      <w:pPr>
        <w:pStyle w:val="P68B1DB1-InstructionsText286"/>
        <w:numPr>
          <w:ilvl w:val="2"/>
          <w:numId w:val="209"/>
        </w:numPr>
        <w:spacing w:before="0"/>
        <w:ind w:left="1276"/>
      </w:pPr>
      <w:r>
        <w:t>Zellen, die für eine bestimmte Verbindlichkeit nicht anwendbar sind (z. B. aufgelaufene Zinsen, aktueller Zinssatz, Emissionsdatum usw.) können leer bleiben.</w:t>
      </w:r>
    </w:p>
    <w:p w14:paraId="7FE1D0C3" w14:textId="7C8B3D6D" w:rsidR="00696584" w:rsidRDefault="002C4F63">
      <w:pPr>
        <w:pStyle w:val="P68B1DB1-InstructionsText286"/>
        <w:numPr>
          <w:ilvl w:val="2"/>
          <w:numId w:val="209"/>
        </w:numPr>
        <w:spacing w:before="0"/>
        <w:ind w:left="1276"/>
      </w:pPr>
      <w:r>
        <w:lastRenderedPageBreak/>
        <w:t>Für die Zwecke dieser Tabelle sind die Verbindlichkeiten in Zeilen auf der durch die verlangten Felder definierten Granularität anzugeben (grundsätzlich jede Transaktion, die als einzelnes Zeilenelement gemeldet wird). Verbindlichkeiten der Beschäftigten der Gruppe nach Art und Rangfolge der Insolvenz.</w:t>
      </w:r>
    </w:p>
    <w:p w14:paraId="7FE1D0C5" w14:textId="77777777" w:rsidR="00696584" w:rsidRDefault="002C4F63">
      <w:pPr>
        <w:pStyle w:val="P68B1DB1-InstructionsText287"/>
        <w:numPr>
          <w:ilvl w:val="0"/>
          <w:numId w:val="0"/>
        </w:numPr>
        <w:spacing w:before="0"/>
      </w:pPr>
      <w:r>
        <w:t>Erläuterungen zu bestimmten Positionen</w:t>
      </w:r>
    </w:p>
    <w:tbl>
      <w:tblPr>
        <w:tblW w:w="9015" w:type="dxa"/>
        <w:tblInd w:w="135" w:type="dxa"/>
        <w:tblLayout w:type="fixed"/>
        <w:tblLook w:val="04A0" w:firstRow="1" w:lastRow="0" w:firstColumn="1" w:lastColumn="0" w:noHBand="0" w:noVBand="1"/>
      </w:tblPr>
      <w:tblGrid>
        <w:gridCol w:w="1183"/>
        <w:gridCol w:w="7832"/>
      </w:tblGrid>
      <w:tr w:rsidR="00696584" w14:paraId="7FE1D0C8" w14:textId="77777777">
        <w:trPr>
          <w:tblHeader/>
        </w:trPr>
        <w:tc>
          <w:tcPr>
            <w:tcW w:w="1183" w:type="dxa"/>
            <w:tcBorders>
              <w:top w:val="single" w:sz="8" w:space="0" w:color="1A171C"/>
              <w:left w:val="nil"/>
              <w:bottom w:val="single" w:sz="8" w:space="0" w:color="1A171C"/>
              <w:right w:val="single" w:sz="8" w:space="0" w:color="1A171C"/>
            </w:tcBorders>
            <w:shd w:val="clear" w:color="auto" w:fill="D9D9D9" w:themeFill="background1" w:themeFillShade="D9"/>
          </w:tcPr>
          <w:p w14:paraId="7FE1D0C6" w14:textId="77777777" w:rsidR="00696584" w:rsidRDefault="002C4F63">
            <w:pPr>
              <w:pStyle w:val="P68B1DB1-TableParagraph17"/>
              <w:spacing w:before="108"/>
              <w:ind w:left="85"/>
            </w:pPr>
            <w:r>
              <w:t xml:space="preserve">Spalten </w:t>
            </w:r>
          </w:p>
        </w:tc>
        <w:tc>
          <w:tcPr>
            <w:tcW w:w="7832" w:type="dxa"/>
            <w:tcBorders>
              <w:top w:val="single" w:sz="8" w:space="0" w:color="1A171C"/>
              <w:left w:val="single" w:sz="8" w:space="0" w:color="1A171C"/>
              <w:bottom w:val="single" w:sz="8" w:space="0" w:color="1A171C"/>
              <w:right w:val="nil"/>
            </w:tcBorders>
            <w:shd w:val="clear" w:color="auto" w:fill="D9D9D9" w:themeFill="background1" w:themeFillShade="D9"/>
          </w:tcPr>
          <w:p w14:paraId="7FE1D0C7" w14:textId="77777777" w:rsidR="00696584" w:rsidRDefault="002C4F63">
            <w:pPr>
              <w:pStyle w:val="P68B1DB1-TableParagraph17"/>
              <w:spacing w:before="108"/>
              <w:ind w:left="85"/>
            </w:pPr>
            <w:r>
              <w:t xml:space="preserve">Erläuterungen </w:t>
            </w:r>
          </w:p>
        </w:tc>
      </w:tr>
      <w:tr w:rsidR="00696584" w14:paraId="7FE1D0CC" w14:textId="77777777">
        <w:tc>
          <w:tcPr>
            <w:tcW w:w="1183" w:type="dxa"/>
            <w:tcBorders>
              <w:top w:val="single" w:sz="8" w:space="0" w:color="1A171C"/>
              <w:left w:val="nil"/>
              <w:bottom w:val="single" w:sz="8" w:space="0" w:color="1A171C"/>
              <w:right w:val="single" w:sz="8" w:space="0" w:color="1A171C"/>
            </w:tcBorders>
            <w:vAlign w:val="center"/>
          </w:tcPr>
          <w:p w14:paraId="7FE1D0C9" w14:textId="77777777" w:rsidR="00696584" w:rsidRDefault="002C4F63">
            <w:pPr>
              <w:pStyle w:val="P68B1DB1-Normal31"/>
            </w:pPr>
            <w:r>
              <w:t>0010</w:t>
            </w:r>
          </w:p>
        </w:tc>
        <w:tc>
          <w:tcPr>
            <w:tcW w:w="7832" w:type="dxa"/>
            <w:tcBorders>
              <w:top w:val="single" w:sz="8" w:space="0" w:color="1A171C"/>
              <w:left w:val="single" w:sz="8" w:space="0" w:color="1A171C"/>
              <w:bottom w:val="single" w:sz="8" w:space="0" w:color="1A171C"/>
              <w:right w:val="nil"/>
            </w:tcBorders>
            <w:vAlign w:val="bottom"/>
          </w:tcPr>
          <w:p w14:paraId="7FE1D0CA" w14:textId="281BB567" w:rsidR="00696584" w:rsidRDefault="002C4F63">
            <w:pPr>
              <w:pStyle w:val="P68B1DB1-TableParagraph73"/>
              <w:spacing w:before="108"/>
              <w:ind w:left="85"/>
              <w:jc w:val="both"/>
              <w:rPr>
                <w:bCs/>
              </w:rPr>
            </w:pPr>
            <w:r>
              <w:t xml:space="preserve">NR. </w:t>
            </w:r>
          </w:p>
          <w:p w14:paraId="7FE1D0CB" w14:textId="1F8D9197" w:rsidR="00696584" w:rsidRDefault="002C4F63">
            <w:pPr>
              <w:pStyle w:val="P68B1DB1-TableParagraph40"/>
              <w:spacing w:before="108"/>
              <w:ind w:left="85"/>
              <w:jc w:val="both"/>
            </w:pPr>
            <w:r>
              <w:t>Eindeutige Zahl/eindeutiger Primärschlüssel zur Identifizierung der Zeilenpositionen.</w:t>
            </w:r>
          </w:p>
        </w:tc>
      </w:tr>
      <w:tr w:rsidR="00696584" w14:paraId="7FE1D0D0" w14:textId="77777777">
        <w:tc>
          <w:tcPr>
            <w:tcW w:w="1183" w:type="dxa"/>
            <w:tcBorders>
              <w:top w:val="single" w:sz="8" w:space="0" w:color="1A171C"/>
              <w:left w:val="nil"/>
              <w:bottom w:val="single" w:sz="8" w:space="0" w:color="1A171C"/>
              <w:right w:val="single" w:sz="8" w:space="0" w:color="1A171C"/>
            </w:tcBorders>
            <w:vAlign w:val="center"/>
          </w:tcPr>
          <w:p w14:paraId="7FE1D0CD" w14:textId="77777777" w:rsidR="00696584" w:rsidRDefault="002C4F63">
            <w:pPr>
              <w:pStyle w:val="P68B1DB1-Normal31"/>
            </w:pPr>
            <w:r>
              <w:t>0020</w:t>
            </w:r>
          </w:p>
        </w:tc>
        <w:tc>
          <w:tcPr>
            <w:tcW w:w="7832" w:type="dxa"/>
            <w:tcBorders>
              <w:top w:val="single" w:sz="8" w:space="0" w:color="1A171C"/>
              <w:left w:val="single" w:sz="8" w:space="0" w:color="1A171C"/>
              <w:bottom w:val="single" w:sz="8" w:space="0" w:color="1A171C"/>
              <w:right w:val="nil"/>
            </w:tcBorders>
            <w:vAlign w:val="bottom"/>
          </w:tcPr>
          <w:p w14:paraId="7FE1D0CE" w14:textId="2F41A40D" w:rsidR="00696584" w:rsidRDefault="002C4F63">
            <w:pPr>
              <w:pStyle w:val="P68B1DB1-TableParagraph73"/>
              <w:spacing w:before="108"/>
              <w:ind w:left="85"/>
              <w:jc w:val="both"/>
              <w:rPr>
                <w:bCs/>
              </w:rPr>
            </w:pPr>
            <w:r>
              <w:t xml:space="preserve">Zeile </w:t>
            </w:r>
          </w:p>
          <w:p w14:paraId="7FE1D0CF" w14:textId="79D5067A" w:rsidR="00696584" w:rsidRDefault="002C4F63">
            <w:pPr>
              <w:pStyle w:val="P68B1DB1-TableParagraph40"/>
              <w:spacing w:before="108"/>
              <w:ind w:left="85"/>
              <w:jc w:val="both"/>
            </w:pPr>
            <w:r>
              <w:t xml:space="preserve">Jede Zeile muss der entsprechenden Verbindlichkeitskategorie der Verbindlichkeitsstruktur des Meldebogens Z02.00 auf Laufzeitebene zugeordnet </w:t>
            </w:r>
            <w:r w:rsidR="00F61D1C">
              <w:t>werden. Die</w:t>
            </w:r>
            <w:r>
              <w:t xml:space="preserve"> Kategorie ist aus einer vorgegebenen Auswahlliste auszuwählen.</w:t>
            </w:r>
          </w:p>
        </w:tc>
      </w:tr>
      <w:tr w:rsidR="00696584" w14:paraId="7FE1D0D4" w14:textId="77777777">
        <w:tc>
          <w:tcPr>
            <w:tcW w:w="1183" w:type="dxa"/>
            <w:tcBorders>
              <w:top w:val="single" w:sz="8" w:space="0" w:color="1A171C"/>
              <w:left w:val="nil"/>
              <w:bottom w:val="single" w:sz="8" w:space="0" w:color="1A171C"/>
              <w:right w:val="single" w:sz="8" w:space="0" w:color="1A171C"/>
            </w:tcBorders>
            <w:vAlign w:val="center"/>
          </w:tcPr>
          <w:p w14:paraId="7FE1D0D1" w14:textId="77777777" w:rsidR="00696584" w:rsidRDefault="002C4F63">
            <w:pPr>
              <w:pStyle w:val="P68B1DB1-Normal31"/>
            </w:pPr>
            <w:r>
              <w:t>0030</w:t>
            </w:r>
          </w:p>
        </w:tc>
        <w:tc>
          <w:tcPr>
            <w:tcW w:w="7832" w:type="dxa"/>
            <w:tcBorders>
              <w:top w:val="single" w:sz="8" w:space="0" w:color="1A171C"/>
              <w:left w:val="single" w:sz="8" w:space="0" w:color="1A171C"/>
              <w:bottom w:val="single" w:sz="8" w:space="0" w:color="1A171C"/>
              <w:right w:val="nil"/>
            </w:tcBorders>
            <w:vAlign w:val="bottom"/>
          </w:tcPr>
          <w:p w14:paraId="7FE1D0D2" w14:textId="7749B1EA" w:rsidR="00696584" w:rsidRDefault="002C4F63">
            <w:pPr>
              <w:pStyle w:val="P68B1DB1-TableParagraph73"/>
              <w:spacing w:before="108"/>
              <w:ind w:left="85"/>
              <w:jc w:val="both"/>
              <w:rPr>
                <w:bCs/>
              </w:rPr>
            </w:pPr>
            <w:r>
              <w:t xml:space="preserve">Spalte </w:t>
            </w:r>
          </w:p>
          <w:p w14:paraId="7FE1D0D3" w14:textId="7C667372" w:rsidR="00696584" w:rsidRDefault="002C4F63">
            <w:pPr>
              <w:pStyle w:val="P68B1DB1-TableParagraph40"/>
              <w:spacing w:before="108"/>
              <w:ind w:left="85"/>
              <w:jc w:val="both"/>
            </w:pPr>
            <w:r>
              <w:t xml:space="preserve">Je nach Art des Gläubigers muss jede Zeile der entsprechenden Gegenpartei-Kategorie des Meldebogens Z02.00 zugeordnet </w:t>
            </w:r>
            <w:r w:rsidR="00F61D1C">
              <w:t>werden. Die</w:t>
            </w:r>
            <w:r>
              <w:t xml:space="preserve"> Kategorie ist aus einer vorgegebenen Auswahlliste auszuwählen.</w:t>
            </w:r>
          </w:p>
        </w:tc>
      </w:tr>
      <w:tr w:rsidR="00696584" w14:paraId="7FE1D0D8" w14:textId="77777777">
        <w:tc>
          <w:tcPr>
            <w:tcW w:w="1183" w:type="dxa"/>
            <w:tcBorders>
              <w:top w:val="single" w:sz="8" w:space="0" w:color="1A171C"/>
              <w:left w:val="nil"/>
              <w:bottom w:val="single" w:sz="8" w:space="0" w:color="1A171C"/>
              <w:right w:val="single" w:sz="8" w:space="0" w:color="1A171C"/>
            </w:tcBorders>
            <w:vAlign w:val="center"/>
          </w:tcPr>
          <w:p w14:paraId="7FE1D0D5" w14:textId="77777777" w:rsidR="00696584" w:rsidRDefault="002C4F63">
            <w:pPr>
              <w:pStyle w:val="P68B1DB1-Normal31"/>
            </w:pPr>
            <w:r>
              <w:t>0040</w:t>
            </w:r>
          </w:p>
        </w:tc>
        <w:tc>
          <w:tcPr>
            <w:tcW w:w="7832" w:type="dxa"/>
            <w:tcBorders>
              <w:top w:val="single" w:sz="8" w:space="0" w:color="1A171C"/>
              <w:left w:val="single" w:sz="8" w:space="0" w:color="1A171C"/>
              <w:bottom w:val="single" w:sz="8" w:space="0" w:color="1A171C"/>
              <w:right w:val="nil"/>
            </w:tcBorders>
            <w:vAlign w:val="bottom"/>
          </w:tcPr>
          <w:p w14:paraId="7FE1D0D6" w14:textId="0167E9CF" w:rsidR="00696584" w:rsidRDefault="002C4F63">
            <w:pPr>
              <w:pStyle w:val="P68B1DB1-TableParagraph73"/>
              <w:spacing w:before="108"/>
              <w:ind w:left="85"/>
              <w:jc w:val="both"/>
              <w:rPr>
                <w:bCs/>
              </w:rPr>
            </w:pPr>
            <w:r>
              <w:t xml:space="preserve">Insolvenzrang </w:t>
            </w:r>
          </w:p>
          <w:p w14:paraId="7FE1D0D7" w14:textId="3C00E6EA" w:rsidR="00696584" w:rsidRDefault="002C4F63">
            <w:pPr>
              <w:pStyle w:val="P68B1DB1-TableParagraph40"/>
              <w:spacing w:before="108"/>
              <w:ind w:left="85"/>
              <w:jc w:val="both"/>
            </w:pPr>
            <w:r>
              <w:t>Der Rang in der Insolvenz muss einer der Ränge sein, die in der von der Abwicklungsbehörde der betreffenden Rechtsordnung veröffentlichten Insolvenzrangliste enthalten sind.</w:t>
            </w:r>
          </w:p>
        </w:tc>
      </w:tr>
      <w:tr w:rsidR="00696584" w14:paraId="7FE1D0DC" w14:textId="77777777">
        <w:tc>
          <w:tcPr>
            <w:tcW w:w="1183" w:type="dxa"/>
            <w:tcBorders>
              <w:top w:val="single" w:sz="8" w:space="0" w:color="1A171C"/>
              <w:left w:val="nil"/>
              <w:bottom w:val="single" w:sz="8" w:space="0" w:color="1A171C"/>
              <w:right w:val="single" w:sz="8" w:space="0" w:color="1A171C"/>
            </w:tcBorders>
            <w:vAlign w:val="center"/>
          </w:tcPr>
          <w:p w14:paraId="7FE1D0D9" w14:textId="77777777" w:rsidR="00696584" w:rsidRDefault="002C4F63">
            <w:pPr>
              <w:pStyle w:val="P68B1DB1-Normal31"/>
            </w:pPr>
            <w:r>
              <w:t>0050</w:t>
            </w:r>
          </w:p>
        </w:tc>
        <w:tc>
          <w:tcPr>
            <w:tcW w:w="7832" w:type="dxa"/>
            <w:tcBorders>
              <w:top w:val="single" w:sz="8" w:space="0" w:color="1A171C"/>
              <w:left w:val="single" w:sz="8" w:space="0" w:color="1A171C"/>
              <w:bottom w:val="single" w:sz="8" w:space="0" w:color="1A171C"/>
              <w:right w:val="nil"/>
            </w:tcBorders>
            <w:vAlign w:val="bottom"/>
          </w:tcPr>
          <w:p w14:paraId="7FE1D0DA" w14:textId="77777777" w:rsidR="00696584" w:rsidRDefault="002C4F63">
            <w:pPr>
              <w:pStyle w:val="P68B1DB1-TableParagraph73"/>
              <w:spacing w:before="108"/>
              <w:ind w:left="85"/>
              <w:jc w:val="both"/>
              <w:rPr>
                <w:bCs/>
              </w:rPr>
            </w:pPr>
            <w:r>
              <w:t xml:space="preserve">Vertragskennung </w:t>
            </w:r>
          </w:p>
          <w:p w14:paraId="7FE1D0DB" w14:textId="09A77FF8" w:rsidR="00696584" w:rsidRDefault="002C4F63">
            <w:pPr>
              <w:pStyle w:val="P68B1DB1-TableParagraph40"/>
              <w:spacing w:before="108"/>
              <w:ind w:left="85"/>
              <w:jc w:val="both"/>
            </w:pPr>
            <w:r>
              <w:t>Die ISIN oder, falls die ISIN nicht verfügbar ist, eine andere Vertragskennung des Instruments ist anzugeben.</w:t>
            </w:r>
          </w:p>
        </w:tc>
      </w:tr>
      <w:tr w:rsidR="00696584" w14:paraId="7FE1D0E0" w14:textId="77777777">
        <w:tc>
          <w:tcPr>
            <w:tcW w:w="1183" w:type="dxa"/>
            <w:tcBorders>
              <w:top w:val="single" w:sz="8" w:space="0" w:color="1A171C"/>
              <w:left w:val="nil"/>
              <w:bottom w:val="single" w:sz="8" w:space="0" w:color="1A171C"/>
              <w:right w:val="single" w:sz="8" w:space="0" w:color="1A171C"/>
            </w:tcBorders>
            <w:vAlign w:val="center"/>
          </w:tcPr>
          <w:p w14:paraId="7FE1D0DD" w14:textId="77777777" w:rsidR="00696584" w:rsidRDefault="002C4F63">
            <w:pPr>
              <w:pStyle w:val="P68B1DB1-Normal31"/>
            </w:pPr>
            <w:r>
              <w:t>0055</w:t>
            </w:r>
          </w:p>
        </w:tc>
        <w:tc>
          <w:tcPr>
            <w:tcW w:w="7832" w:type="dxa"/>
            <w:tcBorders>
              <w:top w:val="single" w:sz="8" w:space="0" w:color="1A171C"/>
              <w:left w:val="single" w:sz="8" w:space="0" w:color="1A171C"/>
              <w:bottom w:val="single" w:sz="8" w:space="0" w:color="1A171C"/>
              <w:right w:val="nil"/>
            </w:tcBorders>
            <w:vAlign w:val="bottom"/>
          </w:tcPr>
          <w:p w14:paraId="7FE1D0DE" w14:textId="6192EFDD" w:rsidR="00696584" w:rsidRDefault="002C4F63">
            <w:pPr>
              <w:pStyle w:val="P68B1DB1-TableParagraph73"/>
              <w:spacing w:before="108"/>
              <w:ind w:left="85"/>
              <w:jc w:val="both"/>
              <w:rPr>
                <w:bCs/>
              </w:rPr>
            </w:pPr>
            <w:r>
              <w:t xml:space="preserve">Name der Gegenpartei </w:t>
            </w:r>
          </w:p>
          <w:p w14:paraId="7FE1D0DF" w14:textId="5D08E31A" w:rsidR="00696584" w:rsidRDefault="002C4F63">
            <w:pPr>
              <w:pStyle w:val="P68B1DB1-TableParagraph40"/>
              <w:spacing w:before="108"/>
              <w:ind w:left="85"/>
              <w:jc w:val="both"/>
            </w:pPr>
            <w:r>
              <w:t>Name des Unternehmens der Gegenpartei der Verbindlichkeit.</w:t>
            </w:r>
          </w:p>
        </w:tc>
      </w:tr>
      <w:tr w:rsidR="00696584" w14:paraId="7FE1D0E5" w14:textId="77777777">
        <w:tc>
          <w:tcPr>
            <w:tcW w:w="1183" w:type="dxa"/>
            <w:tcBorders>
              <w:top w:val="single" w:sz="8" w:space="0" w:color="1A171C"/>
              <w:left w:val="nil"/>
              <w:bottom w:val="single" w:sz="8" w:space="0" w:color="1A171C"/>
              <w:right w:val="single" w:sz="8" w:space="0" w:color="1A171C"/>
            </w:tcBorders>
            <w:vAlign w:val="center"/>
          </w:tcPr>
          <w:p w14:paraId="7FE1D0E1" w14:textId="77777777" w:rsidR="00696584" w:rsidRDefault="002C4F63">
            <w:pPr>
              <w:pStyle w:val="P68B1DB1-Normal31"/>
            </w:pPr>
            <w:r>
              <w:t>0060</w:t>
            </w:r>
          </w:p>
        </w:tc>
        <w:tc>
          <w:tcPr>
            <w:tcW w:w="7832" w:type="dxa"/>
            <w:tcBorders>
              <w:top w:val="single" w:sz="8" w:space="0" w:color="1A171C"/>
              <w:left w:val="single" w:sz="8" w:space="0" w:color="1A171C"/>
              <w:bottom w:val="single" w:sz="8" w:space="0" w:color="1A171C"/>
              <w:right w:val="nil"/>
            </w:tcBorders>
            <w:vAlign w:val="bottom"/>
          </w:tcPr>
          <w:p w14:paraId="7142A50B" w14:textId="5B4939E6" w:rsidR="00696584" w:rsidRDefault="002C4F63">
            <w:pPr>
              <w:pStyle w:val="P68B1DB1-TableParagraph73"/>
              <w:spacing w:before="108"/>
              <w:ind w:left="85"/>
              <w:jc w:val="both"/>
            </w:pPr>
            <w:r>
              <w:t>Vertragspartnerkennung</w:t>
            </w:r>
          </w:p>
          <w:p w14:paraId="7FE1D0E3" w14:textId="4E34C2DB" w:rsidR="00696584" w:rsidRDefault="002C4F63">
            <w:pPr>
              <w:pStyle w:val="P68B1DB1-TableParagraph40"/>
              <w:spacing w:before="108"/>
              <w:ind w:left="85"/>
              <w:jc w:val="both"/>
            </w:pPr>
            <w:r>
              <w:t>Geben Sie den LEI-Code des Gläubigers an. Sollte kein LEI-Code vorliegen, ist bei Banken die in RIAD (Register of Institutions and Affiliates Database) verwendete eindeutige Kennung für monetäre Finanzinstitute (monetary financial institutions unique IDentifier – MFI ID) anzugeben. Lediglich wenn keine dieser beiden Kennungen vorliegt, kann eine interne Kennung verwendet werden.</w:t>
            </w:r>
          </w:p>
          <w:p w14:paraId="7FE1D0E4" w14:textId="1D573481" w:rsidR="00696584" w:rsidRDefault="00696584">
            <w:pPr>
              <w:pStyle w:val="TableParagraph"/>
              <w:spacing w:before="108"/>
              <w:ind w:left="85"/>
              <w:jc w:val="both"/>
              <w:rPr>
                <w:rFonts w:ascii="Times New Roman" w:eastAsia="Times New Roman" w:hAnsi="Times New Roman" w:cs="Times New Roman"/>
                <w:sz w:val="20"/>
                <w:szCs w:val="20"/>
              </w:rPr>
            </w:pPr>
          </w:p>
        </w:tc>
      </w:tr>
      <w:tr w:rsidR="00696584" w14:paraId="7FE1D0E9" w14:textId="77777777">
        <w:tc>
          <w:tcPr>
            <w:tcW w:w="1183" w:type="dxa"/>
            <w:tcBorders>
              <w:top w:val="single" w:sz="8" w:space="0" w:color="1A171C"/>
              <w:left w:val="nil"/>
              <w:bottom w:val="single" w:sz="8" w:space="0" w:color="1A171C"/>
              <w:right w:val="single" w:sz="8" w:space="0" w:color="1A171C"/>
            </w:tcBorders>
            <w:vAlign w:val="center"/>
          </w:tcPr>
          <w:p w14:paraId="7FE1D0E6" w14:textId="77777777" w:rsidR="00696584" w:rsidRDefault="002C4F63">
            <w:pPr>
              <w:pStyle w:val="P68B1DB1-Normal31"/>
            </w:pPr>
            <w:r>
              <w:t>0065</w:t>
            </w:r>
          </w:p>
        </w:tc>
        <w:tc>
          <w:tcPr>
            <w:tcW w:w="7832" w:type="dxa"/>
            <w:tcBorders>
              <w:top w:val="single" w:sz="8" w:space="0" w:color="1A171C"/>
              <w:left w:val="single" w:sz="8" w:space="0" w:color="1A171C"/>
              <w:bottom w:val="single" w:sz="8" w:space="0" w:color="1A171C"/>
              <w:right w:val="nil"/>
            </w:tcBorders>
            <w:vAlign w:val="bottom"/>
          </w:tcPr>
          <w:p w14:paraId="7FE1D0E7" w14:textId="77777777" w:rsidR="00696584" w:rsidRDefault="002C4F63">
            <w:pPr>
              <w:pStyle w:val="P68B1DB1-TableParagraph73"/>
              <w:spacing w:before="108"/>
              <w:ind w:left="85"/>
              <w:jc w:val="both"/>
              <w:rPr>
                <w:bCs/>
              </w:rPr>
            </w:pPr>
            <w:r>
              <w:t xml:space="preserve">Art der Kennung </w:t>
            </w:r>
          </w:p>
          <w:p w14:paraId="7FE1D0E8" w14:textId="77777777" w:rsidR="00696584" w:rsidRDefault="002C4F63">
            <w:pPr>
              <w:pStyle w:val="P68B1DB1-TableParagraph40"/>
              <w:spacing w:before="108"/>
              <w:ind w:left="85"/>
              <w:jc w:val="both"/>
            </w:pPr>
            <w:r>
              <w:t>Auswahl unter folgenden Optionen: „LEI-Code“, „MFI-Code“ oder „Andere Art der Kennung als LEI-Code oder MFI-Code“.</w:t>
            </w:r>
          </w:p>
        </w:tc>
      </w:tr>
      <w:tr w:rsidR="00696584" w14:paraId="7FE1D0ED" w14:textId="77777777">
        <w:tc>
          <w:tcPr>
            <w:tcW w:w="1183" w:type="dxa"/>
            <w:tcBorders>
              <w:top w:val="single" w:sz="8" w:space="0" w:color="1A171C"/>
              <w:left w:val="nil"/>
              <w:bottom w:val="single" w:sz="8" w:space="0" w:color="1A171C"/>
              <w:right w:val="single" w:sz="8" w:space="0" w:color="1A171C"/>
            </w:tcBorders>
            <w:vAlign w:val="center"/>
          </w:tcPr>
          <w:p w14:paraId="7FE1D0EA" w14:textId="0A815463" w:rsidR="00696584" w:rsidRDefault="002C4F63">
            <w:pPr>
              <w:pStyle w:val="P68B1DB1-Normal31"/>
            </w:pPr>
            <w:r>
              <w:t>0070</w:t>
            </w:r>
          </w:p>
        </w:tc>
        <w:tc>
          <w:tcPr>
            <w:tcW w:w="7832" w:type="dxa"/>
            <w:tcBorders>
              <w:top w:val="single" w:sz="8" w:space="0" w:color="1A171C"/>
              <w:left w:val="single" w:sz="8" w:space="0" w:color="1A171C"/>
              <w:bottom w:val="single" w:sz="8" w:space="0" w:color="1A171C"/>
              <w:right w:val="nil"/>
            </w:tcBorders>
            <w:vAlign w:val="bottom"/>
          </w:tcPr>
          <w:p w14:paraId="7FE1D0EB" w14:textId="1E8F178F" w:rsidR="00696584" w:rsidRDefault="002C4F63">
            <w:pPr>
              <w:pStyle w:val="P68B1DB1-TableParagraph73"/>
              <w:spacing w:before="108"/>
              <w:ind w:left="85"/>
              <w:jc w:val="both"/>
              <w:rPr>
                <w:bCs/>
              </w:rPr>
            </w:pPr>
            <w:r>
              <w:t xml:space="preserve">Anwendbares Recht  </w:t>
            </w:r>
          </w:p>
          <w:p w14:paraId="7FE1D0EC" w14:textId="237CB9E1" w:rsidR="00696584" w:rsidRDefault="002C4F63">
            <w:pPr>
              <w:pStyle w:val="P68B1DB1-TableParagraph40"/>
              <w:spacing w:before="108"/>
              <w:ind w:left="85"/>
              <w:jc w:val="both"/>
            </w:pPr>
            <w:r>
              <w:t xml:space="preserve">Der ISO-Alpha-2-Code nach ISO 3166-1 des Landes, dessen Recht für das Instrument maßgebend ist (verwenden Sie den ISO-Code 3166-2, wenn das Recht einer Verwaltungsunterteilung relevant ist, z. B. „US-NY“). Ist für den Vertrag das Recht von mehr als einem Land anwendbar, ist das Land anzugeben, dessen Recht die höchste Relevanz für die Anerkennung von Abschreibungs- und Umwandlungsbefugnissen hat.  </w:t>
            </w:r>
          </w:p>
        </w:tc>
      </w:tr>
      <w:tr w:rsidR="00696584" w14:paraId="7FE1D0F1" w14:textId="77777777">
        <w:tc>
          <w:tcPr>
            <w:tcW w:w="1183" w:type="dxa"/>
            <w:tcBorders>
              <w:top w:val="single" w:sz="8" w:space="0" w:color="1A171C"/>
              <w:left w:val="nil"/>
              <w:bottom w:val="single" w:sz="8" w:space="0" w:color="1A171C"/>
              <w:right w:val="single" w:sz="8" w:space="0" w:color="1A171C"/>
            </w:tcBorders>
            <w:vAlign w:val="center"/>
          </w:tcPr>
          <w:p w14:paraId="7FE1D0EE" w14:textId="728793C3" w:rsidR="00696584" w:rsidRDefault="002C4F63">
            <w:pPr>
              <w:pStyle w:val="P68B1DB1-Normal31"/>
            </w:pPr>
            <w:r>
              <w:t>0075</w:t>
            </w:r>
          </w:p>
        </w:tc>
        <w:tc>
          <w:tcPr>
            <w:tcW w:w="7832" w:type="dxa"/>
            <w:tcBorders>
              <w:top w:val="single" w:sz="8" w:space="0" w:color="1A171C"/>
              <w:left w:val="single" w:sz="8" w:space="0" w:color="1A171C"/>
              <w:bottom w:val="single" w:sz="8" w:space="0" w:color="1A171C"/>
              <w:right w:val="nil"/>
            </w:tcBorders>
            <w:vAlign w:val="bottom"/>
          </w:tcPr>
          <w:p w14:paraId="7FE1D0EF" w14:textId="5B4FC1DF" w:rsidR="00696584" w:rsidRDefault="002C4F63">
            <w:pPr>
              <w:pStyle w:val="P68B1DB1-TableParagraph73"/>
              <w:spacing w:before="108"/>
              <w:ind w:left="85"/>
              <w:jc w:val="both"/>
              <w:rPr>
                <w:bCs/>
              </w:rPr>
            </w:pPr>
            <w:r>
              <w:t xml:space="preserve">Art der finanziellen Verbindlichkeiten </w:t>
            </w:r>
          </w:p>
          <w:p w14:paraId="7FE1D0F0" w14:textId="2EC7085D" w:rsidR="00696584" w:rsidRDefault="002C4F63">
            <w:pPr>
              <w:pStyle w:val="P68B1DB1-TableParagraph40"/>
              <w:spacing w:before="108"/>
              <w:ind w:left="85"/>
              <w:jc w:val="both"/>
            </w:pPr>
            <w:r>
              <w:t>Auswahl unter folgenden Optionen:</w:t>
            </w:r>
            <w:r w:rsidR="00CE138C">
              <w:t xml:space="preserve"> </w:t>
            </w:r>
            <w:r>
              <w:t>„Schuldverschreibung“, „Namensschuldverschreibung“, „Wechsel“, „Stille Einlagen“, „Sonstige Finanzverbindlichkeiten“.</w:t>
            </w:r>
          </w:p>
        </w:tc>
      </w:tr>
      <w:tr w:rsidR="00696584" w14:paraId="7FE1D0FC" w14:textId="77777777">
        <w:tc>
          <w:tcPr>
            <w:tcW w:w="1183" w:type="dxa"/>
            <w:tcBorders>
              <w:top w:val="single" w:sz="8" w:space="0" w:color="1A171C"/>
              <w:left w:val="nil"/>
              <w:bottom w:val="single" w:sz="8" w:space="0" w:color="1A171C"/>
              <w:right w:val="single" w:sz="8" w:space="0" w:color="1A171C"/>
            </w:tcBorders>
            <w:vAlign w:val="center"/>
          </w:tcPr>
          <w:p w14:paraId="7FE1D0F2" w14:textId="77777777" w:rsidR="00696584" w:rsidRDefault="002C4F63">
            <w:pPr>
              <w:pStyle w:val="P68B1DB1-Normal31"/>
            </w:pPr>
            <w:r>
              <w:t>0080</w:t>
            </w:r>
          </w:p>
        </w:tc>
        <w:tc>
          <w:tcPr>
            <w:tcW w:w="7832" w:type="dxa"/>
            <w:tcBorders>
              <w:top w:val="single" w:sz="8" w:space="0" w:color="1A171C"/>
              <w:left w:val="single" w:sz="8" w:space="0" w:color="1A171C"/>
              <w:bottom w:val="single" w:sz="8" w:space="0" w:color="1A171C"/>
              <w:right w:val="nil"/>
            </w:tcBorders>
            <w:vAlign w:val="bottom"/>
          </w:tcPr>
          <w:p w14:paraId="7FE1D0F4" w14:textId="69C59D27" w:rsidR="00696584" w:rsidRDefault="002C4F63">
            <w:pPr>
              <w:pStyle w:val="P68B1DB1-TableParagraph73"/>
              <w:spacing w:before="108"/>
              <w:ind w:left="85"/>
              <w:jc w:val="both"/>
            </w:pPr>
            <w:r>
              <w:t xml:space="preserve">Falls Drittland Recht, vertragliche Anerkennung </w:t>
            </w:r>
          </w:p>
          <w:p w14:paraId="7FE1D0F6" w14:textId="77777777" w:rsidR="00696584" w:rsidRDefault="002C4F63">
            <w:pPr>
              <w:pStyle w:val="P68B1DB1-TableParagraph40"/>
              <w:spacing w:before="108"/>
              <w:ind w:left="85"/>
              <w:jc w:val="both"/>
            </w:pPr>
            <w:r>
              <w:lastRenderedPageBreak/>
              <w:t xml:space="preserve">Festlegung vertraglicher Bestimmungen für die Anerkennung von Bail-in-Befugnissen gemäß Artikel 55 BRRD, entweder </w:t>
            </w:r>
          </w:p>
          <w:p w14:paraId="7FE1D0F7" w14:textId="77777777" w:rsidR="00696584" w:rsidRDefault="002C4F63">
            <w:pPr>
              <w:pStyle w:val="P68B1DB1-TableParagraph40"/>
              <w:spacing w:before="108"/>
              <w:ind w:left="85"/>
              <w:jc w:val="both"/>
            </w:pPr>
            <w:r>
              <w:t>Ja, unterstützt durch ein Rechtsgutachten“ = die Verbindlichkeit enthält eine Bail-in-Anerkennungsklausel im Einklang mit Artikel 55 BRRD, die durch ein Rechtsgutachten gestützt wird;</w:t>
            </w:r>
          </w:p>
          <w:p w14:paraId="7FE1D0F8" w14:textId="77777777" w:rsidR="00696584" w:rsidRDefault="002C4F63">
            <w:pPr>
              <w:pStyle w:val="P68B1DB1-TableParagraph40"/>
              <w:spacing w:before="108"/>
              <w:ind w:left="85"/>
              <w:jc w:val="both"/>
            </w:pPr>
            <w:r>
              <w:t>„Ja, nicht durch ein Rechtsgutachten unterstützt“ = die Verbindlichkeit enthält eine Bail-in-Anerkennungsklausel im Einklang mit Artikel 55 BRRD, die derzeit nicht durch ein Rechtsgutachten gestützt wird;</w:t>
            </w:r>
          </w:p>
          <w:p w14:paraId="7FE1D0F9" w14:textId="77777777" w:rsidR="00696584" w:rsidRDefault="002C4F63">
            <w:pPr>
              <w:pStyle w:val="P68B1DB1-TableParagraph40"/>
              <w:spacing w:before="108"/>
              <w:ind w:left="85"/>
              <w:jc w:val="both"/>
            </w:pPr>
            <w:r>
              <w:t>„Nein“ = die Verbindlichkeit enthält keine Bail-in-Anerkennungsklausel;</w:t>
            </w:r>
          </w:p>
          <w:p w14:paraId="7FE1D0FA" w14:textId="07E9B1A6" w:rsidR="00696584" w:rsidRDefault="002C4F63">
            <w:pPr>
              <w:pStyle w:val="P68B1DB1-TableParagraph40"/>
              <w:spacing w:before="108"/>
              <w:ind w:left="85"/>
              <w:jc w:val="both"/>
            </w:pPr>
            <w:r>
              <w:t xml:space="preserve">„Entfällt“,   </w:t>
            </w:r>
          </w:p>
          <w:p w14:paraId="7FE1D0FB" w14:textId="77777777" w:rsidR="00696584" w:rsidRDefault="002C4F63">
            <w:pPr>
              <w:pStyle w:val="P68B1DB1-TableParagraph40"/>
              <w:spacing w:before="108"/>
              <w:ind w:left="85"/>
              <w:jc w:val="both"/>
            </w:pPr>
            <w:r>
              <w:t>aus einer vorgegebenen Liste.</w:t>
            </w:r>
          </w:p>
        </w:tc>
      </w:tr>
      <w:tr w:rsidR="00696584" w14:paraId="7FE1D100" w14:textId="77777777">
        <w:tc>
          <w:tcPr>
            <w:tcW w:w="1183" w:type="dxa"/>
            <w:tcBorders>
              <w:top w:val="single" w:sz="8" w:space="0" w:color="1A171C"/>
              <w:left w:val="nil"/>
              <w:bottom w:val="single" w:sz="8" w:space="0" w:color="1A171C"/>
              <w:right w:val="single" w:sz="8" w:space="0" w:color="1A171C"/>
            </w:tcBorders>
            <w:vAlign w:val="center"/>
          </w:tcPr>
          <w:p w14:paraId="7FE1D0FD" w14:textId="77777777" w:rsidR="00696584" w:rsidRDefault="002C4F63">
            <w:pPr>
              <w:pStyle w:val="P68B1DB1-Normal31"/>
            </w:pPr>
            <w:r>
              <w:lastRenderedPageBreak/>
              <w:t>0090</w:t>
            </w:r>
          </w:p>
        </w:tc>
        <w:tc>
          <w:tcPr>
            <w:tcW w:w="7832" w:type="dxa"/>
            <w:tcBorders>
              <w:top w:val="single" w:sz="8" w:space="0" w:color="1A171C"/>
              <w:left w:val="single" w:sz="8" w:space="0" w:color="1A171C"/>
              <w:bottom w:val="single" w:sz="8" w:space="0" w:color="1A171C"/>
              <w:right w:val="nil"/>
            </w:tcBorders>
            <w:vAlign w:val="bottom"/>
          </w:tcPr>
          <w:p w14:paraId="7FE1D0FE" w14:textId="2B50D04C" w:rsidR="00696584" w:rsidRDefault="002C4F63">
            <w:pPr>
              <w:pStyle w:val="P68B1DB1-TableParagraph73"/>
              <w:spacing w:before="108"/>
              <w:ind w:left="85"/>
              <w:jc w:val="both"/>
              <w:rPr>
                <w:bCs/>
              </w:rPr>
            </w:pPr>
            <w:r>
              <w:t xml:space="preserve">Ausstehender Kapitalbetrag  </w:t>
            </w:r>
          </w:p>
          <w:p w14:paraId="7FE1D0FF" w14:textId="66FDB1F5" w:rsidR="00696584" w:rsidRDefault="002C4F63">
            <w:pPr>
              <w:pStyle w:val="P68B1DB1-TableParagraph40"/>
              <w:spacing w:before="108"/>
              <w:ind w:left="85"/>
              <w:jc w:val="both"/>
            </w:pPr>
            <w:r>
              <w:t>Den ausstehenden Kapitalbetrag der Verbindlichkeit.</w:t>
            </w:r>
          </w:p>
        </w:tc>
      </w:tr>
      <w:tr w:rsidR="00696584" w14:paraId="7FE1D104" w14:textId="77777777">
        <w:tc>
          <w:tcPr>
            <w:tcW w:w="1183" w:type="dxa"/>
            <w:tcBorders>
              <w:top w:val="single" w:sz="8" w:space="0" w:color="1A171C"/>
              <w:left w:val="nil"/>
              <w:bottom w:val="single" w:sz="8" w:space="0" w:color="1A171C"/>
              <w:right w:val="single" w:sz="8" w:space="0" w:color="1A171C"/>
            </w:tcBorders>
            <w:vAlign w:val="center"/>
          </w:tcPr>
          <w:p w14:paraId="7FE1D101" w14:textId="77777777" w:rsidR="00696584" w:rsidRDefault="002C4F63">
            <w:pPr>
              <w:pStyle w:val="P68B1DB1-Normal31"/>
            </w:pPr>
            <w:r>
              <w:t>0100</w:t>
            </w:r>
          </w:p>
        </w:tc>
        <w:tc>
          <w:tcPr>
            <w:tcW w:w="7832" w:type="dxa"/>
            <w:tcBorders>
              <w:top w:val="single" w:sz="8" w:space="0" w:color="1A171C"/>
              <w:left w:val="single" w:sz="8" w:space="0" w:color="1A171C"/>
              <w:bottom w:val="single" w:sz="8" w:space="0" w:color="1A171C"/>
              <w:right w:val="nil"/>
            </w:tcBorders>
            <w:vAlign w:val="bottom"/>
          </w:tcPr>
          <w:p w14:paraId="7FE1D102" w14:textId="2DA0F2E6" w:rsidR="00696584" w:rsidRDefault="002C4F63">
            <w:pPr>
              <w:pStyle w:val="P68B1DB1-TableParagraph73"/>
              <w:spacing w:before="108"/>
              <w:ind w:left="85"/>
              <w:jc w:val="both"/>
              <w:rPr>
                <w:bCs/>
              </w:rPr>
            </w:pPr>
            <w:r>
              <w:t xml:space="preserve">Aufgelaufene Zinsen </w:t>
            </w:r>
          </w:p>
          <w:p w14:paraId="7FE1D103" w14:textId="345D6EBF" w:rsidR="00696584" w:rsidRDefault="002C4F63">
            <w:pPr>
              <w:pStyle w:val="P68B1DB1-TableParagraph40"/>
              <w:spacing w:before="108"/>
              <w:ind w:left="85"/>
              <w:jc w:val="both"/>
            </w:pPr>
            <w:r>
              <w:t>Die ausstehenden aufgelaufenen Zinsen auf die Verbindlichkeit.</w:t>
            </w:r>
          </w:p>
        </w:tc>
      </w:tr>
      <w:tr w:rsidR="00696584" w14:paraId="7FE1D108" w14:textId="77777777">
        <w:tc>
          <w:tcPr>
            <w:tcW w:w="1183" w:type="dxa"/>
            <w:tcBorders>
              <w:top w:val="single" w:sz="8" w:space="0" w:color="1A171C"/>
              <w:left w:val="nil"/>
              <w:bottom w:val="single" w:sz="8" w:space="0" w:color="1A171C"/>
              <w:right w:val="single" w:sz="8" w:space="0" w:color="1A171C"/>
            </w:tcBorders>
            <w:vAlign w:val="center"/>
          </w:tcPr>
          <w:p w14:paraId="7FE1D105" w14:textId="77777777" w:rsidR="00696584" w:rsidRDefault="002C4F63">
            <w:pPr>
              <w:pStyle w:val="P68B1DB1-Normal31"/>
            </w:pPr>
            <w:r>
              <w:t>0110</w:t>
            </w:r>
          </w:p>
        </w:tc>
        <w:tc>
          <w:tcPr>
            <w:tcW w:w="7832" w:type="dxa"/>
            <w:tcBorders>
              <w:top w:val="single" w:sz="8" w:space="0" w:color="1A171C"/>
              <w:left w:val="single" w:sz="8" w:space="0" w:color="1A171C"/>
              <w:bottom w:val="single" w:sz="8" w:space="0" w:color="1A171C"/>
              <w:right w:val="nil"/>
            </w:tcBorders>
            <w:vAlign w:val="bottom"/>
          </w:tcPr>
          <w:p w14:paraId="7FE1D106" w14:textId="7F6E59CB" w:rsidR="00696584" w:rsidRDefault="002C4F63">
            <w:pPr>
              <w:pStyle w:val="P68B1DB1-TableParagraph73"/>
              <w:spacing w:before="108"/>
              <w:ind w:left="85"/>
              <w:jc w:val="both"/>
              <w:rPr>
                <w:bCs/>
              </w:rPr>
            </w:pPr>
            <w:r>
              <w:t xml:space="preserve">Aktueller Zinssatz (%) </w:t>
            </w:r>
          </w:p>
          <w:p w14:paraId="7FE1D107" w14:textId="574366AF" w:rsidR="00696584" w:rsidRDefault="002C4F63">
            <w:pPr>
              <w:pStyle w:val="P68B1DB1-TableParagraph40"/>
              <w:spacing w:before="108"/>
              <w:ind w:left="85"/>
              <w:jc w:val="both"/>
            </w:pPr>
            <w:r>
              <w:t xml:space="preserve">Aktuelle Höhe des auf die Verbindlichkeit anwendbaren Zinssatzes. </w:t>
            </w:r>
          </w:p>
        </w:tc>
      </w:tr>
      <w:tr w:rsidR="00696584" w14:paraId="7FE1D10C" w14:textId="77777777">
        <w:tc>
          <w:tcPr>
            <w:tcW w:w="1183" w:type="dxa"/>
            <w:tcBorders>
              <w:top w:val="single" w:sz="8" w:space="0" w:color="1A171C"/>
              <w:left w:val="nil"/>
              <w:bottom w:val="single" w:sz="8" w:space="0" w:color="1A171C"/>
              <w:right w:val="single" w:sz="8" w:space="0" w:color="1A171C"/>
            </w:tcBorders>
            <w:vAlign w:val="center"/>
          </w:tcPr>
          <w:p w14:paraId="7FE1D109" w14:textId="77777777" w:rsidR="00696584" w:rsidRDefault="002C4F63">
            <w:pPr>
              <w:pStyle w:val="P68B1DB1-Normal31"/>
            </w:pPr>
            <w:r>
              <w:t>0120</w:t>
            </w:r>
          </w:p>
        </w:tc>
        <w:tc>
          <w:tcPr>
            <w:tcW w:w="7832" w:type="dxa"/>
            <w:tcBorders>
              <w:top w:val="single" w:sz="8" w:space="0" w:color="1A171C"/>
              <w:left w:val="single" w:sz="8" w:space="0" w:color="1A171C"/>
              <w:bottom w:val="single" w:sz="8" w:space="0" w:color="1A171C"/>
              <w:right w:val="nil"/>
            </w:tcBorders>
            <w:vAlign w:val="bottom"/>
          </w:tcPr>
          <w:p w14:paraId="7FE1D10A" w14:textId="77777777" w:rsidR="00696584" w:rsidRDefault="002C4F63">
            <w:pPr>
              <w:pStyle w:val="P68B1DB1-TableParagraph73"/>
              <w:spacing w:before="108"/>
              <w:ind w:left="85"/>
              <w:jc w:val="both"/>
              <w:rPr>
                <w:bCs/>
              </w:rPr>
            </w:pPr>
            <w:r>
              <w:t xml:space="preserve">Währung  </w:t>
            </w:r>
          </w:p>
          <w:p w14:paraId="7FE1D10B" w14:textId="4FC71DBE" w:rsidR="00696584" w:rsidRDefault="002C4F63">
            <w:pPr>
              <w:pStyle w:val="P68B1DB1-TableParagraph40"/>
              <w:spacing w:before="108"/>
              <w:ind w:left="85"/>
              <w:jc w:val="both"/>
            </w:pPr>
            <w:r>
              <w:t>Währung der Verbindlichkeit gemäß ihrem 3-Buchstaben-Code nach ISO 4217.</w:t>
            </w:r>
          </w:p>
        </w:tc>
      </w:tr>
      <w:tr w:rsidR="00696584" w14:paraId="7FE1D110" w14:textId="77777777">
        <w:tc>
          <w:tcPr>
            <w:tcW w:w="1183" w:type="dxa"/>
            <w:tcBorders>
              <w:top w:val="single" w:sz="8" w:space="0" w:color="1A171C"/>
              <w:left w:val="nil"/>
              <w:bottom w:val="single" w:sz="8" w:space="0" w:color="1A171C"/>
              <w:right w:val="single" w:sz="8" w:space="0" w:color="1A171C"/>
            </w:tcBorders>
            <w:vAlign w:val="center"/>
          </w:tcPr>
          <w:p w14:paraId="7FE1D10D" w14:textId="77777777" w:rsidR="00696584" w:rsidRDefault="002C4F63">
            <w:pPr>
              <w:pStyle w:val="P68B1DB1-Normal31"/>
            </w:pPr>
            <w:r>
              <w:t>0130</w:t>
            </w:r>
          </w:p>
        </w:tc>
        <w:tc>
          <w:tcPr>
            <w:tcW w:w="7832" w:type="dxa"/>
            <w:tcBorders>
              <w:top w:val="single" w:sz="8" w:space="0" w:color="1A171C"/>
              <w:left w:val="single" w:sz="8" w:space="0" w:color="1A171C"/>
              <w:bottom w:val="single" w:sz="8" w:space="0" w:color="1A171C"/>
              <w:right w:val="nil"/>
            </w:tcBorders>
            <w:vAlign w:val="bottom"/>
          </w:tcPr>
          <w:p w14:paraId="7FE1D10E" w14:textId="24CCD785" w:rsidR="00696584" w:rsidRDefault="002C4F63">
            <w:pPr>
              <w:pStyle w:val="P68B1DB1-TableParagraph73"/>
              <w:spacing w:before="108"/>
              <w:ind w:left="85"/>
              <w:jc w:val="both"/>
              <w:rPr>
                <w:bCs/>
              </w:rPr>
            </w:pPr>
            <w:r>
              <w:t xml:space="preserve">Tag der Erteilung </w:t>
            </w:r>
          </w:p>
          <w:p w14:paraId="7FE1D10F" w14:textId="77777777" w:rsidR="00696584" w:rsidRDefault="002C4F63">
            <w:pPr>
              <w:pStyle w:val="P68B1DB1-TableParagraph40"/>
              <w:spacing w:before="108"/>
              <w:ind w:left="85"/>
              <w:jc w:val="both"/>
            </w:pPr>
            <w:r>
              <w:t>Datum der ursprünglichen Emission der Verbindlichkeit.</w:t>
            </w:r>
          </w:p>
        </w:tc>
      </w:tr>
      <w:tr w:rsidR="00696584" w14:paraId="7FE1D114" w14:textId="77777777">
        <w:tc>
          <w:tcPr>
            <w:tcW w:w="1183" w:type="dxa"/>
            <w:tcBorders>
              <w:top w:val="single" w:sz="8" w:space="0" w:color="1A171C"/>
              <w:left w:val="nil"/>
              <w:bottom w:val="single" w:sz="8" w:space="0" w:color="1A171C"/>
              <w:right w:val="single" w:sz="8" w:space="0" w:color="1A171C"/>
            </w:tcBorders>
            <w:vAlign w:val="center"/>
          </w:tcPr>
          <w:p w14:paraId="7FE1D111" w14:textId="77777777" w:rsidR="00696584" w:rsidRDefault="002C4F63">
            <w:pPr>
              <w:pStyle w:val="P68B1DB1-Normal31"/>
            </w:pPr>
            <w:r>
              <w:t>0140</w:t>
            </w:r>
          </w:p>
        </w:tc>
        <w:tc>
          <w:tcPr>
            <w:tcW w:w="7832" w:type="dxa"/>
            <w:tcBorders>
              <w:top w:val="single" w:sz="8" w:space="0" w:color="1A171C"/>
              <w:left w:val="single" w:sz="8" w:space="0" w:color="1A171C"/>
              <w:bottom w:val="single" w:sz="8" w:space="0" w:color="1A171C"/>
              <w:right w:val="nil"/>
            </w:tcBorders>
            <w:vAlign w:val="bottom"/>
          </w:tcPr>
          <w:p w14:paraId="7FE1D112" w14:textId="6174C675" w:rsidR="00696584" w:rsidRDefault="002C4F63">
            <w:pPr>
              <w:pStyle w:val="P68B1DB1-TableParagraph73"/>
              <w:spacing w:before="108"/>
              <w:ind w:left="85"/>
              <w:jc w:val="both"/>
              <w:rPr>
                <w:bCs/>
              </w:rPr>
            </w:pPr>
            <w:r>
              <w:t xml:space="preserve">Frühester Tilgungszeitpunkt  </w:t>
            </w:r>
          </w:p>
          <w:p w14:paraId="7FE1D113" w14:textId="6DCF0327" w:rsidR="00696584" w:rsidRDefault="002C4F63">
            <w:pPr>
              <w:pStyle w:val="P68B1DB1-TableParagraph40"/>
              <w:spacing w:before="108"/>
              <w:ind w:left="85"/>
              <w:jc w:val="both"/>
            </w:pPr>
            <w:r>
              <w:t>Falls der Gläubiger die Möglichkeit hat, eine vorzeitige Rückzahlung zu fordern, oder Bedingungen für vorzeitige Rückzahlungen im Vertrag vorgesehen sind, ist hier der frühestmögliche Zeitpunkt für eine vorzeitige Rückzahlung anzugeben. Falls sich die vorzeitige Rückzahlung nur auf einen Teil der Verbindlichkeit bezieht (beispielsweise vorzeitige Rückzahlung von 50 % des Nominalwerts), teilen Sie die Verbindlichkeit auf, um eine solche Klausel für eine vorzeitige Teilrückzahlung zu berücksichtigen.</w:t>
            </w:r>
          </w:p>
        </w:tc>
      </w:tr>
      <w:tr w:rsidR="00696584" w14:paraId="7FE1D118" w14:textId="77777777">
        <w:tc>
          <w:tcPr>
            <w:tcW w:w="1183" w:type="dxa"/>
            <w:tcBorders>
              <w:top w:val="single" w:sz="8" w:space="0" w:color="1A171C"/>
              <w:left w:val="nil"/>
              <w:bottom w:val="single" w:sz="8" w:space="0" w:color="1A171C"/>
              <w:right w:val="single" w:sz="8" w:space="0" w:color="1A171C"/>
            </w:tcBorders>
            <w:vAlign w:val="center"/>
          </w:tcPr>
          <w:p w14:paraId="7FE1D115" w14:textId="77777777" w:rsidR="00696584" w:rsidRDefault="002C4F63">
            <w:pPr>
              <w:pStyle w:val="P68B1DB1-Normal31"/>
            </w:pPr>
            <w:r>
              <w:t>0150</w:t>
            </w:r>
          </w:p>
        </w:tc>
        <w:tc>
          <w:tcPr>
            <w:tcW w:w="7832" w:type="dxa"/>
            <w:tcBorders>
              <w:top w:val="single" w:sz="8" w:space="0" w:color="1A171C"/>
              <w:left w:val="single" w:sz="8" w:space="0" w:color="1A171C"/>
              <w:bottom w:val="single" w:sz="8" w:space="0" w:color="1A171C"/>
              <w:right w:val="nil"/>
            </w:tcBorders>
            <w:vAlign w:val="bottom"/>
          </w:tcPr>
          <w:p w14:paraId="7FE1D116" w14:textId="563C9AFC" w:rsidR="00696584" w:rsidRDefault="002C4F63">
            <w:pPr>
              <w:pStyle w:val="P68B1DB1-TableParagraph73"/>
              <w:spacing w:before="108"/>
              <w:ind w:left="85"/>
              <w:jc w:val="both"/>
              <w:rPr>
                <w:bCs/>
              </w:rPr>
            </w:pPr>
            <w:r>
              <w:t xml:space="preserve">Rechtliche Fälligkeit </w:t>
            </w:r>
          </w:p>
          <w:p w14:paraId="7FE1D117" w14:textId="39B8EDB9" w:rsidR="00696584" w:rsidRDefault="002C4F63">
            <w:pPr>
              <w:pStyle w:val="P68B1DB1-TableParagraph40"/>
              <w:spacing w:before="108"/>
              <w:ind w:left="85"/>
              <w:jc w:val="both"/>
            </w:pPr>
            <w:r>
              <w:t>Zeitpunkt der rechtlichen Endfälligkeit des Instruments. Bei Dauerinstrumenten ist „2099-01-31“ zu verwenden.</w:t>
            </w:r>
          </w:p>
        </w:tc>
      </w:tr>
      <w:tr w:rsidR="00696584" w14:paraId="7FE1D121" w14:textId="77777777">
        <w:tc>
          <w:tcPr>
            <w:tcW w:w="1183" w:type="dxa"/>
            <w:tcBorders>
              <w:top w:val="single" w:sz="8" w:space="0" w:color="1A171C"/>
              <w:left w:val="nil"/>
              <w:bottom w:val="single" w:sz="8" w:space="0" w:color="1A171C"/>
              <w:right w:val="single" w:sz="8" w:space="0" w:color="1A171C"/>
            </w:tcBorders>
            <w:vAlign w:val="center"/>
          </w:tcPr>
          <w:p w14:paraId="7FE1D11D" w14:textId="77777777" w:rsidR="00696584" w:rsidRDefault="002C4F63">
            <w:pPr>
              <w:pStyle w:val="P68B1DB1-Normal31"/>
            </w:pPr>
            <w:r>
              <w:t>0170</w:t>
            </w:r>
          </w:p>
        </w:tc>
        <w:tc>
          <w:tcPr>
            <w:tcW w:w="7832" w:type="dxa"/>
            <w:tcBorders>
              <w:top w:val="single" w:sz="8" w:space="0" w:color="1A171C"/>
              <w:left w:val="single" w:sz="8" w:space="0" w:color="1A171C"/>
              <w:bottom w:val="single" w:sz="8" w:space="0" w:color="1A171C"/>
              <w:right w:val="nil"/>
            </w:tcBorders>
            <w:vAlign w:val="bottom"/>
          </w:tcPr>
          <w:p w14:paraId="7FE1D11E" w14:textId="638ECC24" w:rsidR="00696584" w:rsidRDefault="002C4F63">
            <w:pPr>
              <w:pStyle w:val="P68B1DB1-TableParagraph73"/>
              <w:spacing w:before="108"/>
              <w:ind w:left="85"/>
              <w:jc w:val="both"/>
              <w:rPr>
                <w:bCs/>
              </w:rPr>
            </w:pPr>
            <w:r>
              <w:t xml:space="preserve">Höhe der Verpfändung, des Pfand- und Zurückbehaltungsrechts oder der Sicherheit </w:t>
            </w:r>
          </w:p>
          <w:p w14:paraId="7FE1D120" w14:textId="7CF01C3B" w:rsidR="00696584" w:rsidRDefault="002C4F63">
            <w:pPr>
              <w:pStyle w:val="P68B1DB1-TableParagraph40"/>
              <w:spacing w:before="108"/>
              <w:ind w:left="85"/>
              <w:jc w:val="both"/>
            </w:pPr>
            <w:r>
              <w:t>Bei einer mit einem Pfand, einem Zurückbehaltungsrecht oder einer Sicherheit besicherten Verbindlichkeit ist der Brutto-Marktwert der Besicherung anzugeben. Bei unbesicherten Verbindlichkeiten ist hier Null anzugeben. Dieser Betrag bestimmt den besicherten und damit auch den unbesicherten Teil jeder besicherten Verbindlichkeit. Bei Sicherheitenpools, die mehrere Zeilenpositionen besichern, ist die Gesamtdeckungsquote zu bestimmen und anteilig auf alle von diesem Pool abgedeckten Zeilenpositionen anzuwenden.</w:t>
            </w:r>
          </w:p>
        </w:tc>
      </w:tr>
      <w:tr w:rsidR="00696584" w14:paraId="7FE1D125" w14:textId="77777777">
        <w:tc>
          <w:tcPr>
            <w:tcW w:w="1183" w:type="dxa"/>
            <w:tcBorders>
              <w:top w:val="single" w:sz="8" w:space="0" w:color="1A171C"/>
              <w:left w:val="nil"/>
              <w:bottom w:val="single" w:sz="8" w:space="0" w:color="1A171C"/>
              <w:right w:val="single" w:sz="8" w:space="0" w:color="1A171C"/>
            </w:tcBorders>
            <w:vAlign w:val="center"/>
          </w:tcPr>
          <w:p w14:paraId="7FE1D122" w14:textId="77777777" w:rsidR="00696584" w:rsidRDefault="002C4F63">
            <w:pPr>
              <w:pStyle w:val="P68B1DB1-Normal31"/>
            </w:pPr>
            <w:r>
              <w:t>0180</w:t>
            </w:r>
          </w:p>
        </w:tc>
        <w:tc>
          <w:tcPr>
            <w:tcW w:w="7832" w:type="dxa"/>
            <w:tcBorders>
              <w:top w:val="single" w:sz="8" w:space="0" w:color="1A171C"/>
              <w:left w:val="single" w:sz="8" w:space="0" w:color="1A171C"/>
              <w:bottom w:val="single" w:sz="8" w:space="0" w:color="1A171C"/>
              <w:right w:val="nil"/>
            </w:tcBorders>
            <w:vAlign w:val="bottom"/>
          </w:tcPr>
          <w:p w14:paraId="7FE1D123" w14:textId="6FE5C4C2" w:rsidR="00696584" w:rsidRDefault="002C4F63">
            <w:pPr>
              <w:pStyle w:val="P68B1DB1-TableParagraph73"/>
              <w:spacing w:before="108"/>
              <w:ind w:left="85"/>
              <w:jc w:val="both"/>
              <w:rPr>
                <w:bCs/>
              </w:rPr>
            </w:pPr>
            <w:r>
              <w:t xml:space="preserve">Bürge </w:t>
            </w:r>
          </w:p>
          <w:p w14:paraId="7FE1D124" w14:textId="216ADC15" w:rsidR="00696584" w:rsidRDefault="002C4F63">
            <w:pPr>
              <w:pStyle w:val="P68B1DB1-TableParagraph40"/>
              <w:spacing w:before="108"/>
              <w:ind w:left="85"/>
              <w:jc w:val="both"/>
            </w:pPr>
            <w:r>
              <w:t>Bei einem mit Garantien versehenen Instrument ist die genaue Kennung des Garantiegebers anzugeben (LEI-Code, ISO-3166-1-Alpha-2-Code für Staat usw.). Gibt es mehrere Garantiegeber, sind die Kennungen für alle anzugeben, jeweils getrennt durch ein Semikolon.</w:t>
            </w:r>
          </w:p>
        </w:tc>
      </w:tr>
      <w:tr w:rsidR="00696584" w14:paraId="7FE1D131" w14:textId="77777777">
        <w:tc>
          <w:tcPr>
            <w:tcW w:w="1183" w:type="dxa"/>
            <w:tcBorders>
              <w:top w:val="single" w:sz="8" w:space="0" w:color="1A171C"/>
              <w:left w:val="nil"/>
              <w:bottom w:val="single" w:sz="8" w:space="0" w:color="1A171C"/>
              <w:right w:val="single" w:sz="8" w:space="0" w:color="1A171C"/>
            </w:tcBorders>
            <w:vAlign w:val="center"/>
          </w:tcPr>
          <w:p w14:paraId="7FE1D12E" w14:textId="77777777" w:rsidR="00696584" w:rsidRDefault="002C4F63">
            <w:pPr>
              <w:pStyle w:val="P68B1DB1-Normal31"/>
            </w:pPr>
            <w:r>
              <w:t>0205</w:t>
            </w:r>
          </w:p>
        </w:tc>
        <w:tc>
          <w:tcPr>
            <w:tcW w:w="7832" w:type="dxa"/>
            <w:tcBorders>
              <w:top w:val="single" w:sz="8" w:space="0" w:color="1A171C"/>
              <w:left w:val="single" w:sz="8" w:space="0" w:color="1A171C"/>
              <w:bottom w:val="single" w:sz="8" w:space="0" w:color="1A171C"/>
              <w:right w:val="nil"/>
            </w:tcBorders>
            <w:vAlign w:val="bottom"/>
          </w:tcPr>
          <w:p w14:paraId="7FE1D12F" w14:textId="77777777" w:rsidR="00696584" w:rsidRDefault="002C4F63">
            <w:pPr>
              <w:pStyle w:val="P68B1DB1-TableParagraph73"/>
              <w:spacing w:before="108"/>
              <w:ind w:left="85"/>
              <w:jc w:val="both"/>
              <w:rPr>
                <w:bCs/>
              </w:rPr>
            </w:pPr>
            <w:r>
              <w:t xml:space="preserve">Betrag, der die Voraussetzungen für die interne Anrechenbarkeit auf die MREL erfüllt </w:t>
            </w:r>
          </w:p>
          <w:p w14:paraId="7FE1D130" w14:textId="267C8F59" w:rsidR="00696584" w:rsidRDefault="002C4F63">
            <w:pPr>
              <w:pStyle w:val="P68B1DB1-TableParagraph40"/>
              <w:spacing w:before="108"/>
              <w:ind w:left="85"/>
              <w:jc w:val="both"/>
            </w:pPr>
            <w:r>
              <w:lastRenderedPageBreak/>
              <w:t>Betrag der Eigenmittel und berücksichtigungsfähigen Verbindlichkeiten, die auf die gemäß Artikel 45 Absatz 1 der Richtlinie 2014/59/EU festgelegte Anforderung angerechnet werden</w:t>
            </w:r>
          </w:p>
        </w:tc>
      </w:tr>
      <w:tr w:rsidR="00696584" w14:paraId="7FE1D135" w14:textId="77777777">
        <w:tc>
          <w:tcPr>
            <w:tcW w:w="1183" w:type="dxa"/>
            <w:tcBorders>
              <w:top w:val="single" w:sz="8" w:space="0" w:color="1A171C"/>
              <w:left w:val="nil"/>
              <w:bottom w:val="single" w:sz="8" w:space="0" w:color="1A171C"/>
              <w:right w:val="single" w:sz="8" w:space="0" w:color="1A171C"/>
            </w:tcBorders>
            <w:vAlign w:val="center"/>
          </w:tcPr>
          <w:p w14:paraId="7FE1D132" w14:textId="77777777" w:rsidR="00696584" w:rsidRDefault="002C4F63">
            <w:pPr>
              <w:pStyle w:val="P68B1DB1-Normal31"/>
            </w:pPr>
            <w:r>
              <w:lastRenderedPageBreak/>
              <w:t>0210</w:t>
            </w:r>
          </w:p>
        </w:tc>
        <w:tc>
          <w:tcPr>
            <w:tcW w:w="7832" w:type="dxa"/>
            <w:tcBorders>
              <w:top w:val="single" w:sz="8" w:space="0" w:color="1A171C"/>
              <w:left w:val="single" w:sz="8" w:space="0" w:color="1A171C"/>
              <w:bottom w:val="single" w:sz="8" w:space="0" w:color="1A171C"/>
              <w:right w:val="nil"/>
            </w:tcBorders>
            <w:vAlign w:val="bottom"/>
          </w:tcPr>
          <w:p w14:paraId="7FE1D133" w14:textId="13940F18" w:rsidR="00696584" w:rsidRDefault="002C4F63">
            <w:pPr>
              <w:pStyle w:val="P68B1DB1-TableParagraph73"/>
              <w:spacing w:before="108"/>
              <w:ind w:left="85"/>
              <w:jc w:val="both"/>
              <w:rPr>
                <w:bCs/>
              </w:rPr>
            </w:pPr>
            <w:r>
              <w:t xml:space="preserve">Einstufung als Eigenmittel </w:t>
            </w:r>
          </w:p>
          <w:p w14:paraId="7FE1D134" w14:textId="593BD8D3" w:rsidR="00696584" w:rsidRDefault="002C4F63">
            <w:pPr>
              <w:pStyle w:val="P68B1DB1-TableParagraph40"/>
              <w:spacing w:before="108"/>
              <w:ind w:left="85"/>
              <w:jc w:val="both"/>
            </w:pPr>
            <w:r>
              <w:t xml:space="preserve">Es ist anzugeben, ob und in welcher Position das Instrument als Eigenmittel eingestuft </w:t>
            </w:r>
            <w:r w:rsidR="00F61D1C">
              <w:t>wird; zudem</w:t>
            </w:r>
            <w:r>
              <w:t xml:space="preserve"> sind Informationen zu Auslaufregelungen und Bestandsschutzvereinbarungen zu geben. Aus der vorgegebenen Liste kann Folgendes ausgewählt </w:t>
            </w:r>
            <w:r w:rsidR="00F61D1C">
              <w:t>werden: „Nein</w:t>
            </w:r>
            <w:r>
              <w:t>“, „Teilweise zusätzliches Kernkapital, Kernkapital und Ergänzungskapital“, „Ergänzungskapital – Auslaufregelung“, „Ergänzungskapital mit Bestandsschutz“, „Ergänzungskapital mit voller Erfüllung der Anforderungen“, „Zusätzliches Kernkapital mit Bestandsschutz“, „Zusätzliches Kernkapital mit voller Erfüllung der Anforderungen“ oder „Hartes Kernkapital“.</w:t>
            </w:r>
          </w:p>
        </w:tc>
      </w:tr>
      <w:tr w:rsidR="00696584" w14:paraId="7FE1D139" w14:textId="77777777">
        <w:tc>
          <w:tcPr>
            <w:tcW w:w="1183" w:type="dxa"/>
            <w:tcBorders>
              <w:top w:val="single" w:sz="8" w:space="0" w:color="1A171C"/>
              <w:left w:val="nil"/>
              <w:bottom w:val="single" w:sz="8" w:space="0" w:color="1A171C"/>
              <w:right w:val="single" w:sz="8" w:space="0" w:color="1A171C"/>
            </w:tcBorders>
            <w:vAlign w:val="center"/>
          </w:tcPr>
          <w:p w14:paraId="7FE1D136" w14:textId="77777777" w:rsidR="00696584" w:rsidRDefault="002C4F63">
            <w:pPr>
              <w:pStyle w:val="P68B1DB1-Normal31"/>
            </w:pPr>
            <w:r>
              <w:t>0220</w:t>
            </w:r>
          </w:p>
        </w:tc>
        <w:tc>
          <w:tcPr>
            <w:tcW w:w="7832" w:type="dxa"/>
            <w:tcBorders>
              <w:top w:val="single" w:sz="8" w:space="0" w:color="1A171C"/>
              <w:left w:val="single" w:sz="8" w:space="0" w:color="1A171C"/>
              <w:bottom w:val="single" w:sz="8" w:space="0" w:color="1A171C"/>
              <w:right w:val="nil"/>
            </w:tcBorders>
            <w:vAlign w:val="bottom"/>
          </w:tcPr>
          <w:p w14:paraId="7FE1D137" w14:textId="67FA0312" w:rsidR="00696584" w:rsidRDefault="002C4F63">
            <w:pPr>
              <w:pStyle w:val="P68B1DB1-TableParagraph40"/>
              <w:spacing w:before="108"/>
              <w:ind w:left="85"/>
              <w:jc w:val="both"/>
              <w:rPr>
                <w:b/>
                <w:bCs/>
              </w:rPr>
            </w:pPr>
            <w:r>
              <w:t xml:space="preserve"> </w:t>
            </w:r>
            <w:r>
              <w:rPr>
                <w:b/>
              </w:rPr>
              <w:t xml:space="preserve">Als Eigenmittel </w:t>
            </w:r>
            <w:r w:rsidR="00F61D1C">
              <w:rPr>
                <w:b/>
              </w:rPr>
              <w:t xml:space="preserve">anrechenbarer </w:t>
            </w:r>
            <w:r>
              <w:rPr>
                <w:b/>
              </w:rPr>
              <w:t>Betrag</w:t>
            </w:r>
          </w:p>
          <w:p w14:paraId="7FE1D138" w14:textId="48ED7147" w:rsidR="00696584" w:rsidRDefault="002C4F63">
            <w:pPr>
              <w:pStyle w:val="P68B1DB1-TableParagraph40"/>
              <w:spacing w:before="108"/>
              <w:ind w:left="85"/>
              <w:jc w:val="both"/>
            </w:pPr>
            <w:r>
              <w:t>Der Betrag des als Eigenmittel geltenden Instruments.</w:t>
            </w:r>
          </w:p>
        </w:tc>
      </w:tr>
    </w:tbl>
    <w:p w14:paraId="7FE1D13B" w14:textId="0DCB9703" w:rsidR="00696584" w:rsidRDefault="002C4F63">
      <w:pPr>
        <w:pStyle w:val="Instructionsberschrift2"/>
        <w:numPr>
          <w:ilvl w:val="1"/>
          <w:numId w:val="49"/>
        </w:numPr>
        <w:spacing w:before="0"/>
        <w:ind w:left="357" w:hanging="357"/>
        <w:rPr>
          <w:rFonts w:ascii="Times New Roman" w:hAnsi="Times New Roman" w:cs="Times New Roman"/>
        </w:rPr>
      </w:pPr>
      <w:bookmarkStart w:id="246" w:name="_Toc81454216"/>
      <w:bookmarkStart w:id="247" w:name="_Toc209533618"/>
      <w:r>
        <w:rPr>
          <w:rFonts w:ascii="Times New Roman" w:eastAsiaTheme="minorEastAsia" w:hAnsi="Times New Roman" w:cs="Times New Roman"/>
        </w:rPr>
        <w:t xml:space="preserve">Z 15.00 – Derivate </w:t>
      </w:r>
      <w:r>
        <w:rPr>
          <w:rFonts w:ascii="Times New Roman" w:eastAsia="Calibri" w:hAnsi="Times New Roman" w:cs="Times New Roman"/>
          <w:szCs w:val="20"/>
        </w:rPr>
        <w:t>(LIAB-G-5)</w:t>
      </w:r>
      <w:bookmarkEnd w:id="247"/>
    </w:p>
    <w:bookmarkEnd w:id="246"/>
    <w:p w14:paraId="7FE1D13D" w14:textId="77777777" w:rsidR="00696584" w:rsidRDefault="002C4F63">
      <w:pPr>
        <w:pStyle w:val="P68B1DB1-Numberedtitlelevel388"/>
      </w:pPr>
      <w:r>
        <w:t>Allgemeine Bemerkungen</w:t>
      </w:r>
    </w:p>
    <w:p w14:paraId="7FE1D13E" w14:textId="2F22A34C" w:rsidR="00696584" w:rsidRDefault="002C4F63">
      <w:pPr>
        <w:pStyle w:val="P68B1DB1-InstructionsText286"/>
        <w:numPr>
          <w:ilvl w:val="2"/>
          <w:numId w:val="209"/>
        </w:numPr>
        <w:spacing w:before="0"/>
        <w:ind w:left="1276"/>
        <w:rPr>
          <w:rFonts w:eastAsiaTheme="majorEastAsia"/>
        </w:rPr>
      </w:pPr>
      <w:r>
        <w:t xml:space="preserve">In dieser Tabelle sind die aus Derivaten resultierenden Verbindlichkeiten auf Basis der Nettingsätze aufzuführen, d. h., jeder Nettingsatz ist als Einzelposition aufzuführen. </w:t>
      </w:r>
    </w:p>
    <w:p w14:paraId="7FE1D140" w14:textId="6B5870BD" w:rsidR="00696584" w:rsidRDefault="002C4F63">
      <w:pPr>
        <w:pStyle w:val="P68B1DB1-InstructionsText286"/>
        <w:numPr>
          <w:ilvl w:val="2"/>
          <w:numId w:val="209"/>
        </w:numPr>
        <w:spacing w:before="0"/>
        <w:ind w:left="1276"/>
      </w:pPr>
      <w:r>
        <w:t>Es sind nur Derivate-Netting-Sätze bzw. einzelne Kontrakte aufzuführen, die zu einer Netto-Verbindlichkeit (Spalte c0120, bewertet zu Marktpreisen) führen.</w:t>
      </w:r>
    </w:p>
    <w:p w14:paraId="7FE1D142" w14:textId="77777777" w:rsidR="00696584" w:rsidRDefault="002C4F63">
      <w:pPr>
        <w:pStyle w:val="P68B1DB1-Numberedtitlelevel388"/>
      </w:pPr>
      <w:r>
        <w:t>Erläuterungen zu bestimmten Positionen</w:t>
      </w:r>
    </w:p>
    <w:tbl>
      <w:tblPr>
        <w:tblW w:w="9015" w:type="dxa"/>
        <w:tblInd w:w="135" w:type="dxa"/>
        <w:tblLayout w:type="fixed"/>
        <w:tblLook w:val="04A0" w:firstRow="1" w:lastRow="0" w:firstColumn="1" w:lastColumn="0" w:noHBand="0" w:noVBand="1"/>
      </w:tblPr>
      <w:tblGrid>
        <w:gridCol w:w="1183"/>
        <w:gridCol w:w="7832"/>
      </w:tblGrid>
      <w:tr w:rsidR="00696584" w14:paraId="7FE1D145" w14:textId="77777777">
        <w:trPr>
          <w:tblHeader/>
        </w:trPr>
        <w:tc>
          <w:tcPr>
            <w:tcW w:w="1183" w:type="dxa"/>
            <w:tcBorders>
              <w:top w:val="single" w:sz="8" w:space="0" w:color="1A171C"/>
              <w:left w:val="nil"/>
              <w:bottom w:val="single" w:sz="8" w:space="0" w:color="1A171C"/>
              <w:right w:val="single" w:sz="8" w:space="0" w:color="1A171C"/>
            </w:tcBorders>
            <w:shd w:val="clear" w:color="auto" w:fill="D9D9D9" w:themeFill="background1" w:themeFillShade="D9"/>
          </w:tcPr>
          <w:p w14:paraId="7FE1D143" w14:textId="77777777" w:rsidR="00696584" w:rsidRDefault="002C4F63">
            <w:pPr>
              <w:pStyle w:val="P68B1DB1-Normal31"/>
            </w:pPr>
            <w:r>
              <w:t xml:space="preserve">Spalten </w:t>
            </w:r>
          </w:p>
        </w:tc>
        <w:tc>
          <w:tcPr>
            <w:tcW w:w="7832" w:type="dxa"/>
            <w:tcBorders>
              <w:top w:val="single" w:sz="8" w:space="0" w:color="1A171C"/>
              <w:left w:val="single" w:sz="8" w:space="0" w:color="1A171C"/>
              <w:bottom w:val="single" w:sz="8" w:space="0" w:color="1A171C"/>
              <w:right w:val="nil"/>
            </w:tcBorders>
            <w:shd w:val="clear" w:color="auto" w:fill="D9D9D9" w:themeFill="background1" w:themeFillShade="D9"/>
          </w:tcPr>
          <w:p w14:paraId="7FE1D144" w14:textId="77777777" w:rsidR="00696584" w:rsidRDefault="002C4F63">
            <w:pPr>
              <w:pStyle w:val="P68B1DB1-Normal31"/>
            </w:pPr>
            <w:r>
              <w:t xml:space="preserve">Erläuterungen </w:t>
            </w:r>
          </w:p>
        </w:tc>
      </w:tr>
      <w:tr w:rsidR="00696584" w14:paraId="7FE1D149" w14:textId="77777777">
        <w:tc>
          <w:tcPr>
            <w:tcW w:w="1183" w:type="dxa"/>
            <w:tcBorders>
              <w:top w:val="single" w:sz="8" w:space="0" w:color="1A171C"/>
              <w:left w:val="nil"/>
              <w:bottom w:val="single" w:sz="8" w:space="0" w:color="1A171C"/>
              <w:right w:val="single" w:sz="8" w:space="0" w:color="1A171C"/>
            </w:tcBorders>
            <w:vAlign w:val="center"/>
          </w:tcPr>
          <w:p w14:paraId="7FE1D146" w14:textId="77777777" w:rsidR="00696584" w:rsidRDefault="002C4F63">
            <w:pPr>
              <w:pStyle w:val="P68B1DB1-Normal31"/>
            </w:pPr>
            <w:r>
              <w:t>0010</w:t>
            </w:r>
          </w:p>
        </w:tc>
        <w:tc>
          <w:tcPr>
            <w:tcW w:w="7832" w:type="dxa"/>
            <w:tcBorders>
              <w:top w:val="single" w:sz="8" w:space="0" w:color="1A171C"/>
              <w:left w:val="single" w:sz="8" w:space="0" w:color="1A171C"/>
              <w:bottom w:val="single" w:sz="8" w:space="0" w:color="1A171C"/>
              <w:right w:val="nil"/>
            </w:tcBorders>
            <w:vAlign w:val="bottom"/>
          </w:tcPr>
          <w:p w14:paraId="7FE1D147" w14:textId="42EC562C" w:rsidR="00696584" w:rsidRDefault="00F61D1C">
            <w:pPr>
              <w:pStyle w:val="P68B1DB1-TableParagraph73"/>
              <w:spacing w:before="108"/>
              <w:ind w:left="85"/>
              <w:jc w:val="both"/>
              <w:rPr>
                <w:bCs/>
              </w:rPr>
            </w:pPr>
            <w:r>
              <w:t>Nr</w:t>
            </w:r>
            <w:r w:rsidR="002C4F63">
              <w:t>.</w:t>
            </w:r>
          </w:p>
          <w:p w14:paraId="7FE1D148" w14:textId="7090CAA7" w:rsidR="00696584" w:rsidRDefault="002C4F63">
            <w:pPr>
              <w:pStyle w:val="P68B1DB1-TableParagraph40"/>
              <w:spacing w:before="108"/>
              <w:ind w:left="85"/>
              <w:jc w:val="both"/>
            </w:pPr>
            <w:r>
              <w:t>Eindeutige Zahl/eindeutiger Primärschlüssel zur Identifizierung der Zeilenpositionen.</w:t>
            </w:r>
          </w:p>
        </w:tc>
      </w:tr>
      <w:tr w:rsidR="00696584" w14:paraId="7FE1D14D" w14:textId="77777777">
        <w:tc>
          <w:tcPr>
            <w:tcW w:w="1183" w:type="dxa"/>
            <w:tcBorders>
              <w:top w:val="single" w:sz="8" w:space="0" w:color="1A171C"/>
              <w:left w:val="nil"/>
              <w:bottom w:val="single" w:sz="8" w:space="0" w:color="1A171C"/>
              <w:right w:val="single" w:sz="8" w:space="0" w:color="1A171C"/>
            </w:tcBorders>
            <w:vAlign w:val="center"/>
          </w:tcPr>
          <w:p w14:paraId="7FE1D14A" w14:textId="77777777" w:rsidR="00696584" w:rsidRDefault="002C4F63">
            <w:pPr>
              <w:pStyle w:val="P68B1DB1-Normal31"/>
            </w:pPr>
            <w:r>
              <w:t>0020</w:t>
            </w:r>
          </w:p>
        </w:tc>
        <w:tc>
          <w:tcPr>
            <w:tcW w:w="7832" w:type="dxa"/>
            <w:tcBorders>
              <w:top w:val="single" w:sz="8" w:space="0" w:color="1A171C"/>
              <w:left w:val="single" w:sz="8" w:space="0" w:color="1A171C"/>
              <w:bottom w:val="single" w:sz="8" w:space="0" w:color="1A171C"/>
              <w:right w:val="nil"/>
            </w:tcBorders>
            <w:vAlign w:val="bottom"/>
          </w:tcPr>
          <w:p w14:paraId="7FE1D14B" w14:textId="7DBB5157" w:rsidR="00696584" w:rsidRDefault="002C4F63">
            <w:pPr>
              <w:pStyle w:val="P68B1DB1-TableParagraph73"/>
              <w:spacing w:before="108"/>
              <w:ind w:left="85"/>
              <w:jc w:val="both"/>
              <w:rPr>
                <w:bCs/>
              </w:rPr>
            </w:pPr>
            <w:r>
              <w:t xml:space="preserve">Spalte </w:t>
            </w:r>
          </w:p>
          <w:p w14:paraId="7FE1D14C" w14:textId="43946C69" w:rsidR="00696584" w:rsidRDefault="002C4F63">
            <w:pPr>
              <w:pStyle w:val="P68B1DB1-TableParagraph40"/>
              <w:spacing w:before="108"/>
              <w:ind w:left="85"/>
              <w:jc w:val="both"/>
            </w:pPr>
            <w:r>
              <w:t>Je nach Art des Vertragspartners muss jeder Nettingsatz der entsprechenden Gegenpartei-Kategorie des Meldebogens Z 02.00 zugeordnet werden.Die Kategorie ist aus einer vorgegebenen Auswahlliste auszuwählen.</w:t>
            </w:r>
          </w:p>
        </w:tc>
      </w:tr>
      <w:tr w:rsidR="00696584" w14:paraId="7FE1D151" w14:textId="77777777">
        <w:tc>
          <w:tcPr>
            <w:tcW w:w="1183" w:type="dxa"/>
            <w:tcBorders>
              <w:top w:val="single" w:sz="8" w:space="0" w:color="1A171C"/>
              <w:left w:val="nil"/>
              <w:bottom w:val="single" w:sz="8" w:space="0" w:color="1A171C"/>
              <w:right w:val="single" w:sz="8" w:space="0" w:color="1A171C"/>
            </w:tcBorders>
            <w:vAlign w:val="center"/>
          </w:tcPr>
          <w:p w14:paraId="7FE1D14E" w14:textId="77777777" w:rsidR="00696584" w:rsidRDefault="002C4F63">
            <w:pPr>
              <w:pStyle w:val="P68B1DB1-Normal31"/>
            </w:pPr>
            <w:r>
              <w:t>0030</w:t>
            </w:r>
          </w:p>
        </w:tc>
        <w:tc>
          <w:tcPr>
            <w:tcW w:w="7832" w:type="dxa"/>
            <w:tcBorders>
              <w:top w:val="single" w:sz="8" w:space="0" w:color="1A171C"/>
              <w:left w:val="single" w:sz="8" w:space="0" w:color="1A171C"/>
              <w:bottom w:val="single" w:sz="8" w:space="0" w:color="1A171C"/>
              <w:right w:val="nil"/>
            </w:tcBorders>
            <w:vAlign w:val="bottom"/>
          </w:tcPr>
          <w:p w14:paraId="7FE1D14F" w14:textId="7FB2BD02" w:rsidR="00696584" w:rsidRDefault="002C4F63">
            <w:pPr>
              <w:pStyle w:val="P68B1DB1-TableParagraph73"/>
              <w:spacing w:before="108"/>
              <w:ind w:left="85"/>
              <w:jc w:val="both"/>
              <w:rPr>
                <w:bCs/>
              </w:rPr>
            </w:pPr>
            <w:r>
              <w:t>Insolvenzrang</w:t>
            </w:r>
          </w:p>
          <w:p w14:paraId="7FE1D150" w14:textId="00926D41" w:rsidR="00696584" w:rsidRDefault="002C4F63">
            <w:pPr>
              <w:pStyle w:val="P68B1DB1-TableParagraph40"/>
              <w:spacing w:before="108"/>
              <w:ind w:left="85"/>
              <w:jc w:val="both"/>
            </w:pPr>
            <w:r>
              <w:t>Der Rang in der Insolvenz muss einer der Ränge sein, die in der von der Abwicklungsbehörde der betreffenden Rechtsordnung veröffentlichten Insolvenzrangliste enthalten sind.</w:t>
            </w:r>
          </w:p>
        </w:tc>
      </w:tr>
      <w:tr w:rsidR="00696584" w14:paraId="7FE1D155" w14:textId="77777777">
        <w:tc>
          <w:tcPr>
            <w:tcW w:w="1183" w:type="dxa"/>
            <w:tcBorders>
              <w:top w:val="single" w:sz="8" w:space="0" w:color="1A171C"/>
              <w:left w:val="nil"/>
              <w:bottom w:val="single" w:sz="8" w:space="0" w:color="1A171C"/>
              <w:right w:val="single" w:sz="8" w:space="0" w:color="1A171C"/>
            </w:tcBorders>
            <w:vAlign w:val="center"/>
          </w:tcPr>
          <w:p w14:paraId="7FE1D152" w14:textId="77777777" w:rsidR="00696584" w:rsidRDefault="002C4F63">
            <w:pPr>
              <w:pStyle w:val="P68B1DB1-Normal31"/>
            </w:pPr>
            <w:r>
              <w:t>0040</w:t>
            </w:r>
          </w:p>
        </w:tc>
        <w:tc>
          <w:tcPr>
            <w:tcW w:w="7832" w:type="dxa"/>
            <w:tcBorders>
              <w:top w:val="single" w:sz="8" w:space="0" w:color="1A171C"/>
              <w:left w:val="single" w:sz="8" w:space="0" w:color="1A171C"/>
              <w:bottom w:val="single" w:sz="8" w:space="0" w:color="1A171C"/>
              <w:right w:val="nil"/>
            </w:tcBorders>
            <w:vAlign w:val="bottom"/>
          </w:tcPr>
          <w:p w14:paraId="7FE1D153" w14:textId="0C760DD7" w:rsidR="00696584" w:rsidRDefault="002C4F63">
            <w:pPr>
              <w:pStyle w:val="P68B1DB1-TableParagraph73"/>
              <w:spacing w:before="108"/>
              <w:ind w:left="85"/>
              <w:jc w:val="both"/>
              <w:rPr>
                <w:bCs/>
              </w:rPr>
            </w:pPr>
            <w:r>
              <w:t xml:space="preserve">Kennung des Rahmenvertrags  </w:t>
            </w:r>
          </w:p>
          <w:p w14:paraId="7FE1D154" w14:textId="77777777" w:rsidR="00696584" w:rsidRDefault="002C4F63">
            <w:pPr>
              <w:pStyle w:val="P68B1DB1-TableParagraph40"/>
              <w:spacing w:before="108"/>
              <w:ind w:left="85"/>
              <w:jc w:val="both"/>
            </w:pPr>
            <w:r>
              <w:t>Interne Kennung des Rahmenvertrags oder des Einzelkontraktes.</w:t>
            </w:r>
          </w:p>
        </w:tc>
      </w:tr>
      <w:tr w:rsidR="00696584" w14:paraId="7FE1D159" w14:textId="77777777">
        <w:tc>
          <w:tcPr>
            <w:tcW w:w="1183" w:type="dxa"/>
            <w:tcBorders>
              <w:top w:val="single" w:sz="8" w:space="0" w:color="1A171C"/>
              <w:left w:val="nil"/>
              <w:bottom w:val="single" w:sz="8" w:space="0" w:color="1A171C"/>
              <w:right w:val="single" w:sz="8" w:space="0" w:color="1A171C"/>
            </w:tcBorders>
            <w:vAlign w:val="center"/>
          </w:tcPr>
          <w:p w14:paraId="7FE1D156" w14:textId="77777777" w:rsidR="00696584" w:rsidRDefault="002C4F63">
            <w:pPr>
              <w:pStyle w:val="P68B1DB1-Normal31"/>
            </w:pPr>
            <w:r>
              <w:t>0050</w:t>
            </w:r>
          </w:p>
        </w:tc>
        <w:tc>
          <w:tcPr>
            <w:tcW w:w="7832" w:type="dxa"/>
            <w:tcBorders>
              <w:top w:val="single" w:sz="8" w:space="0" w:color="1A171C"/>
              <w:left w:val="single" w:sz="8" w:space="0" w:color="1A171C"/>
              <w:bottom w:val="single" w:sz="8" w:space="0" w:color="1A171C"/>
              <w:right w:val="nil"/>
            </w:tcBorders>
            <w:vAlign w:val="bottom"/>
          </w:tcPr>
          <w:p w14:paraId="7FE1D157" w14:textId="27FD9F90" w:rsidR="00696584" w:rsidRDefault="002C4F63">
            <w:pPr>
              <w:pStyle w:val="P68B1DB1-TableParagraph73"/>
              <w:spacing w:before="108"/>
              <w:ind w:left="85"/>
              <w:jc w:val="both"/>
              <w:rPr>
                <w:bCs/>
              </w:rPr>
            </w:pPr>
            <w:r>
              <w:t xml:space="preserve">Art des Mastervertrags </w:t>
            </w:r>
          </w:p>
          <w:p w14:paraId="7FE1D158" w14:textId="338F32CE" w:rsidR="00696584" w:rsidRDefault="002C4F63">
            <w:pPr>
              <w:pStyle w:val="P68B1DB1-TableParagraph40"/>
              <w:spacing w:before="108"/>
              <w:ind w:left="85"/>
              <w:jc w:val="both"/>
            </w:pPr>
            <w:r>
              <w:t>Geben Sie den Rahmenvertrag entweder „ISDA 2002 Master Agreement“, „ISDA 1992 Master Agreement“, „ISDA 1987 Master Agreement“, „ISDA 1986 Master Agreement“, „ISDA 1985 Master Agreement“, „Sonstiger Mastervertrag“, „Einzelvertrag“ aus einer vorgegebenen Liste an.</w:t>
            </w:r>
          </w:p>
        </w:tc>
      </w:tr>
      <w:tr w:rsidR="00696584" w14:paraId="7FE1D15D" w14:textId="77777777">
        <w:tc>
          <w:tcPr>
            <w:tcW w:w="1183" w:type="dxa"/>
            <w:tcBorders>
              <w:top w:val="single" w:sz="8" w:space="0" w:color="1A171C"/>
              <w:left w:val="nil"/>
              <w:bottom w:val="single" w:sz="8" w:space="0" w:color="1A171C"/>
              <w:right w:val="single" w:sz="8" w:space="0" w:color="1A171C"/>
            </w:tcBorders>
            <w:vAlign w:val="center"/>
          </w:tcPr>
          <w:p w14:paraId="7FE1D15A" w14:textId="77777777" w:rsidR="00696584" w:rsidRDefault="002C4F63">
            <w:pPr>
              <w:pStyle w:val="P68B1DB1-Normal31"/>
            </w:pPr>
            <w:r>
              <w:t>0061</w:t>
            </w:r>
          </w:p>
        </w:tc>
        <w:tc>
          <w:tcPr>
            <w:tcW w:w="7832" w:type="dxa"/>
            <w:tcBorders>
              <w:top w:val="single" w:sz="8" w:space="0" w:color="1A171C"/>
              <w:left w:val="single" w:sz="8" w:space="0" w:color="1A171C"/>
              <w:bottom w:val="single" w:sz="8" w:space="0" w:color="1A171C"/>
              <w:right w:val="nil"/>
            </w:tcBorders>
            <w:vAlign w:val="bottom"/>
          </w:tcPr>
          <w:p w14:paraId="7FE1D15B" w14:textId="016D6627" w:rsidR="00696584" w:rsidRDefault="00F61D1C">
            <w:pPr>
              <w:pStyle w:val="P68B1DB1-TableParagraph73"/>
              <w:spacing w:before="108"/>
              <w:ind w:left="85"/>
              <w:jc w:val="both"/>
              <w:rPr>
                <w:bCs/>
              </w:rPr>
            </w:pPr>
            <w:r>
              <w:t>ISDA-Protokoll-konforme Einheit</w:t>
            </w:r>
            <w:r w:rsidR="002C4F63">
              <w:t xml:space="preserve"> </w:t>
            </w:r>
          </w:p>
          <w:p w14:paraId="7FE1D15C" w14:textId="7AF7326F" w:rsidR="00696584" w:rsidRDefault="002C4F63">
            <w:pPr>
              <w:pStyle w:val="P68B1DB1-TableParagraph40"/>
              <w:spacing w:before="108"/>
              <w:ind w:left="85"/>
              <w:jc w:val="both"/>
            </w:pPr>
            <w:r>
              <w:t>Hier ist anzugeben, ob das Unternehmen selbst das ISDA Universal Stay Protocol unterzeichnet hat.</w:t>
            </w:r>
            <w:r w:rsidR="00F61D1C">
              <w:t xml:space="preserve"> </w:t>
            </w:r>
            <w:r>
              <w:t xml:space="preserve">Dies erfolgt durch Auswahl von „ISDA Universal Protocol“, „ISDA JMP Module“, „BRRD II Omnibus Jurisdictional Module“ oder „Nein“ aus einer vorgegebenen Liste. </w:t>
            </w:r>
          </w:p>
        </w:tc>
      </w:tr>
      <w:tr w:rsidR="00696584" w14:paraId="7FE1D161" w14:textId="77777777">
        <w:tc>
          <w:tcPr>
            <w:tcW w:w="1183" w:type="dxa"/>
            <w:tcBorders>
              <w:top w:val="single" w:sz="8" w:space="0" w:color="1A171C"/>
              <w:left w:val="nil"/>
              <w:bottom w:val="single" w:sz="8" w:space="0" w:color="1A171C"/>
              <w:right w:val="single" w:sz="8" w:space="0" w:color="1A171C"/>
            </w:tcBorders>
            <w:vAlign w:val="center"/>
          </w:tcPr>
          <w:p w14:paraId="7FE1D15E" w14:textId="77777777" w:rsidR="00696584" w:rsidRDefault="002C4F63">
            <w:pPr>
              <w:pStyle w:val="P68B1DB1-Normal31"/>
            </w:pPr>
            <w:r>
              <w:t>0071</w:t>
            </w:r>
          </w:p>
        </w:tc>
        <w:tc>
          <w:tcPr>
            <w:tcW w:w="7832" w:type="dxa"/>
            <w:tcBorders>
              <w:top w:val="single" w:sz="8" w:space="0" w:color="1A171C"/>
              <w:left w:val="single" w:sz="8" w:space="0" w:color="1A171C"/>
              <w:bottom w:val="single" w:sz="8" w:space="0" w:color="1A171C"/>
              <w:right w:val="nil"/>
            </w:tcBorders>
            <w:vAlign w:val="bottom"/>
          </w:tcPr>
          <w:p w14:paraId="7FE1D15F" w14:textId="77777777" w:rsidR="00696584" w:rsidRDefault="002C4F63">
            <w:pPr>
              <w:pStyle w:val="P68B1DB1-TableParagraph73"/>
              <w:spacing w:before="108"/>
              <w:ind w:left="85"/>
              <w:jc w:val="both"/>
              <w:rPr>
                <w:bCs/>
              </w:rPr>
            </w:pPr>
            <w:r>
              <w:t xml:space="preserve">Resolution Stay Recognition  </w:t>
            </w:r>
          </w:p>
          <w:p w14:paraId="7FE1D160" w14:textId="6CA9E080" w:rsidR="00696584" w:rsidRDefault="002C4F63">
            <w:pPr>
              <w:pStyle w:val="P68B1DB1-TableParagraph40"/>
              <w:spacing w:before="108"/>
              <w:ind w:left="85"/>
              <w:jc w:val="both"/>
            </w:pPr>
            <w:r>
              <w:lastRenderedPageBreak/>
              <w:t>Hier ist anzugeben, ob die Gegenpartei konform ist.</w:t>
            </w:r>
            <w:r w:rsidR="00F61D1C">
              <w:t xml:space="preserve"> </w:t>
            </w:r>
            <w:r>
              <w:t>Dies erfolgt durch Auswahl von „ISDA Universal Protocol“, „ISDA JMP Module“, „Sonstige Vereinbarung bezüglich einer „resolution stay recognition“ oder „Keine resolution stay recognition“ aus einer vorgegebenen Liste.</w:t>
            </w:r>
          </w:p>
        </w:tc>
      </w:tr>
      <w:tr w:rsidR="00696584" w14:paraId="7FE1D165" w14:textId="77777777">
        <w:tc>
          <w:tcPr>
            <w:tcW w:w="1183" w:type="dxa"/>
            <w:tcBorders>
              <w:top w:val="single" w:sz="8" w:space="0" w:color="1A171C"/>
              <w:left w:val="nil"/>
              <w:bottom w:val="single" w:sz="8" w:space="0" w:color="1A171C"/>
              <w:right w:val="single" w:sz="8" w:space="0" w:color="1A171C"/>
            </w:tcBorders>
            <w:vAlign w:val="center"/>
          </w:tcPr>
          <w:p w14:paraId="7FE1D162" w14:textId="77777777" w:rsidR="00696584" w:rsidRDefault="002C4F63">
            <w:pPr>
              <w:pStyle w:val="P68B1DB1-Normal31"/>
            </w:pPr>
            <w:r>
              <w:lastRenderedPageBreak/>
              <w:t>0075</w:t>
            </w:r>
          </w:p>
        </w:tc>
        <w:tc>
          <w:tcPr>
            <w:tcW w:w="7832" w:type="dxa"/>
            <w:tcBorders>
              <w:top w:val="single" w:sz="8" w:space="0" w:color="1A171C"/>
              <w:left w:val="single" w:sz="8" w:space="0" w:color="1A171C"/>
              <w:bottom w:val="single" w:sz="8" w:space="0" w:color="1A171C"/>
              <w:right w:val="nil"/>
            </w:tcBorders>
            <w:vAlign w:val="bottom"/>
          </w:tcPr>
          <w:p w14:paraId="7FE1D163" w14:textId="5CF4A3AF" w:rsidR="00696584" w:rsidRDefault="002C4F63">
            <w:pPr>
              <w:pStyle w:val="P68B1DB1-TableParagraph73"/>
              <w:spacing w:before="108"/>
              <w:ind w:left="85"/>
              <w:jc w:val="both"/>
              <w:rPr>
                <w:bCs/>
              </w:rPr>
            </w:pPr>
            <w:r>
              <w:t xml:space="preserve">Name der Gegenpartei </w:t>
            </w:r>
          </w:p>
          <w:p w14:paraId="7FE1D164" w14:textId="30384F49" w:rsidR="00696584" w:rsidRDefault="002C4F63">
            <w:pPr>
              <w:pStyle w:val="P68B1DB1-TableParagraph40"/>
              <w:spacing w:before="108"/>
              <w:ind w:left="85"/>
              <w:jc w:val="both"/>
            </w:pPr>
            <w:bookmarkStart w:id="248" w:name="_Hlk189839311"/>
            <w:r>
              <w:t>Name der Gegenpartei.</w:t>
            </w:r>
            <w:bookmarkEnd w:id="248"/>
            <w:r>
              <w:t xml:space="preserve"> Bei durch ZGP geclearten Derivaten ist die betreffende CCP als Gegenpartei zu melden.</w:t>
            </w:r>
          </w:p>
        </w:tc>
      </w:tr>
      <w:tr w:rsidR="00696584" w14:paraId="7FE1D169" w14:textId="77777777">
        <w:tc>
          <w:tcPr>
            <w:tcW w:w="1183" w:type="dxa"/>
            <w:tcBorders>
              <w:top w:val="single" w:sz="8" w:space="0" w:color="1A171C"/>
              <w:left w:val="nil"/>
              <w:bottom w:val="single" w:sz="8" w:space="0" w:color="1A171C"/>
              <w:right w:val="single" w:sz="8" w:space="0" w:color="1A171C"/>
            </w:tcBorders>
            <w:vAlign w:val="center"/>
          </w:tcPr>
          <w:p w14:paraId="7FE1D166" w14:textId="77777777" w:rsidR="00696584" w:rsidRDefault="002C4F63">
            <w:pPr>
              <w:pStyle w:val="P68B1DB1-Normal31"/>
            </w:pPr>
            <w:r>
              <w:t>0080</w:t>
            </w:r>
          </w:p>
        </w:tc>
        <w:tc>
          <w:tcPr>
            <w:tcW w:w="7832" w:type="dxa"/>
            <w:tcBorders>
              <w:top w:val="single" w:sz="8" w:space="0" w:color="1A171C"/>
              <w:left w:val="single" w:sz="8" w:space="0" w:color="1A171C"/>
              <w:bottom w:val="single" w:sz="8" w:space="0" w:color="1A171C"/>
              <w:right w:val="nil"/>
            </w:tcBorders>
            <w:vAlign w:val="bottom"/>
          </w:tcPr>
          <w:p w14:paraId="0E76A125" w14:textId="26AE2361" w:rsidR="00696584" w:rsidRDefault="002C4F63">
            <w:pPr>
              <w:pStyle w:val="P68B1DB1-TableParagraph73"/>
              <w:spacing w:before="108"/>
              <w:ind w:left="85"/>
              <w:jc w:val="both"/>
              <w:rPr>
                <w:bCs/>
              </w:rPr>
            </w:pPr>
            <w:r>
              <w:t xml:space="preserve">Vertragspartnerkennung </w:t>
            </w:r>
          </w:p>
          <w:p w14:paraId="7FE1D168" w14:textId="7D4036D9" w:rsidR="00696584" w:rsidRDefault="002C4F63">
            <w:pPr>
              <w:pStyle w:val="P68B1DB1-TableParagraph40"/>
              <w:spacing w:before="108"/>
              <w:ind w:left="85"/>
              <w:jc w:val="both"/>
            </w:pPr>
            <w:r>
              <w:t xml:space="preserve">Geben Sie den LEI-Code der Gegenpartei an. Sollte kein LEI-Code vorliegen, ist bei Banken die in RIAD (Register of Institutions and Affiliates Database) verwendete eindeutige Kennung für monetäre Finanzinstitute (monetary financial institutions unique IDentifier – MFI ID) anzugeben. Wenn beide Identifikatoren fehlen, ist eine interne Kennung anzugeben. </w:t>
            </w:r>
          </w:p>
        </w:tc>
      </w:tr>
      <w:tr w:rsidR="00696584" w14:paraId="7FE1D16D" w14:textId="77777777">
        <w:tc>
          <w:tcPr>
            <w:tcW w:w="1183" w:type="dxa"/>
            <w:tcBorders>
              <w:top w:val="single" w:sz="8" w:space="0" w:color="1A171C"/>
              <w:left w:val="nil"/>
              <w:bottom w:val="single" w:sz="8" w:space="0" w:color="1A171C"/>
              <w:right w:val="single" w:sz="8" w:space="0" w:color="1A171C"/>
            </w:tcBorders>
            <w:vAlign w:val="center"/>
          </w:tcPr>
          <w:p w14:paraId="7FE1D16A" w14:textId="77777777" w:rsidR="00696584" w:rsidRDefault="002C4F63">
            <w:pPr>
              <w:pStyle w:val="P68B1DB1-Normal31"/>
            </w:pPr>
            <w:r>
              <w:t>0085</w:t>
            </w:r>
          </w:p>
        </w:tc>
        <w:tc>
          <w:tcPr>
            <w:tcW w:w="7832" w:type="dxa"/>
            <w:tcBorders>
              <w:top w:val="single" w:sz="8" w:space="0" w:color="1A171C"/>
              <w:left w:val="single" w:sz="8" w:space="0" w:color="1A171C"/>
              <w:bottom w:val="single" w:sz="8" w:space="0" w:color="1A171C"/>
              <w:right w:val="nil"/>
            </w:tcBorders>
            <w:vAlign w:val="bottom"/>
          </w:tcPr>
          <w:p w14:paraId="7FE1D16B" w14:textId="77777777" w:rsidR="00696584" w:rsidRDefault="002C4F63">
            <w:pPr>
              <w:pStyle w:val="P68B1DB1-TableParagraph73"/>
              <w:spacing w:before="108"/>
              <w:ind w:left="85"/>
              <w:jc w:val="both"/>
              <w:rPr>
                <w:bCs/>
              </w:rPr>
            </w:pPr>
            <w:r>
              <w:t xml:space="preserve">Art der Kennung </w:t>
            </w:r>
          </w:p>
          <w:p w14:paraId="7FE1D16C" w14:textId="77777777" w:rsidR="00696584" w:rsidRDefault="002C4F63">
            <w:pPr>
              <w:pStyle w:val="P68B1DB1-TableParagraph40"/>
              <w:spacing w:before="108"/>
              <w:ind w:left="85"/>
              <w:jc w:val="both"/>
            </w:pPr>
            <w:r>
              <w:t>Auswahl unter folgenden Optionen: „LEI-Code“, „MFI-Code“ oder „Andere Art der Kennung als LEI-Code oder MFI-Code“.</w:t>
            </w:r>
          </w:p>
        </w:tc>
      </w:tr>
      <w:tr w:rsidR="00696584" w14:paraId="7FE1D171" w14:textId="77777777">
        <w:tc>
          <w:tcPr>
            <w:tcW w:w="1183" w:type="dxa"/>
            <w:tcBorders>
              <w:top w:val="single" w:sz="8" w:space="0" w:color="1A171C"/>
              <w:left w:val="nil"/>
              <w:bottom w:val="single" w:sz="8" w:space="0" w:color="1A171C"/>
              <w:right w:val="single" w:sz="8" w:space="0" w:color="1A171C"/>
            </w:tcBorders>
            <w:vAlign w:val="center"/>
          </w:tcPr>
          <w:p w14:paraId="7FE1D16E" w14:textId="77777777" w:rsidR="00696584" w:rsidRDefault="002C4F63">
            <w:pPr>
              <w:pStyle w:val="P68B1DB1-Normal31"/>
            </w:pPr>
            <w:r>
              <w:t>0090</w:t>
            </w:r>
          </w:p>
        </w:tc>
        <w:tc>
          <w:tcPr>
            <w:tcW w:w="7832" w:type="dxa"/>
            <w:tcBorders>
              <w:top w:val="single" w:sz="8" w:space="0" w:color="1A171C"/>
              <w:left w:val="single" w:sz="8" w:space="0" w:color="1A171C"/>
              <w:bottom w:val="single" w:sz="8" w:space="0" w:color="1A171C"/>
              <w:right w:val="nil"/>
            </w:tcBorders>
            <w:vAlign w:val="bottom"/>
          </w:tcPr>
          <w:p w14:paraId="7FE1D16F" w14:textId="23850D88" w:rsidR="00696584" w:rsidRDefault="002C4F63">
            <w:pPr>
              <w:pStyle w:val="P68B1DB1-TableParagraph73"/>
              <w:spacing w:before="108"/>
              <w:ind w:left="85"/>
              <w:jc w:val="both"/>
              <w:rPr>
                <w:bCs/>
              </w:rPr>
            </w:pPr>
            <w:r>
              <w:t xml:space="preserve">Land der Gegenpartei  </w:t>
            </w:r>
          </w:p>
          <w:p w14:paraId="7FE1D170" w14:textId="77777777" w:rsidR="00696584" w:rsidRDefault="002C4F63">
            <w:pPr>
              <w:pStyle w:val="P68B1DB1-TableParagraph40"/>
              <w:spacing w:before="108"/>
              <w:ind w:left="85"/>
              <w:jc w:val="both"/>
            </w:pPr>
            <w:r>
              <w:t>Der ISO-3166-1-Alpha-2-Code des Landes, in dem die Gegenpartei ansässig ist.</w:t>
            </w:r>
          </w:p>
        </w:tc>
      </w:tr>
      <w:tr w:rsidR="00696584" w14:paraId="7404F251" w14:textId="77777777">
        <w:tc>
          <w:tcPr>
            <w:tcW w:w="1183" w:type="dxa"/>
            <w:tcBorders>
              <w:top w:val="single" w:sz="8" w:space="0" w:color="1A171C"/>
              <w:left w:val="nil"/>
              <w:bottom w:val="single" w:sz="8" w:space="0" w:color="1A171C"/>
              <w:right w:val="single" w:sz="8" w:space="0" w:color="1A171C"/>
            </w:tcBorders>
            <w:vAlign w:val="center"/>
          </w:tcPr>
          <w:p w14:paraId="6A962F58" w14:textId="41C252E0" w:rsidR="00696584" w:rsidRDefault="002C4F63">
            <w:pPr>
              <w:pStyle w:val="P68B1DB1-Normal31"/>
            </w:pPr>
            <w:r>
              <w:t>0095</w:t>
            </w:r>
          </w:p>
        </w:tc>
        <w:tc>
          <w:tcPr>
            <w:tcW w:w="7832" w:type="dxa"/>
            <w:tcBorders>
              <w:top w:val="single" w:sz="8" w:space="0" w:color="1A171C"/>
              <w:left w:val="single" w:sz="8" w:space="0" w:color="1A171C"/>
              <w:bottom w:val="single" w:sz="8" w:space="0" w:color="1A171C"/>
              <w:right w:val="nil"/>
            </w:tcBorders>
            <w:vAlign w:val="bottom"/>
          </w:tcPr>
          <w:p w14:paraId="770D3BD3" w14:textId="77777777" w:rsidR="00696584" w:rsidRDefault="002C4F63">
            <w:pPr>
              <w:pStyle w:val="P68B1DB1-TableParagraph73"/>
              <w:spacing w:before="108"/>
              <w:ind w:left="85"/>
              <w:jc w:val="both"/>
              <w:rPr>
                <w:bCs/>
              </w:rPr>
            </w:pPr>
            <w:r>
              <w:t>Gruppeninterne Transaktion</w:t>
            </w:r>
          </w:p>
          <w:p w14:paraId="1EA32667" w14:textId="1995F401" w:rsidR="00696584" w:rsidRDefault="002C4F63">
            <w:pPr>
              <w:pStyle w:val="P68B1DB1-TableParagraph40"/>
              <w:spacing w:before="108"/>
              <w:ind w:left="85"/>
              <w:jc w:val="both"/>
            </w:pPr>
            <w:r>
              <w:t>Das berichtende Unternehmen muss angeben, ob die gemeldete Transaktion mit einer Gegenpartei abgewickelt wird, die zum Konsolidierungskreis für Rechnungslegungszwecke der obersten Muttergesellschaft gehört. Die zulässigen Werte sind „True“ oder „False“.</w:t>
            </w:r>
          </w:p>
        </w:tc>
      </w:tr>
      <w:tr w:rsidR="00696584" w14:paraId="7FE1D179" w14:textId="77777777">
        <w:tc>
          <w:tcPr>
            <w:tcW w:w="1183" w:type="dxa"/>
            <w:tcBorders>
              <w:top w:val="single" w:sz="8" w:space="0" w:color="1A171C"/>
              <w:left w:val="nil"/>
              <w:bottom w:val="single" w:sz="8" w:space="0" w:color="1A171C"/>
              <w:right w:val="single" w:sz="8" w:space="0" w:color="1A171C"/>
            </w:tcBorders>
            <w:vAlign w:val="center"/>
          </w:tcPr>
          <w:p w14:paraId="7FE1D176" w14:textId="77777777" w:rsidR="00696584" w:rsidRDefault="002C4F63">
            <w:pPr>
              <w:pStyle w:val="P68B1DB1-TableParagraph40"/>
              <w:spacing w:before="108"/>
              <w:ind w:left="85"/>
              <w:jc w:val="both"/>
            </w:pPr>
            <w:r>
              <w:t>0100</w:t>
            </w:r>
          </w:p>
        </w:tc>
        <w:tc>
          <w:tcPr>
            <w:tcW w:w="7832" w:type="dxa"/>
            <w:tcBorders>
              <w:top w:val="single" w:sz="8" w:space="0" w:color="1A171C"/>
              <w:left w:val="single" w:sz="8" w:space="0" w:color="1A171C"/>
              <w:bottom w:val="single" w:sz="8" w:space="0" w:color="1A171C"/>
              <w:right w:val="nil"/>
            </w:tcBorders>
            <w:vAlign w:val="bottom"/>
          </w:tcPr>
          <w:p w14:paraId="7FE1D177" w14:textId="142FAAFF" w:rsidR="00696584" w:rsidRDefault="002C4F63">
            <w:pPr>
              <w:pStyle w:val="P68B1DB1-TableParagraph73"/>
              <w:spacing w:before="108"/>
              <w:ind w:left="85"/>
              <w:jc w:val="both"/>
              <w:rPr>
                <w:bCs/>
              </w:rPr>
            </w:pPr>
            <w:r>
              <w:t>Für den Rahmenvertrag/das Einzelgeschäft geltendes Recht</w:t>
            </w:r>
          </w:p>
          <w:p w14:paraId="7FE1D178" w14:textId="69ED3535" w:rsidR="00696584" w:rsidRDefault="002C4F63">
            <w:pPr>
              <w:pStyle w:val="P68B1DB1-TableParagraph40"/>
              <w:spacing w:before="108"/>
              <w:ind w:left="85"/>
              <w:jc w:val="both"/>
            </w:pPr>
            <w:r>
              <w:t xml:space="preserve">ISO 3166-1 Alpha-2-Code des Landes, dessen Recht für die Rahmenvereinbarung/den Einzelvertrag maßgebend ist (Verwendung des ISO 3166-2-Codes, wenn das Recht einer Verwaltungsunterteilung relevant ist, z. B. „US-NY“). Ist für den Vertrag das Recht von mehr als einem Land anwendbar, ist das Land anzugeben, dessen Recht die höchste Relevanz für die Anerkennung von Abschreibungs- und Umwandlungsbefugnissen hat.  </w:t>
            </w:r>
          </w:p>
        </w:tc>
      </w:tr>
      <w:tr w:rsidR="00696584" w14:paraId="7FE1D17D" w14:textId="77777777">
        <w:tc>
          <w:tcPr>
            <w:tcW w:w="1183" w:type="dxa"/>
            <w:tcBorders>
              <w:top w:val="single" w:sz="8" w:space="0" w:color="1A171C"/>
              <w:left w:val="nil"/>
              <w:bottom w:val="single" w:sz="8" w:space="0" w:color="1A171C"/>
              <w:right w:val="single" w:sz="8" w:space="0" w:color="1A171C"/>
            </w:tcBorders>
            <w:vAlign w:val="center"/>
          </w:tcPr>
          <w:p w14:paraId="7FE1D17A" w14:textId="77777777" w:rsidR="00696584" w:rsidRDefault="002C4F63">
            <w:pPr>
              <w:pStyle w:val="P68B1DB1-Normal31"/>
            </w:pPr>
            <w:r>
              <w:t>0110</w:t>
            </w:r>
          </w:p>
        </w:tc>
        <w:tc>
          <w:tcPr>
            <w:tcW w:w="7832" w:type="dxa"/>
            <w:tcBorders>
              <w:top w:val="single" w:sz="8" w:space="0" w:color="1A171C"/>
              <w:left w:val="single" w:sz="8" w:space="0" w:color="1A171C"/>
              <w:bottom w:val="single" w:sz="8" w:space="0" w:color="1A171C"/>
              <w:right w:val="nil"/>
            </w:tcBorders>
            <w:vAlign w:val="bottom"/>
          </w:tcPr>
          <w:p w14:paraId="7FE1D17B" w14:textId="4C1F1D53" w:rsidR="00696584" w:rsidRDefault="002C4F63">
            <w:pPr>
              <w:pStyle w:val="P68B1DB1-TableParagraph73"/>
              <w:spacing w:before="108"/>
              <w:ind w:left="85"/>
              <w:jc w:val="both"/>
              <w:rPr>
                <w:bCs/>
              </w:rPr>
            </w:pPr>
            <w:r>
              <w:t xml:space="preserve">Zahl abgedeckter Transaktionen  </w:t>
            </w:r>
          </w:p>
          <w:p w14:paraId="7FE1D17C" w14:textId="77777777" w:rsidR="00696584" w:rsidRDefault="002C4F63">
            <w:pPr>
              <w:pStyle w:val="P68B1DB1-TableParagraph40"/>
              <w:spacing w:before="108"/>
              <w:ind w:left="85"/>
              <w:jc w:val="both"/>
            </w:pPr>
            <w:r>
              <w:t>Hier ist die Zahl der Einzelkontrakte anzugeben, die der Netting-Satz der Rahmenvereinbarung umfasst.</w:t>
            </w:r>
          </w:p>
        </w:tc>
      </w:tr>
      <w:tr w:rsidR="00696584" w14:paraId="7FE1D181" w14:textId="77777777">
        <w:tc>
          <w:tcPr>
            <w:tcW w:w="1183" w:type="dxa"/>
            <w:tcBorders>
              <w:top w:val="single" w:sz="8" w:space="0" w:color="1A171C"/>
              <w:left w:val="nil"/>
              <w:bottom w:val="single" w:sz="8" w:space="0" w:color="1A171C"/>
              <w:right w:val="single" w:sz="8" w:space="0" w:color="1A171C"/>
            </w:tcBorders>
            <w:vAlign w:val="center"/>
          </w:tcPr>
          <w:p w14:paraId="7FE1D17E" w14:textId="77777777" w:rsidR="00696584" w:rsidRDefault="002C4F63">
            <w:pPr>
              <w:pStyle w:val="P68B1DB1-Normal31"/>
            </w:pPr>
            <w:r>
              <w:t>0120</w:t>
            </w:r>
          </w:p>
        </w:tc>
        <w:tc>
          <w:tcPr>
            <w:tcW w:w="7832" w:type="dxa"/>
            <w:tcBorders>
              <w:top w:val="single" w:sz="8" w:space="0" w:color="1A171C"/>
              <w:left w:val="single" w:sz="8" w:space="0" w:color="1A171C"/>
              <w:bottom w:val="single" w:sz="8" w:space="0" w:color="1A171C"/>
              <w:right w:val="nil"/>
            </w:tcBorders>
            <w:vAlign w:val="bottom"/>
          </w:tcPr>
          <w:p w14:paraId="7FE1D17F" w14:textId="60B4E8A5" w:rsidR="00696584" w:rsidRDefault="002C4F63">
            <w:pPr>
              <w:pStyle w:val="P68B1DB1-TableParagraph73"/>
              <w:spacing w:before="108"/>
              <w:ind w:left="85"/>
              <w:jc w:val="both"/>
              <w:rPr>
                <w:bCs/>
              </w:rPr>
            </w:pPr>
            <w:r>
              <w:t xml:space="preserve">Nettokennwert zum Marktwert </w:t>
            </w:r>
          </w:p>
          <w:p w14:paraId="7FE1D180" w14:textId="229346B5" w:rsidR="00696584" w:rsidRDefault="002C4F63">
            <w:pPr>
              <w:pStyle w:val="P68B1DB1-TableParagraph40"/>
              <w:spacing w:before="108"/>
              <w:ind w:left="85"/>
              <w:jc w:val="both"/>
            </w:pPr>
            <w:r>
              <w:t xml:space="preserve">Nettomarktwert der Derivateverbindlichkeiten je vertraglicher Netting-Satz unter der Annahme des Abschlusses von Derivaten zum Stichtag. </w:t>
            </w:r>
          </w:p>
        </w:tc>
      </w:tr>
      <w:tr w:rsidR="00696584" w14:paraId="7FE1D185" w14:textId="77777777">
        <w:tc>
          <w:tcPr>
            <w:tcW w:w="1183" w:type="dxa"/>
            <w:tcBorders>
              <w:top w:val="single" w:sz="8" w:space="0" w:color="1A171C"/>
              <w:left w:val="nil"/>
              <w:bottom w:val="single" w:sz="8" w:space="0" w:color="1A171C"/>
              <w:right w:val="single" w:sz="8" w:space="0" w:color="1A171C"/>
            </w:tcBorders>
            <w:vAlign w:val="center"/>
          </w:tcPr>
          <w:p w14:paraId="7FE1D182" w14:textId="77777777" w:rsidR="00696584" w:rsidRDefault="002C4F63">
            <w:pPr>
              <w:pStyle w:val="P68B1DB1-Normal31"/>
            </w:pPr>
            <w:r>
              <w:t>0130</w:t>
            </w:r>
          </w:p>
        </w:tc>
        <w:tc>
          <w:tcPr>
            <w:tcW w:w="7832" w:type="dxa"/>
            <w:tcBorders>
              <w:top w:val="single" w:sz="8" w:space="0" w:color="1A171C"/>
              <w:left w:val="single" w:sz="8" w:space="0" w:color="1A171C"/>
              <w:bottom w:val="single" w:sz="8" w:space="0" w:color="1A171C"/>
              <w:right w:val="nil"/>
            </w:tcBorders>
            <w:vAlign w:val="bottom"/>
          </w:tcPr>
          <w:p w14:paraId="7FE1D183" w14:textId="070C552A" w:rsidR="00696584" w:rsidRDefault="002C4F63">
            <w:pPr>
              <w:pStyle w:val="P68B1DB1-TableParagraph73"/>
              <w:spacing w:before="108"/>
              <w:ind w:left="85"/>
              <w:jc w:val="both"/>
              <w:rPr>
                <w:bCs/>
              </w:rPr>
            </w:pPr>
            <w:r>
              <w:t xml:space="preserve">Wert der hinterlegten Nettosicherheiten </w:t>
            </w:r>
          </w:p>
          <w:p w14:paraId="7FE1D184" w14:textId="014CEFC4" w:rsidR="00696584" w:rsidRDefault="002C4F63">
            <w:pPr>
              <w:pStyle w:val="P68B1DB1-TableParagraph40"/>
              <w:spacing w:before="108"/>
              <w:ind w:left="85"/>
              <w:jc w:val="both"/>
            </w:pPr>
            <w:r>
              <w:t>Der Netto-Marktwert der gestellten Sicherheiten innerhalb eines Netting-Satzes (d. h. gestellte Sicherheiten abzüglich erhaltener Sicherheiten). Hierzu gehören auch Margin-Konten im Rahmen von Nettingvereinbarungen. Geben Sie als positiven Wert an, wenn das Unternehmen den Gegenparteien Netto-Sicherheiten gestellt hat.</w:t>
            </w:r>
          </w:p>
        </w:tc>
      </w:tr>
      <w:tr w:rsidR="00696584" w14:paraId="7FE1D189" w14:textId="77777777">
        <w:tc>
          <w:tcPr>
            <w:tcW w:w="1183" w:type="dxa"/>
            <w:tcBorders>
              <w:top w:val="single" w:sz="8" w:space="0" w:color="1A171C"/>
              <w:left w:val="nil"/>
              <w:bottom w:val="single" w:sz="8" w:space="0" w:color="1A171C"/>
              <w:right w:val="single" w:sz="8" w:space="0" w:color="1A171C"/>
            </w:tcBorders>
            <w:vAlign w:val="center"/>
          </w:tcPr>
          <w:p w14:paraId="7FE1D186" w14:textId="77777777" w:rsidR="00696584" w:rsidRDefault="002C4F63">
            <w:pPr>
              <w:pStyle w:val="P68B1DB1-Normal31"/>
            </w:pPr>
            <w:r>
              <w:t>0140</w:t>
            </w:r>
          </w:p>
        </w:tc>
        <w:tc>
          <w:tcPr>
            <w:tcW w:w="7832" w:type="dxa"/>
            <w:tcBorders>
              <w:top w:val="single" w:sz="8" w:space="0" w:color="1A171C"/>
              <w:left w:val="single" w:sz="8" w:space="0" w:color="1A171C"/>
              <w:bottom w:val="single" w:sz="8" w:space="0" w:color="1A171C"/>
              <w:right w:val="nil"/>
            </w:tcBorders>
            <w:vAlign w:val="bottom"/>
          </w:tcPr>
          <w:p w14:paraId="7FE1D187" w14:textId="6CF373A8" w:rsidR="00696584" w:rsidRDefault="002C4F63">
            <w:pPr>
              <w:pStyle w:val="P68B1DB1-TableParagraph40"/>
              <w:spacing w:before="108"/>
              <w:ind w:left="85"/>
              <w:jc w:val="both"/>
              <w:rPr>
                <w:b/>
                <w:bCs/>
              </w:rPr>
            </w:pPr>
            <w:r>
              <w:t xml:space="preserve"> </w:t>
            </w:r>
            <w:r>
              <w:rPr>
                <w:b/>
              </w:rPr>
              <w:t xml:space="preserve">Geschätzter </w:t>
            </w:r>
            <w:r w:rsidR="00F61D1C">
              <w:rPr>
                <w:b/>
              </w:rPr>
              <w:t>Close-</w:t>
            </w:r>
            <w:r>
              <w:rPr>
                <w:b/>
              </w:rPr>
              <w:t>Out-Betrag</w:t>
            </w:r>
          </w:p>
          <w:p w14:paraId="7FE1D188" w14:textId="63DBB8B6" w:rsidR="00696584" w:rsidRDefault="002C4F63">
            <w:pPr>
              <w:pStyle w:val="P68B1DB1-TableParagraph40"/>
              <w:spacing w:before="108"/>
              <w:ind w:left="85"/>
              <w:jc w:val="both"/>
            </w:pPr>
            <w:r>
              <w:t xml:space="preserve">Der geschätzte Close-Out-Betrag, der den Betrag der Verluste oder aufgelaufener Kosten durch derivative Gegenparteien oder von ihnen erzielte Gewinne abdeckt, indem der wirtschaftliche Gegenwert zu den wesentlichen Vertragsbedingungen und die Optionsrechte der Parteien in Bezug auf die gekündigten Verträge eingedeckt oder erworben wird. In einigen Fällen; Die für eine Bestimmung dieses Wertes gemäß der Delegierten Verordnung (EU) 2016/1401 erforderlichen Schätzungen sind in Einzelfällen schwierig zu berichten. Daher sind Näherungswerte, die auf verfügbaren Daten wie den aufsichtsrechtlichen Anforderungen für </w:t>
            </w:r>
            <w:r>
              <w:lastRenderedPageBreak/>
              <w:t>das Marktrisiko beruhen, zu verwenden. Ein positiver Wert für den geschätzten Close-Out-Betrag führt zu einer Erhöhung des geschätzten Betrags der vorzeitigen Kündigung, während ein negatives Vorzeichen den geschätzten Betrag der vorzeitigen Kündigung verringern würde.</w:t>
            </w:r>
          </w:p>
        </w:tc>
      </w:tr>
      <w:tr w:rsidR="00696584" w14:paraId="7FE1D18D" w14:textId="77777777">
        <w:tc>
          <w:tcPr>
            <w:tcW w:w="1183" w:type="dxa"/>
            <w:vMerge w:val="restart"/>
            <w:tcBorders>
              <w:top w:val="single" w:sz="8" w:space="0" w:color="1A171C"/>
              <w:left w:val="nil"/>
              <w:right w:val="single" w:sz="8" w:space="0" w:color="1A171C"/>
            </w:tcBorders>
            <w:vAlign w:val="center"/>
          </w:tcPr>
          <w:p w14:paraId="7FE1D18A" w14:textId="77777777" w:rsidR="00696584" w:rsidRDefault="002C4F63">
            <w:pPr>
              <w:pStyle w:val="P68B1DB1-Normal31"/>
            </w:pPr>
            <w:r>
              <w:lastRenderedPageBreak/>
              <w:t>0150</w:t>
            </w:r>
          </w:p>
        </w:tc>
        <w:tc>
          <w:tcPr>
            <w:tcW w:w="7832" w:type="dxa"/>
            <w:tcBorders>
              <w:top w:val="single" w:sz="8" w:space="0" w:color="1A171C"/>
              <w:left w:val="single" w:sz="8" w:space="0" w:color="1A171C"/>
              <w:right w:val="nil"/>
            </w:tcBorders>
            <w:vAlign w:val="bottom"/>
          </w:tcPr>
          <w:p w14:paraId="7FE1D18B" w14:textId="77777777" w:rsidR="00696584" w:rsidRDefault="002C4F63">
            <w:pPr>
              <w:pStyle w:val="P68B1DB1-TableParagraph40"/>
              <w:spacing w:before="108"/>
              <w:ind w:left="85"/>
              <w:jc w:val="both"/>
              <w:rPr>
                <w:b/>
                <w:bCs/>
              </w:rPr>
            </w:pPr>
            <w:r>
              <w:t xml:space="preserve"> </w:t>
            </w:r>
            <w:r>
              <w:rPr>
                <w:b/>
              </w:rPr>
              <w:t>Geschätzter Betrag der vorzeitigen Kündigung</w:t>
            </w:r>
          </w:p>
          <w:p w14:paraId="7FE1D18C" w14:textId="77777777" w:rsidR="00696584" w:rsidRDefault="002C4F63">
            <w:pPr>
              <w:pStyle w:val="P68B1DB1-TableParagraph40"/>
              <w:spacing w:before="108"/>
              <w:ind w:left="85"/>
              <w:jc w:val="both"/>
            </w:pPr>
            <w:r>
              <w:t>Dieser Betrag wird unter Bezugnahme auf die Regelungen der Delegierten Verordnung (EU) 2016/1401 hinsichtlich der Bewertung von Derivaten gemäß Artikel 49 Absatz 4 der BRRD wie folgt bestimmt:</w:t>
            </w:r>
          </w:p>
        </w:tc>
      </w:tr>
      <w:tr w:rsidR="00696584" w14:paraId="7FE1D190" w14:textId="77777777">
        <w:tc>
          <w:tcPr>
            <w:tcW w:w="1183" w:type="dxa"/>
            <w:vMerge/>
            <w:tcBorders>
              <w:right w:val="single" w:sz="8" w:space="0" w:color="1A171C"/>
            </w:tcBorders>
            <w:vAlign w:val="center"/>
          </w:tcPr>
          <w:p w14:paraId="7FE1D18E" w14:textId="77777777" w:rsidR="00696584" w:rsidRDefault="00696584">
            <w:pPr>
              <w:rPr>
                <w:rFonts w:ascii="Times New Roman" w:hAnsi="Times New Roman" w:cs="Times New Roman"/>
              </w:rPr>
            </w:pPr>
          </w:p>
        </w:tc>
        <w:tc>
          <w:tcPr>
            <w:tcW w:w="7832" w:type="dxa"/>
            <w:tcBorders>
              <w:left w:val="single" w:sz="8" w:space="0" w:color="1A171C"/>
              <w:right w:val="nil"/>
            </w:tcBorders>
            <w:vAlign w:val="bottom"/>
          </w:tcPr>
          <w:p w14:paraId="7FE1D18F" w14:textId="77777777" w:rsidR="00696584" w:rsidRDefault="002C4F63">
            <w:pPr>
              <w:pStyle w:val="P68B1DB1-TableParagraph40"/>
              <w:spacing w:before="108"/>
              <w:ind w:left="85"/>
              <w:jc w:val="both"/>
            </w:pPr>
            <w:r>
              <w:t xml:space="preserve"> „Der Sachverständige bestimmt den Wert von Verbindlichkeiten aus Derivatekontrakten unter einem Nettingsatz als Betrag der vorzeitigen Kündigung, der als Summe der folgenden Beträge berechnet wird: </w:t>
            </w:r>
          </w:p>
        </w:tc>
      </w:tr>
      <w:tr w:rsidR="00696584" w14:paraId="7FE1D193" w14:textId="77777777">
        <w:tc>
          <w:tcPr>
            <w:tcW w:w="1183" w:type="dxa"/>
            <w:vMerge/>
            <w:tcBorders>
              <w:right w:val="single" w:sz="8" w:space="0" w:color="1A171C"/>
            </w:tcBorders>
            <w:vAlign w:val="center"/>
          </w:tcPr>
          <w:p w14:paraId="7FE1D191" w14:textId="77777777" w:rsidR="00696584" w:rsidRDefault="00696584">
            <w:pPr>
              <w:rPr>
                <w:rFonts w:ascii="Times New Roman" w:hAnsi="Times New Roman" w:cs="Times New Roman"/>
              </w:rPr>
            </w:pPr>
          </w:p>
        </w:tc>
        <w:tc>
          <w:tcPr>
            <w:tcW w:w="7832" w:type="dxa"/>
            <w:tcBorders>
              <w:left w:val="single" w:sz="8" w:space="0" w:color="1A171C"/>
              <w:right w:val="nil"/>
            </w:tcBorders>
            <w:vAlign w:val="bottom"/>
          </w:tcPr>
          <w:p w14:paraId="7FE1D192" w14:textId="77777777" w:rsidR="00696584" w:rsidRDefault="002C4F63">
            <w:pPr>
              <w:pStyle w:val="P68B1DB1-TableParagraph40"/>
              <w:spacing w:before="108"/>
              <w:ind w:left="85"/>
              <w:jc w:val="both"/>
            </w:pPr>
            <w:r>
              <w:t xml:space="preserve"> · Unbezahlte Beträge, Sicherungen oder andere Beträge, die das in Abwicklung befindliche Unternehmen der Gegenpartei schuldet, abzüglich unbezahlter Beträge, Sicherungen und anderer Beträge, die die Gegenpartei dem in Abwicklung befindlichen Unternehmen zum Close-Out-Datum schuldet; und</w:t>
            </w:r>
          </w:p>
        </w:tc>
      </w:tr>
      <w:tr w:rsidR="00696584" w14:paraId="7FE1D196" w14:textId="77777777">
        <w:tc>
          <w:tcPr>
            <w:tcW w:w="1183" w:type="dxa"/>
            <w:vMerge/>
            <w:tcBorders>
              <w:right w:val="single" w:sz="8" w:space="0" w:color="1A171C"/>
            </w:tcBorders>
            <w:vAlign w:val="center"/>
          </w:tcPr>
          <w:p w14:paraId="7FE1D194" w14:textId="77777777" w:rsidR="00696584" w:rsidRDefault="00696584">
            <w:pPr>
              <w:rPr>
                <w:rFonts w:ascii="Times New Roman" w:hAnsi="Times New Roman" w:cs="Times New Roman"/>
              </w:rPr>
            </w:pPr>
          </w:p>
        </w:tc>
        <w:tc>
          <w:tcPr>
            <w:tcW w:w="7832" w:type="dxa"/>
            <w:tcBorders>
              <w:left w:val="single" w:sz="8" w:space="0" w:color="1A171C"/>
              <w:right w:val="nil"/>
            </w:tcBorders>
            <w:vAlign w:val="bottom"/>
          </w:tcPr>
          <w:p w14:paraId="7FE1D195" w14:textId="77777777" w:rsidR="00696584" w:rsidRDefault="002C4F63">
            <w:pPr>
              <w:pStyle w:val="P68B1DB1-TableParagraph40"/>
              <w:spacing w:before="108"/>
              <w:ind w:left="85"/>
              <w:jc w:val="both"/>
            </w:pPr>
            <w:r>
              <w:t xml:space="preserve"> · Einen Close-Out-Betrag, der den Betrag der Verluste oder Kosten abdeckt, die Gegenparteien bei der Ersetzung oder Erlangung des wirtschaftlichen Gegenwerts zu den wesentlichen Bedingungen der Kontrakte und den Optionsrechten der Parteien in Bezug auf die gekündigten Kontrakte entstehen, oder die von ihnen erzielten Gewinne.“</w:t>
            </w:r>
          </w:p>
        </w:tc>
      </w:tr>
      <w:tr w:rsidR="00696584" w14:paraId="7FE1D199" w14:textId="77777777">
        <w:tc>
          <w:tcPr>
            <w:tcW w:w="1183" w:type="dxa"/>
            <w:vMerge/>
            <w:tcBorders>
              <w:right w:val="single" w:sz="8" w:space="0" w:color="1A171C"/>
            </w:tcBorders>
            <w:vAlign w:val="center"/>
          </w:tcPr>
          <w:p w14:paraId="7FE1D197" w14:textId="77777777" w:rsidR="00696584" w:rsidRDefault="00696584">
            <w:pPr>
              <w:rPr>
                <w:rFonts w:ascii="Times New Roman" w:hAnsi="Times New Roman" w:cs="Times New Roman"/>
              </w:rPr>
            </w:pPr>
          </w:p>
        </w:tc>
        <w:tc>
          <w:tcPr>
            <w:tcW w:w="7832" w:type="dxa"/>
            <w:tcBorders>
              <w:left w:val="single" w:sz="8" w:space="0" w:color="1A171C"/>
              <w:bottom w:val="single" w:sz="8" w:space="0" w:color="1A171C"/>
              <w:right w:val="nil"/>
            </w:tcBorders>
            <w:vAlign w:val="bottom"/>
          </w:tcPr>
          <w:p w14:paraId="7FE1D198" w14:textId="77777777" w:rsidR="00696584" w:rsidRDefault="002C4F63">
            <w:pPr>
              <w:pStyle w:val="P68B1DB1-TableParagraph40"/>
              <w:spacing w:before="108"/>
              <w:ind w:left="85"/>
              <w:jc w:val="both"/>
            </w:pPr>
            <w:r>
              <w:t xml:space="preserve"> Daher muss der geschätzte vorzeitige Kündigungsbetrag dem Nettomarktwert (c0120) – Wert der hinterlegten Nettosicherheiten (c0130) + geschätzter Close-Out-Betrag (c0140) entsprechen.</w:t>
            </w:r>
          </w:p>
        </w:tc>
      </w:tr>
    </w:tbl>
    <w:p w14:paraId="7FE1D19A" w14:textId="77777777" w:rsidR="00696584" w:rsidRDefault="00696584">
      <w:pPr>
        <w:pStyle w:val="Instructionsberschrift2"/>
        <w:ind w:left="357"/>
        <w:rPr>
          <w:rFonts w:ascii="Times New Roman" w:eastAsia="Calibri" w:hAnsi="Times New Roman" w:cs="Times New Roman"/>
          <w:szCs w:val="20"/>
        </w:rPr>
      </w:pPr>
      <w:bookmarkStart w:id="249" w:name="_Toc81454217"/>
    </w:p>
    <w:p w14:paraId="7FE1D19B" w14:textId="08247010" w:rsidR="00696584" w:rsidRDefault="002C4F63">
      <w:pPr>
        <w:pStyle w:val="Instructionsberschrift2"/>
        <w:numPr>
          <w:ilvl w:val="1"/>
          <w:numId w:val="49"/>
        </w:numPr>
        <w:spacing w:before="0"/>
        <w:ind w:left="357" w:hanging="357"/>
        <w:rPr>
          <w:rFonts w:ascii="Times New Roman" w:hAnsi="Times New Roman" w:cs="Times New Roman"/>
        </w:rPr>
      </w:pPr>
      <w:bookmarkStart w:id="250" w:name="_Toc209533619"/>
      <w:r>
        <w:rPr>
          <w:rFonts w:ascii="Times New Roman" w:eastAsiaTheme="minorEastAsia" w:hAnsi="Times New Roman" w:cs="Times New Roman"/>
        </w:rPr>
        <w:t xml:space="preserve">Z 16.00 – Besicherte Finanztransaktionen, außer gruppeninterne </w:t>
      </w:r>
      <w:r>
        <w:rPr>
          <w:rFonts w:ascii="Times New Roman" w:eastAsia="Calibri" w:hAnsi="Times New Roman" w:cs="Times New Roman"/>
          <w:szCs w:val="20"/>
        </w:rPr>
        <w:t>(LIAB-G-6)</w:t>
      </w:r>
      <w:bookmarkEnd w:id="250"/>
    </w:p>
    <w:p w14:paraId="7FE1D19C" w14:textId="07C13721" w:rsidR="00696584" w:rsidRDefault="002C4F63">
      <w:pPr>
        <w:pStyle w:val="P68B1DB1-Instructionsberschrift289"/>
        <w:rPr>
          <w:rFonts w:eastAsiaTheme="minorEastAsia"/>
        </w:rPr>
      </w:pPr>
      <w:r>
        <w:t xml:space="preserve"> </w:t>
      </w:r>
      <w:bookmarkEnd w:id="249"/>
    </w:p>
    <w:p w14:paraId="7FE1D19D" w14:textId="77777777" w:rsidR="00696584" w:rsidRDefault="002C4F63">
      <w:pPr>
        <w:pStyle w:val="P68B1DB1-Numberedtitlelevel388"/>
      </w:pPr>
      <w:r>
        <w:t>Allgemeine Bemerkungen</w:t>
      </w:r>
    </w:p>
    <w:p w14:paraId="7FE1D19E" w14:textId="50141E9D" w:rsidR="00696584" w:rsidRDefault="002C4F63">
      <w:pPr>
        <w:pStyle w:val="P68B1DB1-InstructionsText286"/>
        <w:numPr>
          <w:ilvl w:val="2"/>
          <w:numId w:val="209"/>
        </w:numPr>
        <w:spacing w:before="0"/>
        <w:ind w:left="1276"/>
        <w:rPr>
          <w:rFonts w:eastAsiaTheme="majorEastAsia"/>
        </w:rPr>
      </w:pPr>
      <w:r>
        <w:t>Besicherte Finanzierungen umfassen alle Finanzierungsvereinbarungen, für die Sicherheiten, Pfand- oder Zurückbehaltungsrechte gestellt werden.</w:t>
      </w:r>
      <w:r w:rsidR="00346701">
        <w:t xml:space="preserve"> </w:t>
      </w:r>
      <w:r>
        <w:t xml:space="preserve">Hierzu zählen beispielsweise auch Wertpapiere, die in Z12.00 aufgeführt werden müssen. </w:t>
      </w:r>
    </w:p>
    <w:p w14:paraId="7FE1D19F" w14:textId="77777777" w:rsidR="00696584" w:rsidRDefault="002C4F63">
      <w:pPr>
        <w:pStyle w:val="P68B1DB1-InstructionsText286"/>
        <w:numPr>
          <w:ilvl w:val="2"/>
          <w:numId w:val="209"/>
        </w:numPr>
        <w:spacing w:before="0"/>
        <w:ind w:left="1276"/>
      </w:pPr>
      <w:r>
        <w:t>Typische Beispiele sind Zentralbankfinanzierungen oder Pensionsgeschäfte.</w:t>
      </w:r>
    </w:p>
    <w:p w14:paraId="7FE1D1A0" w14:textId="77777777" w:rsidR="00696584" w:rsidRDefault="002C4F63">
      <w:pPr>
        <w:pStyle w:val="P68B1DB1-InstructionsText286"/>
        <w:numPr>
          <w:ilvl w:val="2"/>
          <w:numId w:val="209"/>
        </w:numPr>
        <w:spacing w:before="0"/>
        <w:ind w:left="1276"/>
      </w:pPr>
      <w:r>
        <w:t>Es ist die besicherte Verbindlichkeit, nicht die Sicherheit selbst zu melden.</w:t>
      </w:r>
    </w:p>
    <w:p w14:paraId="7FE1D1A1" w14:textId="3D5FBAD2" w:rsidR="00696584" w:rsidRDefault="002C4F63">
      <w:pPr>
        <w:pStyle w:val="P68B1DB1-InstructionsText286"/>
        <w:numPr>
          <w:ilvl w:val="2"/>
          <w:numId w:val="209"/>
        </w:numPr>
        <w:spacing w:before="0"/>
        <w:ind w:left="1276"/>
      </w:pPr>
      <w:r>
        <w:t xml:space="preserve">In dieser Tabelle sind besicherte Finanzierungsvereinbarungen auf Nettingsatz-Basis aufzuführen, d. h., jeder Nettingsatz ist als Einzelposition zu melden. Der besicherte und der unbesicherte Teil desselben Netting-Satzes müssen jedoch in verschiedenen Zeilen ausgewiesen werden, wenn sie sich auf unterschiedliche Insolvenzrange beziehen. </w:t>
      </w:r>
    </w:p>
    <w:p w14:paraId="7FE1D1A2" w14:textId="77777777" w:rsidR="00696584" w:rsidRDefault="002C4F63">
      <w:pPr>
        <w:pStyle w:val="P68B1DB1-InstructionsText286"/>
        <w:numPr>
          <w:ilvl w:val="2"/>
          <w:numId w:val="209"/>
        </w:numPr>
        <w:spacing w:before="0"/>
        <w:ind w:left="1276"/>
      </w:pPr>
      <w:r>
        <w:t>Hierfür gibt es keine Meldeschwelle.</w:t>
      </w:r>
    </w:p>
    <w:p w14:paraId="7FE1D1A3" w14:textId="77777777" w:rsidR="00696584" w:rsidRDefault="002C4F63">
      <w:pPr>
        <w:pStyle w:val="P68B1DB1-Numberedtitlelevel388"/>
      </w:pPr>
      <w:r>
        <w:t>Erläuterungen zu bestimmten Positionen</w:t>
      </w:r>
    </w:p>
    <w:tbl>
      <w:tblPr>
        <w:tblW w:w="9015" w:type="dxa"/>
        <w:tblInd w:w="135" w:type="dxa"/>
        <w:tblLayout w:type="fixed"/>
        <w:tblLook w:val="04A0" w:firstRow="1" w:lastRow="0" w:firstColumn="1" w:lastColumn="0" w:noHBand="0" w:noVBand="1"/>
      </w:tblPr>
      <w:tblGrid>
        <w:gridCol w:w="1183"/>
        <w:gridCol w:w="7832"/>
      </w:tblGrid>
      <w:tr w:rsidR="00696584" w14:paraId="7FE1D1A6" w14:textId="77777777">
        <w:trPr>
          <w:tblHeader/>
        </w:trPr>
        <w:tc>
          <w:tcPr>
            <w:tcW w:w="1183" w:type="dxa"/>
            <w:tcBorders>
              <w:top w:val="single" w:sz="8" w:space="0" w:color="1A171C"/>
              <w:left w:val="nil"/>
              <w:bottom w:val="single" w:sz="8" w:space="0" w:color="1A171C"/>
              <w:right w:val="single" w:sz="8" w:space="0" w:color="1A171C"/>
            </w:tcBorders>
            <w:shd w:val="clear" w:color="auto" w:fill="D9D9D9" w:themeFill="background1" w:themeFillShade="D9"/>
          </w:tcPr>
          <w:p w14:paraId="7FE1D1A4" w14:textId="77777777" w:rsidR="00696584" w:rsidRDefault="002C4F63">
            <w:pPr>
              <w:pStyle w:val="P68B1DB1-Normal31"/>
            </w:pPr>
            <w:r>
              <w:t xml:space="preserve">Spalten </w:t>
            </w:r>
          </w:p>
        </w:tc>
        <w:tc>
          <w:tcPr>
            <w:tcW w:w="7832" w:type="dxa"/>
            <w:tcBorders>
              <w:top w:val="single" w:sz="8" w:space="0" w:color="1A171C"/>
              <w:left w:val="single" w:sz="8" w:space="0" w:color="1A171C"/>
              <w:bottom w:val="single" w:sz="8" w:space="0" w:color="1A171C"/>
              <w:right w:val="nil"/>
            </w:tcBorders>
            <w:shd w:val="clear" w:color="auto" w:fill="D9D9D9" w:themeFill="background1" w:themeFillShade="D9"/>
          </w:tcPr>
          <w:p w14:paraId="7FE1D1A5" w14:textId="77777777" w:rsidR="00696584" w:rsidRDefault="002C4F63">
            <w:pPr>
              <w:pStyle w:val="P68B1DB1-Normal31"/>
            </w:pPr>
            <w:r>
              <w:t xml:space="preserve">Erläuterungen </w:t>
            </w:r>
          </w:p>
        </w:tc>
      </w:tr>
      <w:tr w:rsidR="00696584" w14:paraId="7FE1D1AA" w14:textId="77777777">
        <w:tc>
          <w:tcPr>
            <w:tcW w:w="1183" w:type="dxa"/>
            <w:tcBorders>
              <w:top w:val="single" w:sz="8" w:space="0" w:color="1A171C"/>
              <w:left w:val="nil"/>
              <w:bottom w:val="single" w:sz="8" w:space="0" w:color="1A171C"/>
              <w:right w:val="single" w:sz="8" w:space="0" w:color="1A171C"/>
            </w:tcBorders>
            <w:vAlign w:val="center"/>
          </w:tcPr>
          <w:p w14:paraId="7FE1D1A7" w14:textId="77777777" w:rsidR="00696584" w:rsidRDefault="002C4F63">
            <w:pPr>
              <w:pStyle w:val="P68B1DB1-Normal31"/>
            </w:pPr>
            <w:r>
              <w:t>0010</w:t>
            </w:r>
          </w:p>
        </w:tc>
        <w:tc>
          <w:tcPr>
            <w:tcW w:w="7832" w:type="dxa"/>
            <w:tcBorders>
              <w:top w:val="single" w:sz="8" w:space="0" w:color="1A171C"/>
              <w:left w:val="single" w:sz="8" w:space="0" w:color="1A171C"/>
              <w:bottom w:val="single" w:sz="8" w:space="0" w:color="1A171C"/>
              <w:right w:val="nil"/>
            </w:tcBorders>
            <w:vAlign w:val="bottom"/>
          </w:tcPr>
          <w:p w14:paraId="7FE1D1A8" w14:textId="1C8EE867" w:rsidR="00696584" w:rsidRDefault="002C4F63">
            <w:pPr>
              <w:pStyle w:val="P68B1DB1-TableParagraph40"/>
              <w:spacing w:before="108"/>
              <w:ind w:left="85"/>
              <w:jc w:val="both"/>
              <w:rPr>
                <w:b/>
                <w:bCs/>
              </w:rPr>
            </w:pPr>
            <w:r>
              <w:t xml:space="preserve"> </w:t>
            </w:r>
            <w:r w:rsidR="00346701">
              <w:rPr>
                <w:b/>
              </w:rPr>
              <w:t>Nr</w:t>
            </w:r>
            <w:r>
              <w:rPr>
                <w:b/>
              </w:rPr>
              <w:t>.</w:t>
            </w:r>
          </w:p>
          <w:p w14:paraId="7FE1D1A9" w14:textId="7C09A169" w:rsidR="00696584" w:rsidRDefault="002C4F63">
            <w:pPr>
              <w:pStyle w:val="P68B1DB1-TableParagraph40"/>
              <w:spacing w:before="108"/>
              <w:ind w:left="85"/>
              <w:jc w:val="both"/>
            </w:pPr>
            <w:r>
              <w:t>Eindeutige Zahl/eindeutiger Primärschlüssel zur Identifizierung der Zeilenpositionen.</w:t>
            </w:r>
          </w:p>
        </w:tc>
      </w:tr>
      <w:tr w:rsidR="00696584" w14:paraId="7FE1D1AE" w14:textId="77777777">
        <w:tc>
          <w:tcPr>
            <w:tcW w:w="1183" w:type="dxa"/>
            <w:tcBorders>
              <w:top w:val="single" w:sz="8" w:space="0" w:color="1A171C"/>
              <w:left w:val="nil"/>
              <w:bottom w:val="single" w:sz="8" w:space="0" w:color="1A171C"/>
              <w:right w:val="single" w:sz="8" w:space="0" w:color="1A171C"/>
            </w:tcBorders>
            <w:vAlign w:val="center"/>
          </w:tcPr>
          <w:p w14:paraId="7FE1D1AB" w14:textId="77777777" w:rsidR="00696584" w:rsidRDefault="002C4F63">
            <w:pPr>
              <w:pStyle w:val="P68B1DB1-Normal31"/>
            </w:pPr>
            <w:r>
              <w:t>0020</w:t>
            </w:r>
          </w:p>
        </w:tc>
        <w:tc>
          <w:tcPr>
            <w:tcW w:w="7832" w:type="dxa"/>
            <w:tcBorders>
              <w:top w:val="single" w:sz="8" w:space="0" w:color="1A171C"/>
              <w:left w:val="single" w:sz="8" w:space="0" w:color="1A171C"/>
              <w:bottom w:val="single" w:sz="8" w:space="0" w:color="1A171C"/>
              <w:right w:val="nil"/>
            </w:tcBorders>
            <w:vAlign w:val="bottom"/>
          </w:tcPr>
          <w:p w14:paraId="7FE1D1AC" w14:textId="77777777" w:rsidR="00696584" w:rsidRDefault="002C4F63">
            <w:pPr>
              <w:pStyle w:val="P68B1DB1-TableParagraph40"/>
              <w:spacing w:before="108"/>
              <w:ind w:left="85"/>
              <w:jc w:val="both"/>
              <w:rPr>
                <w:b/>
                <w:bCs/>
              </w:rPr>
            </w:pPr>
            <w:r>
              <w:t xml:space="preserve"> </w:t>
            </w:r>
            <w:r>
              <w:rPr>
                <w:b/>
              </w:rPr>
              <w:t>Spalte</w:t>
            </w:r>
          </w:p>
          <w:p w14:paraId="7FE1D1AD" w14:textId="09E39A9B" w:rsidR="00696584" w:rsidRDefault="002C4F63">
            <w:pPr>
              <w:pStyle w:val="P68B1DB1-TableParagraph40"/>
              <w:spacing w:before="108"/>
              <w:ind w:left="85"/>
              <w:jc w:val="both"/>
            </w:pPr>
            <w:r>
              <w:lastRenderedPageBreak/>
              <w:t>Je nach Art des Gläubigers muss jeder Nettingsatz der entsprechenden Gegenpartei-Kategorie des Meldebogens Z02.00 zugeordnet werden.</w:t>
            </w:r>
            <w:r w:rsidR="00346701">
              <w:t xml:space="preserve"> </w:t>
            </w:r>
            <w:r>
              <w:t>Die Kategorie ist aus einer vorgegebenen Auswahlliste auszuwählen.</w:t>
            </w:r>
          </w:p>
        </w:tc>
      </w:tr>
      <w:tr w:rsidR="00696584" w14:paraId="7FE1D1B2" w14:textId="77777777">
        <w:tc>
          <w:tcPr>
            <w:tcW w:w="1183" w:type="dxa"/>
            <w:tcBorders>
              <w:top w:val="single" w:sz="8" w:space="0" w:color="1A171C"/>
              <w:left w:val="nil"/>
              <w:bottom w:val="single" w:sz="8" w:space="0" w:color="1A171C"/>
              <w:right w:val="single" w:sz="8" w:space="0" w:color="1A171C"/>
            </w:tcBorders>
            <w:vAlign w:val="center"/>
          </w:tcPr>
          <w:p w14:paraId="7FE1D1AF" w14:textId="77777777" w:rsidR="00696584" w:rsidRDefault="002C4F63">
            <w:pPr>
              <w:pStyle w:val="P68B1DB1-Normal31"/>
            </w:pPr>
            <w:r>
              <w:lastRenderedPageBreak/>
              <w:t>0030</w:t>
            </w:r>
          </w:p>
        </w:tc>
        <w:tc>
          <w:tcPr>
            <w:tcW w:w="7832" w:type="dxa"/>
            <w:tcBorders>
              <w:top w:val="single" w:sz="8" w:space="0" w:color="1A171C"/>
              <w:left w:val="single" w:sz="8" w:space="0" w:color="1A171C"/>
              <w:bottom w:val="single" w:sz="8" w:space="0" w:color="1A171C"/>
              <w:right w:val="nil"/>
            </w:tcBorders>
            <w:vAlign w:val="bottom"/>
          </w:tcPr>
          <w:p w14:paraId="7FE1D1B0" w14:textId="77777777" w:rsidR="00696584" w:rsidRDefault="002C4F63">
            <w:pPr>
              <w:pStyle w:val="P68B1DB1-TableParagraph40"/>
              <w:spacing w:before="108"/>
              <w:ind w:left="85"/>
              <w:jc w:val="both"/>
              <w:rPr>
                <w:b/>
                <w:bCs/>
              </w:rPr>
            </w:pPr>
            <w:r>
              <w:t xml:space="preserve"> </w:t>
            </w:r>
            <w:r>
              <w:rPr>
                <w:b/>
              </w:rPr>
              <w:t>Insolvenzrang</w:t>
            </w:r>
          </w:p>
          <w:p w14:paraId="7FE1D1B1" w14:textId="0D780E4C" w:rsidR="00696584" w:rsidRDefault="002C4F63">
            <w:pPr>
              <w:pStyle w:val="P68B1DB1-TableParagraph40"/>
              <w:spacing w:before="108"/>
              <w:ind w:left="85"/>
              <w:jc w:val="both"/>
            </w:pPr>
            <w:r>
              <w:t>Der Rang in der Insolvenz muss einer der Ränge sein, die in der von der Abwicklungsbehörde der betreffenden Rechtsordnung veröffentlichten Insolvenzrangliste enthalten sind.</w:t>
            </w:r>
          </w:p>
        </w:tc>
      </w:tr>
      <w:tr w:rsidR="00696584" w14:paraId="7FE1D1B6" w14:textId="77777777">
        <w:tc>
          <w:tcPr>
            <w:tcW w:w="1183" w:type="dxa"/>
            <w:tcBorders>
              <w:top w:val="single" w:sz="8" w:space="0" w:color="1A171C"/>
              <w:left w:val="nil"/>
              <w:bottom w:val="single" w:sz="8" w:space="0" w:color="1A171C"/>
              <w:right w:val="single" w:sz="8" w:space="0" w:color="1A171C"/>
            </w:tcBorders>
            <w:vAlign w:val="center"/>
          </w:tcPr>
          <w:p w14:paraId="7FE1D1B3" w14:textId="77777777" w:rsidR="00696584" w:rsidRDefault="002C4F63">
            <w:pPr>
              <w:pStyle w:val="P68B1DB1-Normal31"/>
            </w:pPr>
            <w:r>
              <w:t>0040</w:t>
            </w:r>
          </w:p>
        </w:tc>
        <w:tc>
          <w:tcPr>
            <w:tcW w:w="7832" w:type="dxa"/>
            <w:tcBorders>
              <w:top w:val="single" w:sz="8" w:space="0" w:color="1A171C"/>
              <w:left w:val="single" w:sz="8" w:space="0" w:color="1A171C"/>
              <w:bottom w:val="single" w:sz="8" w:space="0" w:color="1A171C"/>
              <w:right w:val="nil"/>
            </w:tcBorders>
            <w:vAlign w:val="bottom"/>
          </w:tcPr>
          <w:p w14:paraId="7FE1D1B4" w14:textId="77777777" w:rsidR="00696584" w:rsidRDefault="002C4F63">
            <w:pPr>
              <w:pStyle w:val="P68B1DB1-TableParagraph73"/>
              <w:spacing w:before="108"/>
              <w:ind w:left="85"/>
              <w:jc w:val="both"/>
              <w:rPr>
                <w:bCs/>
              </w:rPr>
            </w:pPr>
            <w:r>
              <w:t xml:space="preserve"> Kennung des Rahmenvertrags </w:t>
            </w:r>
          </w:p>
          <w:p w14:paraId="7FE1D1B5" w14:textId="77777777" w:rsidR="00696584" w:rsidRDefault="002C4F63">
            <w:pPr>
              <w:pStyle w:val="P68B1DB1-TableParagraph40"/>
              <w:spacing w:before="108"/>
              <w:ind w:left="85"/>
              <w:jc w:val="both"/>
            </w:pPr>
            <w:r>
              <w:t>Interne Kennung des Rahmenvertrags oder des Einzelkontraktes.</w:t>
            </w:r>
          </w:p>
        </w:tc>
      </w:tr>
      <w:tr w:rsidR="00696584" w14:paraId="7FE1D1BA" w14:textId="77777777">
        <w:tc>
          <w:tcPr>
            <w:tcW w:w="1183" w:type="dxa"/>
            <w:tcBorders>
              <w:top w:val="single" w:sz="8" w:space="0" w:color="1A171C"/>
              <w:left w:val="nil"/>
              <w:bottom w:val="single" w:sz="8" w:space="0" w:color="1A171C"/>
              <w:right w:val="single" w:sz="8" w:space="0" w:color="1A171C"/>
            </w:tcBorders>
            <w:vAlign w:val="center"/>
          </w:tcPr>
          <w:p w14:paraId="7FE1D1B7" w14:textId="77777777" w:rsidR="00696584" w:rsidRDefault="002C4F63">
            <w:pPr>
              <w:pStyle w:val="P68B1DB1-Normal31"/>
            </w:pPr>
            <w:r>
              <w:t>0050</w:t>
            </w:r>
          </w:p>
        </w:tc>
        <w:tc>
          <w:tcPr>
            <w:tcW w:w="7832" w:type="dxa"/>
            <w:tcBorders>
              <w:top w:val="single" w:sz="8" w:space="0" w:color="1A171C"/>
              <w:left w:val="single" w:sz="8" w:space="0" w:color="1A171C"/>
              <w:bottom w:val="single" w:sz="8" w:space="0" w:color="1A171C"/>
              <w:right w:val="nil"/>
            </w:tcBorders>
            <w:vAlign w:val="bottom"/>
          </w:tcPr>
          <w:p w14:paraId="7FE1D1B8" w14:textId="77777777" w:rsidR="00696584" w:rsidRDefault="002C4F63">
            <w:pPr>
              <w:pStyle w:val="P68B1DB1-TableParagraph73"/>
              <w:spacing w:before="108"/>
              <w:ind w:left="85"/>
              <w:jc w:val="both"/>
              <w:rPr>
                <w:bCs/>
              </w:rPr>
            </w:pPr>
            <w:r>
              <w:t xml:space="preserve"> Art des Rahmenvertrags (z. B. GMRA) </w:t>
            </w:r>
          </w:p>
          <w:p w14:paraId="7FE1D1B9" w14:textId="7472E062" w:rsidR="00696584" w:rsidRDefault="002C4F63">
            <w:pPr>
              <w:pStyle w:val="P68B1DB1-TableParagraph40"/>
              <w:spacing w:before="108"/>
              <w:ind w:left="85"/>
              <w:jc w:val="both"/>
            </w:pPr>
            <w:r>
              <w:t>Geben Sie die Rahmenvereinbarung entweder „ICMA 2011 Global Master-Repogeschäfte“, „ICMA 2000 Global Master-Repogeschäfte“, „ICMA 1995 Global Master-Repogeschäfte“, „ICMA 1992 Global Master-Repogeschäfte“, „Sonstige globale Master-Repogeschäfte“ oder „Einzelgeschäft“ aus einer vorgegebenen Liste an.</w:t>
            </w:r>
          </w:p>
        </w:tc>
      </w:tr>
      <w:tr w:rsidR="00696584" w14:paraId="7FE1D1BE" w14:textId="77777777">
        <w:tc>
          <w:tcPr>
            <w:tcW w:w="1183" w:type="dxa"/>
            <w:tcBorders>
              <w:top w:val="single" w:sz="8" w:space="0" w:color="1A171C"/>
              <w:left w:val="nil"/>
              <w:bottom w:val="single" w:sz="8" w:space="0" w:color="1A171C"/>
              <w:right w:val="single" w:sz="8" w:space="0" w:color="1A171C"/>
            </w:tcBorders>
            <w:vAlign w:val="center"/>
          </w:tcPr>
          <w:p w14:paraId="7FE1D1BB" w14:textId="77777777" w:rsidR="00696584" w:rsidRDefault="002C4F63">
            <w:pPr>
              <w:pStyle w:val="P68B1DB1-Normal31"/>
            </w:pPr>
            <w:r>
              <w:t>0055</w:t>
            </w:r>
          </w:p>
        </w:tc>
        <w:tc>
          <w:tcPr>
            <w:tcW w:w="7832" w:type="dxa"/>
            <w:tcBorders>
              <w:top w:val="single" w:sz="8" w:space="0" w:color="1A171C"/>
              <w:left w:val="single" w:sz="8" w:space="0" w:color="1A171C"/>
              <w:bottom w:val="single" w:sz="8" w:space="0" w:color="1A171C"/>
              <w:right w:val="nil"/>
            </w:tcBorders>
            <w:vAlign w:val="bottom"/>
          </w:tcPr>
          <w:p w14:paraId="7FE1D1BC" w14:textId="6A2B6D2B" w:rsidR="00696584" w:rsidRDefault="002C4F63">
            <w:pPr>
              <w:pStyle w:val="P68B1DB1-TableParagraph73"/>
              <w:spacing w:before="108"/>
              <w:ind w:left="85"/>
              <w:jc w:val="both"/>
              <w:rPr>
                <w:bCs/>
              </w:rPr>
            </w:pPr>
            <w:bookmarkStart w:id="251" w:name="_Hlk189839338"/>
            <w:r>
              <w:t xml:space="preserve">Name der Gegenpartei </w:t>
            </w:r>
          </w:p>
          <w:bookmarkEnd w:id="251"/>
          <w:p w14:paraId="7FE1D1BD" w14:textId="0E71EEA1" w:rsidR="00696584" w:rsidRDefault="002C4F63">
            <w:pPr>
              <w:pStyle w:val="P68B1DB1-TableParagraph40"/>
              <w:spacing w:before="108"/>
              <w:ind w:left="85"/>
              <w:jc w:val="both"/>
            </w:pPr>
            <w:r>
              <w:t>Name des Unternehmens der Gegenpartei.</w:t>
            </w:r>
          </w:p>
        </w:tc>
      </w:tr>
      <w:tr w:rsidR="00696584" w14:paraId="7FE1D1C2" w14:textId="77777777">
        <w:tc>
          <w:tcPr>
            <w:tcW w:w="1183" w:type="dxa"/>
            <w:tcBorders>
              <w:top w:val="single" w:sz="8" w:space="0" w:color="1A171C"/>
              <w:left w:val="nil"/>
              <w:bottom w:val="single" w:sz="8" w:space="0" w:color="1A171C"/>
              <w:right w:val="single" w:sz="8" w:space="0" w:color="1A171C"/>
            </w:tcBorders>
            <w:vAlign w:val="center"/>
          </w:tcPr>
          <w:p w14:paraId="7FE1D1BF" w14:textId="77777777" w:rsidR="00696584" w:rsidRDefault="002C4F63">
            <w:pPr>
              <w:pStyle w:val="P68B1DB1-Normal31"/>
            </w:pPr>
            <w:r>
              <w:t>0060</w:t>
            </w:r>
          </w:p>
        </w:tc>
        <w:tc>
          <w:tcPr>
            <w:tcW w:w="7832" w:type="dxa"/>
            <w:tcBorders>
              <w:top w:val="single" w:sz="8" w:space="0" w:color="1A171C"/>
              <w:left w:val="single" w:sz="8" w:space="0" w:color="1A171C"/>
              <w:bottom w:val="single" w:sz="8" w:space="0" w:color="1A171C"/>
              <w:right w:val="nil"/>
            </w:tcBorders>
            <w:vAlign w:val="bottom"/>
          </w:tcPr>
          <w:p w14:paraId="7FE1D1C0" w14:textId="77777777" w:rsidR="00696584" w:rsidRDefault="002C4F63">
            <w:pPr>
              <w:pStyle w:val="P68B1DB1-TableParagraph40"/>
              <w:spacing w:before="108"/>
              <w:ind w:left="85"/>
              <w:jc w:val="both"/>
              <w:rPr>
                <w:b/>
                <w:bCs/>
              </w:rPr>
            </w:pPr>
            <w:r>
              <w:t xml:space="preserve"> </w:t>
            </w:r>
            <w:r>
              <w:rPr>
                <w:b/>
              </w:rPr>
              <w:t>Gegenpartei (LEI-/MFI-/Lokale Kennung)</w:t>
            </w:r>
          </w:p>
          <w:p w14:paraId="7FE1D1C1" w14:textId="5ADC0AB9" w:rsidR="00696584" w:rsidRDefault="002C4F63">
            <w:pPr>
              <w:pStyle w:val="P68B1DB1-TableParagraph40"/>
              <w:spacing w:before="108"/>
              <w:ind w:left="85"/>
              <w:jc w:val="both"/>
            </w:pPr>
            <w:r>
              <w:t>Geben Sie den LEI-Code des Gläubigers an. Sollte kein LEI-Code vorliegen, ist bei Banken die in RIAD (Register of Institutions and Affiliates Database) verwendete eindeutige Kennung für monetäre Finanzinstitute (monetary financial institutions unique IDentifier – MFI ID) anzugeben. Wenn beide Identifikatoren fehlen, ist eine interne Kennung anzugeben.</w:t>
            </w:r>
          </w:p>
        </w:tc>
      </w:tr>
      <w:tr w:rsidR="00696584" w14:paraId="7FE1D1C6" w14:textId="77777777">
        <w:tc>
          <w:tcPr>
            <w:tcW w:w="1183" w:type="dxa"/>
            <w:tcBorders>
              <w:top w:val="single" w:sz="8" w:space="0" w:color="1A171C"/>
              <w:left w:val="nil"/>
              <w:bottom w:val="single" w:sz="8" w:space="0" w:color="1A171C"/>
              <w:right w:val="single" w:sz="8" w:space="0" w:color="1A171C"/>
            </w:tcBorders>
            <w:vAlign w:val="center"/>
          </w:tcPr>
          <w:p w14:paraId="7FE1D1C3" w14:textId="77777777" w:rsidR="00696584" w:rsidRDefault="002C4F63">
            <w:pPr>
              <w:pStyle w:val="P68B1DB1-Normal31"/>
            </w:pPr>
            <w:r>
              <w:t>0065</w:t>
            </w:r>
          </w:p>
        </w:tc>
        <w:tc>
          <w:tcPr>
            <w:tcW w:w="7832" w:type="dxa"/>
            <w:tcBorders>
              <w:top w:val="single" w:sz="8" w:space="0" w:color="1A171C"/>
              <w:left w:val="single" w:sz="8" w:space="0" w:color="1A171C"/>
              <w:bottom w:val="single" w:sz="8" w:space="0" w:color="1A171C"/>
              <w:right w:val="nil"/>
            </w:tcBorders>
            <w:vAlign w:val="bottom"/>
          </w:tcPr>
          <w:p w14:paraId="7FE1D1C4" w14:textId="77777777" w:rsidR="00696584" w:rsidRDefault="002C4F63">
            <w:pPr>
              <w:pStyle w:val="P68B1DB1-TableParagraph73"/>
              <w:spacing w:before="108"/>
              <w:ind w:left="85"/>
              <w:jc w:val="both"/>
              <w:rPr>
                <w:bCs/>
              </w:rPr>
            </w:pPr>
            <w:r>
              <w:t xml:space="preserve">Art der Kennung </w:t>
            </w:r>
          </w:p>
          <w:p w14:paraId="7FE1D1C5" w14:textId="77777777" w:rsidR="00696584" w:rsidRDefault="002C4F63">
            <w:pPr>
              <w:pStyle w:val="P68B1DB1-TableParagraph40"/>
              <w:spacing w:before="108"/>
              <w:ind w:left="85"/>
              <w:jc w:val="both"/>
            </w:pPr>
            <w:r>
              <w:t>Auswahl unter folgenden Optionen: „LEI-Code“, „MFI-Code“ oder „Andere Art der Kennung als LEI-Code oder MFI-Code“.</w:t>
            </w:r>
          </w:p>
        </w:tc>
      </w:tr>
      <w:tr w:rsidR="00696584" w14:paraId="7FE1D1CA" w14:textId="77777777">
        <w:tc>
          <w:tcPr>
            <w:tcW w:w="1183" w:type="dxa"/>
            <w:tcBorders>
              <w:top w:val="single" w:sz="8" w:space="0" w:color="1A171C"/>
              <w:left w:val="nil"/>
              <w:bottom w:val="single" w:sz="8" w:space="0" w:color="1A171C"/>
              <w:right w:val="single" w:sz="8" w:space="0" w:color="1A171C"/>
            </w:tcBorders>
            <w:vAlign w:val="center"/>
          </w:tcPr>
          <w:p w14:paraId="7FE1D1C7" w14:textId="77777777" w:rsidR="00696584" w:rsidRDefault="002C4F63">
            <w:pPr>
              <w:pStyle w:val="P68B1DB1-Normal31"/>
            </w:pPr>
            <w:r>
              <w:t>0070</w:t>
            </w:r>
          </w:p>
        </w:tc>
        <w:tc>
          <w:tcPr>
            <w:tcW w:w="7832" w:type="dxa"/>
            <w:tcBorders>
              <w:top w:val="single" w:sz="8" w:space="0" w:color="1A171C"/>
              <w:left w:val="single" w:sz="8" w:space="0" w:color="1A171C"/>
              <w:bottom w:val="single" w:sz="8" w:space="0" w:color="1A171C"/>
              <w:right w:val="nil"/>
            </w:tcBorders>
            <w:vAlign w:val="bottom"/>
          </w:tcPr>
          <w:p w14:paraId="7FE1D1C8" w14:textId="77777777" w:rsidR="00696584" w:rsidRDefault="002C4F63">
            <w:pPr>
              <w:pStyle w:val="P68B1DB1-TableParagraph40"/>
              <w:spacing w:before="108"/>
              <w:ind w:left="85"/>
              <w:jc w:val="both"/>
              <w:rPr>
                <w:b/>
                <w:bCs/>
              </w:rPr>
            </w:pPr>
            <w:r>
              <w:t xml:space="preserve"> </w:t>
            </w:r>
            <w:r>
              <w:rPr>
                <w:b/>
              </w:rPr>
              <w:t>Land der Gegenpartei</w:t>
            </w:r>
          </w:p>
          <w:p w14:paraId="7FE1D1C9" w14:textId="77777777" w:rsidR="00696584" w:rsidRDefault="002C4F63">
            <w:pPr>
              <w:pStyle w:val="P68B1DB1-TableParagraph40"/>
              <w:spacing w:before="108"/>
              <w:ind w:left="85"/>
              <w:jc w:val="both"/>
            </w:pPr>
            <w:r>
              <w:t>Der Name des Landes, in dem die Gegenpartei eingetragen ist.</w:t>
            </w:r>
          </w:p>
        </w:tc>
      </w:tr>
      <w:tr w:rsidR="00696584" w14:paraId="7FE1D1CE" w14:textId="77777777">
        <w:tc>
          <w:tcPr>
            <w:tcW w:w="1183" w:type="dxa"/>
            <w:tcBorders>
              <w:top w:val="single" w:sz="8" w:space="0" w:color="1A171C"/>
              <w:left w:val="nil"/>
              <w:bottom w:val="single" w:sz="8" w:space="0" w:color="1A171C"/>
              <w:right w:val="single" w:sz="8" w:space="0" w:color="1A171C"/>
            </w:tcBorders>
            <w:vAlign w:val="center"/>
          </w:tcPr>
          <w:p w14:paraId="7FE1D1CB" w14:textId="77777777" w:rsidR="00696584" w:rsidRDefault="002C4F63">
            <w:pPr>
              <w:pStyle w:val="P68B1DB1-Normal31"/>
            </w:pPr>
            <w:r>
              <w:t>0080</w:t>
            </w:r>
          </w:p>
        </w:tc>
        <w:tc>
          <w:tcPr>
            <w:tcW w:w="7832" w:type="dxa"/>
            <w:tcBorders>
              <w:top w:val="single" w:sz="8" w:space="0" w:color="1A171C"/>
              <w:left w:val="single" w:sz="8" w:space="0" w:color="1A171C"/>
              <w:bottom w:val="single" w:sz="8" w:space="0" w:color="1A171C"/>
              <w:right w:val="nil"/>
            </w:tcBorders>
            <w:vAlign w:val="bottom"/>
          </w:tcPr>
          <w:p w14:paraId="7FE1D1CC" w14:textId="77777777" w:rsidR="00696584" w:rsidRDefault="002C4F63">
            <w:pPr>
              <w:pStyle w:val="P68B1DB1-TableParagraph40"/>
              <w:spacing w:before="108"/>
              <w:ind w:left="85"/>
              <w:jc w:val="both"/>
              <w:rPr>
                <w:b/>
                <w:bCs/>
              </w:rPr>
            </w:pPr>
            <w:r>
              <w:t xml:space="preserve"> </w:t>
            </w:r>
            <w:r>
              <w:rPr>
                <w:b/>
              </w:rPr>
              <w:t>Für den Rahmenvertrag/das Einzelgeschäft geltendes Recht</w:t>
            </w:r>
          </w:p>
          <w:p w14:paraId="7FE1D1CD" w14:textId="77777777" w:rsidR="00696584" w:rsidRDefault="002C4F63">
            <w:pPr>
              <w:pStyle w:val="P68B1DB1-TableParagraph40"/>
              <w:spacing w:before="108"/>
              <w:ind w:left="85"/>
              <w:jc w:val="both"/>
            </w:pPr>
            <w:r>
              <w:t xml:space="preserve">Der Name des Landes, dessen Recht auf die Rahmenvereinbarung bzw. den Einzelkontakt anwendbar ist Ist für den Vertrag das Recht von mehr als einem Land anwendbar, ist das Land anzugeben, dessen Recht die höchste Relevanz für die Anerkennung von Abschreibungs- und Umwandlungsbefugnissen hat.  </w:t>
            </w:r>
          </w:p>
        </w:tc>
      </w:tr>
      <w:tr w:rsidR="00696584" w14:paraId="7FE1D1D2" w14:textId="77777777">
        <w:tc>
          <w:tcPr>
            <w:tcW w:w="1183" w:type="dxa"/>
            <w:tcBorders>
              <w:top w:val="single" w:sz="8" w:space="0" w:color="1A171C"/>
              <w:left w:val="nil"/>
              <w:bottom w:val="single" w:sz="8" w:space="0" w:color="1A171C"/>
              <w:right w:val="single" w:sz="8" w:space="0" w:color="1A171C"/>
            </w:tcBorders>
            <w:vAlign w:val="center"/>
          </w:tcPr>
          <w:p w14:paraId="7FE1D1CF" w14:textId="77777777" w:rsidR="00696584" w:rsidRDefault="002C4F63">
            <w:pPr>
              <w:pStyle w:val="P68B1DB1-Normal31"/>
            </w:pPr>
            <w:r>
              <w:t>0090</w:t>
            </w:r>
          </w:p>
        </w:tc>
        <w:tc>
          <w:tcPr>
            <w:tcW w:w="7832" w:type="dxa"/>
            <w:tcBorders>
              <w:top w:val="single" w:sz="8" w:space="0" w:color="1A171C"/>
              <w:left w:val="single" w:sz="8" w:space="0" w:color="1A171C"/>
              <w:bottom w:val="single" w:sz="8" w:space="0" w:color="1A171C"/>
              <w:right w:val="nil"/>
            </w:tcBorders>
            <w:vAlign w:val="bottom"/>
          </w:tcPr>
          <w:p w14:paraId="7FE1D1D0" w14:textId="77777777" w:rsidR="00696584" w:rsidRDefault="002C4F63">
            <w:pPr>
              <w:pStyle w:val="P68B1DB1-TableParagraph40"/>
              <w:spacing w:before="108"/>
              <w:ind w:left="85"/>
              <w:jc w:val="both"/>
              <w:rPr>
                <w:b/>
                <w:bCs/>
              </w:rPr>
            </w:pPr>
            <w:r>
              <w:t xml:space="preserve"> </w:t>
            </w:r>
            <w:r>
              <w:rPr>
                <w:b/>
              </w:rPr>
              <w:t>Zahl abgedeckter Transaktionen</w:t>
            </w:r>
          </w:p>
          <w:p w14:paraId="7FE1D1D1" w14:textId="77777777" w:rsidR="00696584" w:rsidRDefault="002C4F63">
            <w:pPr>
              <w:pStyle w:val="P68B1DB1-TableParagraph40"/>
              <w:spacing w:before="108"/>
              <w:ind w:left="85"/>
              <w:jc w:val="both"/>
            </w:pPr>
            <w:r>
              <w:t>Hier ist die Zahl der Einzelkontrakte anzugeben, die der Netting-Satz der Rahmenvereinbarung umfasst.</w:t>
            </w:r>
          </w:p>
        </w:tc>
      </w:tr>
      <w:tr w:rsidR="00696584" w14:paraId="7FE1D1D6" w14:textId="77777777">
        <w:tc>
          <w:tcPr>
            <w:tcW w:w="1183" w:type="dxa"/>
            <w:tcBorders>
              <w:top w:val="single" w:sz="8" w:space="0" w:color="1A171C"/>
              <w:left w:val="nil"/>
              <w:bottom w:val="single" w:sz="8" w:space="0" w:color="1A171C"/>
              <w:right w:val="single" w:sz="8" w:space="0" w:color="1A171C"/>
            </w:tcBorders>
            <w:vAlign w:val="center"/>
          </w:tcPr>
          <w:p w14:paraId="7FE1D1D3" w14:textId="77777777" w:rsidR="00696584" w:rsidRDefault="002C4F63">
            <w:pPr>
              <w:pStyle w:val="P68B1DB1-Normal31"/>
            </w:pPr>
            <w:r>
              <w:t>0100</w:t>
            </w:r>
          </w:p>
        </w:tc>
        <w:tc>
          <w:tcPr>
            <w:tcW w:w="7832" w:type="dxa"/>
            <w:tcBorders>
              <w:top w:val="single" w:sz="8" w:space="0" w:color="1A171C"/>
              <w:left w:val="single" w:sz="8" w:space="0" w:color="1A171C"/>
              <w:bottom w:val="single" w:sz="8" w:space="0" w:color="1A171C"/>
              <w:right w:val="nil"/>
            </w:tcBorders>
            <w:vAlign w:val="bottom"/>
          </w:tcPr>
          <w:p w14:paraId="7FE1D1D4" w14:textId="77777777" w:rsidR="00696584" w:rsidRDefault="002C4F63">
            <w:pPr>
              <w:pStyle w:val="P68B1DB1-TableParagraph40"/>
              <w:spacing w:before="108"/>
              <w:ind w:left="85"/>
              <w:jc w:val="both"/>
              <w:rPr>
                <w:b/>
                <w:bCs/>
              </w:rPr>
            </w:pPr>
            <w:r>
              <w:t xml:space="preserve"> </w:t>
            </w:r>
            <w:r>
              <w:rPr>
                <w:b/>
              </w:rPr>
              <w:t>Erhaltener Nettobetrag der Finanzierung</w:t>
            </w:r>
          </w:p>
          <w:p w14:paraId="7FE1D1D5" w14:textId="3176704A" w:rsidR="00696584" w:rsidRDefault="002C4F63">
            <w:pPr>
              <w:pStyle w:val="P68B1DB1-TableParagraph40"/>
              <w:spacing w:before="108"/>
              <w:ind w:left="85"/>
              <w:jc w:val="both"/>
            </w:pPr>
            <w:r>
              <w:t xml:space="preserve">Hier ist der Nettobetrag an Finanzmitteln anzugeben, die das Unternehmen aufgrund von besicherten Finanzierungsvereinbarungen erhalten </w:t>
            </w:r>
            <w:r w:rsidR="00346701">
              <w:t>hat. Dabei</w:t>
            </w:r>
            <w:r>
              <w:t xml:space="preserve"> sind alle Transaktionen zu berücksichtigen, die unter die Netting-Vereinbarung fallen. Hier ist zu beachten, dass in diesem Betrag keine aufgelaufenen Zinsen enthalten sind, während der entsprechende Betrag in Zeile 0120 Z02.00 der Fall ist.</w:t>
            </w:r>
          </w:p>
        </w:tc>
      </w:tr>
      <w:tr w:rsidR="00696584" w14:paraId="7FE1D1DA" w14:textId="77777777">
        <w:tc>
          <w:tcPr>
            <w:tcW w:w="1183" w:type="dxa"/>
            <w:tcBorders>
              <w:top w:val="single" w:sz="8" w:space="0" w:color="1A171C"/>
              <w:left w:val="nil"/>
              <w:bottom w:val="single" w:sz="8" w:space="0" w:color="1A171C"/>
              <w:right w:val="single" w:sz="8" w:space="0" w:color="1A171C"/>
            </w:tcBorders>
            <w:vAlign w:val="center"/>
          </w:tcPr>
          <w:p w14:paraId="7FE1D1D7" w14:textId="77777777" w:rsidR="00696584" w:rsidRDefault="002C4F63">
            <w:pPr>
              <w:pStyle w:val="P68B1DB1-Normal31"/>
            </w:pPr>
            <w:r>
              <w:t>0110</w:t>
            </w:r>
          </w:p>
        </w:tc>
        <w:tc>
          <w:tcPr>
            <w:tcW w:w="7832" w:type="dxa"/>
            <w:tcBorders>
              <w:top w:val="single" w:sz="8" w:space="0" w:color="1A171C"/>
              <w:left w:val="single" w:sz="8" w:space="0" w:color="1A171C"/>
              <w:bottom w:val="single" w:sz="8" w:space="0" w:color="1A171C"/>
              <w:right w:val="nil"/>
            </w:tcBorders>
            <w:vAlign w:val="bottom"/>
          </w:tcPr>
          <w:p w14:paraId="7FE1D1D8" w14:textId="77777777" w:rsidR="00696584" w:rsidRDefault="002C4F63">
            <w:pPr>
              <w:pStyle w:val="P68B1DB1-TableParagraph73"/>
              <w:spacing w:before="108"/>
              <w:ind w:left="85"/>
              <w:jc w:val="both"/>
              <w:rPr>
                <w:bCs/>
              </w:rPr>
            </w:pPr>
            <w:r>
              <w:t xml:space="preserve"> Nettobetrag der hinterlegten Sicherheiten  </w:t>
            </w:r>
          </w:p>
          <w:p w14:paraId="7FE1D1D9" w14:textId="27BE9B8E" w:rsidR="00696584" w:rsidRDefault="002C4F63">
            <w:pPr>
              <w:pStyle w:val="P68B1DB1-TableParagraph40"/>
              <w:spacing w:before="108"/>
              <w:ind w:left="85"/>
              <w:jc w:val="both"/>
            </w:pPr>
            <w:r>
              <w:t xml:space="preserve">Für jeden Nettingsatz ist hier der Nettowert der für die besicherten Finanzierungstransaktionen gestellten Sicherheiten </w:t>
            </w:r>
            <w:r w:rsidR="00346701">
              <w:t>anzugeben. Hierzu</w:t>
            </w:r>
            <w:r>
              <w:t xml:space="preserve"> sind alle von der Nettingvereinbarung erfassten Sicherheitenpositionen zu berücksichtigen. Hierunter fallen auch jegliche Besicherungen oder Sicherheiten, die ausgetauscht werden.</w:t>
            </w:r>
          </w:p>
        </w:tc>
      </w:tr>
    </w:tbl>
    <w:p w14:paraId="7FE1D1DB" w14:textId="77777777" w:rsidR="00696584" w:rsidRDefault="00696584">
      <w:pPr>
        <w:pStyle w:val="Instructionsberschrift2"/>
        <w:ind w:left="357"/>
        <w:rPr>
          <w:rFonts w:ascii="Times New Roman" w:eastAsia="Calibri" w:hAnsi="Times New Roman" w:cs="Times New Roman"/>
          <w:szCs w:val="20"/>
        </w:rPr>
      </w:pPr>
      <w:bookmarkStart w:id="252" w:name="_Toc81454218"/>
    </w:p>
    <w:p w14:paraId="7FE1D1DC" w14:textId="4F83132F" w:rsidR="00696584" w:rsidRDefault="002C4F63">
      <w:pPr>
        <w:pStyle w:val="Instructionsberschrift2"/>
        <w:numPr>
          <w:ilvl w:val="1"/>
          <w:numId w:val="49"/>
        </w:numPr>
        <w:spacing w:before="0"/>
        <w:ind w:left="357" w:hanging="357"/>
        <w:rPr>
          <w:rFonts w:ascii="Times New Roman" w:hAnsi="Times New Roman" w:cs="Times New Roman"/>
        </w:rPr>
      </w:pPr>
      <w:bookmarkStart w:id="253" w:name="_Toc209533620"/>
      <w:r>
        <w:rPr>
          <w:rFonts w:ascii="Times New Roman" w:eastAsiaTheme="minorEastAsia" w:hAnsi="Times New Roman" w:cs="Times New Roman"/>
        </w:rPr>
        <w:t xml:space="preserve">Z 17.00 - </w:t>
      </w:r>
      <w:r>
        <w:rPr>
          <w:rFonts w:ascii="Times New Roman" w:hAnsi="Times New Roman" w:cs="Times New Roman"/>
          <w:color w:val="000000" w:themeColor="text1"/>
        </w:rPr>
        <w:t xml:space="preserve">Sonstige nicht-finanzielle Verbindlichkeiten (nicht in anderen Registerkarten enthalten, ausgenommen gruppeninterne Verbindlichkeiten) </w:t>
      </w:r>
      <w:r>
        <w:rPr>
          <w:rFonts w:ascii="Times New Roman" w:eastAsia="Calibri" w:hAnsi="Times New Roman" w:cs="Times New Roman"/>
          <w:szCs w:val="20"/>
        </w:rPr>
        <w:t>(LIAB-G-7)</w:t>
      </w:r>
      <w:bookmarkEnd w:id="253"/>
    </w:p>
    <w:bookmarkEnd w:id="252"/>
    <w:p w14:paraId="7FE1D1DD" w14:textId="28BEEC11" w:rsidR="00696584" w:rsidRDefault="00696584">
      <w:pPr>
        <w:pStyle w:val="Instructionsberschrift2"/>
        <w:ind w:left="357"/>
        <w:rPr>
          <w:rFonts w:ascii="Times New Roman" w:eastAsiaTheme="minorEastAsia" w:hAnsi="Times New Roman" w:cs="Times New Roman"/>
          <w:u w:val="none"/>
        </w:rPr>
      </w:pPr>
    </w:p>
    <w:p w14:paraId="7FE1D1DE" w14:textId="77777777" w:rsidR="00696584" w:rsidRDefault="002C4F63">
      <w:pPr>
        <w:pStyle w:val="P68B1DB1-Numberedtitlelevel388"/>
      </w:pPr>
      <w:r>
        <w:t>Allgemeine Bemerkungen</w:t>
      </w:r>
    </w:p>
    <w:p w14:paraId="7FE1D1DF" w14:textId="6152DD19" w:rsidR="00696584" w:rsidRDefault="002C4F63">
      <w:pPr>
        <w:pStyle w:val="P68B1DB1-InstructionsText286"/>
        <w:numPr>
          <w:ilvl w:val="2"/>
          <w:numId w:val="209"/>
        </w:numPr>
        <w:spacing w:before="0"/>
        <w:ind w:left="1276"/>
        <w:rPr>
          <w:rFonts w:eastAsiaTheme="majorEastAsia"/>
        </w:rPr>
      </w:pPr>
      <w:r>
        <w:t>Auf diesem Meldebogen sind nichtfinanzielle Verbindlichkeiten wie Rückstellungen, Steuerverbindlichkeiten und transitorische Aktiva anzugeben.</w:t>
      </w:r>
    </w:p>
    <w:p w14:paraId="7FE1D1E0" w14:textId="566253CD" w:rsidR="00696584" w:rsidRDefault="002C4F63">
      <w:pPr>
        <w:pStyle w:val="P68B1DB1-InstructionsText286"/>
        <w:numPr>
          <w:ilvl w:val="2"/>
          <w:numId w:val="209"/>
        </w:numPr>
        <w:spacing w:before="0"/>
        <w:ind w:left="1276"/>
      </w:pPr>
      <w:r>
        <w:t>Diese Verbindlichkeiten nach Art der nichtfinanziellen Verbindlichkeiten und nach Insolvenzrang gruppieren.</w:t>
      </w:r>
    </w:p>
    <w:p w14:paraId="7FE1D1E2" w14:textId="77777777" w:rsidR="00696584" w:rsidRDefault="002C4F63">
      <w:pPr>
        <w:pStyle w:val="P68B1DB1-Numberedtitlelevel388"/>
      </w:pPr>
      <w:r>
        <w:t>Erläuterungen zu bestimmten Positionen</w:t>
      </w:r>
    </w:p>
    <w:tbl>
      <w:tblPr>
        <w:tblW w:w="9015" w:type="dxa"/>
        <w:tblInd w:w="135" w:type="dxa"/>
        <w:tblLayout w:type="fixed"/>
        <w:tblLook w:val="04A0" w:firstRow="1" w:lastRow="0" w:firstColumn="1" w:lastColumn="0" w:noHBand="0" w:noVBand="1"/>
      </w:tblPr>
      <w:tblGrid>
        <w:gridCol w:w="1183"/>
        <w:gridCol w:w="7832"/>
      </w:tblGrid>
      <w:tr w:rsidR="00696584" w14:paraId="7FE1D1E5" w14:textId="77777777">
        <w:trPr>
          <w:tblHeader/>
        </w:trPr>
        <w:tc>
          <w:tcPr>
            <w:tcW w:w="1183" w:type="dxa"/>
            <w:tcBorders>
              <w:top w:val="single" w:sz="8" w:space="0" w:color="1A171C"/>
              <w:left w:val="nil"/>
              <w:bottom w:val="single" w:sz="8" w:space="0" w:color="1A171C"/>
              <w:right w:val="single" w:sz="8" w:space="0" w:color="1A171C"/>
            </w:tcBorders>
            <w:shd w:val="clear" w:color="auto" w:fill="D9D9D9" w:themeFill="background1" w:themeFillShade="D9"/>
          </w:tcPr>
          <w:p w14:paraId="7FE1D1E3" w14:textId="77777777" w:rsidR="00696584" w:rsidRDefault="002C4F63">
            <w:pPr>
              <w:pStyle w:val="P68B1DB1-Normal31"/>
            </w:pPr>
            <w:r>
              <w:t xml:space="preserve">Spalten </w:t>
            </w:r>
          </w:p>
        </w:tc>
        <w:tc>
          <w:tcPr>
            <w:tcW w:w="7832" w:type="dxa"/>
            <w:tcBorders>
              <w:top w:val="single" w:sz="8" w:space="0" w:color="1A171C"/>
              <w:left w:val="single" w:sz="8" w:space="0" w:color="1A171C"/>
              <w:bottom w:val="single" w:sz="8" w:space="0" w:color="1A171C"/>
              <w:right w:val="nil"/>
            </w:tcBorders>
            <w:shd w:val="clear" w:color="auto" w:fill="D9D9D9" w:themeFill="background1" w:themeFillShade="D9"/>
          </w:tcPr>
          <w:p w14:paraId="7FE1D1E4" w14:textId="77777777" w:rsidR="00696584" w:rsidRDefault="002C4F63">
            <w:pPr>
              <w:pStyle w:val="P68B1DB1-Normal31"/>
            </w:pPr>
            <w:r>
              <w:t xml:space="preserve">Erläuterungen </w:t>
            </w:r>
          </w:p>
        </w:tc>
      </w:tr>
      <w:tr w:rsidR="00696584" w14:paraId="7FE1D1E9" w14:textId="77777777">
        <w:tc>
          <w:tcPr>
            <w:tcW w:w="1183" w:type="dxa"/>
            <w:tcBorders>
              <w:top w:val="single" w:sz="8" w:space="0" w:color="1A171C"/>
              <w:left w:val="nil"/>
              <w:bottom w:val="single" w:sz="8" w:space="0" w:color="1A171C"/>
              <w:right w:val="single" w:sz="8" w:space="0" w:color="1A171C"/>
            </w:tcBorders>
            <w:vAlign w:val="center"/>
          </w:tcPr>
          <w:p w14:paraId="7FE1D1E6" w14:textId="77777777" w:rsidR="00696584" w:rsidRDefault="002C4F63">
            <w:pPr>
              <w:pStyle w:val="P68B1DB1-Normal31"/>
            </w:pPr>
            <w:r>
              <w:t>0010</w:t>
            </w:r>
          </w:p>
        </w:tc>
        <w:tc>
          <w:tcPr>
            <w:tcW w:w="7832" w:type="dxa"/>
            <w:tcBorders>
              <w:top w:val="single" w:sz="8" w:space="0" w:color="1A171C"/>
              <w:left w:val="single" w:sz="8" w:space="0" w:color="1A171C"/>
              <w:bottom w:val="single" w:sz="8" w:space="0" w:color="1A171C"/>
              <w:right w:val="nil"/>
            </w:tcBorders>
            <w:vAlign w:val="bottom"/>
          </w:tcPr>
          <w:p w14:paraId="7FE1D1E7" w14:textId="1535C8AD" w:rsidR="00696584" w:rsidRDefault="002C4F63">
            <w:pPr>
              <w:pStyle w:val="P68B1DB1-TableParagraph73"/>
              <w:spacing w:before="108"/>
              <w:ind w:left="85"/>
              <w:jc w:val="both"/>
              <w:rPr>
                <w:bCs/>
              </w:rPr>
            </w:pPr>
            <w:r>
              <w:t xml:space="preserve">NR. </w:t>
            </w:r>
          </w:p>
          <w:p w14:paraId="7FE1D1E8" w14:textId="5AB7F74C" w:rsidR="00696584" w:rsidRDefault="002C4F63">
            <w:pPr>
              <w:pStyle w:val="P68B1DB1-TableParagraph40"/>
              <w:spacing w:before="108"/>
              <w:ind w:left="85"/>
              <w:jc w:val="both"/>
            </w:pPr>
            <w:r>
              <w:t>Eindeutige Zahl/eindeutiger Primärschlüssel zur Identifizierung der Zeilenpositionen.</w:t>
            </w:r>
          </w:p>
        </w:tc>
      </w:tr>
      <w:tr w:rsidR="00696584" w14:paraId="7FE1D1ED" w14:textId="77777777">
        <w:tc>
          <w:tcPr>
            <w:tcW w:w="1183" w:type="dxa"/>
            <w:tcBorders>
              <w:top w:val="single" w:sz="8" w:space="0" w:color="1A171C"/>
              <w:left w:val="nil"/>
              <w:bottom w:val="single" w:sz="8" w:space="0" w:color="1A171C"/>
              <w:right w:val="single" w:sz="8" w:space="0" w:color="1A171C"/>
            </w:tcBorders>
            <w:vAlign w:val="center"/>
          </w:tcPr>
          <w:p w14:paraId="7FE1D1EA" w14:textId="77777777" w:rsidR="00696584" w:rsidRDefault="002C4F63">
            <w:pPr>
              <w:pStyle w:val="P68B1DB1-Normal31"/>
            </w:pPr>
            <w:r>
              <w:t>0020</w:t>
            </w:r>
          </w:p>
        </w:tc>
        <w:tc>
          <w:tcPr>
            <w:tcW w:w="7832" w:type="dxa"/>
            <w:tcBorders>
              <w:top w:val="single" w:sz="8" w:space="0" w:color="1A171C"/>
              <w:left w:val="single" w:sz="8" w:space="0" w:color="1A171C"/>
              <w:bottom w:val="single" w:sz="8" w:space="0" w:color="1A171C"/>
              <w:right w:val="nil"/>
            </w:tcBorders>
            <w:vAlign w:val="bottom"/>
          </w:tcPr>
          <w:p w14:paraId="7FE1D1EB" w14:textId="4B604939" w:rsidR="00696584" w:rsidRDefault="002C4F63">
            <w:pPr>
              <w:pStyle w:val="P68B1DB1-TableParagraph73"/>
              <w:spacing w:before="108"/>
              <w:ind w:left="85"/>
              <w:jc w:val="both"/>
              <w:rPr>
                <w:bCs/>
              </w:rPr>
            </w:pPr>
            <w:r>
              <w:t xml:space="preserve">Zeile </w:t>
            </w:r>
          </w:p>
          <w:p w14:paraId="7FE1D1EC" w14:textId="47E5E846" w:rsidR="00696584" w:rsidRDefault="002C4F63">
            <w:pPr>
              <w:pStyle w:val="P68B1DB1-TableParagraph40"/>
              <w:spacing w:before="108"/>
              <w:ind w:left="85"/>
              <w:jc w:val="both"/>
            </w:pPr>
            <w:r>
              <w:t xml:space="preserve">Jede Verbindlichkeit muss der entsprechenden Verbindlichkeitskategorie der Verbindlichkeitsstruktur des Meldebogens Z02.00 auf Laufzeitebene zugeordnet </w:t>
            </w:r>
            <w:r w:rsidR="00346701">
              <w:t>werden. Die</w:t>
            </w:r>
            <w:r>
              <w:t xml:space="preserve"> Kategorie ist aus einer vorgegebenen Auswahlliste auszuwählen.</w:t>
            </w:r>
          </w:p>
        </w:tc>
      </w:tr>
      <w:tr w:rsidR="00696584" w14:paraId="7FE1D1F1" w14:textId="77777777">
        <w:tc>
          <w:tcPr>
            <w:tcW w:w="1183" w:type="dxa"/>
            <w:tcBorders>
              <w:top w:val="single" w:sz="8" w:space="0" w:color="1A171C"/>
              <w:left w:val="nil"/>
              <w:bottom w:val="single" w:sz="8" w:space="0" w:color="1A171C"/>
              <w:right w:val="single" w:sz="8" w:space="0" w:color="1A171C"/>
            </w:tcBorders>
            <w:vAlign w:val="center"/>
          </w:tcPr>
          <w:p w14:paraId="7FE1D1EE" w14:textId="77777777" w:rsidR="00696584" w:rsidRDefault="002C4F63">
            <w:pPr>
              <w:pStyle w:val="P68B1DB1-Normal31"/>
            </w:pPr>
            <w:r>
              <w:t>0030</w:t>
            </w:r>
          </w:p>
        </w:tc>
        <w:tc>
          <w:tcPr>
            <w:tcW w:w="7832" w:type="dxa"/>
            <w:tcBorders>
              <w:top w:val="single" w:sz="8" w:space="0" w:color="1A171C"/>
              <w:left w:val="single" w:sz="8" w:space="0" w:color="1A171C"/>
              <w:bottom w:val="single" w:sz="8" w:space="0" w:color="1A171C"/>
              <w:right w:val="nil"/>
            </w:tcBorders>
            <w:vAlign w:val="bottom"/>
          </w:tcPr>
          <w:p w14:paraId="7FE1D1EF" w14:textId="5A0C93BA" w:rsidR="00696584" w:rsidRDefault="002C4F63">
            <w:pPr>
              <w:pStyle w:val="P68B1DB1-TableParagraph40"/>
              <w:spacing w:before="108"/>
              <w:ind w:left="85"/>
              <w:jc w:val="both"/>
              <w:rPr>
                <w:b/>
                <w:bCs/>
              </w:rPr>
            </w:pPr>
            <w:r>
              <w:rPr>
                <w:b/>
              </w:rPr>
              <w:t>Spalte</w:t>
            </w:r>
          </w:p>
          <w:p w14:paraId="7FE1D1F0" w14:textId="2F8C3FA8" w:rsidR="00696584" w:rsidRDefault="002C4F63">
            <w:pPr>
              <w:pStyle w:val="P68B1DB1-TableParagraph40"/>
              <w:spacing w:before="108"/>
              <w:ind w:left="85"/>
              <w:jc w:val="both"/>
            </w:pPr>
            <w:r>
              <w:t xml:space="preserve">Je nach Art des Gläubigers muss jede Verbindlichkeit der entsprechenden Gegenpartei-Kategorie des Meldebogens Z 02.00 zugeordnet </w:t>
            </w:r>
            <w:r w:rsidR="00346701">
              <w:t>werden. Die</w:t>
            </w:r>
            <w:r>
              <w:t xml:space="preserve"> Kategorie ist aus einer vorgegebenen Auswahlliste auszuwählen.</w:t>
            </w:r>
          </w:p>
        </w:tc>
      </w:tr>
      <w:tr w:rsidR="00696584" w14:paraId="7FE1D1F5" w14:textId="77777777">
        <w:tc>
          <w:tcPr>
            <w:tcW w:w="1183" w:type="dxa"/>
            <w:tcBorders>
              <w:top w:val="single" w:sz="8" w:space="0" w:color="1A171C"/>
              <w:left w:val="nil"/>
              <w:bottom w:val="single" w:sz="8" w:space="0" w:color="1A171C"/>
              <w:right w:val="single" w:sz="8" w:space="0" w:color="1A171C"/>
            </w:tcBorders>
            <w:vAlign w:val="center"/>
          </w:tcPr>
          <w:p w14:paraId="7FE1D1F2" w14:textId="77777777" w:rsidR="00696584" w:rsidRDefault="002C4F63">
            <w:pPr>
              <w:pStyle w:val="P68B1DB1-Normal31"/>
            </w:pPr>
            <w:r>
              <w:t>0040</w:t>
            </w:r>
          </w:p>
        </w:tc>
        <w:tc>
          <w:tcPr>
            <w:tcW w:w="7832" w:type="dxa"/>
            <w:tcBorders>
              <w:top w:val="single" w:sz="8" w:space="0" w:color="1A171C"/>
              <w:left w:val="single" w:sz="8" w:space="0" w:color="1A171C"/>
              <w:bottom w:val="single" w:sz="8" w:space="0" w:color="1A171C"/>
              <w:right w:val="nil"/>
            </w:tcBorders>
            <w:vAlign w:val="bottom"/>
          </w:tcPr>
          <w:p w14:paraId="7FE1D1F3" w14:textId="3272D7E3" w:rsidR="00696584" w:rsidRDefault="002C4F63">
            <w:pPr>
              <w:pStyle w:val="P68B1DB1-TableParagraph40"/>
              <w:spacing w:before="108"/>
              <w:ind w:left="85"/>
              <w:jc w:val="both"/>
              <w:rPr>
                <w:b/>
                <w:bCs/>
              </w:rPr>
            </w:pPr>
            <w:r>
              <w:rPr>
                <w:b/>
              </w:rPr>
              <w:t>Insolvenzrang</w:t>
            </w:r>
          </w:p>
          <w:p w14:paraId="7FE1D1F4" w14:textId="16989963" w:rsidR="00696584" w:rsidRDefault="002C4F63">
            <w:pPr>
              <w:pStyle w:val="P68B1DB1-TableParagraph40"/>
              <w:spacing w:before="108"/>
              <w:ind w:left="85"/>
              <w:jc w:val="both"/>
            </w:pPr>
            <w:r>
              <w:t>Der Rang in der Insolvenz muss einer der Ränge sein, die in der von der Abwicklungsbehörde der betreffenden Rechtsordnung veröffentlichten Insolvenzrangliste enthalten sind.</w:t>
            </w:r>
          </w:p>
        </w:tc>
      </w:tr>
      <w:tr w:rsidR="00696584" w14:paraId="7FE1D1F9" w14:textId="77777777">
        <w:tc>
          <w:tcPr>
            <w:tcW w:w="1183" w:type="dxa"/>
            <w:tcBorders>
              <w:top w:val="single" w:sz="8" w:space="0" w:color="1A171C"/>
              <w:left w:val="nil"/>
              <w:bottom w:val="single" w:sz="8" w:space="0" w:color="1A171C"/>
              <w:right w:val="single" w:sz="8" w:space="0" w:color="1A171C"/>
            </w:tcBorders>
            <w:vAlign w:val="center"/>
          </w:tcPr>
          <w:p w14:paraId="7FE1D1F6" w14:textId="77777777" w:rsidR="00696584" w:rsidRDefault="002C4F63">
            <w:pPr>
              <w:pStyle w:val="P68B1DB1-Normal31"/>
            </w:pPr>
            <w:r>
              <w:t>0050</w:t>
            </w:r>
          </w:p>
        </w:tc>
        <w:tc>
          <w:tcPr>
            <w:tcW w:w="7832" w:type="dxa"/>
            <w:tcBorders>
              <w:top w:val="single" w:sz="8" w:space="0" w:color="1A171C"/>
              <w:left w:val="single" w:sz="8" w:space="0" w:color="1A171C"/>
              <w:bottom w:val="single" w:sz="8" w:space="0" w:color="1A171C"/>
              <w:right w:val="nil"/>
            </w:tcBorders>
            <w:vAlign w:val="bottom"/>
          </w:tcPr>
          <w:p w14:paraId="7FE1D1F7" w14:textId="77777777" w:rsidR="00696584" w:rsidRDefault="002C4F63">
            <w:pPr>
              <w:pStyle w:val="P68B1DB1-TableParagraph73"/>
              <w:spacing w:before="108"/>
              <w:ind w:left="85"/>
              <w:jc w:val="both"/>
              <w:rPr>
                <w:bCs/>
              </w:rPr>
            </w:pPr>
            <w:r>
              <w:t xml:space="preserve">Vertragskennung </w:t>
            </w:r>
          </w:p>
          <w:p w14:paraId="7FE1D1F8" w14:textId="77777777" w:rsidR="00696584" w:rsidRDefault="002C4F63">
            <w:pPr>
              <w:pStyle w:val="P68B1DB1-TableParagraph40"/>
              <w:spacing w:before="108"/>
              <w:ind w:left="85"/>
              <w:jc w:val="both"/>
            </w:pPr>
            <w:r>
              <w:t>Interne Kennung des Vertrags, analog zur ISIN für Wertpapiere.</w:t>
            </w:r>
          </w:p>
        </w:tc>
      </w:tr>
      <w:tr w:rsidR="00696584" w14:paraId="7FE1D1FD" w14:textId="77777777">
        <w:tc>
          <w:tcPr>
            <w:tcW w:w="1183" w:type="dxa"/>
            <w:tcBorders>
              <w:top w:val="single" w:sz="8" w:space="0" w:color="1A171C"/>
              <w:left w:val="nil"/>
              <w:bottom w:val="single" w:sz="8" w:space="0" w:color="1A171C"/>
              <w:right w:val="single" w:sz="8" w:space="0" w:color="1A171C"/>
            </w:tcBorders>
            <w:vAlign w:val="center"/>
          </w:tcPr>
          <w:p w14:paraId="7FE1D1FA" w14:textId="77777777" w:rsidR="00696584" w:rsidRDefault="002C4F63">
            <w:pPr>
              <w:pStyle w:val="P68B1DB1-Normal31"/>
            </w:pPr>
            <w:r>
              <w:t>0060</w:t>
            </w:r>
          </w:p>
        </w:tc>
        <w:tc>
          <w:tcPr>
            <w:tcW w:w="7832" w:type="dxa"/>
            <w:tcBorders>
              <w:top w:val="single" w:sz="8" w:space="0" w:color="1A171C"/>
              <w:left w:val="single" w:sz="8" w:space="0" w:color="1A171C"/>
              <w:bottom w:val="single" w:sz="8" w:space="0" w:color="1A171C"/>
              <w:right w:val="nil"/>
            </w:tcBorders>
            <w:vAlign w:val="bottom"/>
          </w:tcPr>
          <w:p w14:paraId="7FE1D1FB" w14:textId="7AD100B8" w:rsidR="00696584" w:rsidRDefault="002C4F63">
            <w:pPr>
              <w:pStyle w:val="P68B1DB1-TableParagraph73"/>
              <w:spacing w:before="108"/>
              <w:ind w:left="85"/>
              <w:jc w:val="both"/>
              <w:rPr>
                <w:bCs/>
              </w:rPr>
            </w:pPr>
            <w:r>
              <w:t xml:space="preserve">Vertragspartnerkennung </w:t>
            </w:r>
          </w:p>
          <w:p w14:paraId="7FE1D1FC" w14:textId="3D6CB4CA" w:rsidR="00696584" w:rsidRDefault="002C4F63">
            <w:pPr>
              <w:pStyle w:val="P68B1DB1-TableParagraph40"/>
              <w:spacing w:before="108"/>
              <w:ind w:left="85"/>
              <w:jc w:val="both"/>
            </w:pPr>
            <w:r>
              <w:t>Geben Sie den LEI-Code des Gläubigers an. Sollte kein LEI-Code vorliegen, ist bei Banken die in RIAD (Register of Institutions and Affiliates Database) verwendete eindeutige Kennung für monetäre Finanzinstitute (monetary financial institutions unique IDentifier – MFI ID) anzugeben. Wenn keine dieser beiden Kennungen vorliegt, wird eine interne Kennung verwendet.</w:t>
            </w:r>
          </w:p>
        </w:tc>
      </w:tr>
      <w:tr w:rsidR="00696584" w14:paraId="7FE1D201" w14:textId="77777777">
        <w:tc>
          <w:tcPr>
            <w:tcW w:w="1183" w:type="dxa"/>
            <w:tcBorders>
              <w:top w:val="single" w:sz="8" w:space="0" w:color="1A171C"/>
              <w:left w:val="nil"/>
              <w:bottom w:val="single" w:sz="8" w:space="0" w:color="1A171C"/>
              <w:right w:val="single" w:sz="8" w:space="0" w:color="1A171C"/>
            </w:tcBorders>
            <w:vAlign w:val="center"/>
          </w:tcPr>
          <w:p w14:paraId="7FE1D1FE" w14:textId="77777777" w:rsidR="00696584" w:rsidRDefault="002C4F63">
            <w:pPr>
              <w:pStyle w:val="P68B1DB1-Normal31"/>
            </w:pPr>
            <w:r>
              <w:t>0065</w:t>
            </w:r>
          </w:p>
        </w:tc>
        <w:tc>
          <w:tcPr>
            <w:tcW w:w="7832" w:type="dxa"/>
            <w:tcBorders>
              <w:top w:val="single" w:sz="8" w:space="0" w:color="1A171C"/>
              <w:left w:val="single" w:sz="8" w:space="0" w:color="1A171C"/>
              <w:bottom w:val="single" w:sz="8" w:space="0" w:color="1A171C"/>
              <w:right w:val="nil"/>
            </w:tcBorders>
            <w:vAlign w:val="bottom"/>
          </w:tcPr>
          <w:p w14:paraId="7FE1D1FF" w14:textId="77777777" w:rsidR="00696584" w:rsidRDefault="002C4F63">
            <w:pPr>
              <w:pStyle w:val="P68B1DB1-TableParagraph73"/>
              <w:spacing w:before="108"/>
              <w:ind w:left="85"/>
              <w:jc w:val="both"/>
              <w:rPr>
                <w:bCs/>
              </w:rPr>
            </w:pPr>
            <w:r>
              <w:t xml:space="preserve">Art der Kennung </w:t>
            </w:r>
          </w:p>
          <w:p w14:paraId="7FE1D200" w14:textId="77777777" w:rsidR="00696584" w:rsidRDefault="002C4F63">
            <w:pPr>
              <w:pStyle w:val="P68B1DB1-TableParagraph40"/>
              <w:spacing w:before="108"/>
              <w:ind w:left="85"/>
              <w:jc w:val="both"/>
            </w:pPr>
            <w:r>
              <w:t>Auswahl unter folgenden Optionen: „LEI-Code“, „MFI-Code“ oder „Andere Art der Kennung als LEI-Code oder MFI-Code“.</w:t>
            </w:r>
          </w:p>
        </w:tc>
      </w:tr>
      <w:tr w:rsidR="00696584" w14:paraId="7FE1D205" w14:textId="77777777">
        <w:tc>
          <w:tcPr>
            <w:tcW w:w="1183" w:type="dxa"/>
            <w:tcBorders>
              <w:top w:val="single" w:sz="8" w:space="0" w:color="1A171C"/>
              <w:left w:val="nil"/>
              <w:bottom w:val="single" w:sz="8" w:space="0" w:color="1A171C"/>
              <w:right w:val="single" w:sz="8" w:space="0" w:color="1A171C"/>
            </w:tcBorders>
            <w:vAlign w:val="center"/>
          </w:tcPr>
          <w:p w14:paraId="7FE1D202" w14:textId="0E607091" w:rsidR="00696584" w:rsidRDefault="002C4F63">
            <w:pPr>
              <w:pStyle w:val="P68B1DB1-Normal31"/>
            </w:pPr>
            <w:r>
              <w:t>0070</w:t>
            </w:r>
          </w:p>
        </w:tc>
        <w:tc>
          <w:tcPr>
            <w:tcW w:w="7832" w:type="dxa"/>
            <w:tcBorders>
              <w:top w:val="single" w:sz="8" w:space="0" w:color="1A171C"/>
              <w:left w:val="single" w:sz="8" w:space="0" w:color="1A171C"/>
              <w:bottom w:val="single" w:sz="8" w:space="0" w:color="1A171C"/>
              <w:right w:val="nil"/>
            </w:tcBorders>
            <w:vAlign w:val="bottom"/>
          </w:tcPr>
          <w:p w14:paraId="7FE1D203" w14:textId="77777777" w:rsidR="00696584" w:rsidRDefault="002C4F63">
            <w:pPr>
              <w:pStyle w:val="P68B1DB1-TableParagraph40"/>
              <w:spacing w:before="108"/>
              <w:ind w:left="85"/>
              <w:jc w:val="both"/>
              <w:rPr>
                <w:b/>
                <w:bCs/>
              </w:rPr>
            </w:pPr>
            <w:r>
              <w:t xml:space="preserve"> </w:t>
            </w:r>
            <w:r>
              <w:rPr>
                <w:b/>
              </w:rPr>
              <w:t>Anwendbares Recht</w:t>
            </w:r>
          </w:p>
          <w:p w14:paraId="7FE1D204" w14:textId="24CB3395" w:rsidR="00696584" w:rsidRDefault="002C4F63">
            <w:pPr>
              <w:pStyle w:val="P68B1DB1-TableParagraph40"/>
              <w:spacing w:before="108"/>
              <w:ind w:left="85"/>
              <w:jc w:val="both"/>
            </w:pPr>
            <w:r>
              <w:t xml:space="preserve">Der Name des Landes, dessen Recht auf die Haftung anwendbar ist. Ist für den Vertrag das Recht von mehr als einem Land anwendbar, ist das Land anzugeben, dessen Recht die höchste Relevanz für die Anerkennung von Abschreibungs- und Umwandlungsbefugnissen hat.  </w:t>
            </w:r>
          </w:p>
        </w:tc>
      </w:tr>
      <w:tr w:rsidR="00696584" w14:paraId="7FE1D213" w14:textId="77777777">
        <w:trPr>
          <w:trHeight w:val="5139"/>
        </w:trPr>
        <w:tc>
          <w:tcPr>
            <w:tcW w:w="1183" w:type="dxa"/>
            <w:tcBorders>
              <w:top w:val="single" w:sz="8" w:space="0" w:color="1A171C"/>
              <w:left w:val="nil"/>
              <w:bottom w:val="single" w:sz="4" w:space="0" w:color="auto"/>
              <w:right w:val="single" w:sz="4" w:space="0" w:color="auto"/>
            </w:tcBorders>
            <w:vAlign w:val="center"/>
          </w:tcPr>
          <w:p w14:paraId="7FE1D206" w14:textId="2286AADB" w:rsidR="00696584" w:rsidRDefault="002C4F63">
            <w:pPr>
              <w:pStyle w:val="P68B1DB1-Normal31"/>
            </w:pPr>
            <w:r>
              <w:lastRenderedPageBreak/>
              <w:t>0080</w:t>
            </w:r>
          </w:p>
        </w:tc>
        <w:tc>
          <w:tcPr>
            <w:tcW w:w="7832" w:type="dxa"/>
            <w:tcBorders>
              <w:top w:val="single" w:sz="8" w:space="0" w:color="1A171C"/>
              <w:left w:val="single" w:sz="4" w:space="0" w:color="auto"/>
              <w:right w:val="nil"/>
            </w:tcBorders>
            <w:vAlign w:val="bottom"/>
          </w:tcPr>
          <w:p w14:paraId="7FE1D207" w14:textId="77777777" w:rsidR="00696584" w:rsidRDefault="002C4F63">
            <w:pPr>
              <w:pStyle w:val="P68B1DB1-TableParagraph40"/>
              <w:spacing w:before="108"/>
              <w:ind w:left="85"/>
              <w:jc w:val="both"/>
              <w:rPr>
                <w:b/>
                <w:bCs/>
              </w:rPr>
            </w:pPr>
            <w:r>
              <w:t xml:space="preserve"> </w:t>
            </w:r>
            <w:r>
              <w:rPr>
                <w:b/>
              </w:rPr>
              <w:t>Art der nichtfinanziellen Verbindlichkeiten</w:t>
            </w:r>
          </w:p>
          <w:p w14:paraId="7FE1D208" w14:textId="234E81AF" w:rsidR="00696584" w:rsidRDefault="002C4F63">
            <w:pPr>
              <w:pStyle w:val="P68B1DB1-TableParagraph40"/>
              <w:spacing w:before="108"/>
              <w:ind w:left="85"/>
              <w:jc w:val="both"/>
            </w:pPr>
            <w:r>
              <w:t>Auswahl unter folgenden Optionen:</w:t>
            </w:r>
          </w:p>
          <w:p w14:paraId="7FE1D209" w14:textId="1B19E45B" w:rsidR="00696584" w:rsidRDefault="002C4F63">
            <w:pPr>
              <w:pStyle w:val="P68B1DB1-TableParagraph40"/>
              <w:numPr>
                <w:ilvl w:val="0"/>
                <w:numId w:val="269"/>
              </w:numPr>
              <w:spacing w:before="108"/>
              <w:jc w:val="both"/>
            </w:pPr>
            <w:r>
              <w:t>Fonds für allgemeine Bankrisiken</w:t>
            </w:r>
          </w:p>
          <w:p w14:paraId="7FE1D20A" w14:textId="5F4C425A" w:rsidR="00696584" w:rsidRDefault="002C4F63">
            <w:pPr>
              <w:pStyle w:val="P68B1DB1-TableParagraph40"/>
              <w:numPr>
                <w:ilvl w:val="0"/>
                <w:numId w:val="269"/>
              </w:numPr>
              <w:spacing w:before="108"/>
              <w:jc w:val="both"/>
            </w:pPr>
            <w:r>
              <w:t>Renten und sonstige Leistungsverpflichtungen gegenüber Beschäftigten</w:t>
            </w:r>
          </w:p>
          <w:p w14:paraId="7FE1D20B" w14:textId="3AEADF9D" w:rsidR="00696584" w:rsidRDefault="002C4F63">
            <w:pPr>
              <w:pStyle w:val="P68B1DB1-TableParagraph40"/>
              <w:numPr>
                <w:ilvl w:val="0"/>
                <w:numId w:val="269"/>
              </w:numPr>
              <w:spacing w:before="108"/>
              <w:jc w:val="both"/>
            </w:pPr>
            <w:r>
              <w:t>Leistungen an Beschäftigte Andere Leistungen als Renten und sonstige Leistungsverpflichtungen gegenüber Beschäftigten</w:t>
            </w:r>
          </w:p>
          <w:p w14:paraId="7FE1D20C" w14:textId="66AEA5AF" w:rsidR="00696584" w:rsidRDefault="002C4F63">
            <w:pPr>
              <w:pStyle w:val="P68B1DB1-TableParagraph40"/>
              <w:numPr>
                <w:ilvl w:val="0"/>
                <w:numId w:val="269"/>
              </w:numPr>
              <w:spacing w:before="108"/>
              <w:jc w:val="both"/>
            </w:pPr>
            <w:r>
              <w:t>Umstrukturierung</w:t>
            </w:r>
          </w:p>
          <w:p w14:paraId="7FE1D20D" w14:textId="72D6FCB9" w:rsidR="00696584" w:rsidRDefault="002C4F63">
            <w:pPr>
              <w:pStyle w:val="P68B1DB1-TableParagraph40"/>
              <w:numPr>
                <w:ilvl w:val="0"/>
                <w:numId w:val="269"/>
              </w:numPr>
              <w:spacing w:before="108"/>
              <w:jc w:val="both"/>
            </w:pPr>
            <w:r>
              <w:t>Anhängige Rechtsstreitigkeiten und Steuerstreitigkeiten</w:t>
            </w:r>
          </w:p>
          <w:p w14:paraId="7FE1D20E" w14:textId="6A9A65DF" w:rsidR="00696584" w:rsidRDefault="002C4F63">
            <w:pPr>
              <w:pStyle w:val="P68B1DB1-TableParagraph40"/>
              <w:numPr>
                <w:ilvl w:val="0"/>
                <w:numId w:val="269"/>
              </w:numPr>
              <w:spacing w:before="108"/>
              <w:jc w:val="both"/>
            </w:pPr>
            <w:r>
              <w:t>Außerbilanzielle Risikopositionen mit Kreditrisiko</w:t>
            </w:r>
          </w:p>
          <w:p w14:paraId="7FE1D20F" w14:textId="69731D97" w:rsidR="00696584" w:rsidRDefault="002C4F63">
            <w:pPr>
              <w:pStyle w:val="P68B1DB1-TableParagraph40"/>
              <w:numPr>
                <w:ilvl w:val="0"/>
                <w:numId w:val="269"/>
              </w:numPr>
              <w:spacing w:before="108"/>
              <w:jc w:val="both"/>
            </w:pPr>
            <w:r>
              <w:t>Außer Leistungen an Beschäftigte, Umstrukturierung, anhängige Rechtsstreitigkeiten und Steuerstreitigkeiten, außerbilanzielle Risikopositionen mit Kreditrisiko</w:t>
            </w:r>
          </w:p>
          <w:p w14:paraId="7FE1D210" w14:textId="00431AB4" w:rsidR="00696584" w:rsidRDefault="002C4F63">
            <w:pPr>
              <w:pStyle w:val="P68B1DB1-TableParagraph40"/>
              <w:numPr>
                <w:ilvl w:val="0"/>
                <w:numId w:val="269"/>
              </w:numPr>
              <w:spacing w:before="108"/>
              <w:jc w:val="both"/>
            </w:pPr>
            <w:r>
              <w:t>Steuerschulden</w:t>
            </w:r>
          </w:p>
          <w:p w14:paraId="7FE1D211" w14:textId="29640DA2" w:rsidR="00696584" w:rsidRDefault="002C4F63">
            <w:pPr>
              <w:pStyle w:val="P68B1DB1-TableParagraph40"/>
              <w:numPr>
                <w:ilvl w:val="0"/>
                <w:numId w:val="269"/>
              </w:numPr>
              <w:spacing w:before="108"/>
              <w:jc w:val="both"/>
            </w:pPr>
            <w:r>
              <w:t>Transitorische Passiva</w:t>
            </w:r>
          </w:p>
          <w:p w14:paraId="7FE1D212" w14:textId="7E6BDA10" w:rsidR="00696584" w:rsidRDefault="002C4F63">
            <w:pPr>
              <w:pStyle w:val="P68B1DB1-TableParagraph40"/>
              <w:numPr>
                <w:ilvl w:val="0"/>
                <w:numId w:val="269"/>
              </w:numPr>
              <w:spacing w:before="108"/>
              <w:jc w:val="both"/>
            </w:pPr>
            <w:r>
              <w:t>Andere Verbindlichkeiten als finanzielle Verbindlichkeiten, Rückstellungen, Steuerverbindlichkeiten, transitorische Passiva</w:t>
            </w:r>
          </w:p>
        </w:tc>
      </w:tr>
      <w:tr w:rsidR="00696584" w14:paraId="7FE1D217" w14:textId="77777777">
        <w:tc>
          <w:tcPr>
            <w:tcW w:w="1183" w:type="dxa"/>
            <w:tcBorders>
              <w:top w:val="single" w:sz="4" w:space="0" w:color="auto"/>
              <w:left w:val="nil"/>
              <w:bottom w:val="single" w:sz="8" w:space="0" w:color="1A171C"/>
              <w:right w:val="single" w:sz="8" w:space="0" w:color="1A171C"/>
            </w:tcBorders>
            <w:vAlign w:val="center"/>
          </w:tcPr>
          <w:p w14:paraId="7FE1D214" w14:textId="77777777" w:rsidR="00696584" w:rsidRDefault="002C4F63">
            <w:pPr>
              <w:pStyle w:val="P68B1DB1-Normal31"/>
            </w:pPr>
            <w:r>
              <w:t>0090</w:t>
            </w:r>
          </w:p>
        </w:tc>
        <w:tc>
          <w:tcPr>
            <w:tcW w:w="7832" w:type="dxa"/>
            <w:tcBorders>
              <w:top w:val="single" w:sz="8" w:space="0" w:color="1A171C"/>
              <w:left w:val="single" w:sz="8" w:space="0" w:color="1A171C"/>
              <w:bottom w:val="single" w:sz="8" w:space="0" w:color="1A171C"/>
              <w:right w:val="nil"/>
            </w:tcBorders>
            <w:vAlign w:val="bottom"/>
          </w:tcPr>
          <w:p w14:paraId="7FE1D215" w14:textId="77777777" w:rsidR="00696584" w:rsidRDefault="002C4F63">
            <w:pPr>
              <w:pStyle w:val="P68B1DB1-TableParagraph40"/>
              <w:spacing w:before="108"/>
              <w:ind w:left="85"/>
              <w:jc w:val="both"/>
              <w:rPr>
                <w:b/>
                <w:bCs/>
              </w:rPr>
            </w:pPr>
            <w:r>
              <w:t xml:space="preserve"> </w:t>
            </w:r>
            <w:r>
              <w:rPr>
                <w:b/>
              </w:rPr>
              <w:t>Ausstehender Betrag</w:t>
            </w:r>
          </w:p>
          <w:p w14:paraId="7FE1D216" w14:textId="41D11E8B" w:rsidR="00696584" w:rsidRDefault="002C4F63">
            <w:pPr>
              <w:pStyle w:val="P68B1DB1-TableParagraph40"/>
              <w:spacing w:before="108"/>
              <w:ind w:left="85"/>
              <w:jc w:val="both"/>
            </w:pPr>
            <w:r>
              <w:t>Der ausstehende Betrag der Verbindlichkeit.</w:t>
            </w:r>
          </w:p>
        </w:tc>
      </w:tr>
      <w:tr w:rsidR="00696584" w14:paraId="7FE1D21B" w14:textId="77777777">
        <w:tc>
          <w:tcPr>
            <w:tcW w:w="1183" w:type="dxa"/>
            <w:tcBorders>
              <w:top w:val="single" w:sz="8" w:space="0" w:color="1A171C"/>
              <w:left w:val="nil"/>
              <w:bottom w:val="single" w:sz="8" w:space="0" w:color="1A171C"/>
              <w:right w:val="single" w:sz="8" w:space="0" w:color="1A171C"/>
            </w:tcBorders>
            <w:vAlign w:val="center"/>
          </w:tcPr>
          <w:p w14:paraId="7FE1D218" w14:textId="77777777" w:rsidR="00696584" w:rsidRDefault="002C4F63">
            <w:pPr>
              <w:pStyle w:val="P68B1DB1-Normal31"/>
            </w:pPr>
            <w:r>
              <w:t>0100</w:t>
            </w:r>
          </w:p>
        </w:tc>
        <w:tc>
          <w:tcPr>
            <w:tcW w:w="7832" w:type="dxa"/>
            <w:tcBorders>
              <w:top w:val="single" w:sz="8" w:space="0" w:color="1A171C"/>
              <w:left w:val="single" w:sz="8" w:space="0" w:color="1A171C"/>
              <w:bottom w:val="single" w:sz="8" w:space="0" w:color="1A171C"/>
              <w:right w:val="nil"/>
            </w:tcBorders>
            <w:vAlign w:val="bottom"/>
          </w:tcPr>
          <w:p w14:paraId="7FE1D219" w14:textId="77777777" w:rsidR="00696584" w:rsidRDefault="002C4F63">
            <w:pPr>
              <w:pStyle w:val="P68B1DB1-TableParagraph73"/>
              <w:spacing w:before="108"/>
              <w:ind w:left="85"/>
              <w:jc w:val="both"/>
              <w:rPr>
                <w:bCs/>
              </w:rPr>
            </w:pPr>
            <w:r>
              <w:t xml:space="preserve">Währung  </w:t>
            </w:r>
          </w:p>
          <w:p w14:paraId="7FE1D21A" w14:textId="0E8D9FF4" w:rsidR="00696584" w:rsidRDefault="002C4F63">
            <w:pPr>
              <w:pStyle w:val="P68B1DB1-TableParagraph40"/>
              <w:spacing w:before="108"/>
              <w:ind w:left="85"/>
              <w:jc w:val="both"/>
            </w:pPr>
            <w:r>
              <w:t>Die Währung der Verbindlichkeit wird gemäß ihrem 3-Buchstaben-Code nach ISO 4217 ausgegeben.</w:t>
            </w:r>
          </w:p>
        </w:tc>
      </w:tr>
      <w:tr w:rsidR="00696584" w14:paraId="7FE1D21F" w14:textId="77777777">
        <w:tc>
          <w:tcPr>
            <w:tcW w:w="1183" w:type="dxa"/>
            <w:tcBorders>
              <w:top w:val="single" w:sz="8" w:space="0" w:color="1A171C"/>
              <w:left w:val="nil"/>
              <w:bottom w:val="single" w:sz="8" w:space="0" w:color="1A171C"/>
              <w:right w:val="single" w:sz="8" w:space="0" w:color="1A171C"/>
            </w:tcBorders>
            <w:vAlign w:val="center"/>
          </w:tcPr>
          <w:p w14:paraId="7FE1D21C" w14:textId="77777777" w:rsidR="00696584" w:rsidRDefault="002C4F63">
            <w:pPr>
              <w:pStyle w:val="P68B1DB1-Normal31"/>
            </w:pPr>
            <w:r>
              <w:t>0110</w:t>
            </w:r>
          </w:p>
        </w:tc>
        <w:tc>
          <w:tcPr>
            <w:tcW w:w="7832" w:type="dxa"/>
            <w:tcBorders>
              <w:top w:val="single" w:sz="8" w:space="0" w:color="1A171C"/>
              <w:left w:val="single" w:sz="8" w:space="0" w:color="1A171C"/>
              <w:bottom w:val="single" w:sz="8" w:space="0" w:color="1A171C"/>
              <w:right w:val="nil"/>
            </w:tcBorders>
            <w:vAlign w:val="bottom"/>
          </w:tcPr>
          <w:p w14:paraId="7FE1D21D" w14:textId="77777777" w:rsidR="00696584" w:rsidRDefault="002C4F63">
            <w:pPr>
              <w:pStyle w:val="P68B1DB1-TableParagraph73"/>
              <w:spacing w:before="108"/>
              <w:ind w:left="85"/>
              <w:jc w:val="both"/>
              <w:rPr>
                <w:bCs/>
              </w:rPr>
            </w:pPr>
            <w:r>
              <w:t xml:space="preserve"> Datum der Anerkennung </w:t>
            </w:r>
          </w:p>
          <w:p w14:paraId="7FE1D21E" w14:textId="6A3E04DE" w:rsidR="00696584" w:rsidRDefault="002C4F63">
            <w:pPr>
              <w:pStyle w:val="P68B1DB1-TableParagraph40"/>
              <w:spacing w:before="108"/>
              <w:ind w:left="85"/>
              <w:jc w:val="both"/>
            </w:pPr>
            <w:r>
              <w:t>Datum, an dem die Verbindlichkeit nach den geltenden Rechnungslegungsvorschriften in der Finanzbuchführung erfasst wurde.</w:t>
            </w:r>
          </w:p>
        </w:tc>
      </w:tr>
      <w:tr w:rsidR="00696584" w14:paraId="7FE1D223" w14:textId="77777777">
        <w:tc>
          <w:tcPr>
            <w:tcW w:w="1183" w:type="dxa"/>
            <w:tcBorders>
              <w:top w:val="single" w:sz="8" w:space="0" w:color="1A171C"/>
              <w:left w:val="nil"/>
              <w:bottom w:val="single" w:sz="8" w:space="0" w:color="1A171C"/>
              <w:right w:val="single" w:sz="8" w:space="0" w:color="1A171C"/>
            </w:tcBorders>
            <w:vAlign w:val="center"/>
          </w:tcPr>
          <w:p w14:paraId="7FE1D220" w14:textId="77777777" w:rsidR="00696584" w:rsidRDefault="002C4F63">
            <w:pPr>
              <w:pStyle w:val="P68B1DB1-Normal31"/>
            </w:pPr>
            <w:r>
              <w:t>0120</w:t>
            </w:r>
          </w:p>
        </w:tc>
        <w:tc>
          <w:tcPr>
            <w:tcW w:w="7832" w:type="dxa"/>
            <w:tcBorders>
              <w:top w:val="single" w:sz="8" w:space="0" w:color="1A171C"/>
              <w:left w:val="single" w:sz="8" w:space="0" w:color="1A171C"/>
              <w:bottom w:val="single" w:sz="8" w:space="0" w:color="1A171C"/>
              <w:right w:val="nil"/>
            </w:tcBorders>
            <w:vAlign w:val="bottom"/>
          </w:tcPr>
          <w:p w14:paraId="7FE1D221" w14:textId="77777777" w:rsidR="00696584" w:rsidRDefault="002C4F63">
            <w:pPr>
              <w:pStyle w:val="P68B1DB1-TableParagraph73"/>
              <w:spacing w:before="108"/>
              <w:ind w:left="85"/>
              <w:jc w:val="both"/>
              <w:rPr>
                <w:bCs/>
              </w:rPr>
            </w:pPr>
            <w:r>
              <w:t xml:space="preserve">Datum der Fälligkeit </w:t>
            </w:r>
          </w:p>
          <w:p w14:paraId="7FE1D222" w14:textId="41BB691A" w:rsidR="00696584" w:rsidRDefault="002C4F63">
            <w:pPr>
              <w:pStyle w:val="P68B1DB1-TableParagraph40"/>
              <w:spacing w:before="108"/>
              <w:ind w:left="85"/>
              <w:jc w:val="both"/>
            </w:pPr>
            <w:r>
              <w:t>Zeitpunkt der rechtlichen Endfälligkeit der Verbindlichkeit. Für langfristige Verbindlichkeiten ist „2099-01-31“ zu verwenden.</w:t>
            </w:r>
          </w:p>
        </w:tc>
      </w:tr>
      <w:tr w:rsidR="00696584" w14:paraId="7FE1D228" w14:textId="77777777">
        <w:trPr>
          <w:trHeight w:val="2644"/>
        </w:trPr>
        <w:tc>
          <w:tcPr>
            <w:tcW w:w="1183" w:type="dxa"/>
            <w:tcBorders>
              <w:top w:val="single" w:sz="8" w:space="0" w:color="1A171C"/>
              <w:left w:val="nil"/>
              <w:bottom w:val="single" w:sz="8" w:space="0" w:color="1A171C"/>
              <w:right w:val="single" w:sz="8" w:space="0" w:color="1A171C"/>
            </w:tcBorders>
            <w:vAlign w:val="center"/>
          </w:tcPr>
          <w:p w14:paraId="7FE1D224" w14:textId="77777777" w:rsidR="00696584" w:rsidRDefault="002C4F63">
            <w:pPr>
              <w:pStyle w:val="P68B1DB1-Normal31"/>
            </w:pPr>
            <w:r>
              <w:t>0130</w:t>
            </w:r>
          </w:p>
        </w:tc>
        <w:tc>
          <w:tcPr>
            <w:tcW w:w="7832" w:type="dxa"/>
            <w:tcBorders>
              <w:top w:val="single" w:sz="8" w:space="0" w:color="1A171C"/>
              <w:left w:val="single" w:sz="8" w:space="0" w:color="1A171C"/>
              <w:right w:val="nil"/>
            </w:tcBorders>
            <w:vAlign w:val="bottom"/>
          </w:tcPr>
          <w:p w14:paraId="7FE1D225" w14:textId="77777777" w:rsidR="00696584" w:rsidRDefault="002C4F63">
            <w:pPr>
              <w:pStyle w:val="P68B1DB1-TableParagraph40"/>
              <w:spacing w:before="108"/>
              <w:ind w:left="85"/>
              <w:jc w:val="both"/>
              <w:rPr>
                <w:b/>
                <w:bCs/>
              </w:rPr>
            </w:pPr>
            <w:r>
              <w:t xml:space="preserve"> </w:t>
            </w:r>
            <w:r>
              <w:rPr>
                <w:b/>
              </w:rPr>
              <w:t>Einstufung als Eigenmittel</w:t>
            </w:r>
          </w:p>
          <w:p w14:paraId="7FE1D226" w14:textId="3863D45E" w:rsidR="00696584" w:rsidRDefault="002C4F63">
            <w:pPr>
              <w:pStyle w:val="P68B1DB1-TableParagraph40"/>
              <w:spacing w:before="108"/>
              <w:ind w:left="85"/>
              <w:jc w:val="both"/>
            </w:pPr>
            <w:r>
              <w:t xml:space="preserve">Es ist anzugeben, ob und in welcher Position das Instrument als Eigenmittel eingestuft </w:t>
            </w:r>
            <w:r w:rsidR="00346701">
              <w:t>wird; zudem</w:t>
            </w:r>
            <w:r>
              <w:t xml:space="preserve"> sind Informationen zu Auslaufregelungen und Bestandsschutzvereinbarungen zu geben. Aus der vorgegebenen Liste kann Folgendes ausgewählt </w:t>
            </w:r>
            <w:r w:rsidR="00346701">
              <w:t>werden: „Nein</w:t>
            </w:r>
            <w:r>
              <w:t xml:space="preserve">“, „Teilweise zusätzliches Kernkapital, Kernkapital und Ergänzungskapital“, „Ergänzungskapital – Auslaufregelung“, „Ergänzungskapital mit Bestandsschutz“, „Ergänzungskapital mit voller Erfüllung der Anforderungen“, „Zusätzliches Kernkapital mit Bestandsschutz“, „Zusätzliches Kernkapital mit voller Erfüllung der Anforderungen“ oder „Hartes Kernkapital“. </w:t>
            </w:r>
          </w:p>
          <w:p w14:paraId="7FE1D227" w14:textId="78525A71" w:rsidR="00696584" w:rsidRDefault="002C4F63">
            <w:pPr>
              <w:pStyle w:val="P68B1DB1-TableParagraph40"/>
              <w:spacing w:before="108"/>
              <w:ind w:left="85"/>
              <w:jc w:val="both"/>
            </w:pPr>
            <w:r>
              <w:t xml:space="preserve"> In der Auswahlliste gilt „auslaufend“ für den Zeitraum von fünf Jahren vor der Fälligkeit eines Instruments des Ergänzungskapitals;</w:t>
            </w:r>
            <w:r w:rsidR="00346701">
              <w:t xml:space="preserve"> </w:t>
            </w:r>
            <w:r>
              <w:t>in diesem Zeitraum wird das Instrument gemäß der bis zur Fälligkeit verbleibenden Laufzeit nur anteilig angerechnet. Die Option „mit Bestandsschutz“ bezieht sich auf jegliche Übergangsmaßnahmen bei Instrumenten des Ergänzungskapitals, mit Ausnahme von „auslaufend“. Im Rahmen dieses Bestandsschutzes kann die Anerkennung in vollem Umfang oder teilweise erfolgen.</w:t>
            </w:r>
          </w:p>
        </w:tc>
      </w:tr>
      <w:tr w:rsidR="00696584" w14:paraId="7FE1D22C" w14:textId="77777777">
        <w:tc>
          <w:tcPr>
            <w:tcW w:w="1183" w:type="dxa"/>
            <w:tcBorders>
              <w:top w:val="nil"/>
              <w:left w:val="nil"/>
              <w:bottom w:val="single" w:sz="8" w:space="0" w:color="1A171C"/>
              <w:right w:val="single" w:sz="8" w:space="0" w:color="1A171C"/>
            </w:tcBorders>
            <w:vAlign w:val="center"/>
          </w:tcPr>
          <w:p w14:paraId="7FE1D229" w14:textId="77777777" w:rsidR="00696584" w:rsidRDefault="002C4F63">
            <w:pPr>
              <w:pStyle w:val="P68B1DB1-Normal31"/>
            </w:pPr>
            <w:r>
              <w:t>0140</w:t>
            </w:r>
          </w:p>
        </w:tc>
        <w:tc>
          <w:tcPr>
            <w:tcW w:w="7832" w:type="dxa"/>
            <w:tcBorders>
              <w:top w:val="single" w:sz="8" w:space="0" w:color="1A171C"/>
              <w:left w:val="single" w:sz="8" w:space="0" w:color="1A171C"/>
              <w:bottom w:val="single" w:sz="8" w:space="0" w:color="1A171C"/>
              <w:right w:val="nil"/>
            </w:tcBorders>
            <w:vAlign w:val="bottom"/>
          </w:tcPr>
          <w:p w14:paraId="7FE1D22A" w14:textId="68D6EE11" w:rsidR="00696584" w:rsidRDefault="002C4F63">
            <w:pPr>
              <w:pStyle w:val="P68B1DB1-TableParagraph40"/>
              <w:spacing w:before="108"/>
              <w:ind w:left="85"/>
              <w:jc w:val="both"/>
              <w:rPr>
                <w:b/>
                <w:bCs/>
              </w:rPr>
            </w:pPr>
            <w:r>
              <w:t xml:space="preserve"> </w:t>
            </w:r>
            <w:r>
              <w:rPr>
                <w:b/>
              </w:rPr>
              <w:t xml:space="preserve">Als Eigenmittel </w:t>
            </w:r>
            <w:r w:rsidR="00F61D1C">
              <w:rPr>
                <w:b/>
              </w:rPr>
              <w:t>anrechenbarer</w:t>
            </w:r>
            <w:r>
              <w:rPr>
                <w:b/>
              </w:rPr>
              <w:t xml:space="preserve"> Betrag</w:t>
            </w:r>
          </w:p>
          <w:p w14:paraId="7FE1D22B" w14:textId="01A9A811" w:rsidR="00696584" w:rsidRDefault="002C4F63">
            <w:pPr>
              <w:pStyle w:val="P68B1DB1-TableParagraph40"/>
              <w:spacing w:before="108"/>
              <w:ind w:left="85"/>
              <w:jc w:val="both"/>
            </w:pPr>
            <w:r>
              <w:t>Der Betrag des als Eigenmittel geltenden Instruments.</w:t>
            </w:r>
          </w:p>
        </w:tc>
      </w:tr>
    </w:tbl>
    <w:p w14:paraId="7FE1D22D" w14:textId="01F1CEAB" w:rsidR="00696584" w:rsidRDefault="00696584">
      <w:pPr>
        <w:pStyle w:val="body"/>
        <w:rPr>
          <w:rFonts w:ascii="Times New Roman" w:hAnsi="Times New Roman" w:cs="Times New Roman"/>
          <w:sz w:val="20"/>
          <w:szCs w:val="20"/>
        </w:rPr>
      </w:pPr>
    </w:p>
    <w:p w14:paraId="349218F7" w14:textId="77777777" w:rsidR="00696584" w:rsidRDefault="002C4F63">
      <w:pPr>
        <w:pStyle w:val="P68B1DB1-Normal19"/>
        <w:spacing w:after="200" w:line="276" w:lineRule="auto"/>
      </w:pPr>
      <w:r>
        <w:br w:type="page"/>
      </w:r>
    </w:p>
    <w:p w14:paraId="42DED9B4" w14:textId="77777777" w:rsidR="00696584" w:rsidRDefault="00696584">
      <w:pPr>
        <w:pStyle w:val="Instructionsberschrift2"/>
        <w:ind w:left="357"/>
        <w:rPr>
          <w:rFonts w:ascii="Times New Roman" w:eastAsia="Calibri" w:hAnsi="Times New Roman" w:cs="Times New Roman"/>
          <w:szCs w:val="20"/>
        </w:rPr>
      </w:pPr>
    </w:p>
    <w:p w14:paraId="4BD624F8" w14:textId="77777777" w:rsidR="00696584" w:rsidRDefault="00696584">
      <w:pPr>
        <w:spacing w:after="200" w:line="276" w:lineRule="auto"/>
        <w:rPr>
          <w:rFonts w:ascii="Times New Roman" w:hAnsi="Times New Roman" w:cs="Times New Roman"/>
          <w:sz w:val="20"/>
          <w:szCs w:val="20"/>
        </w:rPr>
      </w:pPr>
    </w:p>
    <w:p w14:paraId="715529B0" w14:textId="64A141F4" w:rsidR="00696584" w:rsidRDefault="002C4F63">
      <w:pPr>
        <w:pStyle w:val="P68B1DB1-Instructionsberschrift284"/>
        <w:numPr>
          <w:ilvl w:val="1"/>
          <w:numId w:val="49"/>
        </w:numPr>
        <w:spacing w:before="0"/>
        <w:ind w:left="357" w:hanging="357"/>
      </w:pPr>
      <w:bookmarkStart w:id="254" w:name="_Toc192248856"/>
      <w:bookmarkStart w:id="255" w:name="_Toc209533621"/>
      <w:r>
        <w:t>Anhang I – Liste der für Z 09.01 – c0050 zu verwendenden FMI</w:t>
      </w:r>
      <w:bookmarkEnd w:id="254"/>
      <w:bookmarkEnd w:id="255"/>
    </w:p>
    <w:p w14:paraId="31681B73" w14:textId="51FEAE08" w:rsidR="00696584" w:rsidRDefault="00696584">
      <w:pPr>
        <w:pStyle w:val="body"/>
        <w:rPr>
          <w:rFonts w:ascii="Times New Roman" w:hAnsi="Times New Roman" w:cs="Times New Roman"/>
          <w:sz w:val="20"/>
          <w:szCs w:val="20"/>
        </w:rPr>
      </w:pPr>
    </w:p>
    <w:tbl>
      <w:tblPr>
        <w:tblW w:w="9072" w:type="dxa"/>
        <w:tblLook w:val="04A0" w:firstRow="1" w:lastRow="0" w:firstColumn="1" w:lastColumn="0" w:noHBand="0" w:noVBand="1"/>
      </w:tblPr>
      <w:tblGrid>
        <w:gridCol w:w="9072"/>
      </w:tblGrid>
      <w:tr w:rsidR="00696584" w14:paraId="567BC9DC" w14:textId="77777777">
        <w:trPr>
          <w:trHeight w:val="80"/>
        </w:trPr>
        <w:tc>
          <w:tcPr>
            <w:tcW w:w="9072" w:type="dxa"/>
            <w:tcBorders>
              <w:top w:val="nil"/>
              <w:left w:val="nil"/>
              <w:bottom w:val="nil"/>
              <w:right w:val="nil"/>
            </w:tcBorders>
            <w:shd w:val="clear" w:color="auto" w:fill="EEECE1" w:themeFill="background2"/>
            <w:noWrap/>
            <w:vAlign w:val="bottom"/>
          </w:tcPr>
          <w:p w14:paraId="1C1E6E57" w14:textId="77777777" w:rsidR="00696584" w:rsidRDefault="002C4F63">
            <w:pPr>
              <w:pStyle w:val="P68B1DB1-Normal90"/>
            </w:pPr>
            <w:r>
              <w:t>Eintrag in der Dropdown-Liste der FMI</w:t>
            </w:r>
          </w:p>
        </w:tc>
      </w:tr>
      <w:tr w:rsidR="00ED6D3D" w14:paraId="09736821" w14:textId="77777777">
        <w:trPr>
          <w:trHeight w:val="300"/>
        </w:trPr>
        <w:tc>
          <w:tcPr>
            <w:tcW w:w="9072" w:type="dxa"/>
            <w:tcBorders>
              <w:top w:val="nil"/>
              <w:left w:val="nil"/>
              <w:bottom w:val="nil"/>
              <w:right w:val="nil"/>
            </w:tcBorders>
            <w:noWrap/>
            <w:vAlign w:val="bottom"/>
            <w:hideMark/>
          </w:tcPr>
          <w:p w14:paraId="65FBD6FC" w14:textId="1877ECCD" w:rsidR="00ED6D3D" w:rsidRDefault="00ED6D3D" w:rsidP="00ED6D3D">
            <w:pPr>
              <w:pStyle w:val="P68B1DB1-Normal91"/>
            </w:pPr>
            <w:bookmarkStart w:id="256" w:name="RANGE!A3:A168"/>
            <w:r w:rsidRPr="00F22F68">
              <w:t>Athens Clearing Office (ACO)</w:t>
            </w:r>
            <w:bookmarkEnd w:id="256"/>
          </w:p>
        </w:tc>
      </w:tr>
      <w:tr w:rsidR="00ED6D3D" w14:paraId="447EB604" w14:textId="77777777">
        <w:trPr>
          <w:trHeight w:val="300"/>
        </w:trPr>
        <w:tc>
          <w:tcPr>
            <w:tcW w:w="9072" w:type="dxa"/>
            <w:tcBorders>
              <w:top w:val="nil"/>
              <w:left w:val="nil"/>
              <w:bottom w:val="nil"/>
              <w:right w:val="nil"/>
            </w:tcBorders>
            <w:noWrap/>
            <w:vAlign w:val="bottom"/>
            <w:hideMark/>
          </w:tcPr>
          <w:p w14:paraId="2B6E60A7" w14:textId="44B73DD5" w:rsidR="00ED6D3D" w:rsidRDefault="00ED6D3D" w:rsidP="00ED6D3D">
            <w:pPr>
              <w:pStyle w:val="P68B1DB1-Normal91"/>
            </w:pPr>
            <w:r w:rsidRPr="00F22F68">
              <w:t>ATHEX (Athens Stock Exchange)</w:t>
            </w:r>
          </w:p>
        </w:tc>
      </w:tr>
      <w:tr w:rsidR="00696584" w14:paraId="0DF5C441" w14:textId="77777777">
        <w:trPr>
          <w:trHeight w:val="300"/>
        </w:trPr>
        <w:tc>
          <w:tcPr>
            <w:tcW w:w="9072" w:type="dxa"/>
            <w:tcBorders>
              <w:top w:val="nil"/>
              <w:left w:val="nil"/>
              <w:bottom w:val="nil"/>
              <w:right w:val="nil"/>
            </w:tcBorders>
            <w:noWrap/>
            <w:vAlign w:val="bottom"/>
            <w:hideMark/>
          </w:tcPr>
          <w:p w14:paraId="4C199F01" w14:textId="77777777" w:rsidR="00696584" w:rsidRDefault="002C4F63">
            <w:pPr>
              <w:pStyle w:val="P68B1DB1-Normal91"/>
            </w:pPr>
            <w:r>
              <w:t>ATHEX CSD</w:t>
            </w:r>
          </w:p>
        </w:tc>
      </w:tr>
      <w:tr w:rsidR="00696584" w14:paraId="6C8DFF2B" w14:textId="77777777">
        <w:trPr>
          <w:trHeight w:val="300"/>
        </w:trPr>
        <w:tc>
          <w:tcPr>
            <w:tcW w:w="9072" w:type="dxa"/>
            <w:tcBorders>
              <w:top w:val="nil"/>
              <w:left w:val="nil"/>
              <w:bottom w:val="nil"/>
              <w:right w:val="nil"/>
            </w:tcBorders>
            <w:noWrap/>
            <w:vAlign w:val="bottom"/>
            <w:hideMark/>
          </w:tcPr>
          <w:p w14:paraId="2876B1C1" w14:textId="77777777" w:rsidR="00696584" w:rsidRDefault="002C4F63">
            <w:pPr>
              <w:pStyle w:val="P68B1DB1-Normal91"/>
            </w:pPr>
            <w:r>
              <w:t>ATHEXClear SA</w:t>
            </w:r>
          </w:p>
        </w:tc>
      </w:tr>
      <w:tr w:rsidR="00ED6D3D" w14:paraId="24CE5F78" w14:textId="77777777">
        <w:trPr>
          <w:trHeight w:val="300"/>
        </w:trPr>
        <w:tc>
          <w:tcPr>
            <w:tcW w:w="9072" w:type="dxa"/>
            <w:tcBorders>
              <w:top w:val="nil"/>
              <w:left w:val="nil"/>
              <w:bottom w:val="nil"/>
              <w:right w:val="nil"/>
            </w:tcBorders>
            <w:noWrap/>
            <w:vAlign w:val="bottom"/>
            <w:hideMark/>
          </w:tcPr>
          <w:p w14:paraId="1E830E75" w14:textId="44CBEEBE" w:rsidR="00ED6D3D" w:rsidRDefault="00ED6D3D" w:rsidP="00ED6D3D">
            <w:pPr>
              <w:pStyle w:val="P68B1DB1-Normal91"/>
            </w:pPr>
            <w:r w:rsidRPr="00F22F68">
              <w:t>The Clearing House ACH</w:t>
            </w:r>
          </w:p>
        </w:tc>
      </w:tr>
      <w:tr w:rsidR="00ED6D3D" w:rsidRPr="00CE138C" w14:paraId="2920AE45" w14:textId="77777777">
        <w:trPr>
          <w:trHeight w:val="300"/>
        </w:trPr>
        <w:tc>
          <w:tcPr>
            <w:tcW w:w="9072" w:type="dxa"/>
            <w:tcBorders>
              <w:top w:val="nil"/>
              <w:left w:val="nil"/>
              <w:bottom w:val="nil"/>
              <w:right w:val="nil"/>
            </w:tcBorders>
            <w:noWrap/>
            <w:vAlign w:val="bottom"/>
            <w:hideMark/>
          </w:tcPr>
          <w:p w14:paraId="1C314494" w14:textId="5E92CB1C" w:rsidR="00ED6D3D" w:rsidRPr="00C5754B" w:rsidRDefault="00ED6D3D" w:rsidP="00ED6D3D">
            <w:pPr>
              <w:pStyle w:val="P68B1DB1-Normal91"/>
              <w:rPr>
                <w:lang w:val="en-GB"/>
              </w:rPr>
            </w:pPr>
            <w:r w:rsidRPr="00C5754B">
              <w:rPr>
                <w:lang w:val="en-GB"/>
              </w:rPr>
              <w:t>Automated Clearing Settlement System (ACSS)</w:t>
            </w:r>
          </w:p>
        </w:tc>
      </w:tr>
      <w:tr w:rsidR="00ED6D3D" w:rsidRPr="00CE138C" w14:paraId="1DB8A80A" w14:textId="77777777">
        <w:trPr>
          <w:trHeight w:val="300"/>
        </w:trPr>
        <w:tc>
          <w:tcPr>
            <w:tcW w:w="9072" w:type="dxa"/>
            <w:tcBorders>
              <w:top w:val="nil"/>
              <w:left w:val="nil"/>
              <w:bottom w:val="nil"/>
              <w:right w:val="nil"/>
            </w:tcBorders>
            <w:noWrap/>
            <w:vAlign w:val="bottom"/>
            <w:hideMark/>
          </w:tcPr>
          <w:p w14:paraId="65CA5200" w14:textId="4086D414" w:rsidR="00ED6D3D" w:rsidRPr="00C5754B" w:rsidRDefault="00ED6D3D" w:rsidP="00ED6D3D">
            <w:pPr>
              <w:pStyle w:val="P68B1DB1-Normal91"/>
              <w:rPr>
                <w:lang w:val="en-GB"/>
              </w:rPr>
            </w:pPr>
            <w:r w:rsidRPr="00C5754B">
              <w:rPr>
                <w:lang w:val="en-GB"/>
              </w:rPr>
              <w:t>BACS (Bankers' Automated Clearing Services)</w:t>
            </w:r>
          </w:p>
        </w:tc>
      </w:tr>
      <w:tr w:rsidR="00696584" w14:paraId="0C931590" w14:textId="77777777">
        <w:trPr>
          <w:trHeight w:val="300"/>
        </w:trPr>
        <w:tc>
          <w:tcPr>
            <w:tcW w:w="9072" w:type="dxa"/>
            <w:tcBorders>
              <w:top w:val="nil"/>
              <w:left w:val="nil"/>
              <w:bottom w:val="nil"/>
              <w:right w:val="nil"/>
            </w:tcBorders>
            <w:noWrap/>
            <w:vAlign w:val="bottom"/>
            <w:hideMark/>
          </w:tcPr>
          <w:p w14:paraId="50133989" w14:textId="77777777" w:rsidR="00696584" w:rsidRDefault="002C4F63">
            <w:pPr>
              <w:pStyle w:val="P68B1DB1-Normal91"/>
            </w:pPr>
            <w:r>
              <w:t>Bankgirot (Bankgirocentralen BGC AB)</w:t>
            </w:r>
          </w:p>
        </w:tc>
      </w:tr>
      <w:tr w:rsidR="00696584" w14:paraId="2F8CAEE4" w14:textId="77777777">
        <w:trPr>
          <w:trHeight w:val="300"/>
        </w:trPr>
        <w:tc>
          <w:tcPr>
            <w:tcW w:w="9072" w:type="dxa"/>
            <w:tcBorders>
              <w:top w:val="nil"/>
              <w:left w:val="nil"/>
              <w:bottom w:val="nil"/>
              <w:right w:val="nil"/>
            </w:tcBorders>
            <w:noWrap/>
            <w:vAlign w:val="bottom"/>
            <w:hideMark/>
          </w:tcPr>
          <w:p w14:paraId="01AEF229" w14:textId="77777777" w:rsidR="00696584" w:rsidRDefault="002C4F63">
            <w:pPr>
              <w:pStyle w:val="P68B1DB1-Normal91"/>
            </w:pPr>
            <w:r>
              <w:t>BI-COMP</w:t>
            </w:r>
          </w:p>
        </w:tc>
      </w:tr>
      <w:tr w:rsidR="008777A7" w:rsidRPr="00CE138C" w14:paraId="7736D7E4" w14:textId="77777777">
        <w:trPr>
          <w:trHeight w:val="300"/>
        </w:trPr>
        <w:tc>
          <w:tcPr>
            <w:tcW w:w="9072" w:type="dxa"/>
            <w:tcBorders>
              <w:top w:val="nil"/>
              <w:left w:val="nil"/>
              <w:bottom w:val="nil"/>
              <w:right w:val="nil"/>
            </w:tcBorders>
            <w:noWrap/>
            <w:vAlign w:val="bottom"/>
            <w:hideMark/>
          </w:tcPr>
          <w:p w14:paraId="431E29D0" w14:textId="0F82D41E" w:rsidR="008777A7" w:rsidRPr="00C5754B" w:rsidRDefault="008777A7" w:rsidP="008777A7">
            <w:pPr>
              <w:pStyle w:val="P68B1DB1-Normal91"/>
              <w:rPr>
                <w:lang w:val="en-GB"/>
              </w:rPr>
            </w:pPr>
            <w:r w:rsidRPr="00C5754B">
              <w:rPr>
                <w:lang w:val="en-GB"/>
              </w:rPr>
              <w:t>BISERA (Bank Integrated System for Electronic Payments)</w:t>
            </w:r>
          </w:p>
        </w:tc>
      </w:tr>
      <w:tr w:rsidR="00696584" w14:paraId="7AE977D3" w14:textId="77777777">
        <w:trPr>
          <w:trHeight w:val="300"/>
        </w:trPr>
        <w:tc>
          <w:tcPr>
            <w:tcW w:w="9072" w:type="dxa"/>
            <w:tcBorders>
              <w:top w:val="nil"/>
              <w:left w:val="nil"/>
              <w:bottom w:val="nil"/>
              <w:right w:val="nil"/>
            </w:tcBorders>
            <w:noWrap/>
            <w:vAlign w:val="bottom"/>
            <w:hideMark/>
          </w:tcPr>
          <w:p w14:paraId="0E054309" w14:textId="77777777" w:rsidR="00696584" w:rsidRDefault="002C4F63">
            <w:pPr>
              <w:pStyle w:val="P68B1DB1-Normal91"/>
            </w:pPr>
            <w:r>
              <w:t>Bloomberg Trade Repository Limited</w:t>
            </w:r>
          </w:p>
        </w:tc>
      </w:tr>
      <w:tr w:rsidR="00696584" w14:paraId="3DEFBBB0" w14:textId="77777777">
        <w:trPr>
          <w:trHeight w:val="300"/>
        </w:trPr>
        <w:tc>
          <w:tcPr>
            <w:tcW w:w="9072" w:type="dxa"/>
            <w:tcBorders>
              <w:top w:val="nil"/>
              <w:left w:val="nil"/>
              <w:bottom w:val="nil"/>
              <w:right w:val="nil"/>
            </w:tcBorders>
            <w:noWrap/>
            <w:vAlign w:val="bottom"/>
            <w:hideMark/>
          </w:tcPr>
          <w:p w14:paraId="69A6C566" w14:textId="77777777" w:rsidR="00696584" w:rsidRDefault="002C4F63">
            <w:pPr>
              <w:pStyle w:val="P68B1DB1-Normal91"/>
            </w:pPr>
            <w:r>
              <w:t>BME</w:t>
            </w:r>
          </w:p>
        </w:tc>
      </w:tr>
      <w:tr w:rsidR="00696584" w14:paraId="6C4EE14D" w14:textId="77777777">
        <w:trPr>
          <w:trHeight w:val="300"/>
        </w:trPr>
        <w:tc>
          <w:tcPr>
            <w:tcW w:w="9072" w:type="dxa"/>
            <w:tcBorders>
              <w:top w:val="nil"/>
              <w:left w:val="nil"/>
              <w:bottom w:val="nil"/>
              <w:right w:val="nil"/>
            </w:tcBorders>
            <w:noWrap/>
            <w:vAlign w:val="bottom"/>
            <w:hideMark/>
          </w:tcPr>
          <w:p w14:paraId="31001C6A" w14:textId="77777777" w:rsidR="00696584" w:rsidRDefault="002C4F63">
            <w:pPr>
              <w:pStyle w:val="P68B1DB1-Normal91"/>
            </w:pPr>
            <w:r>
              <w:t>BME-Clearing</w:t>
            </w:r>
          </w:p>
        </w:tc>
      </w:tr>
      <w:tr w:rsidR="00696584" w:rsidRPr="00CE138C" w14:paraId="3ADECE08" w14:textId="77777777">
        <w:trPr>
          <w:trHeight w:val="300"/>
        </w:trPr>
        <w:tc>
          <w:tcPr>
            <w:tcW w:w="9072" w:type="dxa"/>
            <w:tcBorders>
              <w:top w:val="nil"/>
              <w:left w:val="nil"/>
              <w:bottom w:val="nil"/>
              <w:right w:val="nil"/>
            </w:tcBorders>
            <w:noWrap/>
            <w:vAlign w:val="bottom"/>
            <w:hideMark/>
          </w:tcPr>
          <w:p w14:paraId="29263C2A" w14:textId="77777777" w:rsidR="00696584" w:rsidRPr="00C5754B" w:rsidRDefault="002C4F63">
            <w:pPr>
              <w:pStyle w:val="P68B1DB1-Normal91"/>
              <w:rPr>
                <w:lang w:val="en-GB"/>
              </w:rPr>
            </w:pPr>
            <w:r w:rsidRPr="00C5754B">
              <w:rPr>
                <w:lang w:val="en-GB"/>
              </w:rPr>
              <w:t>BOGS (Bank of Greece Securities Settlement System)</w:t>
            </w:r>
          </w:p>
        </w:tc>
      </w:tr>
      <w:tr w:rsidR="00696584" w14:paraId="6CCCB9AC" w14:textId="77777777">
        <w:trPr>
          <w:trHeight w:val="300"/>
        </w:trPr>
        <w:tc>
          <w:tcPr>
            <w:tcW w:w="9072" w:type="dxa"/>
            <w:tcBorders>
              <w:top w:val="nil"/>
              <w:left w:val="nil"/>
              <w:bottom w:val="nil"/>
              <w:right w:val="nil"/>
            </w:tcBorders>
            <w:noWrap/>
            <w:vAlign w:val="bottom"/>
            <w:hideMark/>
          </w:tcPr>
          <w:p w14:paraId="1092DA48" w14:textId="77777777" w:rsidR="00696584" w:rsidRDefault="002C4F63">
            <w:pPr>
              <w:pStyle w:val="P68B1DB1-Normal91"/>
            </w:pPr>
            <w:r>
              <w:t>BOJ-NET</w:t>
            </w:r>
          </w:p>
        </w:tc>
      </w:tr>
      <w:tr w:rsidR="00696584" w14:paraId="4CEE7A6B" w14:textId="77777777">
        <w:trPr>
          <w:trHeight w:val="300"/>
        </w:trPr>
        <w:tc>
          <w:tcPr>
            <w:tcW w:w="9072" w:type="dxa"/>
            <w:tcBorders>
              <w:top w:val="nil"/>
              <w:left w:val="nil"/>
              <w:bottom w:val="nil"/>
              <w:right w:val="nil"/>
            </w:tcBorders>
            <w:noWrap/>
            <w:vAlign w:val="bottom"/>
            <w:hideMark/>
          </w:tcPr>
          <w:p w14:paraId="04FBDA33" w14:textId="77777777" w:rsidR="00696584" w:rsidRDefault="002C4F63">
            <w:pPr>
              <w:pStyle w:val="P68B1DB1-Normal91"/>
            </w:pPr>
            <w:r>
              <w:t>BondSpot S.A.</w:t>
            </w:r>
          </w:p>
        </w:tc>
      </w:tr>
      <w:tr w:rsidR="00696584" w14:paraId="3B8A9B67" w14:textId="77777777">
        <w:trPr>
          <w:trHeight w:val="300"/>
        </w:trPr>
        <w:tc>
          <w:tcPr>
            <w:tcW w:w="9072" w:type="dxa"/>
            <w:tcBorders>
              <w:top w:val="nil"/>
              <w:left w:val="nil"/>
              <w:bottom w:val="nil"/>
              <w:right w:val="nil"/>
            </w:tcBorders>
            <w:noWrap/>
            <w:vAlign w:val="bottom"/>
            <w:hideMark/>
          </w:tcPr>
          <w:p w14:paraId="73DB34EF" w14:textId="77777777" w:rsidR="00696584" w:rsidRDefault="002C4F63">
            <w:pPr>
              <w:pStyle w:val="P68B1DB1-Normal91"/>
            </w:pPr>
            <w:r>
              <w:t>BORICA</w:t>
            </w:r>
          </w:p>
        </w:tc>
      </w:tr>
      <w:tr w:rsidR="00696584" w14:paraId="5E8D43A2" w14:textId="77777777">
        <w:trPr>
          <w:trHeight w:val="300"/>
        </w:trPr>
        <w:tc>
          <w:tcPr>
            <w:tcW w:w="9072" w:type="dxa"/>
            <w:tcBorders>
              <w:top w:val="nil"/>
              <w:left w:val="nil"/>
              <w:bottom w:val="nil"/>
              <w:right w:val="nil"/>
            </w:tcBorders>
            <w:noWrap/>
            <w:vAlign w:val="bottom"/>
            <w:hideMark/>
          </w:tcPr>
          <w:p w14:paraId="4F788B85" w14:textId="77777777" w:rsidR="00696584" w:rsidRDefault="002C4F63">
            <w:pPr>
              <w:pStyle w:val="P68B1DB1-Normal91"/>
            </w:pPr>
            <w:r>
              <w:t>Borsa Italiana SpA</w:t>
            </w:r>
          </w:p>
        </w:tc>
      </w:tr>
      <w:tr w:rsidR="008777A7" w14:paraId="0034826C" w14:textId="77777777">
        <w:trPr>
          <w:trHeight w:val="300"/>
        </w:trPr>
        <w:tc>
          <w:tcPr>
            <w:tcW w:w="9072" w:type="dxa"/>
            <w:tcBorders>
              <w:top w:val="nil"/>
              <w:left w:val="nil"/>
              <w:bottom w:val="nil"/>
              <w:right w:val="nil"/>
            </w:tcBorders>
            <w:noWrap/>
            <w:vAlign w:val="bottom"/>
            <w:hideMark/>
          </w:tcPr>
          <w:p w14:paraId="6C688147" w14:textId="29103600" w:rsidR="008777A7" w:rsidRDefault="008777A7" w:rsidP="008777A7">
            <w:pPr>
              <w:pStyle w:val="P68B1DB1-Normal91"/>
            </w:pPr>
            <w:r w:rsidRPr="00F22F68">
              <w:t>Bratislava Stock Exchange</w:t>
            </w:r>
          </w:p>
        </w:tc>
      </w:tr>
      <w:tr w:rsidR="008777A7" w14:paraId="2ACAB3C1" w14:textId="77777777">
        <w:trPr>
          <w:trHeight w:val="300"/>
        </w:trPr>
        <w:tc>
          <w:tcPr>
            <w:tcW w:w="9072" w:type="dxa"/>
            <w:tcBorders>
              <w:top w:val="nil"/>
              <w:left w:val="nil"/>
              <w:bottom w:val="nil"/>
              <w:right w:val="nil"/>
            </w:tcBorders>
            <w:noWrap/>
            <w:vAlign w:val="bottom"/>
            <w:hideMark/>
          </w:tcPr>
          <w:p w14:paraId="797C25FF" w14:textId="6DF47331" w:rsidR="008777A7" w:rsidRDefault="008777A7" w:rsidP="008777A7">
            <w:pPr>
              <w:pStyle w:val="P68B1DB1-Normal91"/>
            </w:pPr>
            <w:r w:rsidRPr="00F22F68">
              <w:t>Budapest Stock Exchange</w:t>
            </w:r>
          </w:p>
        </w:tc>
      </w:tr>
      <w:tr w:rsidR="008777A7" w14:paraId="7928BB77" w14:textId="77777777">
        <w:trPr>
          <w:trHeight w:val="300"/>
        </w:trPr>
        <w:tc>
          <w:tcPr>
            <w:tcW w:w="9072" w:type="dxa"/>
            <w:tcBorders>
              <w:top w:val="nil"/>
              <w:left w:val="nil"/>
              <w:bottom w:val="nil"/>
              <w:right w:val="nil"/>
            </w:tcBorders>
            <w:noWrap/>
            <w:vAlign w:val="bottom"/>
            <w:hideMark/>
          </w:tcPr>
          <w:p w14:paraId="3D5ECE9A" w14:textId="55F40CCB" w:rsidR="008777A7" w:rsidRDefault="008777A7" w:rsidP="008777A7">
            <w:pPr>
              <w:pStyle w:val="P68B1DB1-Normal91"/>
            </w:pPr>
            <w:r w:rsidRPr="00F22F68">
              <w:t>Bulgarian Stock Exchange</w:t>
            </w:r>
          </w:p>
        </w:tc>
      </w:tr>
      <w:tr w:rsidR="00696584" w14:paraId="3ED0C0E7" w14:textId="77777777">
        <w:trPr>
          <w:trHeight w:val="300"/>
        </w:trPr>
        <w:tc>
          <w:tcPr>
            <w:tcW w:w="9072" w:type="dxa"/>
            <w:tcBorders>
              <w:top w:val="nil"/>
              <w:left w:val="nil"/>
              <w:bottom w:val="nil"/>
              <w:right w:val="nil"/>
            </w:tcBorders>
            <w:noWrap/>
            <w:vAlign w:val="bottom"/>
            <w:hideMark/>
          </w:tcPr>
          <w:p w14:paraId="2AACB60C" w14:textId="77777777" w:rsidR="00696584" w:rsidRDefault="002C4F63">
            <w:pPr>
              <w:pStyle w:val="P68B1DB1-Normal91"/>
            </w:pPr>
            <w:r>
              <w:t>Bursa de Valori Bucaresti</w:t>
            </w:r>
          </w:p>
        </w:tc>
      </w:tr>
      <w:tr w:rsidR="00696584" w:rsidRPr="00CE138C" w14:paraId="358B0CBB" w14:textId="77777777">
        <w:trPr>
          <w:trHeight w:val="300"/>
        </w:trPr>
        <w:tc>
          <w:tcPr>
            <w:tcW w:w="9072" w:type="dxa"/>
            <w:tcBorders>
              <w:top w:val="nil"/>
              <w:left w:val="nil"/>
              <w:bottom w:val="nil"/>
              <w:right w:val="nil"/>
            </w:tcBorders>
            <w:noWrap/>
            <w:vAlign w:val="bottom"/>
            <w:hideMark/>
          </w:tcPr>
          <w:p w14:paraId="69852FE3" w14:textId="0E9BBA77" w:rsidR="00696584" w:rsidRPr="00C5754B" w:rsidRDefault="002C4F63">
            <w:pPr>
              <w:pStyle w:val="P68B1DB1-Normal91"/>
              <w:rPr>
                <w:lang w:val="en-GB"/>
              </w:rPr>
            </w:pPr>
            <w:r w:rsidRPr="00C5754B">
              <w:rPr>
                <w:lang w:val="en-GB"/>
              </w:rPr>
              <w:t>Burza cenných papírů Praha, a.s. (</w:t>
            </w:r>
            <w:r w:rsidR="008777A7" w:rsidRPr="00C5754B">
              <w:rPr>
                <w:lang w:val="en-GB"/>
              </w:rPr>
              <w:t>Prague Stock Exchange</w:t>
            </w:r>
            <w:r w:rsidRPr="00C5754B">
              <w:rPr>
                <w:lang w:val="en-GB"/>
              </w:rPr>
              <w:t>)</w:t>
            </w:r>
          </w:p>
        </w:tc>
      </w:tr>
      <w:tr w:rsidR="00696584" w:rsidRPr="00CE138C" w14:paraId="2BEFFD1A" w14:textId="77777777">
        <w:trPr>
          <w:trHeight w:val="300"/>
        </w:trPr>
        <w:tc>
          <w:tcPr>
            <w:tcW w:w="9072" w:type="dxa"/>
            <w:tcBorders>
              <w:top w:val="nil"/>
              <w:left w:val="nil"/>
              <w:bottom w:val="nil"/>
              <w:right w:val="nil"/>
            </w:tcBorders>
            <w:noWrap/>
            <w:vAlign w:val="bottom"/>
            <w:hideMark/>
          </w:tcPr>
          <w:p w14:paraId="32741FAD" w14:textId="074D1E3B" w:rsidR="00696584" w:rsidRPr="00C5754B" w:rsidRDefault="008777A7">
            <w:pPr>
              <w:pStyle w:val="P68B1DB1-Normal91"/>
              <w:rPr>
                <w:lang w:val="en-GB"/>
              </w:rPr>
            </w:pPr>
            <w:r w:rsidRPr="00C5754B">
              <w:rPr>
                <w:lang w:val="en-GB"/>
              </w:rPr>
              <w:t xml:space="preserve">Canadian depository for securities </w:t>
            </w:r>
            <w:r w:rsidR="002C4F63" w:rsidRPr="00C5754B">
              <w:rPr>
                <w:lang w:val="en-GB"/>
              </w:rPr>
              <w:t>(CDS)</w:t>
            </w:r>
          </w:p>
        </w:tc>
      </w:tr>
      <w:tr w:rsidR="00696584" w14:paraId="588D9A6E" w14:textId="77777777">
        <w:trPr>
          <w:trHeight w:val="300"/>
        </w:trPr>
        <w:tc>
          <w:tcPr>
            <w:tcW w:w="9072" w:type="dxa"/>
            <w:tcBorders>
              <w:top w:val="nil"/>
              <w:left w:val="nil"/>
              <w:bottom w:val="nil"/>
              <w:right w:val="nil"/>
            </w:tcBorders>
            <w:noWrap/>
            <w:vAlign w:val="bottom"/>
            <w:hideMark/>
          </w:tcPr>
          <w:p w14:paraId="30CD8C56" w14:textId="77777777" w:rsidR="00696584" w:rsidRDefault="002C4F63">
            <w:pPr>
              <w:pStyle w:val="P68B1DB1-Normal91"/>
            </w:pPr>
            <w:r>
              <w:t>Canadian Derivatives Clearing Corporation</w:t>
            </w:r>
          </w:p>
        </w:tc>
      </w:tr>
      <w:tr w:rsidR="00696584" w14:paraId="47A4B165" w14:textId="77777777">
        <w:trPr>
          <w:trHeight w:val="300"/>
        </w:trPr>
        <w:tc>
          <w:tcPr>
            <w:tcW w:w="9072" w:type="dxa"/>
            <w:tcBorders>
              <w:top w:val="nil"/>
              <w:left w:val="nil"/>
              <w:bottom w:val="nil"/>
              <w:right w:val="nil"/>
            </w:tcBorders>
            <w:noWrap/>
            <w:vAlign w:val="bottom"/>
          </w:tcPr>
          <w:p w14:paraId="4B6A49F9" w14:textId="77777777" w:rsidR="00696584" w:rsidRDefault="002C4F63">
            <w:pPr>
              <w:pStyle w:val="P68B1DB1-Normal91"/>
            </w:pPr>
            <w:r>
              <w:t>Cboe Clear Europe</w:t>
            </w:r>
          </w:p>
        </w:tc>
      </w:tr>
      <w:tr w:rsidR="00696584" w14:paraId="00F4E07D" w14:textId="77777777">
        <w:trPr>
          <w:trHeight w:val="300"/>
        </w:trPr>
        <w:tc>
          <w:tcPr>
            <w:tcW w:w="9072" w:type="dxa"/>
            <w:tcBorders>
              <w:top w:val="nil"/>
              <w:left w:val="nil"/>
              <w:bottom w:val="nil"/>
              <w:right w:val="nil"/>
            </w:tcBorders>
            <w:noWrap/>
            <w:vAlign w:val="bottom"/>
            <w:hideMark/>
          </w:tcPr>
          <w:p w14:paraId="143644AA" w14:textId="77777777" w:rsidR="00696584" w:rsidRDefault="002C4F63">
            <w:pPr>
              <w:pStyle w:val="P68B1DB1-Normal91"/>
            </w:pPr>
            <w:r>
              <w:t>CCP Austria</w:t>
            </w:r>
          </w:p>
        </w:tc>
      </w:tr>
      <w:tr w:rsidR="00696584" w14:paraId="49668E14" w14:textId="77777777">
        <w:trPr>
          <w:trHeight w:val="300"/>
        </w:trPr>
        <w:tc>
          <w:tcPr>
            <w:tcW w:w="9072" w:type="dxa"/>
            <w:tcBorders>
              <w:top w:val="nil"/>
              <w:left w:val="nil"/>
              <w:bottom w:val="nil"/>
              <w:right w:val="nil"/>
            </w:tcBorders>
            <w:noWrap/>
            <w:vAlign w:val="bottom"/>
            <w:hideMark/>
          </w:tcPr>
          <w:p w14:paraId="4D54CDC3" w14:textId="77777777" w:rsidR="00696584" w:rsidRDefault="002C4F63">
            <w:pPr>
              <w:pStyle w:val="P68B1DB1-Normal91"/>
            </w:pPr>
            <w:r>
              <w:t>CEC/UCV</w:t>
            </w:r>
          </w:p>
        </w:tc>
      </w:tr>
      <w:tr w:rsidR="00696584" w14:paraId="13CEB735" w14:textId="77777777">
        <w:trPr>
          <w:trHeight w:val="300"/>
        </w:trPr>
        <w:tc>
          <w:tcPr>
            <w:tcW w:w="9072" w:type="dxa"/>
            <w:tcBorders>
              <w:top w:val="nil"/>
              <w:left w:val="nil"/>
              <w:bottom w:val="nil"/>
              <w:right w:val="nil"/>
            </w:tcBorders>
            <w:noWrap/>
            <w:vAlign w:val="bottom"/>
            <w:hideMark/>
          </w:tcPr>
          <w:p w14:paraId="7E656B34" w14:textId="77777777" w:rsidR="00696584" w:rsidRDefault="002C4F63">
            <w:pPr>
              <w:pStyle w:val="P68B1DB1-Normal91"/>
            </w:pPr>
            <w:r>
              <w:t>CEESEG AG (Wiener Borse)</w:t>
            </w:r>
          </w:p>
        </w:tc>
      </w:tr>
      <w:tr w:rsidR="00696584" w14:paraId="38BBF453" w14:textId="77777777">
        <w:trPr>
          <w:trHeight w:val="300"/>
        </w:trPr>
        <w:tc>
          <w:tcPr>
            <w:tcW w:w="9072" w:type="dxa"/>
            <w:tcBorders>
              <w:top w:val="nil"/>
              <w:left w:val="nil"/>
              <w:bottom w:val="nil"/>
              <w:right w:val="nil"/>
            </w:tcBorders>
            <w:noWrap/>
            <w:vAlign w:val="bottom"/>
            <w:hideMark/>
          </w:tcPr>
          <w:p w14:paraId="7C5735E8" w14:textId="77777777" w:rsidR="00696584" w:rsidRDefault="002C4F63">
            <w:pPr>
              <w:pStyle w:val="P68B1DB1-Normal91"/>
            </w:pPr>
            <w:r>
              <w:t>Central Depository &amp; Clearing Company</w:t>
            </w:r>
          </w:p>
        </w:tc>
      </w:tr>
      <w:tr w:rsidR="00696584" w14:paraId="100E6E04" w14:textId="77777777">
        <w:trPr>
          <w:trHeight w:val="300"/>
        </w:trPr>
        <w:tc>
          <w:tcPr>
            <w:tcW w:w="9072" w:type="dxa"/>
            <w:tcBorders>
              <w:top w:val="nil"/>
              <w:left w:val="nil"/>
              <w:bottom w:val="nil"/>
              <w:right w:val="nil"/>
            </w:tcBorders>
            <w:noWrap/>
            <w:vAlign w:val="bottom"/>
            <w:hideMark/>
          </w:tcPr>
          <w:p w14:paraId="1D98F57D" w14:textId="77777777" w:rsidR="00696584" w:rsidRDefault="002C4F63">
            <w:pPr>
              <w:pStyle w:val="P68B1DB1-Normal91"/>
            </w:pPr>
            <w:r>
              <w:t>Central Depository AD</w:t>
            </w:r>
          </w:p>
        </w:tc>
      </w:tr>
      <w:tr w:rsidR="008777A7" w:rsidRPr="00CE138C" w14:paraId="3E41A5D7" w14:textId="77777777">
        <w:trPr>
          <w:trHeight w:val="300"/>
        </w:trPr>
        <w:tc>
          <w:tcPr>
            <w:tcW w:w="9072" w:type="dxa"/>
            <w:tcBorders>
              <w:top w:val="nil"/>
              <w:left w:val="nil"/>
              <w:bottom w:val="nil"/>
              <w:right w:val="nil"/>
            </w:tcBorders>
            <w:noWrap/>
            <w:vAlign w:val="bottom"/>
            <w:hideMark/>
          </w:tcPr>
          <w:p w14:paraId="149F4C5F" w14:textId="348D7D59" w:rsidR="008777A7" w:rsidRPr="00C5754B" w:rsidRDefault="008777A7" w:rsidP="008777A7">
            <w:pPr>
              <w:pStyle w:val="P68B1DB1-Normal91"/>
              <w:rPr>
                <w:lang w:val="en-GB"/>
              </w:rPr>
            </w:pPr>
            <w:r w:rsidRPr="00C5754B">
              <w:rPr>
                <w:lang w:val="en-GB"/>
              </w:rPr>
              <w:t>Central Depository and Central Registry</w:t>
            </w:r>
          </w:p>
        </w:tc>
      </w:tr>
      <w:tr w:rsidR="008777A7" w:rsidRPr="00CE138C" w14:paraId="1B4CF3CD" w14:textId="77777777">
        <w:trPr>
          <w:trHeight w:val="300"/>
        </w:trPr>
        <w:tc>
          <w:tcPr>
            <w:tcW w:w="9072" w:type="dxa"/>
            <w:tcBorders>
              <w:top w:val="nil"/>
              <w:left w:val="nil"/>
              <w:bottom w:val="nil"/>
              <w:right w:val="nil"/>
            </w:tcBorders>
            <w:noWrap/>
            <w:vAlign w:val="bottom"/>
            <w:hideMark/>
          </w:tcPr>
          <w:p w14:paraId="7783EDF6" w14:textId="77777777" w:rsidR="008777A7" w:rsidRPr="00C5754B" w:rsidRDefault="008777A7" w:rsidP="008777A7">
            <w:pPr>
              <w:pStyle w:val="P68B1DB1-Normal91"/>
              <w:rPr>
                <w:lang w:val="en-GB"/>
              </w:rPr>
            </w:pPr>
            <w:r w:rsidRPr="00C5754B">
              <w:rPr>
                <w:lang w:val="en-GB"/>
              </w:rPr>
              <w:t>Centralna klirinško depotna družba (KDD)</w:t>
            </w:r>
          </w:p>
        </w:tc>
      </w:tr>
      <w:tr w:rsidR="008777A7" w14:paraId="7812614A" w14:textId="77777777">
        <w:trPr>
          <w:trHeight w:val="300"/>
        </w:trPr>
        <w:tc>
          <w:tcPr>
            <w:tcW w:w="9072" w:type="dxa"/>
            <w:tcBorders>
              <w:top w:val="nil"/>
              <w:left w:val="nil"/>
              <w:bottom w:val="nil"/>
              <w:right w:val="nil"/>
            </w:tcBorders>
            <w:noWrap/>
            <w:vAlign w:val="bottom"/>
            <w:hideMark/>
          </w:tcPr>
          <w:p w14:paraId="7231B5A5" w14:textId="77777777" w:rsidR="008777A7" w:rsidRDefault="008777A7" w:rsidP="008777A7">
            <w:pPr>
              <w:pStyle w:val="P68B1DB1-Normal91"/>
            </w:pPr>
            <w:r>
              <w:t>Centrální depozitár cenných papíru SR a.s. (CDCP)/Zentralverwahrer von Wertpapieren Prag</w:t>
            </w:r>
          </w:p>
        </w:tc>
      </w:tr>
      <w:tr w:rsidR="008777A7" w14:paraId="3DFD9976" w14:textId="77777777">
        <w:trPr>
          <w:trHeight w:val="300"/>
        </w:trPr>
        <w:tc>
          <w:tcPr>
            <w:tcW w:w="9072" w:type="dxa"/>
            <w:tcBorders>
              <w:top w:val="nil"/>
              <w:left w:val="nil"/>
              <w:bottom w:val="nil"/>
              <w:right w:val="nil"/>
            </w:tcBorders>
            <w:noWrap/>
            <w:vAlign w:val="bottom"/>
            <w:hideMark/>
          </w:tcPr>
          <w:p w14:paraId="742B58E1" w14:textId="77777777" w:rsidR="008777A7" w:rsidRDefault="008777A7" w:rsidP="008777A7">
            <w:pPr>
              <w:pStyle w:val="P68B1DB1-Normal91"/>
            </w:pPr>
            <w:r>
              <w:t>Centrálny Depositár cenných Papierov (CDCP) SR</w:t>
            </w:r>
          </w:p>
        </w:tc>
      </w:tr>
      <w:tr w:rsidR="008777A7" w14:paraId="0C3666C6" w14:textId="77777777">
        <w:trPr>
          <w:trHeight w:val="300"/>
        </w:trPr>
        <w:tc>
          <w:tcPr>
            <w:tcW w:w="9072" w:type="dxa"/>
            <w:tcBorders>
              <w:top w:val="nil"/>
              <w:left w:val="nil"/>
              <w:bottom w:val="nil"/>
              <w:right w:val="nil"/>
            </w:tcBorders>
            <w:noWrap/>
            <w:vAlign w:val="bottom"/>
            <w:hideMark/>
          </w:tcPr>
          <w:p w14:paraId="44F52918" w14:textId="77777777" w:rsidR="008777A7" w:rsidRDefault="008777A7" w:rsidP="008777A7">
            <w:pPr>
              <w:pStyle w:val="P68B1DB1-Normal91"/>
            </w:pPr>
            <w:r>
              <w:t>CENTROlink</w:t>
            </w:r>
          </w:p>
        </w:tc>
      </w:tr>
      <w:tr w:rsidR="008777A7" w:rsidRPr="00CE138C" w14:paraId="1BAAD6F5" w14:textId="77777777">
        <w:trPr>
          <w:trHeight w:val="300"/>
        </w:trPr>
        <w:tc>
          <w:tcPr>
            <w:tcW w:w="9072" w:type="dxa"/>
            <w:tcBorders>
              <w:top w:val="nil"/>
              <w:left w:val="nil"/>
              <w:bottom w:val="nil"/>
              <w:right w:val="nil"/>
            </w:tcBorders>
            <w:noWrap/>
            <w:vAlign w:val="bottom"/>
            <w:hideMark/>
          </w:tcPr>
          <w:p w14:paraId="1E11605F" w14:textId="77777777" w:rsidR="008777A7" w:rsidRPr="00C5754B" w:rsidRDefault="008777A7" w:rsidP="008777A7">
            <w:pPr>
              <w:pStyle w:val="P68B1DB1-Normal91"/>
              <w:rPr>
                <w:lang w:val="en-GB"/>
              </w:rPr>
            </w:pPr>
            <w:r w:rsidRPr="00C5754B">
              <w:rPr>
                <w:lang w:val="en-GB"/>
              </w:rPr>
              <w:t>CERTIS (Czech Express Real Time Interbank Gross Settlement System)</w:t>
            </w:r>
          </w:p>
        </w:tc>
      </w:tr>
      <w:tr w:rsidR="008777A7" w:rsidRPr="00CE138C" w14:paraId="58D71B59" w14:textId="77777777">
        <w:trPr>
          <w:trHeight w:val="300"/>
        </w:trPr>
        <w:tc>
          <w:tcPr>
            <w:tcW w:w="9072" w:type="dxa"/>
            <w:tcBorders>
              <w:top w:val="nil"/>
              <w:left w:val="nil"/>
              <w:bottom w:val="nil"/>
              <w:right w:val="nil"/>
            </w:tcBorders>
            <w:noWrap/>
            <w:vAlign w:val="bottom"/>
            <w:hideMark/>
          </w:tcPr>
          <w:p w14:paraId="0405428F" w14:textId="77777777" w:rsidR="008777A7" w:rsidRPr="00C5754B" w:rsidRDefault="008777A7" w:rsidP="008777A7">
            <w:pPr>
              <w:pStyle w:val="P68B1DB1-Normal91"/>
              <w:rPr>
                <w:lang w:val="en-GB"/>
              </w:rPr>
            </w:pPr>
            <w:r w:rsidRPr="00C5754B">
              <w:rPr>
                <w:lang w:val="en-GB"/>
              </w:rPr>
              <w:t>CHAPS (Clearing House Automated Payment System)</w:t>
            </w:r>
          </w:p>
        </w:tc>
      </w:tr>
      <w:tr w:rsidR="008777A7" w:rsidRPr="00CE138C" w14:paraId="0F052492" w14:textId="77777777">
        <w:trPr>
          <w:trHeight w:val="300"/>
        </w:trPr>
        <w:tc>
          <w:tcPr>
            <w:tcW w:w="9072" w:type="dxa"/>
            <w:tcBorders>
              <w:top w:val="nil"/>
              <w:left w:val="nil"/>
              <w:bottom w:val="nil"/>
              <w:right w:val="nil"/>
            </w:tcBorders>
            <w:noWrap/>
            <w:vAlign w:val="bottom"/>
            <w:hideMark/>
          </w:tcPr>
          <w:p w14:paraId="4F411666" w14:textId="77777777" w:rsidR="008777A7" w:rsidRPr="00C5754B" w:rsidRDefault="008777A7" w:rsidP="008777A7">
            <w:pPr>
              <w:pStyle w:val="P68B1DB1-Normal91"/>
              <w:rPr>
                <w:lang w:val="en-GB"/>
              </w:rPr>
            </w:pPr>
            <w:r w:rsidRPr="00C5754B">
              <w:rPr>
                <w:lang w:val="en-GB"/>
              </w:rPr>
              <w:lastRenderedPageBreak/>
              <w:t>Cheque &amp; Credit Clearing System Ltd</w:t>
            </w:r>
          </w:p>
        </w:tc>
      </w:tr>
      <w:tr w:rsidR="008777A7" w14:paraId="0979B652" w14:textId="77777777">
        <w:trPr>
          <w:trHeight w:val="300"/>
        </w:trPr>
        <w:tc>
          <w:tcPr>
            <w:tcW w:w="9072" w:type="dxa"/>
            <w:tcBorders>
              <w:top w:val="nil"/>
              <w:left w:val="nil"/>
              <w:bottom w:val="nil"/>
              <w:right w:val="nil"/>
            </w:tcBorders>
            <w:noWrap/>
            <w:vAlign w:val="bottom"/>
            <w:hideMark/>
          </w:tcPr>
          <w:p w14:paraId="53589C87" w14:textId="77777777" w:rsidR="008777A7" w:rsidRDefault="008777A7" w:rsidP="008777A7">
            <w:pPr>
              <w:pStyle w:val="P68B1DB1-Normal91"/>
            </w:pPr>
            <w:r>
              <w:t>CHIPS</w:t>
            </w:r>
          </w:p>
        </w:tc>
      </w:tr>
      <w:tr w:rsidR="008777A7" w14:paraId="3FA985BC" w14:textId="77777777">
        <w:trPr>
          <w:trHeight w:val="300"/>
        </w:trPr>
        <w:tc>
          <w:tcPr>
            <w:tcW w:w="9072" w:type="dxa"/>
            <w:tcBorders>
              <w:top w:val="nil"/>
              <w:left w:val="nil"/>
              <w:bottom w:val="nil"/>
              <w:right w:val="nil"/>
            </w:tcBorders>
            <w:noWrap/>
            <w:vAlign w:val="bottom"/>
            <w:hideMark/>
          </w:tcPr>
          <w:p w14:paraId="1D542203" w14:textId="77777777" w:rsidR="008777A7" w:rsidRDefault="008777A7" w:rsidP="008777A7">
            <w:pPr>
              <w:pStyle w:val="P68B1DB1-Normal91"/>
            </w:pPr>
            <w:r>
              <w:t>Clearing Service Austria (CSA)</w:t>
            </w:r>
          </w:p>
        </w:tc>
      </w:tr>
      <w:tr w:rsidR="008777A7" w14:paraId="6FFF162D" w14:textId="77777777">
        <w:trPr>
          <w:trHeight w:val="300"/>
        </w:trPr>
        <w:tc>
          <w:tcPr>
            <w:tcW w:w="9072" w:type="dxa"/>
            <w:tcBorders>
              <w:top w:val="nil"/>
              <w:left w:val="nil"/>
              <w:bottom w:val="nil"/>
              <w:right w:val="nil"/>
            </w:tcBorders>
            <w:noWrap/>
            <w:vAlign w:val="bottom"/>
            <w:hideMark/>
          </w:tcPr>
          <w:p w14:paraId="657C636C" w14:textId="330E96D9" w:rsidR="008777A7" w:rsidRDefault="008777A7" w:rsidP="008777A7">
            <w:pPr>
              <w:pStyle w:val="P68B1DB1-Normal91"/>
            </w:pPr>
            <w:r w:rsidRPr="00F22F68">
              <w:t xml:space="preserve">Clearing Service International </w:t>
            </w:r>
            <w:r>
              <w:t>(CSI)</w:t>
            </w:r>
          </w:p>
        </w:tc>
      </w:tr>
      <w:tr w:rsidR="008777A7" w14:paraId="086AA89E" w14:textId="77777777">
        <w:trPr>
          <w:trHeight w:val="300"/>
        </w:trPr>
        <w:tc>
          <w:tcPr>
            <w:tcW w:w="9072" w:type="dxa"/>
            <w:tcBorders>
              <w:top w:val="nil"/>
              <w:left w:val="nil"/>
              <w:bottom w:val="nil"/>
              <w:right w:val="nil"/>
            </w:tcBorders>
            <w:noWrap/>
            <w:vAlign w:val="bottom"/>
            <w:hideMark/>
          </w:tcPr>
          <w:p w14:paraId="2802A46D" w14:textId="77777777" w:rsidR="008777A7" w:rsidRDefault="008777A7" w:rsidP="008777A7">
            <w:pPr>
              <w:pStyle w:val="P68B1DB1-Normal91"/>
            </w:pPr>
            <w:r>
              <w:t>Clearstream Banking AG:</w:t>
            </w:r>
          </w:p>
        </w:tc>
      </w:tr>
      <w:tr w:rsidR="008777A7" w14:paraId="0E099AF5" w14:textId="77777777">
        <w:trPr>
          <w:trHeight w:val="300"/>
        </w:trPr>
        <w:tc>
          <w:tcPr>
            <w:tcW w:w="9072" w:type="dxa"/>
            <w:tcBorders>
              <w:top w:val="nil"/>
              <w:left w:val="nil"/>
              <w:bottom w:val="nil"/>
              <w:right w:val="nil"/>
            </w:tcBorders>
            <w:noWrap/>
            <w:vAlign w:val="bottom"/>
            <w:hideMark/>
          </w:tcPr>
          <w:p w14:paraId="7ED35FA8" w14:textId="77777777" w:rsidR="008777A7" w:rsidRDefault="008777A7" w:rsidP="008777A7">
            <w:pPr>
              <w:pStyle w:val="P68B1DB1-Normal91"/>
            </w:pPr>
            <w:r>
              <w:t>Clearstream Banking Luxembourg</w:t>
            </w:r>
          </w:p>
        </w:tc>
      </w:tr>
      <w:tr w:rsidR="008777A7" w14:paraId="55359EE8" w14:textId="77777777">
        <w:trPr>
          <w:trHeight w:val="300"/>
        </w:trPr>
        <w:tc>
          <w:tcPr>
            <w:tcW w:w="9072" w:type="dxa"/>
            <w:tcBorders>
              <w:top w:val="nil"/>
              <w:left w:val="nil"/>
              <w:bottom w:val="nil"/>
              <w:right w:val="nil"/>
            </w:tcBorders>
            <w:noWrap/>
            <w:vAlign w:val="bottom"/>
            <w:hideMark/>
          </w:tcPr>
          <w:p w14:paraId="218A6446" w14:textId="77777777" w:rsidR="008777A7" w:rsidRDefault="008777A7" w:rsidP="008777A7">
            <w:pPr>
              <w:pStyle w:val="P68B1DB1-Normal91"/>
            </w:pPr>
            <w:r>
              <w:t>CLS</w:t>
            </w:r>
          </w:p>
        </w:tc>
      </w:tr>
      <w:tr w:rsidR="008777A7" w:rsidRPr="00CE138C" w14:paraId="6A82B717" w14:textId="77777777">
        <w:trPr>
          <w:trHeight w:val="300"/>
        </w:trPr>
        <w:tc>
          <w:tcPr>
            <w:tcW w:w="9072" w:type="dxa"/>
            <w:tcBorders>
              <w:top w:val="nil"/>
              <w:left w:val="nil"/>
              <w:bottom w:val="nil"/>
              <w:right w:val="nil"/>
            </w:tcBorders>
            <w:noWrap/>
            <w:vAlign w:val="bottom"/>
            <w:hideMark/>
          </w:tcPr>
          <w:p w14:paraId="051DFD15" w14:textId="77777777" w:rsidR="008777A7" w:rsidRPr="00C5754B" w:rsidRDefault="008777A7" w:rsidP="008777A7">
            <w:pPr>
              <w:pStyle w:val="P68B1DB1-Normal91"/>
              <w:rPr>
                <w:lang w:val="en-GB"/>
              </w:rPr>
            </w:pPr>
            <w:r w:rsidRPr="00C5754B">
              <w:rPr>
                <w:lang w:val="en-GB"/>
              </w:rPr>
              <w:t>CME Trade Repository Ltd (CME TR)</w:t>
            </w:r>
          </w:p>
        </w:tc>
      </w:tr>
      <w:tr w:rsidR="008777A7" w14:paraId="06831526" w14:textId="77777777">
        <w:trPr>
          <w:trHeight w:val="300"/>
        </w:trPr>
        <w:tc>
          <w:tcPr>
            <w:tcW w:w="9072" w:type="dxa"/>
            <w:tcBorders>
              <w:top w:val="nil"/>
              <w:left w:val="nil"/>
              <w:bottom w:val="nil"/>
              <w:right w:val="nil"/>
            </w:tcBorders>
            <w:noWrap/>
            <w:vAlign w:val="bottom"/>
            <w:hideMark/>
          </w:tcPr>
          <w:p w14:paraId="33B6CA7E" w14:textId="51BDE2AA" w:rsidR="008777A7" w:rsidRDefault="008777A7" w:rsidP="008777A7">
            <w:pPr>
              <w:pStyle w:val="P68B1DB1-Normal91"/>
            </w:pPr>
            <w:r w:rsidRPr="00F22F68">
              <w:t>Cyprus Clearing House</w:t>
            </w:r>
          </w:p>
        </w:tc>
      </w:tr>
      <w:tr w:rsidR="008777A7" w14:paraId="3BB1F880" w14:textId="77777777">
        <w:trPr>
          <w:trHeight w:val="300"/>
        </w:trPr>
        <w:tc>
          <w:tcPr>
            <w:tcW w:w="9072" w:type="dxa"/>
            <w:tcBorders>
              <w:top w:val="nil"/>
              <w:left w:val="nil"/>
              <w:bottom w:val="nil"/>
              <w:right w:val="nil"/>
            </w:tcBorders>
            <w:noWrap/>
            <w:vAlign w:val="bottom"/>
            <w:hideMark/>
          </w:tcPr>
          <w:p w14:paraId="6DCF1051" w14:textId="77777777" w:rsidR="008777A7" w:rsidRDefault="008777A7" w:rsidP="008777A7">
            <w:pPr>
              <w:pStyle w:val="P68B1DB1-Normal91"/>
            </w:pPr>
            <w:r>
              <w:t>Cyprus Stock Exchange</w:t>
            </w:r>
          </w:p>
        </w:tc>
      </w:tr>
      <w:tr w:rsidR="008777A7" w14:paraId="7F6A962C" w14:textId="77777777">
        <w:trPr>
          <w:trHeight w:val="300"/>
        </w:trPr>
        <w:tc>
          <w:tcPr>
            <w:tcW w:w="9072" w:type="dxa"/>
            <w:tcBorders>
              <w:top w:val="nil"/>
              <w:left w:val="nil"/>
              <w:bottom w:val="nil"/>
              <w:right w:val="nil"/>
            </w:tcBorders>
            <w:noWrap/>
            <w:vAlign w:val="bottom"/>
            <w:hideMark/>
          </w:tcPr>
          <w:p w14:paraId="359710C1" w14:textId="7CAD79CF" w:rsidR="008777A7" w:rsidRDefault="008777A7" w:rsidP="008777A7">
            <w:pPr>
              <w:pStyle w:val="P68B1DB1-Normal91"/>
            </w:pPr>
            <w:r>
              <w:t>Dataclearing</w:t>
            </w:r>
          </w:p>
        </w:tc>
      </w:tr>
      <w:tr w:rsidR="008777A7" w14:paraId="0118AB34" w14:textId="77777777">
        <w:trPr>
          <w:trHeight w:val="300"/>
        </w:trPr>
        <w:tc>
          <w:tcPr>
            <w:tcW w:w="9072" w:type="dxa"/>
            <w:tcBorders>
              <w:top w:val="nil"/>
              <w:left w:val="nil"/>
              <w:bottom w:val="nil"/>
              <w:right w:val="nil"/>
            </w:tcBorders>
            <w:noWrap/>
            <w:vAlign w:val="bottom"/>
            <w:hideMark/>
          </w:tcPr>
          <w:p w14:paraId="371022ED" w14:textId="77777777" w:rsidR="008777A7" w:rsidRDefault="008777A7" w:rsidP="008777A7">
            <w:pPr>
              <w:pStyle w:val="P68B1DB1-Normal91"/>
            </w:pPr>
            <w:r>
              <w:t>Depozitarul Central S.A.</w:t>
            </w:r>
          </w:p>
        </w:tc>
      </w:tr>
      <w:tr w:rsidR="008777A7" w14:paraId="2356D6E7" w14:textId="77777777">
        <w:trPr>
          <w:trHeight w:val="300"/>
        </w:trPr>
        <w:tc>
          <w:tcPr>
            <w:tcW w:w="9072" w:type="dxa"/>
            <w:tcBorders>
              <w:top w:val="nil"/>
              <w:left w:val="nil"/>
              <w:bottom w:val="nil"/>
              <w:right w:val="nil"/>
            </w:tcBorders>
            <w:noWrap/>
            <w:vAlign w:val="bottom"/>
            <w:hideMark/>
          </w:tcPr>
          <w:p w14:paraId="2A6C99D9" w14:textId="77777777" w:rsidR="008777A7" w:rsidRDefault="008777A7" w:rsidP="008777A7">
            <w:pPr>
              <w:pStyle w:val="P68B1DB1-Normal91"/>
            </w:pPr>
            <w:r>
              <w:t>Deutsche Börse AG</w:t>
            </w:r>
          </w:p>
        </w:tc>
      </w:tr>
      <w:tr w:rsidR="008777A7" w14:paraId="086E410F" w14:textId="77777777">
        <w:trPr>
          <w:trHeight w:val="300"/>
        </w:trPr>
        <w:tc>
          <w:tcPr>
            <w:tcW w:w="9072" w:type="dxa"/>
            <w:tcBorders>
              <w:top w:val="nil"/>
              <w:left w:val="nil"/>
              <w:bottom w:val="nil"/>
              <w:right w:val="nil"/>
            </w:tcBorders>
            <w:noWrap/>
            <w:vAlign w:val="bottom"/>
            <w:hideMark/>
          </w:tcPr>
          <w:p w14:paraId="557F1C51" w14:textId="77777777" w:rsidR="008777A7" w:rsidRDefault="008777A7" w:rsidP="008777A7">
            <w:pPr>
              <w:pStyle w:val="P68B1DB1-Normal91"/>
            </w:pPr>
            <w:r>
              <w:t>Dias (Interbanking Systems S.A.)</w:t>
            </w:r>
          </w:p>
        </w:tc>
      </w:tr>
      <w:tr w:rsidR="008777A7" w14:paraId="2ADBEB7D" w14:textId="77777777">
        <w:trPr>
          <w:trHeight w:val="300"/>
        </w:trPr>
        <w:tc>
          <w:tcPr>
            <w:tcW w:w="9072" w:type="dxa"/>
            <w:tcBorders>
              <w:top w:val="nil"/>
              <w:left w:val="nil"/>
              <w:bottom w:val="nil"/>
              <w:right w:val="nil"/>
            </w:tcBorders>
            <w:noWrap/>
            <w:vAlign w:val="bottom"/>
            <w:hideMark/>
          </w:tcPr>
          <w:p w14:paraId="08C28E5B" w14:textId="77777777" w:rsidR="008777A7" w:rsidRDefault="008777A7" w:rsidP="008777A7">
            <w:pPr>
              <w:pStyle w:val="P68B1DB1-Normal91"/>
            </w:pPr>
            <w:r>
              <w:t>DTC (Depository Trust Company)</w:t>
            </w:r>
          </w:p>
        </w:tc>
      </w:tr>
      <w:tr w:rsidR="008777A7" w14:paraId="797F9EF8" w14:textId="77777777">
        <w:trPr>
          <w:trHeight w:val="300"/>
        </w:trPr>
        <w:tc>
          <w:tcPr>
            <w:tcW w:w="9072" w:type="dxa"/>
            <w:tcBorders>
              <w:top w:val="nil"/>
              <w:left w:val="nil"/>
              <w:bottom w:val="nil"/>
              <w:right w:val="nil"/>
            </w:tcBorders>
            <w:noWrap/>
            <w:vAlign w:val="bottom"/>
            <w:hideMark/>
          </w:tcPr>
          <w:p w14:paraId="51E5D740" w14:textId="44B3C5A9" w:rsidR="008777A7" w:rsidRDefault="008777A7" w:rsidP="008777A7">
            <w:pPr>
              <w:pStyle w:val="P68B1DB1-Normal91"/>
            </w:pPr>
            <w:r>
              <w:t>DTCC-Derivatives Repository Plc</w:t>
            </w:r>
          </w:p>
        </w:tc>
      </w:tr>
      <w:tr w:rsidR="008777A7" w14:paraId="6ADFC287" w14:textId="77777777">
        <w:trPr>
          <w:trHeight w:val="300"/>
        </w:trPr>
        <w:tc>
          <w:tcPr>
            <w:tcW w:w="9072" w:type="dxa"/>
            <w:tcBorders>
              <w:top w:val="nil"/>
              <w:left w:val="nil"/>
              <w:bottom w:val="nil"/>
              <w:right w:val="nil"/>
            </w:tcBorders>
            <w:noWrap/>
            <w:vAlign w:val="bottom"/>
            <w:hideMark/>
          </w:tcPr>
          <w:p w14:paraId="30027F70" w14:textId="3CE5FB42" w:rsidR="008777A7" w:rsidRDefault="008777A7" w:rsidP="008777A7">
            <w:pPr>
              <w:pStyle w:val="P68B1DB1-Normal91"/>
            </w:pPr>
            <w:r>
              <w:t>Electronic Clearing System (EKS)</w:t>
            </w:r>
          </w:p>
        </w:tc>
      </w:tr>
      <w:tr w:rsidR="008777A7" w14:paraId="3C13C365" w14:textId="77777777">
        <w:trPr>
          <w:trHeight w:val="300"/>
        </w:trPr>
        <w:tc>
          <w:tcPr>
            <w:tcW w:w="9072" w:type="dxa"/>
            <w:tcBorders>
              <w:top w:val="nil"/>
              <w:left w:val="nil"/>
              <w:bottom w:val="nil"/>
              <w:right w:val="nil"/>
            </w:tcBorders>
            <w:noWrap/>
            <w:vAlign w:val="bottom"/>
            <w:hideMark/>
          </w:tcPr>
          <w:p w14:paraId="2536A2E4" w14:textId="5DE4D882" w:rsidR="008777A7" w:rsidRDefault="008777A7" w:rsidP="008777A7">
            <w:pPr>
              <w:pStyle w:val="P68B1DB1-Normal91"/>
            </w:pPr>
            <w:r>
              <w:t>ELIXIR</w:t>
            </w:r>
          </w:p>
        </w:tc>
      </w:tr>
      <w:tr w:rsidR="008777A7" w14:paraId="59490FEF" w14:textId="77777777">
        <w:trPr>
          <w:trHeight w:val="300"/>
        </w:trPr>
        <w:tc>
          <w:tcPr>
            <w:tcW w:w="9072" w:type="dxa"/>
            <w:tcBorders>
              <w:top w:val="nil"/>
              <w:left w:val="nil"/>
              <w:bottom w:val="nil"/>
              <w:right w:val="nil"/>
            </w:tcBorders>
            <w:noWrap/>
            <w:vAlign w:val="bottom"/>
            <w:hideMark/>
          </w:tcPr>
          <w:p w14:paraId="5D3BC6DE" w14:textId="77777777" w:rsidR="008777A7" w:rsidRDefault="008777A7" w:rsidP="008777A7">
            <w:pPr>
              <w:pStyle w:val="P68B1DB1-Normal91"/>
            </w:pPr>
            <w:r>
              <w:t>Equens</w:t>
            </w:r>
          </w:p>
        </w:tc>
      </w:tr>
      <w:tr w:rsidR="008777A7" w14:paraId="7151AAFC" w14:textId="77777777">
        <w:trPr>
          <w:trHeight w:val="300"/>
        </w:trPr>
        <w:tc>
          <w:tcPr>
            <w:tcW w:w="9072" w:type="dxa"/>
            <w:tcBorders>
              <w:top w:val="nil"/>
              <w:left w:val="nil"/>
              <w:bottom w:val="nil"/>
              <w:right w:val="nil"/>
            </w:tcBorders>
            <w:noWrap/>
            <w:vAlign w:val="bottom"/>
            <w:hideMark/>
          </w:tcPr>
          <w:p w14:paraId="62F52322" w14:textId="77777777" w:rsidR="008777A7" w:rsidRDefault="008777A7" w:rsidP="008777A7">
            <w:pPr>
              <w:pStyle w:val="P68B1DB1-Normal91"/>
            </w:pPr>
            <w:r>
              <w:t>EUREX Clearing AG</w:t>
            </w:r>
          </w:p>
        </w:tc>
      </w:tr>
      <w:tr w:rsidR="008777A7" w14:paraId="20047EE0" w14:textId="77777777">
        <w:trPr>
          <w:trHeight w:val="300"/>
        </w:trPr>
        <w:tc>
          <w:tcPr>
            <w:tcW w:w="9072" w:type="dxa"/>
            <w:tcBorders>
              <w:top w:val="nil"/>
              <w:left w:val="nil"/>
              <w:bottom w:val="nil"/>
              <w:right w:val="nil"/>
            </w:tcBorders>
            <w:noWrap/>
            <w:vAlign w:val="bottom"/>
            <w:hideMark/>
          </w:tcPr>
          <w:p w14:paraId="65198B5E" w14:textId="45B12C55" w:rsidR="008777A7" w:rsidRDefault="008777A7" w:rsidP="008777A7">
            <w:pPr>
              <w:pStyle w:val="P68B1DB1-Normal91"/>
            </w:pPr>
            <w:r>
              <w:t>EURO 1</w:t>
            </w:r>
          </w:p>
        </w:tc>
      </w:tr>
      <w:tr w:rsidR="008777A7" w14:paraId="51532B57" w14:textId="77777777">
        <w:trPr>
          <w:trHeight w:val="300"/>
        </w:trPr>
        <w:tc>
          <w:tcPr>
            <w:tcW w:w="9072" w:type="dxa"/>
            <w:tcBorders>
              <w:top w:val="nil"/>
              <w:left w:val="nil"/>
              <w:bottom w:val="nil"/>
              <w:right w:val="nil"/>
            </w:tcBorders>
            <w:noWrap/>
            <w:vAlign w:val="bottom"/>
            <w:hideMark/>
          </w:tcPr>
          <w:p w14:paraId="6784162A" w14:textId="77777777" w:rsidR="008777A7" w:rsidRDefault="008777A7" w:rsidP="008777A7">
            <w:pPr>
              <w:pStyle w:val="P68B1DB1-Normal91"/>
            </w:pPr>
            <w:r>
              <w:t>Euroclear Bank</w:t>
            </w:r>
          </w:p>
        </w:tc>
      </w:tr>
      <w:tr w:rsidR="008777A7" w14:paraId="1FED107A" w14:textId="77777777">
        <w:trPr>
          <w:trHeight w:val="300"/>
        </w:trPr>
        <w:tc>
          <w:tcPr>
            <w:tcW w:w="9072" w:type="dxa"/>
            <w:tcBorders>
              <w:top w:val="nil"/>
              <w:left w:val="nil"/>
              <w:bottom w:val="nil"/>
              <w:right w:val="nil"/>
            </w:tcBorders>
            <w:noWrap/>
            <w:vAlign w:val="bottom"/>
            <w:hideMark/>
          </w:tcPr>
          <w:p w14:paraId="7EB27986" w14:textId="77777777" w:rsidR="008777A7" w:rsidRDefault="008777A7" w:rsidP="008777A7">
            <w:pPr>
              <w:pStyle w:val="P68B1DB1-Normal91"/>
            </w:pPr>
            <w:r>
              <w:t>Euroclear Belgium (ESES)</w:t>
            </w:r>
          </w:p>
        </w:tc>
      </w:tr>
      <w:tr w:rsidR="008777A7" w14:paraId="19126F92" w14:textId="77777777">
        <w:trPr>
          <w:trHeight w:val="300"/>
        </w:trPr>
        <w:tc>
          <w:tcPr>
            <w:tcW w:w="9072" w:type="dxa"/>
            <w:tcBorders>
              <w:top w:val="nil"/>
              <w:left w:val="nil"/>
              <w:bottom w:val="nil"/>
              <w:right w:val="nil"/>
            </w:tcBorders>
            <w:noWrap/>
            <w:vAlign w:val="bottom"/>
            <w:hideMark/>
          </w:tcPr>
          <w:p w14:paraId="649DE977" w14:textId="77777777" w:rsidR="008777A7" w:rsidRDefault="008777A7" w:rsidP="008777A7">
            <w:pPr>
              <w:pStyle w:val="P68B1DB1-Normal91"/>
            </w:pPr>
            <w:r>
              <w:t>Euroclear Finland</w:t>
            </w:r>
          </w:p>
        </w:tc>
      </w:tr>
      <w:tr w:rsidR="008777A7" w14:paraId="37A9A6E1" w14:textId="77777777">
        <w:trPr>
          <w:trHeight w:val="300"/>
        </w:trPr>
        <w:tc>
          <w:tcPr>
            <w:tcW w:w="9072" w:type="dxa"/>
            <w:tcBorders>
              <w:top w:val="nil"/>
              <w:left w:val="nil"/>
              <w:bottom w:val="nil"/>
              <w:right w:val="nil"/>
            </w:tcBorders>
            <w:noWrap/>
            <w:vAlign w:val="bottom"/>
            <w:hideMark/>
          </w:tcPr>
          <w:p w14:paraId="734EF8BF" w14:textId="77777777" w:rsidR="008777A7" w:rsidRDefault="008777A7" w:rsidP="008777A7">
            <w:pPr>
              <w:pStyle w:val="P68B1DB1-Normal91"/>
            </w:pPr>
            <w:r>
              <w:t>Euroclear France (ESES)</w:t>
            </w:r>
          </w:p>
        </w:tc>
      </w:tr>
      <w:tr w:rsidR="008777A7" w14:paraId="33F2EFD1" w14:textId="77777777">
        <w:trPr>
          <w:trHeight w:val="300"/>
        </w:trPr>
        <w:tc>
          <w:tcPr>
            <w:tcW w:w="9072" w:type="dxa"/>
            <w:tcBorders>
              <w:top w:val="nil"/>
              <w:left w:val="nil"/>
              <w:bottom w:val="nil"/>
              <w:right w:val="nil"/>
            </w:tcBorders>
            <w:noWrap/>
            <w:vAlign w:val="bottom"/>
            <w:hideMark/>
          </w:tcPr>
          <w:p w14:paraId="0273EA5F" w14:textId="77777777" w:rsidR="008777A7" w:rsidRDefault="008777A7" w:rsidP="008777A7">
            <w:pPr>
              <w:pStyle w:val="P68B1DB1-Normal91"/>
            </w:pPr>
            <w:r>
              <w:t>Euroclear Netherlands (ESES)</w:t>
            </w:r>
          </w:p>
        </w:tc>
      </w:tr>
      <w:tr w:rsidR="008777A7" w14:paraId="7B056DB0" w14:textId="77777777">
        <w:trPr>
          <w:trHeight w:val="300"/>
        </w:trPr>
        <w:tc>
          <w:tcPr>
            <w:tcW w:w="9072" w:type="dxa"/>
            <w:tcBorders>
              <w:top w:val="nil"/>
              <w:left w:val="nil"/>
              <w:bottom w:val="nil"/>
              <w:right w:val="nil"/>
            </w:tcBorders>
            <w:noWrap/>
            <w:vAlign w:val="bottom"/>
            <w:hideMark/>
          </w:tcPr>
          <w:p w14:paraId="09E6EC57" w14:textId="2F52E2A5" w:rsidR="008777A7" w:rsidRDefault="008777A7" w:rsidP="008777A7">
            <w:pPr>
              <w:pStyle w:val="P68B1DB1-Normal91"/>
            </w:pPr>
            <w:r>
              <w:t>Euroclear Sweden AB (VPC systemet)</w:t>
            </w:r>
          </w:p>
        </w:tc>
      </w:tr>
      <w:tr w:rsidR="008777A7" w:rsidRPr="00CE138C" w14:paraId="3D614022" w14:textId="77777777">
        <w:trPr>
          <w:trHeight w:val="300"/>
        </w:trPr>
        <w:tc>
          <w:tcPr>
            <w:tcW w:w="9072" w:type="dxa"/>
            <w:tcBorders>
              <w:top w:val="nil"/>
              <w:left w:val="nil"/>
              <w:bottom w:val="nil"/>
              <w:right w:val="nil"/>
            </w:tcBorders>
            <w:noWrap/>
            <w:vAlign w:val="bottom"/>
            <w:hideMark/>
          </w:tcPr>
          <w:p w14:paraId="1A4DFFF6" w14:textId="77777777" w:rsidR="008777A7" w:rsidRPr="00C5754B" w:rsidRDefault="008777A7" w:rsidP="008777A7">
            <w:pPr>
              <w:pStyle w:val="P68B1DB1-Normal91"/>
              <w:rPr>
                <w:lang w:val="en-GB"/>
              </w:rPr>
            </w:pPr>
            <w:r w:rsidRPr="00C5754B">
              <w:rPr>
                <w:lang w:val="en-GB"/>
              </w:rPr>
              <w:t>Euroclear UK &amp; Ireland Limited (EUI) (CREST)</w:t>
            </w:r>
          </w:p>
        </w:tc>
      </w:tr>
      <w:tr w:rsidR="008777A7" w14:paraId="55B08F89" w14:textId="77777777">
        <w:trPr>
          <w:trHeight w:val="300"/>
        </w:trPr>
        <w:tc>
          <w:tcPr>
            <w:tcW w:w="9072" w:type="dxa"/>
            <w:tcBorders>
              <w:top w:val="nil"/>
              <w:left w:val="nil"/>
              <w:bottom w:val="nil"/>
              <w:right w:val="nil"/>
            </w:tcBorders>
            <w:noWrap/>
            <w:vAlign w:val="bottom"/>
            <w:hideMark/>
          </w:tcPr>
          <w:p w14:paraId="56E621EE" w14:textId="19CDB19B" w:rsidR="008777A7" w:rsidRDefault="008777A7" w:rsidP="008777A7">
            <w:pPr>
              <w:pStyle w:val="P68B1DB1-Normal91"/>
            </w:pPr>
            <w:r>
              <w:t>Euronext Amsterdam Cash Markett</w:t>
            </w:r>
          </w:p>
        </w:tc>
      </w:tr>
      <w:tr w:rsidR="008777A7" w:rsidRPr="00CE138C" w14:paraId="08BE70B5" w14:textId="77777777">
        <w:trPr>
          <w:trHeight w:val="300"/>
        </w:trPr>
        <w:tc>
          <w:tcPr>
            <w:tcW w:w="9072" w:type="dxa"/>
            <w:tcBorders>
              <w:top w:val="nil"/>
              <w:left w:val="nil"/>
              <w:bottom w:val="nil"/>
              <w:right w:val="nil"/>
            </w:tcBorders>
            <w:noWrap/>
            <w:vAlign w:val="bottom"/>
            <w:hideMark/>
          </w:tcPr>
          <w:p w14:paraId="717F6012" w14:textId="77777777" w:rsidR="008777A7" w:rsidRPr="00C5754B" w:rsidRDefault="008777A7" w:rsidP="008777A7">
            <w:pPr>
              <w:pStyle w:val="P68B1DB1-Normal91"/>
              <w:rPr>
                <w:lang w:val="en-GB"/>
              </w:rPr>
            </w:pPr>
            <w:r w:rsidRPr="00C5754B">
              <w:rPr>
                <w:lang w:val="en-GB"/>
              </w:rPr>
              <w:t>Euronext Brussels SA</w:t>
            </w:r>
          </w:p>
          <w:p w14:paraId="3E95828F" w14:textId="77777777" w:rsidR="008777A7" w:rsidRPr="00C5754B" w:rsidRDefault="008777A7" w:rsidP="008777A7">
            <w:pPr>
              <w:rPr>
                <w:rFonts w:eastAsia="Times New Roman" w:cs="Calibri"/>
                <w:color w:val="000000"/>
                <w:sz w:val="18"/>
                <w:szCs w:val="18"/>
                <w:lang w:val="en-GB"/>
              </w:rPr>
            </w:pPr>
            <w:r w:rsidRPr="00C5754B">
              <w:rPr>
                <w:rFonts w:eastAsia="Times New Roman" w:cs="Calibri"/>
                <w:color w:val="000000"/>
                <w:sz w:val="18"/>
                <w:szCs w:val="18"/>
                <w:lang w:val="en-GB"/>
              </w:rPr>
              <w:t>Euronext Clearing</w:t>
            </w:r>
            <w:r>
              <w:rPr>
                <w:rStyle w:val="FootnoteReference"/>
                <w:rFonts w:eastAsia="Times New Roman" w:cs="Calibri"/>
                <w:color w:val="000000"/>
                <w:sz w:val="18"/>
              </w:rPr>
              <w:footnoteReference w:id="37"/>
            </w:r>
          </w:p>
        </w:tc>
      </w:tr>
      <w:tr w:rsidR="008777A7" w14:paraId="6A3A4767" w14:textId="77777777">
        <w:trPr>
          <w:trHeight w:val="300"/>
        </w:trPr>
        <w:tc>
          <w:tcPr>
            <w:tcW w:w="9072" w:type="dxa"/>
            <w:tcBorders>
              <w:top w:val="nil"/>
              <w:left w:val="nil"/>
              <w:bottom w:val="nil"/>
              <w:right w:val="nil"/>
            </w:tcBorders>
            <w:noWrap/>
            <w:vAlign w:val="bottom"/>
            <w:hideMark/>
          </w:tcPr>
          <w:p w14:paraId="0CF6918B" w14:textId="77777777" w:rsidR="008777A7" w:rsidRDefault="008777A7" w:rsidP="008777A7">
            <w:pPr>
              <w:pStyle w:val="P68B1DB1-Normal91"/>
            </w:pPr>
            <w:r>
              <w:t>Euronext Lisbon SA</w:t>
            </w:r>
          </w:p>
        </w:tc>
      </w:tr>
      <w:tr w:rsidR="008777A7" w14:paraId="1114BA7C" w14:textId="77777777">
        <w:trPr>
          <w:trHeight w:val="300"/>
        </w:trPr>
        <w:tc>
          <w:tcPr>
            <w:tcW w:w="9072" w:type="dxa"/>
            <w:tcBorders>
              <w:top w:val="nil"/>
              <w:left w:val="nil"/>
              <w:bottom w:val="nil"/>
              <w:right w:val="nil"/>
            </w:tcBorders>
            <w:noWrap/>
            <w:vAlign w:val="bottom"/>
            <w:hideMark/>
          </w:tcPr>
          <w:p w14:paraId="58D22650" w14:textId="03233CBD" w:rsidR="008777A7" w:rsidRDefault="008777A7" w:rsidP="008777A7">
            <w:pPr>
              <w:pStyle w:val="P68B1DB1-Normal91"/>
            </w:pPr>
            <w:r>
              <w:t>European CCP NV</w:t>
            </w:r>
          </w:p>
        </w:tc>
      </w:tr>
      <w:tr w:rsidR="008777A7" w14:paraId="1758B1C2" w14:textId="77777777">
        <w:trPr>
          <w:trHeight w:val="300"/>
        </w:trPr>
        <w:tc>
          <w:tcPr>
            <w:tcW w:w="9072" w:type="dxa"/>
            <w:tcBorders>
              <w:top w:val="nil"/>
              <w:left w:val="nil"/>
              <w:bottom w:val="nil"/>
              <w:right w:val="nil"/>
            </w:tcBorders>
            <w:noWrap/>
            <w:vAlign w:val="bottom"/>
            <w:hideMark/>
          </w:tcPr>
          <w:p w14:paraId="6342DE58" w14:textId="79DDBF53" w:rsidR="008777A7" w:rsidRDefault="008777A7" w:rsidP="008777A7">
            <w:pPr>
              <w:pStyle w:val="P68B1DB1-Normal91"/>
            </w:pPr>
            <w:r w:rsidRPr="00F22F68">
              <w:t>European Commodity Clearing (ECC)</w:t>
            </w:r>
          </w:p>
        </w:tc>
      </w:tr>
      <w:tr w:rsidR="008777A7" w14:paraId="0DDA2A90" w14:textId="77777777">
        <w:trPr>
          <w:trHeight w:val="300"/>
        </w:trPr>
        <w:tc>
          <w:tcPr>
            <w:tcW w:w="9072" w:type="dxa"/>
            <w:tcBorders>
              <w:top w:val="nil"/>
              <w:left w:val="nil"/>
              <w:bottom w:val="nil"/>
              <w:right w:val="nil"/>
            </w:tcBorders>
            <w:noWrap/>
            <w:vAlign w:val="bottom"/>
            <w:hideMark/>
          </w:tcPr>
          <w:p w14:paraId="40A82682" w14:textId="77777777" w:rsidR="008777A7" w:rsidRDefault="008777A7" w:rsidP="008777A7">
            <w:pPr>
              <w:pStyle w:val="P68B1DB1-Normal91"/>
            </w:pPr>
            <w:r>
              <w:t>Express Elixir</w:t>
            </w:r>
          </w:p>
        </w:tc>
      </w:tr>
      <w:tr w:rsidR="008777A7" w14:paraId="542DFF49" w14:textId="77777777">
        <w:trPr>
          <w:trHeight w:val="300"/>
        </w:trPr>
        <w:tc>
          <w:tcPr>
            <w:tcW w:w="9072" w:type="dxa"/>
            <w:tcBorders>
              <w:top w:val="nil"/>
              <w:left w:val="nil"/>
              <w:bottom w:val="nil"/>
              <w:right w:val="nil"/>
            </w:tcBorders>
            <w:noWrap/>
            <w:vAlign w:val="bottom"/>
            <w:hideMark/>
          </w:tcPr>
          <w:p w14:paraId="059F87EB" w14:textId="4B01DAD9" w:rsidR="008777A7" w:rsidRDefault="008777A7" w:rsidP="008777A7">
            <w:pPr>
              <w:pStyle w:val="P68B1DB1-Normal91"/>
            </w:pPr>
            <w:r w:rsidRPr="00F22F68">
              <w:t>Faster Payments Service (FPS)</w:t>
            </w:r>
          </w:p>
        </w:tc>
      </w:tr>
      <w:tr w:rsidR="008777A7" w14:paraId="4CFAE77A" w14:textId="77777777">
        <w:trPr>
          <w:trHeight w:val="300"/>
        </w:trPr>
        <w:tc>
          <w:tcPr>
            <w:tcW w:w="9072" w:type="dxa"/>
            <w:tcBorders>
              <w:top w:val="nil"/>
              <w:left w:val="nil"/>
              <w:bottom w:val="nil"/>
              <w:right w:val="nil"/>
            </w:tcBorders>
            <w:noWrap/>
            <w:vAlign w:val="bottom"/>
            <w:hideMark/>
          </w:tcPr>
          <w:p w14:paraId="03A78736" w14:textId="2135A5CE" w:rsidR="008777A7" w:rsidRDefault="008777A7" w:rsidP="008777A7">
            <w:pPr>
              <w:pStyle w:val="P68B1DB1-Normal91"/>
            </w:pPr>
            <w:r>
              <w:t>FedACH Services</w:t>
            </w:r>
          </w:p>
        </w:tc>
      </w:tr>
      <w:tr w:rsidR="008777A7" w14:paraId="1A8E545B" w14:textId="77777777">
        <w:trPr>
          <w:trHeight w:val="300"/>
        </w:trPr>
        <w:tc>
          <w:tcPr>
            <w:tcW w:w="9072" w:type="dxa"/>
            <w:tcBorders>
              <w:top w:val="nil"/>
              <w:left w:val="nil"/>
              <w:bottom w:val="nil"/>
              <w:right w:val="nil"/>
            </w:tcBorders>
            <w:noWrap/>
            <w:vAlign w:val="bottom"/>
            <w:hideMark/>
          </w:tcPr>
          <w:p w14:paraId="508F0A63" w14:textId="77777777" w:rsidR="008777A7" w:rsidRDefault="008777A7" w:rsidP="008777A7">
            <w:pPr>
              <w:pStyle w:val="P68B1DB1-Normal91"/>
            </w:pPr>
            <w:r>
              <w:t>Fedwire Funds Service</w:t>
            </w:r>
          </w:p>
        </w:tc>
      </w:tr>
      <w:tr w:rsidR="008777A7" w14:paraId="7603EDE5" w14:textId="77777777">
        <w:trPr>
          <w:trHeight w:val="300"/>
        </w:trPr>
        <w:tc>
          <w:tcPr>
            <w:tcW w:w="9072" w:type="dxa"/>
            <w:tcBorders>
              <w:top w:val="nil"/>
              <w:left w:val="nil"/>
              <w:bottom w:val="nil"/>
              <w:right w:val="nil"/>
            </w:tcBorders>
            <w:noWrap/>
            <w:vAlign w:val="bottom"/>
            <w:hideMark/>
          </w:tcPr>
          <w:p w14:paraId="6146D91C" w14:textId="3A96C517" w:rsidR="008777A7" w:rsidRDefault="008777A7" w:rsidP="008777A7">
            <w:pPr>
              <w:pStyle w:val="P68B1DB1-Normal91"/>
            </w:pPr>
            <w:r>
              <w:t>Fedwire Securities Services</w:t>
            </w:r>
          </w:p>
        </w:tc>
      </w:tr>
      <w:tr w:rsidR="008777A7" w:rsidRPr="00CE138C" w14:paraId="638B9492" w14:textId="77777777">
        <w:trPr>
          <w:trHeight w:val="300"/>
        </w:trPr>
        <w:tc>
          <w:tcPr>
            <w:tcW w:w="9072" w:type="dxa"/>
            <w:tcBorders>
              <w:top w:val="nil"/>
              <w:left w:val="nil"/>
              <w:bottom w:val="nil"/>
              <w:right w:val="nil"/>
            </w:tcBorders>
            <w:noWrap/>
            <w:vAlign w:val="bottom"/>
            <w:hideMark/>
          </w:tcPr>
          <w:p w14:paraId="0FCA6B85" w14:textId="4513C824" w:rsidR="008777A7" w:rsidRPr="00C5754B" w:rsidRDefault="008777A7" w:rsidP="008777A7">
            <w:pPr>
              <w:pStyle w:val="P68B1DB1-Normal91"/>
              <w:rPr>
                <w:lang w:val="en-GB"/>
              </w:rPr>
            </w:pPr>
            <w:r w:rsidRPr="00C5754B">
              <w:rPr>
                <w:lang w:val="en-GB"/>
              </w:rPr>
              <w:t>Fixed Income Clearing Corp (FICC)</w:t>
            </w:r>
          </w:p>
        </w:tc>
      </w:tr>
      <w:tr w:rsidR="008777A7" w:rsidRPr="00CE138C" w14:paraId="4384BE65" w14:textId="77777777">
        <w:trPr>
          <w:trHeight w:val="300"/>
        </w:trPr>
        <w:tc>
          <w:tcPr>
            <w:tcW w:w="9072" w:type="dxa"/>
            <w:tcBorders>
              <w:top w:val="nil"/>
              <w:left w:val="nil"/>
              <w:bottom w:val="nil"/>
              <w:right w:val="nil"/>
            </w:tcBorders>
            <w:noWrap/>
            <w:vAlign w:val="bottom"/>
            <w:hideMark/>
          </w:tcPr>
          <w:p w14:paraId="7CCF9B46" w14:textId="22F1DD2E" w:rsidR="008777A7" w:rsidRPr="00C5754B" w:rsidRDefault="008777A7" w:rsidP="008777A7">
            <w:pPr>
              <w:pStyle w:val="P68B1DB1-Normal91"/>
              <w:rPr>
                <w:lang w:val="en-GB"/>
              </w:rPr>
            </w:pPr>
            <w:r w:rsidRPr="00C5754B">
              <w:rPr>
                <w:lang w:val="en-GB"/>
              </w:rPr>
              <w:t>Gielda Papierow Wartosciowych w Warszawie (Warsaw Stock Exchange)</w:t>
            </w:r>
          </w:p>
        </w:tc>
      </w:tr>
      <w:tr w:rsidR="008777A7" w14:paraId="62CB1AB6" w14:textId="77777777">
        <w:trPr>
          <w:trHeight w:val="300"/>
        </w:trPr>
        <w:tc>
          <w:tcPr>
            <w:tcW w:w="9072" w:type="dxa"/>
            <w:tcBorders>
              <w:top w:val="nil"/>
              <w:left w:val="nil"/>
              <w:bottom w:val="nil"/>
              <w:right w:val="nil"/>
            </w:tcBorders>
            <w:noWrap/>
            <w:vAlign w:val="bottom"/>
            <w:hideMark/>
          </w:tcPr>
          <w:p w14:paraId="56890D2B" w14:textId="77777777" w:rsidR="008777A7" w:rsidRDefault="008777A7" w:rsidP="008777A7">
            <w:pPr>
              <w:pStyle w:val="P68B1DB1-Normal91"/>
            </w:pPr>
            <w:r>
              <w:t>Government Securities Depository (GSD)</w:t>
            </w:r>
          </w:p>
        </w:tc>
      </w:tr>
      <w:tr w:rsidR="008777A7" w14:paraId="5B41050C" w14:textId="77777777">
        <w:trPr>
          <w:trHeight w:val="300"/>
        </w:trPr>
        <w:tc>
          <w:tcPr>
            <w:tcW w:w="9072" w:type="dxa"/>
            <w:tcBorders>
              <w:top w:val="nil"/>
              <w:left w:val="nil"/>
              <w:bottom w:val="nil"/>
              <w:right w:val="nil"/>
            </w:tcBorders>
            <w:noWrap/>
            <w:vAlign w:val="bottom"/>
            <w:hideMark/>
          </w:tcPr>
          <w:p w14:paraId="24CCAE22" w14:textId="77777777" w:rsidR="008777A7" w:rsidRDefault="008777A7" w:rsidP="008777A7">
            <w:pPr>
              <w:pStyle w:val="P68B1DB1-Normal91"/>
            </w:pPr>
            <w:r>
              <w:lastRenderedPageBreak/>
              <w:t>HSVP (RTGS)</w:t>
            </w:r>
          </w:p>
        </w:tc>
      </w:tr>
      <w:tr w:rsidR="008777A7" w14:paraId="013849A1" w14:textId="77777777">
        <w:trPr>
          <w:trHeight w:val="300"/>
        </w:trPr>
        <w:tc>
          <w:tcPr>
            <w:tcW w:w="9072" w:type="dxa"/>
            <w:tcBorders>
              <w:top w:val="nil"/>
              <w:left w:val="nil"/>
              <w:bottom w:val="nil"/>
              <w:right w:val="nil"/>
            </w:tcBorders>
            <w:noWrap/>
            <w:vAlign w:val="bottom"/>
            <w:hideMark/>
          </w:tcPr>
          <w:p w14:paraId="686B8E20" w14:textId="77777777" w:rsidR="008777A7" w:rsidRDefault="008777A7" w:rsidP="008777A7">
            <w:pPr>
              <w:pStyle w:val="P68B1DB1-Normal91"/>
            </w:pPr>
            <w:r>
              <w:t>Iberclear</w:t>
            </w:r>
          </w:p>
        </w:tc>
      </w:tr>
      <w:tr w:rsidR="008777A7" w14:paraId="69A745A4" w14:textId="77777777">
        <w:trPr>
          <w:trHeight w:val="300"/>
        </w:trPr>
        <w:tc>
          <w:tcPr>
            <w:tcW w:w="9072" w:type="dxa"/>
            <w:tcBorders>
              <w:top w:val="nil"/>
              <w:left w:val="nil"/>
              <w:bottom w:val="nil"/>
              <w:right w:val="nil"/>
            </w:tcBorders>
            <w:noWrap/>
            <w:vAlign w:val="bottom"/>
            <w:hideMark/>
          </w:tcPr>
          <w:p w14:paraId="676D5D75" w14:textId="77777777" w:rsidR="008777A7" w:rsidRDefault="008777A7" w:rsidP="008777A7">
            <w:pPr>
              <w:pStyle w:val="P68B1DB1-Normal91"/>
            </w:pPr>
            <w:r>
              <w:t>ICE Clear</w:t>
            </w:r>
          </w:p>
        </w:tc>
      </w:tr>
      <w:tr w:rsidR="008777A7" w14:paraId="780088CD" w14:textId="77777777">
        <w:trPr>
          <w:trHeight w:val="300"/>
        </w:trPr>
        <w:tc>
          <w:tcPr>
            <w:tcW w:w="9072" w:type="dxa"/>
            <w:tcBorders>
              <w:top w:val="nil"/>
              <w:left w:val="nil"/>
              <w:bottom w:val="nil"/>
              <w:right w:val="nil"/>
            </w:tcBorders>
            <w:noWrap/>
            <w:vAlign w:val="bottom"/>
            <w:hideMark/>
          </w:tcPr>
          <w:p w14:paraId="51279EB6" w14:textId="77777777" w:rsidR="008777A7" w:rsidRDefault="008777A7" w:rsidP="008777A7">
            <w:pPr>
              <w:pStyle w:val="P68B1DB1-Normal91"/>
            </w:pPr>
            <w:r>
              <w:t>ICE Clear Europe Limited</w:t>
            </w:r>
          </w:p>
        </w:tc>
      </w:tr>
      <w:tr w:rsidR="008777A7" w14:paraId="0A625316" w14:textId="77777777">
        <w:trPr>
          <w:trHeight w:val="300"/>
        </w:trPr>
        <w:tc>
          <w:tcPr>
            <w:tcW w:w="9072" w:type="dxa"/>
            <w:tcBorders>
              <w:top w:val="nil"/>
              <w:left w:val="nil"/>
              <w:bottom w:val="nil"/>
              <w:right w:val="nil"/>
            </w:tcBorders>
            <w:noWrap/>
            <w:vAlign w:val="bottom"/>
            <w:hideMark/>
          </w:tcPr>
          <w:p w14:paraId="478D14C3" w14:textId="33BEE7DB" w:rsidR="008777A7" w:rsidRDefault="008777A7" w:rsidP="008777A7">
            <w:pPr>
              <w:pStyle w:val="P68B1DB1-Normal91"/>
            </w:pPr>
            <w:r w:rsidRPr="00F22F68">
              <w:t>ICE Clear Netherlands</w:t>
            </w:r>
          </w:p>
        </w:tc>
      </w:tr>
      <w:tr w:rsidR="008777A7" w:rsidRPr="00CE138C" w14:paraId="7BA736BC" w14:textId="77777777">
        <w:trPr>
          <w:trHeight w:val="300"/>
        </w:trPr>
        <w:tc>
          <w:tcPr>
            <w:tcW w:w="9072" w:type="dxa"/>
            <w:tcBorders>
              <w:top w:val="nil"/>
              <w:left w:val="nil"/>
              <w:bottom w:val="nil"/>
              <w:right w:val="nil"/>
            </w:tcBorders>
            <w:noWrap/>
            <w:vAlign w:val="bottom"/>
            <w:hideMark/>
          </w:tcPr>
          <w:p w14:paraId="791A2916" w14:textId="3DD1949A" w:rsidR="008777A7" w:rsidRPr="00C5754B" w:rsidRDefault="008777A7" w:rsidP="008777A7">
            <w:pPr>
              <w:pStyle w:val="P68B1DB1-Normal91"/>
              <w:rPr>
                <w:lang w:val="en-GB"/>
              </w:rPr>
            </w:pPr>
            <w:r w:rsidRPr="00C5754B">
              <w:rPr>
                <w:lang w:val="en-GB"/>
              </w:rPr>
              <w:t>I</w:t>
            </w:r>
            <w:r>
              <w:rPr>
                <w:lang w:val="en-GB"/>
              </w:rPr>
              <w:t>CE</w:t>
            </w:r>
            <w:r w:rsidRPr="00C5754B">
              <w:rPr>
                <w:lang w:val="en-GB"/>
              </w:rPr>
              <w:t xml:space="preserve"> Trade Vault Europe Limited (ICE TVEL)</w:t>
            </w:r>
          </w:p>
        </w:tc>
      </w:tr>
      <w:tr w:rsidR="008777A7" w14:paraId="6A1792FC" w14:textId="77777777">
        <w:trPr>
          <w:trHeight w:val="300"/>
        </w:trPr>
        <w:tc>
          <w:tcPr>
            <w:tcW w:w="9072" w:type="dxa"/>
            <w:tcBorders>
              <w:top w:val="nil"/>
              <w:left w:val="nil"/>
              <w:bottom w:val="nil"/>
              <w:right w:val="nil"/>
            </w:tcBorders>
            <w:noWrap/>
            <w:vAlign w:val="bottom"/>
            <w:hideMark/>
          </w:tcPr>
          <w:p w14:paraId="58EBD357" w14:textId="77777777" w:rsidR="008777A7" w:rsidRDefault="008777A7" w:rsidP="008777A7">
            <w:pPr>
              <w:pStyle w:val="P68B1DB1-Normal91"/>
            </w:pPr>
            <w:r>
              <w:t>ID2S/RSS</w:t>
            </w:r>
          </w:p>
        </w:tc>
      </w:tr>
      <w:tr w:rsidR="008777A7" w14:paraId="23EF91EB" w14:textId="77777777">
        <w:trPr>
          <w:trHeight w:val="300"/>
        </w:trPr>
        <w:tc>
          <w:tcPr>
            <w:tcW w:w="9072" w:type="dxa"/>
            <w:tcBorders>
              <w:top w:val="nil"/>
              <w:left w:val="nil"/>
              <w:bottom w:val="nil"/>
              <w:right w:val="nil"/>
            </w:tcBorders>
            <w:noWrap/>
            <w:vAlign w:val="bottom"/>
            <w:hideMark/>
          </w:tcPr>
          <w:p w14:paraId="256EBA58" w14:textId="2C3E9BD5" w:rsidR="008777A7" w:rsidRDefault="008777A7" w:rsidP="008777A7">
            <w:pPr>
              <w:pStyle w:val="P68B1DB1-Normal91"/>
            </w:pPr>
            <w:r w:rsidRPr="00F22F68">
              <w:t>Interbank Clearing System</w:t>
            </w:r>
            <w:r>
              <w:t xml:space="preserve"> (ICS)</w:t>
            </w:r>
          </w:p>
        </w:tc>
      </w:tr>
      <w:tr w:rsidR="008777A7" w14:paraId="61201BD5" w14:textId="77777777">
        <w:trPr>
          <w:trHeight w:val="300"/>
        </w:trPr>
        <w:tc>
          <w:tcPr>
            <w:tcW w:w="9072" w:type="dxa"/>
            <w:tcBorders>
              <w:top w:val="nil"/>
              <w:left w:val="nil"/>
              <w:bottom w:val="nil"/>
              <w:right w:val="nil"/>
            </w:tcBorders>
            <w:noWrap/>
            <w:vAlign w:val="bottom"/>
            <w:hideMark/>
          </w:tcPr>
          <w:p w14:paraId="38BDB6F1" w14:textId="77777777" w:rsidR="008777A7" w:rsidRDefault="008777A7" w:rsidP="008777A7">
            <w:pPr>
              <w:pStyle w:val="P68B1DB1-Normal91"/>
            </w:pPr>
            <w:r>
              <w:t>INTERBOLSA</w:t>
            </w:r>
          </w:p>
        </w:tc>
      </w:tr>
      <w:tr w:rsidR="008777A7" w14:paraId="3D13BEFD" w14:textId="77777777">
        <w:trPr>
          <w:trHeight w:val="300"/>
        </w:trPr>
        <w:tc>
          <w:tcPr>
            <w:tcW w:w="9072" w:type="dxa"/>
            <w:tcBorders>
              <w:top w:val="nil"/>
              <w:left w:val="nil"/>
              <w:bottom w:val="nil"/>
              <w:right w:val="nil"/>
            </w:tcBorders>
            <w:noWrap/>
            <w:vAlign w:val="bottom"/>
            <w:hideMark/>
          </w:tcPr>
          <w:p w14:paraId="27D8A3E1" w14:textId="77777777" w:rsidR="008777A7" w:rsidRDefault="008777A7" w:rsidP="008777A7">
            <w:pPr>
              <w:pStyle w:val="P68B1DB1-Normal91"/>
            </w:pPr>
            <w:r>
              <w:t>IntradagClearing</w:t>
            </w:r>
          </w:p>
        </w:tc>
      </w:tr>
      <w:tr w:rsidR="008777A7" w:rsidRPr="00CE138C" w14:paraId="4CA95B12" w14:textId="77777777">
        <w:trPr>
          <w:trHeight w:val="300"/>
        </w:trPr>
        <w:tc>
          <w:tcPr>
            <w:tcW w:w="9072" w:type="dxa"/>
            <w:tcBorders>
              <w:top w:val="nil"/>
              <w:left w:val="nil"/>
              <w:bottom w:val="nil"/>
              <w:right w:val="nil"/>
            </w:tcBorders>
            <w:noWrap/>
            <w:vAlign w:val="bottom"/>
            <w:hideMark/>
          </w:tcPr>
          <w:p w14:paraId="3992B7FE" w14:textId="230ACA74" w:rsidR="008777A7" w:rsidRPr="00C5754B" w:rsidRDefault="008777A7" w:rsidP="008777A7">
            <w:pPr>
              <w:pStyle w:val="P68B1DB1-Normal91"/>
              <w:rPr>
                <w:lang w:val="en-GB"/>
              </w:rPr>
            </w:pPr>
            <w:r w:rsidRPr="00C5754B">
              <w:rPr>
                <w:lang w:val="en-GB"/>
              </w:rPr>
              <w:t>IRGiT Izba Rozliczeniowa Giełd Towarowych S.A. (Commodity Clearing House)</w:t>
            </w:r>
          </w:p>
        </w:tc>
      </w:tr>
      <w:tr w:rsidR="008777A7" w:rsidRPr="00CE138C" w14:paraId="5F42EC4B" w14:textId="77777777">
        <w:trPr>
          <w:trHeight w:val="300"/>
        </w:trPr>
        <w:tc>
          <w:tcPr>
            <w:tcW w:w="9072" w:type="dxa"/>
            <w:tcBorders>
              <w:top w:val="nil"/>
              <w:left w:val="nil"/>
              <w:bottom w:val="nil"/>
              <w:right w:val="nil"/>
            </w:tcBorders>
            <w:noWrap/>
            <w:vAlign w:val="bottom"/>
            <w:hideMark/>
          </w:tcPr>
          <w:p w14:paraId="1817AC8A" w14:textId="77777777" w:rsidR="008777A7" w:rsidRPr="00C5754B" w:rsidRDefault="008777A7" w:rsidP="008777A7">
            <w:pPr>
              <w:pStyle w:val="P68B1DB1-Normal91"/>
              <w:rPr>
                <w:lang w:val="en-GB"/>
              </w:rPr>
            </w:pPr>
            <w:r w:rsidRPr="00C5754B">
              <w:rPr>
                <w:lang w:val="en-GB"/>
              </w:rPr>
              <w:t>Irish Paper Clearing Company (IPCC)</w:t>
            </w:r>
          </w:p>
        </w:tc>
      </w:tr>
      <w:tr w:rsidR="008777A7" w14:paraId="503DCAED" w14:textId="77777777">
        <w:trPr>
          <w:trHeight w:val="300"/>
        </w:trPr>
        <w:tc>
          <w:tcPr>
            <w:tcW w:w="9072" w:type="dxa"/>
            <w:tcBorders>
              <w:top w:val="nil"/>
              <w:left w:val="nil"/>
              <w:bottom w:val="nil"/>
              <w:right w:val="nil"/>
            </w:tcBorders>
            <w:noWrap/>
            <w:vAlign w:val="bottom"/>
            <w:hideMark/>
          </w:tcPr>
          <w:p w14:paraId="256FE1FF" w14:textId="77777777" w:rsidR="008777A7" w:rsidRDefault="008777A7" w:rsidP="008777A7">
            <w:pPr>
              <w:pStyle w:val="P68B1DB1-Normal91"/>
            </w:pPr>
            <w:r>
              <w:t>Irish Stock Exchange Ltd.</w:t>
            </w:r>
          </w:p>
        </w:tc>
      </w:tr>
      <w:tr w:rsidR="008777A7" w14:paraId="01B9E362" w14:textId="77777777">
        <w:trPr>
          <w:trHeight w:val="300"/>
        </w:trPr>
        <w:tc>
          <w:tcPr>
            <w:tcW w:w="9072" w:type="dxa"/>
            <w:tcBorders>
              <w:top w:val="nil"/>
              <w:left w:val="nil"/>
              <w:bottom w:val="nil"/>
              <w:right w:val="nil"/>
            </w:tcBorders>
            <w:noWrap/>
            <w:vAlign w:val="bottom"/>
            <w:hideMark/>
          </w:tcPr>
          <w:p w14:paraId="6D9ED763" w14:textId="77777777" w:rsidR="008777A7" w:rsidRDefault="008777A7" w:rsidP="008777A7">
            <w:pPr>
              <w:pStyle w:val="P68B1DB1-Normal91"/>
            </w:pPr>
            <w:r>
              <w:t>Japan Securities Clearing Corporation</w:t>
            </w:r>
          </w:p>
        </w:tc>
      </w:tr>
      <w:tr w:rsidR="008777A7" w14:paraId="7B5B6AA0" w14:textId="77777777">
        <w:trPr>
          <w:trHeight w:val="300"/>
        </w:trPr>
        <w:tc>
          <w:tcPr>
            <w:tcW w:w="9072" w:type="dxa"/>
            <w:tcBorders>
              <w:top w:val="nil"/>
              <w:left w:val="nil"/>
              <w:bottom w:val="nil"/>
              <w:right w:val="nil"/>
            </w:tcBorders>
            <w:noWrap/>
            <w:vAlign w:val="bottom"/>
            <w:hideMark/>
          </w:tcPr>
          <w:p w14:paraId="5354E82A" w14:textId="77777777" w:rsidR="008777A7" w:rsidRDefault="008777A7" w:rsidP="008777A7">
            <w:pPr>
              <w:pStyle w:val="P68B1DB1-Normal91"/>
            </w:pPr>
            <w:r>
              <w:t>JASDEC</w:t>
            </w:r>
          </w:p>
        </w:tc>
      </w:tr>
      <w:tr w:rsidR="008777A7" w14:paraId="5F2E7C68" w14:textId="77777777">
        <w:trPr>
          <w:trHeight w:val="300"/>
        </w:trPr>
        <w:tc>
          <w:tcPr>
            <w:tcW w:w="9072" w:type="dxa"/>
            <w:tcBorders>
              <w:top w:val="nil"/>
              <w:left w:val="nil"/>
              <w:bottom w:val="nil"/>
              <w:right w:val="nil"/>
            </w:tcBorders>
            <w:noWrap/>
            <w:vAlign w:val="bottom"/>
            <w:hideMark/>
          </w:tcPr>
          <w:p w14:paraId="7D166505" w14:textId="77777777" w:rsidR="008777A7" w:rsidRDefault="008777A7" w:rsidP="008777A7">
            <w:pPr>
              <w:pStyle w:val="P68B1DB1-Normal91"/>
            </w:pPr>
            <w:r>
              <w:t>JASDEC DVP</w:t>
            </w:r>
          </w:p>
        </w:tc>
      </w:tr>
      <w:tr w:rsidR="008777A7" w14:paraId="4048BA0D" w14:textId="77777777">
        <w:trPr>
          <w:trHeight w:val="300"/>
        </w:trPr>
        <w:tc>
          <w:tcPr>
            <w:tcW w:w="9072" w:type="dxa"/>
            <w:tcBorders>
              <w:top w:val="nil"/>
              <w:left w:val="nil"/>
              <w:bottom w:val="nil"/>
              <w:right w:val="nil"/>
            </w:tcBorders>
            <w:noWrap/>
            <w:vAlign w:val="bottom"/>
            <w:hideMark/>
          </w:tcPr>
          <w:p w14:paraId="15678AE9" w14:textId="78ED0395" w:rsidR="008777A7" w:rsidRDefault="008777A7" w:rsidP="008777A7">
            <w:pPr>
              <w:pStyle w:val="P68B1DB1-Normal91"/>
            </w:pPr>
            <w:r>
              <w:t>JCC</w:t>
            </w:r>
          </w:p>
        </w:tc>
      </w:tr>
      <w:tr w:rsidR="008777A7" w14:paraId="12A3C713" w14:textId="77777777">
        <w:trPr>
          <w:trHeight w:val="300"/>
        </w:trPr>
        <w:tc>
          <w:tcPr>
            <w:tcW w:w="9072" w:type="dxa"/>
            <w:tcBorders>
              <w:top w:val="nil"/>
              <w:left w:val="nil"/>
              <w:bottom w:val="nil"/>
              <w:right w:val="nil"/>
            </w:tcBorders>
            <w:noWrap/>
            <w:vAlign w:val="bottom"/>
            <w:hideMark/>
          </w:tcPr>
          <w:p w14:paraId="41166169" w14:textId="77777777" w:rsidR="008777A7" w:rsidRDefault="008777A7" w:rsidP="008777A7">
            <w:pPr>
              <w:pStyle w:val="P68B1DB1-Normal91"/>
            </w:pPr>
            <w:r>
              <w:t>KDPW S.A.</w:t>
            </w:r>
          </w:p>
        </w:tc>
      </w:tr>
      <w:tr w:rsidR="008777A7" w14:paraId="43817C1E" w14:textId="77777777">
        <w:trPr>
          <w:trHeight w:val="300"/>
        </w:trPr>
        <w:tc>
          <w:tcPr>
            <w:tcW w:w="9072" w:type="dxa"/>
            <w:tcBorders>
              <w:top w:val="nil"/>
              <w:left w:val="nil"/>
              <w:bottom w:val="nil"/>
              <w:right w:val="nil"/>
            </w:tcBorders>
            <w:noWrap/>
            <w:vAlign w:val="bottom"/>
            <w:hideMark/>
          </w:tcPr>
          <w:p w14:paraId="3018D3C8" w14:textId="77777777" w:rsidR="008777A7" w:rsidRDefault="008777A7" w:rsidP="008777A7">
            <w:pPr>
              <w:pStyle w:val="P68B1DB1-Normal91"/>
            </w:pPr>
            <w:r>
              <w:t>KDPW_CCP S.A.</w:t>
            </w:r>
          </w:p>
        </w:tc>
      </w:tr>
      <w:tr w:rsidR="008777A7" w14:paraId="21912EC4" w14:textId="77777777">
        <w:trPr>
          <w:trHeight w:val="300"/>
        </w:trPr>
        <w:tc>
          <w:tcPr>
            <w:tcW w:w="9072" w:type="dxa"/>
            <w:tcBorders>
              <w:top w:val="nil"/>
              <w:left w:val="nil"/>
              <w:bottom w:val="nil"/>
              <w:right w:val="nil"/>
            </w:tcBorders>
            <w:noWrap/>
            <w:vAlign w:val="bottom"/>
            <w:hideMark/>
          </w:tcPr>
          <w:p w14:paraId="59836A48" w14:textId="77777777" w:rsidR="008777A7" w:rsidRDefault="008777A7" w:rsidP="008777A7">
            <w:pPr>
              <w:pStyle w:val="P68B1DB1-Normal91"/>
            </w:pPr>
            <w:r>
              <w:t>KDPW-TR</w:t>
            </w:r>
          </w:p>
        </w:tc>
      </w:tr>
      <w:tr w:rsidR="008777A7" w14:paraId="14480A4D" w14:textId="77777777">
        <w:trPr>
          <w:trHeight w:val="300"/>
        </w:trPr>
        <w:tc>
          <w:tcPr>
            <w:tcW w:w="9072" w:type="dxa"/>
            <w:tcBorders>
              <w:top w:val="nil"/>
              <w:left w:val="nil"/>
              <w:bottom w:val="nil"/>
              <w:right w:val="nil"/>
            </w:tcBorders>
            <w:noWrap/>
            <w:vAlign w:val="bottom"/>
            <w:hideMark/>
          </w:tcPr>
          <w:p w14:paraId="59BBCA2D" w14:textId="77777777" w:rsidR="008777A7" w:rsidRDefault="008777A7" w:rsidP="008777A7">
            <w:pPr>
              <w:pStyle w:val="P68B1DB1-Normal91"/>
            </w:pPr>
            <w:r>
              <w:t>KELER CCP</w:t>
            </w:r>
          </w:p>
        </w:tc>
      </w:tr>
      <w:tr w:rsidR="008777A7" w14:paraId="1D005B0E" w14:textId="77777777">
        <w:trPr>
          <w:trHeight w:val="300"/>
        </w:trPr>
        <w:tc>
          <w:tcPr>
            <w:tcW w:w="9072" w:type="dxa"/>
            <w:tcBorders>
              <w:top w:val="nil"/>
              <w:left w:val="nil"/>
              <w:bottom w:val="nil"/>
              <w:right w:val="nil"/>
            </w:tcBorders>
            <w:noWrap/>
            <w:vAlign w:val="bottom"/>
            <w:hideMark/>
          </w:tcPr>
          <w:p w14:paraId="2ABFD94E" w14:textId="37AF56BA" w:rsidR="008777A7" w:rsidRDefault="008777A7" w:rsidP="008777A7">
            <w:pPr>
              <w:pStyle w:val="P68B1DB1-Normal91"/>
            </w:pPr>
            <w:r>
              <w:t>KELER-CSD</w:t>
            </w:r>
          </w:p>
        </w:tc>
      </w:tr>
      <w:tr w:rsidR="008777A7" w14:paraId="13D5C039" w14:textId="77777777">
        <w:trPr>
          <w:trHeight w:val="300"/>
        </w:trPr>
        <w:tc>
          <w:tcPr>
            <w:tcW w:w="9072" w:type="dxa"/>
            <w:tcBorders>
              <w:top w:val="nil"/>
              <w:left w:val="nil"/>
              <w:bottom w:val="nil"/>
              <w:right w:val="nil"/>
            </w:tcBorders>
            <w:noWrap/>
            <w:vAlign w:val="bottom"/>
            <w:hideMark/>
          </w:tcPr>
          <w:p w14:paraId="31B1FA22" w14:textId="77777777" w:rsidR="008777A7" w:rsidRDefault="008777A7" w:rsidP="008777A7">
            <w:pPr>
              <w:pStyle w:val="P68B1DB1-Normal91"/>
            </w:pPr>
            <w:r>
              <w:t>KRONOS</w:t>
            </w:r>
          </w:p>
        </w:tc>
      </w:tr>
      <w:tr w:rsidR="008777A7" w14:paraId="3B7ED824" w14:textId="77777777">
        <w:trPr>
          <w:trHeight w:val="300"/>
        </w:trPr>
        <w:tc>
          <w:tcPr>
            <w:tcW w:w="9072" w:type="dxa"/>
            <w:tcBorders>
              <w:top w:val="nil"/>
              <w:left w:val="nil"/>
              <w:bottom w:val="nil"/>
              <w:right w:val="nil"/>
            </w:tcBorders>
            <w:noWrap/>
            <w:vAlign w:val="bottom"/>
            <w:hideMark/>
          </w:tcPr>
          <w:p w14:paraId="0A3C0455" w14:textId="77777777" w:rsidR="008777A7" w:rsidRDefault="008777A7" w:rsidP="008777A7">
            <w:pPr>
              <w:pStyle w:val="P68B1DB1-Normal91"/>
            </w:pPr>
            <w:r>
              <w:t>KUBAS</w:t>
            </w:r>
          </w:p>
        </w:tc>
      </w:tr>
      <w:tr w:rsidR="008777A7" w:rsidRPr="00CE138C" w14:paraId="2B1C9B26" w14:textId="77777777">
        <w:trPr>
          <w:trHeight w:val="300"/>
        </w:trPr>
        <w:tc>
          <w:tcPr>
            <w:tcW w:w="9072" w:type="dxa"/>
            <w:tcBorders>
              <w:top w:val="nil"/>
              <w:left w:val="nil"/>
              <w:bottom w:val="nil"/>
              <w:right w:val="nil"/>
            </w:tcBorders>
            <w:noWrap/>
            <w:vAlign w:val="bottom"/>
            <w:hideMark/>
          </w:tcPr>
          <w:p w14:paraId="0C36BDD0" w14:textId="5C9EF11D" w:rsidR="008777A7" w:rsidRPr="00C5754B" w:rsidRDefault="008777A7" w:rsidP="008777A7">
            <w:pPr>
              <w:pStyle w:val="P68B1DB1-Normal91"/>
              <w:rPr>
                <w:lang w:val="en-GB"/>
              </w:rPr>
            </w:pPr>
            <w:r w:rsidRPr="00C5754B">
              <w:rPr>
                <w:lang w:val="en-GB"/>
              </w:rPr>
              <w:t>Large Value Transfer System (LVTS)</w:t>
            </w:r>
          </w:p>
        </w:tc>
      </w:tr>
      <w:tr w:rsidR="008777A7" w14:paraId="494438D8" w14:textId="77777777">
        <w:trPr>
          <w:trHeight w:val="300"/>
        </w:trPr>
        <w:tc>
          <w:tcPr>
            <w:tcW w:w="9072" w:type="dxa"/>
            <w:tcBorders>
              <w:top w:val="nil"/>
              <w:left w:val="nil"/>
              <w:bottom w:val="nil"/>
              <w:right w:val="nil"/>
            </w:tcBorders>
            <w:noWrap/>
            <w:vAlign w:val="bottom"/>
            <w:hideMark/>
          </w:tcPr>
          <w:p w14:paraId="0378B855" w14:textId="77777777" w:rsidR="008777A7" w:rsidRDefault="008777A7" w:rsidP="008777A7">
            <w:pPr>
              <w:pStyle w:val="P68B1DB1-Normal91"/>
            </w:pPr>
            <w:r>
              <w:t>LCH Ltd.</w:t>
            </w:r>
          </w:p>
        </w:tc>
      </w:tr>
      <w:tr w:rsidR="008777A7" w14:paraId="5DD1EBF4" w14:textId="77777777">
        <w:trPr>
          <w:trHeight w:val="300"/>
        </w:trPr>
        <w:tc>
          <w:tcPr>
            <w:tcW w:w="9072" w:type="dxa"/>
            <w:tcBorders>
              <w:top w:val="nil"/>
              <w:left w:val="nil"/>
              <w:bottom w:val="nil"/>
              <w:right w:val="nil"/>
            </w:tcBorders>
            <w:noWrap/>
            <w:vAlign w:val="bottom"/>
            <w:hideMark/>
          </w:tcPr>
          <w:p w14:paraId="59459780" w14:textId="77777777" w:rsidR="008777A7" w:rsidRDefault="008777A7" w:rsidP="008777A7">
            <w:pPr>
              <w:pStyle w:val="P68B1DB1-Normal91"/>
            </w:pPr>
            <w:r>
              <w:t>LCH SA</w:t>
            </w:r>
          </w:p>
        </w:tc>
      </w:tr>
      <w:tr w:rsidR="008777A7" w14:paraId="4F01D89C" w14:textId="77777777">
        <w:trPr>
          <w:trHeight w:val="300"/>
        </w:trPr>
        <w:tc>
          <w:tcPr>
            <w:tcW w:w="9072" w:type="dxa"/>
            <w:tcBorders>
              <w:top w:val="nil"/>
              <w:left w:val="nil"/>
              <w:bottom w:val="nil"/>
              <w:right w:val="nil"/>
            </w:tcBorders>
            <w:noWrap/>
            <w:vAlign w:val="bottom"/>
            <w:hideMark/>
          </w:tcPr>
          <w:p w14:paraId="5955E367" w14:textId="5894D3AE" w:rsidR="008777A7" w:rsidRDefault="008777A7" w:rsidP="008777A7">
            <w:pPr>
              <w:pStyle w:val="P68B1DB1-Normal91"/>
            </w:pPr>
            <w:r w:rsidRPr="00F22F68">
              <w:t>Ljubljana Stock Exchange</w:t>
            </w:r>
          </w:p>
        </w:tc>
      </w:tr>
      <w:tr w:rsidR="008777A7" w14:paraId="63C7A928" w14:textId="77777777">
        <w:trPr>
          <w:trHeight w:val="300"/>
        </w:trPr>
        <w:tc>
          <w:tcPr>
            <w:tcW w:w="9072" w:type="dxa"/>
            <w:tcBorders>
              <w:top w:val="nil"/>
              <w:left w:val="nil"/>
              <w:bottom w:val="nil"/>
              <w:right w:val="nil"/>
            </w:tcBorders>
            <w:noWrap/>
            <w:vAlign w:val="bottom"/>
            <w:hideMark/>
          </w:tcPr>
          <w:p w14:paraId="14DFAB9F" w14:textId="77777777" w:rsidR="008777A7" w:rsidRDefault="008777A7" w:rsidP="008777A7">
            <w:pPr>
              <w:pStyle w:val="P68B1DB1-Normal91"/>
            </w:pPr>
            <w:r>
              <w:t>LME Clear Limited</w:t>
            </w:r>
          </w:p>
        </w:tc>
      </w:tr>
      <w:tr w:rsidR="008777A7" w:rsidRPr="00CE138C" w14:paraId="188E3D82" w14:textId="77777777">
        <w:trPr>
          <w:trHeight w:val="300"/>
        </w:trPr>
        <w:tc>
          <w:tcPr>
            <w:tcW w:w="9072" w:type="dxa"/>
            <w:tcBorders>
              <w:top w:val="nil"/>
              <w:left w:val="nil"/>
              <w:bottom w:val="nil"/>
              <w:right w:val="nil"/>
            </w:tcBorders>
            <w:noWrap/>
            <w:vAlign w:val="bottom"/>
            <w:hideMark/>
          </w:tcPr>
          <w:p w14:paraId="7DB15EC9" w14:textId="1912C79F" w:rsidR="008777A7" w:rsidRPr="00C5754B" w:rsidRDefault="008777A7" w:rsidP="008777A7">
            <w:pPr>
              <w:pStyle w:val="P68B1DB1-Normal91"/>
              <w:rPr>
                <w:lang w:val="en-GB"/>
              </w:rPr>
            </w:pPr>
            <w:r w:rsidRPr="00C5754B">
              <w:rPr>
                <w:lang w:val="en-GB"/>
              </w:rPr>
              <w:t>London Stock Exchange Group (LSE)</w:t>
            </w:r>
          </w:p>
        </w:tc>
      </w:tr>
      <w:tr w:rsidR="008777A7" w14:paraId="0AD660E5" w14:textId="77777777">
        <w:trPr>
          <w:trHeight w:val="300"/>
        </w:trPr>
        <w:tc>
          <w:tcPr>
            <w:tcW w:w="9072" w:type="dxa"/>
            <w:tcBorders>
              <w:top w:val="nil"/>
              <w:left w:val="nil"/>
              <w:bottom w:val="nil"/>
              <w:right w:val="nil"/>
            </w:tcBorders>
            <w:noWrap/>
            <w:vAlign w:val="bottom"/>
            <w:hideMark/>
          </w:tcPr>
          <w:p w14:paraId="23DA5AB4" w14:textId="77777777" w:rsidR="008777A7" w:rsidRDefault="008777A7" w:rsidP="008777A7">
            <w:pPr>
              <w:pStyle w:val="P68B1DB1-Normal91"/>
            </w:pPr>
            <w:r>
              <w:t>LUX CSD</w:t>
            </w:r>
          </w:p>
        </w:tc>
      </w:tr>
      <w:tr w:rsidR="008777A7" w14:paraId="5B3E1A3A" w14:textId="77777777">
        <w:trPr>
          <w:trHeight w:val="300"/>
        </w:trPr>
        <w:tc>
          <w:tcPr>
            <w:tcW w:w="9072" w:type="dxa"/>
            <w:tcBorders>
              <w:top w:val="nil"/>
              <w:left w:val="nil"/>
              <w:bottom w:val="nil"/>
              <w:right w:val="nil"/>
            </w:tcBorders>
            <w:noWrap/>
            <w:vAlign w:val="bottom"/>
            <w:hideMark/>
          </w:tcPr>
          <w:p w14:paraId="5D4FD8D4" w14:textId="0080DF6E" w:rsidR="008777A7" w:rsidRDefault="008777A7" w:rsidP="008777A7">
            <w:pPr>
              <w:pStyle w:val="P68B1DB1-Normal91"/>
            </w:pPr>
            <w:r>
              <w:t>Malta Clearing House</w:t>
            </w:r>
          </w:p>
        </w:tc>
      </w:tr>
      <w:tr w:rsidR="008777A7" w14:paraId="0739CAE8" w14:textId="77777777">
        <w:trPr>
          <w:trHeight w:val="300"/>
        </w:trPr>
        <w:tc>
          <w:tcPr>
            <w:tcW w:w="9072" w:type="dxa"/>
            <w:tcBorders>
              <w:top w:val="nil"/>
              <w:left w:val="nil"/>
              <w:bottom w:val="nil"/>
              <w:right w:val="nil"/>
            </w:tcBorders>
            <w:noWrap/>
            <w:vAlign w:val="bottom"/>
            <w:hideMark/>
          </w:tcPr>
          <w:p w14:paraId="7880FB68" w14:textId="77777777" w:rsidR="008777A7" w:rsidRDefault="008777A7" w:rsidP="008777A7">
            <w:pPr>
              <w:pStyle w:val="P68B1DB1-Normal91"/>
            </w:pPr>
            <w:r>
              <w:t>Malta Stock Exchange</w:t>
            </w:r>
          </w:p>
        </w:tc>
      </w:tr>
      <w:tr w:rsidR="008777A7" w14:paraId="1462AFD7" w14:textId="77777777">
        <w:trPr>
          <w:trHeight w:val="300"/>
        </w:trPr>
        <w:tc>
          <w:tcPr>
            <w:tcW w:w="9072" w:type="dxa"/>
            <w:tcBorders>
              <w:top w:val="nil"/>
              <w:left w:val="nil"/>
              <w:bottom w:val="nil"/>
              <w:right w:val="nil"/>
            </w:tcBorders>
            <w:noWrap/>
            <w:vAlign w:val="bottom"/>
            <w:hideMark/>
          </w:tcPr>
          <w:p w14:paraId="4F29DF27" w14:textId="77777777" w:rsidR="008777A7" w:rsidRDefault="008777A7" w:rsidP="008777A7">
            <w:pPr>
              <w:pStyle w:val="P68B1DB1-Normal91"/>
            </w:pPr>
            <w:r>
              <w:t>Malta Stock Exchange CSD</w:t>
            </w:r>
          </w:p>
        </w:tc>
      </w:tr>
      <w:tr w:rsidR="008777A7" w:rsidRPr="00CE138C" w14:paraId="147A9AFE" w14:textId="77777777">
        <w:trPr>
          <w:trHeight w:val="300"/>
        </w:trPr>
        <w:tc>
          <w:tcPr>
            <w:tcW w:w="9072" w:type="dxa"/>
            <w:tcBorders>
              <w:top w:val="nil"/>
              <w:left w:val="nil"/>
              <w:bottom w:val="nil"/>
              <w:right w:val="nil"/>
            </w:tcBorders>
            <w:noWrap/>
            <w:vAlign w:val="bottom"/>
            <w:hideMark/>
          </w:tcPr>
          <w:p w14:paraId="29008853" w14:textId="77777777" w:rsidR="008777A7" w:rsidRPr="00C5754B" w:rsidRDefault="008777A7" w:rsidP="008777A7">
            <w:pPr>
              <w:pStyle w:val="P68B1DB1-Normal91"/>
              <w:rPr>
                <w:lang w:val="en-GB"/>
              </w:rPr>
            </w:pPr>
            <w:r w:rsidRPr="00C5754B">
              <w:rPr>
                <w:lang w:val="en-GB"/>
              </w:rPr>
              <w:t>MEFF Sociedad Rectora de Productos Derivados S. A.</w:t>
            </w:r>
          </w:p>
        </w:tc>
      </w:tr>
      <w:tr w:rsidR="008777A7" w14:paraId="03A3D6E0" w14:textId="77777777">
        <w:trPr>
          <w:trHeight w:val="300"/>
        </w:trPr>
        <w:tc>
          <w:tcPr>
            <w:tcW w:w="9072" w:type="dxa"/>
            <w:tcBorders>
              <w:top w:val="nil"/>
              <w:left w:val="nil"/>
              <w:bottom w:val="nil"/>
              <w:right w:val="nil"/>
            </w:tcBorders>
            <w:noWrap/>
            <w:vAlign w:val="bottom"/>
            <w:hideMark/>
          </w:tcPr>
          <w:p w14:paraId="3E98B6A6" w14:textId="77777777" w:rsidR="008777A7" w:rsidRDefault="008777A7" w:rsidP="008777A7">
            <w:pPr>
              <w:pStyle w:val="P68B1DB1-Normal91"/>
            </w:pPr>
            <w:r>
              <w:t>‚Mercados de Deuda Pública en Anotaciones‘</w:t>
            </w:r>
          </w:p>
        </w:tc>
      </w:tr>
      <w:tr w:rsidR="008777A7" w14:paraId="51FA8AC8" w14:textId="77777777">
        <w:trPr>
          <w:trHeight w:val="300"/>
        </w:trPr>
        <w:tc>
          <w:tcPr>
            <w:tcW w:w="9072" w:type="dxa"/>
            <w:tcBorders>
              <w:top w:val="nil"/>
              <w:left w:val="nil"/>
              <w:bottom w:val="nil"/>
              <w:right w:val="nil"/>
            </w:tcBorders>
            <w:noWrap/>
            <w:vAlign w:val="bottom"/>
            <w:hideMark/>
          </w:tcPr>
          <w:p w14:paraId="3F76F750" w14:textId="77777777" w:rsidR="008777A7" w:rsidRDefault="008777A7" w:rsidP="008777A7">
            <w:pPr>
              <w:pStyle w:val="P68B1DB1-Normal91"/>
            </w:pPr>
            <w:r>
              <w:t>Monte Titoli</w:t>
            </w:r>
          </w:p>
        </w:tc>
      </w:tr>
      <w:tr w:rsidR="008777A7" w14:paraId="23805AA2" w14:textId="77777777">
        <w:trPr>
          <w:trHeight w:val="300"/>
        </w:trPr>
        <w:tc>
          <w:tcPr>
            <w:tcW w:w="9072" w:type="dxa"/>
            <w:tcBorders>
              <w:top w:val="nil"/>
              <w:left w:val="nil"/>
              <w:bottom w:val="nil"/>
              <w:right w:val="nil"/>
            </w:tcBorders>
            <w:noWrap/>
            <w:vAlign w:val="bottom"/>
            <w:hideMark/>
          </w:tcPr>
          <w:p w14:paraId="13AB08E1" w14:textId="77777777" w:rsidR="008777A7" w:rsidRDefault="008777A7" w:rsidP="008777A7">
            <w:pPr>
              <w:pStyle w:val="P68B1DB1-Normal91"/>
            </w:pPr>
            <w:r>
              <w:t>MTS</w:t>
            </w:r>
          </w:p>
        </w:tc>
      </w:tr>
      <w:tr w:rsidR="008777A7" w:rsidRPr="00CE138C" w14:paraId="4149713C" w14:textId="77777777">
        <w:trPr>
          <w:trHeight w:val="300"/>
        </w:trPr>
        <w:tc>
          <w:tcPr>
            <w:tcW w:w="9072" w:type="dxa"/>
            <w:tcBorders>
              <w:top w:val="nil"/>
              <w:left w:val="nil"/>
              <w:bottom w:val="nil"/>
              <w:right w:val="nil"/>
            </w:tcBorders>
            <w:noWrap/>
            <w:vAlign w:val="bottom"/>
            <w:hideMark/>
          </w:tcPr>
          <w:p w14:paraId="0E21C9DA" w14:textId="6B082911" w:rsidR="008777A7" w:rsidRPr="00C5754B" w:rsidRDefault="008777A7" w:rsidP="008777A7">
            <w:pPr>
              <w:pStyle w:val="P68B1DB1-Normal91"/>
              <w:rPr>
                <w:lang w:val="en-GB"/>
              </w:rPr>
            </w:pPr>
            <w:r w:rsidRPr="00C5754B">
              <w:rPr>
                <w:lang w:val="en-GB"/>
              </w:rPr>
              <w:t>Národný Centralny Depositar Cennych Papierov (nCDCP) as</w:t>
            </w:r>
          </w:p>
        </w:tc>
      </w:tr>
      <w:tr w:rsidR="008777A7" w14:paraId="7826A921" w14:textId="77777777">
        <w:trPr>
          <w:trHeight w:val="300"/>
        </w:trPr>
        <w:tc>
          <w:tcPr>
            <w:tcW w:w="9072" w:type="dxa"/>
            <w:tcBorders>
              <w:top w:val="nil"/>
              <w:left w:val="nil"/>
              <w:bottom w:val="nil"/>
              <w:right w:val="nil"/>
            </w:tcBorders>
            <w:noWrap/>
            <w:vAlign w:val="bottom"/>
            <w:hideMark/>
          </w:tcPr>
          <w:p w14:paraId="3989D7C0" w14:textId="77777777" w:rsidR="008777A7" w:rsidRDefault="008777A7" w:rsidP="008777A7">
            <w:pPr>
              <w:pStyle w:val="P68B1DB1-Normal91"/>
            </w:pPr>
            <w:r>
              <w:t>Nasdaq CSD SE</w:t>
            </w:r>
          </w:p>
        </w:tc>
      </w:tr>
      <w:tr w:rsidR="008777A7" w14:paraId="0F9127FC" w14:textId="77777777">
        <w:trPr>
          <w:trHeight w:val="300"/>
        </w:trPr>
        <w:tc>
          <w:tcPr>
            <w:tcW w:w="9072" w:type="dxa"/>
            <w:tcBorders>
              <w:top w:val="nil"/>
              <w:left w:val="nil"/>
              <w:bottom w:val="nil"/>
              <w:right w:val="nil"/>
            </w:tcBorders>
            <w:noWrap/>
            <w:vAlign w:val="bottom"/>
            <w:hideMark/>
          </w:tcPr>
          <w:p w14:paraId="7E3342A8" w14:textId="77777777" w:rsidR="008777A7" w:rsidRDefault="008777A7" w:rsidP="008777A7">
            <w:pPr>
              <w:pStyle w:val="P68B1DB1-Normal91"/>
            </w:pPr>
            <w:r>
              <w:t>Nasdaq Helsinki</w:t>
            </w:r>
          </w:p>
        </w:tc>
      </w:tr>
      <w:tr w:rsidR="008777A7" w14:paraId="794AA9C2" w14:textId="77777777">
        <w:trPr>
          <w:trHeight w:val="300"/>
        </w:trPr>
        <w:tc>
          <w:tcPr>
            <w:tcW w:w="9072" w:type="dxa"/>
            <w:tcBorders>
              <w:top w:val="nil"/>
              <w:left w:val="nil"/>
              <w:bottom w:val="nil"/>
              <w:right w:val="nil"/>
            </w:tcBorders>
            <w:noWrap/>
            <w:vAlign w:val="bottom"/>
            <w:hideMark/>
          </w:tcPr>
          <w:p w14:paraId="4EB7B940" w14:textId="77777777" w:rsidR="008777A7" w:rsidRDefault="008777A7" w:rsidP="008777A7">
            <w:pPr>
              <w:pStyle w:val="P68B1DB1-Normal91"/>
            </w:pPr>
            <w:r>
              <w:t>Nasdaq OMX Clearing</w:t>
            </w:r>
          </w:p>
        </w:tc>
      </w:tr>
      <w:tr w:rsidR="008777A7" w14:paraId="27B334A7" w14:textId="77777777">
        <w:trPr>
          <w:trHeight w:val="300"/>
        </w:trPr>
        <w:tc>
          <w:tcPr>
            <w:tcW w:w="9072" w:type="dxa"/>
            <w:tcBorders>
              <w:top w:val="nil"/>
              <w:left w:val="nil"/>
              <w:bottom w:val="nil"/>
              <w:right w:val="nil"/>
            </w:tcBorders>
            <w:noWrap/>
            <w:vAlign w:val="bottom"/>
            <w:hideMark/>
          </w:tcPr>
          <w:p w14:paraId="405F6BB1" w14:textId="77777777" w:rsidR="008777A7" w:rsidRDefault="008777A7" w:rsidP="008777A7">
            <w:pPr>
              <w:pStyle w:val="P68B1DB1-Normal91"/>
            </w:pPr>
            <w:r>
              <w:t>Nasdaq OMX Stockholm</w:t>
            </w:r>
          </w:p>
        </w:tc>
      </w:tr>
      <w:tr w:rsidR="008777A7" w:rsidRPr="00CE138C" w14:paraId="5888CB72" w14:textId="77777777">
        <w:trPr>
          <w:trHeight w:val="300"/>
        </w:trPr>
        <w:tc>
          <w:tcPr>
            <w:tcW w:w="9072" w:type="dxa"/>
            <w:tcBorders>
              <w:top w:val="nil"/>
              <w:left w:val="nil"/>
              <w:bottom w:val="nil"/>
              <w:right w:val="nil"/>
            </w:tcBorders>
            <w:noWrap/>
            <w:vAlign w:val="bottom"/>
            <w:hideMark/>
          </w:tcPr>
          <w:p w14:paraId="20F7ABDC" w14:textId="331C7487" w:rsidR="008777A7" w:rsidRPr="00C5754B" w:rsidRDefault="008777A7" w:rsidP="008777A7">
            <w:pPr>
              <w:pStyle w:val="P68B1DB1-Normal91"/>
              <w:rPr>
                <w:lang w:val="en-GB"/>
              </w:rPr>
            </w:pPr>
            <w:r w:rsidRPr="00C5754B">
              <w:rPr>
                <w:lang w:val="en-GB"/>
              </w:rPr>
              <w:t>National Securities Clearing Corp. (NSCC)</w:t>
            </w:r>
          </w:p>
        </w:tc>
      </w:tr>
      <w:tr w:rsidR="008777A7" w14:paraId="5E9C8F6D" w14:textId="77777777">
        <w:trPr>
          <w:trHeight w:val="300"/>
        </w:trPr>
        <w:tc>
          <w:tcPr>
            <w:tcW w:w="9072" w:type="dxa"/>
            <w:tcBorders>
              <w:top w:val="nil"/>
              <w:left w:val="nil"/>
              <w:bottom w:val="nil"/>
              <w:right w:val="nil"/>
            </w:tcBorders>
            <w:noWrap/>
            <w:vAlign w:val="bottom"/>
            <w:hideMark/>
          </w:tcPr>
          <w:p w14:paraId="12F1BAEB" w14:textId="77777777" w:rsidR="008777A7" w:rsidRDefault="008777A7" w:rsidP="008777A7">
            <w:pPr>
              <w:pStyle w:val="P68B1DB1-Normal91"/>
            </w:pPr>
            <w:r>
              <w:lastRenderedPageBreak/>
              <w:t>NBB SSS</w:t>
            </w:r>
          </w:p>
        </w:tc>
      </w:tr>
      <w:tr w:rsidR="008777A7" w:rsidRPr="00CE138C" w14:paraId="5DFC5D23" w14:textId="77777777">
        <w:trPr>
          <w:trHeight w:val="300"/>
        </w:trPr>
        <w:tc>
          <w:tcPr>
            <w:tcW w:w="9072" w:type="dxa"/>
            <w:tcBorders>
              <w:top w:val="nil"/>
              <w:left w:val="nil"/>
              <w:bottom w:val="nil"/>
              <w:right w:val="nil"/>
            </w:tcBorders>
            <w:noWrap/>
            <w:vAlign w:val="bottom"/>
            <w:hideMark/>
          </w:tcPr>
          <w:p w14:paraId="3737426F" w14:textId="65AF2E17" w:rsidR="008777A7" w:rsidRPr="00C5754B" w:rsidRDefault="008777A7" w:rsidP="008777A7">
            <w:pPr>
              <w:pStyle w:val="P68B1DB1-Normal91"/>
              <w:rPr>
                <w:lang w:val="en-GB"/>
              </w:rPr>
            </w:pPr>
            <w:r w:rsidRPr="00C5754B">
              <w:rPr>
                <w:lang w:val="en-GB"/>
              </w:rPr>
              <w:t>NBP bills and treasury bills Register</w:t>
            </w:r>
          </w:p>
        </w:tc>
      </w:tr>
      <w:tr w:rsidR="008777A7" w:rsidRPr="00CE138C" w14:paraId="1FC22E5F" w14:textId="77777777">
        <w:trPr>
          <w:trHeight w:val="300"/>
        </w:trPr>
        <w:tc>
          <w:tcPr>
            <w:tcW w:w="9072" w:type="dxa"/>
            <w:tcBorders>
              <w:top w:val="nil"/>
              <w:left w:val="nil"/>
              <w:bottom w:val="nil"/>
              <w:right w:val="nil"/>
            </w:tcBorders>
            <w:noWrap/>
            <w:vAlign w:val="bottom"/>
            <w:hideMark/>
          </w:tcPr>
          <w:p w14:paraId="358DE620" w14:textId="77777777" w:rsidR="008777A7" w:rsidRPr="00C5754B" w:rsidRDefault="008777A7" w:rsidP="008777A7">
            <w:pPr>
              <w:pStyle w:val="P68B1DB1-Normal91"/>
              <w:rPr>
                <w:lang w:val="en-GB"/>
              </w:rPr>
            </w:pPr>
            <w:r w:rsidRPr="00C5754B">
              <w:rPr>
                <w:lang w:val="en-GB"/>
              </w:rPr>
              <w:t>NEX Abide Trade Repository AB</w:t>
            </w:r>
          </w:p>
        </w:tc>
      </w:tr>
      <w:tr w:rsidR="008777A7" w:rsidRPr="00CE138C" w14:paraId="1362AFBF" w14:textId="77777777">
        <w:trPr>
          <w:trHeight w:val="300"/>
        </w:trPr>
        <w:tc>
          <w:tcPr>
            <w:tcW w:w="9072" w:type="dxa"/>
            <w:tcBorders>
              <w:top w:val="nil"/>
              <w:left w:val="nil"/>
              <w:bottom w:val="nil"/>
              <w:right w:val="nil"/>
            </w:tcBorders>
            <w:noWrap/>
            <w:vAlign w:val="bottom"/>
            <w:hideMark/>
          </w:tcPr>
          <w:p w14:paraId="7779B6B2" w14:textId="77777777" w:rsidR="008777A7" w:rsidRPr="00C5754B" w:rsidRDefault="008777A7" w:rsidP="008777A7">
            <w:pPr>
              <w:pStyle w:val="P68B1DB1-Normal91"/>
              <w:rPr>
                <w:lang w:val="en-GB"/>
              </w:rPr>
            </w:pPr>
            <w:r w:rsidRPr="00C5754B">
              <w:rPr>
                <w:lang w:val="en-GB"/>
              </w:rPr>
              <w:t>NICS (Norwegian Inter Bank Clearing System)</w:t>
            </w:r>
          </w:p>
        </w:tc>
      </w:tr>
      <w:tr w:rsidR="008777A7" w:rsidRPr="00CE138C" w14:paraId="403EDEA1" w14:textId="77777777">
        <w:trPr>
          <w:trHeight w:val="300"/>
        </w:trPr>
        <w:tc>
          <w:tcPr>
            <w:tcW w:w="9072" w:type="dxa"/>
            <w:tcBorders>
              <w:top w:val="nil"/>
              <w:left w:val="nil"/>
              <w:bottom w:val="nil"/>
              <w:right w:val="nil"/>
            </w:tcBorders>
            <w:noWrap/>
            <w:vAlign w:val="bottom"/>
            <w:hideMark/>
          </w:tcPr>
          <w:p w14:paraId="4BFCE736" w14:textId="77777777" w:rsidR="008777A7" w:rsidRPr="00C5754B" w:rsidRDefault="008777A7" w:rsidP="008777A7">
            <w:pPr>
              <w:pStyle w:val="P68B1DB1-Normal91"/>
              <w:rPr>
                <w:lang w:val="en-GB"/>
              </w:rPr>
            </w:pPr>
            <w:r w:rsidRPr="00C5754B">
              <w:rPr>
                <w:lang w:val="en-GB"/>
              </w:rPr>
              <w:t>NKS (National Clearing System)/EuroNKS</w:t>
            </w:r>
          </w:p>
        </w:tc>
      </w:tr>
      <w:tr w:rsidR="008777A7" w14:paraId="72370490" w14:textId="77777777">
        <w:trPr>
          <w:trHeight w:val="300"/>
        </w:trPr>
        <w:tc>
          <w:tcPr>
            <w:tcW w:w="9072" w:type="dxa"/>
            <w:tcBorders>
              <w:top w:val="nil"/>
              <w:left w:val="nil"/>
              <w:bottom w:val="nil"/>
              <w:right w:val="nil"/>
            </w:tcBorders>
            <w:noWrap/>
            <w:vAlign w:val="bottom"/>
            <w:hideMark/>
          </w:tcPr>
          <w:p w14:paraId="46EFA26D" w14:textId="77777777" w:rsidR="008777A7" w:rsidRDefault="008777A7" w:rsidP="008777A7">
            <w:pPr>
              <w:pStyle w:val="P68B1DB1-Normal91"/>
            </w:pPr>
            <w:r>
              <w:t>NYSE Euronext Paris</w:t>
            </w:r>
          </w:p>
        </w:tc>
      </w:tr>
      <w:tr w:rsidR="008777A7" w14:paraId="5FB1C2FE" w14:textId="77777777">
        <w:trPr>
          <w:trHeight w:val="300"/>
        </w:trPr>
        <w:tc>
          <w:tcPr>
            <w:tcW w:w="9072" w:type="dxa"/>
            <w:tcBorders>
              <w:top w:val="nil"/>
              <w:left w:val="nil"/>
              <w:bottom w:val="nil"/>
              <w:right w:val="nil"/>
            </w:tcBorders>
            <w:noWrap/>
            <w:vAlign w:val="bottom"/>
            <w:hideMark/>
          </w:tcPr>
          <w:p w14:paraId="43B707C4" w14:textId="77777777" w:rsidR="008777A7" w:rsidRDefault="008777A7" w:rsidP="008777A7">
            <w:pPr>
              <w:pStyle w:val="P68B1DB1-Normal91"/>
            </w:pPr>
            <w:r>
              <w:t>OeKB CSD GmbH (WSB System)</w:t>
            </w:r>
          </w:p>
        </w:tc>
      </w:tr>
      <w:tr w:rsidR="008777A7" w14:paraId="297ECE0B" w14:textId="77777777">
        <w:trPr>
          <w:trHeight w:val="300"/>
        </w:trPr>
        <w:tc>
          <w:tcPr>
            <w:tcW w:w="9072" w:type="dxa"/>
            <w:tcBorders>
              <w:top w:val="nil"/>
              <w:left w:val="nil"/>
              <w:bottom w:val="nil"/>
              <w:right w:val="nil"/>
            </w:tcBorders>
            <w:noWrap/>
            <w:vAlign w:val="bottom"/>
            <w:hideMark/>
          </w:tcPr>
          <w:p w14:paraId="41926D7B" w14:textId="77777777" w:rsidR="008777A7" w:rsidRDefault="008777A7" w:rsidP="008777A7">
            <w:pPr>
              <w:pStyle w:val="P68B1DB1-Normal91"/>
            </w:pPr>
            <w:r>
              <w:t>OMI Clear</w:t>
            </w:r>
          </w:p>
        </w:tc>
      </w:tr>
      <w:tr w:rsidR="008777A7" w14:paraId="786A0182" w14:textId="77777777">
        <w:trPr>
          <w:trHeight w:val="300"/>
        </w:trPr>
        <w:tc>
          <w:tcPr>
            <w:tcW w:w="9072" w:type="dxa"/>
            <w:tcBorders>
              <w:top w:val="nil"/>
              <w:left w:val="nil"/>
              <w:bottom w:val="nil"/>
              <w:right w:val="nil"/>
            </w:tcBorders>
            <w:noWrap/>
            <w:vAlign w:val="bottom"/>
            <w:hideMark/>
          </w:tcPr>
          <w:p w14:paraId="00B344FB" w14:textId="14190402" w:rsidR="008777A7" w:rsidRDefault="008777A7" w:rsidP="008777A7">
            <w:pPr>
              <w:pStyle w:val="P68B1DB1-Normal91"/>
            </w:pPr>
            <w:r>
              <w:t>POPS</w:t>
            </w:r>
          </w:p>
        </w:tc>
      </w:tr>
      <w:tr w:rsidR="008777A7" w14:paraId="560CA6B2" w14:textId="77777777">
        <w:trPr>
          <w:trHeight w:val="300"/>
        </w:trPr>
        <w:tc>
          <w:tcPr>
            <w:tcW w:w="9072" w:type="dxa"/>
            <w:tcBorders>
              <w:top w:val="nil"/>
              <w:left w:val="nil"/>
              <w:bottom w:val="nil"/>
              <w:right w:val="nil"/>
            </w:tcBorders>
            <w:noWrap/>
            <w:vAlign w:val="bottom"/>
            <w:hideMark/>
          </w:tcPr>
          <w:p w14:paraId="15C8DE81" w14:textId="77777777" w:rsidR="008777A7" w:rsidRDefault="008777A7" w:rsidP="008777A7">
            <w:pPr>
              <w:pStyle w:val="P68B1DB1-Normal91"/>
            </w:pPr>
            <w:r>
              <w:t>REGIS</w:t>
            </w:r>
          </w:p>
        </w:tc>
      </w:tr>
      <w:tr w:rsidR="008777A7" w14:paraId="185A7956" w14:textId="77777777">
        <w:trPr>
          <w:trHeight w:val="300"/>
        </w:trPr>
        <w:tc>
          <w:tcPr>
            <w:tcW w:w="9072" w:type="dxa"/>
            <w:tcBorders>
              <w:top w:val="nil"/>
              <w:left w:val="nil"/>
              <w:bottom w:val="nil"/>
              <w:right w:val="nil"/>
            </w:tcBorders>
            <w:noWrap/>
            <w:vAlign w:val="bottom"/>
            <w:hideMark/>
          </w:tcPr>
          <w:p w14:paraId="3E63DE78" w14:textId="77777777" w:rsidR="008777A7" w:rsidRDefault="008777A7" w:rsidP="008777A7">
            <w:pPr>
              <w:pStyle w:val="P68B1DB1-Normal91"/>
            </w:pPr>
            <w:r>
              <w:t>Regis-TR</w:t>
            </w:r>
          </w:p>
        </w:tc>
      </w:tr>
      <w:tr w:rsidR="008777A7" w:rsidRPr="00CE138C" w14:paraId="751DD516" w14:textId="77777777">
        <w:trPr>
          <w:trHeight w:val="300"/>
        </w:trPr>
        <w:tc>
          <w:tcPr>
            <w:tcW w:w="9072" w:type="dxa"/>
            <w:tcBorders>
              <w:top w:val="nil"/>
              <w:left w:val="nil"/>
              <w:bottom w:val="nil"/>
              <w:right w:val="nil"/>
            </w:tcBorders>
            <w:noWrap/>
            <w:vAlign w:val="bottom"/>
            <w:hideMark/>
          </w:tcPr>
          <w:p w14:paraId="61EDA69E" w14:textId="0C881A66" w:rsidR="008777A7" w:rsidRPr="00C5754B" w:rsidRDefault="008777A7" w:rsidP="008777A7">
            <w:pPr>
              <w:pStyle w:val="P68B1DB1-Normal91"/>
              <w:rPr>
                <w:lang w:val="en-GB"/>
              </w:rPr>
            </w:pPr>
            <w:r w:rsidRPr="00C5754B">
              <w:rPr>
                <w:lang w:val="en-GB"/>
              </w:rPr>
              <w:t>Ringe (Real-time INterbank Gross-settlement System)</w:t>
            </w:r>
          </w:p>
        </w:tc>
      </w:tr>
      <w:tr w:rsidR="008777A7" w14:paraId="3DA52EFD" w14:textId="77777777">
        <w:trPr>
          <w:trHeight w:val="300"/>
        </w:trPr>
        <w:tc>
          <w:tcPr>
            <w:tcW w:w="9072" w:type="dxa"/>
            <w:tcBorders>
              <w:top w:val="nil"/>
              <w:left w:val="nil"/>
              <w:bottom w:val="nil"/>
              <w:right w:val="nil"/>
            </w:tcBorders>
            <w:noWrap/>
            <w:vAlign w:val="bottom"/>
            <w:hideMark/>
          </w:tcPr>
          <w:p w14:paraId="14849718" w14:textId="77777777" w:rsidR="008777A7" w:rsidRDefault="008777A7" w:rsidP="008777A7">
            <w:pPr>
              <w:pStyle w:val="P68B1DB1-Normal91"/>
            </w:pPr>
            <w:r>
              <w:t>RIX</w:t>
            </w:r>
          </w:p>
        </w:tc>
      </w:tr>
      <w:tr w:rsidR="008777A7" w:rsidRPr="00CE138C" w14:paraId="2F5941C3" w14:textId="77777777">
        <w:trPr>
          <w:trHeight w:val="300"/>
        </w:trPr>
        <w:tc>
          <w:tcPr>
            <w:tcW w:w="9072" w:type="dxa"/>
            <w:tcBorders>
              <w:top w:val="nil"/>
              <w:left w:val="nil"/>
              <w:bottom w:val="nil"/>
              <w:right w:val="nil"/>
            </w:tcBorders>
            <w:noWrap/>
            <w:vAlign w:val="bottom"/>
            <w:hideMark/>
          </w:tcPr>
          <w:p w14:paraId="05086D64" w14:textId="5C698010" w:rsidR="008777A7" w:rsidRPr="00C5754B" w:rsidRDefault="008777A7" w:rsidP="008777A7">
            <w:pPr>
              <w:pStyle w:val="P68B1DB1-Normal91"/>
              <w:rPr>
                <w:lang w:val="en-GB"/>
              </w:rPr>
            </w:pPr>
            <w:r w:rsidRPr="00C5754B">
              <w:rPr>
                <w:lang w:val="en-GB"/>
              </w:rPr>
              <w:t>RM-SYSTEM, Czech Stock Exchange</w:t>
            </w:r>
          </w:p>
        </w:tc>
      </w:tr>
      <w:tr w:rsidR="008777A7" w14:paraId="4785EAE5" w14:textId="77777777">
        <w:trPr>
          <w:trHeight w:val="300"/>
        </w:trPr>
        <w:tc>
          <w:tcPr>
            <w:tcW w:w="9072" w:type="dxa"/>
            <w:tcBorders>
              <w:top w:val="nil"/>
              <w:left w:val="nil"/>
              <w:bottom w:val="nil"/>
              <w:right w:val="nil"/>
            </w:tcBorders>
            <w:noWrap/>
            <w:vAlign w:val="bottom"/>
            <w:hideMark/>
          </w:tcPr>
          <w:p w14:paraId="0E3CA4AB" w14:textId="77777777" w:rsidR="008777A7" w:rsidRDefault="008777A7" w:rsidP="008777A7">
            <w:pPr>
              <w:pStyle w:val="P68B1DB1-Normal91"/>
            </w:pPr>
            <w:r>
              <w:t>RoClear</w:t>
            </w:r>
          </w:p>
        </w:tc>
      </w:tr>
      <w:tr w:rsidR="008777A7" w14:paraId="16348C32" w14:textId="77777777">
        <w:trPr>
          <w:trHeight w:val="300"/>
        </w:trPr>
        <w:tc>
          <w:tcPr>
            <w:tcW w:w="9072" w:type="dxa"/>
            <w:tcBorders>
              <w:top w:val="nil"/>
              <w:left w:val="nil"/>
              <w:bottom w:val="nil"/>
              <w:right w:val="nil"/>
            </w:tcBorders>
            <w:noWrap/>
            <w:vAlign w:val="bottom"/>
            <w:hideMark/>
          </w:tcPr>
          <w:p w14:paraId="7791248F" w14:textId="77777777" w:rsidR="008777A7" w:rsidRDefault="008777A7" w:rsidP="008777A7">
            <w:pPr>
              <w:pStyle w:val="P68B1DB1-Normal91"/>
            </w:pPr>
            <w:r>
              <w:t>RVK</w:t>
            </w:r>
          </w:p>
        </w:tc>
      </w:tr>
      <w:tr w:rsidR="008777A7" w14:paraId="201CD5B7" w14:textId="77777777">
        <w:trPr>
          <w:trHeight w:val="300"/>
        </w:trPr>
        <w:tc>
          <w:tcPr>
            <w:tcW w:w="9072" w:type="dxa"/>
            <w:tcBorders>
              <w:top w:val="nil"/>
              <w:left w:val="nil"/>
              <w:bottom w:val="nil"/>
              <w:right w:val="nil"/>
            </w:tcBorders>
            <w:noWrap/>
            <w:vAlign w:val="bottom"/>
            <w:hideMark/>
          </w:tcPr>
          <w:p w14:paraId="78F31295" w14:textId="77777777" w:rsidR="008777A7" w:rsidRDefault="008777A7" w:rsidP="008777A7">
            <w:pPr>
              <w:pStyle w:val="P68B1DB1-Normal91"/>
            </w:pPr>
            <w:r>
              <w:t>RT1</w:t>
            </w:r>
          </w:p>
        </w:tc>
      </w:tr>
      <w:tr w:rsidR="008777A7" w14:paraId="5D6D4D2F" w14:textId="77777777">
        <w:trPr>
          <w:trHeight w:val="300"/>
        </w:trPr>
        <w:tc>
          <w:tcPr>
            <w:tcW w:w="9072" w:type="dxa"/>
            <w:tcBorders>
              <w:top w:val="nil"/>
              <w:left w:val="nil"/>
              <w:bottom w:val="nil"/>
              <w:right w:val="nil"/>
            </w:tcBorders>
            <w:noWrap/>
            <w:vAlign w:val="bottom"/>
            <w:hideMark/>
          </w:tcPr>
          <w:p w14:paraId="0D3FA36D" w14:textId="77777777" w:rsidR="008777A7" w:rsidRDefault="008777A7" w:rsidP="008777A7">
            <w:pPr>
              <w:pStyle w:val="P68B1DB1-Normal91"/>
            </w:pPr>
            <w:r>
              <w:t>SAFIR</w:t>
            </w:r>
          </w:p>
        </w:tc>
      </w:tr>
      <w:tr w:rsidR="008777A7" w14:paraId="683945A8" w14:textId="77777777">
        <w:trPr>
          <w:trHeight w:val="300"/>
        </w:trPr>
        <w:tc>
          <w:tcPr>
            <w:tcW w:w="9072" w:type="dxa"/>
            <w:tcBorders>
              <w:top w:val="nil"/>
              <w:left w:val="nil"/>
              <w:bottom w:val="nil"/>
              <w:right w:val="nil"/>
            </w:tcBorders>
            <w:noWrap/>
            <w:vAlign w:val="bottom"/>
            <w:hideMark/>
          </w:tcPr>
          <w:p w14:paraId="4536F3F1" w14:textId="5662CAD1" w:rsidR="008777A7" w:rsidRDefault="008777A7" w:rsidP="008777A7">
            <w:pPr>
              <w:pStyle w:val="P68B1DB1-Normal91"/>
            </w:pPr>
            <w:r>
              <w:t>SENT</w:t>
            </w:r>
          </w:p>
        </w:tc>
      </w:tr>
      <w:tr w:rsidR="008777A7" w14:paraId="37207CC9" w14:textId="77777777">
        <w:trPr>
          <w:trHeight w:val="300"/>
        </w:trPr>
        <w:tc>
          <w:tcPr>
            <w:tcW w:w="9072" w:type="dxa"/>
            <w:tcBorders>
              <w:top w:val="nil"/>
              <w:left w:val="nil"/>
              <w:bottom w:val="nil"/>
              <w:right w:val="nil"/>
            </w:tcBorders>
            <w:noWrap/>
            <w:vAlign w:val="bottom"/>
            <w:hideMark/>
          </w:tcPr>
          <w:p w14:paraId="78322774" w14:textId="77777777" w:rsidR="008777A7" w:rsidRDefault="008777A7" w:rsidP="008777A7">
            <w:pPr>
              <w:pStyle w:val="P68B1DB1-Normal91"/>
            </w:pPr>
            <w:r>
              <w:t>SICOI</w:t>
            </w:r>
          </w:p>
        </w:tc>
      </w:tr>
      <w:tr w:rsidR="008777A7" w14:paraId="20A1D4E0" w14:textId="77777777">
        <w:trPr>
          <w:trHeight w:val="300"/>
        </w:trPr>
        <w:tc>
          <w:tcPr>
            <w:tcW w:w="9072" w:type="dxa"/>
            <w:tcBorders>
              <w:top w:val="nil"/>
              <w:left w:val="nil"/>
              <w:bottom w:val="nil"/>
              <w:right w:val="nil"/>
            </w:tcBorders>
            <w:noWrap/>
            <w:vAlign w:val="bottom"/>
            <w:hideMark/>
          </w:tcPr>
          <w:p w14:paraId="745FF75E" w14:textId="77777777" w:rsidR="008777A7" w:rsidRDefault="008777A7" w:rsidP="008777A7">
            <w:pPr>
              <w:pStyle w:val="P68B1DB1-Normal91"/>
            </w:pPr>
            <w:r>
              <w:t>SIMP – PS</w:t>
            </w:r>
          </w:p>
        </w:tc>
      </w:tr>
      <w:tr w:rsidR="008777A7" w14:paraId="1F8A8F25" w14:textId="77777777">
        <w:trPr>
          <w:trHeight w:val="300"/>
        </w:trPr>
        <w:tc>
          <w:tcPr>
            <w:tcW w:w="9072" w:type="dxa"/>
            <w:tcBorders>
              <w:top w:val="nil"/>
              <w:left w:val="nil"/>
              <w:bottom w:val="nil"/>
              <w:right w:val="nil"/>
            </w:tcBorders>
            <w:noWrap/>
            <w:vAlign w:val="bottom"/>
            <w:hideMark/>
          </w:tcPr>
          <w:p w14:paraId="7B70556F" w14:textId="77777777" w:rsidR="008777A7" w:rsidRDefault="008777A7" w:rsidP="008777A7">
            <w:pPr>
              <w:pStyle w:val="P68B1DB1-Normal91"/>
            </w:pPr>
            <w:r>
              <w:t>SIP SPlatobný systém</w:t>
            </w:r>
          </w:p>
        </w:tc>
      </w:tr>
      <w:tr w:rsidR="008777A7" w14:paraId="661159A9" w14:textId="77777777">
        <w:trPr>
          <w:trHeight w:val="300"/>
        </w:trPr>
        <w:tc>
          <w:tcPr>
            <w:tcW w:w="9072" w:type="dxa"/>
            <w:tcBorders>
              <w:top w:val="nil"/>
              <w:left w:val="nil"/>
              <w:bottom w:val="nil"/>
              <w:right w:val="nil"/>
            </w:tcBorders>
            <w:noWrap/>
            <w:vAlign w:val="bottom"/>
            <w:hideMark/>
          </w:tcPr>
          <w:p w14:paraId="21A22FD2" w14:textId="77777777" w:rsidR="008777A7" w:rsidRDefault="008777A7" w:rsidP="008777A7">
            <w:pPr>
              <w:pStyle w:val="P68B1DB1-Normal91"/>
            </w:pPr>
            <w:r>
              <w:t>SIX</w:t>
            </w:r>
          </w:p>
        </w:tc>
      </w:tr>
      <w:tr w:rsidR="008777A7" w14:paraId="01B00784" w14:textId="77777777">
        <w:trPr>
          <w:trHeight w:val="300"/>
        </w:trPr>
        <w:tc>
          <w:tcPr>
            <w:tcW w:w="9072" w:type="dxa"/>
            <w:tcBorders>
              <w:top w:val="nil"/>
              <w:left w:val="nil"/>
              <w:bottom w:val="nil"/>
              <w:right w:val="nil"/>
            </w:tcBorders>
            <w:noWrap/>
            <w:vAlign w:val="bottom"/>
            <w:hideMark/>
          </w:tcPr>
          <w:p w14:paraId="42A9A872" w14:textId="77777777" w:rsidR="008777A7" w:rsidRDefault="008777A7" w:rsidP="008777A7">
            <w:pPr>
              <w:pStyle w:val="P68B1DB1-Normal91"/>
            </w:pPr>
            <w:r>
              <w:t>Sechs InterbankClearing (SIC)/EuroSIC</w:t>
            </w:r>
          </w:p>
        </w:tc>
      </w:tr>
      <w:tr w:rsidR="008777A7" w14:paraId="4AB76E2F" w14:textId="77777777">
        <w:trPr>
          <w:trHeight w:val="300"/>
        </w:trPr>
        <w:tc>
          <w:tcPr>
            <w:tcW w:w="9072" w:type="dxa"/>
            <w:tcBorders>
              <w:top w:val="nil"/>
              <w:left w:val="nil"/>
              <w:bottom w:val="nil"/>
              <w:right w:val="nil"/>
            </w:tcBorders>
            <w:noWrap/>
            <w:vAlign w:val="bottom"/>
            <w:hideMark/>
          </w:tcPr>
          <w:p w14:paraId="591D0E38" w14:textId="77777777" w:rsidR="008777A7" w:rsidRDefault="008777A7" w:rsidP="008777A7">
            <w:pPr>
              <w:pStyle w:val="P68B1DB1-Normal91"/>
            </w:pPr>
            <w:r>
              <w:t>SIX Swiss Exchange</w:t>
            </w:r>
          </w:p>
        </w:tc>
      </w:tr>
      <w:tr w:rsidR="008777A7" w14:paraId="0FE15923" w14:textId="77777777">
        <w:trPr>
          <w:trHeight w:val="300"/>
        </w:trPr>
        <w:tc>
          <w:tcPr>
            <w:tcW w:w="9072" w:type="dxa"/>
            <w:tcBorders>
              <w:top w:val="nil"/>
              <w:left w:val="nil"/>
              <w:bottom w:val="nil"/>
              <w:right w:val="nil"/>
            </w:tcBorders>
            <w:noWrap/>
            <w:vAlign w:val="bottom"/>
            <w:hideMark/>
          </w:tcPr>
          <w:p w14:paraId="7A0AEADF" w14:textId="77777777" w:rsidR="008777A7" w:rsidRDefault="008777A7" w:rsidP="008777A7">
            <w:pPr>
              <w:pStyle w:val="P68B1DB1-Normal91"/>
            </w:pPr>
            <w:r>
              <w:t>SIX x-clear</w:t>
            </w:r>
          </w:p>
        </w:tc>
      </w:tr>
      <w:tr w:rsidR="008777A7" w:rsidRPr="00CE138C" w14:paraId="58C9ED3B" w14:textId="77777777">
        <w:trPr>
          <w:trHeight w:val="300"/>
        </w:trPr>
        <w:tc>
          <w:tcPr>
            <w:tcW w:w="9072" w:type="dxa"/>
            <w:tcBorders>
              <w:top w:val="nil"/>
              <w:left w:val="nil"/>
              <w:bottom w:val="nil"/>
              <w:right w:val="nil"/>
            </w:tcBorders>
            <w:noWrap/>
            <w:vAlign w:val="bottom"/>
            <w:hideMark/>
          </w:tcPr>
          <w:p w14:paraId="53254B63" w14:textId="77777777" w:rsidR="008777A7" w:rsidRPr="00C5754B" w:rsidRDefault="008777A7" w:rsidP="008777A7">
            <w:pPr>
              <w:pStyle w:val="P68B1DB1-Normal91"/>
              <w:rPr>
                <w:lang w:val="en-GB"/>
              </w:rPr>
            </w:pPr>
            <w:r w:rsidRPr="00C5754B">
              <w:rPr>
                <w:lang w:val="en-GB"/>
              </w:rPr>
              <w:t>SKD (Short Term Bond System)</w:t>
            </w:r>
          </w:p>
        </w:tc>
      </w:tr>
      <w:tr w:rsidR="008777A7" w:rsidRPr="00CE138C" w14:paraId="479A72E9" w14:textId="77777777">
        <w:trPr>
          <w:trHeight w:val="300"/>
        </w:trPr>
        <w:tc>
          <w:tcPr>
            <w:tcW w:w="9072" w:type="dxa"/>
            <w:tcBorders>
              <w:top w:val="nil"/>
              <w:left w:val="nil"/>
              <w:bottom w:val="nil"/>
              <w:right w:val="nil"/>
            </w:tcBorders>
            <w:noWrap/>
            <w:vAlign w:val="bottom"/>
            <w:hideMark/>
          </w:tcPr>
          <w:p w14:paraId="559EC939" w14:textId="77777777" w:rsidR="008777A7" w:rsidRPr="00C5754B" w:rsidRDefault="008777A7" w:rsidP="008777A7">
            <w:pPr>
              <w:pStyle w:val="P68B1DB1-Normal91"/>
              <w:rPr>
                <w:lang w:val="en-GB"/>
              </w:rPr>
            </w:pPr>
            <w:r w:rsidRPr="00C5754B">
              <w:rPr>
                <w:lang w:val="en-GB"/>
              </w:rPr>
              <w:t>SNCE (Sistema Nacional de Compensación Electrónica)</w:t>
            </w:r>
          </w:p>
        </w:tc>
      </w:tr>
      <w:tr w:rsidR="008777A7" w14:paraId="61D37C20" w14:textId="77777777">
        <w:trPr>
          <w:trHeight w:val="300"/>
        </w:trPr>
        <w:tc>
          <w:tcPr>
            <w:tcW w:w="9072" w:type="dxa"/>
            <w:tcBorders>
              <w:top w:val="nil"/>
              <w:left w:val="nil"/>
              <w:bottom w:val="nil"/>
              <w:right w:val="nil"/>
            </w:tcBorders>
            <w:noWrap/>
            <w:vAlign w:val="bottom"/>
            <w:hideMark/>
          </w:tcPr>
          <w:p w14:paraId="0B37415E" w14:textId="77777777" w:rsidR="008777A7" w:rsidRDefault="008777A7" w:rsidP="008777A7">
            <w:pPr>
              <w:pStyle w:val="P68B1DB1-Normal91"/>
            </w:pPr>
            <w:r>
              <w:t>Société de la Bourse du Luxembourg SA</w:t>
            </w:r>
          </w:p>
        </w:tc>
      </w:tr>
      <w:tr w:rsidR="008777A7" w14:paraId="09E4F71F" w14:textId="77777777">
        <w:trPr>
          <w:trHeight w:val="300"/>
        </w:trPr>
        <w:tc>
          <w:tcPr>
            <w:tcW w:w="9072" w:type="dxa"/>
            <w:tcBorders>
              <w:top w:val="nil"/>
              <w:left w:val="nil"/>
              <w:bottom w:val="nil"/>
              <w:right w:val="nil"/>
            </w:tcBorders>
            <w:noWrap/>
            <w:vAlign w:val="bottom"/>
            <w:hideMark/>
          </w:tcPr>
          <w:p w14:paraId="094DD4AF" w14:textId="77777777" w:rsidR="008777A7" w:rsidRDefault="008777A7" w:rsidP="008777A7">
            <w:pPr>
              <w:pStyle w:val="P68B1DB1-Normal91"/>
            </w:pPr>
            <w:r>
              <w:t>SORBNET2</w:t>
            </w:r>
          </w:p>
        </w:tc>
      </w:tr>
      <w:tr w:rsidR="008777A7" w14:paraId="1E86EA3A" w14:textId="77777777">
        <w:trPr>
          <w:trHeight w:val="300"/>
        </w:trPr>
        <w:tc>
          <w:tcPr>
            <w:tcW w:w="9072" w:type="dxa"/>
            <w:tcBorders>
              <w:top w:val="nil"/>
              <w:left w:val="nil"/>
              <w:bottom w:val="nil"/>
              <w:right w:val="nil"/>
            </w:tcBorders>
            <w:noWrap/>
            <w:vAlign w:val="bottom"/>
            <w:hideMark/>
          </w:tcPr>
          <w:p w14:paraId="2FE926EC" w14:textId="270B8812" w:rsidR="008777A7" w:rsidRDefault="008777A7" w:rsidP="008777A7">
            <w:pPr>
              <w:pStyle w:val="P68B1DB1-Normal91"/>
            </w:pPr>
            <w:r>
              <w:t>STEP 1</w:t>
            </w:r>
          </w:p>
        </w:tc>
      </w:tr>
      <w:tr w:rsidR="008777A7" w14:paraId="4A3D7A33" w14:textId="77777777">
        <w:trPr>
          <w:trHeight w:val="300"/>
        </w:trPr>
        <w:tc>
          <w:tcPr>
            <w:tcW w:w="9072" w:type="dxa"/>
            <w:tcBorders>
              <w:top w:val="nil"/>
              <w:left w:val="nil"/>
              <w:bottom w:val="nil"/>
              <w:right w:val="nil"/>
            </w:tcBorders>
            <w:noWrap/>
            <w:vAlign w:val="bottom"/>
            <w:hideMark/>
          </w:tcPr>
          <w:p w14:paraId="38D47947" w14:textId="006FF3B5" w:rsidR="008777A7" w:rsidRDefault="008777A7" w:rsidP="008777A7">
            <w:pPr>
              <w:pStyle w:val="P68B1DB1-Normal91"/>
            </w:pPr>
            <w:r>
              <w:t>STEP 2</w:t>
            </w:r>
          </w:p>
        </w:tc>
      </w:tr>
      <w:tr w:rsidR="008777A7" w14:paraId="305AEF07" w14:textId="77777777">
        <w:trPr>
          <w:trHeight w:val="300"/>
        </w:trPr>
        <w:tc>
          <w:tcPr>
            <w:tcW w:w="9072" w:type="dxa"/>
            <w:tcBorders>
              <w:top w:val="nil"/>
              <w:left w:val="nil"/>
              <w:bottom w:val="nil"/>
              <w:right w:val="nil"/>
            </w:tcBorders>
            <w:noWrap/>
            <w:vAlign w:val="bottom"/>
            <w:hideMark/>
          </w:tcPr>
          <w:p w14:paraId="3385D576" w14:textId="61E52013" w:rsidR="008777A7" w:rsidRDefault="008777A7" w:rsidP="008777A7">
            <w:pPr>
              <w:pStyle w:val="P68B1DB1-Normal91"/>
            </w:pPr>
            <w:r>
              <w:t>STET/CORE</w:t>
            </w:r>
          </w:p>
        </w:tc>
      </w:tr>
      <w:tr w:rsidR="008777A7" w14:paraId="68530B39" w14:textId="77777777">
        <w:trPr>
          <w:trHeight w:val="300"/>
        </w:trPr>
        <w:tc>
          <w:tcPr>
            <w:tcW w:w="9072" w:type="dxa"/>
            <w:tcBorders>
              <w:top w:val="nil"/>
              <w:left w:val="nil"/>
              <w:bottom w:val="nil"/>
              <w:right w:val="nil"/>
            </w:tcBorders>
            <w:noWrap/>
            <w:vAlign w:val="bottom"/>
            <w:hideMark/>
          </w:tcPr>
          <w:p w14:paraId="2B90AD3F" w14:textId="77777777" w:rsidR="008777A7" w:rsidRDefault="008777A7" w:rsidP="008777A7">
            <w:pPr>
              <w:pStyle w:val="P68B1DB1-Normal91"/>
            </w:pPr>
            <w:r>
              <w:t>Straksclearingen</w:t>
            </w:r>
          </w:p>
        </w:tc>
      </w:tr>
      <w:tr w:rsidR="008777A7" w14:paraId="0E50A9AB" w14:textId="77777777">
        <w:trPr>
          <w:trHeight w:val="300"/>
        </w:trPr>
        <w:tc>
          <w:tcPr>
            <w:tcW w:w="9072" w:type="dxa"/>
            <w:tcBorders>
              <w:top w:val="nil"/>
              <w:left w:val="nil"/>
              <w:bottom w:val="nil"/>
              <w:right w:val="nil"/>
            </w:tcBorders>
            <w:noWrap/>
            <w:vAlign w:val="bottom"/>
            <w:hideMark/>
          </w:tcPr>
          <w:p w14:paraId="54E27288" w14:textId="77777777" w:rsidR="008777A7" w:rsidRDefault="008777A7" w:rsidP="008777A7">
            <w:pPr>
              <w:pStyle w:val="P68B1DB1-Normal91"/>
            </w:pPr>
            <w:r>
              <w:t>Sumclearingen</w:t>
            </w:r>
          </w:p>
        </w:tc>
      </w:tr>
      <w:tr w:rsidR="008777A7" w14:paraId="0C6135E4" w14:textId="77777777">
        <w:trPr>
          <w:trHeight w:val="300"/>
        </w:trPr>
        <w:tc>
          <w:tcPr>
            <w:tcW w:w="9072" w:type="dxa"/>
            <w:tcBorders>
              <w:top w:val="nil"/>
              <w:left w:val="nil"/>
              <w:bottom w:val="nil"/>
              <w:right w:val="nil"/>
            </w:tcBorders>
            <w:noWrap/>
            <w:vAlign w:val="bottom"/>
            <w:hideMark/>
          </w:tcPr>
          <w:p w14:paraId="4789CBEE" w14:textId="77777777" w:rsidR="008777A7" w:rsidRDefault="008777A7" w:rsidP="008777A7">
            <w:pPr>
              <w:pStyle w:val="P68B1DB1-Normal91"/>
            </w:pPr>
            <w:r>
              <w:t>T2S (SSS – nur für direkte Konnektivität)</w:t>
            </w:r>
          </w:p>
        </w:tc>
      </w:tr>
      <w:tr w:rsidR="008777A7" w14:paraId="791932E6" w14:textId="77777777">
        <w:trPr>
          <w:trHeight w:val="300"/>
        </w:trPr>
        <w:tc>
          <w:tcPr>
            <w:tcW w:w="9072" w:type="dxa"/>
            <w:tcBorders>
              <w:top w:val="nil"/>
              <w:left w:val="nil"/>
              <w:bottom w:val="nil"/>
              <w:right w:val="nil"/>
            </w:tcBorders>
            <w:noWrap/>
            <w:vAlign w:val="bottom"/>
            <w:hideMark/>
          </w:tcPr>
          <w:p w14:paraId="085D29CC" w14:textId="77777777" w:rsidR="008777A7" w:rsidRDefault="008777A7" w:rsidP="008777A7">
            <w:pPr>
              <w:pStyle w:val="P68B1DB1-Normal91"/>
            </w:pPr>
            <w:r>
              <w:t>TARGET 2</w:t>
            </w:r>
          </w:p>
        </w:tc>
      </w:tr>
      <w:tr w:rsidR="008777A7" w14:paraId="0379A497" w14:textId="77777777">
        <w:trPr>
          <w:trHeight w:val="300"/>
        </w:trPr>
        <w:tc>
          <w:tcPr>
            <w:tcW w:w="9072" w:type="dxa"/>
            <w:tcBorders>
              <w:top w:val="nil"/>
              <w:left w:val="nil"/>
              <w:bottom w:val="nil"/>
              <w:right w:val="nil"/>
            </w:tcBorders>
            <w:noWrap/>
            <w:vAlign w:val="bottom"/>
            <w:hideMark/>
          </w:tcPr>
          <w:p w14:paraId="56C29FCF" w14:textId="2E0C5105" w:rsidR="008777A7" w:rsidRDefault="008777A7" w:rsidP="008777A7">
            <w:pPr>
              <w:pStyle w:val="P68B1DB1-Normal91"/>
            </w:pPr>
            <w:r>
              <w:t>TIPS</w:t>
            </w:r>
          </w:p>
        </w:tc>
      </w:tr>
      <w:tr w:rsidR="008777A7" w14:paraId="19C63903" w14:textId="77777777">
        <w:trPr>
          <w:trHeight w:val="300"/>
        </w:trPr>
        <w:tc>
          <w:tcPr>
            <w:tcW w:w="9072" w:type="dxa"/>
            <w:tcBorders>
              <w:top w:val="nil"/>
              <w:left w:val="nil"/>
              <w:bottom w:val="nil"/>
              <w:right w:val="nil"/>
            </w:tcBorders>
            <w:noWrap/>
            <w:vAlign w:val="bottom"/>
            <w:hideMark/>
          </w:tcPr>
          <w:p w14:paraId="6CABE6E8" w14:textId="77777777" w:rsidR="008777A7" w:rsidRDefault="008777A7" w:rsidP="008777A7">
            <w:pPr>
              <w:pStyle w:val="P68B1DB1-Normal91"/>
            </w:pPr>
            <w:r>
              <w:t>UnaVista Limited</w:t>
            </w:r>
          </w:p>
        </w:tc>
      </w:tr>
      <w:tr w:rsidR="008777A7" w14:paraId="7E731946" w14:textId="77777777">
        <w:trPr>
          <w:trHeight w:val="300"/>
        </w:trPr>
        <w:tc>
          <w:tcPr>
            <w:tcW w:w="9072" w:type="dxa"/>
            <w:tcBorders>
              <w:top w:val="nil"/>
              <w:left w:val="nil"/>
              <w:bottom w:val="nil"/>
              <w:right w:val="nil"/>
            </w:tcBorders>
            <w:noWrap/>
            <w:vAlign w:val="bottom"/>
            <w:hideMark/>
          </w:tcPr>
          <w:p w14:paraId="6485DCC3" w14:textId="77777777" w:rsidR="008777A7" w:rsidRDefault="008777A7" w:rsidP="008777A7">
            <w:pPr>
              <w:pStyle w:val="P68B1DB1-Normal91"/>
            </w:pPr>
            <w:r>
              <w:t>Verdipapirsentralen (VPS)</w:t>
            </w:r>
          </w:p>
        </w:tc>
      </w:tr>
      <w:tr w:rsidR="008777A7" w14:paraId="599BD0C0" w14:textId="77777777">
        <w:trPr>
          <w:trHeight w:val="300"/>
        </w:trPr>
        <w:tc>
          <w:tcPr>
            <w:tcW w:w="9072" w:type="dxa"/>
            <w:tcBorders>
              <w:top w:val="nil"/>
              <w:left w:val="nil"/>
              <w:bottom w:val="nil"/>
              <w:right w:val="nil"/>
            </w:tcBorders>
            <w:noWrap/>
            <w:vAlign w:val="bottom"/>
            <w:hideMark/>
          </w:tcPr>
          <w:p w14:paraId="209D9CF9" w14:textId="77777777" w:rsidR="008777A7" w:rsidRDefault="008777A7" w:rsidP="008777A7">
            <w:pPr>
              <w:pStyle w:val="P68B1DB1-Normal91"/>
            </w:pPr>
            <w:r>
              <w:t>VIBER</w:t>
            </w:r>
          </w:p>
        </w:tc>
      </w:tr>
      <w:tr w:rsidR="008777A7" w14:paraId="3CBF4EA3" w14:textId="77777777">
        <w:trPr>
          <w:trHeight w:val="300"/>
        </w:trPr>
        <w:tc>
          <w:tcPr>
            <w:tcW w:w="9072" w:type="dxa"/>
            <w:tcBorders>
              <w:top w:val="nil"/>
              <w:left w:val="nil"/>
              <w:bottom w:val="nil"/>
              <w:right w:val="nil"/>
            </w:tcBorders>
            <w:noWrap/>
            <w:vAlign w:val="bottom"/>
            <w:hideMark/>
          </w:tcPr>
          <w:p w14:paraId="49A43CDA" w14:textId="77777777" w:rsidR="008777A7" w:rsidRDefault="008777A7" w:rsidP="008777A7">
            <w:pPr>
              <w:pStyle w:val="P68B1DB1-Normal91"/>
            </w:pPr>
            <w:r>
              <w:t>Vizepräsident Lux</w:t>
            </w:r>
          </w:p>
        </w:tc>
      </w:tr>
      <w:tr w:rsidR="008777A7" w14:paraId="20C89571" w14:textId="77777777">
        <w:trPr>
          <w:trHeight w:val="300"/>
        </w:trPr>
        <w:tc>
          <w:tcPr>
            <w:tcW w:w="9072" w:type="dxa"/>
            <w:tcBorders>
              <w:top w:val="nil"/>
              <w:left w:val="nil"/>
              <w:bottom w:val="nil"/>
              <w:right w:val="nil"/>
            </w:tcBorders>
            <w:noWrap/>
            <w:vAlign w:val="bottom"/>
            <w:hideMark/>
          </w:tcPr>
          <w:p w14:paraId="12389C15" w14:textId="77777777" w:rsidR="008777A7" w:rsidRDefault="008777A7" w:rsidP="008777A7">
            <w:pPr>
              <w:pStyle w:val="P68B1DB1-Normal91"/>
            </w:pPr>
            <w:r>
              <w:t>VP Securities A/S</w:t>
            </w:r>
          </w:p>
        </w:tc>
      </w:tr>
    </w:tbl>
    <w:p w14:paraId="1E4D7216" w14:textId="77777777" w:rsidR="00696584" w:rsidRDefault="00696584">
      <w:pPr>
        <w:pStyle w:val="body"/>
        <w:rPr>
          <w:rFonts w:ascii="Times New Roman" w:hAnsi="Times New Roman" w:cs="Times New Roman"/>
          <w:sz w:val="20"/>
          <w:szCs w:val="20"/>
        </w:rPr>
      </w:pPr>
    </w:p>
    <w:sectPr w:rsidR="00696584">
      <w:headerReference w:type="even" r:id="rId17"/>
      <w:headerReference w:type="default" r:id="rId18"/>
      <w:footerReference w:type="default" r:id="rId19"/>
      <w:headerReference w:type="first" r:id="rId20"/>
      <w:footerReference w:type="first" r:id="rId2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312DC5" w14:textId="77777777" w:rsidR="00696584" w:rsidRDefault="002C4F63">
      <w:r>
        <w:separator/>
      </w:r>
    </w:p>
    <w:p w14:paraId="282516E3" w14:textId="77777777" w:rsidR="00A55292" w:rsidRDefault="00A55292"/>
  </w:endnote>
  <w:endnote w:type="continuationSeparator" w:id="0">
    <w:p w14:paraId="6597FB1C" w14:textId="77777777" w:rsidR="00696584" w:rsidRDefault="002C4F63">
      <w:r>
        <w:continuationSeparator/>
      </w:r>
    </w:p>
    <w:p w14:paraId="4F591A83" w14:textId="77777777" w:rsidR="00A55292" w:rsidRDefault="00A55292"/>
  </w:endnote>
  <w:endnote w:type="continuationNotice" w:id="1">
    <w:p w14:paraId="3A49FE7B" w14:textId="77777777" w:rsidR="00696584" w:rsidRDefault="00696584"/>
    <w:p w14:paraId="0C3C8BA6" w14:textId="77777777" w:rsidR="00A55292" w:rsidRDefault="00A5529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EUAlbertina">
    <w:altName w:val="Cambri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quot;Calibri&quot;,sans-serif">
    <w:altName w:val="Cambri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ptos">
    <w:charset w:val="00"/>
    <w:family w:val="swiss"/>
    <w:pitch w:val="variable"/>
    <w:sig w:usb0="20000287" w:usb1="00000003"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3105955"/>
      <w:docPartObj>
        <w:docPartGallery w:val="Page Numbers (Bottom of Page)"/>
        <w:docPartUnique/>
      </w:docPartObj>
    </w:sdtPr>
    <w:sdtEndPr>
      <w:rPr>
        <w:noProof/>
      </w:rPr>
    </w:sdtEndPr>
    <w:sdtContent>
      <w:p w14:paraId="7FE1D24E" w14:textId="77777777" w:rsidR="00696584" w:rsidRDefault="002C4F63">
        <w:pPr>
          <w:pStyle w:val="body"/>
          <w:jc w:val="right"/>
        </w:pPr>
        <w:r>
          <w:fldChar w:fldCharType="begin"/>
        </w:r>
        <w:r>
          <w:instrText xml:space="preserve"> PAGE   \* MERGEFORMAT </w:instrText>
        </w:r>
        <w:r>
          <w:fldChar w:fldCharType="separate"/>
        </w:r>
        <w:r>
          <w:t>89</w:t>
        </w:r>
        <w:r>
          <w:fldChar w:fldCharType="end"/>
        </w:r>
      </w:p>
    </w:sdtContent>
  </w:sdt>
  <w:p w14:paraId="7FE1D24F" w14:textId="77777777" w:rsidR="00696584" w:rsidRDefault="00696584">
    <w:pPr>
      <w:pStyle w:val="Footer"/>
    </w:pPr>
  </w:p>
  <w:p w14:paraId="14D53DF4" w14:textId="77777777" w:rsidR="00A55292" w:rsidRDefault="00A5529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5EADD" w14:textId="740A5FB6" w:rsidR="00696584" w:rsidRDefault="002C4F63">
    <w:pPr>
      <w:pStyle w:val="Footer"/>
    </w:pPr>
    <w:r>
      <w:rPr>
        <w:noProof/>
      </w:rPr>
      <mc:AlternateContent>
        <mc:Choice Requires="wps">
          <w:drawing>
            <wp:anchor distT="0" distB="0" distL="114300" distR="114300" simplePos="0" relativeHeight="251659264" behindDoc="0" locked="0" layoutInCell="1" allowOverlap="1" wp14:anchorId="7D4B7297" wp14:editId="484B2261">
              <wp:simplePos x="0" y="0"/>
              <wp:positionH relativeFrom="margin">
                <wp:align>left</wp:align>
              </wp:positionH>
              <wp:positionV relativeFrom="paragraph">
                <wp:posOffset>-259914</wp:posOffset>
              </wp:positionV>
              <wp:extent cx="5587466" cy="525816"/>
              <wp:effectExtent l="0" t="0" r="13335" b="26670"/>
              <wp:wrapNone/>
              <wp:docPr id="978482222" name="Textfeld 5:"/>
              <wp:cNvGraphicFramePr/>
              <a:graphic xmlns:a="http://schemas.openxmlformats.org/drawingml/2006/main">
                <a:graphicData uri="http://schemas.microsoft.com/office/word/2010/wordprocessingShape">
                  <wps:wsp>
                    <wps:cNvSpPr txBox="1"/>
                    <wps:spPr>
                      <a:xfrm>
                        <a:off x="0" y="0"/>
                        <a:ext cx="5587466" cy="525816"/>
                      </a:xfrm>
                      <a:prstGeom prst="rect">
                        <a:avLst/>
                      </a:prstGeom>
                      <a:solidFill>
                        <a:schemeClr val="lt1"/>
                      </a:solidFill>
                      <a:ln w="6350">
                        <a:solidFill>
                          <a:prstClr val="black"/>
                        </a:solidFill>
                      </a:ln>
                    </wps:spPr>
                    <wps:txbx>
                      <w:txbxContent>
                        <w:p w14:paraId="59008DEE" w14:textId="3CBD8109" w:rsidR="00696584" w:rsidRDefault="002C4F63">
                          <w:pPr>
                            <w:pStyle w:val="P68B1DB1-Normal92"/>
                            <w:rPr>
                              <w:bCs/>
                            </w:rPr>
                          </w:pPr>
                          <w:r>
                            <w:t>Diese Anweisungen waren ursprünglich in englischer Sprache abgefasst. Ihre Übersetzung in die anderen Amtssprachen der EU erfolgt über eTranslation, den maschinellen Übersetzungsdienst der Europäischen Kommission nach besten Kräften.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D4B7297" id="_x0000_t202" coordsize="21600,21600" o:spt="202" path="m,l,21600r21600,l21600,xe">
              <v:stroke joinstyle="miter"/>
              <v:path gradientshapeok="t" o:connecttype="rect"/>
            </v:shapetype>
            <v:shape id="Textfeld 5:" o:spid="_x0000_s1029" type="#_x0000_t202" style="position:absolute;margin-left:0;margin-top:-20.45pt;width:439.95pt;height:41.4pt;z-index:25165926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" fillcolor="white [3201]" strokeweight=".5pt">
              <v:textbox>
                <w:txbxContent>
                  <w:p w14:paraId="59008DEE" w14:textId="3CBD8109" w:rsidR="00696584" w:rsidRDefault="002C4F63">
                    <w:pPr>
                      <w:pStyle w:val="P68B1DB1-Normal92"/>
                      <w:rPr>
                        <w:bCs/>
                      </w:rPr>
                    </w:pPr>
                    <w:r>
                      <w:t>Diese Anweisungen waren ursprünglich in englischer Sprache abgefasst. Ihre Übersetzung in die anderen Amtssprachen der EU erfolgt über eTranslation, den maschinellen Übersetzungsdienst der Europäischen Kommission nach besten Kräften.</w:t>
                    </w:r>
                  </w:p>
                </w:txbxContent>
              </v:textbox>
              <w10:wrap anchorx="margin"/>
            </v:shape>
          </w:pict>
        </mc:Fallback>
      </mc:AlternateConten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23C608" w14:textId="77777777" w:rsidR="00696584" w:rsidRDefault="002C4F63">
      <w:r>
        <w:separator/>
      </w:r>
    </w:p>
    <w:p w14:paraId="3712CC31" w14:textId="77777777" w:rsidR="00A55292" w:rsidRDefault="00A55292"/>
  </w:footnote>
  <w:footnote w:type="continuationSeparator" w:id="0">
    <w:p w14:paraId="1BFD6958" w14:textId="77777777" w:rsidR="00696584" w:rsidRDefault="002C4F63">
      <w:r>
        <w:continuationSeparator/>
      </w:r>
    </w:p>
    <w:p w14:paraId="73C82E26" w14:textId="77777777" w:rsidR="00A55292" w:rsidRDefault="00A55292"/>
  </w:footnote>
  <w:footnote w:type="continuationNotice" w:id="1">
    <w:p w14:paraId="34EA159C" w14:textId="77777777" w:rsidR="00696584" w:rsidRDefault="00696584"/>
    <w:p w14:paraId="11C29552" w14:textId="77777777" w:rsidR="00A55292" w:rsidRDefault="00A55292"/>
  </w:footnote>
  <w:footnote w:id="2">
    <w:p w14:paraId="0A3F5404" w14:textId="77777777" w:rsidR="00696584" w:rsidRDefault="002C4F63">
      <w:pPr>
        <w:pStyle w:val="FootnoteText"/>
      </w:pPr>
      <w:r>
        <w:rPr>
          <w:rStyle w:val="FootnoteReference"/>
        </w:rPr>
        <w:footnoteRef/>
      </w:r>
      <w:r>
        <w:t xml:space="preserve"> Durchführungsverordnung (EU) 2024/3117 der Kommission vom 29. November 2024 zur Festlegung technischer Durchführungsstandards für die Anwendung der Verordnung (EU) Nr. 575/2013 des Europäischen Parlaments und des Rates auf die aufsichtlichen Meldungen der Institute und zur Aufhebung der Durchführungsverordnung (EU) 2021/451 der Kommission (ABl.</w:t>
      </w:r>
      <w:r>
        <w:rPr>
          <w:i/>
        </w:rPr>
        <w:t>L, 2024/3117, 27.12.2024, ELI: </w:t>
      </w:r>
      <w:hyperlink r:id="rId1" w:tgtFrame="_blank" w:tooltip="Gives access to this document through its ELI URI." w:history="1">
        <w:r>
          <w:rPr>
            <w:rStyle w:val="Hyperlink"/>
            <w:i/>
          </w:rPr>
          <w:t>http://data.europa.eu/eli/reg_impl/2024/3117/oj</w:t>
        </w:r>
      </w:hyperlink>
      <w:r>
        <w:rPr>
          <w:i/>
        </w:rPr>
        <w:t>),</w:t>
      </w:r>
      <w:r>
        <w:t>Erwägungsgrund 1.</w:t>
      </w:r>
    </w:p>
  </w:footnote>
  <w:footnote w:id="3">
    <w:p w14:paraId="7FE1D258" w14:textId="77777777" w:rsidR="00696584" w:rsidRDefault="002C4F63">
      <w:pPr>
        <w:pStyle w:val="FootnoteText"/>
      </w:pPr>
      <w:r>
        <w:rPr>
          <w:rStyle w:val="FootnoteReference"/>
          <w:rFonts w:ascii="Times New Roman" w:hAnsi="Times New Roman"/>
        </w:rPr>
        <w:footnoteRef/>
      </w:r>
      <w:r>
        <w:t xml:space="preserve"> Verordnung (EG) Nr. 1606/2002 des Europäischen Parlaments und des Rates vom 19. Juli 2002 betreffend die Anwendung internationaler Rechnungslegungsstandards (ABl. L 243 vom 11.9.2002, S. 1).</w:t>
      </w:r>
    </w:p>
  </w:footnote>
  <w:footnote w:id="4">
    <w:p w14:paraId="7FE1D259" w14:textId="77777777" w:rsidR="00696584" w:rsidRDefault="002C4F63">
      <w:pPr>
        <w:pStyle w:val="FootnoteText"/>
      </w:pPr>
      <w:r>
        <w:rPr>
          <w:rStyle w:val="FootnoteReference"/>
          <w:rFonts w:ascii="Times New Roman" w:hAnsi="Times New Roman"/>
        </w:rPr>
        <w:footnoteRef/>
      </w:r>
      <w:r>
        <w:t xml:space="preserve"> Verordnung (EG) Nr. 1606/2002 des Europäischen Parlaments und des Rates vom 19. Juli 2002 betreffend die Anwendung internationaler Rechnungslegungsstandards (ABl. L 243 vom 11.9.2002, S. 1).</w:t>
      </w:r>
    </w:p>
  </w:footnote>
  <w:footnote w:id="5">
    <w:p w14:paraId="7FE1D25A" w14:textId="77777777" w:rsidR="00696584" w:rsidRDefault="002C4F63">
      <w:pPr>
        <w:pStyle w:val="FootnoteText"/>
      </w:pPr>
      <w:r>
        <w:rPr>
          <w:rStyle w:val="FootnoteReference"/>
          <w:rFonts w:ascii="Times New Roman" w:hAnsi="Times New Roman"/>
        </w:rPr>
        <w:footnoteRef/>
      </w:r>
      <w:r>
        <w:t xml:space="preserve"> Richtlinie 86/635/EWG des Rates vom 8. Dezember 1986 über den Jahresabschluss und den konsolidierten Abschluss von Banken und anderen Finanzinstituten (ABl. L 372 vom 31.12.1986, S. 1).</w:t>
      </w:r>
    </w:p>
  </w:footnote>
  <w:footnote w:id="6">
    <w:p w14:paraId="06EB0A65" w14:textId="77777777" w:rsidR="00696584" w:rsidRDefault="002C4F63">
      <w:pPr>
        <w:pStyle w:val="FootnoteText"/>
      </w:pPr>
      <w:r>
        <w:rPr>
          <w:rStyle w:val="FootnoteReference"/>
          <w:rFonts w:ascii="Times New Roman" w:hAnsi="Times New Roman"/>
        </w:rPr>
        <w:footnoteRef/>
      </w:r>
      <w:r>
        <w:t xml:space="preserve"> Verordnung (EU) Nr. 575/2013 des Europäischen Parlaments und des Rates vom 26. Juni 2013 über Aufsichtsanforderungen an Kreditinstitute und Wertpapierfirmen und zur Änderung der Verordnung (EU) Nr. 648/2012 (ABl. L 176 vom 27.6.2013, S. 1).</w:t>
      </w:r>
    </w:p>
  </w:footnote>
  <w:footnote w:id="7">
    <w:p w14:paraId="7FE1D25C" w14:textId="77777777" w:rsidR="00696584" w:rsidRDefault="002C4F63">
      <w:pPr>
        <w:pStyle w:val="FootnoteText"/>
      </w:pPr>
      <w:r>
        <w:rPr>
          <w:rStyle w:val="FootnoteReference"/>
        </w:rPr>
        <w:footnoteRef/>
      </w:r>
      <w:r>
        <w:t xml:space="preserve"> Richtlinie 2013/36/EU des Europäischen Parlaments und des Rates vom 26. Juni 2013 über den Zugang zur Tätigkeit von Kreditinstituten und die Beaufsichtigung von Kreditinstituten und Wertpapierfirmen, zur Änderung der Richtlinie 2002/87/EG und zur Aufhebung der Richtlinien 2006/48/EG und 2006/49/EG (ABl. L 176 vom 27.6.2013, S. 338).</w:t>
      </w:r>
    </w:p>
  </w:footnote>
  <w:footnote w:id="8">
    <w:p w14:paraId="7FE1D25D" w14:textId="77777777" w:rsidR="00696584" w:rsidRDefault="002C4F63">
      <w:pPr>
        <w:pStyle w:val="FootnoteText"/>
      </w:pPr>
      <w:r>
        <w:rPr>
          <w:rStyle w:val="FootnoteReference"/>
        </w:rPr>
        <w:footnoteRef/>
      </w:r>
      <w:r>
        <w:t xml:space="preserve"> Verordnung (EU) 2019/2033 des Europäischen Parlaments und des Rates vom 27. November 2019 über Aufsichtsanforderungen an Wertpapierfirmen und zur Änderung der Verordnungen (EU) Nr. 1093/2010, (EU) Nr. 575/2013, (EU) Nr. 600/2014 und (EU) Nr. 806/2014 (ABl. L 314 vom 5.12.2019, S. 1).</w:t>
      </w:r>
    </w:p>
  </w:footnote>
  <w:footnote w:id="9">
    <w:p w14:paraId="7FE1D25E" w14:textId="77777777" w:rsidR="00696584" w:rsidRDefault="002C4F63">
      <w:pPr>
        <w:pStyle w:val="FootnoteText"/>
      </w:pPr>
      <w:r>
        <w:rPr>
          <w:rStyle w:val="FootnoteReference"/>
        </w:rPr>
        <w:footnoteRef/>
      </w:r>
      <w:r>
        <w:t xml:space="preserve"> Richtlinie (EU) 2019/2034 des Europäischen Parlaments und des Rates vom 27. November 2019 über die Beaufsichtigung von Wertpapierfirmen und zur Änderung der Richtlinien 2002/87/EG, 2009/65/EG, 2011/61/EU, 2013/36/EU, 2014/59/EU und 2014/65/EU (ABl. L 314 vom 5.12.2019, S. 64)</w:t>
      </w:r>
    </w:p>
  </w:footnote>
  <w:footnote w:id="10">
    <w:p w14:paraId="7FE1D25F" w14:textId="77777777" w:rsidR="00696584" w:rsidRDefault="002C4F63">
      <w:pPr>
        <w:pStyle w:val="FootnoteText"/>
      </w:pPr>
      <w:r>
        <w:rPr>
          <w:rStyle w:val="FootnoteReference"/>
          <w:rFonts w:ascii="Times New Roman" w:hAnsi="Times New Roman"/>
        </w:rPr>
        <w:footnoteRef/>
      </w:r>
      <w:r>
        <w:t xml:space="preserve"> Richtlinie 2009/138/EG des Europäischen Parlaments und des Rates vom 25. November 2009 betreffend die Aufnahme und Ausübung der Versicherungs- und der Rückversicherungstätigkeit (Solvabilität II) (Text von Bedeutung für den EWR) (ABl. L 335 vom 17.12.2009, S. 1).</w:t>
      </w:r>
    </w:p>
  </w:footnote>
  <w:footnote w:id="11">
    <w:p w14:paraId="7FE1D260" w14:textId="2ADC4F18" w:rsidR="00696584" w:rsidRDefault="002C4F63">
      <w:pPr>
        <w:pStyle w:val="FootnoteText"/>
      </w:pPr>
      <w:r>
        <w:rPr>
          <w:rStyle w:val="FootnoteReference"/>
          <w:rFonts w:ascii="Times New Roman" w:hAnsi="Times New Roman"/>
        </w:rPr>
        <w:footnoteRef/>
      </w:r>
      <w:r>
        <w:t xml:space="preserve"> Verordnung (EU) 2021/379 der Europäischen Zentralbank über die Bilanz des Sektors der monetären Finanzinstitute (ABl. L 297 vom 7.11.2013, S. 1.).</w:t>
      </w:r>
    </w:p>
  </w:footnote>
  <w:footnote w:id="12">
    <w:p w14:paraId="7FE1D261" w14:textId="77777777" w:rsidR="00696584" w:rsidRDefault="002C4F63">
      <w:pPr>
        <w:pStyle w:val="FootnoteText"/>
      </w:pPr>
      <w:r>
        <w:rPr>
          <w:rStyle w:val="FootnoteReference"/>
          <w:rFonts w:ascii="Times New Roman" w:hAnsi="Times New Roman"/>
        </w:rPr>
        <w:footnoteRef/>
      </w:r>
      <w:r>
        <w:t xml:space="preserve"> Empfehlung 2003/361/EG der Kommission vom 6. Mai 2003 betreffend die Definition der Kleinstunternehmen sowie der kleinen und mittleren Unternehmen (K(2003) 1422) (ABl. L 124 vom 20.5.2003, S. 36).</w:t>
      </w:r>
    </w:p>
  </w:footnote>
  <w:footnote w:id="13">
    <w:p w14:paraId="74BC1C09" w14:textId="2C5E1052" w:rsidR="00696584" w:rsidRDefault="002C4F63">
      <w:pPr>
        <w:pStyle w:val="FootnoteText"/>
      </w:pPr>
      <w:r>
        <w:rPr>
          <w:rStyle w:val="FootnoteReference"/>
        </w:rPr>
        <w:footnoteRef/>
      </w:r>
      <w:r>
        <w:t xml:space="preserve"> Richtlinie 2014/65/EU des Europäischen Parlaments und des Rates vom 15. Mai 2014 über Märkte für Finanzinstrumente </w:t>
      </w:r>
      <w:r>
        <w:rPr>
          <w:rFonts w:hint="eastAsia"/>
        </w:rPr>
        <w:t>(ABl. L 173 vom 12.6.2014, S. 349)</w:t>
      </w:r>
      <w:r>
        <w:t>.</w:t>
      </w:r>
    </w:p>
  </w:footnote>
  <w:footnote w:id="14">
    <w:p w14:paraId="7FE1D263" w14:textId="77777777" w:rsidR="00696584" w:rsidRDefault="002C4F63">
      <w:pPr>
        <w:pStyle w:val="FootnoteText"/>
      </w:pPr>
      <w:r>
        <w:rPr>
          <w:rStyle w:val="FootnoteReference"/>
        </w:rPr>
        <w:footnoteRef/>
      </w:r>
      <w:r>
        <w:t xml:space="preserve"> Richtlinie 2014/59/EU des Europäischen Parlaments und des Rates vom 15. Mai 2014 zur Festlegung eines Rahmens für die Sanierung und Abwicklung von Kreditinstituten und Wertpapierfirmen und zur Änderung der Richtlinie 82/891/EWG des Rates, der Richtlinien 2001/24/EG, 2002/47/EG, 2004/25/EG, 2005/56/EG, 2007/36/EG, 2011/35/EU, 2012/30/EU und 2013/36/EU sowie der Verordnungen (EU) Nr. 1093/2010 und (EU) Nr. 648/2012 des Europäischen Parlaments und des Rates (ABl. L 173 vom 12.6.2014, S. 190).</w:t>
      </w:r>
    </w:p>
  </w:footnote>
  <w:footnote w:id="15">
    <w:p w14:paraId="7FE1D264" w14:textId="77777777" w:rsidR="00696584" w:rsidRDefault="002C4F63">
      <w:pPr>
        <w:pStyle w:val="FootnoteText"/>
      </w:pPr>
      <w:r>
        <w:rPr>
          <w:rStyle w:val="FootnoteReference"/>
        </w:rPr>
        <w:footnoteRef/>
      </w:r>
      <w:r>
        <w:t xml:space="preserve"> Richtlinie 2014/49/EU des Europäischen Parlaments und des Rates vom 16. April 2014 über Einlagensicherungssysteme (ABl. L 173 vom 12.6.2014, S. 149).</w:t>
      </w:r>
    </w:p>
  </w:footnote>
  <w:footnote w:id="16">
    <w:p w14:paraId="7FE1D267" w14:textId="77777777" w:rsidR="00696584" w:rsidRDefault="002C4F63">
      <w:pPr>
        <w:pStyle w:val="FootnoteText"/>
      </w:pPr>
      <w:r>
        <w:rPr>
          <w:rStyle w:val="FootnoteReference"/>
        </w:rPr>
        <w:footnoteRef/>
      </w:r>
      <w:r>
        <w:t xml:space="preserve"> Delegierte Verordnung (EU) 2016/1401 der Kommission vom 23. Mai 2016 zur Ergänzung der Richtlinie 2014/59/EU des Europäischen Parlaments und des Rates zur Festlegung eines Rahmens für die Sanierung und Abwicklung von Kreditinstituten und Wertpapierfirmen im Hinblick auf technische Regulierungsstandards für Methoden und Grundsätze der Bewertung von aus Derivaten entstehenden Verbindlichkeiten (ABl. L 228 vom 23.8.2016, S. 7).</w:t>
      </w:r>
    </w:p>
  </w:footnote>
  <w:footnote w:id="17">
    <w:p w14:paraId="7FE1D268" w14:textId="77777777" w:rsidR="00696584" w:rsidRDefault="002C4F63">
      <w:pPr>
        <w:pStyle w:val="FootnoteText"/>
      </w:pPr>
      <w:r>
        <w:rPr>
          <w:rStyle w:val="FootnoteReference"/>
        </w:rPr>
        <w:footnoteRef/>
      </w:r>
      <w:r>
        <w:t xml:space="preserve"> Die Höhe des Kapitalerhaltungspuffers nach Artikel 129 der Richtlinie 2013/36/EU,</w:t>
      </w:r>
    </w:p>
  </w:footnote>
  <w:footnote w:id="18">
    <w:p w14:paraId="7FE1D269" w14:textId="77777777" w:rsidR="00696584" w:rsidRDefault="002C4F63">
      <w:pPr>
        <w:pStyle w:val="FootnoteText"/>
      </w:pPr>
      <w:r>
        <w:rPr>
          <w:rStyle w:val="FootnoteReference"/>
        </w:rPr>
        <w:footnoteRef/>
      </w:r>
      <w:r>
        <w:t xml:space="preserve"> Delegierte Verordnung (EU) 2016/778 der Kommission vom 2. Februar 2016 zur Ergänzung der Richtlinie 2014/59/EU des Europäischen Parlaments und des Rates in Bezug auf die Umstände und Bedingungen, unter denen die Entrichtung von außerordentlichen nachträglich erhobenen Beiträgen teilweise oder vollständig aufgeschoben werden kann, und auf die Kriterien für die Bestimmung der Tätigkeiten, Dienstleistungen und Geschäfte im Zusammenhang mit „kritischen Funktionen“ und zur Präzisierung der Kriterien für die Bestimmung der Geschäftsbereiche und damit verbundenen Dienste im Zusammenhang mit den Kerngeschäftsbereichen (ABl. L 131 vom 20.5.2016, S. 41).</w:t>
      </w:r>
    </w:p>
  </w:footnote>
  <w:footnote w:id="19">
    <w:p w14:paraId="7FE1D26D" w14:textId="77777777" w:rsidR="00696584" w:rsidRDefault="002C4F63">
      <w:pPr>
        <w:pStyle w:val="FootnoteText"/>
      </w:pPr>
      <w:r>
        <w:rPr>
          <w:rStyle w:val="FootnoteReference"/>
        </w:rPr>
        <w:footnoteRef/>
      </w:r>
      <w:r>
        <w:t xml:space="preserve"> Richtlinie (EU) 2015/2366 des Europäischen Parlaments und des Rates vom 25. November 2015 über Zahlungsdienste im Binnenmarkt, zur Änderung der Richtlinien 2002/65/EG, 2009/110/EG, 2013/36/EU und der Verordnung (EU) Nr. 1093/2010 sowie zur Aufhebung der Richtlinie 2007/64/EG (ABl. L 337 vom 23.12.2015, S. 35).</w:t>
      </w:r>
    </w:p>
  </w:footnote>
  <w:footnote w:id="20">
    <w:p w14:paraId="7FE1D26E" w14:textId="77777777" w:rsidR="00696584" w:rsidRDefault="002C4F63">
      <w:pPr>
        <w:pStyle w:val="FootnoteText"/>
      </w:pPr>
      <w:r>
        <w:rPr>
          <w:rStyle w:val="FootnoteReference"/>
        </w:rPr>
        <w:footnoteRef/>
      </w:r>
      <w:r>
        <w:t xml:space="preserve"> Verordnung (EU) Nr. 648/2012 des Europäischen Parlaments und des Rates vom 4. Juli 2012 über OTC-Derivate, zentrale Gegenparteien und Transaktionsregister (ABl. L 201 vom 27.7.2012, S. 1).</w:t>
      </w:r>
    </w:p>
  </w:footnote>
  <w:footnote w:id="21">
    <w:p w14:paraId="4F37B111" w14:textId="77777777" w:rsidR="00696584" w:rsidRDefault="002C4F63">
      <w:pPr>
        <w:pStyle w:val="FootnoteText"/>
      </w:pPr>
      <w:r>
        <w:rPr>
          <w:rStyle w:val="FootnoteReference"/>
        </w:rPr>
        <w:footnoteRef/>
      </w:r>
      <w:r>
        <w:t xml:space="preserve"> Gemäß Artikel 1 Absatz 2 der Leitlinie (EU) 2021/835 der Europäischen Zentralbank vom 26. März 2021, mit der die Leitlinie EZB/2014/15 über monetäre und finanzielle Statistiken (EZB/2021/16) aufgehoben wird, gelten Bezugnahmen auf die aufgehobene Leitlinie als Bezugnahmen auf die Leitlinie (EU) 2021/830 (EZB/2021/11), die Leitlinie (EU) 2021/831 (EZB/2021/12), die Leitlinie (EU) 2021/833 (EZB/2021/14), die Leitlinie (EU) 2021/832 (EZB/2021/13) bzw. die Leitlinie (EU) 2021/834 (EZB/2021/15) und nach Maßgabe der Entsprechungstabellen in den Anhängen II bis VI.</w:t>
      </w:r>
    </w:p>
    <w:p w14:paraId="2690BEDB" w14:textId="77777777" w:rsidR="00696584" w:rsidRDefault="00696584">
      <w:pPr>
        <w:pStyle w:val="FootnoteText"/>
      </w:pPr>
    </w:p>
  </w:footnote>
  <w:footnote w:id="22">
    <w:p w14:paraId="7FE1D272" w14:textId="77777777" w:rsidR="00696584" w:rsidRDefault="002C4F63">
      <w:pPr>
        <w:pStyle w:val="FootnoteText"/>
      </w:pPr>
      <w:r>
        <w:footnoteRef/>
      </w:r>
      <w:r>
        <w:t xml:space="preserve"> Im Sinne von Nummer 13 der EBA-Leitlinien zur Abwicklungsfähigkeit.</w:t>
      </w:r>
    </w:p>
  </w:footnote>
  <w:footnote w:id="23">
    <w:p w14:paraId="7FE1D273" w14:textId="60D312AD" w:rsidR="00696584" w:rsidRDefault="002C4F63">
      <w:pPr>
        <w:pStyle w:val="FootnoteText"/>
      </w:pPr>
      <w:r>
        <w:rPr>
          <w:rStyle w:val="FootnoteReference"/>
          <w:rFonts w:ascii="Verdana" w:hAnsi="Verdana"/>
          <w:sz w:val="16"/>
          <w:szCs w:val="16"/>
        </w:rPr>
        <w:footnoteRef/>
      </w:r>
      <w:r>
        <w:t xml:space="preserve"> Delegierte Verordnung (EU) 2016/778 der Kommission, Artikel 6 und Erwägungsgrund 8.</w:t>
      </w:r>
    </w:p>
  </w:footnote>
  <w:footnote w:id="24">
    <w:p w14:paraId="7FE1D274" w14:textId="1C805137" w:rsidR="00696584" w:rsidRDefault="002C4F63">
      <w:pPr>
        <w:pStyle w:val="FootnoteText"/>
      </w:pPr>
      <w:r>
        <w:rPr>
          <w:rStyle w:val="FootnoteReference"/>
          <w:rFonts w:ascii="Verdana" w:hAnsi="Verdana"/>
          <w:sz w:val="16"/>
          <w:szCs w:val="16"/>
        </w:rPr>
        <w:footnoteRef/>
      </w:r>
      <w:r>
        <w:t xml:space="preserve"> Delegierte Verordnung (EU) 2016/778 der Kommission, Artikel 7. </w:t>
      </w:r>
    </w:p>
  </w:footnote>
  <w:footnote w:id="25">
    <w:p w14:paraId="7FE1D275" w14:textId="77777777" w:rsidR="00696584" w:rsidRDefault="002C4F63">
      <w:pPr>
        <w:pStyle w:val="FootnoteText"/>
      </w:pPr>
      <w:r w:rsidRPr="000D7090">
        <w:rPr>
          <w:vertAlign w:val="superscript"/>
        </w:rPr>
        <w:footnoteRef/>
      </w:r>
      <w:r>
        <w:t xml:space="preserve"> Die Kontinuität wesentlicher Dienste kann erforderlich sein, um andere Abwicklungsziele als die Aufrechterhaltung kritischer Funktionen zu erreichen (z. B. Finanzstabilität durch Gewährleistung der Existenzfähigkeit der nach der Abwicklung bestehenden Einheit). </w:t>
      </w:r>
    </w:p>
    <w:p w14:paraId="7FE1D276" w14:textId="77777777" w:rsidR="00696584" w:rsidRDefault="00696584">
      <w:pPr>
        <w:pStyle w:val="FootnoteText"/>
      </w:pPr>
    </w:p>
  </w:footnote>
  <w:footnote w:id="26">
    <w:p w14:paraId="7FE1D27C" w14:textId="77777777" w:rsidR="00696584" w:rsidRDefault="002C4F63">
      <w:pPr>
        <w:pStyle w:val="FootnoteText"/>
        <w:rPr>
          <w:rFonts w:ascii="Segoe UI" w:hAnsi="Segoe UI" w:cs="Segoe UI"/>
        </w:rPr>
      </w:pPr>
      <w:r>
        <w:footnoteRef/>
      </w:r>
      <w:r>
        <w:t xml:space="preserve"> Die Bestimmungen von Titel IV Kapitel VI der BRRD sehen die Abwicklungsresilienz vor, insbesondere im Zusammenhang mit der Ausübung von Befugnissen durch die Abwicklungsbehörde, mit Ausnahme der Umsetzung der Reorganisationspläne.</w:t>
      </w:r>
    </w:p>
  </w:footnote>
  <w:footnote w:id="27">
    <w:p w14:paraId="3F998E2E" w14:textId="7BDE8075" w:rsidR="00696584" w:rsidRDefault="002C4F63">
      <w:pPr>
        <w:pStyle w:val="FootnoteText"/>
      </w:pPr>
      <w:r>
        <w:rPr>
          <w:rStyle w:val="FootnoteReference"/>
        </w:rPr>
        <w:footnoteRef/>
      </w:r>
      <w:r>
        <w:t xml:space="preserve"> Verordnung (EU) 2022/2554 des Europäischen Parlaments und des Rates vom 14. Dezember 2022 über die digitale operationale Resilienz im Finanzsektor und zur Änderung der Verordnungen (EG) Nr. 1060/2009, (EU) Nr. 648/2012, (EU) Nr. 600/2014, (EU) Nr. 909/2014 und (EU) 2016/1011.</w:t>
      </w:r>
    </w:p>
    <w:p w14:paraId="3A2C28B9" w14:textId="00F04738" w:rsidR="00696584" w:rsidRDefault="00696584">
      <w:pPr>
        <w:pStyle w:val="FootnoteText"/>
      </w:pPr>
    </w:p>
  </w:footnote>
  <w:footnote w:id="28">
    <w:p w14:paraId="7FE1D27F" w14:textId="77777777" w:rsidR="00696584" w:rsidRDefault="002C4F63">
      <w:pPr>
        <w:pStyle w:val="FootnoteText"/>
        <w:rPr>
          <w:rFonts w:ascii="Segoe UI" w:hAnsi="Segoe UI" w:cs="Segoe UI"/>
        </w:rPr>
      </w:pPr>
      <w:r w:rsidRPr="000D7090">
        <w:rPr>
          <w:vertAlign w:val="superscript"/>
        </w:rPr>
        <w:footnoteRef/>
      </w:r>
      <w:r>
        <w:t xml:space="preserve"> Die Bestimmungen von Titel IV Kapitel VI der BRRD sehen die Abwicklungsresilienz vor, insbesondere im Zusammenhang mit der Ausübung von Befugnissen durch die Abwicklungsbehörde, mit Ausnahme der Umsetzung der Reorganisationspläne.</w:t>
      </w:r>
    </w:p>
  </w:footnote>
  <w:footnote w:id="29">
    <w:p w14:paraId="7FE1D280" w14:textId="77777777" w:rsidR="00696584" w:rsidRDefault="002C4F63">
      <w:pPr>
        <w:pStyle w:val="TableParagraph"/>
        <w:spacing w:before="108"/>
        <w:ind w:left="85"/>
        <w:jc w:val="both"/>
      </w:pPr>
      <w:r>
        <w:rPr>
          <w:rStyle w:val="FootnoteReference"/>
        </w:rPr>
        <w:footnoteRef/>
      </w:r>
      <w:r>
        <w:t xml:space="preserve"> </w:t>
      </w:r>
      <w:r>
        <w:rPr>
          <w:rFonts w:ascii="Times New Roman" w:eastAsiaTheme="minorEastAsia" w:hAnsi="Times New Roman" w:cs="Times New Roman"/>
          <w:sz w:val="18"/>
          <w:szCs w:val="18"/>
        </w:rPr>
        <w:t>Schuldverschreibungen, Aktien und sonstige Wertpapiere, Repogeschäfte.</w:t>
      </w:r>
    </w:p>
  </w:footnote>
  <w:footnote w:id="30">
    <w:p w14:paraId="7FE1D281" w14:textId="77777777" w:rsidR="00696584" w:rsidRDefault="002C4F63">
      <w:pPr>
        <w:pStyle w:val="TableParagraph"/>
        <w:spacing w:before="108"/>
        <w:ind w:left="85"/>
        <w:jc w:val="both"/>
      </w:pPr>
      <w:r>
        <w:rPr>
          <w:rStyle w:val="FootnoteReference"/>
        </w:rPr>
        <w:footnoteRef/>
      </w:r>
      <w:r>
        <w:rPr>
          <w:rStyle w:val="FootnoteReference"/>
        </w:rPr>
        <w:t xml:space="preserve"> </w:t>
      </w:r>
      <w:r>
        <w:rPr>
          <w:rFonts w:ascii="Times New Roman" w:eastAsiaTheme="minorEastAsia" w:hAnsi="Times New Roman" w:cs="Times New Roman"/>
          <w:sz w:val="18"/>
          <w:szCs w:val="18"/>
        </w:rPr>
        <w:t>Multilaterale Systeme oder Einrichtungen, in denen die Interessen einer Vielzahl Dritter am Kauf und Verkauf von Finanzinstrumenten innerhalb des Systems zusammengeführt werden. Für Systeme im EWR umfasst diese Definition geregelte Märkte, MTF und OTF.</w:t>
      </w:r>
    </w:p>
  </w:footnote>
  <w:footnote w:id="31">
    <w:p w14:paraId="7FE1D282" w14:textId="13E35DEC" w:rsidR="00696584" w:rsidRDefault="002C4F63">
      <w:pPr>
        <w:pStyle w:val="TableParagraph"/>
        <w:spacing w:before="108"/>
        <w:ind w:left="85"/>
        <w:jc w:val="both"/>
      </w:pPr>
      <w:r>
        <w:rPr>
          <w:rStyle w:val="FootnoteReference"/>
        </w:rPr>
        <w:footnoteRef/>
      </w:r>
      <w:r>
        <w:t xml:space="preserve"> </w:t>
      </w:r>
      <w:r>
        <w:rPr>
          <w:rFonts w:ascii="Times New Roman" w:eastAsiaTheme="minorEastAsia" w:hAnsi="Times New Roman" w:cs="Times New Roman"/>
          <w:sz w:val="18"/>
          <w:szCs w:val="18"/>
        </w:rPr>
        <w:t xml:space="preserve">Vgl. EZB-Zahlungsverkehrs- und Marktglossar: Direkter Teilnehmer: „ein direkter Teilnehmer an einem System, der alle im System zulässigen Aktivitäten ohne Einschaltung eines </w:t>
      </w:r>
      <w:r w:rsidR="00401B63">
        <w:rPr>
          <w:rFonts w:ascii="Times New Roman" w:eastAsiaTheme="minorEastAsia" w:hAnsi="Times New Roman" w:cs="Times New Roman"/>
          <w:sz w:val="18"/>
          <w:szCs w:val="18"/>
        </w:rPr>
        <w:t>Finanzmittler</w:t>
      </w:r>
      <w:r>
        <w:rPr>
          <w:rFonts w:ascii="Times New Roman" w:eastAsiaTheme="minorEastAsia" w:hAnsi="Times New Roman" w:cs="Times New Roman"/>
          <w:sz w:val="18"/>
          <w:szCs w:val="18"/>
        </w:rPr>
        <w:t xml:space="preserve">s ausführen kann (insbesondere auch die direkte Ordereingabe ins System und die Vornahme der Abrechnung).“ Indirekter Teilnehmer: „Indirekter Teilnehmer“ ist ein Teilnehmer an einem System mit einem Stufenverhältnis, innerhalb dessen ein direkter Teilnehmer als </w:t>
      </w:r>
      <w:r w:rsidR="00401B63">
        <w:rPr>
          <w:rFonts w:ascii="Times New Roman" w:eastAsiaTheme="minorEastAsia" w:hAnsi="Times New Roman" w:cs="Times New Roman"/>
          <w:sz w:val="18"/>
          <w:szCs w:val="18"/>
        </w:rPr>
        <w:t>Finanzmittler</w:t>
      </w:r>
      <w:r>
        <w:rPr>
          <w:rFonts w:ascii="Times New Roman" w:eastAsiaTheme="minorEastAsia" w:hAnsi="Times New Roman" w:cs="Times New Roman"/>
          <w:sz w:val="18"/>
          <w:szCs w:val="18"/>
        </w:rPr>
        <w:t xml:space="preserve"> fungiert, um einige der im System zulässigen Aktivitäten auszuführen (insbesondere Abwicklung).</w:t>
      </w:r>
    </w:p>
    <w:p w14:paraId="7FE1D283" w14:textId="77777777" w:rsidR="00696584" w:rsidRDefault="00696584">
      <w:pPr>
        <w:pStyle w:val="FootnoteText"/>
      </w:pPr>
    </w:p>
  </w:footnote>
  <w:footnote w:id="32">
    <w:p w14:paraId="7FE1D284" w14:textId="77777777" w:rsidR="00696584" w:rsidRDefault="002C4F63">
      <w:pPr>
        <w:pStyle w:val="FootnoteText"/>
      </w:pPr>
      <w:r>
        <w:rPr>
          <w:rStyle w:val="FootnoteReference"/>
        </w:rPr>
        <w:footnoteRef/>
      </w:r>
      <w:r>
        <w:t xml:space="preserve"> Zur Definition des Begriffs „Abwicklungs-/Resilienz“ für die Zwecke dieses Berichts siehe Z.08.01 Spalte 150.</w:t>
      </w:r>
    </w:p>
  </w:footnote>
  <w:footnote w:id="33">
    <w:p w14:paraId="7FE1D285" w14:textId="1496E35B" w:rsidR="00696584" w:rsidRDefault="002C4F63">
      <w:pPr>
        <w:pStyle w:val="FootnoteText"/>
      </w:pPr>
      <w:r>
        <w:rPr>
          <w:rStyle w:val="FootnoteReference"/>
        </w:rPr>
        <w:footnoteRef/>
      </w:r>
      <w:r>
        <w:t xml:space="preserve"> Für die Zwecke der maßgeblichen Parameter für die </w:t>
      </w:r>
      <w:r w:rsidR="003139A0">
        <w:t xml:space="preserve">Meldung </w:t>
      </w:r>
      <w:r>
        <w:t>werden „Card Schemes“ mit „Zahlungsdiensten“ gleichgesetzt; „NA“ wird den „Zentralverwahrern“ gleichgestellt, wenn sie Wertpapiere und „Zahlungssysteme“ betreiben, wenn sie Bargelddienstleistungen erbringen.</w:t>
      </w:r>
    </w:p>
  </w:footnote>
  <w:footnote w:id="34">
    <w:p w14:paraId="7FE1D286" w14:textId="77777777" w:rsidR="00696584" w:rsidRDefault="002C4F63">
      <w:pPr>
        <w:pStyle w:val="TableParagraph"/>
        <w:spacing w:before="108"/>
        <w:jc w:val="both"/>
        <w:rPr>
          <w:rFonts w:ascii="Times New Roman" w:eastAsia="Times New Roman" w:hAnsi="Times New Roman" w:cs="Times New Roman"/>
          <w:sz w:val="20"/>
          <w:szCs w:val="20"/>
        </w:rPr>
      </w:pPr>
      <w:r>
        <w:rPr>
          <w:rStyle w:val="FootnoteReference"/>
        </w:rPr>
        <w:footnoteRef/>
      </w:r>
      <w:r>
        <w:t xml:space="preserve"> </w:t>
      </w:r>
      <w:r>
        <w:rPr>
          <w:rFonts w:ascii="Times New Roman" w:eastAsiaTheme="minorEastAsia" w:hAnsi="Times New Roman" w:cs="Times New Roman"/>
          <w:sz w:val="18"/>
          <w:szCs w:val="18"/>
        </w:rPr>
        <w:t>Für die Zwecke dieses Berichts sollte die Bedeutung von Kontotypen im Einklang mit Artikel 39 Absätze 4 und 5 der EMIR-Verordnung ausgelegt werden. Der Begriff „Position“ sollte im Einklang mit Artikel 2 Absatz 3, Artikel 39 Absatz 4 und Artikel 39 Absatz 5 der EMIR-Verordnung ausgelegt werden. Kundenkonten: nur melden, wenn der Rechtsträger indirekten Zugang zur FMI gewährt.</w:t>
      </w:r>
    </w:p>
  </w:footnote>
  <w:footnote w:id="35">
    <w:p w14:paraId="7FE1D287" w14:textId="21F2F8F9" w:rsidR="00696584" w:rsidRDefault="002C4F63">
      <w:pPr>
        <w:pStyle w:val="FootnoteText"/>
      </w:pPr>
      <w:r>
        <w:rPr>
          <w:rStyle w:val="FootnoteReference"/>
        </w:rPr>
        <w:footnoteRef/>
      </w:r>
      <w:r>
        <w:t xml:space="preserve"> Vgl. Anmerkungen der EZB zur Methodik zur Statistik des Wertpapierhandels, des Clearings und der Abwicklung von Wertpapieren.</w:t>
      </w:r>
    </w:p>
  </w:footnote>
  <w:footnote w:id="36">
    <w:p w14:paraId="7FE1D289" w14:textId="77777777" w:rsidR="00696584" w:rsidRDefault="002C4F63">
      <w:pPr>
        <w:pStyle w:val="FootnoteText"/>
      </w:pPr>
      <w:r>
        <w:rPr>
          <w:rStyle w:val="FootnoteReference"/>
        </w:rPr>
        <w:footnoteRef/>
      </w:r>
      <w:r>
        <w:t xml:space="preserve"> Bestimmte Eigenkapitalinstrumente wie genossenschaftliche Beteiligungen fallen nicht unter die Definition von Wertpapieren, sollten aber dennoch hier gemeldet werden.</w:t>
      </w:r>
    </w:p>
  </w:footnote>
  <w:footnote w:id="37">
    <w:p w14:paraId="4A19D249" w14:textId="77777777" w:rsidR="008777A7" w:rsidRDefault="008777A7">
      <w:pPr>
        <w:pStyle w:val="FootnoteText"/>
        <w:rPr>
          <w:rFonts w:ascii="Verdana" w:hAnsi="Verdana"/>
        </w:rPr>
      </w:pPr>
      <w:r>
        <w:rPr>
          <w:rStyle w:val="FootnoteReference"/>
          <w:rFonts w:ascii="Verdana" w:hAnsi="Verdana"/>
          <w:sz w:val="16"/>
        </w:rPr>
        <w:footnoteRef/>
      </w:r>
      <w:r>
        <w:rPr>
          <w:rFonts w:ascii="Verdana" w:hAnsi="Verdana"/>
          <w:sz w:val="16"/>
        </w:rPr>
        <w:t xml:space="preserve"> Euronext Clearing ist die neue Handelsbezeichnung der Cassa Compensazione e Garanzia (CC&amp;G).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1D24B" w14:textId="77777777" w:rsidR="00696584" w:rsidRDefault="002C4F63">
    <w:pPr>
      <w:pStyle w:val="Header"/>
    </w:pPr>
    <w:r>
      <w:rPr>
        <w:noProof/>
      </w:rPr>
      <mc:AlternateContent>
        <mc:Choice Requires="wps">
          <w:drawing>
            <wp:anchor distT="0" distB="0" distL="0" distR="0" simplePos="0" relativeHeight="251658240" behindDoc="0" locked="0" layoutInCell="1" allowOverlap="1" wp14:anchorId="7FE1D251" wp14:editId="387D5396">
              <wp:simplePos x="635" y="635"/>
              <wp:positionH relativeFrom="leftMargin">
                <wp:align>left</wp:align>
              </wp:positionH>
              <wp:positionV relativeFrom="paragraph">
                <wp:posOffset>635</wp:posOffset>
              </wp:positionV>
              <wp:extent cx="443865" cy="443865"/>
              <wp:effectExtent l="0" t="0" r="3175" b="4445"/>
              <wp:wrapSquare wrapText="bothSides"/>
              <wp:docPr id="2" name="Textfeld 2:" descr="EBA Regular Use"/>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FE1D28A" w14:textId="77777777" w:rsidR="00696584" w:rsidRDefault="002C4F63">
                          <w:pPr>
                            <w:pStyle w:val="P68B1DB1-Normal93"/>
                          </w:pPr>
                          <w:r>
                            <w:t>EBA Reguläre Verwendung</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7FE1D251" id="_x0000_t202" coordsize="21600,21600" o:spt="202" path="m,l,21600r21600,l21600,xe">
              <v:stroke joinstyle="miter"/>
              <v:path gradientshapeok="t" o:connecttype="rect"/>
            </v:shapetype>
            <v:shape id="Textfeld 2:" o:spid="_x0000_s1026" type="#_x0000_t202" alt="EBA Regular Use" style="position:absolute;margin-left:0;margin-top:.05pt;width:34.95pt;height:34.95pt;z-index:251658240;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CC8BQIAABQ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" filled="f" stroked="f">
              <v:textbox style="mso-fit-shape-to-text:t" inset="5pt,0,0,0">
                <w:txbxContent>
                  <w:p w14:paraId="7FE1D28A" w14:textId="77777777" w:rsidR="00696584" w:rsidRDefault="002C4F63">
                    <w:pPr>
                      <w:pStyle w:val="P68B1DB1-Normal93"/>
                    </w:pPr>
                    <w:r>
                      <w:t>EBA Reguläre Verwendung</w:t>
                    </w:r>
                  </w:p>
                </w:txbxContent>
              </v:textbox>
              <w10:wrap type="square" anchorx="margin"/>
            </v:shape>
          </w:pict>
        </mc:Fallback>
      </mc:AlternateContent>
    </w:r>
  </w:p>
  <w:p w14:paraId="1634009A" w14:textId="77777777" w:rsidR="00A55292" w:rsidRDefault="00A5529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1D24C" w14:textId="298D0323" w:rsidR="00696584" w:rsidRDefault="002C4F63">
    <w:pPr>
      <w:pStyle w:val="P68B1DB1-Header94"/>
      <w:jc w:val="center"/>
    </w:pPr>
    <w:r>
      <w:rPr>
        <w:noProof/>
      </w:rPr>
      <mc:AlternateContent>
        <mc:Choice Requires="wps">
          <w:drawing>
            <wp:anchor distT="0" distB="0" distL="0" distR="0" simplePos="0" relativeHeight="251657216" behindDoc="0" locked="0" layoutInCell="1" allowOverlap="1" wp14:anchorId="7FE1D253" wp14:editId="608A6624">
              <wp:simplePos x="914400" y="447675"/>
              <wp:positionH relativeFrom="leftMargin">
                <wp:align>left</wp:align>
              </wp:positionH>
              <wp:positionV relativeFrom="paragraph">
                <wp:posOffset>635</wp:posOffset>
              </wp:positionV>
              <wp:extent cx="443865" cy="443865"/>
              <wp:effectExtent l="0" t="0" r="3175" b="4445"/>
              <wp:wrapSquare wrapText="bothSides"/>
              <wp:docPr id="3" name="Textfeld 3:" descr="EBA Regular Use"/>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FE1D28B" w14:textId="43485C18" w:rsidR="00696584" w:rsidRDefault="00696584">
                          <w:pPr>
                            <w:rPr>
                              <w:rFonts w:ascii="Calibri" w:eastAsia="Calibri" w:hAnsi="Calibri" w:cs="Calibri"/>
                              <w:color w:val="000000"/>
                              <w:sz w:val="24"/>
                            </w:rPr>
                          </w:pP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7FE1D253" id="_x0000_t202" coordsize="21600,21600" o:spt="202" path="m,l,21600r21600,l21600,xe">
              <v:stroke joinstyle="miter"/>
              <v:path gradientshapeok="t" o:connecttype="rect"/>
            </v:shapetype>
            <v:shape id="Textfeld 3:" o:spid="_x0000_s1027" type="#_x0000_t202" alt="EBA Regular Use" style="position:absolute;left:0;text-align:left;margin-left:0;margin-top:.05pt;width:34.95pt;height:34.95pt;z-index:251657216;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p5xBwIAABs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" filled="f" stroked="f">
              <v:textbox style="mso-fit-shape-to-text:t" inset="5pt,0,0,0">
                <w:txbxContent>
                  <w:p w14:paraId="7FE1D28B" w14:textId="43485C18" w:rsidR="00696584" w:rsidRDefault="00696584">
                    <w:pPr>
                      <w:rPr>
                        <w:rFonts w:ascii="Calibri" w:eastAsia="Calibri" w:hAnsi="Calibri" w:cs="Calibri"/>
                        <w:color w:val="000000"/>
                        <w:sz w:val="24"/>
                      </w:rPr>
                    </w:pPr>
                  </w:p>
                </w:txbxContent>
              </v:textbox>
              <w10:wrap type="square" anchorx="margin"/>
            </v:shape>
          </w:pict>
        </mc:Fallback>
      </mc:AlternateContent>
    </w:r>
    <w:r w:rsidR="001D771D">
      <w:t>DE</w:t>
    </w:r>
  </w:p>
  <w:p w14:paraId="7FE1D24D" w14:textId="77777777" w:rsidR="00696584" w:rsidRDefault="002C4F63">
    <w:pPr>
      <w:pStyle w:val="P68B1DB1-Header94"/>
      <w:jc w:val="center"/>
    </w:pPr>
    <w:r>
      <w:t>ANHANG II</w:t>
    </w:r>
  </w:p>
  <w:p w14:paraId="6A796643" w14:textId="77777777" w:rsidR="00A55292" w:rsidRDefault="00A5529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1D250" w14:textId="77777777" w:rsidR="00696584" w:rsidRDefault="002C4F63">
    <w:pPr>
      <w:pStyle w:val="Header"/>
    </w:pPr>
    <w:r>
      <w:rPr>
        <w:noProof/>
      </w:rPr>
      <mc:AlternateContent>
        <mc:Choice Requires="wps">
          <w:drawing>
            <wp:anchor distT="0" distB="0" distL="0" distR="0" simplePos="0" relativeHeight="251656192" behindDoc="0" locked="0" layoutInCell="1" allowOverlap="1" wp14:anchorId="7FE1D255" wp14:editId="5C631786">
              <wp:simplePos x="635" y="635"/>
              <wp:positionH relativeFrom="leftMargin">
                <wp:align>left</wp:align>
              </wp:positionH>
              <wp:positionV relativeFrom="paragraph">
                <wp:posOffset>635</wp:posOffset>
              </wp:positionV>
              <wp:extent cx="443865" cy="443865"/>
              <wp:effectExtent l="0" t="0" r="3175" b="4445"/>
              <wp:wrapSquare wrapText="bothSides"/>
              <wp:docPr id="1" name="Textfeld 1" descr="EBA Regular Use"/>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FE1D28C" w14:textId="15FD35FB" w:rsidR="00696584" w:rsidRDefault="00696584">
                          <w:pPr>
                            <w:rPr>
                              <w:rFonts w:ascii="Calibri" w:eastAsia="Calibri" w:hAnsi="Calibri" w:cs="Calibri"/>
                              <w:color w:val="000000"/>
                              <w:sz w:val="24"/>
                            </w:rPr>
                          </w:pP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7FE1D255" id="_x0000_t202" coordsize="21600,21600" o:spt="202" path="m,l,21600r21600,l21600,xe">
              <v:stroke joinstyle="miter"/>
              <v:path gradientshapeok="t" o:connecttype="rect"/>
            </v:shapetype>
            <v:shape id="Textfeld 1" o:spid="_x0000_s1028" type="#_x0000_t202" alt="EBA Regular Use" style="position:absolute;margin-left:0;margin-top:.05pt;width:34.95pt;height:34.95pt;z-index:251656192;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" filled="f" stroked="f">
              <v:textbox style="mso-fit-shape-to-text:t" inset="5pt,0,0,0">
                <w:txbxContent>
                  <w:p w14:paraId="7FE1D28C" w14:textId="15FD35FB" w:rsidR="00696584" w:rsidRDefault="00696584">
                    <w:pPr>
                      <w:rPr>
                        <w:rFonts w:ascii="Calibri" w:eastAsia="Calibri" w:hAnsi="Calibri" w:cs="Calibri"/>
                        <w:color w:val="000000"/>
                        <w:sz w:val="24"/>
                      </w:rPr>
                    </w:pP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7067A5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1C50DE"/>
    <w:multiLevelType w:val="hybridMultilevel"/>
    <w:tmpl w:val="FFFFFFFF"/>
    <w:lvl w:ilvl="0" w:tplc="34341322">
      <w:start w:val="1"/>
      <w:numFmt w:val="bullet"/>
      <w:lvlText w:val="·"/>
      <w:lvlJc w:val="left"/>
      <w:pPr>
        <w:ind w:left="720" w:hanging="360"/>
      </w:pPr>
      <w:rPr>
        <w:rFonts w:ascii="Symbol" w:hAnsi="Symbol" w:hint="default"/>
      </w:rPr>
    </w:lvl>
    <w:lvl w:ilvl="1" w:tplc="74E4A804">
      <w:start w:val="1"/>
      <w:numFmt w:val="decimal"/>
      <w:lvlText w:val="%2."/>
      <w:lvlJc w:val="left"/>
      <w:pPr>
        <w:ind w:left="1440" w:hanging="360"/>
      </w:pPr>
      <w:rPr>
        <w:rFonts w:hint="default"/>
      </w:rPr>
    </w:lvl>
    <w:lvl w:ilvl="2" w:tplc="40649D5A">
      <w:start w:val="1"/>
      <w:numFmt w:val="bullet"/>
      <w:lvlText w:val=""/>
      <w:lvlJc w:val="left"/>
      <w:pPr>
        <w:ind w:left="2160" w:hanging="360"/>
      </w:pPr>
      <w:rPr>
        <w:rFonts w:ascii="Wingdings" w:hAnsi="Wingdings" w:hint="default"/>
      </w:rPr>
    </w:lvl>
    <w:lvl w:ilvl="3" w:tplc="00287E08">
      <w:start w:val="1"/>
      <w:numFmt w:val="bullet"/>
      <w:lvlText w:val=""/>
      <w:lvlJc w:val="left"/>
      <w:pPr>
        <w:ind w:left="2880" w:hanging="360"/>
      </w:pPr>
      <w:rPr>
        <w:rFonts w:ascii="Symbol" w:hAnsi="Symbol" w:hint="default"/>
      </w:rPr>
    </w:lvl>
    <w:lvl w:ilvl="4" w:tplc="5F280878">
      <w:start w:val="1"/>
      <w:numFmt w:val="bullet"/>
      <w:lvlText w:val="o"/>
      <w:lvlJc w:val="left"/>
      <w:pPr>
        <w:ind w:left="3600" w:hanging="360"/>
      </w:pPr>
      <w:rPr>
        <w:rFonts w:ascii="Courier New" w:hAnsi="Courier New" w:hint="default"/>
      </w:rPr>
    </w:lvl>
    <w:lvl w:ilvl="5" w:tplc="396C2F7A">
      <w:start w:val="1"/>
      <w:numFmt w:val="bullet"/>
      <w:lvlText w:val=""/>
      <w:lvlJc w:val="left"/>
      <w:pPr>
        <w:ind w:left="4320" w:hanging="360"/>
      </w:pPr>
      <w:rPr>
        <w:rFonts w:ascii="Wingdings" w:hAnsi="Wingdings" w:hint="default"/>
      </w:rPr>
    </w:lvl>
    <w:lvl w:ilvl="6" w:tplc="CA969B6A">
      <w:start w:val="1"/>
      <w:numFmt w:val="bullet"/>
      <w:lvlText w:val=""/>
      <w:lvlJc w:val="left"/>
      <w:pPr>
        <w:ind w:left="5040" w:hanging="360"/>
      </w:pPr>
      <w:rPr>
        <w:rFonts w:ascii="Symbol" w:hAnsi="Symbol" w:hint="default"/>
      </w:rPr>
    </w:lvl>
    <w:lvl w:ilvl="7" w:tplc="B854FFFA">
      <w:start w:val="1"/>
      <w:numFmt w:val="bullet"/>
      <w:lvlText w:val="o"/>
      <w:lvlJc w:val="left"/>
      <w:pPr>
        <w:ind w:left="5760" w:hanging="360"/>
      </w:pPr>
      <w:rPr>
        <w:rFonts w:ascii="Courier New" w:hAnsi="Courier New" w:hint="default"/>
      </w:rPr>
    </w:lvl>
    <w:lvl w:ilvl="8" w:tplc="E5707972">
      <w:start w:val="1"/>
      <w:numFmt w:val="bullet"/>
      <w:lvlText w:val=""/>
      <w:lvlJc w:val="left"/>
      <w:pPr>
        <w:ind w:left="6480" w:hanging="360"/>
      </w:pPr>
      <w:rPr>
        <w:rFonts w:ascii="Wingdings" w:hAnsi="Wingdings" w:hint="default"/>
      </w:rPr>
    </w:lvl>
  </w:abstractNum>
  <w:abstractNum w:abstractNumId="2" w15:restartNumberingAfterBreak="0">
    <w:nsid w:val="005C0289"/>
    <w:multiLevelType w:val="hybridMultilevel"/>
    <w:tmpl w:val="FFFFFFFF"/>
    <w:lvl w:ilvl="0" w:tplc="F1FCE380">
      <w:start w:val="52"/>
      <w:numFmt w:val="decimal"/>
      <w:lvlText w:val="%1."/>
      <w:lvlJc w:val="left"/>
      <w:pPr>
        <w:ind w:left="720" w:hanging="360"/>
      </w:pPr>
    </w:lvl>
    <w:lvl w:ilvl="1" w:tplc="24A2D92E">
      <w:start w:val="1"/>
      <w:numFmt w:val="lowerLetter"/>
      <w:lvlText w:val="%2."/>
      <w:lvlJc w:val="left"/>
      <w:pPr>
        <w:ind w:left="1440" w:hanging="360"/>
      </w:pPr>
    </w:lvl>
    <w:lvl w:ilvl="2" w:tplc="46D02270">
      <w:start w:val="1"/>
      <w:numFmt w:val="lowerRoman"/>
      <w:lvlText w:val="%3."/>
      <w:lvlJc w:val="right"/>
      <w:pPr>
        <w:ind w:left="2160" w:hanging="180"/>
      </w:pPr>
    </w:lvl>
    <w:lvl w:ilvl="3" w:tplc="A10CD14E">
      <w:start w:val="1"/>
      <w:numFmt w:val="decimal"/>
      <w:lvlText w:val="%4."/>
      <w:lvlJc w:val="left"/>
      <w:pPr>
        <w:ind w:left="2880" w:hanging="360"/>
      </w:pPr>
    </w:lvl>
    <w:lvl w:ilvl="4" w:tplc="533EF154">
      <w:start w:val="1"/>
      <w:numFmt w:val="lowerLetter"/>
      <w:lvlText w:val="%5."/>
      <w:lvlJc w:val="left"/>
      <w:pPr>
        <w:ind w:left="3600" w:hanging="360"/>
      </w:pPr>
    </w:lvl>
    <w:lvl w:ilvl="5" w:tplc="E196BB68">
      <w:start w:val="1"/>
      <w:numFmt w:val="lowerRoman"/>
      <w:lvlText w:val="%6."/>
      <w:lvlJc w:val="right"/>
      <w:pPr>
        <w:ind w:left="4320" w:hanging="180"/>
      </w:pPr>
    </w:lvl>
    <w:lvl w:ilvl="6" w:tplc="F59AB4D2">
      <w:start w:val="1"/>
      <w:numFmt w:val="decimal"/>
      <w:lvlText w:val="%7."/>
      <w:lvlJc w:val="left"/>
      <w:pPr>
        <w:ind w:left="5040" w:hanging="360"/>
      </w:pPr>
    </w:lvl>
    <w:lvl w:ilvl="7" w:tplc="6AD009EC">
      <w:start w:val="1"/>
      <w:numFmt w:val="lowerLetter"/>
      <w:lvlText w:val="%8."/>
      <w:lvlJc w:val="left"/>
      <w:pPr>
        <w:ind w:left="5760" w:hanging="360"/>
      </w:pPr>
    </w:lvl>
    <w:lvl w:ilvl="8" w:tplc="20BC22BA">
      <w:start w:val="1"/>
      <w:numFmt w:val="lowerRoman"/>
      <w:lvlText w:val="%9."/>
      <w:lvlJc w:val="right"/>
      <w:pPr>
        <w:ind w:left="6480" w:hanging="180"/>
      </w:pPr>
    </w:lvl>
  </w:abstractNum>
  <w:abstractNum w:abstractNumId="3" w15:restartNumberingAfterBreak="0">
    <w:nsid w:val="00E5078C"/>
    <w:multiLevelType w:val="hybridMultilevel"/>
    <w:tmpl w:val="D53853DA"/>
    <w:lvl w:ilvl="0" w:tplc="AFE0D250">
      <w:start w:val="1"/>
      <w:numFmt w:val="bullet"/>
      <w:pStyle w:val="List"/>
      <w:lvlText w:val=""/>
      <w:lvlJc w:val="left"/>
      <w:pPr>
        <w:tabs>
          <w:tab w:val="num" w:pos="680"/>
        </w:tabs>
        <w:ind w:left="680" w:hanging="68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1734EE9"/>
    <w:multiLevelType w:val="hybridMultilevel"/>
    <w:tmpl w:val="0C0A2588"/>
    <w:lvl w:ilvl="0" w:tplc="594AD1D0">
      <w:start w:val="1"/>
      <w:numFmt w:val="decimal"/>
      <w:lvlText w:val="%1."/>
      <w:lvlJc w:val="left"/>
      <w:pPr>
        <w:ind w:left="720" w:hanging="360"/>
      </w:pPr>
    </w:lvl>
    <w:lvl w:ilvl="1" w:tplc="916E9DC8">
      <w:start w:val="1"/>
      <w:numFmt w:val="lowerLetter"/>
      <w:lvlText w:val="%2."/>
      <w:lvlJc w:val="left"/>
      <w:pPr>
        <w:ind w:left="1440" w:hanging="360"/>
      </w:pPr>
    </w:lvl>
    <w:lvl w:ilvl="2" w:tplc="6F1041A2">
      <w:start w:val="1"/>
      <w:numFmt w:val="lowerRoman"/>
      <w:lvlText w:val="%3."/>
      <w:lvlJc w:val="right"/>
      <w:pPr>
        <w:ind w:left="2160" w:hanging="180"/>
      </w:pPr>
    </w:lvl>
    <w:lvl w:ilvl="3" w:tplc="6AFA64C2">
      <w:start w:val="1"/>
      <w:numFmt w:val="decimal"/>
      <w:lvlText w:val="%4."/>
      <w:lvlJc w:val="left"/>
      <w:pPr>
        <w:ind w:left="2880" w:hanging="360"/>
      </w:pPr>
    </w:lvl>
    <w:lvl w:ilvl="4" w:tplc="C158F274">
      <w:start w:val="1"/>
      <w:numFmt w:val="lowerLetter"/>
      <w:lvlText w:val="%5."/>
      <w:lvlJc w:val="left"/>
      <w:pPr>
        <w:ind w:left="3600" w:hanging="360"/>
      </w:pPr>
    </w:lvl>
    <w:lvl w:ilvl="5" w:tplc="0486DEC2">
      <w:start w:val="1"/>
      <w:numFmt w:val="lowerRoman"/>
      <w:lvlText w:val="%6."/>
      <w:lvlJc w:val="right"/>
      <w:pPr>
        <w:ind w:left="4320" w:hanging="180"/>
      </w:pPr>
    </w:lvl>
    <w:lvl w:ilvl="6" w:tplc="40B6D0A6">
      <w:start w:val="1"/>
      <w:numFmt w:val="decimal"/>
      <w:lvlText w:val="%7."/>
      <w:lvlJc w:val="left"/>
      <w:pPr>
        <w:ind w:left="5040" w:hanging="360"/>
      </w:pPr>
    </w:lvl>
    <w:lvl w:ilvl="7" w:tplc="17EAE1E8">
      <w:start w:val="1"/>
      <w:numFmt w:val="lowerLetter"/>
      <w:lvlText w:val="%8."/>
      <w:lvlJc w:val="left"/>
      <w:pPr>
        <w:ind w:left="5760" w:hanging="360"/>
      </w:pPr>
    </w:lvl>
    <w:lvl w:ilvl="8" w:tplc="0938F600">
      <w:start w:val="1"/>
      <w:numFmt w:val="lowerRoman"/>
      <w:lvlText w:val="%9."/>
      <w:lvlJc w:val="right"/>
      <w:pPr>
        <w:ind w:left="6480" w:hanging="180"/>
      </w:pPr>
    </w:lvl>
  </w:abstractNum>
  <w:abstractNum w:abstractNumId="5" w15:restartNumberingAfterBreak="0">
    <w:nsid w:val="01BB04D2"/>
    <w:multiLevelType w:val="hybridMultilevel"/>
    <w:tmpl w:val="396406E6"/>
    <w:lvl w:ilvl="0" w:tplc="7C94C3FA">
      <w:start w:val="1"/>
      <w:numFmt w:val="lowerRoman"/>
      <w:lvlText w:val="%1."/>
      <w:lvlJc w:val="righ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6" w15:restartNumberingAfterBreak="0">
    <w:nsid w:val="03395E66"/>
    <w:multiLevelType w:val="hybridMultilevel"/>
    <w:tmpl w:val="FFFFFFFF"/>
    <w:lvl w:ilvl="0" w:tplc="5198840A">
      <w:start w:val="1"/>
      <w:numFmt w:val="bullet"/>
      <w:lvlText w:val="·"/>
      <w:lvlJc w:val="left"/>
      <w:pPr>
        <w:ind w:left="720" w:hanging="360"/>
      </w:pPr>
    </w:lvl>
    <w:lvl w:ilvl="1" w:tplc="1B307686">
      <w:start w:val="1"/>
      <w:numFmt w:val="decimal"/>
      <w:lvlText w:val="%2."/>
      <w:lvlJc w:val="left"/>
      <w:pPr>
        <w:ind w:left="1440" w:hanging="360"/>
      </w:pPr>
    </w:lvl>
    <w:lvl w:ilvl="2" w:tplc="5A38A0C2">
      <w:start w:val="1"/>
      <w:numFmt w:val="lowerRoman"/>
      <w:lvlText w:val="%3."/>
      <w:lvlJc w:val="right"/>
      <w:pPr>
        <w:ind w:left="2160" w:hanging="180"/>
      </w:pPr>
    </w:lvl>
    <w:lvl w:ilvl="3" w:tplc="A1907878">
      <w:start w:val="1"/>
      <w:numFmt w:val="decimal"/>
      <w:lvlText w:val="%4."/>
      <w:lvlJc w:val="left"/>
      <w:pPr>
        <w:ind w:left="2880" w:hanging="360"/>
      </w:pPr>
    </w:lvl>
    <w:lvl w:ilvl="4" w:tplc="1474FB6C">
      <w:start w:val="1"/>
      <w:numFmt w:val="lowerLetter"/>
      <w:lvlText w:val="%5."/>
      <w:lvlJc w:val="left"/>
      <w:pPr>
        <w:ind w:left="3600" w:hanging="360"/>
      </w:pPr>
    </w:lvl>
    <w:lvl w:ilvl="5" w:tplc="066EFAD2">
      <w:start w:val="1"/>
      <w:numFmt w:val="lowerRoman"/>
      <w:lvlText w:val="%6."/>
      <w:lvlJc w:val="right"/>
      <w:pPr>
        <w:ind w:left="4320" w:hanging="180"/>
      </w:pPr>
    </w:lvl>
    <w:lvl w:ilvl="6" w:tplc="1602912E">
      <w:start w:val="1"/>
      <w:numFmt w:val="decimal"/>
      <w:lvlText w:val="%7."/>
      <w:lvlJc w:val="left"/>
      <w:pPr>
        <w:ind w:left="5040" w:hanging="360"/>
      </w:pPr>
    </w:lvl>
    <w:lvl w:ilvl="7" w:tplc="0EB0C000">
      <w:start w:val="1"/>
      <w:numFmt w:val="lowerLetter"/>
      <w:lvlText w:val="%8."/>
      <w:lvlJc w:val="left"/>
      <w:pPr>
        <w:ind w:left="5760" w:hanging="360"/>
      </w:pPr>
    </w:lvl>
    <w:lvl w:ilvl="8" w:tplc="5A8ADDFC">
      <w:start w:val="1"/>
      <w:numFmt w:val="lowerRoman"/>
      <w:lvlText w:val="%9."/>
      <w:lvlJc w:val="right"/>
      <w:pPr>
        <w:ind w:left="6480" w:hanging="180"/>
      </w:pPr>
    </w:lvl>
  </w:abstractNum>
  <w:abstractNum w:abstractNumId="7" w15:restartNumberingAfterBreak="0">
    <w:nsid w:val="03A345ED"/>
    <w:multiLevelType w:val="hybridMultilevel"/>
    <w:tmpl w:val="C888B012"/>
    <w:lvl w:ilvl="0" w:tplc="08090001">
      <w:start w:val="1"/>
      <w:numFmt w:val="bullet"/>
      <w:lvlText w:val=""/>
      <w:lvlJc w:val="left"/>
      <w:pPr>
        <w:ind w:left="805" w:hanging="360"/>
      </w:pPr>
      <w:rPr>
        <w:rFonts w:ascii="Symbol" w:hAnsi="Symbol" w:hint="default"/>
      </w:rPr>
    </w:lvl>
    <w:lvl w:ilvl="1" w:tplc="08090003" w:tentative="1">
      <w:start w:val="1"/>
      <w:numFmt w:val="bullet"/>
      <w:lvlText w:val="o"/>
      <w:lvlJc w:val="left"/>
      <w:pPr>
        <w:ind w:left="1525" w:hanging="360"/>
      </w:pPr>
      <w:rPr>
        <w:rFonts w:ascii="Courier New" w:hAnsi="Courier New" w:cs="Courier New" w:hint="default"/>
      </w:rPr>
    </w:lvl>
    <w:lvl w:ilvl="2" w:tplc="08090005" w:tentative="1">
      <w:start w:val="1"/>
      <w:numFmt w:val="bullet"/>
      <w:lvlText w:val=""/>
      <w:lvlJc w:val="left"/>
      <w:pPr>
        <w:ind w:left="2245" w:hanging="360"/>
      </w:pPr>
      <w:rPr>
        <w:rFonts w:ascii="Wingdings" w:hAnsi="Wingdings" w:hint="default"/>
      </w:rPr>
    </w:lvl>
    <w:lvl w:ilvl="3" w:tplc="08090001" w:tentative="1">
      <w:start w:val="1"/>
      <w:numFmt w:val="bullet"/>
      <w:lvlText w:val=""/>
      <w:lvlJc w:val="left"/>
      <w:pPr>
        <w:ind w:left="2965" w:hanging="360"/>
      </w:pPr>
      <w:rPr>
        <w:rFonts w:ascii="Symbol" w:hAnsi="Symbol" w:hint="default"/>
      </w:rPr>
    </w:lvl>
    <w:lvl w:ilvl="4" w:tplc="08090003" w:tentative="1">
      <w:start w:val="1"/>
      <w:numFmt w:val="bullet"/>
      <w:lvlText w:val="o"/>
      <w:lvlJc w:val="left"/>
      <w:pPr>
        <w:ind w:left="3685" w:hanging="360"/>
      </w:pPr>
      <w:rPr>
        <w:rFonts w:ascii="Courier New" w:hAnsi="Courier New" w:cs="Courier New" w:hint="default"/>
      </w:rPr>
    </w:lvl>
    <w:lvl w:ilvl="5" w:tplc="08090005" w:tentative="1">
      <w:start w:val="1"/>
      <w:numFmt w:val="bullet"/>
      <w:lvlText w:val=""/>
      <w:lvlJc w:val="left"/>
      <w:pPr>
        <w:ind w:left="4405" w:hanging="360"/>
      </w:pPr>
      <w:rPr>
        <w:rFonts w:ascii="Wingdings" w:hAnsi="Wingdings" w:hint="default"/>
      </w:rPr>
    </w:lvl>
    <w:lvl w:ilvl="6" w:tplc="08090001" w:tentative="1">
      <w:start w:val="1"/>
      <w:numFmt w:val="bullet"/>
      <w:lvlText w:val=""/>
      <w:lvlJc w:val="left"/>
      <w:pPr>
        <w:ind w:left="5125" w:hanging="360"/>
      </w:pPr>
      <w:rPr>
        <w:rFonts w:ascii="Symbol" w:hAnsi="Symbol" w:hint="default"/>
      </w:rPr>
    </w:lvl>
    <w:lvl w:ilvl="7" w:tplc="08090003" w:tentative="1">
      <w:start w:val="1"/>
      <w:numFmt w:val="bullet"/>
      <w:lvlText w:val="o"/>
      <w:lvlJc w:val="left"/>
      <w:pPr>
        <w:ind w:left="5845" w:hanging="360"/>
      </w:pPr>
      <w:rPr>
        <w:rFonts w:ascii="Courier New" w:hAnsi="Courier New" w:cs="Courier New" w:hint="default"/>
      </w:rPr>
    </w:lvl>
    <w:lvl w:ilvl="8" w:tplc="08090005" w:tentative="1">
      <w:start w:val="1"/>
      <w:numFmt w:val="bullet"/>
      <w:lvlText w:val=""/>
      <w:lvlJc w:val="left"/>
      <w:pPr>
        <w:ind w:left="6565" w:hanging="360"/>
      </w:pPr>
      <w:rPr>
        <w:rFonts w:ascii="Wingdings" w:hAnsi="Wingdings" w:hint="default"/>
      </w:rPr>
    </w:lvl>
  </w:abstractNum>
  <w:abstractNum w:abstractNumId="8" w15:restartNumberingAfterBreak="0">
    <w:nsid w:val="05217617"/>
    <w:multiLevelType w:val="hybridMultilevel"/>
    <w:tmpl w:val="4CBC42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5316AAE"/>
    <w:multiLevelType w:val="hybridMultilevel"/>
    <w:tmpl w:val="FFFFFFFF"/>
    <w:lvl w:ilvl="0" w:tplc="C8CE4312">
      <w:start w:val="1"/>
      <w:numFmt w:val="bullet"/>
      <w:lvlText w:val="·"/>
      <w:lvlJc w:val="left"/>
      <w:pPr>
        <w:ind w:left="720" w:hanging="360"/>
      </w:pPr>
      <w:rPr>
        <w:rFonts w:ascii="Symbol" w:hAnsi="Symbol" w:hint="default"/>
      </w:rPr>
    </w:lvl>
    <w:lvl w:ilvl="1" w:tplc="8D1E319C">
      <w:start w:val="1"/>
      <w:numFmt w:val="decimal"/>
      <w:lvlText w:val="%2."/>
      <w:lvlJc w:val="left"/>
      <w:pPr>
        <w:ind w:left="1440" w:hanging="360"/>
      </w:pPr>
      <w:rPr>
        <w:rFonts w:hint="default"/>
      </w:rPr>
    </w:lvl>
    <w:lvl w:ilvl="2" w:tplc="BBB6CAD0">
      <w:start w:val="1"/>
      <w:numFmt w:val="bullet"/>
      <w:lvlText w:val=""/>
      <w:lvlJc w:val="left"/>
      <w:pPr>
        <w:ind w:left="2160" w:hanging="360"/>
      </w:pPr>
      <w:rPr>
        <w:rFonts w:ascii="Wingdings" w:hAnsi="Wingdings" w:hint="default"/>
      </w:rPr>
    </w:lvl>
    <w:lvl w:ilvl="3" w:tplc="1C96FFC8">
      <w:start w:val="1"/>
      <w:numFmt w:val="bullet"/>
      <w:lvlText w:val=""/>
      <w:lvlJc w:val="left"/>
      <w:pPr>
        <w:ind w:left="2880" w:hanging="360"/>
      </w:pPr>
      <w:rPr>
        <w:rFonts w:ascii="Symbol" w:hAnsi="Symbol" w:hint="default"/>
      </w:rPr>
    </w:lvl>
    <w:lvl w:ilvl="4" w:tplc="5B46E9C2">
      <w:start w:val="1"/>
      <w:numFmt w:val="bullet"/>
      <w:lvlText w:val="o"/>
      <w:lvlJc w:val="left"/>
      <w:pPr>
        <w:ind w:left="3600" w:hanging="360"/>
      </w:pPr>
      <w:rPr>
        <w:rFonts w:ascii="Courier New" w:hAnsi="Courier New" w:hint="default"/>
      </w:rPr>
    </w:lvl>
    <w:lvl w:ilvl="5" w:tplc="74AEAE9A">
      <w:start w:val="1"/>
      <w:numFmt w:val="bullet"/>
      <w:lvlText w:val=""/>
      <w:lvlJc w:val="left"/>
      <w:pPr>
        <w:ind w:left="4320" w:hanging="360"/>
      </w:pPr>
      <w:rPr>
        <w:rFonts w:ascii="Wingdings" w:hAnsi="Wingdings" w:hint="default"/>
      </w:rPr>
    </w:lvl>
    <w:lvl w:ilvl="6" w:tplc="FD4AB4C2">
      <w:start w:val="1"/>
      <w:numFmt w:val="bullet"/>
      <w:lvlText w:val=""/>
      <w:lvlJc w:val="left"/>
      <w:pPr>
        <w:ind w:left="5040" w:hanging="360"/>
      </w:pPr>
      <w:rPr>
        <w:rFonts w:ascii="Symbol" w:hAnsi="Symbol" w:hint="default"/>
      </w:rPr>
    </w:lvl>
    <w:lvl w:ilvl="7" w:tplc="F5D8E16E">
      <w:start w:val="1"/>
      <w:numFmt w:val="bullet"/>
      <w:lvlText w:val="o"/>
      <w:lvlJc w:val="left"/>
      <w:pPr>
        <w:ind w:left="5760" w:hanging="360"/>
      </w:pPr>
      <w:rPr>
        <w:rFonts w:ascii="Courier New" w:hAnsi="Courier New" w:hint="default"/>
      </w:rPr>
    </w:lvl>
    <w:lvl w:ilvl="8" w:tplc="F704D86A">
      <w:start w:val="1"/>
      <w:numFmt w:val="bullet"/>
      <w:lvlText w:val=""/>
      <w:lvlJc w:val="left"/>
      <w:pPr>
        <w:ind w:left="6480" w:hanging="360"/>
      </w:pPr>
      <w:rPr>
        <w:rFonts w:ascii="Wingdings" w:hAnsi="Wingdings" w:hint="default"/>
      </w:rPr>
    </w:lvl>
  </w:abstractNum>
  <w:abstractNum w:abstractNumId="10" w15:restartNumberingAfterBreak="0">
    <w:nsid w:val="05732DEE"/>
    <w:multiLevelType w:val="hybridMultilevel"/>
    <w:tmpl w:val="877047DC"/>
    <w:lvl w:ilvl="0" w:tplc="B60A0A72">
      <w:start w:val="51"/>
      <w:numFmt w:val="decimal"/>
      <w:lvlText w:val="%1)"/>
      <w:lvlJc w:val="left"/>
      <w:pPr>
        <w:ind w:left="269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58313DF"/>
    <w:multiLevelType w:val="hybridMultilevel"/>
    <w:tmpl w:val="A8C659F6"/>
    <w:lvl w:ilvl="0" w:tplc="9174AD42">
      <w:start w:val="1"/>
      <w:numFmt w:val="bullet"/>
      <w:pStyle w:val="bullet1"/>
      <w:lvlText w:val=""/>
      <w:lvlJc w:val="left"/>
      <w:pPr>
        <w:tabs>
          <w:tab w:val="num" w:pos="340"/>
        </w:tabs>
        <w:ind w:left="340" w:hanging="34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59C715B"/>
    <w:multiLevelType w:val="hybridMultilevel"/>
    <w:tmpl w:val="EF2C1C0A"/>
    <w:lvl w:ilvl="0" w:tplc="CCD23C1A">
      <w:start w:val="1"/>
      <w:numFmt w:val="bullet"/>
      <w:lvlText w:val="-"/>
      <w:lvlJc w:val="left"/>
      <w:pPr>
        <w:ind w:left="805" w:hanging="360"/>
      </w:pPr>
      <w:rPr>
        <w:rFonts w:ascii="Cambria" w:eastAsia="Cambria" w:hAnsi="Cambria" w:cs="Cambria" w:hint="default"/>
      </w:rPr>
    </w:lvl>
    <w:lvl w:ilvl="1" w:tplc="08160003" w:tentative="1">
      <w:start w:val="1"/>
      <w:numFmt w:val="bullet"/>
      <w:lvlText w:val="o"/>
      <w:lvlJc w:val="left"/>
      <w:pPr>
        <w:ind w:left="1525" w:hanging="360"/>
      </w:pPr>
      <w:rPr>
        <w:rFonts w:ascii="Courier New" w:hAnsi="Courier New" w:cs="Courier New" w:hint="default"/>
      </w:rPr>
    </w:lvl>
    <w:lvl w:ilvl="2" w:tplc="08160005" w:tentative="1">
      <w:start w:val="1"/>
      <w:numFmt w:val="bullet"/>
      <w:lvlText w:val=""/>
      <w:lvlJc w:val="left"/>
      <w:pPr>
        <w:ind w:left="2245" w:hanging="360"/>
      </w:pPr>
      <w:rPr>
        <w:rFonts w:ascii="Wingdings" w:hAnsi="Wingdings" w:hint="default"/>
      </w:rPr>
    </w:lvl>
    <w:lvl w:ilvl="3" w:tplc="08160001" w:tentative="1">
      <w:start w:val="1"/>
      <w:numFmt w:val="bullet"/>
      <w:lvlText w:val=""/>
      <w:lvlJc w:val="left"/>
      <w:pPr>
        <w:ind w:left="2965" w:hanging="360"/>
      </w:pPr>
      <w:rPr>
        <w:rFonts w:ascii="Symbol" w:hAnsi="Symbol" w:hint="default"/>
      </w:rPr>
    </w:lvl>
    <w:lvl w:ilvl="4" w:tplc="08160003" w:tentative="1">
      <w:start w:val="1"/>
      <w:numFmt w:val="bullet"/>
      <w:lvlText w:val="o"/>
      <w:lvlJc w:val="left"/>
      <w:pPr>
        <w:ind w:left="3685" w:hanging="360"/>
      </w:pPr>
      <w:rPr>
        <w:rFonts w:ascii="Courier New" w:hAnsi="Courier New" w:cs="Courier New" w:hint="default"/>
      </w:rPr>
    </w:lvl>
    <w:lvl w:ilvl="5" w:tplc="08160005" w:tentative="1">
      <w:start w:val="1"/>
      <w:numFmt w:val="bullet"/>
      <w:lvlText w:val=""/>
      <w:lvlJc w:val="left"/>
      <w:pPr>
        <w:ind w:left="4405" w:hanging="360"/>
      </w:pPr>
      <w:rPr>
        <w:rFonts w:ascii="Wingdings" w:hAnsi="Wingdings" w:hint="default"/>
      </w:rPr>
    </w:lvl>
    <w:lvl w:ilvl="6" w:tplc="08160001" w:tentative="1">
      <w:start w:val="1"/>
      <w:numFmt w:val="bullet"/>
      <w:lvlText w:val=""/>
      <w:lvlJc w:val="left"/>
      <w:pPr>
        <w:ind w:left="5125" w:hanging="360"/>
      </w:pPr>
      <w:rPr>
        <w:rFonts w:ascii="Symbol" w:hAnsi="Symbol" w:hint="default"/>
      </w:rPr>
    </w:lvl>
    <w:lvl w:ilvl="7" w:tplc="08160003" w:tentative="1">
      <w:start w:val="1"/>
      <w:numFmt w:val="bullet"/>
      <w:lvlText w:val="o"/>
      <w:lvlJc w:val="left"/>
      <w:pPr>
        <w:ind w:left="5845" w:hanging="360"/>
      </w:pPr>
      <w:rPr>
        <w:rFonts w:ascii="Courier New" w:hAnsi="Courier New" w:cs="Courier New" w:hint="default"/>
      </w:rPr>
    </w:lvl>
    <w:lvl w:ilvl="8" w:tplc="08160005" w:tentative="1">
      <w:start w:val="1"/>
      <w:numFmt w:val="bullet"/>
      <w:lvlText w:val=""/>
      <w:lvlJc w:val="left"/>
      <w:pPr>
        <w:ind w:left="6565" w:hanging="360"/>
      </w:pPr>
      <w:rPr>
        <w:rFonts w:ascii="Wingdings" w:hAnsi="Wingdings" w:hint="default"/>
      </w:rPr>
    </w:lvl>
  </w:abstractNum>
  <w:abstractNum w:abstractNumId="13" w15:restartNumberingAfterBreak="0">
    <w:nsid w:val="0613374F"/>
    <w:multiLevelType w:val="hybridMultilevel"/>
    <w:tmpl w:val="0130041C"/>
    <w:lvl w:ilvl="0" w:tplc="F9281620">
      <w:start w:val="1"/>
      <w:numFmt w:val="bullet"/>
      <w:lvlText w:val="·"/>
      <w:lvlJc w:val="left"/>
      <w:pPr>
        <w:ind w:left="720" w:hanging="360"/>
      </w:pPr>
      <w:rPr>
        <w:rFonts w:ascii="Symbol" w:hAnsi="Symbol" w:hint="default"/>
      </w:rPr>
    </w:lvl>
    <w:lvl w:ilvl="1" w:tplc="10084822">
      <w:start w:val="1"/>
      <w:numFmt w:val="decimal"/>
      <w:lvlText w:val="%2."/>
      <w:lvlJc w:val="left"/>
      <w:pPr>
        <w:ind w:left="1440" w:hanging="360"/>
      </w:pPr>
      <w:rPr>
        <w:rFonts w:hint="default"/>
      </w:rPr>
    </w:lvl>
    <w:lvl w:ilvl="2" w:tplc="A60A5B38">
      <w:start w:val="1"/>
      <w:numFmt w:val="bullet"/>
      <w:lvlText w:val=""/>
      <w:lvlJc w:val="left"/>
      <w:pPr>
        <w:ind w:left="2160" w:hanging="360"/>
      </w:pPr>
      <w:rPr>
        <w:rFonts w:ascii="Wingdings" w:hAnsi="Wingdings" w:hint="default"/>
      </w:rPr>
    </w:lvl>
    <w:lvl w:ilvl="3" w:tplc="EB36116E">
      <w:start w:val="1"/>
      <w:numFmt w:val="bullet"/>
      <w:lvlText w:val=""/>
      <w:lvlJc w:val="left"/>
      <w:pPr>
        <w:ind w:left="2880" w:hanging="360"/>
      </w:pPr>
      <w:rPr>
        <w:rFonts w:ascii="Symbol" w:hAnsi="Symbol" w:hint="default"/>
      </w:rPr>
    </w:lvl>
    <w:lvl w:ilvl="4" w:tplc="258A963C">
      <w:start w:val="1"/>
      <w:numFmt w:val="bullet"/>
      <w:lvlText w:val="o"/>
      <w:lvlJc w:val="left"/>
      <w:pPr>
        <w:ind w:left="3600" w:hanging="360"/>
      </w:pPr>
      <w:rPr>
        <w:rFonts w:ascii="Courier New" w:hAnsi="Courier New" w:hint="default"/>
      </w:rPr>
    </w:lvl>
    <w:lvl w:ilvl="5" w:tplc="20E44A92">
      <w:start w:val="1"/>
      <w:numFmt w:val="bullet"/>
      <w:lvlText w:val=""/>
      <w:lvlJc w:val="left"/>
      <w:pPr>
        <w:ind w:left="4320" w:hanging="360"/>
      </w:pPr>
      <w:rPr>
        <w:rFonts w:ascii="Wingdings" w:hAnsi="Wingdings" w:hint="default"/>
      </w:rPr>
    </w:lvl>
    <w:lvl w:ilvl="6" w:tplc="452622CE">
      <w:start w:val="1"/>
      <w:numFmt w:val="bullet"/>
      <w:lvlText w:val=""/>
      <w:lvlJc w:val="left"/>
      <w:pPr>
        <w:ind w:left="5040" w:hanging="360"/>
      </w:pPr>
      <w:rPr>
        <w:rFonts w:ascii="Symbol" w:hAnsi="Symbol" w:hint="default"/>
      </w:rPr>
    </w:lvl>
    <w:lvl w:ilvl="7" w:tplc="925E9D6E">
      <w:start w:val="1"/>
      <w:numFmt w:val="bullet"/>
      <w:lvlText w:val="o"/>
      <w:lvlJc w:val="left"/>
      <w:pPr>
        <w:ind w:left="5760" w:hanging="360"/>
      </w:pPr>
      <w:rPr>
        <w:rFonts w:ascii="Courier New" w:hAnsi="Courier New" w:hint="default"/>
      </w:rPr>
    </w:lvl>
    <w:lvl w:ilvl="8" w:tplc="2460FF78">
      <w:start w:val="1"/>
      <w:numFmt w:val="bullet"/>
      <w:lvlText w:val=""/>
      <w:lvlJc w:val="left"/>
      <w:pPr>
        <w:ind w:left="6480" w:hanging="360"/>
      </w:pPr>
      <w:rPr>
        <w:rFonts w:ascii="Wingdings" w:hAnsi="Wingdings" w:hint="default"/>
      </w:rPr>
    </w:lvl>
  </w:abstractNum>
  <w:abstractNum w:abstractNumId="14" w15:restartNumberingAfterBreak="0">
    <w:nsid w:val="06D66125"/>
    <w:multiLevelType w:val="hybridMultilevel"/>
    <w:tmpl w:val="9C841C50"/>
    <w:lvl w:ilvl="0" w:tplc="6304ED5E">
      <w:start w:val="1"/>
      <w:numFmt w:val="decimal"/>
      <w:lvlText w:val="(%1)"/>
      <w:lvlJc w:val="right"/>
      <w:pPr>
        <w:ind w:left="1074" w:hanging="360"/>
      </w:pPr>
      <w:rPr>
        <w:rFonts w:hint="default"/>
      </w:rPr>
    </w:lvl>
    <w:lvl w:ilvl="1" w:tplc="0809001B">
      <w:start w:val="1"/>
      <w:numFmt w:val="lowerRoman"/>
      <w:lvlText w:val="%2."/>
      <w:lvlJc w:val="right"/>
      <w:pPr>
        <w:ind w:left="1794" w:hanging="360"/>
      </w:pPr>
    </w:lvl>
    <w:lvl w:ilvl="2" w:tplc="792C2A5C">
      <w:start w:val="814"/>
      <w:numFmt w:val="decimal"/>
      <w:lvlText w:val="%3)"/>
      <w:lvlJc w:val="left"/>
      <w:pPr>
        <w:ind w:left="2778" w:hanging="444"/>
      </w:pPr>
      <w:rPr>
        <w:rFonts w:hint="default"/>
        <w:sz w:val="22"/>
      </w:rPr>
    </w:lvl>
    <w:lvl w:ilvl="3" w:tplc="0809000F" w:tentative="1">
      <w:start w:val="1"/>
      <w:numFmt w:val="decimal"/>
      <w:lvlText w:val="%4."/>
      <w:lvlJc w:val="left"/>
      <w:pPr>
        <w:ind w:left="3234" w:hanging="360"/>
      </w:pPr>
    </w:lvl>
    <w:lvl w:ilvl="4" w:tplc="08090019" w:tentative="1">
      <w:start w:val="1"/>
      <w:numFmt w:val="lowerLetter"/>
      <w:lvlText w:val="%5."/>
      <w:lvlJc w:val="left"/>
      <w:pPr>
        <w:ind w:left="3954" w:hanging="360"/>
      </w:pPr>
    </w:lvl>
    <w:lvl w:ilvl="5" w:tplc="0809001B" w:tentative="1">
      <w:start w:val="1"/>
      <w:numFmt w:val="lowerRoman"/>
      <w:lvlText w:val="%6."/>
      <w:lvlJc w:val="right"/>
      <w:pPr>
        <w:ind w:left="4674" w:hanging="180"/>
      </w:pPr>
    </w:lvl>
    <w:lvl w:ilvl="6" w:tplc="0809000F" w:tentative="1">
      <w:start w:val="1"/>
      <w:numFmt w:val="decimal"/>
      <w:lvlText w:val="%7."/>
      <w:lvlJc w:val="left"/>
      <w:pPr>
        <w:ind w:left="5394" w:hanging="360"/>
      </w:pPr>
    </w:lvl>
    <w:lvl w:ilvl="7" w:tplc="08090019" w:tentative="1">
      <w:start w:val="1"/>
      <w:numFmt w:val="lowerLetter"/>
      <w:lvlText w:val="%8."/>
      <w:lvlJc w:val="left"/>
      <w:pPr>
        <w:ind w:left="6114" w:hanging="360"/>
      </w:pPr>
    </w:lvl>
    <w:lvl w:ilvl="8" w:tplc="0809001B" w:tentative="1">
      <w:start w:val="1"/>
      <w:numFmt w:val="lowerRoman"/>
      <w:lvlText w:val="%9."/>
      <w:lvlJc w:val="right"/>
      <w:pPr>
        <w:ind w:left="6834" w:hanging="180"/>
      </w:pPr>
    </w:lvl>
  </w:abstractNum>
  <w:abstractNum w:abstractNumId="15" w15:restartNumberingAfterBreak="0">
    <w:nsid w:val="071C7C61"/>
    <w:multiLevelType w:val="hybridMultilevel"/>
    <w:tmpl w:val="C4C43FF0"/>
    <w:lvl w:ilvl="0" w:tplc="2F6A85A6">
      <w:start w:val="1"/>
      <w:numFmt w:val="decimal"/>
      <w:lvlText w:val="%1."/>
      <w:lvlJc w:val="left"/>
      <w:pPr>
        <w:ind w:left="720" w:hanging="360"/>
      </w:pPr>
    </w:lvl>
    <w:lvl w:ilvl="1" w:tplc="CEBCA70C">
      <w:start w:val="1"/>
      <w:numFmt w:val="decimal"/>
      <w:lvlText w:val="%2."/>
      <w:lvlJc w:val="left"/>
      <w:pPr>
        <w:ind w:left="1440" w:hanging="360"/>
      </w:pPr>
    </w:lvl>
    <w:lvl w:ilvl="2" w:tplc="F8FEDC56">
      <w:start w:val="1"/>
      <w:numFmt w:val="lowerRoman"/>
      <w:lvlText w:val="%3."/>
      <w:lvlJc w:val="right"/>
      <w:pPr>
        <w:ind w:left="2160" w:hanging="180"/>
      </w:pPr>
    </w:lvl>
    <w:lvl w:ilvl="3" w:tplc="77009DE4">
      <w:start w:val="1"/>
      <w:numFmt w:val="decimal"/>
      <w:lvlText w:val="%4."/>
      <w:lvlJc w:val="left"/>
      <w:pPr>
        <w:ind w:left="2880" w:hanging="360"/>
      </w:pPr>
    </w:lvl>
    <w:lvl w:ilvl="4" w:tplc="BC720108">
      <w:start w:val="1"/>
      <w:numFmt w:val="lowerLetter"/>
      <w:lvlText w:val="%5."/>
      <w:lvlJc w:val="left"/>
      <w:pPr>
        <w:ind w:left="3600" w:hanging="360"/>
      </w:pPr>
    </w:lvl>
    <w:lvl w:ilvl="5" w:tplc="F7FE8374">
      <w:start w:val="1"/>
      <w:numFmt w:val="lowerRoman"/>
      <w:lvlText w:val="%6."/>
      <w:lvlJc w:val="right"/>
      <w:pPr>
        <w:ind w:left="4320" w:hanging="180"/>
      </w:pPr>
    </w:lvl>
    <w:lvl w:ilvl="6" w:tplc="73CCB8F0">
      <w:start w:val="1"/>
      <w:numFmt w:val="decimal"/>
      <w:lvlText w:val="%7."/>
      <w:lvlJc w:val="left"/>
      <w:pPr>
        <w:ind w:left="5040" w:hanging="360"/>
      </w:pPr>
    </w:lvl>
    <w:lvl w:ilvl="7" w:tplc="7D5EDB44">
      <w:start w:val="1"/>
      <w:numFmt w:val="lowerLetter"/>
      <w:lvlText w:val="%8."/>
      <w:lvlJc w:val="left"/>
      <w:pPr>
        <w:ind w:left="5760" w:hanging="360"/>
      </w:pPr>
    </w:lvl>
    <w:lvl w:ilvl="8" w:tplc="65C6F4E6">
      <w:start w:val="1"/>
      <w:numFmt w:val="lowerRoman"/>
      <w:lvlText w:val="%9."/>
      <w:lvlJc w:val="right"/>
      <w:pPr>
        <w:ind w:left="6480" w:hanging="180"/>
      </w:pPr>
    </w:lvl>
  </w:abstractNum>
  <w:abstractNum w:abstractNumId="16" w15:restartNumberingAfterBreak="0">
    <w:nsid w:val="072B3779"/>
    <w:multiLevelType w:val="hybridMultilevel"/>
    <w:tmpl w:val="CFA2108A"/>
    <w:lvl w:ilvl="0" w:tplc="08160001">
      <w:start w:val="1"/>
      <w:numFmt w:val="bullet"/>
      <w:lvlText w:val=""/>
      <w:lvlJc w:val="left"/>
      <w:pPr>
        <w:ind w:left="1077" w:hanging="360"/>
      </w:pPr>
      <w:rPr>
        <w:rFonts w:ascii="Symbol" w:hAnsi="Symbol" w:hint="default"/>
      </w:rPr>
    </w:lvl>
    <w:lvl w:ilvl="1" w:tplc="08160003" w:tentative="1">
      <w:start w:val="1"/>
      <w:numFmt w:val="bullet"/>
      <w:lvlText w:val="o"/>
      <w:lvlJc w:val="left"/>
      <w:pPr>
        <w:ind w:left="1797" w:hanging="360"/>
      </w:pPr>
      <w:rPr>
        <w:rFonts w:ascii="Courier New" w:hAnsi="Courier New" w:cs="Courier New" w:hint="default"/>
      </w:rPr>
    </w:lvl>
    <w:lvl w:ilvl="2" w:tplc="08160005" w:tentative="1">
      <w:start w:val="1"/>
      <w:numFmt w:val="bullet"/>
      <w:lvlText w:val=""/>
      <w:lvlJc w:val="left"/>
      <w:pPr>
        <w:ind w:left="2517" w:hanging="360"/>
      </w:pPr>
      <w:rPr>
        <w:rFonts w:ascii="Wingdings" w:hAnsi="Wingdings" w:hint="default"/>
      </w:rPr>
    </w:lvl>
    <w:lvl w:ilvl="3" w:tplc="08160001" w:tentative="1">
      <w:start w:val="1"/>
      <w:numFmt w:val="bullet"/>
      <w:lvlText w:val=""/>
      <w:lvlJc w:val="left"/>
      <w:pPr>
        <w:ind w:left="3237" w:hanging="360"/>
      </w:pPr>
      <w:rPr>
        <w:rFonts w:ascii="Symbol" w:hAnsi="Symbol" w:hint="default"/>
      </w:rPr>
    </w:lvl>
    <w:lvl w:ilvl="4" w:tplc="08160003" w:tentative="1">
      <w:start w:val="1"/>
      <w:numFmt w:val="bullet"/>
      <w:lvlText w:val="o"/>
      <w:lvlJc w:val="left"/>
      <w:pPr>
        <w:ind w:left="3957" w:hanging="360"/>
      </w:pPr>
      <w:rPr>
        <w:rFonts w:ascii="Courier New" w:hAnsi="Courier New" w:cs="Courier New" w:hint="default"/>
      </w:rPr>
    </w:lvl>
    <w:lvl w:ilvl="5" w:tplc="08160005" w:tentative="1">
      <w:start w:val="1"/>
      <w:numFmt w:val="bullet"/>
      <w:lvlText w:val=""/>
      <w:lvlJc w:val="left"/>
      <w:pPr>
        <w:ind w:left="4677" w:hanging="360"/>
      </w:pPr>
      <w:rPr>
        <w:rFonts w:ascii="Wingdings" w:hAnsi="Wingdings" w:hint="default"/>
      </w:rPr>
    </w:lvl>
    <w:lvl w:ilvl="6" w:tplc="08160001" w:tentative="1">
      <w:start w:val="1"/>
      <w:numFmt w:val="bullet"/>
      <w:lvlText w:val=""/>
      <w:lvlJc w:val="left"/>
      <w:pPr>
        <w:ind w:left="5397" w:hanging="360"/>
      </w:pPr>
      <w:rPr>
        <w:rFonts w:ascii="Symbol" w:hAnsi="Symbol" w:hint="default"/>
      </w:rPr>
    </w:lvl>
    <w:lvl w:ilvl="7" w:tplc="08160003" w:tentative="1">
      <w:start w:val="1"/>
      <w:numFmt w:val="bullet"/>
      <w:lvlText w:val="o"/>
      <w:lvlJc w:val="left"/>
      <w:pPr>
        <w:ind w:left="6117" w:hanging="360"/>
      </w:pPr>
      <w:rPr>
        <w:rFonts w:ascii="Courier New" w:hAnsi="Courier New" w:cs="Courier New" w:hint="default"/>
      </w:rPr>
    </w:lvl>
    <w:lvl w:ilvl="8" w:tplc="08160005" w:tentative="1">
      <w:start w:val="1"/>
      <w:numFmt w:val="bullet"/>
      <w:lvlText w:val=""/>
      <w:lvlJc w:val="left"/>
      <w:pPr>
        <w:ind w:left="6837" w:hanging="360"/>
      </w:pPr>
      <w:rPr>
        <w:rFonts w:ascii="Wingdings" w:hAnsi="Wingdings" w:hint="default"/>
      </w:rPr>
    </w:lvl>
  </w:abstractNum>
  <w:abstractNum w:abstractNumId="17" w15:restartNumberingAfterBreak="0">
    <w:nsid w:val="07446092"/>
    <w:multiLevelType w:val="hybridMultilevel"/>
    <w:tmpl w:val="FFFFFFFF"/>
    <w:lvl w:ilvl="0" w:tplc="21900F9A">
      <w:start w:val="1"/>
      <w:numFmt w:val="decimal"/>
      <w:lvlText w:val="%1."/>
      <w:lvlJc w:val="left"/>
      <w:pPr>
        <w:ind w:left="720" w:hanging="360"/>
      </w:pPr>
    </w:lvl>
    <w:lvl w:ilvl="1" w:tplc="D324CBCE">
      <w:start w:val="1"/>
      <w:numFmt w:val="lowerLetter"/>
      <w:lvlText w:val="%2."/>
      <w:lvlJc w:val="left"/>
      <w:pPr>
        <w:ind w:left="1440" w:hanging="360"/>
      </w:pPr>
    </w:lvl>
    <w:lvl w:ilvl="2" w:tplc="3F807C20">
      <w:start w:val="1"/>
      <w:numFmt w:val="lowerRoman"/>
      <w:lvlText w:val="%3."/>
      <w:lvlJc w:val="right"/>
      <w:pPr>
        <w:ind w:left="2160" w:hanging="180"/>
      </w:pPr>
    </w:lvl>
    <w:lvl w:ilvl="3" w:tplc="41B8AEF4">
      <w:start w:val="1"/>
      <w:numFmt w:val="decimal"/>
      <w:lvlText w:val="%4."/>
      <w:lvlJc w:val="left"/>
      <w:pPr>
        <w:ind w:left="2880" w:hanging="360"/>
      </w:pPr>
    </w:lvl>
    <w:lvl w:ilvl="4" w:tplc="4748FBF4">
      <w:start w:val="1"/>
      <w:numFmt w:val="lowerLetter"/>
      <w:lvlText w:val="%5."/>
      <w:lvlJc w:val="left"/>
      <w:pPr>
        <w:ind w:left="3600" w:hanging="360"/>
      </w:pPr>
    </w:lvl>
    <w:lvl w:ilvl="5" w:tplc="45FE81DA">
      <w:start w:val="1"/>
      <w:numFmt w:val="lowerRoman"/>
      <w:lvlText w:val="%6."/>
      <w:lvlJc w:val="right"/>
      <w:pPr>
        <w:ind w:left="4320" w:hanging="180"/>
      </w:pPr>
    </w:lvl>
    <w:lvl w:ilvl="6" w:tplc="1CF0929E">
      <w:start w:val="1"/>
      <w:numFmt w:val="decimal"/>
      <w:lvlText w:val="%7."/>
      <w:lvlJc w:val="left"/>
      <w:pPr>
        <w:ind w:left="5040" w:hanging="360"/>
      </w:pPr>
    </w:lvl>
    <w:lvl w:ilvl="7" w:tplc="265845C0">
      <w:start w:val="1"/>
      <w:numFmt w:val="lowerLetter"/>
      <w:lvlText w:val="%8."/>
      <w:lvlJc w:val="left"/>
      <w:pPr>
        <w:ind w:left="5760" w:hanging="360"/>
      </w:pPr>
    </w:lvl>
    <w:lvl w:ilvl="8" w:tplc="46405998">
      <w:start w:val="1"/>
      <w:numFmt w:val="lowerRoman"/>
      <w:lvlText w:val="%9."/>
      <w:lvlJc w:val="right"/>
      <w:pPr>
        <w:ind w:left="6480" w:hanging="180"/>
      </w:pPr>
    </w:lvl>
  </w:abstractNum>
  <w:abstractNum w:abstractNumId="18" w15:restartNumberingAfterBreak="0">
    <w:nsid w:val="07904F11"/>
    <w:multiLevelType w:val="hybridMultilevel"/>
    <w:tmpl w:val="9C1A1CC0"/>
    <w:lvl w:ilvl="0" w:tplc="CCD23C1A">
      <w:start w:val="1"/>
      <w:numFmt w:val="bullet"/>
      <w:lvlText w:val="-"/>
      <w:lvlJc w:val="left"/>
      <w:pPr>
        <w:ind w:left="805" w:hanging="360"/>
      </w:pPr>
      <w:rPr>
        <w:rFonts w:ascii="Cambria" w:eastAsia="Cambria" w:hAnsi="Cambria" w:cs="Cambria" w:hint="default"/>
      </w:rPr>
    </w:lvl>
    <w:lvl w:ilvl="1" w:tplc="08160003" w:tentative="1">
      <w:start w:val="1"/>
      <w:numFmt w:val="bullet"/>
      <w:lvlText w:val="o"/>
      <w:lvlJc w:val="left"/>
      <w:pPr>
        <w:ind w:left="1525" w:hanging="360"/>
      </w:pPr>
      <w:rPr>
        <w:rFonts w:ascii="Courier New" w:hAnsi="Courier New" w:cs="Courier New" w:hint="default"/>
      </w:rPr>
    </w:lvl>
    <w:lvl w:ilvl="2" w:tplc="08160005" w:tentative="1">
      <w:start w:val="1"/>
      <w:numFmt w:val="bullet"/>
      <w:lvlText w:val=""/>
      <w:lvlJc w:val="left"/>
      <w:pPr>
        <w:ind w:left="2245" w:hanging="360"/>
      </w:pPr>
      <w:rPr>
        <w:rFonts w:ascii="Wingdings" w:hAnsi="Wingdings" w:hint="default"/>
      </w:rPr>
    </w:lvl>
    <w:lvl w:ilvl="3" w:tplc="08160001" w:tentative="1">
      <w:start w:val="1"/>
      <w:numFmt w:val="bullet"/>
      <w:lvlText w:val=""/>
      <w:lvlJc w:val="left"/>
      <w:pPr>
        <w:ind w:left="2965" w:hanging="360"/>
      </w:pPr>
      <w:rPr>
        <w:rFonts w:ascii="Symbol" w:hAnsi="Symbol" w:hint="default"/>
      </w:rPr>
    </w:lvl>
    <w:lvl w:ilvl="4" w:tplc="08160003" w:tentative="1">
      <w:start w:val="1"/>
      <w:numFmt w:val="bullet"/>
      <w:lvlText w:val="o"/>
      <w:lvlJc w:val="left"/>
      <w:pPr>
        <w:ind w:left="3685" w:hanging="360"/>
      </w:pPr>
      <w:rPr>
        <w:rFonts w:ascii="Courier New" w:hAnsi="Courier New" w:cs="Courier New" w:hint="default"/>
      </w:rPr>
    </w:lvl>
    <w:lvl w:ilvl="5" w:tplc="08160005" w:tentative="1">
      <w:start w:val="1"/>
      <w:numFmt w:val="bullet"/>
      <w:lvlText w:val=""/>
      <w:lvlJc w:val="left"/>
      <w:pPr>
        <w:ind w:left="4405" w:hanging="360"/>
      </w:pPr>
      <w:rPr>
        <w:rFonts w:ascii="Wingdings" w:hAnsi="Wingdings" w:hint="default"/>
      </w:rPr>
    </w:lvl>
    <w:lvl w:ilvl="6" w:tplc="08160001" w:tentative="1">
      <w:start w:val="1"/>
      <w:numFmt w:val="bullet"/>
      <w:lvlText w:val=""/>
      <w:lvlJc w:val="left"/>
      <w:pPr>
        <w:ind w:left="5125" w:hanging="360"/>
      </w:pPr>
      <w:rPr>
        <w:rFonts w:ascii="Symbol" w:hAnsi="Symbol" w:hint="default"/>
      </w:rPr>
    </w:lvl>
    <w:lvl w:ilvl="7" w:tplc="08160003" w:tentative="1">
      <w:start w:val="1"/>
      <w:numFmt w:val="bullet"/>
      <w:lvlText w:val="o"/>
      <w:lvlJc w:val="left"/>
      <w:pPr>
        <w:ind w:left="5845" w:hanging="360"/>
      </w:pPr>
      <w:rPr>
        <w:rFonts w:ascii="Courier New" w:hAnsi="Courier New" w:cs="Courier New" w:hint="default"/>
      </w:rPr>
    </w:lvl>
    <w:lvl w:ilvl="8" w:tplc="08160005" w:tentative="1">
      <w:start w:val="1"/>
      <w:numFmt w:val="bullet"/>
      <w:lvlText w:val=""/>
      <w:lvlJc w:val="left"/>
      <w:pPr>
        <w:ind w:left="6565" w:hanging="360"/>
      </w:pPr>
      <w:rPr>
        <w:rFonts w:ascii="Wingdings" w:hAnsi="Wingdings" w:hint="default"/>
      </w:rPr>
    </w:lvl>
  </w:abstractNum>
  <w:abstractNum w:abstractNumId="19" w15:restartNumberingAfterBreak="0">
    <w:nsid w:val="08E02B53"/>
    <w:multiLevelType w:val="hybridMultilevel"/>
    <w:tmpl w:val="7F30E024"/>
    <w:lvl w:ilvl="0" w:tplc="08090011">
      <w:start w:val="1"/>
      <w:numFmt w:val="decimal"/>
      <w:lvlText w:val="%1)"/>
      <w:lvlJc w:val="left"/>
      <w:pPr>
        <w:ind w:left="1077" w:hanging="360"/>
      </w:pPr>
      <w:rPr>
        <w:rFonts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0" w15:restartNumberingAfterBreak="0">
    <w:nsid w:val="09343885"/>
    <w:multiLevelType w:val="hybridMultilevel"/>
    <w:tmpl w:val="FFFFFFFF"/>
    <w:lvl w:ilvl="0" w:tplc="272299A4">
      <w:start w:val="1"/>
      <w:numFmt w:val="bullet"/>
      <w:lvlText w:val="·"/>
      <w:lvlJc w:val="left"/>
      <w:pPr>
        <w:ind w:left="720" w:hanging="360"/>
      </w:pPr>
      <w:rPr>
        <w:rFonts w:ascii="Symbol" w:hAnsi="Symbol" w:hint="default"/>
      </w:rPr>
    </w:lvl>
    <w:lvl w:ilvl="1" w:tplc="A1A4B09A">
      <w:start w:val="1"/>
      <w:numFmt w:val="decimal"/>
      <w:lvlText w:val="%2."/>
      <w:lvlJc w:val="left"/>
      <w:pPr>
        <w:ind w:left="1440" w:hanging="360"/>
      </w:pPr>
      <w:rPr>
        <w:rFonts w:hint="default"/>
      </w:rPr>
    </w:lvl>
    <w:lvl w:ilvl="2" w:tplc="97F41B04">
      <w:start w:val="1"/>
      <w:numFmt w:val="bullet"/>
      <w:lvlText w:val=""/>
      <w:lvlJc w:val="left"/>
      <w:pPr>
        <w:ind w:left="2160" w:hanging="360"/>
      </w:pPr>
      <w:rPr>
        <w:rFonts w:ascii="Wingdings" w:hAnsi="Wingdings" w:hint="default"/>
      </w:rPr>
    </w:lvl>
    <w:lvl w:ilvl="3" w:tplc="D206E90C">
      <w:start w:val="1"/>
      <w:numFmt w:val="bullet"/>
      <w:lvlText w:val=""/>
      <w:lvlJc w:val="left"/>
      <w:pPr>
        <w:ind w:left="2880" w:hanging="360"/>
      </w:pPr>
      <w:rPr>
        <w:rFonts w:ascii="Symbol" w:hAnsi="Symbol" w:hint="default"/>
      </w:rPr>
    </w:lvl>
    <w:lvl w:ilvl="4" w:tplc="32A078BC">
      <w:start w:val="1"/>
      <w:numFmt w:val="bullet"/>
      <w:lvlText w:val="o"/>
      <w:lvlJc w:val="left"/>
      <w:pPr>
        <w:ind w:left="3600" w:hanging="360"/>
      </w:pPr>
      <w:rPr>
        <w:rFonts w:ascii="Courier New" w:hAnsi="Courier New" w:hint="default"/>
      </w:rPr>
    </w:lvl>
    <w:lvl w:ilvl="5" w:tplc="227687D6">
      <w:start w:val="1"/>
      <w:numFmt w:val="bullet"/>
      <w:lvlText w:val=""/>
      <w:lvlJc w:val="left"/>
      <w:pPr>
        <w:ind w:left="4320" w:hanging="360"/>
      </w:pPr>
      <w:rPr>
        <w:rFonts w:ascii="Wingdings" w:hAnsi="Wingdings" w:hint="default"/>
      </w:rPr>
    </w:lvl>
    <w:lvl w:ilvl="6" w:tplc="9B50B20E">
      <w:start w:val="1"/>
      <w:numFmt w:val="bullet"/>
      <w:lvlText w:val=""/>
      <w:lvlJc w:val="left"/>
      <w:pPr>
        <w:ind w:left="5040" w:hanging="360"/>
      </w:pPr>
      <w:rPr>
        <w:rFonts w:ascii="Symbol" w:hAnsi="Symbol" w:hint="default"/>
      </w:rPr>
    </w:lvl>
    <w:lvl w:ilvl="7" w:tplc="38B4B430">
      <w:start w:val="1"/>
      <w:numFmt w:val="bullet"/>
      <w:lvlText w:val="o"/>
      <w:lvlJc w:val="left"/>
      <w:pPr>
        <w:ind w:left="5760" w:hanging="360"/>
      </w:pPr>
      <w:rPr>
        <w:rFonts w:ascii="Courier New" w:hAnsi="Courier New" w:hint="default"/>
      </w:rPr>
    </w:lvl>
    <w:lvl w:ilvl="8" w:tplc="4962ACE2">
      <w:start w:val="1"/>
      <w:numFmt w:val="bullet"/>
      <w:lvlText w:val=""/>
      <w:lvlJc w:val="left"/>
      <w:pPr>
        <w:ind w:left="6480" w:hanging="360"/>
      </w:pPr>
      <w:rPr>
        <w:rFonts w:ascii="Wingdings" w:hAnsi="Wingdings" w:hint="default"/>
      </w:rPr>
    </w:lvl>
  </w:abstractNum>
  <w:abstractNum w:abstractNumId="21" w15:restartNumberingAfterBreak="0">
    <w:nsid w:val="096470A1"/>
    <w:multiLevelType w:val="hybridMultilevel"/>
    <w:tmpl w:val="7C7AE198"/>
    <w:lvl w:ilvl="0" w:tplc="BA2CC71E">
      <w:start w:val="44"/>
      <w:numFmt w:val="bullet"/>
      <w:lvlText w:val="-"/>
      <w:lvlJc w:val="left"/>
      <w:pPr>
        <w:ind w:left="805" w:hanging="360"/>
      </w:pPr>
      <w:rPr>
        <w:rFonts w:ascii="Cambria" w:eastAsiaTheme="minorHAnsi" w:hAnsi="Cambria" w:cs="EUAlbertina" w:hint="default"/>
      </w:rPr>
    </w:lvl>
    <w:lvl w:ilvl="1" w:tplc="08090003" w:tentative="1">
      <w:start w:val="1"/>
      <w:numFmt w:val="bullet"/>
      <w:lvlText w:val="o"/>
      <w:lvlJc w:val="left"/>
      <w:pPr>
        <w:ind w:left="1525" w:hanging="360"/>
      </w:pPr>
      <w:rPr>
        <w:rFonts w:ascii="Courier New" w:hAnsi="Courier New" w:cs="Courier New" w:hint="default"/>
      </w:rPr>
    </w:lvl>
    <w:lvl w:ilvl="2" w:tplc="08090005" w:tentative="1">
      <w:start w:val="1"/>
      <w:numFmt w:val="bullet"/>
      <w:lvlText w:val=""/>
      <w:lvlJc w:val="left"/>
      <w:pPr>
        <w:ind w:left="2245" w:hanging="360"/>
      </w:pPr>
      <w:rPr>
        <w:rFonts w:ascii="Wingdings" w:hAnsi="Wingdings" w:hint="default"/>
      </w:rPr>
    </w:lvl>
    <w:lvl w:ilvl="3" w:tplc="08090001" w:tentative="1">
      <w:start w:val="1"/>
      <w:numFmt w:val="bullet"/>
      <w:lvlText w:val=""/>
      <w:lvlJc w:val="left"/>
      <w:pPr>
        <w:ind w:left="2965" w:hanging="360"/>
      </w:pPr>
      <w:rPr>
        <w:rFonts w:ascii="Symbol" w:hAnsi="Symbol" w:hint="default"/>
      </w:rPr>
    </w:lvl>
    <w:lvl w:ilvl="4" w:tplc="08090003" w:tentative="1">
      <w:start w:val="1"/>
      <w:numFmt w:val="bullet"/>
      <w:lvlText w:val="o"/>
      <w:lvlJc w:val="left"/>
      <w:pPr>
        <w:ind w:left="3685" w:hanging="360"/>
      </w:pPr>
      <w:rPr>
        <w:rFonts w:ascii="Courier New" w:hAnsi="Courier New" w:cs="Courier New" w:hint="default"/>
      </w:rPr>
    </w:lvl>
    <w:lvl w:ilvl="5" w:tplc="08090005" w:tentative="1">
      <w:start w:val="1"/>
      <w:numFmt w:val="bullet"/>
      <w:lvlText w:val=""/>
      <w:lvlJc w:val="left"/>
      <w:pPr>
        <w:ind w:left="4405" w:hanging="360"/>
      </w:pPr>
      <w:rPr>
        <w:rFonts w:ascii="Wingdings" w:hAnsi="Wingdings" w:hint="default"/>
      </w:rPr>
    </w:lvl>
    <w:lvl w:ilvl="6" w:tplc="08090001" w:tentative="1">
      <w:start w:val="1"/>
      <w:numFmt w:val="bullet"/>
      <w:lvlText w:val=""/>
      <w:lvlJc w:val="left"/>
      <w:pPr>
        <w:ind w:left="5125" w:hanging="360"/>
      </w:pPr>
      <w:rPr>
        <w:rFonts w:ascii="Symbol" w:hAnsi="Symbol" w:hint="default"/>
      </w:rPr>
    </w:lvl>
    <w:lvl w:ilvl="7" w:tplc="08090003" w:tentative="1">
      <w:start w:val="1"/>
      <w:numFmt w:val="bullet"/>
      <w:lvlText w:val="o"/>
      <w:lvlJc w:val="left"/>
      <w:pPr>
        <w:ind w:left="5845" w:hanging="360"/>
      </w:pPr>
      <w:rPr>
        <w:rFonts w:ascii="Courier New" w:hAnsi="Courier New" w:cs="Courier New" w:hint="default"/>
      </w:rPr>
    </w:lvl>
    <w:lvl w:ilvl="8" w:tplc="08090005" w:tentative="1">
      <w:start w:val="1"/>
      <w:numFmt w:val="bullet"/>
      <w:lvlText w:val=""/>
      <w:lvlJc w:val="left"/>
      <w:pPr>
        <w:ind w:left="6565" w:hanging="360"/>
      </w:pPr>
      <w:rPr>
        <w:rFonts w:ascii="Wingdings" w:hAnsi="Wingdings" w:hint="default"/>
      </w:rPr>
    </w:lvl>
  </w:abstractNum>
  <w:abstractNum w:abstractNumId="22" w15:restartNumberingAfterBreak="0">
    <w:nsid w:val="09B87F1E"/>
    <w:multiLevelType w:val="hybridMultilevel"/>
    <w:tmpl w:val="3BD2620A"/>
    <w:lvl w:ilvl="0" w:tplc="7E0ADF18">
      <w:start w:val="1"/>
      <w:numFmt w:val="lowerLetter"/>
      <w:lvlText w:val="%1."/>
      <w:lvlJc w:val="left"/>
      <w:pPr>
        <w:ind w:left="720" w:hanging="360"/>
      </w:pPr>
      <w:rPr>
        <w:rFonts w:asciiTheme="minorHAnsi" w:eastAsiaTheme="minorHAnsi" w:hAnsiTheme="minorHAnsi" w:cstheme="minorBidi"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0A150AB2"/>
    <w:multiLevelType w:val="hybridMultilevel"/>
    <w:tmpl w:val="FFFFFFFF"/>
    <w:lvl w:ilvl="0" w:tplc="DFCEA6E2">
      <w:start w:val="1"/>
      <w:numFmt w:val="decimal"/>
      <w:lvlText w:val="%1."/>
      <w:lvlJc w:val="left"/>
      <w:pPr>
        <w:ind w:left="720" w:hanging="360"/>
      </w:pPr>
    </w:lvl>
    <w:lvl w:ilvl="1" w:tplc="BC00EFEA">
      <w:start w:val="1"/>
      <w:numFmt w:val="lowerLetter"/>
      <w:lvlText w:val="%2."/>
      <w:lvlJc w:val="left"/>
      <w:pPr>
        <w:ind w:left="1440" w:hanging="360"/>
      </w:pPr>
    </w:lvl>
    <w:lvl w:ilvl="2" w:tplc="6AD63000">
      <w:start w:val="1"/>
      <w:numFmt w:val="lowerRoman"/>
      <w:lvlText w:val="%3."/>
      <w:lvlJc w:val="right"/>
      <w:pPr>
        <w:ind w:left="2160" w:hanging="180"/>
      </w:pPr>
    </w:lvl>
    <w:lvl w:ilvl="3" w:tplc="E7B83BE2">
      <w:start w:val="1"/>
      <w:numFmt w:val="decimal"/>
      <w:lvlText w:val="%4."/>
      <w:lvlJc w:val="left"/>
      <w:pPr>
        <w:ind w:left="2880" w:hanging="360"/>
      </w:pPr>
    </w:lvl>
    <w:lvl w:ilvl="4" w:tplc="99D88C2A">
      <w:start w:val="1"/>
      <w:numFmt w:val="lowerLetter"/>
      <w:lvlText w:val="%5."/>
      <w:lvlJc w:val="left"/>
      <w:pPr>
        <w:ind w:left="3600" w:hanging="360"/>
      </w:pPr>
    </w:lvl>
    <w:lvl w:ilvl="5" w:tplc="CD642A86">
      <w:start w:val="1"/>
      <w:numFmt w:val="lowerRoman"/>
      <w:lvlText w:val="%6."/>
      <w:lvlJc w:val="right"/>
      <w:pPr>
        <w:ind w:left="4320" w:hanging="180"/>
      </w:pPr>
    </w:lvl>
    <w:lvl w:ilvl="6" w:tplc="C4DA7404">
      <w:start w:val="1"/>
      <w:numFmt w:val="decimal"/>
      <w:lvlText w:val="%7."/>
      <w:lvlJc w:val="left"/>
      <w:pPr>
        <w:ind w:left="5040" w:hanging="360"/>
      </w:pPr>
    </w:lvl>
    <w:lvl w:ilvl="7" w:tplc="1AF6C94A">
      <w:start w:val="1"/>
      <w:numFmt w:val="lowerLetter"/>
      <w:lvlText w:val="%8."/>
      <w:lvlJc w:val="left"/>
      <w:pPr>
        <w:ind w:left="5760" w:hanging="360"/>
      </w:pPr>
    </w:lvl>
    <w:lvl w:ilvl="8" w:tplc="BEAA3690">
      <w:start w:val="1"/>
      <w:numFmt w:val="lowerRoman"/>
      <w:lvlText w:val="%9."/>
      <w:lvlJc w:val="right"/>
      <w:pPr>
        <w:ind w:left="6480" w:hanging="180"/>
      </w:pPr>
    </w:lvl>
  </w:abstractNum>
  <w:abstractNum w:abstractNumId="24" w15:restartNumberingAfterBreak="0">
    <w:nsid w:val="0ACB3BB5"/>
    <w:multiLevelType w:val="hybridMultilevel"/>
    <w:tmpl w:val="7E0E5784"/>
    <w:lvl w:ilvl="0" w:tplc="F2485612">
      <w:start w:val="1"/>
      <w:numFmt w:val="bullet"/>
      <w:lvlText w:val="·"/>
      <w:lvlJc w:val="left"/>
      <w:pPr>
        <w:ind w:left="720" w:hanging="360"/>
      </w:pPr>
      <w:rPr>
        <w:rFonts w:ascii="Symbol" w:hAnsi="Symbol" w:hint="default"/>
      </w:rPr>
    </w:lvl>
    <w:lvl w:ilvl="1" w:tplc="5DE0D462">
      <w:start w:val="1"/>
      <w:numFmt w:val="bullet"/>
      <w:lvlText w:val="o"/>
      <w:lvlJc w:val="left"/>
      <w:pPr>
        <w:ind w:left="1440" w:hanging="360"/>
      </w:pPr>
      <w:rPr>
        <w:rFonts w:ascii="Courier New" w:hAnsi="Courier New" w:hint="default"/>
      </w:rPr>
    </w:lvl>
    <w:lvl w:ilvl="2" w:tplc="3A205332">
      <w:start w:val="1"/>
      <w:numFmt w:val="bullet"/>
      <w:lvlText w:val=""/>
      <w:lvlJc w:val="left"/>
      <w:pPr>
        <w:ind w:left="2160" w:hanging="360"/>
      </w:pPr>
      <w:rPr>
        <w:rFonts w:ascii="Wingdings" w:hAnsi="Wingdings" w:hint="default"/>
      </w:rPr>
    </w:lvl>
    <w:lvl w:ilvl="3" w:tplc="3E2C7C82">
      <w:start w:val="1"/>
      <w:numFmt w:val="bullet"/>
      <w:lvlText w:val=""/>
      <w:lvlJc w:val="left"/>
      <w:pPr>
        <w:ind w:left="2880" w:hanging="360"/>
      </w:pPr>
      <w:rPr>
        <w:rFonts w:ascii="Symbol" w:hAnsi="Symbol" w:hint="default"/>
      </w:rPr>
    </w:lvl>
    <w:lvl w:ilvl="4" w:tplc="FEBE78CE">
      <w:start w:val="1"/>
      <w:numFmt w:val="bullet"/>
      <w:lvlText w:val="o"/>
      <w:lvlJc w:val="left"/>
      <w:pPr>
        <w:ind w:left="3600" w:hanging="360"/>
      </w:pPr>
      <w:rPr>
        <w:rFonts w:ascii="Courier New" w:hAnsi="Courier New" w:hint="default"/>
      </w:rPr>
    </w:lvl>
    <w:lvl w:ilvl="5" w:tplc="F15A9038">
      <w:start w:val="1"/>
      <w:numFmt w:val="bullet"/>
      <w:lvlText w:val=""/>
      <w:lvlJc w:val="left"/>
      <w:pPr>
        <w:ind w:left="4320" w:hanging="360"/>
      </w:pPr>
      <w:rPr>
        <w:rFonts w:ascii="Wingdings" w:hAnsi="Wingdings" w:hint="default"/>
      </w:rPr>
    </w:lvl>
    <w:lvl w:ilvl="6" w:tplc="24F4297C">
      <w:start w:val="1"/>
      <w:numFmt w:val="bullet"/>
      <w:lvlText w:val=""/>
      <w:lvlJc w:val="left"/>
      <w:pPr>
        <w:ind w:left="5040" w:hanging="360"/>
      </w:pPr>
      <w:rPr>
        <w:rFonts w:ascii="Symbol" w:hAnsi="Symbol" w:hint="default"/>
      </w:rPr>
    </w:lvl>
    <w:lvl w:ilvl="7" w:tplc="F2508BD4">
      <w:start w:val="1"/>
      <w:numFmt w:val="bullet"/>
      <w:lvlText w:val="o"/>
      <w:lvlJc w:val="left"/>
      <w:pPr>
        <w:ind w:left="5760" w:hanging="360"/>
      </w:pPr>
      <w:rPr>
        <w:rFonts w:ascii="Courier New" w:hAnsi="Courier New" w:hint="default"/>
      </w:rPr>
    </w:lvl>
    <w:lvl w:ilvl="8" w:tplc="E6F87978">
      <w:start w:val="1"/>
      <w:numFmt w:val="bullet"/>
      <w:lvlText w:val=""/>
      <w:lvlJc w:val="left"/>
      <w:pPr>
        <w:ind w:left="6480" w:hanging="360"/>
      </w:pPr>
      <w:rPr>
        <w:rFonts w:ascii="Wingdings" w:hAnsi="Wingdings" w:hint="default"/>
      </w:rPr>
    </w:lvl>
  </w:abstractNum>
  <w:abstractNum w:abstractNumId="25" w15:restartNumberingAfterBreak="0">
    <w:nsid w:val="0B404176"/>
    <w:multiLevelType w:val="hybridMultilevel"/>
    <w:tmpl w:val="FFFFFFFF"/>
    <w:lvl w:ilvl="0" w:tplc="FEF0EB64">
      <w:start w:val="1"/>
      <w:numFmt w:val="bullet"/>
      <w:lvlText w:val="·"/>
      <w:lvlJc w:val="left"/>
      <w:pPr>
        <w:ind w:left="720" w:hanging="360"/>
      </w:pPr>
      <w:rPr>
        <w:rFonts w:ascii="Symbol" w:hAnsi="Symbol" w:hint="default"/>
      </w:rPr>
    </w:lvl>
    <w:lvl w:ilvl="1" w:tplc="EA124254">
      <w:start w:val="1"/>
      <w:numFmt w:val="bullet"/>
      <w:lvlText w:val="o"/>
      <w:lvlJc w:val="left"/>
      <w:pPr>
        <w:ind w:left="1440" w:hanging="360"/>
      </w:pPr>
      <w:rPr>
        <w:rFonts w:ascii="Courier New" w:hAnsi="Courier New" w:hint="default"/>
      </w:rPr>
    </w:lvl>
    <w:lvl w:ilvl="2" w:tplc="2654F1F6">
      <w:start w:val="1"/>
      <w:numFmt w:val="bullet"/>
      <w:lvlText w:val=""/>
      <w:lvlJc w:val="left"/>
      <w:pPr>
        <w:ind w:left="2160" w:hanging="360"/>
      </w:pPr>
      <w:rPr>
        <w:rFonts w:ascii="Wingdings" w:hAnsi="Wingdings" w:hint="default"/>
      </w:rPr>
    </w:lvl>
    <w:lvl w:ilvl="3" w:tplc="FEC6870E">
      <w:start w:val="1"/>
      <w:numFmt w:val="bullet"/>
      <w:lvlText w:val=""/>
      <w:lvlJc w:val="left"/>
      <w:pPr>
        <w:ind w:left="2880" w:hanging="360"/>
      </w:pPr>
      <w:rPr>
        <w:rFonts w:ascii="Symbol" w:hAnsi="Symbol" w:hint="default"/>
      </w:rPr>
    </w:lvl>
    <w:lvl w:ilvl="4" w:tplc="CC2EBE6C">
      <w:start w:val="1"/>
      <w:numFmt w:val="bullet"/>
      <w:lvlText w:val="o"/>
      <w:lvlJc w:val="left"/>
      <w:pPr>
        <w:ind w:left="3600" w:hanging="360"/>
      </w:pPr>
      <w:rPr>
        <w:rFonts w:ascii="Courier New" w:hAnsi="Courier New" w:hint="default"/>
      </w:rPr>
    </w:lvl>
    <w:lvl w:ilvl="5" w:tplc="BD00317E">
      <w:start w:val="1"/>
      <w:numFmt w:val="bullet"/>
      <w:lvlText w:val=""/>
      <w:lvlJc w:val="left"/>
      <w:pPr>
        <w:ind w:left="4320" w:hanging="360"/>
      </w:pPr>
      <w:rPr>
        <w:rFonts w:ascii="Wingdings" w:hAnsi="Wingdings" w:hint="default"/>
      </w:rPr>
    </w:lvl>
    <w:lvl w:ilvl="6" w:tplc="3F6C9D0C">
      <w:start w:val="1"/>
      <w:numFmt w:val="bullet"/>
      <w:lvlText w:val=""/>
      <w:lvlJc w:val="left"/>
      <w:pPr>
        <w:ind w:left="5040" w:hanging="360"/>
      </w:pPr>
      <w:rPr>
        <w:rFonts w:ascii="Symbol" w:hAnsi="Symbol" w:hint="default"/>
      </w:rPr>
    </w:lvl>
    <w:lvl w:ilvl="7" w:tplc="7882880A">
      <w:start w:val="1"/>
      <w:numFmt w:val="bullet"/>
      <w:lvlText w:val="o"/>
      <w:lvlJc w:val="left"/>
      <w:pPr>
        <w:ind w:left="5760" w:hanging="360"/>
      </w:pPr>
      <w:rPr>
        <w:rFonts w:ascii="Courier New" w:hAnsi="Courier New" w:hint="default"/>
      </w:rPr>
    </w:lvl>
    <w:lvl w:ilvl="8" w:tplc="9188834C">
      <w:start w:val="1"/>
      <w:numFmt w:val="bullet"/>
      <w:lvlText w:val=""/>
      <w:lvlJc w:val="left"/>
      <w:pPr>
        <w:ind w:left="6480" w:hanging="360"/>
      </w:pPr>
      <w:rPr>
        <w:rFonts w:ascii="Wingdings" w:hAnsi="Wingdings" w:hint="default"/>
      </w:rPr>
    </w:lvl>
  </w:abstractNum>
  <w:abstractNum w:abstractNumId="26" w15:restartNumberingAfterBreak="0">
    <w:nsid w:val="0BAC0539"/>
    <w:multiLevelType w:val="hybridMultilevel"/>
    <w:tmpl w:val="06A64DF4"/>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0BAE42A1"/>
    <w:multiLevelType w:val="hybridMultilevel"/>
    <w:tmpl w:val="D2DCD4C0"/>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8" w15:restartNumberingAfterBreak="0">
    <w:nsid w:val="0BD519EB"/>
    <w:multiLevelType w:val="hybridMultilevel"/>
    <w:tmpl w:val="285E2AD2"/>
    <w:lvl w:ilvl="0" w:tplc="08090001">
      <w:start w:val="1"/>
      <w:numFmt w:val="bullet"/>
      <w:lvlText w:val=""/>
      <w:lvlJc w:val="left"/>
      <w:pPr>
        <w:ind w:left="720" w:hanging="360"/>
      </w:pPr>
      <w:rPr>
        <w:rFonts w:ascii="Symbol" w:hAnsi="Symbol"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0C640644"/>
    <w:multiLevelType w:val="hybridMultilevel"/>
    <w:tmpl w:val="0F882124"/>
    <w:lvl w:ilvl="0" w:tplc="EB4A34E8">
      <w:start w:val="1"/>
      <w:numFmt w:val="decimal"/>
      <w:lvlText w:val="%1."/>
      <w:lvlJc w:val="left"/>
      <w:pPr>
        <w:ind w:left="720" w:hanging="360"/>
      </w:pPr>
    </w:lvl>
    <w:lvl w:ilvl="1" w:tplc="F30EFE10">
      <w:start w:val="1"/>
      <w:numFmt w:val="lowerLetter"/>
      <w:lvlText w:val="%2."/>
      <w:lvlJc w:val="left"/>
      <w:pPr>
        <w:ind w:left="1440" w:hanging="360"/>
      </w:pPr>
    </w:lvl>
    <w:lvl w:ilvl="2" w:tplc="6B6C8294">
      <w:start w:val="1"/>
      <w:numFmt w:val="lowerRoman"/>
      <w:lvlText w:val="%3."/>
      <w:lvlJc w:val="right"/>
      <w:pPr>
        <w:ind w:left="2160" w:hanging="180"/>
      </w:pPr>
    </w:lvl>
    <w:lvl w:ilvl="3" w:tplc="E83A9D48">
      <w:start w:val="1"/>
      <w:numFmt w:val="decimal"/>
      <w:lvlText w:val="%4."/>
      <w:lvlJc w:val="left"/>
      <w:pPr>
        <w:ind w:left="2880" w:hanging="360"/>
      </w:pPr>
    </w:lvl>
    <w:lvl w:ilvl="4" w:tplc="683059B4">
      <w:start w:val="1"/>
      <w:numFmt w:val="lowerLetter"/>
      <w:lvlText w:val="%5."/>
      <w:lvlJc w:val="left"/>
      <w:pPr>
        <w:ind w:left="3600" w:hanging="360"/>
      </w:pPr>
    </w:lvl>
    <w:lvl w:ilvl="5" w:tplc="C554C3D8">
      <w:start w:val="1"/>
      <w:numFmt w:val="lowerRoman"/>
      <w:lvlText w:val="%6."/>
      <w:lvlJc w:val="right"/>
      <w:pPr>
        <w:ind w:left="4320" w:hanging="180"/>
      </w:pPr>
    </w:lvl>
    <w:lvl w:ilvl="6" w:tplc="A742FE54">
      <w:start w:val="1"/>
      <w:numFmt w:val="decimal"/>
      <w:lvlText w:val="%7."/>
      <w:lvlJc w:val="left"/>
      <w:pPr>
        <w:ind w:left="5040" w:hanging="360"/>
      </w:pPr>
    </w:lvl>
    <w:lvl w:ilvl="7" w:tplc="A9CC7968">
      <w:start w:val="1"/>
      <w:numFmt w:val="lowerLetter"/>
      <w:lvlText w:val="%8."/>
      <w:lvlJc w:val="left"/>
      <w:pPr>
        <w:ind w:left="5760" w:hanging="360"/>
      </w:pPr>
    </w:lvl>
    <w:lvl w:ilvl="8" w:tplc="1A28CADC">
      <w:start w:val="1"/>
      <w:numFmt w:val="lowerRoman"/>
      <w:lvlText w:val="%9."/>
      <w:lvlJc w:val="right"/>
      <w:pPr>
        <w:ind w:left="6480" w:hanging="180"/>
      </w:pPr>
    </w:lvl>
  </w:abstractNum>
  <w:abstractNum w:abstractNumId="30" w15:restartNumberingAfterBreak="0">
    <w:nsid w:val="0C746B28"/>
    <w:multiLevelType w:val="hybridMultilevel"/>
    <w:tmpl w:val="4D68E646"/>
    <w:lvl w:ilvl="0" w:tplc="08090001">
      <w:start w:val="1"/>
      <w:numFmt w:val="bullet"/>
      <w:lvlText w:val=""/>
      <w:lvlJc w:val="left"/>
      <w:pPr>
        <w:ind w:left="1419" w:hanging="360"/>
      </w:pPr>
      <w:rPr>
        <w:rFonts w:ascii="Symbol" w:hAnsi="Symbol" w:hint="default"/>
      </w:rPr>
    </w:lvl>
    <w:lvl w:ilvl="1" w:tplc="08090003" w:tentative="1">
      <w:start w:val="1"/>
      <w:numFmt w:val="bullet"/>
      <w:lvlText w:val="o"/>
      <w:lvlJc w:val="left"/>
      <w:pPr>
        <w:ind w:left="2139" w:hanging="360"/>
      </w:pPr>
      <w:rPr>
        <w:rFonts w:ascii="Courier New" w:hAnsi="Courier New" w:cs="Courier New" w:hint="default"/>
      </w:rPr>
    </w:lvl>
    <w:lvl w:ilvl="2" w:tplc="08090005" w:tentative="1">
      <w:start w:val="1"/>
      <w:numFmt w:val="bullet"/>
      <w:lvlText w:val=""/>
      <w:lvlJc w:val="left"/>
      <w:pPr>
        <w:ind w:left="2859" w:hanging="360"/>
      </w:pPr>
      <w:rPr>
        <w:rFonts w:ascii="Wingdings" w:hAnsi="Wingdings" w:hint="default"/>
      </w:rPr>
    </w:lvl>
    <w:lvl w:ilvl="3" w:tplc="08090001" w:tentative="1">
      <w:start w:val="1"/>
      <w:numFmt w:val="bullet"/>
      <w:lvlText w:val=""/>
      <w:lvlJc w:val="left"/>
      <w:pPr>
        <w:ind w:left="3579" w:hanging="360"/>
      </w:pPr>
      <w:rPr>
        <w:rFonts w:ascii="Symbol" w:hAnsi="Symbol" w:hint="default"/>
      </w:rPr>
    </w:lvl>
    <w:lvl w:ilvl="4" w:tplc="08090003" w:tentative="1">
      <w:start w:val="1"/>
      <w:numFmt w:val="bullet"/>
      <w:lvlText w:val="o"/>
      <w:lvlJc w:val="left"/>
      <w:pPr>
        <w:ind w:left="4299" w:hanging="360"/>
      </w:pPr>
      <w:rPr>
        <w:rFonts w:ascii="Courier New" w:hAnsi="Courier New" w:cs="Courier New" w:hint="default"/>
      </w:rPr>
    </w:lvl>
    <w:lvl w:ilvl="5" w:tplc="08090005" w:tentative="1">
      <w:start w:val="1"/>
      <w:numFmt w:val="bullet"/>
      <w:lvlText w:val=""/>
      <w:lvlJc w:val="left"/>
      <w:pPr>
        <w:ind w:left="5019" w:hanging="360"/>
      </w:pPr>
      <w:rPr>
        <w:rFonts w:ascii="Wingdings" w:hAnsi="Wingdings" w:hint="default"/>
      </w:rPr>
    </w:lvl>
    <w:lvl w:ilvl="6" w:tplc="08090001" w:tentative="1">
      <w:start w:val="1"/>
      <w:numFmt w:val="bullet"/>
      <w:lvlText w:val=""/>
      <w:lvlJc w:val="left"/>
      <w:pPr>
        <w:ind w:left="5739" w:hanging="360"/>
      </w:pPr>
      <w:rPr>
        <w:rFonts w:ascii="Symbol" w:hAnsi="Symbol" w:hint="default"/>
      </w:rPr>
    </w:lvl>
    <w:lvl w:ilvl="7" w:tplc="08090003" w:tentative="1">
      <w:start w:val="1"/>
      <w:numFmt w:val="bullet"/>
      <w:lvlText w:val="o"/>
      <w:lvlJc w:val="left"/>
      <w:pPr>
        <w:ind w:left="6459" w:hanging="360"/>
      </w:pPr>
      <w:rPr>
        <w:rFonts w:ascii="Courier New" w:hAnsi="Courier New" w:cs="Courier New" w:hint="default"/>
      </w:rPr>
    </w:lvl>
    <w:lvl w:ilvl="8" w:tplc="08090005" w:tentative="1">
      <w:start w:val="1"/>
      <w:numFmt w:val="bullet"/>
      <w:lvlText w:val=""/>
      <w:lvlJc w:val="left"/>
      <w:pPr>
        <w:ind w:left="7179" w:hanging="360"/>
      </w:pPr>
      <w:rPr>
        <w:rFonts w:ascii="Wingdings" w:hAnsi="Wingdings" w:hint="default"/>
      </w:rPr>
    </w:lvl>
  </w:abstractNum>
  <w:abstractNum w:abstractNumId="31" w15:restartNumberingAfterBreak="0">
    <w:nsid w:val="0C815199"/>
    <w:multiLevelType w:val="hybridMultilevel"/>
    <w:tmpl w:val="2AE8749C"/>
    <w:lvl w:ilvl="0" w:tplc="EA4AD4DC">
      <w:start w:val="1"/>
      <w:numFmt w:val="bullet"/>
      <w:lvlText w:val=""/>
      <w:lvlJc w:val="left"/>
      <w:pPr>
        <w:ind w:left="720" w:hanging="360"/>
      </w:pPr>
      <w:rPr>
        <w:rFonts w:ascii="Symbol" w:hAnsi="Symbol" w:hint="default"/>
        <w:color w:val="C0504D" w:themeColor="accen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0D064915"/>
    <w:multiLevelType w:val="hybridMultilevel"/>
    <w:tmpl w:val="6444E81E"/>
    <w:lvl w:ilvl="0" w:tplc="AAE463B2">
      <w:start w:val="1"/>
      <w:numFmt w:val="decimal"/>
      <w:lvlText w:val="%1)"/>
      <w:lvlJc w:val="left"/>
      <w:pPr>
        <w:ind w:left="180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0D6E79C9"/>
    <w:multiLevelType w:val="hybridMultilevel"/>
    <w:tmpl w:val="EEE0BEF8"/>
    <w:lvl w:ilvl="0" w:tplc="08090001">
      <w:start w:val="1"/>
      <w:numFmt w:val="bullet"/>
      <w:lvlText w:val=""/>
      <w:lvlJc w:val="left"/>
      <w:pPr>
        <w:ind w:left="975" w:hanging="360"/>
      </w:pPr>
      <w:rPr>
        <w:rFonts w:ascii="Symbol" w:hAnsi="Symbol" w:hint="default"/>
      </w:rPr>
    </w:lvl>
    <w:lvl w:ilvl="1" w:tplc="08090003" w:tentative="1">
      <w:start w:val="1"/>
      <w:numFmt w:val="bullet"/>
      <w:lvlText w:val="o"/>
      <w:lvlJc w:val="left"/>
      <w:pPr>
        <w:ind w:left="1525" w:hanging="360"/>
      </w:pPr>
      <w:rPr>
        <w:rFonts w:ascii="Courier New" w:hAnsi="Courier New" w:cs="Courier New" w:hint="default"/>
      </w:rPr>
    </w:lvl>
    <w:lvl w:ilvl="2" w:tplc="08090005" w:tentative="1">
      <w:start w:val="1"/>
      <w:numFmt w:val="bullet"/>
      <w:lvlText w:val=""/>
      <w:lvlJc w:val="left"/>
      <w:pPr>
        <w:ind w:left="2245" w:hanging="360"/>
      </w:pPr>
      <w:rPr>
        <w:rFonts w:ascii="Wingdings" w:hAnsi="Wingdings" w:hint="default"/>
      </w:rPr>
    </w:lvl>
    <w:lvl w:ilvl="3" w:tplc="08090001" w:tentative="1">
      <w:start w:val="1"/>
      <w:numFmt w:val="bullet"/>
      <w:lvlText w:val=""/>
      <w:lvlJc w:val="left"/>
      <w:pPr>
        <w:ind w:left="2965" w:hanging="360"/>
      </w:pPr>
      <w:rPr>
        <w:rFonts w:ascii="Symbol" w:hAnsi="Symbol" w:hint="default"/>
      </w:rPr>
    </w:lvl>
    <w:lvl w:ilvl="4" w:tplc="08090003" w:tentative="1">
      <w:start w:val="1"/>
      <w:numFmt w:val="bullet"/>
      <w:lvlText w:val="o"/>
      <w:lvlJc w:val="left"/>
      <w:pPr>
        <w:ind w:left="3685" w:hanging="360"/>
      </w:pPr>
      <w:rPr>
        <w:rFonts w:ascii="Courier New" w:hAnsi="Courier New" w:cs="Courier New" w:hint="default"/>
      </w:rPr>
    </w:lvl>
    <w:lvl w:ilvl="5" w:tplc="08090005" w:tentative="1">
      <w:start w:val="1"/>
      <w:numFmt w:val="bullet"/>
      <w:lvlText w:val=""/>
      <w:lvlJc w:val="left"/>
      <w:pPr>
        <w:ind w:left="4405" w:hanging="360"/>
      </w:pPr>
      <w:rPr>
        <w:rFonts w:ascii="Wingdings" w:hAnsi="Wingdings" w:hint="default"/>
      </w:rPr>
    </w:lvl>
    <w:lvl w:ilvl="6" w:tplc="08090001" w:tentative="1">
      <w:start w:val="1"/>
      <w:numFmt w:val="bullet"/>
      <w:lvlText w:val=""/>
      <w:lvlJc w:val="left"/>
      <w:pPr>
        <w:ind w:left="5125" w:hanging="360"/>
      </w:pPr>
      <w:rPr>
        <w:rFonts w:ascii="Symbol" w:hAnsi="Symbol" w:hint="default"/>
      </w:rPr>
    </w:lvl>
    <w:lvl w:ilvl="7" w:tplc="08090003" w:tentative="1">
      <w:start w:val="1"/>
      <w:numFmt w:val="bullet"/>
      <w:lvlText w:val="o"/>
      <w:lvlJc w:val="left"/>
      <w:pPr>
        <w:ind w:left="5845" w:hanging="360"/>
      </w:pPr>
      <w:rPr>
        <w:rFonts w:ascii="Courier New" w:hAnsi="Courier New" w:cs="Courier New" w:hint="default"/>
      </w:rPr>
    </w:lvl>
    <w:lvl w:ilvl="8" w:tplc="08090005" w:tentative="1">
      <w:start w:val="1"/>
      <w:numFmt w:val="bullet"/>
      <w:lvlText w:val=""/>
      <w:lvlJc w:val="left"/>
      <w:pPr>
        <w:ind w:left="6565" w:hanging="360"/>
      </w:pPr>
      <w:rPr>
        <w:rFonts w:ascii="Wingdings" w:hAnsi="Wingdings" w:hint="default"/>
      </w:rPr>
    </w:lvl>
  </w:abstractNum>
  <w:abstractNum w:abstractNumId="34" w15:restartNumberingAfterBreak="0">
    <w:nsid w:val="0DDD153F"/>
    <w:multiLevelType w:val="hybridMultilevel"/>
    <w:tmpl w:val="FFFFFFFF"/>
    <w:lvl w:ilvl="0" w:tplc="A378A13E">
      <w:start w:val="1"/>
      <w:numFmt w:val="bullet"/>
      <w:lvlText w:val="·"/>
      <w:lvlJc w:val="left"/>
      <w:pPr>
        <w:ind w:left="720" w:hanging="360"/>
      </w:pPr>
      <w:rPr>
        <w:rFonts w:ascii="Symbol" w:hAnsi="Symbol" w:hint="default"/>
      </w:rPr>
    </w:lvl>
    <w:lvl w:ilvl="1" w:tplc="513CD8BC">
      <w:start w:val="1"/>
      <w:numFmt w:val="bullet"/>
      <w:lvlText w:val="o"/>
      <w:lvlJc w:val="left"/>
      <w:pPr>
        <w:ind w:left="1440" w:hanging="360"/>
      </w:pPr>
      <w:rPr>
        <w:rFonts w:ascii="Courier New" w:hAnsi="Courier New" w:hint="default"/>
      </w:rPr>
    </w:lvl>
    <w:lvl w:ilvl="2" w:tplc="311426C2">
      <w:start w:val="1"/>
      <w:numFmt w:val="bullet"/>
      <w:lvlText w:val=""/>
      <w:lvlJc w:val="left"/>
      <w:pPr>
        <w:ind w:left="2160" w:hanging="360"/>
      </w:pPr>
      <w:rPr>
        <w:rFonts w:ascii="Wingdings" w:hAnsi="Wingdings" w:hint="default"/>
      </w:rPr>
    </w:lvl>
    <w:lvl w:ilvl="3" w:tplc="636CB83C">
      <w:start w:val="1"/>
      <w:numFmt w:val="bullet"/>
      <w:lvlText w:val=""/>
      <w:lvlJc w:val="left"/>
      <w:pPr>
        <w:ind w:left="2880" w:hanging="360"/>
      </w:pPr>
      <w:rPr>
        <w:rFonts w:ascii="Symbol" w:hAnsi="Symbol" w:hint="default"/>
      </w:rPr>
    </w:lvl>
    <w:lvl w:ilvl="4" w:tplc="6E22A5E2">
      <w:start w:val="1"/>
      <w:numFmt w:val="bullet"/>
      <w:lvlText w:val="o"/>
      <w:lvlJc w:val="left"/>
      <w:pPr>
        <w:ind w:left="3600" w:hanging="360"/>
      </w:pPr>
      <w:rPr>
        <w:rFonts w:ascii="Courier New" w:hAnsi="Courier New" w:hint="default"/>
      </w:rPr>
    </w:lvl>
    <w:lvl w:ilvl="5" w:tplc="5BF6842A">
      <w:start w:val="1"/>
      <w:numFmt w:val="bullet"/>
      <w:lvlText w:val=""/>
      <w:lvlJc w:val="left"/>
      <w:pPr>
        <w:ind w:left="4320" w:hanging="360"/>
      </w:pPr>
      <w:rPr>
        <w:rFonts w:ascii="Wingdings" w:hAnsi="Wingdings" w:hint="default"/>
      </w:rPr>
    </w:lvl>
    <w:lvl w:ilvl="6" w:tplc="DDDA7278">
      <w:start w:val="1"/>
      <w:numFmt w:val="bullet"/>
      <w:lvlText w:val=""/>
      <w:lvlJc w:val="left"/>
      <w:pPr>
        <w:ind w:left="5040" w:hanging="360"/>
      </w:pPr>
      <w:rPr>
        <w:rFonts w:ascii="Symbol" w:hAnsi="Symbol" w:hint="default"/>
      </w:rPr>
    </w:lvl>
    <w:lvl w:ilvl="7" w:tplc="CF9E98F0">
      <w:start w:val="1"/>
      <w:numFmt w:val="bullet"/>
      <w:lvlText w:val="o"/>
      <w:lvlJc w:val="left"/>
      <w:pPr>
        <w:ind w:left="5760" w:hanging="360"/>
      </w:pPr>
      <w:rPr>
        <w:rFonts w:ascii="Courier New" w:hAnsi="Courier New" w:hint="default"/>
      </w:rPr>
    </w:lvl>
    <w:lvl w:ilvl="8" w:tplc="C26419CC">
      <w:start w:val="1"/>
      <w:numFmt w:val="bullet"/>
      <w:lvlText w:val=""/>
      <w:lvlJc w:val="left"/>
      <w:pPr>
        <w:ind w:left="6480" w:hanging="360"/>
      </w:pPr>
      <w:rPr>
        <w:rFonts w:ascii="Wingdings" w:hAnsi="Wingdings" w:hint="default"/>
      </w:rPr>
    </w:lvl>
  </w:abstractNum>
  <w:abstractNum w:abstractNumId="35" w15:restartNumberingAfterBreak="0">
    <w:nsid w:val="0E144329"/>
    <w:multiLevelType w:val="hybridMultilevel"/>
    <w:tmpl w:val="9668C192"/>
    <w:lvl w:ilvl="0" w:tplc="D19ABC80">
      <w:start w:val="1"/>
      <w:numFmt w:val="decimal"/>
      <w:pStyle w:val="Numberedtilelevel1"/>
      <w:lvlText w:val="%1."/>
      <w:lvlJc w:val="left"/>
      <w:pPr>
        <w:ind w:left="360" w:hanging="360"/>
      </w:pPr>
      <w:rPr>
        <w:rFonts w:hint="default"/>
        <w:spacing w:val="0"/>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0EB44764"/>
    <w:multiLevelType w:val="hybridMultilevel"/>
    <w:tmpl w:val="2640C6F4"/>
    <w:lvl w:ilvl="0" w:tplc="062C0F5A">
      <w:start w:val="1"/>
      <w:numFmt w:val="bullet"/>
      <w:lvlText w:val=""/>
      <w:lvlJc w:val="left"/>
      <w:pPr>
        <w:ind w:left="720" w:hanging="360"/>
      </w:pPr>
      <w:rPr>
        <w:rFonts w:ascii="Symbol" w:hAnsi="Symbol" w:hint="default"/>
      </w:rPr>
    </w:lvl>
    <w:lvl w:ilvl="1" w:tplc="72EADD1C">
      <w:start w:val="1"/>
      <w:numFmt w:val="bullet"/>
      <w:lvlText w:val="o"/>
      <w:lvlJc w:val="left"/>
      <w:pPr>
        <w:ind w:left="1440" w:hanging="360"/>
      </w:pPr>
      <w:rPr>
        <w:rFonts w:ascii="Courier New" w:hAnsi="Courier New" w:hint="default"/>
      </w:rPr>
    </w:lvl>
    <w:lvl w:ilvl="2" w:tplc="00EA4980">
      <w:start w:val="1"/>
      <w:numFmt w:val="bullet"/>
      <w:lvlText w:val=""/>
      <w:lvlJc w:val="left"/>
      <w:pPr>
        <w:ind w:left="2160" w:hanging="360"/>
      </w:pPr>
      <w:rPr>
        <w:rFonts w:ascii="Wingdings" w:hAnsi="Wingdings" w:hint="default"/>
      </w:rPr>
    </w:lvl>
    <w:lvl w:ilvl="3" w:tplc="2424E060">
      <w:start w:val="1"/>
      <w:numFmt w:val="bullet"/>
      <w:lvlText w:val=""/>
      <w:lvlJc w:val="left"/>
      <w:pPr>
        <w:ind w:left="2880" w:hanging="360"/>
      </w:pPr>
      <w:rPr>
        <w:rFonts w:ascii="Symbol" w:hAnsi="Symbol" w:hint="default"/>
      </w:rPr>
    </w:lvl>
    <w:lvl w:ilvl="4" w:tplc="828843B2">
      <w:start w:val="1"/>
      <w:numFmt w:val="bullet"/>
      <w:lvlText w:val="o"/>
      <w:lvlJc w:val="left"/>
      <w:pPr>
        <w:ind w:left="3600" w:hanging="360"/>
      </w:pPr>
      <w:rPr>
        <w:rFonts w:ascii="Courier New" w:hAnsi="Courier New" w:hint="default"/>
      </w:rPr>
    </w:lvl>
    <w:lvl w:ilvl="5" w:tplc="57166E14">
      <w:start w:val="1"/>
      <w:numFmt w:val="bullet"/>
      <w:lvlText w:val=""/>
      <w:lvlJc w:val="left"/>
      <w:pPr>
        <w:ind w:left="4320" w:hanging="360"/>
      </w:pPr>
      <w:rPr>
        <w:rFonts w:ascii="Wingdings" w:hAnsi="Wingdings" w:hint="default"/>
      </w:rPr>
    </w:lvl>
    <w:lvl w:ilvl="6" w:tplc="7882A628">
      <w:start w:val="1"/>
      <w:numFmt w:val="bullet"/>
      <w:lvlText w:val=""/>
      <w:lvlJc w:val="left"/>
      <w:pPr>
        <w:ind w:left="5040" w:hanging="360"/>
      </w:pPr>
      <w:rPr>
        <w:rFonts w:ascii="Symbol" w:hAnsi="Symbol" w:hint="default"/>
      </w:rPr>
    </w:lvl>
    <w:lvl w:ilvl="7" w:tplc="B62C3334">
      <w:start w:val="1"/>
      <w:numFmt w:val="bullet"/>
      <w:lvlText w:val="o"/>
      <w:lvlJc w:val="left"/>
      <w:pPr>
        <w:ind w:left="5760" w:hanging="360"/>
      </w:pPr>
      <w:rPr>
        <w:rFonts w:ascii="Courier New" w:hAnsi="Courier New" w:hint="default"/>
      </w:rPr>
    </w:lvl>
    <w:lvl w:ilvl="8" w:tplc="D476681A">
      <w:start w:val="1"/>
      <w:numFmt w:val="bullet"/>
      <w:lvlText w:val=""/>
      <w:lvlJc w:val="left"/>
      <w:pPr>
        <w:ind w:left="6480" w:hanging="360"/>
      </w:pPr>
      <w:rPr>
        <w:rFonts w:ascii="Wingdings" w:hAnsi="Wingdings" w:hint="default"/>
      </w:rPr>
    </w:lvl>
  </w:abstractNum>
  <w:abstractNum w:abstractNumId="37" w15:restartNumberingAfterBreak="0">
    <w:nsid w:val="0F5612AA"/>
    <w:multiLevelType w:val="hybridMultilevel"/>
    <w:tmpl w:val="652EF59A"/>
    <w:lvl w:ilvl="0" w:tplc="D988F740">
      <w:start w:val="1"/>
      <w:numFmt w:val="decimal"/>
      <w:lvlText w:val="%1."/>
      <w:lvlJc w:val="left"/>
      <w:pPr>
        <w:ind w:left="720" w:hanging="360"/>
      </w:pPr>
    </w:lvl>
    <w:lvl w:ilvl="1" w:tplc="E1A8789C">
      <w:start w:val="1"/>
      <w:numFmt w:val="lowerLetter"/>
      <w:lvlText w:val="%2."/>
      <w:lvlJc w:val="left"/>
      <w:pPr>
        <w:ind w:left="1440" w:hanging="360"/>
      </w:pPr>
    </w:lvl>
    <w:lvl w:ilvl="2" w:tplc="69DEE3C6">
      <w:start w:val="1"/>
      <w:numFmt w:val="lowerRoman"/>
      <w:lvlText w:val="%3."/>
      <w:lvlJc w:val="right"/>
      <w:pPr>
        <w:ind w:left="2160" w:hanging="180"/>
      </w:pPr>
    </w:lvl>
    <w:lvl w:ilvl="3" w:tplc="D7EAB9BC">
      <w:start w:val="1"/>
      <w:numFmt w:val="decimal"/>
      <w:lvlText w:val="%4."/>
      <w:lvlJc w:val="left"/>
      <w:pPr>
        <w:ind w:left="2880" w:hanging="360"/>
      </w:pPr>
    </w:lvl>
    <w:lvl w:ilvl="4" w:tplc="0AA0F928">
      <w:start w:val="1"/>
      <w:numFmt w:val="lowerLetter"/>
      <w:lvlText w:val="%5."/>
      <w:lvlJc w:val="left"/>
      <w:pPr>
        <w:ind w:left="3600" w:hanging="360"/>
      </w:pPr>
    </w:lvl>
    <w:lvl w:ilvl="5" w:tplc="325AF216">
      <w:start w:val="1"/>
      <w:numFmt w:val="lowerRoman"/>
      <w:lvlText w:val="%6."/>
      <w:lvlJc w:val="right"/>
      <w:pPr>
        <w:ind w:left="4320" w:hanging="180"/>
      </w:pPr>
    </w:lvl>
    <w:lvl w:ilvl="6" w:tplc="EFBEE6EE">
      <w:start w:val="1"/>
      <w:numFmt w:val="decimal"/>
      <w:lvlText w:val="%7."/>
      <w:lvlJc w:val="left"/>
      <w:pPr>
        <w:ind w:left="5040" w:hanging="360"/>
      </w:pPr>
    </w:lvl>
    <w:lvl w:ilvl="7" w:tplc="CC6E3FE6">
      <w:start w:val="1"/>
      <w:numFmt w:val="lowerLetter"/>
      <w:lvlText w:val="%8."/>
      <w:lvlJc w:val="left"/>
      <w:pPr>
        <w:ind w:left="5760" w:hanging="360"/>
      </w:pPr>
    </w:lvl>
    <w:lvl w:ilvl="8" w:tplc="EE223A00">
      <w:start w:val="1"/>
      <w:numFmt w:val="lowerRoman"/>
      <w:lvlText w:val="%9."/>
      <w:lvlJc w:val="right"/>
      <w:pPr>
        <w:ind w:left="6480" w:hanging="180"/>
      </w:pPr>
    </w:lvl>
  </w:abstractNum>
  <w:abstractNum w:abstractNumId="38" w15:restartNumberingAfterBreak="0">
    <w:nsid w:val="0F84792E"/>
    <w:multiLevelType w:val="hybridMultilevel"/>
    <w:tmpl w:val="430A6D7E"/>
    <w:lvl w:ilvl="0" w:tplc="F29AB518">
      <w:start w:val="1"/>
      <w:numFmt w:val="bullet"/>
      <w:lvlText w:val="·"/>
      <w:lvlJc w:val="left"/>
      <w:pPr>
        <w:ind w:left="720" w:hanging="360"/>
      </w:pPr>
      <w:rPr>
        <w:rFonts w:ascii="Symbol" w:hAnsi="Symbol" w:hint="default"/>
      </w:rPr>
    </w:lvl>
    <w:lvl w:ilvl="1" w:tplc="05AC04EC">
      <w:start w:val="1"/>
      <w:numFmt w:val="bullet"/>
      <w:lvlText w:val="o"/>
      <w:lvlJc w:val="left"/>
      <w:pPr>
        <w:ind w:left="1440" w:hanging="360"/>
      </w:pPr>
      <w:rPr>
        <w:rFonts w:ascii="Courier New" w:hAnsi="Courier New" w:hint="default"/>
      </w:rPr>
    </w:lvl>
    <w:lvl w:ilvl="2" w:tplc="52EA3D26">
      <w:start w:val="1"/>
      <w:numFmt w:val="bullet"/>
      <w:lvlText w:val=""/>
      <w:lvlJc w:val="left"/>
      <w:pPr>
        <w:ind w:left="2160" w:hanging="360"/>
      </w:pPr>
      <w:rPr>
        <w:rFonts w:ascii="Wingdings" w:hAnsi="Wingdings" w:hint="default"/>
      </w:rPr>
    </w:lvl>
    <w:lvl w:ilvl="3" w:tplc="55B8DF9A">
      <w:start w:val="1"/>
      <w:numFmt w:val="bullet"/>
      <w:lvlText w:val=""/>
      <w:lvlJc w:val="left"/>
      <w:pPr>
        <w:ind w:left="2880" w:hanging="360"/>
      </w:pPr>
      <w:rPr>
        <w:rFonts w:ascii="Symbol" w:hAnsi="Symbol" w:hint="default"/>
      </w:rPr>
    </w:lvl>
    <w:lvl w:ilvl="4" w:tplc="BD5ADE42">
      <w:start w:val="1"/>
      <w:numFmt w:val="bullet"/>
      <w:lvlText w:val="o"/>
      <w:lvlJc w:val="left"/>
      <w:pPr>
        <w:ind w:left="3600" w:hanging="360"/>
      </w:pPr>
      <w:rPr>
        <w:rFonts w:ascii="Courier New" w:hAnsi="Courier New" w:hint="default"/>
      </w:rPr>
    </w:lvl>
    <w:lvl w:ilvl="5" w:tplc="02DAABC8">
      <w:start w:val="1"/>
      <w:numFmt w:val="bullet"/>
      <w:lvlText w:val=""/>
      <w:lvlJc w:val="left"/>
      <w:pPr>
        <w:ind w:left="4320" w:hanging="360"/>
      </w:pPr>
      <w:rPr>
        <w:rFonts w:ascii="Wingdings" w:hAnsi="Wingdings" w:hint="default"/>
      </w:rPr>
    </w:lvl>
    <w:lvl w:ilvl="6" w:tplc="B060FF70">
      <w:start w:val="1"/>
      <w:numFmt w:val="bullet"/>
      <w:lvlText w:val=""/>
      <w:lvlJc w:val="left"/>
      <w:pPr>
        <w:ind w:left="5040" w:hanging="360"/>
      </w:pPr>
      <w:rPr>
        <w:rFonts w:ascii="Symbol" w:hAnsi="Symbol" w:hint="default"/>
      </w:rPr>
    </w:lvl>
    <w:lvl w:ilvl="7" w:tplc="0B924380">
      <w:start w:val="1"/>
      <w:numFmt w:val="bullet"/>
      <w:lvlText w:val="o"/>
      <w:lvlJc w:val="left"/>
      <w:pPr>
        <w:ind w:left="5760" w:hanging="360"/>
      </w:pPr>
      <w:rPr>
        <w:rFonts w:ascii="Courier New" w:hAnsi="Courier New" w:hint="default"/>
      </w:rPr>
    </w:lvl>
    <w:lvl w:ilvl="8" w:tplc="D7B00598">
      <w:start w:val="1"/>
      <w:numFmt w:val="bullet"/>
      <w:lvlText w:val=""/>
      <w:lvlJc w:val="left"/>
      <w:pPr>
        <w:ind w:left="6480" w:hanging="360"/>
      </w:pPr>
      <w:rPr>
        <w:rFonts w:ascii="Wingdings" w:hAnsi="Wingdings" w:hint="default"/>
      </w:rPr>
    </w:lvl>
  </w:abstractNum>
  <w:abstractNum w:abstractNumId="39" w15:restartNumberingAfterBreak="0">
    <w:nsid w:val="0FC815BA"/>
    <w:multiLevelType w:val="hybridMultilevel"/>
    <w:tmpl w:val="6E2C0A1C"/>
    <w:lvl w:ilvl="0" w:tplc="71A2B31C">
      <w:start w:val="2"/>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0" w15:restartNumberingAfterBreak="0">
    <w:nsid w:val="10BC3319"/>
    <w:multiLevelType w:val="hybridMultilevel"/>
    <w:tmpl w:val="FFFFFFFF"/>
    <w:lvl w:ilvl="0" w:tplc="0CA8ECAA">
      <w:start w:val="1"/>
      <w:numFmt w:val="bullet"/>
      <w:lvlText w:val="-"/>
      <w:lvlJc w:val="left"/>
      <w:pPr>
        <w:ind w:left="720" w:hanging="360"/>
      </w:pPr>
      <w:rPr>
        <w:rFonts w:ascii="Calibri" w:hAnsi="Calibri" w:hint="default"/>
      </w:rPr>
    </w:lvl>
    <w:lvl w:ilvl="1" w:tplc="FE78CB3C">
      <w:start w:val="1"/>
      <w:numFmt w:val="bullet"/>
      <w:lvlText w:val="o"/>
      <w:lvlJc w:val="left"/>
      <w:pPr>
        <w:ind w:left="1440" w:hanging="360"/>
      </w:pPr>
      <w:rPr>
        <w:rFonts w:ascii="Courier New" w:hAnsi="Courier New" w:hint="default"/>
      </w:rPr>
    </w:lvl>
    <w:lvl w:ilvl="2" w:tplc="75C0D15C">
      <w:start w:val="1"/>
      <w:numFmt w:val="bullet"/>
      <w:lvlText w:val=""/>
      <w:lvlJc w:val="left"/>
      <w:pPr>
        <w:ind w:left="2160" w:hanging="360"/>
      </w:pPr>
      <w:rPr>
        <w:rFonts w:ascii="Wingdings" w:hAnsi="Wingdings" w:hint="default"/>
      </w:rPr>
    </w:lvl>
    <w:lvl w:ilvl="3" w:tplc="3A7CFB44">
      <w:start w:val="1"/>
      <w:numFmt w:val="bullet"/>
      <w:lvlText w:val=""/>
      <w:lvlJc w:val="left"/>
      <w:pPr>
        <w:ind w:left="2880" w:hanging="360"/>
      </w:pPr>
      <w:rPr>
        <w:rFonts w:ascii="Symbol" w:hAnsi="Symbol" w:hint="default"/>
      </w:rPr>
    </w:lvl>
    <w:lvl w:ilvl="4" w:tplc="2D8CCC1C">
      <w:start w:val="1"/>
      <w:numFmt w:val="bullet"/>
      <w:lvlText w:val="o"/>
      <w:lvlJc w:val="left"/>
      <w:pPr>
        <w:ind w:left="3600" w:hanging="360"/>
      </w:pPr>
      <w:rPr>
        <w:rFonts w:ascii="Courier New" w:hAnsi="Courier New" w:hint="default"/>
      </w:rPr>
    </w:lvl>
    <w:lvl w:ilvl="5" w:tplc="0066BDEC">
      <w:start w:val="1"/>
      <w:numFmt w:val="bullet"/>
      <w:lvlText w:val=""/>
      <w:lvlJc w:val="left"/>
      <w:pPr>
        <w:ind w:left="4320" w:hanging="360"/>
      </w:pPr>
      <w:rPr>
        <w:rFonts w:ascii="Wingdings" w:hAnsi="Wingdings" w:hint="default"/>
      </w:rPr>
    </w:lvl>
    <w:lvl w:ilvl="6" w:tplc="99D60CBE">
      <w:start w:val="1"/>
      <w:numFmt w:val="bullet"/>
      <w:lvlText w:val=""/>
      <w:lvlJc w:val="left"/>
      <w:pPr>
        <w:ind w:left="5040" w:hanging="360"/>
      </w:pPr>
      <w:rPr>
        <w:rFonts w:ascii="Symbol" w:hAnsi="Symbol" w:hint="default"/>
      </w:rPr>
    </w:lvl>
    <w:lvl w:ilvl="7" w:tplc="423A1E3C">
      <w:start w:val="1"/>
      <w:numFmt w:val="bullet"/>
      <w:lvlText w:val="o"/>
      <w:lvlJc w:val="left"/>
      <w:pPr>
        <w:ind w:left="5760" w:hanging="360"/>
      </w:pPr>
      <w:rPr>
        <w:rFonts w:ascii="Courier New" w:hAnsi="Courier New" w:hint="default"/>
      </w:rPr>
    </w:lvl>
    <w:lvl w:ilvl="8" w:tplc="606A3D6E">
      <w:start w:val="1"/>
      <w:numFmt w:val="bullet"/>
      <w:lvlText w:val=""/>
      <w:lvlJc w:val="left"/>
      <w:pPr>
        <w:ind w:left="6480" w:hanging="360"/>
      </w:pPr>
      <w:rPr>
        <w:rFonts w:ascii="Wingdings" w:hAnsi="Wingdings" w:hint="default"/>
      </w:rPr>
    </w:lvl>
  </w:abstractNum>
  <w:abstractNum w:abstractNumId="41" w15:restartNumberingAfterBreak="0">
    <w:nsid w:val="10E25CAD"/>
    <w:multiLevelType w:val="hybridMultilevel"/>
    <w:tmpl w:val="5950CD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11D53EE3"/>
    <w:multiLevelType w:val="hybridMultilevel"/>
    <w:tmpl w:val="82F0B4D6"/>
    <w:lvl w:ilvl="0" w:tplc="0D561A78">
      <w:start w:val="1"/>
      <w:numFmt w:val="decimal"/>
      <w:lvlText w:val="%1."/>
      <w:lvlJc w:val="left"/>
      <w:pPr>
        <w:ind w:left="720" w:hanging="360"/>
      </w:pPr>
    </w:lvl>
    <w:lvl w:ilvl="1" w:tplc="D7127BF4">
      <w:start w:val="1"/>
      <w:numFmt w:val="lowerLetter"/>
      <w:lvlText w:val="%2."/>
      <w:lvlJc w:val="left"/>
      <w:pPr>
        <w:ind w:left="1440" w:hanging="360"/>
      </w:pPr>
    </w:lvl>
    <w:lvl w:ilvl="2" w:tplc="B9B84B20">
      <w:start w:val="1"/>
      <w:numFmt w:val="lowerRoman"/>
      <w:lvlText w:val="%3."/>
      <w:lvlJc w:val="right"/>
      <w:pPr>
        <w:ind w:left="2160" w:hanging="180"/>
      </w:pPr>
    </w:lvl>
    <w:lvl w:ilvl="3" w:tplc="799A6D20">
      <w:start w:val="1"/>
      <w:numFmt w:val="decimal"/>
      <w:lvlText w:val="%4."/>
      <w:lvlJc w:val="left"/>
      <w:pPr>
        <w:ind w:left="2880" w:hanging="360"/>
      </w:pPr>
    </w:lvl>
    <w:lvl w:ilvl="4" w:tplc="DA6C018E">
      <w:start w:val="1"/>
      <w:numFmt w:val="lowerLetter"/>
      <w:lvlText w:val="%5."/>
      <w:lvlJc w:val="left"/>
      <w:pPr>
        <w:ind w:left="3600" w:hanging="360"/>
      </w:pPr>
    </w:lvl>
    <w:lvl w:ilvl="5" w:tplc="FBF2FDF6">
      <w:start w:val="1"/>
      <w:numFmt w:val="lowerRoman"/>
      <w:lvlText w:val="%6."/>
      <w:lvlJc w:val="right"/>
      <w:pPr>
        <w:ind w:left="4320" w:hanging="180"/>
      </w:pPr>
    </w:lvl>
    <w:lvl w:ilvl="6" w:tplc="53EA99BC">
      <w:start w:val="1"/>
      <w:numFmt w:val="decimal"/>
      <w:lvlText w:val="%7."/>
      <w:lvlJc w:val="left"/>
      <w:pPr>
        <w:ind w:left="5040" w:hanging="360"/>
      </w:pPr>
    </w:lvl>
    <w:lvl w:ilvl="7" w:tplc="49302B12">
      <w:start w:val="1"/>
      <w:numFmt w:val="lowerLetter"/>
      <w:lvlText w:val="%8."/>
      <w:lvlJc w:val="left"/>
      <w:pPr>
        <w:ind w:left="5760" w:hanging="360"/>
      </w:pPr>
    </w:lvl>
    <w:lvl w:ilvl="8" w:tplc="A5449776">
      <w:start w:val="1"/>
      <w:numFmt w:val="lowerRoman"/>
      <w:lvlText w:val="%9."/>
      <w:lvlJc w:val="right"/>
      <w:pPr>
        <w:ind w:left="6480" w:hanging="180"/>
      </w:pPr>
    </w:lvl>
  </w:abstractNum>
  <w:abstractNum w:abstractNumId="43" w15:restartNumberingAfterBreak="0">
    <w:nsid w:val="121A10FA"/>
    <w:multiLevelType w:val="hybridMultilevel"/>
    <w:tmpl w:val="FFFFFFFF"/>
    <w:lvl w:ilvl="0" w:tplc="F0BABC8C">
      <w:start w:val="1"/>
      <w:numFmt w:val="decimal"/>
      <w:lvlText w:val="%1."/>
      <w:lvlJc w:val="left"/>
      <w:pPr>
        <w:ind w:left="720" w:hanging="360"/>
      </w:pPr>
    </w:lvl>
    <w:lvl w:ilvl="1" w:tplc="D5C442B6">
      <w:start w:val="1"/>
      <w:numFmt w:val="lowerLetter"/>
      <w:lvlText w:val="%2."/>
      <w:lvlJc w:val="left"/>
      <w:pPr>
        <w:ind w:left="1440" w:hanging="360"/>
      </w:pPr>
    </w:lvl>
    <w:lvl w:ilvl="2" w:tplc="9CFAAFC8">
      <w:start w:val="1"/>
      <w:numFmt w:val="lowerRoman"/>
      <w:lvlText w:val="%3."/>
      <w:lvlJc w:val="right"/>
      <w:pPr>
        <w:ind w:left="2160" w:hanging="180"/>
      </w:pPr>
    </w:lvl>
    <w:lvl w:ilvl="3" w:tplc="3488A4EE">
      <w:start w:val="1"/>
      <w:numFmt w:val="decimal"/>
      <w:lvlText w:val="%4."/>
      <w:lvlJc w:val="left"/>
      <w:pPr>
        <w:ind w:left="2880" w:hanging="360"/>
      </w:pPr>
    </w:lvl>
    <w:lvl w:ilvl="4" w:tplc="DAE28FC4">
      <w:start w:val="1"/>
      <w:numFmt w:val="lowerLetter"/>
      <w:lvlText w:val="%5."/>
      <w:lvlJc w:val="left"/>
      <w:pPr>
        <w:ind w:left="3600" w:hanging="360"/>
      </w:pPr>
    </w:lvl>
    <w:lvl w:ilvl="5" w:tplc="B6207E86">
      <w:start w:val="1"/>
      <w:numFmt w:val="lowerRoman"/>
      <w:lvlText w:val="%6."/>
      <w:lvlJc w:val="right"/>
      <w:pPr>
        <w:ind w:left="4320" w:hanging="180"/>
      </w:pPr>
    </w:lvl>
    <w:lvl w:ilvl="6" w:tplc="5EDC8DE2">
      <w:start w:val="1"/>
      <w:numFmt w:val="decimal"/>
      <w:lvlText w:val="%7."/>
      <w:lvlJc w:val="left"/>
      <w:pPr>
        <w:ind w:left="5040" w:hanging="360"/>
      </w:pPr>
    </w:lvl>
    <w:lvl w:ilvl="7" w:tplc="9728643E">
      <w:start w:val="1"/>
      <w:numFmt w:val="lowerLetter"/>
      <w:lvlText w:val="%8."/>
      <w:lvlJc w:val="left"/>
      <w:pPr>
        <w:ind w:left="5760" w:hanging="360"/>
      </w:pPr>
    </w:lvl>
    <w:lvl w:ilvl="8" w:tplc="F634F4D2">
      <w:start w:val="1"/>
      <w:numFmt w:val="lowerRoman"/>
      <w:lvlText w:val="%9."/>
      <w:lvlJc w:val="right"/>
      <w:pPr>
        <w:ind w:left="6480" w:hanging="180"/>
      </w:pPr>
    </w:lvl>
  </w:abstractNum>
  <w:abstractNum w:abstractNumId="44" w15:restartNumberingAfterBreak="0">
    <w:nsid w:val="13710F59"/>
    <w:multiLevelType w:val="hybridMultilevel"/>
    <w:tmpl w:val="736A107C"/>
    <w:lvl w:ilvl="0" w:tplc="829AB43C">
      <w:start w:val="1"/>
      <w:numFmt w:val="decimal"/>
      <w:pStyle w:val="Baseparagraphnumbered"/>
      <w:lvlText w:val="%1."/>
      <w:lvlJc w:val="left"/>
      <w:pPr>
        <w:ind w:left="786" w:hanging="360"/>
      </w:pPr>
      <w:rPr>
        <w:lang w:val="en-US"/>
      </w:rPr>
    </w:lvl>
    <w:lvl w:ilvl="1" w:tplc="E8245F5A">
      <w:start w:val="1"/>
      <w:numFmt w:val="lowerLetter"/>
      <w:lvlText w:val="(%2)"/>
      <w:lvlJc w:val="left"/>
      <w:pPr>
        <w:ind w:left="1494" w:hanging="360"/>
      </w:pPr>
      <w:rPr>
        <w:rFonts w:ascii="Times New Roman" w:eastAsia="Times New Roman" w:hAnsi="Times New Roman" w:cs="Times New Roman"/>
      </w:rPr>
    </w:lvl>
    <w:lvl w:ilvl="2" w:tplc="5BE4D2A0" w:tentative="1">
      <w:start w:val="1"/>
      <w:numFmt w:val="lowerRoman"/>
      <w:lvlText w:val="%3."/>
      <w:lvlJc w:val="right"/>
      <w:pPr>
        <w:ind w:left="2225" w:hanging="180"/>
      </w:pPr>
    </w:lvl>
    <w:lvl w:ilvl="3" w:tplc="E8A6BEAE" w:tentative="1">
      <w:start w:val="1"/>
      <w:numFmt w:val="decimal"/>
      <w:lvlText w:val="%4."/>
      <w:lvlJc w:val="left"/>
      <w:pPr>
        <w:ind w:left="2945" w:hanging="360"/>
      </w:pPr>
    </w:lvl>
    <w:lvl w:ilvl="4" w:tplc="9A703294" w:tentative="1">
      <w:start w:val="1"/>
      <w:numFmt w:val="lowerLetter"/>
      <w:lvlText w:val="%5."/>
      <w:lvlJc w:val="left"/>
      <w:pPr>
        <w:ind w:left="3665" w:hanging="360"/>
      </w:pPr>
    </w:lvl>
    <w:lvl w:ilvl="5" w:tplc="B14C4D10" w:tentative="1">
      <w:start w:val="1"/>
      <w:numFmt w:val="lowerRoman"/>
      <w:lvlText w:val="%6."/>
      <w:lvlJc w:val="right"/>
      <w:pPr>
        <w:ind w:left="4385" w:hanging="180"/>
      </w:pPr>
    </w:lvl>
    <w:lvl w:ilvl="6" w:tplc="EECA4DA6" w:tentative="1">
      <w:start w:val="1"/>
      <w:numFmt w:val="decimal"/>
      <w:lvlText w:val="%7."/>
      <w:lvlJc w:val="left"/>
      <w:pPr>
        <w:ind w:left="5105" w:hanging="360"/>
      </w:pPr>
    </w:lvl>
    <w:lvl w:ilvl="7" w:tplc="444C72AC" w:tentative="1">
      <w:start w:val="1"/>
      <w:numFmt w:val="lowerLetter"/>
      <w:lvlText w:val="%8."/>
      <w:lvlJc w:val="left"/>
      <w:pPr>
        <w:ind w:left="5825" w:hanging="360"/>
      </w:pPr>
    </w:lvl>
    <w:lvl w:ilvl="8" w:tplc="C9C872DC" w:tentative="1">
      <w:start w:val="1"/>
      <w:numFmt w:val="lowerRoman"/>
      <w:lvlText w:val="%9."/>
      <w:lvlJc w:val="right"/>
      <w:pPr>
        <w:ind w:left="6545" w:hanging="180"/>
      </w:pPr>
    </w:lvl>
  </w:abstractNum>
  <w:abstractNum w:abstractNumId="45" w15:restartNumberingAfterBreak="0">
    <w:nsid w:val="13777390"/>
    <w:multiLevelType w:val="hybridMultilevel"/>
    <w:tmpl w:val="79926B24"/>
    <w:lvl w:ilvl="0" w:tplc="50CE3E94">
      <w:start w:val="1"/>
      <w:numFmt w:val="lowerRoman"/>
      <w:lvlText w:val="(%1)"/>
      <w:lvlJc w:val="left"/>
      <w:pPr>
        <w:ind w:left="753"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138205D5"/>
    <w:multiLevelType w:val="hybridMultilevel"/>
    <w:tmpl w:val="DAAEFD84"/>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141524A7"/>
    <w:multiLevelType w:val="hybridMultilevel"/>
    <w:tmpl w:val="CA4EA508"/>
    <w:lvl w:ilvl="0" w:tplc="C4EC37F0">
      <w:start w:val="1"/>
      <w:numFmt w:val="decimal"/>
      <w:lvlText w:val="%1."/>
      <w:lvlJc w:val="left"/>
      <w:pPr>
        <w:ind w:left="720" w:hanging="360"/>
      </w:pPr>
    </w:lvl>
    <w:lvl w:ilvl="1" w:tplc="392EF07E">
      <w:start w:val="1"/>
      <w:numFmt w:val="lowerLetter"/>
      <w:lvlText w:val="%2."/>
      <w:lvlJc w:val="left"/>
      <w:pPr>
        <w:ind w:left="1440" w:hanging="360"/>
      </w:pPr>
    </w:lvl>
    <w:lvl w:ilvl="2" w:tplc="B3544EEA">
      <w:start w:val="1"/>
      <w:numFmt w:val="lowerRoman"/>
      <w:lvlText w:val="%3."/>
      <w:lvlJc w:val="right"/>
      <w:pPr>
        <w:ind w:left="2160" w:hanging="180"/>
      </w:pPr>
    </w:lvl>
    <w:lvl w:ilvl="3" w:tplc="B9D82DF0">
      <w:start w:val="1"/>
      <w:numFmt w:val="decimal"/>
      <w:lvlText w:val="%4."/>
      <w:lvlJc w:val="left"/>
      <w:pPr>
        <w:ind w:left="2880" w:hanging="360"/>
      </w:pPr>
    </w:lvl>
    <w:lvl w:ilvl="4" w:tplc="C14C10BE">
      <w:start w:val="1"/>
      <w:numFmt w:val="lowerLetter"/>
      <w:lvlText w:val="%5."/>
      <w:lvlJc w:val="left"/>
      <w:pPr>
        <w:ind w:left="3600" w:hanging="360"/>
      </w:pPr>
    </w:lvl>
    <w:lvl w:ilvl="5" w:tplc="A7026EB2">
      <w:start w:val="1"/>
      <w:numFmt w:val="lowerRoman"/>
      <w:lvlText w:val="%6."/>
      <w:lvlJc w:val="right"/>
      <w:pPr>
        <w:ind w:left="4320" w:hanging="180"/>
      </w:pPr>
    </w:lvl>
    <w:lvl w:ilvl="6" w:tplc="2B0AA70A">
      <w:start w:val="1"/>
      <w:numFmt w:val="decimal"/>
      <w:lvlText w:val="%7."/>
      <w:lvlJc w:val="left"/>
      <w:pPr>
        <w:ind w:left="5040" w:hanging="360"/>
      </w:pPr>
    </w:lvl>
    <w:lvl w:ilvl="7" w:tplc="BB3A337E">
      <w:start w:val="1"/>
      <w:numFmt w:val="lowerLetter"/>
      <w:lvlText w:val="%8."/>
      <w:lvlJc w:val="left"/>
      <w:pPr>
        <w:ind w:left="5760" w:hanging="360"/>
      </w:pPr>
    </w:lvl>
    <w:lvl w:ilvl="8" w:tplc="E6947706">
      <w:start w:val="1"/>
      <w:numFmt w:val="lowerRoman"/>
      <w:lvlText w:val="%9."/>
      <w:lvlJc w:val="right"/>
      <w:pPr>
        <w:ind w:left="6480" w:hanging="180"/>
      </w:pPr>
    </w:lvl>
  </w:abstractNum>
  <w:abstractNum w:abstractNumId="48" w15:restartNumberingAfterBreak="0">
    <w:nsid w:val="151D3A7E"/>
    <w:multiLevelType w:val="hybridMultilevel"/>
    <w:tmpl w:val="FFFFFFFF"/>
    <w:lvl w:ilvl="0" w:tplc="73E6A3C2">
      <w:start w:val="1"/>
      <w:numFmt w:val="bullet"/>
      <w:lvlText w:val="·"/>
      <w:lvlJc w:val="left"/>
      <w:pPr>
        <w:ind w:left="720" w:hanging="360"/>
      </w:pPr>
      <w:rPr>
        <w:rFonts w:ascii="Symbol" w:hAnsi="Symbol" w:hint="default"/>
      </w:rPr>
    </w:lvl>
    <w:lvl w:ilvl="1" w:tplc="DADCC27E">
      <w:start w:val="1"/>
      <w:numFmt w:val="bullet"/>
      <w:lvlText w:val="o"/>
      <w:lvlJc w:val="left"/>
      <w:pPr>
        <w:ind w:left="1440" w:hanging="360"/>
      </w:pPr>
      <w:rPr>
        <w:rFonts w:ascii="Courier New" w:hAnsi="Courier New" w:hint="default"/>
      </w:rPr>
    </w:lvl>
    <w:lvl w:ilvl="2" w:tplc="F1421BE0">
      <w:start w:val="1"/>
      <w:numFmt w:val="bullet"/>
      <w:lvlText w:val=""/>
      <w:lvlJc w:val="left"/>
      <w:pPr>
        <w:ind w:left="2160" w:hanging="360"/>
      </w:pPr>
      <w:rPr>
        <w:rFonts w:ascii="Wingdings" w:hAnsi="Wingdings" w:hint="default"/>
      </w:rPr>
    </w:lvl>
    <w:lvl w:ilvl="3" w:tplc="AE267072">
      <w:start w:val="1"/>
      <w:numFmt w:val="bullet"/>
      <w:lvlText w:val=""/>
      <w:lvlJc w:val="left"/>
      <w:pPr>
        <w:ind w:left="2880" w:hanging="360"/>
      </w:pPr>
      <w:rPr>
        <w:rFonts w:ascii="Symbol" w:hAnsi="Symbol" w:hint="default"/>
      </w:rPr>
    </w:lvl>
    <w:lvl w:ilvl="4" w:tplc="2120385C">
      <w:start w:val="1"/>
      <w:numFmt w:val="bullet"/>
      <w:lvlText w:val="o"/>
      <w:lvlJc w:val="left"/>
      <w:pPr>
        <w:ind w:left="3600" w:hanging="360"/>
      </w:pPr>
      <w:rPr>
        <w:rFonts w:ascii="Courier New" w:hAnsi="Courier New" w:hint="default"/>
      </w:rPr>
    </w:lvl>
    <w:lvl w:ilvl="5" w:tplc="877628E4">
      <w:start w:val="1"/>
      <w:numFmt w:val="bullet"/>
      <w:lvlText w:val=""/>
      <w:lvlJc w:val="left"/>
      <w:pPr>
        <w:ind w:left="4320" w:hanging="360"/>
      </w:pPr>
      <w:rPr>
        <w:rFonts w:ascii="Wingdings" w:hAnsi="Wingdings" w:hint="default"/>
      </w:rPr>
    </w:lvl>
    <w:lvl w:ilvl="6" w:tplc="18E2F6F2">
      <w:start w:val="1"/>
      <w:numFmt w:val="bullet"/>
      <w:lvlText w:val=""/>
      <w:lvlJc w:val="left"/>
      <w:pPr>
        <w:ind w:left="5040" w:hanging="360"/>
      </w:pPr>
      <w:rPr>
        <w:rFonts w:ascii="Symbol" w:hAnsi="Symbol" w:hint="default"/>
      </w:rPr>
    </w:lvl>
    <w:lvl w:ilvl="7" w:tplc="374CDB98">
      <w:start w:val="1"/>
      <w:numFmt w:val="bullet"/>
      <w:lvlText w:val="o"/>
      <w:lvlJc w:val="left"/>
      <w:pPr>
        <w:ind w:left="5760" w:hanging="360"/>
      </w:pPr>
      <w:rPr>
        <w:rFonts w:ascii="Courier New" w:hAnsi="Courier New" w:hint="default"/>
      </w:rPr>
    </w:lvl>
    <w:lvl w:ilvl="8" w:tplc="EE7CB04E">
      <w:start w:val="1"/>
      <w:numFmt w:val="bullet"/>
      <w:lvlText w:val=""/>
      <w:lvlJc w:val="left"/>
      <w:pPr>
        <w:ind w:left="6480" w:hanging="360"/>
      </w:pPr>
      <w:rPr>
        <w:rFonts w:ascii="Wingdings" w:hAnsi="Wingdings" w:hint="default"/>
      </w:rPr>
    </w:lvl>
  </w:abstractNum>
  <w:abstractNum w:abstractNumId="49" w15:restartNumberingAfterBreak="0">
    <w:nsid w:val="1544779B"/>
    <w:multiLevelType w:val="hybridMultilevel"/>
    <w:tmpl w:val="79BA6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15AA5ABD"/>
    <w:multiLevelType w:val="multilevel"/>
    <w:tmpl w:val="8CF61A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16CE0019"/>
    <w:multiLevelType w:val="hybridMultilevel"/>
    <w:tmpl w:val="CFE03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16F209D6"/>
    <w:multiLevelType w:val="hybridMultilevel"/>
    <w:tmpl w:val="D6EA50C4"/>
    <w:lvl w:ilvl="0" w:tplc="09148082">
      <w:start w:val="1"/>
      <w:numFmt w:val="decimal"/>
      <w:pStyle w:val="Questionforconsultation"/>
      <w:lvlText w:val="Question %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17304C2A"/>
    <w:multiLevelType w:val="hybridMultilevel"/>
    <w:tmpl w:val="4A5282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17A07C4C"/>
    <w:multiLevelType w:val="hybridMultilevel"/>
    <w:tmpl w:val="8BF839BE"/>
    <w:lvl w:ilvl="0" w:tplc="8B4C6146">
      <w:start w:val="1"/>
      <w:numFmt w:val="decimal"/>
      <w:lvlText w:val="%1."/>
      <w:lvlJc w:val="left"/>
      <w:pPr>
        <w:ind w:left="720" w:hanging="360"/>
      </w:pPr>
    </w:lvl>
    <w:lvl w:ilvl="1" w:tplc="3A8EE824">
      <w:start w:val="1"/>
      <w:numFmt w:val="decimal"/>
      <w:lvlText w:val="%2."/>
      <w:lvlJc w:val="left"/>
      <w:pPr>
        <w:ind w:left="1440" w:hanging="360"/>
      </w:pPr>
    </w:lvl>
    <w:lvl w:ilvl="2" w:tplc="65027E7E">
      <w:start w:val="1"/>
      <w:numFmt w:val="lowerRoman"/>
      <w:lvlText w:val="%3."/>
      <w:lvlJc w:val="right"/>
      <w:pPr>
        <w:ind w:left="2160" w:hanging="180"/>
      </w:pPr>
    </w:lvl>
    <w:lvl w:ilvl="3" w:tplc="282EF780">
      <w:start w:val="1"/>
      <w:numFmt w:val="decimal"/>
      <w:lvlText w:val="%4."/>
      <w:lvlJc w:val="left"/>
      <w:pPr>
        <w:ind w:left="2880" w:hanging="360"/>
      </w:pPr>
    </w:lvl>
    <w:lvl w:ilvl="4" w:tplc="B0B0C428">
      <w:start w:val="1"/>
      <w:numFmt w:val="lowerLetter"/>
      <w:lvlText w:val="%5."/>
      <w:lvlJc w:val="left"/>
      <w:pPr>
        <w:ind w:left="3600" w:hanging="360"/>
      </w:pPr>
    </w:lvl>
    <w:lvl w:ilvl="5" w:tplc="E5C8CBD4">
      <w:start w:val="1"/>
      <w:numFmt w:val="lowerRoman"/>
      <w:lvlText w:val="%6."/>
      <w:lvlJc w:val="right"/>
      <w:pPr>
        <w:ind w:left="4320" w:hanging="180"/>
      </w:pPr>
    </w:lvl>
    <w:lvl w:ilvl="6" w:tplc="0D90C03A">
      <w:start w:val="1"/>
      <w:numFmt w:val="decimal"/>
      <w:lvlText w:val="%7."/>
      <w:lvlJc w:val="left"/>
      <w:pPr>
        <w:ind w:left="5040" w:hanging="360"/>
      </w:pPr>
    </w:lvl>
    <w:lvl w:ilvl="7" w:tplc="FE8846FE">
      <w:start w:val="1"/>
      <w:numFmt w:val="lowerLetter"/>
      <w:lvlText w:val="%8."/>
      <w:lvlJc w:val="left"/>
      <w:pPr>
        <w:ind w:left="5760" w:hanging="360"/>
      </w:pPr>
    </w:lvl>
    <w:lvl w:ilvl="8" w:tplc="0D62DFB4">
      <w:start w:val="1"/>
      <w:numFmt w:val="lowerRoman"/>
      <w:lvlText w:val="%9."/>
      <w:lvlJc w:val="right"/>
      <w:pPr>
        <w:ind w:left="6480" w:hanging="180"/>
      </w:pPr>
    </w:lvl>
  </w:abstractNum>
  <w:abstractNum w:abstractNumId="55" w15:restartNumberingAfterBreak="0">
    <w:nsid w:val="17F4167A"/>
    <w:multiLevelType w:val="hybridMultilevel"/>
    <w:tmpl w:val="FFFFFFFF"/>
    <w:lvl w:ilvl="0" w:tplc="D3806AA2">
      <w:start w:val="1"/>
      <w:numFmt w:val="bullet"/>
      <w:lvlText w:val="-"/>
      <w:lvlJc w:val="left"/>
      <w:pPr>
        <w:ind w:left="720" w:hanging="360"/>
      </w:pPr>
      <w:rPr>
        <w:rFonts w:ascii="Calibri" w:hAnsi="Calibri" w:hint="default"/>
      </w:rPr>
    </w:lvl>
    <w:lvl w:ilvl="1" w:tplc="2C38E9DE">
      <w:start w:val="1"/>
      <w:numFmt w:val="bullet"/>
      <w:lvlText w:val="o"/>
      <w:lvlJc w:val="left"/>
      <w:pPr>
        <w:ind w:left="1440" w:hanging="360"/>
      </w:pPr>
      <w:rPr>
        <w:rFonts w:ascii="Courier New" w:hAnsi="Courier New" w:hint="default"/>
      </w:rPr>
    </w:lvl>
    <w:lvl w:ilvl="2" w:tplc="8E8C2270">
      <w:start w:val="1"/>
      <w:numFmt w:val="bullet"/>
      <w:lvlText w:val=""/>
      <w:lvlJc w:val="left"/>
      <w:pPr>
        <w:ind w:left="2160" w:hanging="360"/>
      </w:pPr>
      <w:rPr>
        <w:rFonts w:ascii="Wingdings" w:hAnsi="Wingdings" w:hint="default"/>
      </w:rPr>
    </w:lvl>
    <w:lvl w:ilvl="3" w:tplc="74BE373A">
      <w:start w:val="1"/>
      <w:numFmt w:val="bullet"/>
      <w:lvlText w:val=""/>
      <w:lvlJc w:val="left"/>
      <w:pPr>
        <w:ind w:left="2880" w:hanging="360"/>
      </w:pPr>
      <w:rPr>
        <w:rFonts w:ascii="Symbol" w:hAnsi="Symbol" w:hint="default"/>
      </w:rPr>
    </w:lvl>
    <w:lvl w:ilvl="4" w:tplc="FEEA031E">
      <w:start w:val="1"/>
      <w:numFmt w:val="bullet"/>
      <w:lvlText w:val="o"/>
      <w:lvlJc w:val="left"/>
      <w:pPr>
        <w:ind w:left="3600" w:hanging="360"/>
      </w:pPr>
      <w:rPr>
        <w:rFonts w:ascii="Courier New" w:hAnsi="Courier New" w:hint="default"/>
      </w:rPr>
    </w:lvl>
    <w:lvl w:ilvl="5" w:tplc="EA682F4C">
      <w:start w:val="1"/>
      <w:numFmt w:val="bullet"/>
      <w:lvlText w:val=""/>
      <w:lvlJc w:val="left"/>
      <w:pPr>
        <w:ind w:left="4320" w:hanging="360"/>
      </w:pPr>
      <w:rPr>
        <w:rFonts w:ascii="Wingdings" w:hAnsi="Wingdings" w:hint="default"/>
      </w:rPr>
    </w:lvl>
    <w:lvl w:ilvl="6" w:tplc="EDBCE59C">
      <w:start w:val="1"/>
      <w:numFmt w:val="bullet"/>
      <w:lvlText w:val=""/>
      <w:lvlJc w:val="left"/>
      <w:pPr>
        <w:ind w:left="5040" w:hanging="360"/>
      </w:pPr>
      <w:rPr>
        <w:rFonts w:ascii="Symbol" w:hAnsi="Symbol" w:hint="default"/>
      </w:rPr>
    </w:lvl>
    <w:lvl w:ilvl="7" w:tplc="28C8E89A">
      <w:start w:val="1"/>
      <w:numFmt w:val="bullet"/>
      <w:lvlText w:val="o"/>
      <w:lvlJc w:val="left"/>
      <w:pPr>
        <w:ind w:left="5760" w:hanging="360"/>
      </w:pPr>
      <w:rPr>
        <w:rFonts w:ascii="Courier New" w:hAnsi="Courier New" w:hint="default"/>
      </w:rPr>
    </w:lvl>
    <w:lvl w:ilvl="8" w:tplc="1CC032C8">
      <w:start w:val="1"/>
      <w:numFmt w:val="bullet"/>
      <w:lvlText w:val=""/>
      <w:lvlJc w:val="left"/>
      <w:pPr>
        <w:ind w:left="6480" w:hanging="360"/>
      </w:pPr>
      <w:rPr>
        <w:rFonts w:ascii="Wingdings" w:hAnsi="Wingdings" w:hint="default"/>
      </w:rPr>
    </w:lvl>
  </w:abstractNum>
  <w:abstractNum w:abstractNumId="56" w15:restartNumberingAfterBreak="0">
    <w:nsid w:val="17FF360B"/>
    <w:multiLevelType w:val="hybridMultilevel"/>
    <w:tmpl w:val="DEEA391C"/>
    <w:lvl w:ilvl="0" w:tplc="69BE2396">
      <w:start w:val="1"/>
      <w:numFmt w:val="decimal"/>
      <w:lvlText w:val="%1."/>
      <w:lvlJc w:val="left"/>
      <w:pPr>
        <w:ind w:left="720" w:hanging="360"/>
      </w:pPr>
    </w:lvl>
    <w:lvl w:ilvl="1" w:tplc="7D50F472">
      <w:start w:val="1"/>
      <w:numFmt w:val="lowerLetter"/>
      <w:lvlText w:val="%2."/>
      <w:lvlJc w:val="left"/>
      <w:pPr>
        <w:ind w:left="1440" w:hanging="360"/>
      </w:pPr>
    </w:lvl>
    <w:lvl w:ilvl="2" w:tplc="6B04F864">
      <w:start w:val="1"/>
      <w:numFmt w:val="lowerRoman"/>
      <w:lvlText w:val="%3."/>
      <w:lvlJc w:val="right"/>
      <w:pPr>
        <w:ind w:left="2160" w:hanging="180"/>
      </w:pPr>
    </w:lvl>
    <w:lvl w:ilvl="3" w:tplc="B73877EE">
      <w:start w:val="1"/>
      <w:numFmt w:val="decimal"/>
      <w:lvlText w:val="%4."/>
      <w:lvlJc w:val="left"/>
      <w:pPr>
        <w:ind w:left="2880" w:hanging="360"/>
      </w:pPr>
    </w:lvl>
    <w:lvl w:ilvl="4" w:tplc="6B3426E6">
      <w:start w:val="1"/>
      <w:numFmt w:val="lowerLetter"/>
      <w:lvlText w:val="%5."/>
      <w:lvlJc w:val="left"/>
      <w:pPr>
        <w:ind w:left="3600" w:hanging="360"/>
      </w:pPr>
    </w:lvl>
    <w:lvl w:ilvl="5" w:tplc="BC988446">
      <w:start w:val="1"/>
      <w:numFmt w:val="lowerRoman"/>
      <w:lvlText w:val="%6."/>
      <w:lvlJc w:val="right"/>
      <w:pPr>
        <w:ind w:left="4320" w:hanging="180"/>
      </w:pPr>
    </w:lvl>
    <w:lvl w:ilvl="6" w:tplc="02B66C00">
      <w:start w:val="1"/>
      <w:numFmt w:val="decimal"/>
      <w:lvlText w:val="%7."/>
      <w:lvlJc w:val="left"/>
      <w:pPr>
        <w:ind w:left="5040" w:hanging="360"/>
      </w:pPr>
    </w:lvl>
    <w:lvl w:ilvl="7" w:tplc="9398CC78">
      <w:start w:val="1"/>
      <w:numFmt w:val="lowerLetter"/>
      <w:lvlText w:val="%8."/>
      <w:lvlJc w:val="left"/>
      <w:pPr>
        <w:ind w:left="5760" w:hanging="360"/>
      </w:pPr>
    </w:lvl>
    <w:lvl w:ilvl="8" w:tplc="8EBC3454">
      <w:start w:val="1"/>
      <w:numFmt w:val="lowerRoman"/>
      <w:lvlText w:val="%9."/>
      <w:lvlJc w:val="right"/>
      <w:pPr>
        <w:ind w:left="6480" w:hanging="180"/>
      </w:pPr>
    </w:lvl>
  </w:abstractNum>
  <w:abstractNum w:abstractNumId="57" w15:restartNumberingAfterBreak="0">
    <w:nsid w:val="183612E9"/>
    <w:multiLevelType w:val="hybridMultilevel"/>
    <w:tmpl w:val="315A93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1AF56781"/>
    <w:multiLevelType w:val="hybridMultilevel"/>
    <w:tmpl w:val="D88025B6"/>
    <w:lvl w:ilvl="0" w:tplc="FFFFFFFF">
      <w:start w:val="1"/>
      <w:numFmt w:val="lowerRoman"/>
      <w:pStyle w:val="InstructionsText2"/>
      <w:lvlText w:val="(%1)"/>
      <w:lvlJc w:val="left"/>
      <w:pPr>
        <w:ind w:left="753" w:hanging="720"/>
      </w:pPr>
    </w:lvl>
    <w:lvl w:ilvl="1" w:tplc="08090019" w:tentative="1">
      <w:start w:val="1"/>
      <w:numFmt w:val="lowerLetter"/>
      <w:lvlText w:val="%2."/>
      <w:lvlJc w:val="left"/>
      <w:pPr>
        <w:ind w:left="1113" w:hanging="360"/>
      </w:pPr>
    </w:lvl>
    <w:lvl w:ilvl="2" w:tplc="0809001B" w:tentative="1">
      <w:start w:val="1"/>
      <w:numFmt w:val="lowerRoman"/>
      <w:lvlText w:val="%3."/>
      <w:lvlJc w:val="right"/>
      <w:pPr>
        <w:ind w:left="1833" w:hanging="180"/>
      </w:pPr>
    </w:lvl>
    <w:lvl w:ilvl="3" w:tplc="0809000F" w:tentative="1">
      <w:start w:val="1"/>
      <w:numFmt w:val="decimal"/>
      <w:lvlText w:val="%4."/>
      <w:lvlJc w:val="left"/>
      <w:pPr>
        <w:ind w:left="2553" w:hanging="360"/>
      </w:pPr>
    </w:lvl>
    <w:lvl w:ilvl="4" w:tplc="08090019" w:tentative="1">
      <w:start w:val="1"/>
      <w:numFmt w:val="lowerLetter"/>
      <w:lvlText w:val="%5."/>
      <w:lvlJc w:val="left"/>
      <w:pPr>
        <w:ind w:left="3273" w:hanging="360"/>
      </w:pPr>
    </w:lvl>
    <w:lvl w:ilvl="5" w:tplc="0809001B" w:tentative="1">
      <w:start w:val="1"/>
      <w:numFmt w:val="lowerRoman"/>
      <w:lvlText w:val="%6."/>
      <w:lvlJc w:val="right"/>
      <w:pPr>
        <w:ind w:left="3993" w:hanging="180"/>
      </w:pPr>
    </w:lvl>
    <w:lvl w:ilvl="6" w:tplc="0809000F" w:tentative="1">
      <w:start w:val="1"/>
      <w:numFmt w:val="decimal"/>
      <w:lvlText w:val="%7."/>
      <w:lvlJc w:val="left"/>
      <w:pPr>
        <w:ind w:left="4713" w:hanging="360"/>
      </w:pPr>
    </w:lvl>
    <w:lvl w:ilvl="7" w:tplc="08090019" w:tentative="1">
      <w:start w:val="1"/>
      <w:numFmt w:val="lowerLetter"/>
      <w:lvlText w:val="%8."/>
      <w:lvlJc w:val="left"/>
      <w:pPr>
        <w:ind w:left="5433" w:hanging="360"/>
      </w:pPr>
    </w:lvl>
    <w:lvl w:ilvl="8" w:tplc="0809001B" w:tentative="1">
      <w:start w:val="1"/>
      <w:numFmt w:val="lowerRoman"/>
      <w:lvlText w:val="%9."/>
      <w:lvlJc w:val="right"/>
      <w:pPr>
        <w:ind w:left="6153" w:hanging="180"/>
      </w:pPr>
    </w:lvl>
  </w:abstractNum>
  <w:abstractNum w:abstractNumId="59"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60" w15:restartNumberingAfterBreak="0">
    <w:nsid w:val="1B3E3FF6"/>
    <w:multiLevelType w:val="hybridMultilevel"/>
    <w:tmpl w:val="1FDA6F06"/>
    <w:lvl w:ilvl="0" w:tplc="08090001">
      <w:start w:val="1"/>
      <w:numFmt w:val="bullet"/>
      <w:lvlText w:val=""/>
      <w:lvlJc w:val="left"/>
      <w:pPr>
        <w:ind w:left="1428" w:hanging="360"/>
      </w:pPr>
      <w:rPr>
        <w:rFonts w:ascii="Symbol" w:hAnsi="Symbol" w:hint="default"/>
      </w:rPr>
    </w:lvl>
    <w:lvl w:ilvl="1" w:tplc="08090001">
      <w:start w:val="1"/>
      <w:numFmt w:val="bullet"/>
      <w:lvlText w:val=""/>
      <w:lvlJc w:val="left"/>
      <w:pPr>
        <w:ind w:left="2148" w:hanging="360"/>
      </w:pPr>
      <w:rPr>
        <w:rFonts w:ascii="Symbol" w:hAnsi="Symbol"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61" w15:restartNumberingAfterBreak="0">
    <w:nsid w:val="1BAB3364"/>
    <w:multiLevelType w:val="hybridMultilevel"/>
    <w:tmpl w:val="8AF6975A"/>
    <w:lvl w:ilvl="0" w:tplc="CCD23C1A">
      <w:start w:val="1"/>
      <w:numFmt w:val="bullet"/>
      <w:lvlText w:val="-"/>
      <w:lvlJc w:val="left"/>
      <w:pPr>
        <w:ind w:left="805" w:hanging="360"/>
      </w:pPr>
      <w:rPr>
        <w:rFonts w:ascii="Cambria" w:eastAsia="Cambria" w:hAnsi="Cambria" w:cs="Cambria" w:hint="default"/>
      </w:rPr>
    </w:lvl>
    <w:lvl w:ilvl="1" w:tplc="08160003" w:tentative="1">
      <w:start w:val="1"/>
      <w:numFmt w:val="bullet"/>
      <w:lvlText w:val="o"/>
      <w:lvlJc w:val="left"/>
      <w:pPr>
        <w:ind w:left="1525" w:hanging="360"/>
      </w:pPr>
      <w:rPr>
        <w:rFonts w:ascii="Courier New" w:hAnsi="Courier New" w:cs="Courier New" w:hint="default"/>
      </w:rPr>
    </w:lvl>
    <w:lvl w:ilvl="2" w:tplc="08160005" w:tentative="1">
      <w:start w:val="1"/>
      <w:numFmt w:val="bullet"/>
      <w:lvlText w:val=""/>
      <w:lvlJc w:val="left"/>
      <w:pPr>
        <w:ind w:left="2245" w:hanging="360"/>
      </w:pPr>
      <w:rPr>
        <w:rFonts w:ascii="Wingdings" w:hAnsi="Wingdings" w:hint="default"/>
      </w:rPr>
    </w:lvl>
    <w:lvl w:ilvl="3" w:tplc="08160001" w:tentative="1">
      <w:start w:val="1"/>
      <w:numFmt w:val="bullet"/>
      <w:lvlText w:val=""/>
      <w:lvlJc w:val="left"/>
      <w:pPr>
        <w:ind w:left="2965" w:hanging="360"/>
      </w:pPr>
      <w:rPr>
        <w:rFonts w:ascii="Symbol" w:hAnsi="Symbol" w:hint="default"/>
      </w:rPr>
    </w:lvl>
    <w:lvl w:ilvl="4" w:tplc="08160003" w:tentative="1">
      <w:start w:val="1"/>
      <w:numFmt w:val="bullet"/>
      <w:lvlText w:val="o"/>
      <w:lvlJc w:val="left"/>
      <w:pPr>
        <w:ind w:left="3685" w:hanging="360"/>
      </w:pPr>
      <w:rPr>
        <w:rFonts w:ascii="Courier New" w:hAnsi="Courier New" w:cs="Courier New" w:hint="default"/>
      </w:rPr>
    </w:lvl>
    <w:lvl w:ilvl="5" w:tplc="08160005" w:tentative="1">
      <w:start w:val="1"/>
      <w:numFmt w:val="bullet"/>
      <w:lvlText w:val=""/>
      <w:lvlJc w:val="left"/>
      <w:pPr>
        <w:ind w:left="4405" w:hanging="360"/>
      </w:pPr>
      <w:rPr>
        <w:rFonts w:ascii="Wingdings" w:hAnsi="Wingdings" w:hint="default"/>
      </w:rPr>
    </w:lvl>
    <w:lvl w:ilvl="6" w:tplc="08160001" w:tentative="1">
      <w:start w:val="1"/>
      <w:numFmt w:val="bullet"/>
      <w:lvlText w:val=""/>
      <w:lvlJc w:val="left"/>
      <w:pPr>
        <w:ind w:left="5125" w:hanging="360"/>
      </w:pPr>
      <w:rPr>
        <w:rFonts w:ascii="Symbol" w:hAnsi="Symbol" w:hint="default"/>
      </w:rPr>
    </w:lvl>
    <w:lvl w:ilvl="7" w:tplc="08160003" w:tentative="1">
      <w:start w:val="1"/>
      <w:numFmt w:val="bullet"/>
      <w:lvlText w:val="o"/>
      <w:lvlJc w:val="left"/>
      <w:pPr>
        <w:ind w:left="5845" w:hanging="360"/>
      </w:pPr>
      <w:rPr>
        <w:rFonts w:ascii="Courier New" w:hAnsi="Courier New" w:cs="Courier New" w:hint="default"/>
      </w:rPr>
    </w:lvl>
    <w:lvl w:ilvl="8" w:tplc="08160005" w:tentative="1">
      <w:start w:val="1"/>
      <w:numFmt w:val="bullet"/>
      <w:lvlText w:val=""/>
      <w:lvlJc w:val="left"/>
      <w:pPr>
        <w:ind w:left="6565" w:hanging="360"/>
      </w:pPr>
      <w:rPr>
        <w:rFonts w:ascii="Wingdings" w:hAnsi="Wingdings" w:hint="default"/>
      </w:rPr>
    </w:lvl>
  </w:abstractNum>
  <w:abstractNum w:abstractNumId="62" w15:restartNumberingAfterBreak="0">
    <w:nsid w:val="1BE549C5"/>
    <w:multiLevelType w:val="hybridMultilevel"/>
    <w:tmpl w:val="A8C62022"/>
    <w:lvl w:ilvl="0" w:tplc="F842C1E4">
      <w:start w:val="1"/>
      <w:numFmt w:val="lowerRoman"/>
      <w:lvlText w:val="(%1)"/>
      <w:lvlJc w:val="left"/>
      <w:pPr>
        <w:ind w:left="753" w:hanging="720"/>
      </w:pPr>
      <w:rPr>
        <w:rFonts w:ascii="Times New Roman" w:eastAsia="Times New Roman" w:hAnsi="Times New Roman" w:cs="Times New Roman"/>
      </w:rPr>
    </w:lvl>
    <w:lvl w:ilvl="1" w:tplc="08090019" w:tentative="1">
      <w:start w:val="1"/>
      <w:numFmt w:val="lowerLetter"/>
      <w:lvlText w:val="%2."/>
      <w:lvlJc w:val="left"/>
      <w:pPr>
        <w:ind w:left="1113" w:hanging="360"/>
      </w:pPr>
    </w:lvl>
    <w:lvl w:ilvl="2" w:tplc="0809001B" w:tentative="1">
      <w:start w:val="1"/>
      <w:numFmt w:val="lowerRoman"/>
      <w:lvlText w:val="%3."/>
      <w:lvlJc w:val="right"/>
      <w:pPr>
        <w:ind w:left="1833" w:hanging="180"/>
      </w:pPr>
    </w:lvl>
    <w:lvl w:ilvl="3" w:tplc="0809000F" w:tentative="1">
      <w:start w:val="1"/>
      <w:numFmt w:val="decimal"/>
      <w:lvlText w:val="%4."/>
      <w:lvlJc w:val="left"/>
      <w:pPr>
        <w:ind w:left="2553" w:hanging="360"/>
      </w:pPr>
    </w:lvl>
    <w:lvl w:ilvl="4" w:tplc="08090019" w:tentative="1">
      <w:start w:val="1"/>
      <w:numFmt w:val="lowerLetter"/>
      <w:lvlText w:val="%5."/>
      <w:lvlJc w:val="left"/>
      <w:pPr>
        <w:ind w:left="3273" w:hanging="360"/>
      </w:pPr>
    </w:lvl>
    <w:lvl w:ilvl="5" w:tplc="0809001B" w:tentative="1">
      <w:start w:val="1"/>
      <w:numFmt w:val="lowerRoman"/>
      <w:lvlText w:val="%6."/>
      <w:lvlJc w:val="right"/>
      <w:pPr>
        <w:ind w:left="3993" w:hanging="180"/>
      </w:pPr>
    </w:lvl>
    <w:lvl w:ilvl="6" w:tplc="0809000F" w:tentative="1">
      <w:start w:val="1"/>
      <w:numFmt w:val="decimal"/>
      <w:lvlText w:val="%7."/>
      <w:lvlJc w:val="left"/>
      <w:pPr>
        <w:ind w:left="4713" w:hanging="360"/>
      </w:pPr>
    </w:lvl>
    <w:lvl w:ilvl="7" w:tplc="08090019" w:tentative="1">
      <w:start w:val="1"/>
      <w:numFmt w:val="lowerLetter"/>
      <w:lvlText w:val="%8."/>
      <w:lvlJc w:val="left"/>
      <w:pPr>
        <w:ind w:left="5433" w:hanging="360"/>
      </w:pPr>
    </w:lvl>
    <w:lvl w:ilvl="8" w:tplc="0809001B" w:tentative="1">
      <w:start w:val="1"/>
      <w:numFmt w:val="lowerRoman"/>
      <w:lvlText w:val="%9."/>
      <w:lvlJc w:val="right"/>
      <w:pPr>
        <w:ind w:left="6153" w:hanging="180"/>
      </w:pPr>
    </w:lvl>
  </w:abstractNum>
  <w:abstractNum w:abstractNumId="63" w15:restartNumberingAfterBreak="0">
    <w:nsid w:val="1BFF31B6"/>
    <w:multiLevelType w:val="hybridMultilevel"/>
    <w:tmpl w:val="8E98E74A"/>
    <w:lvl w:ilvl="0" w:tplc="ACAA8B04">
      <w:start w:val="1"/>
      <w:numFmt w:val="decimal"/>
      <w:lvlText w:val="%1."/>
      <w:lvlJc w:val="left"/>
      <w:pPr>
        <w:ind w:left="720" w:hanging="360"/>
      </w:pPr>
    </w:lvl>
    <w:lvl w:ilvl="1" w:tplc="7D22FFB8">
      <w:start w:val="1"/>
      <w:numFmt w:val="lowerLetter"/>
      <w:lvlText w:val="%2."/>
      <w:lvlJc w:val="left"/>
      <w:pPr>
        <w:ind w:left="1440" w:hanging="360"/>
      </w:pPr>
    </w:lvl>
    <w:lvl w:ilvl="2" w:tplc="CA26D2FE">
      <w:start w:val="1"/>
      <w:numFmt w:val="lowerRoman"/>
      <w:lvlText w:val="%3."/>
      <w:lvlJc w:val="right"/>
      <w:pPr>
        <w:ind w:left="2160" w:hanging="180"/>
      </w:pPr>
    </w:lvl>
    <w:lvl w:ilvl="3" w:tplc="D1C4FD32">
      <w:start w:val="1"/>
      <w:numFmt w:val="decimal"/>
      <w:lvlText w:val="%4."/>
      <w:lvlJc w:val="left"/>
      <w:pPr>
        <w:ind w:left="2880" w:hanging="360"/>
      </w:pPr>
    </w:lvl>
    <w:lvl w:ilvl="4" w:tplc="0818E144">
      <w:start w:val="1"/>
      <w:numFmt w:val="lowerLetter"/>
      <w:lvlText w:val="%5."/>
      <w:lvlJc w:val="left"/>
      <w:pPr>
        <w:ind w:left="3600" w:hanging="360"/>
      </w:pPr>
    </w:lvl>
    <w:lvl w:ilvl="5" w:tplc="85768914">
      <w:start w:val="1"/>
      <w:numFmt w:val="lowerRoman"/>
      <w:lvlText w:val="%6."/>
      <w:lvlJc w:val="right"/>
      <w:pPr>
        <w:ind w:left="4320" w:hanging="180"/>
      </w:pPr>
    </w:lvl>
    <w:lvl w:ilvl="6" w:tplc="67DE0CFC">
      <w:start w:val="1"/>
      <w:numFmt w:val="decimal"/>
      <w:lvlText w:val="%7."/>
      <w:lvlJc w:val="left"/>
      <w:pPr>
        <w:ind w:left="5040" w:hanging="360"/>
      </w:pPr>
    </w:lvl>
    <w:lvl w:ilvl="7" w:tplc="6D086C82">
      <w:start w:val="1"/>
      <w:numFmt w:val="lowerLetter"/>
      <w:lvlText w:val="%8."/>
      <w:lvlJc w:val="left"/>
      <w:pPr>
        <w:ind w:left="5760" w:hanging="360"/>
      </w:pPr>
    </w:lvl>
    <w:lvl w:ilvl="8" w:tplc="487896A2">
      <w:start w:val="1"/>
      <w:numFmt w:val="lowerRoman"/>
      <w:lvlText w:val="%9."/>
      <w:lvlJc w:val="right"/>
      <w:pPr>
        <w:ind w:left="6480" w:hanging="180"/>
      </w:pPr>
    </w:lvl>
  </w:abstractNum>
  <w:abstractNum w:abstractNumId="64" w15:restartNumberingAfterBreak="0">
    <w:nsid w:val="1CA64CB3"/>
    <w:multiLevelType w:val="hybridMultilevel"/>
    <w:tmpl w:val="7BC0F8E2"/>
    <w:lvl w:ilvl="0" w:tplc="7B92F31A">
      <w:start w:val="1"/>
      <w:numFmt w:val="decimal"/>
      <w:lvlText w:val="%1."/>
      <w:lvlJc w:val="left"/>
      <w:pPr>
        <w:ind w:left="720" w:hanging="360"/>
      </w:pPr>
    </w:lvl>
    <w:lvl w:ilvl="1" w:tplc="EFBCC210">
      <w:start w:val="1"/>
      <w:numFmt w:val="lowerLetter"/>
      <w:lvlText w:val="%2."/>
      <w:lvlJc w:val="left"/>
      <w:pPr>
        <w:ind w:left="1440" w:hanging="360"/>
      </w:pPr>
    </w:lvl>
    <w:lvl w:ilvl="2" w:tplc="804C4D70">
      <w:start w:val="1"/>
      <w:numFmt w:val="lowerRoman"/>
      <w:lvlText w:val="%3."/>
      <w:lvlJc w:val="right"/>
      <w:pPr>
        <w:ind w:left="2160" w:hanging="180"/>
      </w:pPr>
    </w:lvl>
    <w:lvl w:ilvl="3" w:tplc="49F25176">
      <w:start w:val="1"/>
      <w:numFmt w:val="decimal"/>
      <w:lvlText w:val="%4."/>
      <w:lvlJc w:val="left"/>
      <w:pPr>
        <w:ind w:left="2880" w:hanging="360"/>
      </w:pPr>
    </w:lvl>
    <w:lvl w:ilvl="4" w:tplc="73D425A8">
      <w:start w:val="1"/>
      <w:numFmt w:val="lowerLetter"/>
      <w:lvlText w:val="%5."/>
      <w:lvlJc w:val="left"/>
      <w:pPr>
        <w:ind w:left="3600" w:hanging="360"/>
      </w:pPr>
    </w:lvl>
    <w:lvl w:ilvl="5" w:tplc="19F07CAE">
      <w:start w:val="1"/>
      <w:numFmt w:val="lowerRoman"/>
      <w:lvlText w:val="%6."/>
      <w:lvlJc w:val="right"/>
      <w:pPr>
        <w:ind w:left="4320" w:hanging="180"/>
      </w:pPr>
    </w:lvl>
    <w:lvl w:ilvl="6" w:tplc="B796AD18">
      <w:start w:val="1"/>
      <w:numFmt w:val="decimal"/>
      <w:lvlText w:val="%7."/>
      <w:lvlJc w:val="left"/>
      <w:pPr>
        <w:ind w:left="5040" w:hanging="360"/>
      </w:pPr>
    </w:lvl>
    <w:lvl w:ilvl="7" w:tplc="ED36B972">
      <w:start w:val="1"/>
      <w:numFmt w:val="lowerLetter"/>
      <w:lvlText w:val="%8."/>
      <w:lvlJc w:val="left"/>
      <w:pPr>
        <w:ind w:left="5760" w:hanging="360"/>
      </w:pPr>
    </w:lvl>
    <w:lvl w:ilvl="8" w:tplc="03CE765A">
      <w:start w:val="1"/>
      <w:numFmt w:val="lowerRoman"/>
      <w:lvlText w:val="%9."/>
      <w:lvlJc w:val="right"/>
      <w:pPr>
        <w:ind w:left="6480" w:hanging="180"/>
      </w:pPr>
    </w:lvl>
  </w:abstractNum>
  <w:abstractNum w:abstractNumId="65" w15:restartNumberingAfterBreak="0">
    <w:nsid w:val="1CFE6D45"/>
    <w:multiLevelType w:val="hybridMultilevel"/>
    <w:tmpl w:val="6444E81E"/>
    <w:lvl w:ilvl="0" w:tplc="AAE463B2">
      <w:start w:val="1"/>
      <w:numFmt w:val="decimal"/>
      <w:lvlText w:val="%1)"/>
      <w:lvlJc w:val="left"/>
      <w:pPr>
        <w:ind w:left="180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1D8F2BF3"/>
    <w:multiLevelType w:val="hybridMultilevel"/>
    <w:tmpl w:val="94E49D02"/>
    <w:lvl w:ilvl="0" w:tplc="CE9CC8B6">
      <w:start w:val="2"/>
      <w:numFmt w:val="bullet"/>
      <w:lvlText w:val="-"/>
      <w:lvlJc w:val="left"/>
      <w:pPr>
        <w:ind w:left="720" w:hanging="360"/>
      </w:pPr>
      <w:rPr>
        <w:rFonts w:ascii="Verdana" w:eastAsia="Calibri"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1DDB15C1"/>
    <w:multiLevelType w:val="hybridMultilevel"/>
    <w:tmpl w:val="A38E0354"/>
    <w:lvl w:ilvl="0" w:tplc="9CE80BD4">
      <w:start w:val="1"/>
      <w:numFmt w:val="decimal"/>
      <w:lvlText w:val="%1."/>
      <w:lvlJc w:val="left"/>
      <w:pPr>
        <w:ind w:left="530" w:hanging="44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 w15:restartNumberingAfterBreak="0">
    <w:nsid w:val="1ECC3D9B"/>
    <w:multiLevelType w:val="hybridMultilevel"/>
    <w:tmpl w:val="2ABCD738"/>
    <w:lvl w:ilvl="0" w:tplc="08090001">
      <w:start w:val="1"/>
      <w:numFmt w:val="bullet"/>
      <w:lvlText w:val=""/>
      <w:lvlJc w:val="left"/>
      <w:pPr>
        <w:ind w:left="360" w:hanging="360"/>
      </w:pPr>
      <w:rPr>
        <w:rFonts w:ascii="Symbol" w:hAnsi="Symbol" w:hint="default"/>
        <w:spacing w:val="0"/>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9" w15:restartNumberingAfterBreak="0">
    <w:nsid w:val="1FA53043"/>
    <w:multiLevelType w:val="hybridMultilevel"/>
    <w:tmpl w:val="FFFFFFFF"/>
    <w:lvl w:ilvl="0" w:tplc="56A0BC4A">
      <w:start w:val="1"/>
      <w:numFmt w:val="bullet"/>
      <w:lvlText w:val=""/>
      <w:lvlJc w:val="left"/>
      <w:pPr>
        <w:ind w:left="720" w:hanging="360"/>
      </w:pPr>
      <w:rPr>
        <w:rFonts w:ascii="Symbol" w:hAnsi="Symbol" w:hint="default"/>
      </w:rPr>
    </w:lvl>
    <w:lvl w:ilvl="1" w:tplc="F4BC5EE6">
      <w:start w:val="1"/>
      <w:numFmt w:val="bullet"/>
      <w:lvlText w:val="o"/>
      <w:lvlJc w:val="left"/>
      <w:pPr>
        <w:ind w:left="1440" w:hanging="360"/>
      </w:pPr>
      <w:rPr>
        <w:rFonts w:ascii="Courier New" w:hAnsi="Courier New" w:hint="default"/>
      </w:rPr>
    </w:lvl>
    <w:lvl w:ilvl="2" w:tplc="19506C50">
      <w:start w:val="1"/>
      <w:numFmt w:val="bullet"/>
      <w:lvlText w:val=""/>
      <w:lvlJc w:val="left"/>
      <w:pPr>
        <w:ind w:left="2160" w:hanging="360"/>
      </w:pPr>
      <w:rPr>
        <w:rFonts w:ascii="Wingdings" w:hAnsi="Wingdings" w:hint="default"/>
      </w:rPr>
    </w:lvl>
    <w:lvl w:ilvl="3" w:tplc="AE7A31B6">
      <w:start w:val="1"/>
      <w:numFmt w:val="bullet"/>
      <w:lvlText w:val=""/>
      <w:lvlJc w:val="left"/>
      <w:pPr>
        <w:ind w:left="2880" w:hanging="360"/>
      </w:pPr>
      <w:rPr>
        <w:rFonts w:ascii="Symbol" w:hAnsi="Symbol" w:hint="default"/>
      </w:rPr>
    </w:lvl>
    <w:lvl w:ilvl="4" w:tplc="9BF0E318">
      <w:start w:val="1"/>
      <w:numFmt w:val="bullet"/>
      <w:lvlText w:val="o"/>
      <w:lvlJc w:val="left"/>
      <w:pPr>
        <w:ind w:left="3600" w:hanging="360"/>
      </w:pPr>
      <w:rPr>
        <w:rFonts w:ascii="Courier New" w:hAnsi="Courier New" w:hint="default"/>
      </w:rPr>
    </w:lvl>
    <w:lvl w:ilvl="5" w:tplc="8F9A732E">
      <w:start w:val="1"/>
      <w:numFmt w:val="bullet"/>
      <w:lvlText w:val=""/>
      <w:lvlJc w:val="left"/>
      <w:pPr>
        <w:ind w:left="4320" w:hanging="360"/>
      </w:pPr>
      <w:rPr>
        <w:rFonts w:ascii="Wingdings" w:hAnsi="Wingdings" w:hint="default"/>
      </w:rPr>
    </w:lvl>
    <w:lvl w:ilvl="6" w:tplc="490A6A3A">
      <w:start w:val="1"/>
      <w:numFmt w:val="bullet"/>
      <w:lvlText w:val=""/>
      <w:lvlJc w:val="left"/>
      <w:pPr>
        <w:ind w:left="5040" w:hanging="360"/>
      </w:pPr>
      <w:rPr>
        <w:rFonts w:ascii="Symbol" w:hAnsi="Symbol" w:hint="default"/>
      </w:rPr>
    </w:lvl>
    <w:lvl w:ilvl="7" w:tplc="D0389B26">
      <w:start w:val="1"/>
      <w:numFmt w:val="bullet"/>
      <w:lvlText w:val="o"/>
      <w:lvlJc w:val="left"/>
      <w:pPr>
        <w:ind w:left="5760" w:hanging="360"/>
      </w:pPr>
      <w:rPr>
        <w:rFonts w:ascii="Courier New" w:hAnsi="Courier New" w:hint="default"/>
      </w:rPr>
    </w:lvl>
    <w:lvl w:ilvl="8" w:tplc="9C7E2CE8">
      <w:start w:val="1"/>
      <w:numFmt w:val="bullet"/>
      <w:lvlText w:val=""/>
      <w:lvlJc w:val="left"/>
      <w:pPr>
        <w:ind w:left="6480" w:hanging="360"/>
      </w:pPr>
      <w:rPr>
        <w:rFonts w:ascii="Wingdings" w:hAnsi="Wingdings" w:hint="default"/>
      </w:rPr>
    </w:lvl>
  </w:abstractNum>
  <w:abstractNum w:abstractNumId="70" w15:restartNumberingAfterBreak="0">
    <w:nsid w:val="205F03D1"/>
    <w:multiLevelType w:val="hybridMultilevel"/>
    <w:tmpl w:val="2870CD60"/>
    <w:lvl w:ilvl="0" w:tplc="D4EE6B84">
      <w:start w:val="1"/>
      <w:numFmt w:val="low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71" w15:restartNumberingAfterBreak="0">
    <w:nsid w:val="208707BC"/>
    <w:multiLevelType w:val="hybridMultilevel"/>
    <w:tmpl w:val="EB3CED82"/>
    <w:lvl w:ilvl="0" w:tplc="08090001">
      <w:start w:val="1"/>
      <w:numFmt w:val="bullet"/>
      <w:lvlText w:val=""/>
      <w:lvlJc w:val="left"/>
      <w:pPr>
        <w:ind w:left="1428" w:hanging="360"/>
      </w:pPr>
      <w:rPr>
        <w:rFonts w:ascii="Symbol" w:hAnsi="Symbol"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72" w15:restartNumberingAfterBreak="0">
    <w:nsid w:val="21015618"/>
    <w:multiLevelType w:val="hybridMultilevel"/>
    <w:tmpl w:val="31C834D8"/>
    <w:lvl w:ilvl="0" w:tplc="0816000F">
      <w:start w:val="1"/>
      <w:numFmt w:val="decimal"/>
      <w:lvlText w:val="%1."/>
      <w:lvlJc w:val="left"/>
      <w:pPr>
        <w:ind w:left="753" w:hanging="360"/>
      </w:pPr>
    </w:lvl>
    <w:lvl w:ilvl="1" w:tplc="08160019" w:tentative="1">
      <w:start w:val="1"/>
      <w:numFmt w:val="lowerLetter"/>
      <w:lvlText w:val="%2."/>
      <w:lvlJc w:val="left"/>
      <w:pPr>
        <w:ind w:left="1473" w:hanging="360"/>
      </w:pPr>
    </w:lvl>
    <w:lvl w:ilvl="2" w:tplc="0816001B" w:tentative="1">
      <w:start w:val="1"/>
      <w:numFmt w:val="lowerRoman"/>
      <w:lvlText w:val="%3."/>
      <w:lvlJc w:val="right"/>
      <w:pPr>
        <w:ind w:left="2193" w:hanging="180"/>
      </w:pPr>
    </w:lvl>
    <w:lvl w:ilvl="3" w:tplc="0816000F" w:tentative="1">
      <w:start w:val="1"/>
      <w:numFmt w:val="decimal"/>
      <w:lvlText w:val="%4."/>
      <w:lvlJc w:val="left"/>
      <w:pPr>
        <w:ind w:left="2913" w:hanging="360"/>
      </w:pPr>
    </w:lvl>
    <w:lvl w:ilvl="4" w:tplc="08160019" w:tentative="1">
      <w:start w:val="1"/>
      <w:numFmt w:val="lowerLetter"/>
      <w:lvlText w:val="%5."/>
      <w:lvlJc w:val="left"/>
      <w:pPr>
        <w:ind w:left="3633" w:hanging="360"/>
      </w:pPr>
    </w:lvl>
    <w:lvl w:ilvl="5" w:tplc="0816001B" w:tentative="1">
      <w:start w:val="1"/>
      <w:numFmt w:val="lowerRoman"/>
      <w:lvlText w:val="%6."/>
      <w:lvlJc w:val="right"/>
      <w:pPr>
        <w:ind w:left="4353" w:hanging="180"/>
      </w:pPr>
    </w:lvl>
    <w:lvl w:ilvl="6" w:tplc="0816000F" w:tentative="1">
      <w:start w:val="1"/>
      <w:numFmt w:val="decimal"/>
      <w:lvlText w:val="%7."/>
      <w:lvlJc w:val="left"/>
      <w:pPr>
        <w:ind w:left="5073" w:hanging="360"/>
      </w:pPr>
    </w:lvl>
    <w:lvl w:ilvl="7" w:tplc="08160019" w:tentative="1">
      <w:start w:val="1"/>
      <w:numFmt w:val="lowerLetter"/>
      <w:lvlText w:val="%8."/>
      <w:lvlJc w:val="left"/>
      <w:pPr>
        <w:ind w:left="5793" w:hanging="360"/>
      </w:pPr>
    </w:lvl>
    <w:lvl w:ilvl="8" w:tplc="0816001B" w:tentative="1">
      <w:start w:val="1"/>
      <w:numFmt w:val="lowerRoman"/>
      <w:lvlText w:val="%9."/>
      <w:lvlJc w:val="right"/>
      <w:pPr>
        <w:ind w:left="6513" w:hanging="180"/>
      </w:pPr>
    </w:lvl>
  </w:abstractNum>
  <w:abstractNum w:abstractNumId="73" w15:restartNumberingAfterBreak="0">
    <w:nsid w:val="215867C5"/>
    <w:multiLevelType w:val="hybridMultilevel"/>
    <w:tmpl w:val="FFFFFFFF"/>
    <w:lvl w:ilvl="0" w:tplc="66D0D3FC">
      <w:start w:val="1"/>
      <w:numFmt w:val="bullet"/>
      <w:lvlText w:val="·"/>
      <w:lvlJc w:val="left"/>
      <w:pPr>
        <w:ind w:left="720" w:hanging="360"/>
      </w:pPr>
      <w:rPr>
        <w:rFonts w:ascii="Symbol" w:hAnsi="Symbol" w:hint="default"/>
      </w:rPr>
    </w:lvl>
    <w:lvl w:ilvl="1" w:tplc="E33649CA">
      <w:start w:val="1"/>
      <w:numFmt w:val="bullet"/>
      <w:lvlText w:val="o"/>
      <w:lvlJc w:val="left"/>
      <w:pPr>
        <w:ind w:left="1440" w:hanging="360"/>
      </w:pPr>
      <w:rPr>
        <w:rFonts w:ascii="Courier New" w:hAnsi="Courier New" w:hint="default"/>
      </w:rPr>
    </w:lvl>
    <w:lvl w:ilvl="2" w:tplc="1E589404">
      <w:start w:val="1"/>
      <w:numFmt w:val="bullet"/>
      <w:lvlText w:val=""/>
      <w:lvlJc w:val="left"/>
      <w:pPr>
        <w:ind w:left="2160" w:hanging="360"/>
      </w:pPr>
      <w:rPr>
        <w:rFonts w:ascii="Wingdings" w:hAnsi="Wingdings" w:hint="default"/>
      </w:rPr>
    </w:lvl>
    <w:lvl w:ilvl="3" w:tplc="F2B238AE">
      <w:start w:val="1"/>
      <w:numFmt w:val="bullet"/>
      <w:lvlText w:val=""/>
      <w:lvlJc w:val="left"/>
      <w:pPr>
        <w:ind w:left="2880" w:hanging="360"/>
      </w:pPr>
      <w:rPr>
        <w:rFonts w:ascii="Symbol" w:hAnsi="Symbol" w:hint="default"/>
      </w:rPr>
    </w:lvl>
    <w:lvl w:ilvl="4" w:tplc="DBF02F08">
      <w:start w:val="1"/>
      <w:numFmt w:val="bullet"/>
      <w:lvlText w:val="o"/>
      <w:lvlJc w:val="left"/>
      <w:pPr>
        <w:ind w:left="3600" w:hanging="360"/>
      </w:pPr>
      <w:rPr>
        <w:rFonts w:ascii="Courier New" w:hAnsi="Courier New" w:hint="default"/>
      </w:rPr>
    </w:lvl>
    <w:lvl w:ilvl="5" w:tplc="AEDA5C72">
      <w:start w:val="1"/>
      <w:numFmt w:val="bullet"/>
      <w:lvlText w:val=""/>
      <w:lvlJc w:val="left"/>
      <w:pPr>
        <w:ind w:left="4320" w:hanging="360"/>
      </w:pPr>
      <w:rPr>
        <w:rFonts w:ascii="Wingdings" w:hAnsi="Wingdings" w:hint="default"/>
      </w:rPr>
    </w:lvl>
    <w:lvl w:ilvl="6" w:tplc="19B20A8A">
      <w:start w:val="1"/>
      <w:numFmt w:val="bullet"/>
      <w:lvlText w:val=""/>
      <w:lvlJc w:val="left"/>
      <w:pPr>
        <w:ind w:left="5040" w:hanging="360"/>
      </w:pPr>
      <w:rPr>
        <w:rFonts w:ascii="Symbol" w:hAnsi="Symbol" w:hint="default"/>
      </w:rPr>
    </w:lvl>
    <w:lvl w:ilvl="7" w:tplc="A1A6D11C">
      <w:start w:val="1"/>
      <w:numFmt w:val="bullet"/>
      <w:lvlText w:val="o"/>
      <w:lvlJc w:val="left"/>
      <w:pPr>
        <w:ind w:left="5760" w:hanging="360"/>
      </w:pPr>
      <w:rPr>
        <w:rFonts w:ascii="Courier New" w:hAnsi="Courier New" w:hint="default"/>
      </w:rPr>
    </w:lvl>
    <w:lvl w:ilvl="8" w:tplc="B1E29A3E">
      <w:start w:val="1"/>
      <w:numFmt w:val="bullet"/>
      <w:lvlText w:val=""/>
      <w:lvlJc w:val="left"/>
      <w:pPr>
        <w:ind w:left="6480" w:hanging="360"/>
      </w:pPr>
      <w:rPr>
        <w:rFonts w:ascii="Wingdings" w:hAnsi="Wingdings" w:hint="default"/>
      </w:rPr>
    </w:lvl>
  </w:abstractNum>
  <w:abstractNum w:abstractNumId="74" w15:restartNumberingAfterBreak="0">
    <w:nsid w:val="21DB0054"/>
    <w:multiLevelType w:val="hybridMultilevel"/>
    <w:tmpl w:val="FFFFFFFF"/>
    <w:lvl w:ilvl="0" w:tplc="7B38B750">
      <w:start w:val="1"/>
      <w:numFmt w:val="bullet"/>
      <w:lvlText w:val=""/>
      <w:lvlJc w:val="left"/>
      <w:pPr>
        <w:ind w:left="720" w:hanging="360"/>
      </w:pPr>
      <w:rPr>
        <w:rFonts w:ascii="Symbol" w:hAnsi="Symbol" w:hint="default"/>
      </w:rPr>
    </w:lvl>
    <w:lvl w:ilvl="1" w:tplc="0FCE9EFC">
      <w:start w:val="1"/>
      <w:numFmt w:val="bullet"/>
      <w:lvlText w:val="o"/>
      <w:lvlJc w:val="left"/>
      <w:pPr>
        <w:ind w:left="1440" w:hanging="360"/>
      </w:pPr>
      <w:rPr>
        <w:rFonts w:ascii="Courier New" w:hAnsi="Courier New" w:hint="default"/>
      </w:rPr>
    </w:lvl>
    <w:lvl w:ilvl="2" w:tplc="97A4EB06">
      <w:start w:val="1"/>
      <w:numFmt w:val="bullet"/>
      <w:lvlText w:val=""/>
      <w:lvlJc w:val="left"/>
      <w:pPr>
        <w:ind w:left="2160" w:hanging="360"/>
      </w:pPr>
      <w:rPr>
        <w:rFonts w:ascii="Wingdings" w:hAnsi="Wingdings" w:hint="default"/>
      </w:rPr>
    </w:lvl>
    <w:lvl w:ilvl="3" w:tplc="FD740D12">
      <w:start w:val="1"/>
      <w:numFmt w:val="bullet"/>
      <w:lvlText w:val=""/>
      <w:lvlJc w:val="left"/>
      <w:pPr>
        <w:ind w:left="2880" w:hanging="360"/>
      </w:pPr>
      <w:rPr>
        <w:rFonts w:ascii="Symbol" w:hAnsi="Symbol" w:hint="default"/>
      </w:rPr>
    </w:lvl>
    <w:lvl w:ilvl="4" w:tplc="CC847C96">
      <w:start w:val="1"/>
      <w:numFmt w:val="bullet"/>
      <w:lvlText w:val="o"/>
      <w:lvlJc w:val="left"/>
      <w:pPr>
        <w:ind w:left="3600" w:hanging="360"/>
      </w:pPr>
      <w:rPr>
        <w:rFonts w:ascii="Courier New" w:hAnsi="Courier New" w:hint="default"/>
      </w:rPr>
    </w:lvl>
    <w:lvl w:ilvl="5" w:tplc="1396E672">
      <w:start w:val="1"/>
      <w:numFmt w:val="bullet"/>
      <w:lvlText w:val=""/>
      <w:lvlJc w:val="left"/>
      <w:pPr>
        <w:ind w:left="4320" w:hanging="360"/>
      </w:pPr>
      <w:rPr>
        <w:rFonts w:ascii="Wingdings" w:hAnsi="Wingdings" w:hint="default"/>
      </w:rPr>
    </w:lvl>
    <w:lvl w:ilvl="6" w:tplc="56A68A46">
      <w:start w:val="1"/>
      <w:numFmt w:val="bullet"/>
      <w:lvlText w:val=""/>
      <w:lvlJc w:val="left"/>
      <w:pPr>
        <w:ind w:left="5040" w:hanging="360"/>
      </w:pPr>
      <w:rPr>
        <w:rFonts w:ascii="Symbol" w:hAnsi="Symbol" w:hint="default"/>
      </w:rPr>
    </w:lvl>
    <w:lvl w:ilvl="7" w:tplc="06321E22">
      <w:start w:val="1"/>
      <w:numFmt w:val="bullet"/>
      <w:lvlText w:val="o"/>
      <w:lvlJc w:val="left"/>
      <w:pPr>
        <w:ind w:left="5760" w:hanging="360"/>
      </w:pPr>
      <w:rPr>
        <w:rFonts w:ascii="Courier New" w:hAnsi="Courier New" w:hint="default"/>
      </w:rPr>
    </w:lvl>
    <w:lvl w:ilvl="8" w:tplc="67907B4C">
      <w:start w:val="1"/>
      <w:numFmt w:val="bullet"/>
      <w:lvlText w:val=""/>
      <w:lvlJc w:val="left"/>
      <w:pPr>
        <w:ind w:left="6480" w:hanging="360"/>
      </w:pPr>
      <w:rPr>
        <w:rFonts w:ascii="Wingdings" w:hAnsi="Wingdings" w:hint="default"/>
      </w:rPr>
    </w:lvl>
  </w:abstractNum>
  <w:abstractNum w:abstractNumId="75" w15:restartNumberingAfterBreak="0">
    <w:nsid w:val="21DB0685"/>
    <w:multiLevelType w:val="hybridMultilevel"/>
    <w:tmpl w:val="A6F22872"/>
    <w:lvl w:ilvl="0" w:tplc="FC5863EC">
      <w:start w:val="1"/>
      <w:numFmt w:val="bullet"/>
      <w:lvlText w:val="·"/>
      <w:lvlJc w:val="left"/>
      <w:pPr>
        <w:ind w:left="720" w:hanging="360"/>
      </w:pPr>
    </w:lvl>
    <w:lvl w:ilvl="1" w:tplc="F452AEC6">
      <w:start w:val="1"/>
      <w:numFmt w:val="decimal"/>
      <w:lvlText w:val="%2."/>
      <w:lvlJc w:val="left"/>
      <w:pPr>
        <w:ind w:left="1440" w:hanging="360"/>
      </w:pPr>
    </w:lvl>
    <w:lvl w:ilvl="2" w:tplc="6C66208E">
      <w:start w:val="1"/>
      <w:numFmt w:val="lowerRoman"/>
      <w:lvlText w:val="%3."/>
      <w:lvlJc w:val="right"/>
      <w:pPr>
        <w:ind w:left="2160" w:hanging="180"/>
      </w:pPr>
    </w:lvl>
    <w:lvl w:ilvl="3" w:tplc="5BB47052">
      <w:start w:val="1"/>
      <w:numFmt w:val="decimal"/>
      <w:lvlText w:val="%4."/>
      <w:lvlJc w:val="left"/>
      <w:pPr>
        <w:ind w:left="2880" w:hanging="360"/>
      </w:pPr>
    </w:lvl>
    <w:lvl w:ilvl="4" w:tplc="6C94D770">
      <w:start w:val="1"/>
      <w:numFmt w:val="lowerLetter"/>
      <w:lvlText w:val="%5."/>
      <w:lvlJc w:val="left"/>
      <w:pPr>
        <w:ind w:left="3600" w:hanging="360"/>
      </w:pPr>
    </w:lvl>
    <w:lvl w:ilvl="5" w:tplc="A642BA68">
      <w:start w:val="1"/>
      <w:numFmt w:val="lowerRoman"/>
      <w:lvlText w:val="%6."/>
      <w:lvlJc w:val="right"/>
      <w:pPr>
        <w:ind w:left="4320" w:hanging="180"/>
      </w:pPr>
    </w:lvl>
    <w:lvl w:ilvl="6" w:tplc="B3707128">
      <w:start w:val="1"/>
      <w:numFmt w:val="decimal"/>
      <w:lvlText w:val="%7."/>
      <w:lvlJc w:val="left"/>
      <w:pPr>
        <w:ind w:left="5040" w:hanging="360"/>
      </w:pPr>
    </w:lvl>
    <w:lvl w:ilvl="7" w:tplc="772A0D4A">
      <w:start w:val="1"/>
      <w:numFmt w:val="lowerLetter"/>
      <w:lvlText w:val="%8."/>
      <w:lvlJc w:val="left"/>
      <w:pPr>
        <w:ind w:left="5760" w:hanging="360"/>
      </w:pPr>
    </w:lvl>
    <w:lvl w:ilvl="8" w:tplc="4AD2EEA8">
      <w:start w:val="1"/>
      <w:numFmt w:val="lowerRoman"/>
      <w:lvlText w:val="%9."/>
      <w:lvlJc w:val="right"/>
      <w:pPr>
        <w:ind w:left="6480" w:hanging="180"/>
      </w:pPr>
    </w:lvl>
  </w:abstractNum>
  <w:abstractNum w:abstractNumId="76" w15:restartNumberingAfterBreak="0">
    <w:nsid w:val="23506EBB"/>
    <w:multiLevelType w:val="hybridMultilevel"/>
    <w:tmpl w:val="40127586"/>
    <w:lvl w:ilvl="0" w:tplc="08160011">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77" w15:restartNumberingAfterBreak="0">
    <w:nsid w:val="24CD765C"/>
    <w:multiLevelType w:val="hybridMultilevel"/>
    <w:tmpl w:val="6444E81E"/>
    <w:lvl w:ilvl="0" w:tplc="AAE463B2">
      <w:start w:val="1"/>
      <w:numFmt w:val="decimal"/>
      <w:lvlText w:val="%1)"/>
      <w:lvlJc w:val="left"/>
      <w:pPr>
        <w:ind w:left="180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8" w15:restartNumberingAfterBreak="0">
    <w:nsid w:val="24D41CE6"/>
    <w:multiLevelType w:val="hybridMultilevel"/>
    <w:tmpl w:val="A3E65116"/>
    <w:lvl w:ilvl="0" w:tplc="08090001">
      <w:start w:val="1"/>
      <w:numFmt w:val="bullet"/>
      <w:lvlText w:val=""/>
      <w:lvlJc w:val="left"/>
      <w:pPr>
        <w:ind w:left="805" w:hanging="360"/>
      </w:pPr>
      <w:rPr>
        <w:rFonts w:ascii="Symbol" w:hAnsi="Symbol" w:hint="default"/>
      </w:rPr>
    </w:lvl>
    <w:lvl w:ilvl="1" w:tplc="08090003" w:tentative="1">
      <w:start w:val="1"/>
      <w:numFmt w:val="bullet"/>
      <w:lvlText w:val="o"/>
      <w:lvlJc w:val="left"/>
      <w:pPr>
        <w:ind w:left="1525" w:hanging="360"/>
      </w:pPr>
      <w:rPr>
        <w:rFonts w:ascii="Courier New" w:hAnsi="Courier New" w:cs="Courier New" w:hint="default"/>
      </w:rPr>
    </w:lvl>
    <w:lvl w:ilvl="2" w:tplc="08090005" w:tentative="1">
      <w:start w:val="1"/>
      <w:numFmt w:val="bullet"/>
      <w:lvlText w:val=""/>
      <w:lvlJc w:val="left"/>
      <w:pPr>
        <w:ind w:left="2245" w:hanging="360"/>
      </w:pPr>
      <w:rPr>
        <w:rFonts w:ascii="Wingdings" w:hAnsi="Wingdings" w:hint="default"/>
      </w:rPr>
    </w:lvl>
    <w:lvl w:ilvl="3" w:tplc="08090001" w:tentative="1">
      <w:start w:val="1"/>
      <w:numFmt w:val="bullet"/>
      <w:lvlText w:val=""/>
      <w:lvlJc w:val="left"/>
      <w:pPr>
        <w:ind w:left="2965" w:hanging="360"/>
      </w:pPr>
      <w:rPr>
        <w:rFonts w:ascii="Symbol" w:hAnsi="Symbol" w:hint="default"/>
      </w:rPr>
    </w:lvl>
    <w:lvl w:ilvl="4" w:tplc="08090003" w:tentative="1">
      <w:start w:val="1"/>
      <w:numFmt w:val="bullet"/>
      <w:lvlText w:val="o"/>
      <w:lvlJc w:val="left"/>
      <w:pPr>
        <w:ind w:left="3685" w:hanging="360"/>
      </w:pPr>
      <w:rPr>
        <w:rFonts w:ascii="Courier New" w:hAnsi="Courier New" w:cs="Courier New" w:hint="default"/>
      </w:rPr>
    </w:lvl>
    <w:lvl w:ilvl="5" w:tplc="08090005" w:tentative="1">
      <w:start w:val="1"/>
      <w:numFmt w:val="bullet"/>
      <w:lvlText w:val=""/>
      <w:lvlJc w:val="left"/>
      <w:pPr>
        <w:ind w:left="4405" w:hanging="360"/>
      </w:pPr>
      <w:rPr>
        <w:rFonts w:ascii="Wingdings" w:hAnsi="Wingdings" w:hint="default"/>
      </w:rPr>
    </w:lvl>
    <w:lvl w:ilvl="6" w:tplc="08090001" w:tentative="1">
      <w:start w:val="1"/>
      <w:numFmt w:val="bullet"/>
      <w:lvlText w:val=""/>
      <w:lvlJc w:val="left"/>
      <w:pPr>
        <w:ind w:left="5125" w:hanging="360"/>
      </w:pPr>
      <w:rPr>
        <w:rFonts w:ascii="Symbol" w:hAnsi="Symbol" w:hint="default"/>
      </w:rPr>
    </w:lvl>
    <w:lvl w:ilvl="7" w:tplc="08090003" w:tentative="1">
      <w:start w:val="1"/>
      <w:numFmt w:val="bullet"/>
      <w:lvlText w:val="o"/>
      <w:lvlJc w:val="left"/>
      <w:pPr>
        <w:ind w:left="5845" w:hanging="360"/>
      </w:pPr>
      <w:rPr>
        <w:rFonts w:ascii="Courier New" w:hAnsi="Courier New" w:cs="Courier New" w:hint="default"/>
      </w:rPr>
    </w:lvl>
    <w:lvl w:ilvl="8" w:tplc="08090005" w:tentative="1">
      <w:start w:val="1"/>
      <w:numFmt w:val="bullet"/>
      <w:lvlText w:val=""/>
      <w:lvlJc w:val="left"/>
      <w:pPr>
        <w:ind w:left="6565" w:hanging="360"/>
      </w:pPr>
      <w:rPr>
        <w:rFonts w:ascii="Wingdings" w:hAnsi="Wingdings" w:hint="default"/>
      </w:rPr>
    </w:lvl>
  </w:abstractNum>
  <w:abstractNum w:abstractNumId="79" w15:restartNumberingAfterBreak="0">
    <w:nsid w:val="24F57D5B"/>
    <w:multiLevelType w:val="hybridMultilevel"/>
    <w:tmpl w:val="FFFFFFFF"/>
    <w:lvl w:ilvl="0" w:tplc="DEE460C8">
      <w:start w:val="1"/>
      <w:numFmt w:val="bullet"/>
      <w:lvlText w:val=""/>
      <w:lvlJc w:val="left"/>
      <w:pPr>
        <w:ind w:left="360" w:hanging="360"/>
      </w:pPr>
      <w:rPr>
        <w:rFonts w:ascii="Symbol" w:hAnsi="Symbol" w:hint="default"/>
      </w:rPr>
    </w:lvl>
    <w:lvl w:ilvl="1" w:tplc="63F40C56">
      <w:start w:val="1"/>
      <w:numFmt w:val="bullet"/>
      <w:lvlText w:val="o"/>
      <w:lvlJc w:val="left"/>
      <w:pPr>
        <w:ind w:left="1080" w:hanging="360"/>
      </w:pPr>
      <w:rPr>
        <w:rFonts w:ascii="Courier New" w:hAnsi="Courier New" w:hint="default"/>
      </w:rPr>
    </w:lvl>
    <w:lvl w:ilvl="2" w:tplc="916AF322">
      <w:start w:val="1"/>
      <w:numFmt w:val="bullet"/>
      <w:lvlText w:val=""/>
      <w:lvlJc w:val="left"/>
      <w:pPr>
        <w:ind w:left="1800" w:hanging="360"/>
      </w:pPr>
      <w:rPr>
        <w:rFonts w:ascii="Wingdings" w:hAnsi="Wingdings" w:hint="default"/>
      </w:rPr>
    </w:lvl>
    <w:lvl w:ilvl="3" w:tplc="FC0E65A8">
      <w:start w:val="1"/>
      <w:numFmt w:val="bullet"/>
      <w:lvlText w:val=""/>
      <w:lvlJc w:val="left"/>
      <w:pPr>
        <w:ind w:left="2520" w:hanging="360"/>
      </w:pPr>
      <w:rPr>
        <w:rFonts w:ascii="Symbol" w:hAnsi="Symbol" w:hint="default"/>
      </w:rPr>
    </w:lvl>
    <w:lvl w:ilvl="4" w:tplc="60FACDA0">
      <w:start w:val="1"/>
      <w:numFmt w:val="bullet"/>
      <w:lvlText w:val="o"/>
      <w:lvlJc w:val="left"/>
      <w:pPr>
        <w:ind w:left="3240" w:hanging="360"/>
      </w:pPr>
      <w:rPr>
        <w:rFonts w:ascii="Courier New" w:hAnsi="Courier New" w:hint="default"/>
      </w:rPr>
    </w:lvl>
    <w:lvl w:ilvl="5" w:tplc="0A7455AA">
      <w:start w:val="1"/>
      <w:numFmt w:val="bullet"/>
      <w:lvlText w:val=""/>
      <w:lvlJc w:val="left"/>
      <w:pPr>
        <w:ind w:left="3960" w:hanging="360"/>
      </w:pPr>
      <w:rPr>
        <w:rFonts w:ascii="Wingdings" w:hAnsi="Wingdings" w:hint="default"/>
      </w:rPr>
    </w:lvl>
    <w:lvl w:ilvl="6" w:tplc="C92E9124">
      <w:start w:val="1"/>
      <w:numFmt w:val="bullet"/>
      <w:lvlText w:val=""/>
      <w:lvlJc w:val="left"/>
      <w:pPr>
        <w:ind w:left="4680" w:hanging="360"/>
      </w:pPr>
      <w:rPr>
        <w:rFonts w:ascii="Symbol" w:hAnsi="Symbol" w:hint="default"/>
      </w:rPr>
    </w:lvl>
    <w:lvl w:ilvl="7" w:tplc="8A66EACE">
      <w:start w:val="1"/>
      <w:numFmt w:val="bullet"/>
      <w:lvlText w:val="o"/>
      <w:lvlJc w:val="left"/>
      <w:pPr>
        <w:ind w:left="5400" w:hanging="360"/>
      </w:pPr>
      <w:rPr>
        <w:rFonts w:ascii="Courier New" w:hAnsi="Courier New" w:hint="default"/>
      </w:rPr>
    </w:lvl>
    <w:lvl w:ilvl="8" w:tplc="970875C0">
      <w:start w:val="1"/>
      <w:numFmt w:val="bullet"/>
      <w:lvlText w:val=""/>
      <w:lvlJc w:val="left"/>
      <w:pPr>
        <w:ind w:left="6120" w:hanging="360"/>
      </w:pPr>
      <w:rPr>
        <w:rFonts w:ascii="Wingdings" w:hAnsi="Wingdings" w:hint="default"/>
      </w:rPr>
    </w:lvl>
  </w:abstractNum>
  <w:abstractNum w:abstractNumId="80" w15:restartNumberingAfterBreak="0">
    <w:nsid w:val="257D546D"/>
    <w:multiLevelType w:val="hybridMultilevel"/>
    <w:tmpl w:val="6444E81E"/>
    <w:lvl w:ilvl="0" w:tplc="AAE463B2">
      <w:start w:val="1"/>
      <w:numFmt w:val="decimal"/>
      <w:lvlText w:val="%1)"/>
      <w:lvlJc w:val="left"/>
      <w:pPr>
        <w:ind w:left="180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1" w15:restartNumberingAfterBreak="0">
    <w:nsid w:val="26084AF9"/>
    <w:multiLevelType w:val="hybridMultilevel"/>
    <w:tmpl w:val="B5B6B6DA"/>
    <w:lvl w:ilvl="0" w:tplc="6304ED5E">
      <w:start w:val="1"/>
      <w:numFmt w:val="decimal"/>
      <w:lvlText w:val="(%1)"/>
      <w:lvlJc w:val="right"/>
      <w:pPr>
        <w:ind w:left="928" w:hanging="360"/>
      </w:pPr>
      <w:rPr>
        <w:rFonts w:hint="default"/>
      </w:rPr>
    </w:lvl>
    <w:lvl w:ilvl="1" w:tplc="08090019">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82" w15:restartNumberingAfterBreak="0">
    <w:nsid w:val="263E457A"/>
    <w:multiLevelType w:val="hybridMultilevel"/>
    <w:tmpl w:val="6444E81E"/>
    <w:lvl w:ilvl="0" w:tplc="AAE463B2">
      <w:start w:val="1"/>
      <w:numFmt w:val="decimal"/>
      <w:lvlText w:val="%1)"/>
      <w:lvlJc w:val="left"/>
      <w:pPr>
        <w:ind w:left="180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3" w15:restartNumberingAfterBreak="0">
    <w:nsid w:val="27302095"/>
    <w:multiLevelType w:val="hybridMultilevel"/>
    <w:tmpl w:val="6F22CD90"/>
    <w:lvl w:ilvl="0" w:tplc="B11C0F76">
      <w:start w:val="1"/>
      <w:numFmt w:val="bullet"/>
      <w:lvlText w:val=""/>
      <w:lvlJc w:val="left"/>
      <w:pPr>
        <w:ind w:left="360" w:hanging="360"/>
      </w:pPr>
      <w:rPr>
        <w:rFonts w:ascii="Symbol" w:hAnsi="Symbol" w:hint="default"/>
      </w:rPr>
    </w:lvl>
    <w:lvl w:ilvl="1" w:tplc="7F0086BC">
      <w:start w:val="1"/>
      <w:numFmt w:val="bullet"/>
      <w:lvlText w:val="o"/>
      <w:lvlJc w:val="left"/>
      <w:pPr>
        <w:ind w:left="1080" w:hanging="360"/>
      </w:pPr>
      <w:rPr>
        <w:rFonts w:ascii="Courier New" w:hAnsi="Courier New" w:hint="default"/>
      </w:rPr>
    </w:lvl>
    <w:lvl w:ilvl="2" w:tplc="5492EAF6">
      <w:start w:val="1"/>
      <w:numFmt w:val="bullet"/>
      <w:lvlText w:val=""/>
      <w:lvlJc w:val="left"/>
      <w:pPr>
        <w:ind w:left="1800" w:hanging="360"/>
      </w:pPr>
      <w:rPr>
        <w:rFonts w:ascii="Wingdings" w:hAnsi="Wingdings" w:hint="default"/>
      </w:rPr>
    </w:lvl>
    <w:lvl w:ilvl="3" w:tplc="A7C492FA">
      <w:start w:val="1"/>
      <w:numFmt w:val="bullet"/>
      <w:lvlText w:val=""/>
      <w:lvlJc w:val="left"/>
      <w:pPr>
        <w:ind w:left="2520" w:hanging="360"/>
      </w:pPr>
      <w:rPr>
        <w:rFonts w:ascii="Symbol" w:hAnsi="Symbol" w:hint="default"/>
      </w:rPr>
    </w:lvl>
    <w:lvl w:ilvl="4" w:tplc="E800CCD4">
      <w:start w:val="1"/>
      <w:numFmt w:val="bullet"/>
      <w:lvlText w:val="o"/>
      <w:lvlJc w:val="left"/>
      <w:pPr>
        <w:ind w:left="3240" w:hanging="360"/>
      </w:pPr>
      <w:rPr>
        <w:rFonts w:ascii="Courier New" w:hAnsi="Courier New" w:hint="default"/>
      </w:rPr>
    </w:lvl>
    <w:lvl w:ilvl="5" w:tplc="9E746E8A">
      <w:start w:val="1"/>
      <w:numFmt w:val="bullet"/>
      <w:lvlText w:val=""/>
      <w:lvlJc w:val="left"/>
      <w:pPr>
        <w:ind w:left="3960" w:hanging="360"/>
      </w:pPr>
      <w:rPr>
        <w:rFonts w:ascii="Wingdings" w:hAnsi="Wingdings" w:hint="default"/>
      </w:rPr>
    </w:lvl>
    <w:lvl w:ilvl="6" w:tplc="20CC8A42">
      <w:start w:val="1"/>
      <w:numFmt w:val="bullet"/>
      <w:lvlText w:val=""/>
      <w:lvlJc w:val="left"/>
      <w:pPr>
        <w:ind w:left="4680" w:hanging="360"/>
      </w:pPr>
      <w:rPr>
        <w:rFonts w:ascii="Symbol" w:hAnsi="Symbol" w:hint="default"/>
      </w:rPr>
    </w:lvl>
    <w:lvl w:ilvl="7" w:tplc="6E7E6B2A">
      <w:start w:val="1"/>
      <w:numFmt w:val="bullet"/>
      <w:lvlText w:val="o"/>
      <w:lvlJc w:val="left"/>
      <w:pPr>
        <w:ind w:left="5400" w:hanging="360"/>
      </w:pPr>
      <w:rPr>
        <w:rFonts w:ascii="Courier New" w:hAnsi="Courier New" w:hint="default"/>
      </w:rPr>
    </w:lvl>
    <w:lvl w:ilvl="8" w:tplc="CD04B684">
      <w:start w:val="1"/>
      <w:numFmt w:val="bullet"/>
      <w:lvlText w:val=""/>
      <w:lvlJc w:val="left"/>
      <w:pPr>
        <w:ind w:left="6120" w:hanging="360"/>
      </w:pPr>
      <w:rPr>
        <w:rFonts w:ascii="Wingdings" w:hAnsi="Wingdings" w:hint="default"/>
      </w:rPr>
    </w:lvl>
  </w:abstractNum>
  <w:abstractNum w:abstractNumId="84" w15:restartNumberingAfterBreak="0">
    <w:nsid w:val="28D94999"/>
    <w:multiLevelType w:val="hybridMultilevel"/>
    <w:tmpl w:val="FFFFFFFF"/>
    <w:lvl w:ilvl="0" w:tplc="6D2E19CE">
      <w:start w:val="1"/>
      <w:numFmt w:val="bullet"/>
      <w:lvlText w:val="·"/>
      <w:lvlJc w:val="left"/>
      <w:pPr>
        <w:ind w:left="720" w:hanging="360"/>
      </w:pPr>
      <w:rPr>
        <w:rFonts w:ascii="Symbol" w:hAnsi="Symbol" w:hint="default"/>
      </w:rPr>
    </w:lvl>
    <w:lvl w:ilvl="1" w:tplc="773A8C0E">
      <w:start w:val="1"/>
      <w:numFmt w:val="bullet"/>
      <w:lvlText w:val="o"/>
      <w:lvlJc w:val="left"/>
      <w:pPr>
        <w:ind w:left="1440" w:hanging="360"/>
      </w:pPr>
      <w:rPr>
        <w:rFonts w:ascii="Courier New" w:hAnsi="Courier New" w:hint="default"/>
      </w:rPr>
    </w:lvl>
    <w:lvl w:ilvl="2" w:tplc="9B22DB34">
      <w:start w:val="1"/>
      <w:numFmt w:val="bullet"/>
      <w:lvlText w:val=""/>
      <w:lvlJc w:val="left"/>
      <w:pPr>
        <w:ind w:left="2160" w:hanging="360"/>
      </w:pPr>
      <w:rPr>
        <w:rFonts w:ascii="Wingdings" w:hAnsi="Wingdings" w:hint="default"/>
      </w:rPr>
    </w:lvl>
    <w:lvl w:ilvl="3" w:tplc="1166C3EA">
      <w:start w:val="1"/>
      <w:numFmt w:val="bullet"/>
      <w:lvlText w:val=""/>
      <w:lvlJc w:val="left"/>
      <w:pPr>
        <w:ind w:left="2880" w:hanging="360"/>
      </w:pPr>
      <w:rPr>
        <w:rFonts w:ascii="Symbol" w:hAnsi="Symbol" w:hint="default"/>
      </w:rPr>
    </w:lvl>
    <w:lvl w:ilvl="4" w:tplc="9FECC55E">
      <w:start w:val="1"/>
      <w:numFmt w:val="bullet"/>
      <w:lvlText w:val="o"/>
      <w:lvlJc w:val="left"/>
      <w:pPr>
        <w:ind w:left="3600" w:hanging="360"/>
      </w:pPr>
      <w:rPr>
        <w:rFonts w:ascii="Courier New" w:hAnsi="Courier New" w:hint="default"/>
      </w:rPr>
    </w:lvl>
    <w:lvl w:ilvl="5" w:tplc="32A66B5E">
      <w:start w:val="1"/>
      <w:numFmt w:val="bullet"/>
      <w:lvlText w:val=""/>
      <w:lvlJc w:val="left"/>
      <w:pPr>
        <w:ind w:left="4320" w:hanging="360"/>
      </w:pPr>
      <w:rPr>
        <w:rFonts w:ascii="Wingdings" w:hAnsi="Wingdings" w:hint="default"/>
      </w:rPr>
    </w:lvl>
    <w:lvl w:ilvl="6" w:tplc="5E6268DC">
      <w:start w:val="1"/>
      <w:numFmt w:val="bullet"/>
      <w:lvlText w:val=""/>
      <w:lvlJc w:val="left"/>
      <w:pPr>
        <w:ind w:left="5040" w:hanging="360"/>
      </w:pPr>
      <w:rPr>
        <w:rFonts w:ascii="Symbol" w:hAnsi="Symbol" w:hint="default"/>
      </w:rPr>
    </w:lvl>
    <w:lvl w:ilvl="7" w:tplc="1C9AADCE">
      <w:start w:val="1"/>
      <w:numFmt w:val="bullet"/>
      <w:lvlText w:val="o"/>
      <w:lvlJc w:val="left"/>
      <w:pPr>
        <w:ind w:left="5760" w:hanging="360"/>
      </w:pPr>
      <w:rPr>
        <w:rFonts w:ascii="Courier New" w:hAnsi="Courier New" w:hint="default"/>
      </w:rPr>
    </w:lvl>
    <w:lvl w:ilvl="8" w:tplc="28E89DD2">
      <w:start w:val="1"/>
      <w:numFmt w:val="bullet"/>
      <w:lvlText w:val=""/>
      <w:lvlJc w:val="left"/>
      <w:pPr>
        <w:ind w:left="6480" w:hanging="360"/>
      </w:pPr>
      <w:rPr>
        <w:rFonts w:ascii="Wingdings" w:hAnsi="Wingdings" w:hint="default"/>
      </w:rPr>
    </w:lvl>
  </w:abstractNum>
  <w:abstractNum w:abstractNumId="85" w15:restartNumberingAfterBreak="0">
    <w:nsid w:val="29C077D9"/>
    <w:multiLevelType w:val="hybridMultilevel"/>
    <w:tmpl w:val="DB923068"/>
    <w:lvl w:ilvl="0" w:tplc="85CC68A2">
      <w:start w:val="52"/>
      <w:numFmt w:val="decimal"/>
      <w:lvlText w:val="%1."/>
      <w:lvlJc w:val="left"/>
      <w:pPr>
        <w:ind w:left="928" w:hanging="360"/>
      </w:pPr>
      <w:rPr>
        <w:rFonts w:hint="default"/>
        <w:strike w:val="0"/>
        <w:color w:val="0070C0"/>
      </w:rPr>
    </w:lvl>
    <w:lvl w:ilvl="1" w:tplc="08090019">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86" w15:restartNumberingAfterBreak="0">
    <w:nsid w:val="2A1529A7"/>
    <w:multiLevelType w:val="hybridMultilevel"/>
    <w:tmpl w:val="FFFFFFFF"/>
    <w:lvl w:ilvl="0" w:tplc="50C28FAA">
      <w:start w:val="1"/>
      <w:numFmt w:val="decimal"/>
      <w:lvlText w:val="%1."/>
      <w:lvlJc w:val="left"/>
      <w:pPr>
        <w:ind w:left="720" w:hanging="360"/>
      </w:pPr>
    </w:lvl>
    <w:lvl w:ilvl="1" w:tplc="13C84BD0">
      <w:start w:val="1"/>
      <w:numFmt w:val="lowerLetter"/>
      <w:lvlText w:val="%2."/>
      <w:lvlJc w:val="left"/>
      <w:pPr>
        <w:ind w:left="1440" w:hanging="360"/>
      </w:pPr>
    </w:lvl>
    <w:lvl w:ilvl="2" w:tplc="CF7ED2DE">
      <w:start w:val="1"/>
      <w:numFmt w:val="lowerRoman"/>
      <w:lvlText w:val="%3."/>
      <w:lvlJc w:val="right"/>
      <w:pPr>
        <w:ind w:left="2160" w:hanging="180"/>
      </w:pPr>
    </w:lvl>
    <w:lvl w:ilvl="3" w:tplc="330A7E6E">
      <w:start w:val="1"/>
      <w:numFmt w:val="decimal"/>
      <w:lvlText w:val="%4."/>
      <w:lvlJc w:val="left"/>
      <w:pPr>
        <w:ind w:left="2880" w:hanging="360"/>
      </w:pPr>
    </w:lvl>
    <w:lvl w:ilvl="4" w:tplc="9F1EAED2">
      <w:start w:val="1"/>
      <w:numFmt w:val="lowerLetter"/>
      <w:lvlText w:val="%5."/>
      <w:lvlJc w:val="left"/>
      <w:pPr>
        <w:ind w:left="3600" w:hanging="360"/>
      </w:pPr>
    </w:lvl>
    <w:lvl w:ilvl="5" w:tplc="3B00F04E">
      <w:start w:val="1"/>
      <w:numFmt w:val="lowerRoman"/>
      <w:lvlText w:val="%6."/>
      <w:lvlJc w:val="right"/>
      <w:pPr>
        <w:ind w:left="4320" w:hanging="180"/>
      </w:pPr>
    </w:lvl>
    <w:lvl w:ilvl="6" w:tplc="792ADCD8">
      <w:start w:val="1"/>
      <w:numFmt w:val="decimal"/>
      <w:lvlText w:val="%7."/>
      <w:lvlJc w:val="left"/>
      <w:pPr>
        <w:ind w:left="5040" w:hanging="360"/>
      </w:pPr>
    </w:lvl>
    <w:lvl w:ilvl="7" w:tplc="EC564EB4">
      <w:start w:val="1"/>
      <w:numFmt w:val="lowerLetter"/>
      <w:lvlText w:val="%8."/>
      <w:lvlJc w:val="left"/>
      <w:pPr>
        <w:ind w:left="5760" w:hanging="360"/>
      </w:pPr>
    </w:lvl>
    <w:lvl w:ilvl="8" w:tplc="DC183204">
      <w:start w:val="1"/>
      <w:numFmt w:val="lowerRoman"/>
      <w:lvlText w:val="%9."/>
      <w:lvlJc w:val="right"/>
      <w:pPr>
        <w:ind w:left="6480" w:hanging="180"/>
      </w:pPr>
    </w:lvl>
  </w:abstractNum>
  <w:abstractNum w:abstractNumId="87" w15:restartNumberingAfterBreak="0">
    <w:nsid w:val="2B2B3A92"/>
    <w:multiLevelType w:val="singleLevel"/>
    <w:tmpl w:val="73D64A0E"/>
    <w:name w:val="Considérant__1"/>
    <w:lvl w:ilvl="0">
      <w:numFmt w:val="decimal"/>
      <w:lvlRestart w:val="0"/>
      <w:pStyle w:val="Considrant"/>
      <w:lvlText w:val="(%1)"/>
      <w:lvlJc w:val="left"/>
    </w:lvl>
  </w:abstractNum>
  <w:abstractNum w:abstractNumId="88" w15:restartNumberingAfterBreak="0">
    <w:nsid w:val="2BF476F4"/>
    <w:multiLevelType w:val="hybridMultilevel"/>
    <w:tmpl w:val="FFFFFFFF"/>
    <w:lvl w:ilvl="0" w:tplc="74428578">
      <w:start w:val="1"/>
      <w:numFmt w:val="decimal"/>
      <w:lvlText w:val="%1."/>
      <w:lvlJc w:val="left"/>
      <w:pPr>
        <w:ind w:left="720" w:hanging="360"/>
      </w:pPr>
    </w:lvl>
    <w:lvl w:ilvl="1" w:tplc="D278D5AE">
      <w:start w:val="1"/>
      <w:numFmt w:val="decimal"/>
      <w:lvlText w:val="%2."/>
      <w:lvlJc w:val="left"/>
      <w:pPr>
        <w:ind w:left="1440" w:hanging="360"/>
      </w:pPr>
    </w:lvl>
    <w:lvl w:ilvl="2" w:tplc="232A8F0E">
      <w:start w:val="1"/>
      <w:numFmt w:val="lowerRoman"/>
      <w:lvlText w:val="%3."/>
      <w:lvlJc w:val="right"/>
      <w:pPr>
        <w:ind w:left="2160" w:hanging="180"/>
      </w:pPr>
    </w:lvl>
    <w:lvl w:ilvl="3" w:tplc="97CC083E">
      <w:start w:val="1"/>
      <w:numFmt w:val="decimal"/>
      <w:lvlText w:val="%4."/>
      <w:lvlJc w:val="left"/>
      <w:pPr>
        <w:ind w:left="2880" w:hanging="360"/>
      </w:pPr>
    </w:lvl>
    <w:lvl w:ilvl="4" w:tplc="8FA06958">
      <w:start w:val="1"/>
      <w:numFmt w:val="lowerLetter"/>
      <w:lvlText w:val="%5."/>
      <w:lvlJc w:val="left"/>
      <w:pPr>
        <w:ind w:left="3600" w:hanging="360"/>
      </w:pPr>
    </w:lvl>
    <w:lvl w:ilvl="5" w:tplc="EA567478">
      <w:start w:val="1"/>
      <w:numFmt w:val="lowerRoman"/>
      <w:lvlText w:val="%6."/>
      <w:lvlJc w:val="right"/>
      <w:pPr>
        <w:ind w:left="4320" w:hanging="180"/>
      </w:pPr>
    </w:lvl>
    <w:lvl w:ilvl="6" w:tplc="9E441F5A">
      <w:start w:val="1"/>
      <w:numFmt w:val="decimal"/>
      <w:lvlText w:val="%7."/>
      <w:lvlJc w:val="left"/>
      <w:pPr>
        <w:ind w:left="5040" w:hanging="360"/>
      </w:pPr>
    </w:lvl>
    <w:lvl w:ilvl="7" w:tplc="2E364518">
      <w:start w:val="1"/>
      <w:numFmt w:val="lowerLetter"/>
      <w:lvlText w:val="%8."/>
      <w:lvlJc w:val="left"/>
      <w:pPr>
        <w:ind w:left="5760" w:hanging="360"/>
      </w:pPr>
    </w:lvl>
    <w:lvl w:ilvl="8" w:tplc="3E2EC61E">
      <w:start w:val="1"/>
      <w:numFmt w:val="lowerRoman"/>
      <w:lvlText w:val="%9."/>
      <w:lvlJc w:val="right"/>
      <w:pPr>
        <w:ind w:left="6480" w:hanging="180"/>
      </w:pPr>
    </w:lvl>
  </w:abstractNum>
  <w:abstractNum w:abstractNumId="89" w15:restartNumberingAfterBreak="0">
    <w:nsid w:val="2BF9317B"/>
    <w:multiLevelType w:val="hybridMultilevel"/>
    <w:tmpl w:val="E4181FC4"/>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90" w15:restartNumberingAfterBreak="0">
    <w:nsid w:val="2C4805AA"/>
    <w:multiLevelType w:val="hybridMultilevel"/>
    <w:tmpl w:val="13BC886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1" w15:restartNumberingAfterBreak="0">
    <w:nsid w:val="2C5A278D"/>
    <w:multiLevelType w:val="hybridMultilevel"/>
    <w:tmpl w:val="DB923068"/>
    <w:lvl w:ilvl="0" w:tplc="85CC68A2">
      <w:start w:val="52"/>
      <w:numFmt w:val="decimal"/>
      <w:lvlText w:val="%1."/>
      <w:lvlJc w:val="left"/>
      <w:pPr>
        <w:ind w:left="928" w:hanging="360"/>
      </w:pPr>
      <w:rPr>
        <w:rFonts w:hint="default"/>
        <w:strike w:val="0"/>
        <w:color w:val="0070C0"/>
      </w:rPr>
    </w:lvl>
    <w:lvl w:ilvl="1" w:tplc="08090019">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92" w15:restartNumberingAfterBreak="0">
    <w:nsid w:val="2D0B464E"/>
    <w:multiLevelType w:val="multilevel"/>
    <w:tmpl w:val="D26C2EE4"/>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1.%3"/>
      <w:lvlJc w:val="left"/>
      <w:pPr>
        <w:ind w:left="720" w:hanging="432"/>
      </w:pPr>
      <w:rPr>
        <w:rFonts w:hint="default"/>
      </w:rPr>
    </w:lvl>
    <w:lvl w:ilvl="3">
      <w:start w:val="1"/>
      <w:numFmt w:val="lowerRoman"/>
      <w:pStyle w:val="Heading4"/>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93" w15:restartNumberingAfterBreak="0">
    <w:nsid w:val="2DB3766B"/>
    <w:multiLevelType w:val="hybridMultilevel"/>
    <w:tmpl w:val="97042486"/>
    <w:lvl w:ilvl="0" w:tplc="774C26FC">
      <w:start w:val="1"/>
      <w:numFmt w:val="bullet"/>
      <w:lvlText w:val=""/>
      <w:lvlJc w:val="left"/>
      <w:pPr>
        <w:ind w:left="720" w:hanging="360"/>
      </w:pPr>
      <w:rPr>
        <w:rFonts w:ascii="Symbol" w:hAnsi="Symbol" w:hint="default"/>
      </w:rPr>
    </w:lvl>
    <w:lvl w:ilvl="1" w:tplc="EB386178">
      <w:start w:val="1"/>
      <w:numFmt w:val="bullet"/>
      <w:lvlText w:val="o"/>
      <w:lvlJc w:val="left"/>
      <w:pPr>
        <w:ind w:left="1440" w:hanging="360"/>
      </w:pPr>
      <w:rPr>
        <w:rFonts w:ascii="Courier New" w:hAnsi="Courier New" w:hint="default"/>
      </w:rPr>
    </w:lvl>
    <w:lvl w:ilvl="2" w:tplc="90883240">
      <w:start w:val="1"/>
      <w:numFmt w:val="bullet"/>
      <w:lvlText w:val=""/>
      <w:lvlJc w:val="left"/>
      <w:pPr>
        <w:ind w:left="2160" w:hanging="360"/>
      </w:pPr>
      <w:rPr>
        <w:rFonts w:ascii="Wingdings" w:hAnsi="Wingdings" w:hint="default"/>
      </w:rPr>
    </w:lvl>
    <w:lvl w:ilvl="3" w:tplc="3C12CF16">
      <w:start w:val="1"/>
      <w:numFmt w:val="bullet"/>
      <w:lvlText w:val=""/>
      <w:lvlJc w:val="left"/>
      <w:pPr>
        <w:ind w:left="2880" w:hanging="360"/>
      </w:pPr>
      <w:rPr>
        <w:rFonts w:ascii="Symbol" w:hAnsi="Symbol" w:hint="default"/>
      </w:rPr>
    </w:lvl>
    <w:lvl w:ilvl="4" w:tplc="0E52CE62">
      <w:start w:val="1"/>
      <w:numFmt w:val="bullet"/>
      <w:lvlText w:val="o"/>
      <w:lvlJc w:val="left"/>
      <w:pPr>
        <w:ind w:left="3600" w:hanging="360"/>
      </w:pPr>
      <w:rPr>
        <w:rFonts w:ascii="Courier New" w:hAnsi="Courier New" w:hint="default"/>
      </w:rPr>
    </w:lvl>
    <w:lvl w:ilvl="5" w:tplc="2EBC503E">
      <w:start w:val="1"/>
      <w:numFmt w:val="bullet"/>
      <w:lvlText w:val=""/>
      <w:lvlJc w:val="left"/>
      <w:pPr>
        <w:ind w:left="4320" w:hanging="360"/>
      </w:pPr>
      <w:rPr>
        <w:rFonts w:ascii="Wingdings" w:hAnsi="Wingdings" w:hint="default"/>
      </w:rPr>
    </w:lvl>
    <w:lvl w:ilvl="6" w:tplc="F4782856">
      <w:start w:val="1"/>
      <w:numFmt w:val="bullet"/>
      <w:lvlText w:val=""/>
      <w:lvlJc w:val="left"/>
      <w:pPr>
        <w:ind w:left="5040" w:hanging="360"/>
      </w:pPr>
      <w:rPr>
        <w:rFonts w:ascii="Symbol" w:hAnsi="Symbol" w:hint="default"/>
      </w:rPr>
    </w:lvl>
    <w:lvl w:ilvl="7" w:tplc="DD7458B2">
      <w:start w:val="1"/>
      <w:numFmt w:val="bullet"/>
      <w:lvlText w:val="o"/>
      <w:lvlJc w:val="left"/>
      <w:pPr>
        <w:ind w:left="5760" w:hanging="360"/>
      </w:pPr>
      <w:rPr>
        <w:rFonts w:ascii="Courier New" w:hAnsi="Courier New" w:hint="default"/>
      </w:rPr>
    </w:lvl>
    <w:lvl w:ilvl="8" w:tplc="308261DC">
      <w:start w:val="1"/>
      <w:numFmt w:val="bullet"/>
      <w:lvlText w:val=""/>
      <w:lvlJc w:val="left"/>
      <w:pPr>
        <w:ind w:left="6480" w:hanging="360"/>
      </w:pPr>
      <w:rPr>
        <w:rFonts w:ascii="Wingdings" w:hAnsi="Wingdings" w:hint="default"/>
      </w:rPr>
    </w:lvl>
  </w:abstractNum>
  <w:abstractNum w:abstractNumId="94" w15:restartNumberingAfterBreak="0">
    <w:nsid w:val="2DFE1B6D"/>
    <w:multiLevelType w:val="hybridMultilevel"/>
    <w:tmpl w:val="FFFFFFFF"/>
    <w:lvl w:ilvl="0" w:tplc="DAFC8306">
      <w:start w:val="1"/>
      <w:numFmt w:val="decimal"/>
      <w:lvlText w:val="%1."/>
      <w:lvlJc w:val="left"/>
      <w:pPr>
        <w:ind w:left="720" w:hanging="360"/>
      </w:pPr>
    </w:lvl>
    <w:lvl w:ilvl="1" w:tplc="E28EDC2C">
      <w:start w:val="1"/>
      <w:numFmt w:val="decimal"/>
      <w:lvlText w:val="%2."/>
      <w:lvlJc w:val="left"/>
      <w:pPr>
        <w:ind w:left="1440" w:hanging="360"/>
      </w:pPr>
    </w:lvl>
    <w:lvl w:ilvl="2" w:tplc="0C86BE7C">
      <w:start w:val="1"/>
      <w:numFmt w:val="lowerRoman"/>
      <w:lvlText w:val="%3."/>
      <w:lvlJc w:val="right"/>
      <w:pPr>
        <w:ind w:left="2160" w:hanging="180"/>
      </w:pPr>
    </w:lvl>
    <w:lvl w:ilvl="3" w:tplc="1474FD26">
      <w:start w:val="1"/>
      <w:numFmt w:val="decimal"/>
      <w:lvlText w:val="%4."/>
      <w:lvlJc w:val="left"/>
      <w:pPr>
        <w:ind w:left="2880" w:hanging="360"/>
      </w:pPr>
    </w:lvl>
    <w:lvl w:ilvl="4" w:tplc="214CC980">
      <w:start w:val="1"/>
      <w:numFmt w:val="lowerLetter"/>
      <w:lvlText w:val="%5."/>
      <w:lvlJc w:val="left"/>
      <w:pPr>
        <w:ind w:left="3600" w:hanging="360"/>
      </w:pPr>
    </w:lvl>
    <w:lvl w:ilvl="5" w:tplc="D16EF208">
      <w:start w:val="1"/>
      <w:numFmt w:val="lowerRoman"/>
      <w:lvlText w:val="%6."/>
      <w:lvlJc w:val="right"/>
      <w:pPr>
        <w:ind w:left="4320" w:hanging="180"/>
      </w:pPr>
    </w:lvl>
    <w:lvl w:ilvl="6" w:tplc="BDEA5A90">
      <w:start w:val="1"/>
      <w:numFmt w:val="decimal"/>
      <w:lvlText w:val="%7."/>
      <w:lvlJc w:val="left"/>
      <w:pPr>
        <w:ind w:left="5040" w:hanging="360"/>
      </w:pPr>
    </w:lvl>
    <w:lvl w:ilvl="7" w:tplc="A8624AA4">
      <w:start w:val="1"/>
      <w:numFmt w:val="lowerLetter"/>
      <w:lvlText w:val="%8."/>
      <w:lvlJc w:val="left"/>
      <w:pPr>
        <w:ind w:left="5760" w:hanging="360"/>
      </w:pPr>
    </w:lvl>
    <w:lvl w:ilvl="8" w:tplc="0B3A217C">
      <w:start w:val="1"/>
      <w:numFmt w:val="lowerRoman"/>
      <w:lvlText w:val="%9."/>
      <w:lvlJc w:val="right"/>
      <w:pPr>
        <w:ind w:left="6480" w:hanging="180"/>
      </w:pPr>
    </w:lvl>
  </w:abstractNum>
  <w:abstractNum w:abstractNumId="95" w15:restartNumberingAfterBreak="0">
    <w:nsid w:val="2EB33BFA"/>
    <w:multiLevelType w:val="hybridMultilevel"/>
    <w:tmpl w:val="52D8A38A"/>
    <w:lvl w:ilvl="0" w:tplc="5EAAFCEC">
      <w:start w:val="1"/>
      <w:numFmt w:val="bullet"/>
      <w:lvlText w:val="·"/>
      <w:lvlJc w:val="left"/>
      <w:pPr>
        <w:ind w:left="720" w:hanging="360"/>
      </w:pPr>
      <w:rPr>
        <w:rFonts w:ascii="Symbol" w:hAnsi="Symbol" w:hint="default"/>
      </w:rPr>
    </w:lvl>
    <w:lvl w:ilvl="1" w:tplc="A96C0708">
      <w:start w:val="1"/>
      <w:numFmt w:val="bullet"/>
      <w:lvlText w:val="o"/>
      <w:lvlJc w:val="left"/>
      <w:pPr>
        <w:ind w:left="1440" w:hanging="360"/>
      </w:pPr>
      <w:rPr>
        <w:rFonts w:ascii="Courier New" w:hAnsi="Courier New" w:hint="default"/>
      </w:rPr>
    </w:lvl>
    <w:lvl w:ilvl="2" w:tplc="237EE4E4">
      <w:start w:val="1"/>
      <w:numFmt w:val="bullet"/>
      <w:lvlText w:val=""/>
      <w:lvlJc w:val="left"/>
      <w:pPr>
        <w:ind w:left="2160" w:hanging="360"/>
      </w:pPr>
      <w:rPr>
        <w:rFonts w:ascii="Wingdings" w:hAnsi="Wingdings" w:hint="default"/>
      </w:rPr>
    </w:lvl>
    <w:lvl w:ilvl="3" w:tplc="8C9CE892">
      <w:start w:val="1"/>
      <w:numFmt w:val="bullet"/>
      <w:lvlText w:val=""/>
      <w:lvlJc w:val="left"/>
      <w:pPr>
        <w:ind w:left="2880" w:hanging="360"/>
      </w:pPr>
      <w:rPr>
        <w:rFonts w:ascii="Symbol" w:hAnsi="Symbol" w:hint="default"/>
      </w:rPr>
    </w:lvl>
    <w:lvl w:ilvl="4" w:tplc="D1A2B51E">
      <w:start w:val="1"/>
      <w:numFmt w:val="bullet"/>
      <w:lvlText w:val="o"/>
      <w:lvlJc w:val="left"/>
      <w:pPr>
        <w:ind w:left="3600" w:hanging="360"/>
      </w:pPr>
      <w:rPr>
        <w:rFonts w:ascii="Courier New" w:hAnsi="Courier New" w:hint="default"/>
      </w:rPr>
    </w:lvl>
    <w:lvl w:ilvl="5" w:tplc="EFAE6EC0">
      <w:start w:val="1"/>
      <w:numFmt w:val="bullet"/>
      <w:lvlText w:val=""/>
      <w:lvlJc w:val="left"/>
      <w:pPr>
        <w:ind w:left="4320" w:hanging="360"/>
      </w:pPr>
      <w:rPr>
        <w:rFonts w:ascii="Wingdings" w:hAnsi="Wingdings" w:hint="default"/>
      </w:rPr>
    </w:lvl>
    <w:lvl w:ilvl="6" w:tplc="3F0C2C58">
      <w:start w:val="1"/>
      <w:numFmt w:val="bullet"/>
      <w:lvlText w:val=""/>
      <w:lvlJc w:val="left"/>
      <w:pPr>
        <w:ind w:left="5040" w:hanging="360"/>
      </w:pPr>
      <w:rPr>
        <w:rFonts w:ascii="Symbol" w:hAnsi="Symbol" w:hint="default"/>
      </w:rPr>
    </w:lvl>
    <w:lvl w:ilvl="7" w:tplc="986C01CE">
      <w:start w:val="1"/>
      <w:numFmt w:val="bullet"/>
      <w:lvlText w:val="o"/>
      <w:lvlJc w:val="left"/>
      <w:pPr>
        <w:ind w:left="5760" w:hanging="360"/>
      </w:pPr>
      <w:rPr>
        <w:rFonts w:ascii="Courier New" w:hAnsi="Courier New" w:hint="default"/>
      </w:rPr>
    </w:lvl>
    <w:lvl w:ilvl="8" w:tplc="A038FF40">
      <w:start w:val="1"/>
      <w:numFmt w:val="bullet"/>
      <w:lvlText w:val=""/>
      <w:lvlJc w:val="left"/>
      <w:pPr>
        <w:ind w:left="6480" w:hanging="360"/>
      </w:pPr>
      <w:rPr>
        <w:rFonts w:ascii="Wingdings" w:hAnsi="Wingdings" w:hint="default"/>
      </w:rPr>
    </w:lvl>
  </w:abstractNum>
  <w:abstractNum w:abstractNumId="96" w15:restartNumberingAfterBreak="0">
    <w:nsid w:val="2F6F610A"/>
    <w:multiLevelType w:val="hybridMultilevel"/>
    <w:tmpl w:val="10529002"/>
    <w:lvl w:ilvl="0" w:tplc="CCD23C1A">
      <w:start w:val="1"/>
      <w:numFmt w:val="bullet"/>
      <w:lvlText w:val="-"/>
      <w:lvlJc w:val="left"/>
      <w:pPr>
        <w:ind w:left="445" w:hanging="360"/>
      </w:pPr>
      <w:rPr>
        <w:rFonts w:ascii="Cambria" w:eastAsia="Cambria" w:hAnsi="Cambria" w:cs="Cambria" w:hint="default"/>
      </w:rPr>
    </w:lvl>
    <w:lvl w:ilvl="1" w:tplc="08090003" w:tentative="1">
      <w:start w:val="1"/>
      <w:numFmt w:val="bullet"/>
      <w:lvlText w:val="o"/>
      <w:lvlJc w:val="left"/>
      <w:pPr>
        <w:ind w:left="1165" w:hanging="360"/>
      </w:pPr>
      <w:rPr>
        <w:rFonts w:ascii="Courier New" w:hAnsi="Courier New" w:cs="Courier New" w:hint="default"/>
      </w:rPr>
    </w:lvl>
    <w:lvl w:ilvl="2" w:tplc="08090005" w:tentative="1">
      <w:start w:val="1"/>
      <w:numFmt w:val="bullet"/>
      <w:lvlText w:val=""/>
      <w:lvlJc w:val="left"/>
      <w:pPr>
        <w:ind w:left="1885" w:hanging="360"/>
      </w:pPr>
      <w:rPr>
        <w:rFonts w:ascii="Wingdings" w:hAnsi="Wingdings" w:hint="default"/>
      </w:rPr>
    </w:lvl>
    <w:lvl w:ilvl="3" w:tplc="08090001" w:tentative="1">
      <w:start w:val="1"/>
      <w:numFmt w:val="bullet"/>
      <w:lvlText w:val=""/>
      <w:lvlJc w:val="left"/>
      <w:pPr>
        <w:ind w:left="2605" w:hanging="360"/>
      </w:pPr>
      <w:rPr>
        <w:rFonts w:ascii="Symbol" w:hAnsi="Symbol" w:hint="default"/>
      </w:rPr>
    </w:lvl>
    <w:lvl w:ilvl="4" w:tplc="08090003" w:tentative="1">
      <w:start w:val="1"/>
      <w:numFmt w:val="bullet"/>
      <w:lvlText w:val="o"/>
      <w:lvlJc w:val="left"/>
      <w:pPr>
        <w:ind w:left="3325" w:hanging="360"/>
      </w:pPr>
      <w:rPr>
        <w:rFonts w:ascii="Courier New" w:hAnsi="Courier New" w:cs="Courier New" w:hint="default"/>
      </w:rPr>
    </w:lvl>
    <w:lvl w:ilvl="5" w:tplc="08090005" w:tentative="1">
      <w:start w:val="1"/>
      <w:numFmt w:val="bullet"/>
      <w:lvlText w:val=""/>
      <w:lvlJc w:val="left"/>
      <w:pPr>
        <w:ind w:left="4045" w:hanging="360"/>
      </w:pPr>
      <w:rPr>
        <w:rFonts w:ascii="Wingdings" w:hAnsi="Wingdings" w:hint="default"/>
      </w:rPr>
    </w:lvl>
    <w:lvl w:ilvl="6" w:tplc="08090001" w:tentative="1">
      <w:start w:val="1"/>
      <w:numFmt w:val="bullet"/>
      <w:lvlText w:val=""/>
      <w:lvlJc w:val="left"/>
      <w:pPr>
        <w:ind w:left="4765" w:hanging="360"/>
      </w:pPr>
      <w:rPr>
        <w:rFonts w:ascii="Symbol" w:hAnsi="Symbol" w:hint="default"/>
      </w:rPr>
    </w:lvl>
    <w:lvl w:ilvl="7" w:tplc="08090003" w:tentative="1">
      <w:start w:val="1"/>
      <w:numFmt w:val="bullet"/>
      <w:lvlText w:val="o"/>
      <w:lvlJc w:val="left"/>
      <w:pPr>
        <w:ind w:left="5485" w:hanging="360"/>
      </w:pPr>
      <w:rPr>
        <w:rFonts w:ascii="Courier New" w:hAnsi="Courier New" w:cs="Courier New" w:hint="default"/>
      </w:rPr>
    </w:lvl>
    <w:lvl w:ilvl="8" w:tplc="08090005" w:tentative="1">
      <w:start w:val="1"/>
      <w:numFmt w:val="bullet"/>
      <w:lvlText w:val=""/>
      <w:lvlJc w:val="left"/>
      <w:pPr>
        <w:ind w:left="6205" w:hanging="360"/>
      </w:pPr>
      <w:rPr>
        <w:rFonts w:ascii="Wingdings" w:hAnsi="Wingdings" w:hint="default"/>
      </w:rPr>
    </w:lvl>
  </w:abstractNum>
  <w:abstractNum w:abstractNumId="97" w15:restartNumberingAfterBreak="0">
    <w:nsid w:val="30EF79B2"/>
    <w:multiLevelType w:val="hybridMultilevel"/>
    <w:tmpl w:val="027454B6"/>
    <w:lvl w:ilvl="0" w:tplc="35F42D4C">
      <w:start w:val="1"/>
      <w:numFmt w:val="bullet"/>
      <w:lvlText w:val="·"/>
      <w:lvlJc w:val="left"/>
      <w:pPr>
        <w:ind w:left="720" w:hanging="360"/>
      </w:pPr>
    </w:lvl>
    <w:lvl w:ilvl="1" w:tplc="1C4E2F9A">
      <w:start w:val="1"/>
      <w:numFmt w:val="decimal"/>
      <w:lvlText w:val="%2."/>
      <w:lvlJc w:val="left"/>
      <w:pPr>
        <w:ind w:left="1440" w:hanging="360"/>
      </w:pPr>
    </w:lvl>
    <w:lvl w:ilvl="2" w:tplc="9260F638">
      <w:start w:val="1"/>
      <w:numFmt w:val="lowerRoman"/>
      <w:lvlText w:val="%3."/>
      <w:lvlJc w:val="right"/>
      <w:pPr>
        <w:ind w:left="2160" w:hanging="180"/>
      </w:pPr>
    </w:lvl>
    <w:lvl w:ilvl="3" w:tplc="5AEC9106">
      <w:start w:val="1"/>
      <w:numFmt w:val="decimal"/>
      <w:lvlText w:val="%4."/>
      <w:lvlJc w:val="left"/>
      <w:pPr>
        <w:ind w:left="2880" w:hanging="360"/>
      </w:pPr>
    </w:lvl>
    <w:lvl w:ilvl="4" w:tplc="F9420658">
      <w:start w:val="1"/>
      <w:numFmt w:val="lowerLetter"/>
      <w:lvlText w:val="%5."/>
      <w:lvlJc w:val="left"/>
      <w:pPr>
        <w:ind w:left="3600" w:hanging="360"/>
      </w:pPr>
    </w:lvl>
    <w:lvl w:ilvl="5" w:tplc="A4C471A6">
      <w:start w:val="1"/>
      <w:numFmt w:val="lowerRoman"/>
      <w:lvlText w:val="%6."/>
      <w:lvlJc w:val="right"/>
      <w:pPr>
        <w:ind w:left="4320" w:hanging="180"/>
      </w:pPr>
    </w:lvl>
    <w:lvl w:ilvl="6" w:tplc="5F825B60">
      <w:start w:val="1"/>
      <w:numFmt w:val="decimal"/>
      <w:lvlText w:val="%7."/>
      <w:lvlJc w:val="left"/>
      <w:pPr>
        <w:ind w:left="5040" w:hanging="360"/>
      </w:pPr>
    </w:lvl>
    <w:lvl w:ilvl="7" w:tplc="09FA2288">
      <w:start w:val="1"/>
      <w:numFmt w:val="lowerLetter"/>
      <w:lvlText w:val="%8."/>
      <w:lvlJc w:val="left"/>
      <w:pPr>
        <w:ind w:left="5760" w:hanging="360"/>
      </w:pPr>
    </w:lvl>
    <w:lvl w:ilvl="8" w:tplc="3EEA2B5E">
      <w:start w:val="1"/>
      <w:numFmt w:val="lowerRoman"/>
      <w:lvlText w:val="%9."/>
      <w:lvlJc w:val="right"/>
      <w:pPr>
        <w:ind w:left="6480" w:hanging="180"/>
      </w:pPr>
    </w:lvl>
  </w:abstractNum>
  <w:abstractNum w:abstractNumId="98" w15:restartNumberingAfterBreak="0">
    <w:nsid w:val="31BF260B"/>
    <w:multiLevelType w:val="hybridMultilevel"/>
    <w:tmpl w:val="35EABA40"/>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9" w15:restartNumberingAfterBreak="0">
    <w:nsid w:val="328C66F0"/>
    <w:multiLevelType w:val="hybridMultilevel"/>
    <w:tmpl w:val="DD024856"/>
    <w:lvl w:ilvl="0" w:tplc="08090001">
      <w:start w:val="1"/>
      <w:numFmt w:val="bullet"/>
      <w:lvlText w:val=""/>
      <w:lvlJc w:val="left"/>
      <w:pPr>
        <w:ind w:left="805" w:hanging="360"/>
      </w:pPr>
      <w:rPr>
        <w:rFonts w:ascii="Symbol" w:hAnsi="Symbol" w:hint="default"/>
      </w:rPr>
    </w:lvl>
    <w:lvl w:ilvl="1" w:tplc="08090003" w:tentative="1">
      <w:start w:val="1"/>
      <w:numFmt w:val="bullet"/>
      <w:lvlText w:val="o"/>
      <w:lvlJc w:val="left"/>
      <w:pPr>
        <w:ind w:left="1525" w:hanging="360"/>
      </w:pPr>
      <w:rPr>
        <w:rFonts w:ascii="Courier New" w:hAnsi="Courier New" w:cs="Courier New" w:hint="default"/>
      </w:rPr>
    </w:lvl>
    <w:lvl w:ilvl="2" w:tplc="08090005" w:tentative="1">
      <w:start w:val="1"/>
      <w:numFmt w:val="bullet"/>
      <w:lvlText w:val=""/>
      <w:lvlJc w:val="left"/>
      <w:pPr>
        <w:ind w:left="2245" w:hanging="360"/>
      </w:pPr>
      <w:rPr>
        <w:rFonts w:ascii="Wingdings" w:hAnsi="Wingdings" w:hint="default"/>
      </w:rPr>
    </w:lvl>
    <w:lvl w:ilvl="3" w:tplc="08090001" w:tentative="1">
      <w:start w:val="1"/>
      <w:numFmt w:val="bullet"/>
      <w:lvlText w:val=""/>
      <w:lvlJc w:val="left"/>
      <w:pPr>
        <w:ind w:left="2965" w:hanging="360"/>
      </w:pPr>
      <w:rPr>
        <w:rFonts w:ascii="Symbol" w:hAnsi="Symbol" w:hint="default"/>
      </w:rPr>
    </w:lvl>
    <w:lvl w:ilvl="4" w:tplc="08090003" w:tentative="1">
      <w:start w:val="1"/>
      <w:numFmt w:val="bullet"/>
      <w:lvlText w:val="o"/>
      <w:lvlJc w:val="left"/>
      <w:pPr>
        <w:ind w:left="3685" w:hanging="360"/>
      </w:pPr>
      <w:rPr>
        <w:rFonts w:ascii="Courier New" w:hAnsi="Courier New" w:cs="Courier New" w:hint="default"/>
      </w:rPr>
    </w:lvl>
    <w:lvl w:ilvl="5" w:tplc="08090005" w:tentative="1">
      <w:start w:val="1"/>
      <w:numFmt w:val="bullet"/>
      <w:lvlText w:val=""/>
      <w:lvlJc w:val="left"/>
      <w:pPr>
        <w:ind w:left="4405" w:hanging="360"/>
      </w:pPr>
      <w:rPr>
        <w:rFonts w:ascii="Wingdings" w:hAnsi="Wingdings" w:hint="default"/>
      </w:rPr>
    </w:lvl>
    <w:lvl w:ilvl="6" w:tplc="08090001" w:tentative="1">
      <w:start w:val="1"/>
      <w:numFmt w:val="bullet"/>
      <w:lvlText w:val=""/>
      <w:lvlJc w:val="left"/>
      <w:pPr>
        <w:ind w:left="5125" w:hanging="360"/>
      </w:pPr>
      <w:rPr>
        <w:rFonts w:ascii="Symbol" w:hAnsi="Symbol" w:hint="default"/>
      </w:rPr>
    </w:lvl>
    <w:lvl w:ilvl="7" w:tplc="08090003" w:tentative="1">
      <w:start w:val="1"/>
      <w:numFmt w:val="bullet"/>
      <w:lvlText w:val="o"/>
      <w:lvlJc w:val="left"/>
      <w:pPr>
        <w:ind w:left="5845" w:hanging="360"/>
      </w:pPr>
      <w:rPr>
        <w:rFonts w:ascii="Courier New" w:hAnsi="Courier New" w:cs="Courier New" w:hint="default"/>
      </w:rPr>
    </w:lvl>
    <w:lvl w:ilvl="8" w:tplc="08090005" w:tentative="1">
      <w:start w:val="1"/>
      <w:numFmt w:val="bullet"/>
      <w:lvlText w:val=""/>
      <w:lvlJc w:val="left"/>
      <w:pPr>
        <w:ind w:left="6565" w:hanging="360"/>
      </w:pPr>
      <w:rPr>
        <w:rFonts w:ascii="Wingdings" w:hAnsi="Wingdings" w:hint="default"/>
      </w:rPr>
    </w:lvl>
  </w:abstractNum>
  <w:abstractNum w:abstractNumId="100" w15:restartNumberingAfterBreak="0">
    <w:nsid w:val="33644B66"/>
    <w:multiLevelType w:val="hybridMultilevel"/>
    <w:tmpl w:val="81AAC0F8"/>
    <w:lvl w:ilvl="0" w:tplc="A5C4F704">
      <w:start w:val="1"/>
      <w:numFmt w:val="decimal"/>
      <w:lvlText w:val="%1."/>
      <w:lvlJc w:val="left"/>
      <w:pPr>
        <w:ind w:left="720" w:hanging="360"/>
      </w:pPr>
    </w:lvl>
    <w:lvl w:ilvl="1" w:tplc="061841D0">
      <w:start w:val="1"/>
      <w:numFmt w:val="lowerLetter"/>
      <w:lvlText w:val="%2."/>
      <w:lvlJc w:val="left"/>
      <w:pPr>
        <w:ind w:left="1440" w:hanging="360"/>
      </w:pPr>
    </w:lvl>
    <w:lvl w:ilvl="2" w:tplc="26BEC5BE">
      <w:start w:val="1"/>
      <w:numFmt w:val="lowerRoman"/>
      <w:lvlText w:val="%3."/>
      <w:lvlJc w:val="right"/>
      <w:pPr>
        <w:ind w:left="2160" w:hanging="180"/>
      </w:pPr>
    </w:lvl>
    <w:lvl w:ilvl="3" w:tplc="806C2B86">
      <w:start w:val="1"/>
      <w:numFmt w:val="decimal"/>
      <w:lvlText w:val="%4."/>
      <w:lvlJc w:val="left"/>
      <w:pPr>
        <w:ind w:left="2880" w:hanging="360"/>
      </w:pPr>
    </w:lvl>
    <w:lvl w:ilvl="4" w:tplc="3D962720">
      <w:start w:val="1"/>
      <w:numFmt w:val="lowerLetter"/>
      <w:lvlText w:val="%5."/>
      <w:lvlJc w:val="left"/>
      <w:pPr>
        <w:ind w:left="3600" w:hanging="360"/>
      </w:pPr>
    </w:lvl>
    <w:lvl w:ilvl="5" w:tplc="6F3CBDAE">
      <w:start w:val="1"/>
      <w:numFmt w:val="lowerRoman"/>
      <w:lvlText w:val="%6."/>
      <w:lvlJc w:val="right"/>
      <w:pPr>
        <w:ind w:left="4320" w:hanging="180"/>
      </w:pPr>
    </w:lvl>
    <w:lvl w:ilvl="6" w:tplc="6408E366">
      <w:start w:val="1"/>
      <w:numFmt w:val="decimal"/>
      <w:lvlText w:val="%7."/>
      <w:lvlJc w:val="left"/>
      <w:pPr>
        <w:ind w:left="5040" w:hanging="360"/>
      </w:pPr>
    </w:lvl>
    <w:lvl w:ilvl="7" w:tplc="626E7346">
      <w:start w:val="1"/>
      <w:numFmt w:val="lowerLetter"/>
      <w:lvlText w:val="%8."/>
      <w:lvlJc w:val="left"/>
      <w:pPr>
        <w:ind w:left="5760" w:hanging="360"/>
      </w:pPr>
    </w:lvl>
    <w:lvl w:ilvl="8" w:tplc="D3AABD70">
      <w:start w:val="1"/>
      <w:numFmt w:val="lowerRoman"/>
      <w:lvlText w:val="%9."/>
      <w:lvlJc w:val="right"/>
      <w:pPr>
        <w:ind w:left="6480" w:hanging="180"/>
      </w:pPr>
    </w:lvl>
  </w:abstractNum>
  <w:abstractNum w:abstractNumId="101" w15:restartNumberingAfterBreak="0">
    <w:nsid w:val="33EE6CD6"/>
    <w:multiLevelType w:val="hybridMultilevel"/>
    <w:tmpl w:val="33162A56"/>
    <w:lvl w:ilvl="0" w:tplc="6A36EFCE">
      <w:start w:val="1"/>
      <w:numFmt w:val="bullet"/>
      <w:lvlText w:val="·"/>
      <w:lvlJc w:val="left"/>
      <w:pPr>
        <w:ind w:left="720" w:hanging="360"/>
      </w:pPr>
      <w:rPr>
        <w:rFonts w:ascii="Symbol" w:hAnsi="Symbol" w:hint="default"/>
      </w:rPr>
    </w:lvl>
    <w:lvl w:ilvl="1" w:tplc="43C2E36E">
      <w:start w:val="1"/>
      <w:numFmt w:val="decimal"/>
      <w:lvlText w:val="%2."/>
      <w:lvlJc w:val="left"/>
      <w:pPr>
        <w:ind w:left="1440" w:hanging="360"/>
      </w:pPr>
      <w:rPr>
        <w:rFonts w:hint="default"/>
      </w:rPr>
    </w:lvl>
    <w:lvl w:ilvl="2" w:tplc="7C9CECBA">
      <w:start w:val="1"/>
      <w:numFmt w:val="bullet"/>
      <w:lvlText w:val=""/>
      <w:lvlJc w:val="left"/>
      <w:pPr>
        <w:ind w:left="2160" w:hanging="360"/>
      </w:pPr>
      <w:rPr>
        <w:rFonts w:ascii="Wingdings" w:hAnsi="Wingdings" w:hint="default"/>
      </w:rPr>
    </w:lvl>
    <w:lvl w:ilvl="3" w:tplc="33EEBE4E">
      <w:start w:val="1"/>
      <w:numFmt w:val="bullet"/>
      <w:lvlText w:val=""/>
      <w:lvlJc w:val="left"/>
      <w:pPr>
        <w:ind w:left="2880" w:hanging="360"/>
      </w:pPr>
      <w:rPr>
        <w:rFonts w:ascii="Symbol" w:hAnsi="Symbol" w:hint="default"/>
      </w:rPr>
    </w:lvl>
    <w:lvl w:ilvl="4" w:tplc="5B36A15E">
      <w:start w:val="1"/>
      <w:numFmt w:val="bullet"/>
      <w:lvlText w:val="o"/>
      <w:lvlJc w:val="left"/>
      <w:pPr>
        <w:ind w:left="3600" w:hanging="360"/>
      </w:pPr>
      <w:rPr>
        <w:rFonts w:ascii="Courier New" w:hAnsi="Courier New" w:hint="default"/>
      </w:rPr>
    </w:lvl>
    <w:lvl w:ilvl="5" w:tplc="2D706DE6">
      <w:start w:val="1"/>
      <w:numFmt w:val="bullet"/>
      <w:lvlText w:val=""/>
      <w:lvlJc w:val="left"/>
      <w:pPr>
        <w:ind w:left="4320" w:hanging="360"/>
      </w:pPr>
      <w:rPr>
        <w:rFonts w:ascii="Wingdings" w:hAnsi="Wingdings" w:hint="default"/>
      </w:rPr>
    </w:lvl>
    <w:lvl w:ilvl="6" w:tplc="86107974">
      <w:start w:val="1"/>
      <w:numFmt w:val="bullet"/>
      <w:lvlText w:val=""/>
      <w:lvlJc w:val="left"/>
      <w:pPr>
        <w:ind w:left="5040" w:hanging="360"/>
      </w:pPr>
      <w:rPr>
        <w:rFonts w:ascii="Symbol" w:hAnsi="Symbol" w:hint="default"/>
      </w:rPr>
    </w:lvl>
    <w:lvl w:ilvl="7" w:tplc="D938BA06">
      <w:start w:val="1"/>
      <w:numFmt w:val="bullet"/>
      <w:lvlText w:val="o"/>
      <w:lvlJc w:val="left"/>
      <w:pPr>
        <w:ind w:left="5760" w:hanging="360"/>
      </w:pPr>
      <w:rPr>
        <w:rFonts w:ascii="Courier New" w:hAnsi="Courier New" w:hint="default"/>
      </w:rPr>
    </w:lvl>
    <w:lvl w:ilvl="8" w:tplc="FB6E2FCC">
      <w:start w:val="1"/>
      <w:numFmt w:val="bullet"/>
      <w:lvlText w:val=""/>
      <w:lvlJc w:val="left"/>
      <w:pPr>
        <w:ind w:left="6480" w:hanging="360"/>
      </w:pPr>
      <w:rPr>
        <w:rFonts w:ascii="Wingdings" w:hAnsi="Wingdings" w:hint="default"/>
      </w:rPr>
    </w:lvl>
  </w:abstractNum>
  <w:abstractNum w:abstractNumId="102" w15:restartNumberingAfterBreak="0">
    <w:nsid w:val="34171EFD"/>
    <w:multiLevelType w:val="hybridMultilevel"/>
    <w:tmpl w:val="2D0EBA7C"/>
    <w:lvl w:ilvl="0" w:tplc="AAE463B2">
      <w:start w:val="1"/>
      <w:numFmt w:val="decimal"/>
      <w:lvlText w:val="%1)"/>
      <w:lvlJc w:val="left"/>
      <w:pPr>
        <w:ind w:left="180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3" w15:restartNumberingAfterBreak="0">
    <w:nsid w:val="34B01409"/>
    <w:multiLevelType w:val="hybridMultilevel"/>
    <w:tmpl w:val="8DF69456"/>
    <w:lvl w:ilvl="0" w:tplc="0809001B">
      <w:start w:val="1"/>
      <w:numFmt w:val="lowerRoman"/>
      <w:lvlText w:val="%1."/>
      <w:lvlJc w:val="righ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04" w15:restartNumberingAfterBreak="0">
    <w:nsid w:val="34EC077E"/>
    <w:multiLevelType w:val="hybridMultilevel"/>
    <w:tmpl w:val="1D52424E"/>
    <w:lvl w:ilvl="0" w:tplc="D4EE6B84">
      <w:start w:val="1"/>
      <w:numFmt w:val="lowerLetter"/>
      <w:lvlText w:val="(%1)"/>
      <w:lvlJc w:val="lef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5" w15:restartNumberingAfterBreak="0">
    <w:nsid w:val="353273F6"/>
    <w:multiLevelType w:val="hybridMultilevel"/>
    <w:tmpl w:val="C5502D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6" w15:restartNumberingAfterBreak="0">
    <w:nsid w:val="368C4E6F"/>
    <w:multiLevelType w:val="multilevel"/>
    <w:tmpl w:val="40EAC0F4"/>
    <w:lvl w:ilvl="0">
      <w:start w:val="1"/>
      <w:numFmt w:val="bullet"/>
      <w:lvlText w:val=""/>
      <w:lvlJc w:val="left"/>
      <w:pPr>
        <w:ind w:left="360" w:hanging="360"/>
      </w:pPr>
      <w:rPr>
        <w:rFonts w:ascii="Symbol" w:hAnsi="Symbol" w:hint="default"/>
      </w:rPr>
    </w:lvl>
    <w:lvl w:ilvl="1">
      <w:start w:val="1"/>
      <w:numFmt w:val="decimal"/>
      <w:isLgl/>
      <w:lvlText w:val="%1.%2"/>
      <w:lvlJc w:val="left"/>
      <w:pPr>
        <w:ind w:left="1080" w:hanging="360"/>
      </w:pPr>
      <w:rPr>
        <w:rFonts w:hint="default"/>
        <w:u w:val="none"/>
      </w:rPr>
    </w:lvl>
    <w:lvl w:ilvl="2">
      <w:start w:val="1"/>
      <w:numFmt w:val="decimal"/>
      <w:isLgl/>
      <w:lvlText w:val="%1.%2.%3"/>
      <w:lvlJc w:val="left"/>
      <w:pPr>
        <w:ind w:left="2160" w:hanging="720"/>
      </w:pPr>
      <w:rPr>
        <w:rFonts w:hint="default"/>
        <w:u w:val="single"/>
      </w:rPr>
    </w:lvl>
    <w:lvl w:ilvl="3">
      <w:start w:val="1"/>
      <w:numFmt w:val="decimal"/>
      <w:isLgl/>
      <w:lvlText w:val="%1.%2.%3.%4"/>
      <w:lvlJc w:val="left"/>
      <w:pPr>
        <w:ind w:left="2880" w:hanging="720"/>
      </w:pPr>
      <w:rPr>
        <w:rFonts w:hint="default"/>
        <w:u w:val="single"/>
      </w:rPr>
    </w:lvl>
    <w:lvl w:ilvl="4">
      <w:start w:val="1"/>
      <w:numFmt w:val="decimal"/>
      <w:isLgl/>
      <w:lvlText w:val="%1.%2.%3.%4.%5"/>
      <w:lvlJc w:val="left"/>
      <w:pPr>
        <w:ind w:left="3960" w:hanging="1080"/>
      </w:pPr>
      <w:rPr>
        <w:rFonts w:hint="default"/>
        <w:u w:val="single"/>
      </w:rPr>
    </w:lvl>
    <w:lvl w:ilvl="5">
      <w:start w:val="1"/>
      <w:numFmt w:val="decimal"/>
      <w:isLgl/>
      <w:lvlText w:val="%1.%2.%3.%4.%5.%6"/>
      <w:lvlJc w:val="left"/>
      <w:pPr>
        <w:ind w:left="4680" w:hanging="1080"/>
      </w:pPr>
      <w:rPr>
        <w:rFonts w:hint="default"/>
        <w:u w:val="single"/>
      </w:rPr>
    </w:lvl>
    <w:lvl w:ilvl="6">
      <w:start w:val="1"/>
      <w:numFmt w:val="decimal"/>
      <w:isLgl/>
      <w:lvlText w:val="%1.%2.%3.%4.%5.%6.%7"/>
      <w:lvlJc w:val="left"/>
      <w:pPr>
        <w:ind w:left="5760" w:hanging="1440"/>
      </w:pPr>
      <w:rPr>
        <w:rFonts w:hint="default"/>
        <w:u w:val="single"/>
      </w:rPr>
    </w:lvl>
    <w:lvl w:ilvl="7">
      <w:start w:val="1"/>
      <w:numFmt w:val="decimal"/>
      <w:isLgl/>
      <w:lvlText w:val="%1.%2.%3.%4.%5.%6.%7.%8"/>
      <w:lvlJc w:val="left"/>
      <w:pPr>
        <w:ind w:left="6480" w:hanging="1440"/>
      </w:pPr>
      <w:rPr>
        <w:rFonts w:hint="default"/>
        <w:u w:val="single"/>
      </w:rPr>
    </w:lvl>
    <w:lvl w:ilvl="8">
      <w:start w:val="1"/>
      <w:numFmt w:val="decimal"/>
      <w:isLgl/>
      <w:lvlText w:val="%1.%2.%3.%4.%5.%6.%7.%8.%9"/>
      <w:lvlJc w:val="left"/>
      <w:pPr>
        <w:ind w:left="7200" w:hanging="1440"/>
      </w:pPr>
      <w:rPr>
        <w:rFonts w:hint="default"/>
        <w:u w:val="single"/>
      </w:rPr>
    </w:lvl>
  </w:abstractNum>
  <w:abstractNum w:abstractNumId="107" w15:restartNumberingAfterBreak="0">
    <w:nsid w:val="37B96D9B"/>
    <w:multiLevelType w:val="hybridMultilevel"/>
    <w:tmpl w:val="6444E81E"/>
    <w:lvl w:ilvl="0" w:tplc="AAE463B2">
      <w:start w:val="1"/>
      <w:numFmt w:val="decimal"/>
      <w:lvlText w:val="%1)"/>
      <w:lvlJc w:val="left"/>
      <w:pPr>
        <w:ind w:left="180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8" w15:restartNumberingAfterBreak="0">
    <w:nsid w:val="384B4663"/>
    <w:multiLevelType w:val="hybridMultilevel"/>
    <w:tmpl w:val="1B54CC5E"/>
    <w:lvl w:ilvl="0" w:tplc="08090001">
      <w:start w:val="1"/>
      <w:numFmt w:val="bullet"/>
      <w:lvlText w:val=""/>
      <w:lvlJc w:val="left"/>
      <w:pPr>
        <w:ind w:left="1428" w:hanging="360"/>
      </w:pPr>
      <w:rPr>
        <w:rFonts w:ascii="Symbol" w:hAnsi="Symbol" w:hint="default"/>
      </w:rPr>
    </w:lvl>
    <w:lvl w:ilvl="1" w:tplc="08090003">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109" w15:restartNumberingAfterBreak="0">
    <w:nsid w:val="392E54A7"/>
    <w:multiLevelType w:val="hybridMultilevel"/>
    <w:tmpl w:val="6444E81E"/>
    <w:lvl w:ilvl="0" w:tplc="AAE463B2">
      <w:start w:val="1"/>
      <w:numFmt w:val="decimal"/>
      <w:lvlText w:val="%1)"/>
      <w:lvlJc w:val="left"/>
      <w:pPr>
        <w:ind w:left="180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0" w15:restartNumberingAfterBreak="0">
    <w:nsid w:val="393023CB"/>
    <w:multiLevelType w:val="hybridMultilevel"/>
    <w:tmpl w:val="E3DE411A"/>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11" w15:restartNumberingAfterBreak="0">
    <w:nsid w:val="39842DF0"/>
    <w:multiLevelType w:val="hybridMultilevel"/>
    <w:tmpl w:val="25A0DA44"/>
    <w:lvl w:ilvl="0" w:tplc="20AEF7D8">
      <w:start w:val="1"/>
      <w:numFmt w:val="decimal"/>
      <w:lvlText w:val="%1."/>
      <w:lvlJc w:val="left"/>
      <w:pPr>
        <w:ind w:left="720" w:hanging="360"/>
      </w:pPr>
    </w:lvl>
    <w:lvl w:ilvl="1" w:tplc="9E409298">
      <w:start w:val="1"/>
      <w:numFmt w:val="lowerLetter"/>
      <w:lvlText w:val="%2."/>
      <w:lvlJc w:val="left"/>
      <w:pPr>
        <w:ind w:left="1440" w:hanging="360"/>
      </w:pPr>
    </w:lvl>
    <w:lvl w:ilvl="2" w:tplc="6E9CE752">
      <w:start w:val="1"/>
      <w:numFmt w:val="lowerRoman"/>
      <w:lvlText w:val="%3."/>
      <w:lvlJc w:val="right"/>
      <w:pPr>
        <w:ind w:left="2160" w:hanging="180"/>
      </w:pPr>
    </w:lvl>
    <w:lvl w:ilvl="3" w:tplc="CFE89178">
      <w:start w:val="1"/>
      <w:numFmt w:val="decimal"/>
      <w:lvlText w:val="%4."/>
      <w:lvlJc w:val="left"/>
      <w:pPr>
        <w:ind w:left="2880" w:hanging="360"/>
      </w:pPr>
    </w:lvl>
    <w:lvl w:ilvl="4" w:tplc="3460C692">
      <w:start w:val="1"/>
      <w:numFmt w:val="lowerLetter"/>
      <w:lvlText w:val="%5."/>
      <w:lvlJc w:val="left"/>
      <w:pPr>
        <w:ind w:left="3600" w:hanging="360"/>
      </w:pPr>
    </w:lvl>
    <w:lvl w:ilvl="5" w:tplc="7F3EDC68">
      <w:start w:val="1"/>
      <w:numFmt w:val="lowerRoman"/>
      <w:lvlText w:val="%6."/>
      <w:lvlJc w:val="right"/>
      <w:pPr>
        <w:ind w:left="4320" w:hanging="180"/>
      </w:pPr>
    </w:lvl>
    <w:lvl w:ilvl="6" w:tplc="0E8C773C">
      <w:start w:val="1"/>
      <w:numFmt w:val="decimal"/>
      <w:lvlText w:val="%7."/>
      <w:lvlJc w:val="left"/>
      <w:pPr>
        <w:ind w:left="5040" w:hanging="360"/>
      </w:pPr>
    </w:lvl>
    <w:lvl w:ilvl="7" w:tplc="C9E87D3A">
      <w:start w:val="1"/>
      <w:numFmt w:val="lowerLetter"/>
      <w:lvlText w:val="%8."/>
      <w:lvlJc w:val="left"/>
      <w:pPr>
        <w:ind w:left="5760" w:hanging="360"/>
      </w:pPr>
    </w:lvl>
    <w:lvl w:ilvl="8" w:tplc="B2F01550">
      <w:start w:val="1"/>
      <w:numFmt w:val="lowerRoman"/>
      <w:lvlText w:val="%9."/>
      <w:lvlJc w:val="right"/>
      <w:pPr>
        <w:ind w:left="6480" w:hanging="180"/>
      </w:pPr>
    </w:lvl>
  </w:abstractNum>
  <w:abstractNum w:abstractNumId="112" w15:restartNumberingAfterBreak="0">
    <w:nsid w:val="3A0333F1"/>
    <w:multiLevelType w:val="hybridMultilevel"/>
    <w:tmpl w:val="8B967D4E"/>
    <w:lvl w:ilvl="0" w:tplc="963C153A">
      <w:start w:val="1"/>
      <w:numFmt w:val="lowerLetter"/>
      <w:pStyle w:val="Numberedtitlelevel4"/>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3B211612"/>
    <w:multiLevelType w:val="hybridMultilevel"/>
    <w:tmpl w:val="BAF849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4" w15:restartNumberingAfterBreak="0">
    <w:nsid w:val="3BC116CB"/>
    <w:multiLevelType w:val="hybridMultilevel"/>
    <w:tmpl w:val="5E0C69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5" w15:restartNumberingAfterBreak="0">
    <w:nsid w:val="3C1B1429"/>
    <w:multiLevelType w:val="hybridMultilevel"/>
    <w:tmpl w:val="B818FBDC"/>
    <w:lvl w:ilvl="0" w:tplc="08160011">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16" w15:restartNumberingAfterBreak="0">
    <w:nsid w:val="3E480E5A"/>
    <w:multiLevelType w:val="hybridMultilevel"/>
    <w:tmpl w:val="7B12C4B4"/>
    <w:lvl w:ilvl="0" w:tplc="C3761530">
      <w:start w:val="1"/>
      <w:numFmt w:val="bullet"/>
      <w:lvlText w:val="·"/>
      <w:lvlJc w:val="left"/>
      <w:pPr>
        <w:ind w:left="720" w:hanging="360"/>
      </w:pPr>
      <w:rPr>
        <w:rFonts w:ascii="Symbol" w:hAnsi="Symbol" w:hint="default"/>
      </w:rPr>
    </w:lvl>
    <w:lvl w:ilvl="1" w:tplc="23B8D700">
      <w:start w:val="1"/>
      <w:numFmt w:val="decimal"/>
      <w:lvlText w:val="%2."/>
      <w:lvlJc w:val="left"/>
      <w:pPr>
        <w:ind w:left="1440" w:hanging="360"/>
      </w:pPr>
      <w:rPr>
        <w:rFonts w:hint="default"/>
      </w:rPr>
    </w:lvl>
    <w:lvl w:ilvl="2" w:tplc="C7602BD0">
      <w:start w:val="1"/>
      <w:numFmt w:val="bullet"/>
      <w:lvlText w:val=""/>
      <w:lvlJc w:val="left"/>
      <w:pPr>
        <w:ind w:left="2160" w:hanging="360"/>
      </w:pPr>
      <w:rPr>
        <w:rFonts w:ascii="Wingdings" w:hAnsi="Wingdings" w:hint="default"/>
      </w:rPr>
    </w:lvl>
    <w:lvl w:ilvl="3" w:tplc="293AFFD4">
      <w:start w:val="1"/>
      <w:numFmt w:val="bullet"/>
      <w:lvlText w:val=""/>
      <w:lvlJc w:val="left"/>
      <w:pPr>
        <w:ind w:left="2880" w:hanging="360"/>
      </w:pPr>
      <w:rPr>
        <w:rFonts w:ascii="Symbol" w:hAnsi="Symbol" w:hint="default"/>
      </w:rPr>
    </w:lvl>
    <w:lvl w:ilvl="4" w:tplc="FACAC054">
      <w:start w:val="1"/>
      <w:numFmt w:val="bullet"/>
      <w:lvlText w:val="o"/>
      <w:lvlJc w:val="left"/>
      <w:pPr>
        <w:ind w:left="3600" w:hanging="360"/>
      </w:pPr>
      <w:rPr>
        <w:rFonts w:ascii="Courier New" w:hAnsi="Courier New" w:hint="default"/>
      </w:rPr>
    </w:lvl>
    <w:lvl w:ilvl="5" w:tplc="E4AC43BE">
      <w:start w:val="1"/>
      <w:numFmt w:val="bullet"/>
      <w:lvlText w:val=""/>
      <w:lvlJc w:val="left"/>
      <w:pPr>
        <w:ind w:left="4320" w:hanging="360"/>
      </w:pPr>
      <w:rPr>
        <w:rFonts w:ascii="Wingdings" w:hAnsi="Wingdings" w:hint="default"/>
      </w:rPr>
    </w:lvl>
    <w:lvl w:ilvl="6" w:tplc="45BA7DDE">
      <w:start w:val="1"/>
      <w:numFmt w:val="bullet"/>
      <w:lvlText w:val=""/>
      <w:lvlJc w:val="left"/>
      <w:pPr>
        <w:ind w:left="5040" w:hanging="360"/>
      </w:pPr>
      <w:rPr>
        <w:rFonts w:ascii="Symbol" w:hAnsi="Symbol" w:hint="default"/>
      </w:rPr>
    </w:lvl>
    <w:lvl w:ilvl="7" w:tplc="49468E78">
      <w:start w:val="1"/>
      <w:numFmt w:val="bullet"/>
      <w:lvlText w:val="o"/>
      <w:lvlJc w:val="left"/>
      <w:pPr>
        <w:ind w:left="5760" w:hanging="360"/>
      </w:pPr>
      <w:rPr>
        <w:rFonts w:ascii="Courier New" w:hAnsi="Courier New" w:hint="default"/>
      </w:rPr>
    </w:lvl>
    <w:lvl w:ilvl="8" w:tplc="1DA6F43A">
      <w:start w:val="1"/>
      <w:numFmt w:val="bullet"/>
      <w:lvlText w:val=""/>
      <w:lvlJc w:val="left"/>
      <w:pPr>
        <w:ind w:left="6480" w:hanging="360"/>
      </w:pPr>
      <w:rPr>
        <w:rFonts w:ascii="Wingdings" w:hAnsi="Wingdings" w:hint="default"/>
      </w:rPr>
    </w:lvl>
  </w:abstractNum>
  <w:abstractNum w:abstractNumId="117" w15:restartNumberingAfterBreak="0">
    <w:nsid w:val="3EA048E2"/>
    <w:multiLevelType w:val="hybridMultilevel"/>
    <w:tmpl w:val="FFFFFFFF"/>
    <w:lvl w:ilvl="0" w:tplc="A0AEDBE4">
      <w:start w:val="1"/>
      <w:numFmt w:val="bullet"/>
      <w:lvlText w:val="·"/>
      <w:lvlJc w:val="left"/>
      <w:pPr>
        <w:ind w:left="720" w:hanging="360"/>
      </w:pPr>
      <w:rPr>
        <w:rFonts w:ascii="Symbol" w:hAnsi="Symbol" w:hint="default"/>
      </w:rPr>
    </w:lvl>
    <w:lvl w:ilvl="1" w:tplc="3D8EF6CC">
      <w:start w:val="1"/>
      <w:numFmt w:val="bullet"/>
      <w:lvlText w:val="o"/>
      <w:lvlJc w:val="left"/>
      <w:pPr>
        <w:ind w:left="1440" w:hanging="360"/>
      </w:pPr>
      <w:rPr>
        <w:rFonts w:ascii="Courier New" w:hAnsi="Courier New" w:hint="default"/>
      </w:rPr>
    </w:lvl>
    <w:lvl w:ilvl="2" w:tplc="786AE30E">
      <w:start w:val="1"/>
      <w:numFmt w:val="bullet"/>
      <w:lvlText w:val=""/>
      <w:lvlJc w:val="left"/>
      <w:pPr>
        <w:ind w:left="2160" w:hanging="360"/>
      </w:pPr>
      <w:rPr>
        <w:rFonts w:ascii="Wingdings" w:hAnsi="Wingdings" w:hint="default"/>
      </w:rPr>
    </w:lvl>
    <w:lvl w:ilvl="3" w:tplc="33EAEC3C">
      <w:start w:val="1"/>
      <w:numFmt w:val="bullet"/>
      <w:lvlText w:val=""/>
      <w:lvlJc w:val="left"/>
      <w:pPr>
        <w:ind w:left="2880" w:hanging="360"/>
      </w:pPr>
      <w:rPr>
        <w:rFonts w:ascii="Symbol" w:hAnsi="Symbol" w:hint="default"/>
      </w:rPr>
    </w:lvl>
    <w:lvl w:ilvl="4" w:tplc="3946B71A">
      <w:start w:val="1"/>
      <w:numFmt w:val="bullet"/>
      <w:lvlText w:val="o"/>
      <w:lvlJc w:val="left"/>
      <w:pPr>
        <w:ind w:left="3600" w:hanging="360"/>
      </w:pPr>
      <w:rPr>
        <w:rFonts w:ascii="Courier New" w:hAnsi="Courier New" w:hint="default"/>
      </w:rPr>
    </w:lvl>
    <w:lvl w:ilvl="5" w:tplc="03B48594">
      <w:start w:val="1"/>
      <w:numFmt w:val="bullet"/>
      <w:lvlText w:val=""/>
      <w:lvlJc w:val="left"/>
      <w:pPr>
        <w:ind w:left="4320" w:hanging="360"/>
      </w:pPr>
      <w:rPr>
        <w:rFonts w:ascii="Wingdings" w:hAnsi="Wingdings" w:hint="default"/>
      </w:rPr>
    </w:lvl>
    <w:lvl w:ilvl="6" w:tplc="11DA5030">
      <w:start w:val="1"/>
      <w:numFmt w:val="bullet"/>
      <w:lvlText w:val=""/>
      <w:lvlJc w:val="left"/>
      <w:pPr>
        <w:ind w:left="5040" w:hanging="360"/>
      </w:pPr>
      <w:rPr>
        <w:rFonts w:ascii="Symbol" w:hAnsi="Symbol" w:hint="default"/>
      </w:rPr>
    </w:lvl>
    <w:lvl w:ilvl="7" w:tplc="B4D85D64">
      <w:start w:val="1"/>
      <w:numFmt w:val="bullet"/>
      <w:lvlText w:val="o"/>
      <w:lvlJc w:val="left"/>
      <w:pPr>
        <w:ind w:left="5760" w:hanging="360"/>
      </w:pPr>
      <w:rPr>
        <w:rFonts w:ascii="Courier New" w:hAnsi="Courier New" w:hint="default"/>
      </w:rPr>
    </w:lvl>
    <w:lvl w:ilvl="8" w:tplc="31DE5E48">
      <w:start w:val="1"/>
      <w:numFmt w:val="bullet"/>
      <w:lvlText w:val=""/>
      <w:lvlJc w:val="left"/>
      <w:pPr>
        <w:ind w:left="6480" w:hanging="360"/>
      </w:pPr>
      <w:rPr>
        <w:rFonts w:ascii="Wingdings" w:hAnsi="Wingdings" w:hint="default"/>
      </w:rPr>
    </w:lvl>
  </w:abstractNum>
  <w:abstractNum w:abstractNumId="118" w15:restartNumberingAfterBreak="0">
    <w:nsid w:val="3F16627B"/>
    <w:multiLevelType w:val="hybridMultilevel"/>
    <w:tmpl w:val="DB923068"/>
    <w:lvl w:ilvl="0" w:tplc="85CC68A2">
      <w:start w:val="52"/>
      <w:numFmt w:val="decimal"/>
      <w:lvlText w:val="%1."/>
      <w:lvlJc w:val="left"/>
      <w:pPr>
        <w:ind w:left="928" w:hanging="360"/>
      </w:pPr>
      <w:rPr>
        <w:rFonts w:hint="default"/>
        <w:strike w:val="0"/>
        <w:color w:val="0070C0"/>
      </w:rPr>
    </w:lvl>
    <w:lvl w:ilvl="1" w:tplc="08090019">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119" w15:restartNumberingAfterBreak="0">
    <w:nsid w:val="3FE45865"/>
    <w:multiLevelType w:val="hybridMultilevel"/>
    <w:tmpl w:val="FE84C4A0"/>
    <w:lvl w:ilvl="0" w:tplc="C6148992">
      <w:start w:val="1"/>
      <w:numFmt w:val="bullet"/>
      <w:pStyle w:val="numbered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0" w15:restartNumberingAfterBreak="0">
    <w:nsid w:val="40037F04"/>
    <w:multiLevelType w:val="hybridMultilevel"/>
    <w:tmpl w:val="FF2CD3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1" w15:restartNumberingAfterBreak="0">
    <w:nsid w:val="41285243"/>
    <w:multiLevelType w:val="hybridMultilevel"/>
    <w:tmpl w:val="AAF2915A"/>
    <w:lvl w:ilvl="0" w:tplc="97EA7E1E">
      <w:start w:val="50"/>
      <w:numFmt w:val="bullet"/>
      <w:lvlText w:val="-"/>
      <w:lvlJc w:val="left"/>
      <w:pPr>
        <w:ind w:left="445" w:hanging="360"/>
      </w:pPr>
      <w:rPr>
        <w:rFonts w:ascii="Times New Roman" w:eastAsia="Times New Roman" w:hAnsi="Times New Roman" w:cs="Times New Roman" w:hint="default"/>
      </w:rPr>
    </w:lvl>
    <w:lvl w:ilvl="1" w:tplc="08090003" w:tentative="1">
      <w:start w:val="1"/>
      <w:numFmt w:val="bullet"/>
      <w:lvlText w:val="o"/>
      <w:lvlJc w:val="left"/>
      <w:pPr>
        <w:ind w:left="1165" w:hanging="360"/>
      </w:pPr>
      <w:rPr>
        <w:rFonts w:ascii="Courier New" w:hAnsi="Courier New" w:cs="Courier New" w:hint="default"/>
      </w:rPr>
    </w:lvl>
    <w:lvl w:ilvl="2" w:tplc="08090005" w:tentative="1">
      <w:start w:val="1"/>
      <w:numFmt w:val="bullet"/>
      <w:lvlText w:val=""/>
      <w:lvlJc w:val="left"/>
      <w:pPr>
        <w:ind w:left="1885" w:hanging="360"/>
      </w:pPr>
      <w:rPr>
        <w:rFonts w:ascii="Wingdings" w:hAnsi="Wingdings" w:hint="default"/>
      </w:rPr>
    </w:lvl>
    <w:lvl w:ilvl="3" w:tplc="08090001" w:tentative="1">
      <w:start w:val="1"/>
      <w:numFmt w:val="bullet"/>
      <w:lvlText w:val=""/>
      <w:lvlJc w:val="left"/>
      <w:pPr>
        <w:ind w:left="2605" w:hanging="360"/>
      </w:pPr>
      <w:rPr>
        <w:rFonts w:ascii="Symbol" w:hAnsi="Symbol" w:hint="default"/>
      </w:rPr>
    </w:lvl>
    <w:lvl w:ilvl="4" w:tplc="08090003" w:tentative="1">
      <w:start w:val="1"/>
      <w:numFmt w:val="bullet"/>
      <w:lvlText w:val="o"/>
      <w:lvlJc w:val="left"/>
      <w:pPr>
        <w:ind w:left="3325" w:hanging="360"/>
      </w:pPr>
      <w:rPr>
        <w:rFonts w:ascii="Courier New" w:hAnsi="Courier New" w:cs="Courier New" w:hint="default"/>
      </w:rPr>
    </w:lvl>
    <w:lvl w:ilvl="5" w:tplc="08090005" w:tentative="1">
      <w:start w:val="1"/>
      <w:numFmt w:val="bullet"/>
      <w:lvlText w:val=""/>
      <w:lvlJc w:val="left"/>
      <w:pPr>
        <w:ind w:left="4045" w:hanging="360"/>
      </w:pPr>
      <w:rPr>
        <w:rFonts w:ascii="Wingdings" w:hAnsi="Wingdings" w:hint="default"/>
      </w:rPr>
    </w:lvl>
    <w:lvl w:ilvl="6" w:tplc="08090001" w:tentative="1">
      <w:start w:val="1"/>
      <w:numFmt w:val="bullet"/>
      <w:lvlText w:val=""/>
      <w:lvlJc w:val="left"/>
      <w:pPr>
        <w:ind w:left="4765" w:hanging="360"/>
      </w:pPr>
      <w:rPr>
        <w:rFonts w:ascii="Symbol" w:hAnsi="Symbol" w:hint="default"/>
      </w:rPr>
    </w:lvl>
    <w:lvl w:ilvl="7" w:tplc="08090003" w:tentative="1">
      <w:start w:val="1"/>
      <w:numFmt w:val="bullet"/>
      <w:lvlText w:val="o"/>
      <w:lvlJc w:val="left"/>
      <w:pPr>
        <w:ind w:left="5485" w:hanging="360"/>
      </w:pPr>
      <w:rPr>
        <w:rFonts w:ascii="Courier New" w:hAnsi="Courier New" w:cs="Courier New" w:hint="default"/>
      </w:rPr>
    </w:lvl>
    <w:lvl w:ilvl="8" w:tplc="08090005" w:tentative="1">
      <w:start w:val="1"/>
      <w:numFmt w:val="bullet"/>
      <w:lvlText w:val=""/>
      <w:lvlJc w:val="left"/>
      <w:pPr>
        <w:ind w:left="6205" w:hanging="360"/>
      </w:pPr>
      <w:rPr>
        <w:rFonts w:ascii="Wingdings" w:hAnsi="Wingdings" w:hint="default"/>
      </w:rPr>
    </w:lvl>
  </w:abstractNum>
  <w:abstractNum w:abstractNumId="122" w15:restartNumberingAfterBreak="0">
    <w:nsid w:val="41910805"/>
    <w:multiLevelType w:val="hybridMultilevel"/>
    <w:tmpl w:val="DB2269C6"/>
    <w:lvl w:ilvl="0" w:tplc="7BBAF134">
      <w:start w:val="3"/>
      <w:numFmt w:val="bullet"/>
      <w:lvlText w:val="-"/>
      <w:lvlJc w:val="left"/>
      <w:pPr>
        <w:ind w:left="720" w:hanging="360"/>
      </w:pPr>
      <w:rPr>
        <w:rFonts w:ascii="Calibri" w:eastAsiaTheme="minorEastAsia" w:hAnsi="Calibri" w:cs="Calibri"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23" w15:restartNumberingAfterBreak="0">
    <w:nsid w:val="41910F6D"/>
    <w:multiLevelType w:val="hybridMultilevel"/>
    <w:tmpl w:val="F4669CCC"/>
    <w:lvl w:ilvl="0" w:tplc="0809001B">
      <w:start w:val="1"/>
      <w:numFmt w:val="lowerRoman"/>
      <w:lvlText w:val="%1."/>
      <w:lvlJc w:val="righ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4" w15:restartNumberingAfterBreak="0">
    <w:nsid w:val="41F800E5"/>
    <w:multiLevelType w:val="hybridMultilevel"/>
    <w:tmpl w:val="F8B82BF0"/>
    <w:lvl w:ilvl="0" w:tplc="805CBA54">
      <w:start w:val="45"/>
      <w:numFmt w:val="decimal"/>
      <w:lvlText w:val="%1)"/>
      <w:lvlJc w:val="left"/>
      <w:pPr>
        <w:ind w:left="2694" w:hanging="360"/>
      </w:pPr>
      <w:rPr>
        <w:rFonts w:eastAsia="MS Mincho"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5" w15:restartNumberingAfterBreak="0">
    <w:nsid w:val="4266117F"/>
    <w:multiLevelType w:val="hybridMultilevel"/>
    <w:tmpl w:val="DE10C0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6" w15:restartNumberingAfterBreak="0">
    <w:nsid w:val="4275537F"/>
    <w:multiLevelType w:val="hybridMultilevel"/>
    <w:tmpl w:val="E37EEA10"/>
    <w:lvl w:ilvl="0" w:tplc="08090001">
      <w:start w:val="1"/>
      <w:numFmt w:val="bullet"/>
      <w:lvlText w:val=""/>
      <w:lvlJc w:val="left"/>
      <w:pPr>
        <w:ind w:left="805" w:hanging="360"/>
      </w:pPr>
      <w:rPr>
        <w:rFonts w:ascii="Symbol" w:hAnsi="Symbol" w:hint="default"/>
      </w:rPr>
    </w:lvl>
    <w:lvl w:ilvl="1" w:tplc="08090003" w:tentative="1">
      <w:start w:val="1"/>
      <w:numFmt w:val="bullet"/>
      <w:lvlText w:val="o"/>
      <w:lvlJc w:val="left"/>
      <w:pPr>
        <w:ind w:left="1525" w:hanging="360"/>
      </w:pPr>
      <w:rPr>
        <w:rFonts w:ascii="Courier New" w:hAnsi="Courier New" w:cs="Courier New" w:hint="default"/>
      </w:rPr>
    </w:lvl>
    <w:lvl w:ilvl="2" w:tplc="08090005" w:tentative="1">
      <w:start w:val="1"/>
      <w:numFmt w:val="bullet"/>
      <w:lvlText w:val=""/>
      <w:lvlJc w:val="left"/>
      <w:pPr>
        <w:ind w:left="2245" w:hanging="360"/>
      </w:pPr>
      <w:rPr>
        <w:rFonts w:ascii="Wingdings" w:hAnsi="Wingdings" w:hint="default"/>
      </w:rPr>
    </w:lvl>
    <w:lvl w:ilvl="3" w:tplc="08090001" w:tentative="1">
      <w:start w:val="1"/>
      <w:numFmt w:val="bullet"/>
      <w:lvlText w:val=""/>
      <w:lvlJc w:val="left"/>
      <w:pPr>
        <w:ind w:left="2965" w:hanging="360"/>
      </w:pPr>
      <w:rPr>
        <w:rFonts w:ascii="Symbol" w:hAnsi="Symbol" w:hint="default"/>
      </w:rPr>
    </w:lvl>
    <w:lvl w:ilvl="4" w:tplc="08090003" w:tentative="1">
      <w:start w:val="1"/>
      <w:numFmt w:val="bullet"/>
      <w:lvlText w:val="o"/>
      <w:lvlJc w:val="left"/>
      <w:pPr>
        <w:ind w:left="3685" w:hanging="360"/>
      </w:pPr>
      <w:rPr>
        <w:rFonts w:ascii="Courier New" w:hAnsi="Courier New" w:cs="Courier New" w:hint="default"/>
      </w:rPr>
    </w:lvl>
    <w:lvl w:ilvl="5" w:tplc="08090005" w:tentative="1">
      <w:start w:val="1"/>
      <w:numFmt w:val="bullet"/>
      <w:lvlText w:val=""/>
      <w:lvlJc w:val="left"/>
      <w:pPr>
        <w:ind w:left="4405" w:hanging="360"/>
      </w:pPr>
      <w:rPr>
        <w:rFonts w:ascii="Wingdings" w:hAnsi="Wingdings" w:hint="default"/>
      </w:rPr>
    </w:lvl>
    <w:lvl w:ilvl="6" w:tplc="08090001" w:tentative="1">
      <w:start w:val="1"/>
      <w:numFmt w:val="bullet"/>
      <w:lvlText w:val=""/>
      <w:lvlJc w:val="left"/>
      <w:pPr>
        <w:ind w:left="5125" w:hanging="360"/>
      </w:pPr>
      <w:rPr>
        <w:rFonts w:ascii="Symbol" w:hAnsi="Symbol" w:hint="default"/>
      </w:rPr>
    </w:lvl>
    <w:lvl w:ilvl="7" w:tplc="08090003" w:tentative="1">
      <w:start w:val="1"/>
      <w:numFmt w:val="bullet"/>
      <w:lvlText w:val="o"/>
      <w:lvlJc w:val="left"/>
      <w:pPr>
        <w:ind w:left="5845" w:hanging="360"/>
      </w:pPr>
      <w:rPr>
        <w:rFonts w:ascii="Courier New" w:hAnsi="Courier New" w:cs="Courier New" w:hint="default"/>
      </w:rPr>
    </w:lvl>
    <w:lvl w:ilvl="8" w:tplc="08090005" w:tentative="1">
      <w:start w:val="1"/>
      <w:numFmt w:val="bullet"/>
      <w:lvlText w:val=""/>
      <w:lvlJc w:val="left"/>
      <w:pPr>
        <w:ind w:left="6565" w:hanging="360"/>
      </w:pPr>
      <w:rPr>
        <w:rFonts w:ascii="Wingdings" w:hAnsi="Wingdings" w:hint="default"/>
      </w:rPr>
    </w:lvl>
  </w:abstractNum>
  <w:abstractNum w:abstractNumId="127" w15:restartNumberingAfterBreak="0">
    <w:nsid w:val="427553C3"/>
    <w:multiLevelType w:val="hybridMultilevel"/>
    <w:tmpl w:val="625E3582"/>
    <w:lvl w:ilvl="0" w:tplc="0CDE26CA">
      <w:start w:val="1"/>
      <w:numFmt w:val="bullet"/>
      <w:lvlText w:val="·"/>
      <w:lvlJc w:val="left"/>
      <w:pPr>
        <w:ind w:left="720" w:hanging="360"/>
      </w:pPr>
      <w:rPr>
        <w:rFonts w:ascii="Symbol" w:hAnsi="Symbol" w:hint="default"/>
      </w:rPr>
    </w:lvl>
    <w:lvl w:ilvl="1" w:tplc="6E66BED4">
      <w:start w:val="1"/>
      <w:numFmt w:val="bullet"/>
      <w:lvlText w:val="o"/>
      <w:lvlJc w:val="left"/>
      <w:pPr>
        <w:ind w:left="1440" w:hanging="360"/>
      </w:pPr>
      <w:rPr>
        <w:rFonts w:ascii="Courier New" w:hAnsi="Courier New" w:hint="default"/>
      </w:rPr>
    </w:lvl>
    <w:lvl w:ilvl="2" w:tplc="6136DC70">
      <w:start w:val="1"/>
      <w:numFmt w:val="bullet"/>
      <w:lvlText w:val=""/>
      <w:lvlJc w:val="left"/>
      <w:pPr>
        <w:ind w:left="2160" w:hanging="360"/>
      </w:pPr>
      <w:rPr>
        <w:rFonts w:ascii="Wingdings" w:hAnsi="Wingdings" w:hint="default"/>
      </w:rPr>
    </w:lvl>
    <w:lvl w:ilvl="3" w:tplc="56BCDBBC">
      <w:start w:val="1"/>
      <w:numFmt w:val="bullet"/>
      <w:lvlText w:val=""/>
      <w:lvlJc w:val="left"/>
      <w:pPr>
        <w:ind w:left="2880" w:hanging="360"/>
      </w:pPr>
      <w:rPr>
        <w:rFonts w:ascii="Symbol" w:hAnsi="Symbol" w:hint="default"/>
      </w:rPr>
    </w:lvl>
    <w:lvl w:ilvl="4" w:tplc="5726A0C8">
      <w:start w:val="1"/>
      <w:numFmt w:val="bullet"/>
      <w:lvlText w:val="o"/>
      <w:lvlJc w:val="left"/>
      <w:pPr>
        <w:ind w:left="3600" w:hanging="360"/>
      </w:pPr>
      <w:rPr>
        <w:rFonts w:ascii="Courier New" w:hAnsi="Courier New" w:hint="default"/>
      </w:rPr>
    </w:lvl>
    <w:lvl w:ilvl="5" w:tplc="AB124752">
      <w:start w:val="1"/>
      <w:numFmt w:val="bullet"/>
      <w:lvlText w:val=""/>
      <w:lvlJc w:val="left"/>
      <w:pPr>
        <w:ind w:left="4320" w:hanging="360"/>
      </w:pPr>
      <w:rPr>
        <w:rFonts w:ascii="Wingdings" w:hAnsi="Wingdings" w:hint="default"/>
      </w:rPr>
    </w:lvl>
    <w:lvl w:ilvl="6" w:tplc="935C97FC">
      <w:start w:val="1"/>
      <w:numFmt w:val="bullet"/>
      <w:lvlText w:val=""/>
      <w:lvlJc w:val="left"/>
      <w:pPr>
        <w:ind w:left="5040" w:hanging="360"/>
      </w:pPr>
      <w:rPr>
        <w:rFonts w:ascii="Symbol" w:hAnsi="Symbol" w:hint="default"/>
      </w:rPr>
    </w:lvl>
    <w:lvl w:ilvl="7" w:tplc="24A2BA28">
      <w:start w:val="1"/>
      <w:numFmt w:val="bullet"/>
      <w:lvlText w:val="o"/>
      <w:lvlJc w:val="left"/>
      <w:pPr>
        <w:ind w:left="5760" w:hanging="360"/>
      </w:pPr>
      <w:rPr>
        <w:rFonts w:ascii="Courier New" w:hAnsi="Courier New" w:hint="default"/>
      </w:rPr>
    </w:lvl>
    <w:lvl w:ilvl="8" w:tplc="3F24B7EA">
      <w:start w:val="1"/>
      <w:numFmt w:val="bullet"/>
      <w:lvlText w:val=""/>
      <w:lvlJc w:val="left"/>
      <w:pPr>
        <w:ind w:left="6480" w:hanging="360"/>
      </w:pPr>
      <w:rPr>
        <w:rFonts w:ascii="Wingdings" w:hAnsi="Wingdings" w:hint="default"/>
      </w:rPr>
    </w:lvl>
  </w:abstractNum>
  <w:abstractNum w:abstractNumId="128" w15:restartNumberingAfterBreak="0">
    <w:nsid w:val="42957DBD"/>
    <w:multiLevelType w:val="hybridMultilevel"/>
    <w:tmpl w:val="42E26CDA"/>
    <w:lvl w:ilvl="0" w:tplc="7D5EEB9C">
      <w:start w:val="1"/>
      <w:numFmt w:val="lowerRoman"/>
      <w:lvlText w:val="(%1)"/>
      <w:lvlJc w:val="left"/>
      <w:pPr>
        <w:ind w:left="753" w:hanging="720"/>
      </w:pPr>
      <w:rPr>
        <w:rFonts w:hint="default"/>
      </w:rPr>
    </w:lvl>
    <w:lvl w:ilvl="1" w:tplc="08090019" w:tentative="1">
      <w:start w:val="1"/>
      <w:numFmt w:val="lowerLetter"/>
      <w:lvlText w:val="%2."/>
      <w:lvlJc w:val="left"/>
      <w:pPr>
        <w:ind w:left="1113" w:hanging="360"/>
      </w:pPr>
    </w:lvl>
    <w:lvl w:ilvl="2" w:tplc="0809001B" w:tentative="1">
      <w:start w:val="1"/>
      <w:numFmt w:val="lowerRoman"/>
      <w:lvlText w:val="%3."/>
      <w:lvlJc w:val="right"/>
      <w:pPr>
        <w:ind w:left="1833" w:hanging="180"/>
      </w:pPr>
    </w:lvl>
    <w:lvl w:ilvl="3" w:tplc="0809000F" w:tentative="1">
      <w:start w:val="1"/>
      <w:numFmt w:val="decimal"/>
      <w:lvlText w:val="%4."/>
      <w:lvlJc w:val="left"/>
      <w:pPr>
        <w:ind w:left="2553" w:hanging="360"/>
      </w:pPr>
    </w:lvl>
    <w:lvl w:ilvl="4" w:tplc="08090019" w:tentative="1">
      <w:start w:val="1"/>
      <w:numFmt w:val="lowerLetter"/>
      <w:lvlText w:val="%5."/>
      <w:lvlJc w:val="left"/>
      <w:pPr>
        <w:ind w:left="3273" w:hanging="360"/>
      </w:pPr>
    </w:lvl>
    <w:lvl w:ilvl="5" w:tplc="0809001B" w:tentative="1">
      <w:start w:val="1"/>
      <w:numFmt w:val="lowerRoman"/>
      <w:lvlText w:val="%6."/>
      <w:lvlJc w:val="right"/>
      <w:pPr>
        <w:ind w:left="3993" w:hanging="180"/>
      </w:pPr>
    </w:lvl>
    <w:lvl w:ilvl="6" w:tplc="0809000F" w:tentative="1">
      <w:start w:val="1"/>
      <w:numFmt w:val="decimal"/>
      <w:lvlText w:val="%7."/>
      <w:lvlJc w:val="left"/>
      <w:pPr>
        <w:ind w:left="4713" w:hanging="360"/>
      </w:pPr>
    </w:lvl>
    <w:lvl w:ilvl="7" w:tplc="08090019" w:tentative="1">
      <w:start w:val="1"/>
      <w:numFmt w:val="lowerLetter"/>
      <w:lvlText w:val="%8."/>
      <w:lvlJc w:val="left"/>
      <w:pPr>
        <w:ind w:left="5433" w:hanging="360"/>
      </w:pPr>
    </w:lvl>
    <w:lvl w:ilvl="8" w:tplc="0809001B" w:tentative="1">
      <w:start w:val="1"/>
      <w:numFmt w:val="lowerRoman"/>
      <w:lvlText w:val="%9."/>
      <w:lvlJc w:val="right"/>
      <w:pPr>
        <w:ind w:left="6153" w:hanging="180"/>
      </w:pPr>
    </w:lvl>
  </w:abstractNum>
  <w:abstractNum w:abstractNumId="129" w15:restartNumberingAfterBreak="0">
    <w:nsid w:val="42DB0852"/>
    <w:multiLevelType w:val="hybridMultilevel"/>
    <w:tmpl w:val="FFFFFFFF"/>
    <w:lvl w:ilvl="0" w:tplc="DCB81600">
      <w:start w:val="1"/>
      <w:numFmt w:val="decimal"/>
      <w:lvlText w:val="%1."/>
      <w:lvlJc w:val="left"/>
      <w:pPr>
        <w:ind w:left="720" w:hanging="360"/>
      </w:pPr>
    </w:lvl>
    <w:lvl w:ilvl="1" w:tplc="709C6A3A">
      <w:start w:val="1"/>
      <w:numFmt w:val="lowerLetter"/>
      <w:lvlText w:val="%2."/>
      <w:lvlJc w:val="left"/>
      <w:pPr>
        <w:ind w:left="1440" w:hanging="360"/>
      </w:pPr>
    </w:lvl>
    <w:lvl w:ilvl="2" w:tplc="A14A22E0">
      <w:start w:val="1"/>
      <w:numFmt w:val="lowerRoman"/>
      <w:lvlText w:val="%3."/>
      <w:lvlJc w:val="right"/>
      <w:pPr>
        <w:ind w:left="2160" w:hanging="180"/>
      </w:pPr>
    </w:lvl>
    <w:lvl w:ilvl="3" w:tplc="37A2BA48">
      <w:start w:val="1"/>
      <w:numFmt w:val="decimal"/>
      <w:lvlText w:val="%4."/>
      <w:lvlJc w:val="left"/>
      <w:pPr>
        <w:ind w:left="2880" w:hanging="360"/>
      </w:pPr>
    </w:lvl>
    <w:lvl w:ilvl="4" w:tplc="0158D936">
      <w:start w:val="1"/>
      <w:numFmt w:val="lowerLetter"/>
      <w:lvlText w:val="%5."/>
      <w:lvlJc w:val="left"/>
      <w:pPr>
        <w:ind w:left="3600" w:hanging="360"/>
      </w:pPr>
    </w:lvl>
    <w:lvl w:ilvl="5" w:tplc="7DCEB506">
      <w:start w:val="1"/>
      <w:numFmt w:val="lowerRoman"/>
      <w:lvlText w:val="%6."/>
      <w:lvlJc w:val="right"/>
      <w:pPr>
        <w:ind w:left="4320" w:hanging="180"/>
      </w:pPr>
    </w:lvl>
    <w:lvl w:ilvl="6" w:tplc="19DC56C0">
      <w:start w:val="1"/>
      <w:numFmt w:val="decimal"/>
      <w:lvlText w:val="%7."/>
      <w:lvlJc w:val="left"/>
      <w:pPr>
        <w:ind w:left="5040" w:hanging="360"/>
      </w:pPr>
    </w:lvl>
    <w:lvl w:ilvl="7" w:tplc="5A90A1E8">
      <w:start w:val="1"/>
      <w:numFmt w:val="lowerLetter"/>
      <w:lvlText w:val="%8."/>
      <w:lvlJc w:val="left"/>
      <w:pPr>
        <w:ind w:left="5760" w:hanging="360"/>
      </w:pPr>
    </w:lvl>
    <w:lvl w:ilvl="8" w:tplc="E2EE7886">
      <w:start w:val="1"/>
      <w:numFmt w:val="lowerRoman"/>
      <w:lvlText w:val="%9."/>
      <w:lvlJc w:val="right"/>
      <w:pPr>
        <w:ind w:left="6480" w:hanging="180"/>
      </w:pPr>
    </w:lvl>
  </w:abstractNum>
  <w:abstractNum w:abstractNumId="130" w15:restartNumberingAfterBreak="0">
    <w:nsid w:val="435E3A14"/>
    <w:multiLevelType w:val="hybridMultilevel"/>
    <w:tmpl w:val="FFFFFFFF"/>
    <w:lvl w:ilvl="0" w:tplc="90ACABF0">
      <w:start w:val="1"/>
      <w:numFmt w:val="decimal"/>
      <w:lvlText w:val="%1."/>
      <w:lvlJc w:val="left"/>
      <w:pPr>
        <w:ind w:left="720" w:hanging="360"/>
      </w:pPr>
    </w:lvl>
    <w:lvl w:ilvl="1" w:tplc="A4C6AD9C">
      <w:start w:val="1"/>
      <w:numFmt w:val="lowerLetter"/>
      <w:lvlText w:val="%2."/>
      <w:lvlJc w:val="left"/>
      <w:pPr>
        <w:ind w:left="1440" w:hanging="360"/>
      </w:pPr>
    </w:lvl>
    <w:lvl w:ilvl="2" w:tplc="A88217C0">
      <w:start w:val="1"/>
      <w:numFmt w:val="lowerRoman"/>
      <w:lvlText w:val="%3."/>
      <w:lvlJc w:val="right"/>
      <w:pPr>
        <w:ind w:left="2160" w:hanging="180"/>
      </w:pPr>
    </w:lvl>
    <w:lvl w:ilvl="3" w:tplc="A83A2AD8">
      <w:start w:val="1"/>
      <w:numFmt w:val="decimal"/>
      <w:lvlText w:val="%4."/>
      <w:lvlJc w:val="left"/>
      <w:pPr>
        <w:ind w:left="2880" w:hanging="360"/>
      </w:pPr>
    </w:lvl>
    <w:lvl w:ilvl="4" w:tplc="1432078E">
      <w:start w:val="1"/>
      <w:numFmt w:val="lowerLetter"/>
      <w:lvlText w:val="%5."/>
      <w:lvlJc w:val="left"/>
      <w:pPr>
        <w:ind w:left="3600" w:hanging="360"/>
      </w:pPr>
    </w:lvl>
    <w:lvl w:ilvl="5" w:tplc="4B42B678">
      <w:start w:val="1"/>
      <w:numFmt w:val="lowerRoman"/>
      <w:lvlText w:val="%6."/>
      <w:lvlJc w:val="right"/>
      <w:pPr>
        <w:ind w:left="4320" w:hanging="180"/>
      </w:pPr>
    </w:lvl>
    <w:lvl w:ilvl="6" w:tplc="B3DEEFF0">
      <w:start w:val="1"/>
      <w:numFmt w:val="decimal"/>
      <w:lvlText w:val="%7."/>
      <w:lvlJc w:val="left"/>
      <w:pPr>
        <w:ind w:left="5040" w:hanging="360"/>
      </w:pPr>
    </w:lvl>
    <w:lvl w:ilvl="7" w:tplc="5A362826">
      <w:start w:val="1"/>
      <w:numFmt w:val="lowerLetter"/>
      <w:lvlText w:val="%8."/>
      <w:lvlJc w:val="left"/>
      <w:pPr>
        <w:ind w:left="5760" w:hanging="360"/>
      </w:pPr>
    </w:lvl>
    <w:lvl w:ilvl="8" w:tplc="BC6E4078">
      <w:start w:val="1"/>
      <w:numFmt w:val="lowerRoman"/>
      <w:lvlText w:val="%9."/>
      <w:lvlJc w:val="right"/>
      <w:pPr>
        <w:ind w:left="6480" w:hanging="180"/>
      </w:pPr>
    </w:lvl>
  </w:abstractNum>
  <w:abstractNum w:abstractNumId="131" w15:restartNumberingAfterBreak="0">
    <w:nsid w:val="436C5B11"/>
    <w:multiLevelType w:val="hybridMultilevel"/>
    <w:tmpl w:val="FFFFFFFF"/>
    <w:lvl w:ilvl="0" w:tplc="BA0AACFA">
      <w:start w:val="1"/>
      <w:numFmt w:val="bullet"/>
      <w:lvlText w:val="·"/>
      <w:lvlJc w:val="left"/>
      <w:pPr>
        <w:ind w:left="720" w:hanging="360"/>
      </w:pPr>
      <w:rPr>
        <w:rFonts w:ascii="Symbol" w:hAnsi="Symbol" w:hint="default"/>
      </w:rPr>
    </w:lvl>
    <w:lvl w:ilvl="1" w:tplc="73C8394E">
      <w:start w:val="1"/>
      <w:numFmt w:val="bullet"/>
      <w:lvlText w:val="o"/>
      <w:lvlJc w:val="left"/>
      <w:pPr>
        <w:ind w:left="1440" w:hanging="360"/>
      </w:pPr>
      <w:rPr>
        <w:rFonts w:ascii="Courier New" w:hAnsi="Courier New" w:hint="default"/>
      </w:rPr>
    </w:lvl>
    <w:lvl w:ilvl="2" w:tplc="DD1E4EEC">
      <w:start w:val="1"/>
      <w:numFmt w:val="bullet"/>
      <w:lvlText w:val=""/>
      <w:lvlJc w:val="left"/>
      <w:pPr>
        <w:ind w:left="2160" w:hanging="360"/>
      </w:pPr>
      <w:rPr>
        <w:rFonts w:ascii="Wingdings" w:hAnsi="Wingdings" w:hint="default"/>
      </w:rPr>
    </w:lvl>
    <w:lvl w:ilvl="3" w:tplc="04ACAC0E">
      <w:start w:val="1"/>
      <w:numFmt w:val="bullet"/>
      <w:lvlText w:val=""/>
      <w:lvlJc w:val="left"/>
      <w:pPr>
        <w:ind w:left="2880" w:hanging="360"/>
      </w:pPr>
      <w:rPr>
        <w:rFonts w:ascii="Symbol" w:hAnsi="Symbol" w:hint="default"/>
      </w:rPr>
    </w:lvl>
    <w:lvl w:ilvl="4" w:tplc="1674D12E">
      <w:start w:val="1"/>
      <w:numFmt w:val="bullet"/>
      <w:lvlText w:val="o"/>
      <w:lvlJc w:val="left"/>
      <w:pPr>
        <w:ind w:left="3600" w:hanging="360"/>
      </w:pPr>
      <w:rPr>
        <w:rFonts w:ascii="Courier New" w:hAnsi="Courier New" w:hint="default"/>
      </w:rPr>
    </w:lvl>
    <w:lvl w:ilvl="5" w:tplc="724AF508">
      <w:start w:val="1"/>
      <w:numFmt w:val="bullet"/>
      <w:lvlText w:val=""/>
      <w:lvlJc w:val="left"/>
      <w:pPr>
        <w:ind w:left="4320" w:hanging="360"/>
      </w:pPr>
      <w:rPr>
        <w:rFonts w:ascii="Wingdings" w:hAnsi="Wingdings" w:hint="default"/>
      </w:rPr>
    </w:lvl>
    <w:lvl w:ilvl="6" w:tplc="F066FAB4">
      <w:start w:val="1"/>
      <w:numFmt w:val="bullet"/>
      <w:lvlText w:val=""/>
      <w:lvlJc w:val="left"/>
      <w:pPr>
        <w:ind w:left="5040" w:hanging="360"/>
      </w:pPr>
      <w:rPr>
        <w:rFonts w:ascii="Symbol" w:hAnsi="Symbol" w:hint="default"/>
      </w:rPr>
    </w:lvl>
    <w:lvl w:ilvl="7" w:tplc="5ED811E8">
      <w:start w:val="1"/>
      <w:numFmt w:val="bullet"/>
      <w:lvlText w:val="o"/>
      <w:lvlJc w:val="left"/>
      <w:pPr>
        <w:ind w:left="5760" w:hanging="360"/>
      </w:pPr>
      <w:rPr>
        <w:rFonts w:ascii="Courier New" w:hAnsi="Courier New" w:hint="default"/>
      </w:rPr>
    </w:lvl>
    <w:lvl w:ilvl="8" w:tplc="391068F6">
      <w:start w:val="1"/>
      <w:numFmt w:val="bullet"/>
      <w:lvlText w:val=""/>
      <w:lvlJc w:val="left"/>
      <w:pPr>
        <w:ind w:left="6480" w:hanging="360"/>
      </w:pPr>
      <w:rPr>
        <w:rFonts w:ascii="Wingdings" w:hAnsi="Wingdings" w:hint="default"/>
      </w:rPr>
    </w:lvl>
  </w:abstractNum>
  <w:abstractNum w:abstractNumId="132" w15:restartNumberingAfterBreak="0">
    <w:nsid w:val="43D91D16"/>
    <w:multiLevelType w:val="hybridMultilevel"/>
    <w:tmpl w:val="F496AE26"/>
    <w:lvl w:ilvl="0" w:tplc="08090001">
      <w:start w:val="1"/>
      <w:numFmt w:val="bullet"/>
      <w:lvlText w:val=""/>
      <w:lvlJc w:val="left"/>
      <w:pPr>
        <w:ind w:left="805" w:hanging="360"/>
      </w:pPr>
      <w:rPr>
        <w:rFonts w:ascii="Symbol" w:hAnsi="Symbol" w:hint="default"/>
      </w:rPr>
    </w:lvl>
    <w:lvl w:ilvl="1" w:tplc="08090003" w:tentative="1">
      <w:start w:val="1"/>
      <w:numFmt w:val="bullet"/>
      <w:lvlText w:val="o"/>
      <w:lvlJc w:val="left"/>
      <w:pPr>
        <w:ind w:left="1525" w:hanging="360"/>
      </w:pPr>
      <w:rPr>
        <w:rFonts w:ascii="Courier New" w:hAnsi="Courier New" w:cs="Courier New" w:hint="default"/>
      </w:rPr>
    </w:lvl>
    <w:lvl w:ilvl="2" w:tplc="08090005" w:tentative="1">
      <w:start w:val="1"/>
      <w:numFmt w:val="bullet"/>
      <w:lvlText w:val=""/>
      <w:lvlJc w:val="left"/>
      <w:pPr>
        <w:ind w:left="2245" w:hanging="360"/>
      </w:pPr>
      <w:rPr>
        <w:rFonts w:ascii="Wingdings" w:hAnsi="Wingdings" w:hint="default"/>
      </w:rPr>
    </w:lvl>
    <w:lvl w:ilvl="3" w:tplc="08090001" w:tentative="1">
      <w:start w:val="1"/>
      <w:numFmt w:val="bullet"/>
      <w:lvlText w:val=""/>
      <w:lvlJc w:val="left"/>
      <w:pPr>
        <w:ind w:left="2965" w:hanging="360"/>
      </w:pPr>
      <w:rPr>
        <w:rFonts w:ascii="Symbol" w:hAnsi="Symbol" w:hint="default"/>
      </w:rPr>
    </w:lvl>
    <w:lvl w:ilvl="4" w:tplc="08090003" w:tentative="1">
      <w:start w:val="1"/>
      <w:numFmt w:val="bullet"/>
      <w:lvlText w:val="o"/>
      <w:lvlJc w:val="left"/>
      <w:pPr>
        <w:ind w:left="3685" w:hanging="360"/>
      </w:pPr>
      <w:rPr>
        <w:rFonts w:ascii="Courier New" w:hAnsi="Courier New" w:cs="Courier New" w:hint="default"/>
      </w:rPr>
    </w:lvl>
    <w:lvl w:ilvl="5" w:tplc="08090005" w:tentative="1">
      <w:start w:val="1"/>
      <w:numFmt w:val="bullet"/>
      <w:lvlText w:val=""/>
      <w:lvlJc w:val="left"/>
      <w:pPr>
        <w:ind w:left="4405" w:hanging="360"/>
      </w:pPr>
      <w:rPr>
        <w:rFonts w:ascii="Wingdings" w:hAnsi="Wingdings" w:hint="default"/>
      </w:rPr>
    </w:lvl>
    <w:lvl w:ilvl="6" w:tplc="08090001" w:tentative="1">
      <w:start w:val="1"/>
      <w:numFmt w:val="bullet"/>
      <w:lvlText w:val=""/>
      <w:lvlJc w:val="left"/>
      <w:pPr>
        <w:ind w:left="5125" w:hanging="360"/>
      </w:pPr>
      <w:rPr>
        <w:rFonts w:ascii="Symbol" w:hAnsi="Symbol" w:hint="default"/>
      </w:rPr>
    </w:lvl>
    <w:lvl w:ilvl="7" w:tplc="08090003" w:tentative="1">
      <w:start w:val="1"/>
      <w:numFmt w:val="bullet"/>
      <w:lvlText w:val="o"/>
      <w:lvlJc w:val="left"/>
      <w:pPr>
        <w:ind w:left="5845" w:hanging="360"/>
      </w:pPr>
      <w:rPr>
        <w:rFonts w:ascii="Courier New" w:hAnsi="Courier New" w:cs="Courier New" w:hint="default"/>
      </w:rPr>
    </w:lvl>
    <w:lvl w:ilvl="8" w:tplc="08090005" w:tentative="1">
      <w:start w:val="1"/>
      <w:numFmt w:val="bullet"/>
      <w:lvlText w:val=""/>
      <w:lvlJc w:val="left"/>
      <w:pPr>
        <w:ind w:left="6565" w:hanging="360"/>
      </w:pPr>
      <w:rPr>
        <w:rFonts w:ascii="Wingdings" w:hAnsi="Wingdings" w:hint="default"/>
      </w:rPr>
    </w:lvl>
  </w:abstractNum>
  <w:abstractNum w:abstractNumId="133" w15:restartNumberingAfterBreak="0">
    <w:nsid w:val="44C27D48"/>
    <w:multiLevelType w:val="hybridMultilevel"/>
    <w:tmpl w:val="B15CC8FC"/>
    <w:lvl w:ilvl="0" w:tplc="090C4D3E">
      <w:start w:val="1"/>
      <w:numFmt w:val="bullet"/>
      <w:pStyle w:val="bullet2"/>
      <w:lvlText w:val=""/>
      <w:lvlJc w:val="left"/>
      <w:pPr>
        <w:tabs>
          <w:tab w:val="num" w:pos="680"/>
        </w:tabs>
        <w:ind w:left="680" w:hanging="34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4" w15:restartNumberingAfterBreak="0">
    <w:nsid w:val="44FB0A58"/>
    <w:multiLevelType w:val="hybridMultilevel"/>
    <w:tmpl w:val="FF84F170"/>
    <w:lvl w:ilvl="0" w:tplc="08090001">
      <w:start w:val="1"/>
      <w:numFmt w:val="bullet"/>
      <w:lvlText w:val=""/>
      <w:lvlJc w:val="left"/>
      <w:pPr>
        <w:ind w:left="1428" w:hanging="360"/>
      </w:pPr>
      <w:rPr>
        <w:rFonts w:ascii="Symbol" w:hAnsi="Symbol"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135" w15:restartNumberingAfterBreak="0">
    <w:nsid w:val="45756D35"/>
    <w:multiLevelType w:val="hybridMultilevel"/>
    <w:tmpl w:val="C17C3AE4"/>
    <w:lvl w:ilvl="0" w:tplc="B6928798">
      <w:start w:val="52"/>
      <w:numFmt w:val="decimal"/>
      <w:lvlText w:val="%1."/>
      <w:lvlJc w:val="left"/>
      <w:pPr>
        <w:ind w:left="720" w:hanging="360"/>
      </w:pPr>
    </w:lvl>
    <w:lvl w:ilvl="1" w:tplc="3F367B64">
      <w:start w:val="1"/>
      <w:numFmt w:val="lowerLetter"/>
      <w:lvlText w:val="%2."/>
      <w:lvlJc w:val="left"/>
      <w:pPr>
        <w:ind w:left="1440" w:hanging="360"/>
      </w:pPr>
    </w:lvl>
    <w:lvl w:ilvl="2" w:tplc="51D0F6AA">
      <w:start w:val="1"/>
      <w:numFmt w:val="lowerRoman"/>
      <w:lvlText w:val="%3."/>
      <w:lvlJc w:val="right"/>
      <w:pPr>
        <w:ind w:left="2160" w:hanging="180"/>
      </w:pPr>
    </w:lvl>
    <w:lvl w:ilvl="3" w:tplc="78E6ADE6">
      <w:start w:val="1"/>
      <w:numFmt w:val="decimal"/>
      <w:lvlText w:val="%4."/>
      <w:lvlJc w:val="left"/>
      <w:pPr>
        <w:ind w:left="2880" w:hanging="360"/>
      </w:pPr>
    </w:lvl>
    <w:lvl w:ilvl="4" w:tplc="E8EC4AD2">
      <w:start w:val="1"/>
      <w:numFmt w:val="lowerLetter"/>
      <w:lvlText w:val="%5."/>
      <w:lvlJc w:val="left"/>
      <w:pPr>
        <w:ind w:left="3600" w:hanging="360"/>
      </w:pPr>
    </w:lvl>
    <w:lvl w:ilvl="5" w:tplc="EA4C29B8">
      <w:start w:val="1"/>
      <w:numFmt w:val="lowerRoman"/>
      <w:lvlText w:val="%6."/>
      <w:lvlJc w:val="right"/>
      <w:pPr>
        <w:ind w:left="4320" w:hanging="180"/>
      </w:pPr>
    </w:lvl>
    <w:lvl w:ilvl="6" w:tplc="F412FF34">
      <w:start w:val="1"/>
      <w:numFmt w:val="decimal"/>
      <w:lvlText w:val="%7."/>
      <w:lvlJc w:val="left"/>
      <w:pPr>
        <w:ind w:left="5040" w:hanging="360"/>
      </w:pPr>
    </w:lvl>
    <w:lvl w:ilvl="7" w:tplc="17324140">
      <w:start w:val="1"/>
      <w:numFmt w:val="lowerLetter"/>
      <w:lvlText w:val="%8."/>
      <w:lvlJc w:val="left"/>
      <w:pPr>
        <w:ind w:left="5760" w:hanging="360"/>
      </w:pPr>
    </w:lvl>
    <w:lvl w:ilvl="8" w:tplc="8DC65FEA">
      <w:start w:val="1"/>
      <w:numFmt w:val="lowerRoman"/>
      <w:lvlText w:val="%9."/>
      <w:lvlJc w:val="right"/>
      <w:pPr>
        <w:ind w:left="6480" w:hanging="180"/>
      </w:pPr>
    </w:lvl>
  </w:abstractNum>
  <w:abstractNum w:abstractNumId="136" w15:restartNumberingAfterBreak="0">
    <w:nsid w:val="45F3484C"/>
    <w:multiLevelType w:val="hybridMultilevel"/>
    <w:tmpl w:val="CDDC159E"/>
    <w:lvl w:ilvl="0" w:tplc="0972CC78">
      <w:start w:val="1"/>
      <w:numFmt w:val="lowerRoman"/>
      <w:lvlText w:val="(%1)"/>
      <w:lvlJc w:val="left"/>
      <w:pPr>
        <w:ind w:left="753" w:hanging="720"/>
      </w:pPr>
      <w:rPr>
        <w:rFonts w:hint="default"/>
      </w:rPr>
    </w:lvl>
    <w:lvl w:ilvl="1" w:tplc="08090019" w:tentative="1">
      <w:start w:val="1"/>
      <w:numFmt w:val="lowerLetter"/>
      <w:lvlText w:val="%2."/>
      <w:lvlJc w:val="left"/>
      <w:pPr>
        <w:ind w:left="1113" w:hanging="360"/>
      </w:pPr>
    </w:lvl>
    <w:lvl w:ilvl="2" w:tplc="0809001B" w:tentative="1">
      <w:start w:val="1"/>
      <w:numFmt w:val="lowerRoman"/>
      <w:lvlText w:val="%3."/>
      <w:lvlJc w:val="right"/>
      <w:pPr>
        <w:ind w:left="1833" w:hanging="180"/>
      </w:pPr>
    </w:lvl>
    <w:lvl w:ilvl="3" w:tplc="0809000F" w:tentative="1">
      <w:start w:val="1"/>
      <w:numFmt w:val="decimal"/>
      <w:lvlText w:val="%4."/>
      <w:lvlJc w:val="left"/>
      <w:pPr>
        <w:ind w:left="2553" w:hanging="360"/>
      </w:pPr>
    </w:lvl>
    <w:lvl w:ilvl="4" w:tplc="08090019" w:tentative="1">
      <w:start w:val="1"/>
      <w:numFmt w:val="lowerLetter"/>
      <w:lvlText w:val="%5."/>
      <w:lvlJc w:val="left"/>
      <w:pPr>
        <w:ind w:left="3273" w:hanging="360"/>
      </w:pPr>
    </w:lvl>
    <w:lvl w:ilvl="5" w:tplc="0809001B" w:tentative="1">
      <w:start w:val="1"/>
      <w:numFmt w:val="lowerRoman"/>
      <w:lvlText w:val="%6."/>
      <w:lvlJc w:val="right"/>
      <w:pPr>
        <w:ind w:left="3993" w:hanging="180"/>
      </w:pPr>
    </w:lvl>
    <w:lvl w:ilvl="6" w:tplc="0809000F" w:tentative="1">
      <w:start w:val="1"/>
      <w:numFmt w:val="decimal"/>
      <w:lvlText w:val="%7."/>
      <w:lvlJc w:val="left"/>
      <w:pPr>
        <w:ind w:left="4713" w:hanging="360"/>
      </w:pPr>
    </w:lvl>
    <w:lvl w:ilvl="7" w:tplc="08090019" w:tentative="1">
      <w:start w:val="1"/>
      <w:numFmt w:val="lowerLetter"/>
      <w:lvlText w:val="%8."/>
      <w:lvlJc w:val="left"/>
      <w:pPr>
        <w:ind w:left="5433" w:hanging="360"/>
      </w:pPr>
    </w:lvl>
    <w:lvl w:ilvl="8" w:tplc="0809001B" w:tentative="1">
      <w:start w:val="1"/>
      <w:numFmt w:val="lowerRoman"/>
      <w:lvlText w:val="%9."/>
      <w:lvlJc w:val="right"/>
      <w:pPr>
        <w:ind w:left="6153" w:hanging="180"/>
      </w:pPr>
    </w:lvl>
  </w:abstractNum>
  <w:abstractNum w:abstractNumId="137" w15:restartNumberingAfterBreak="0">
    <w:nsid w:val="45F75F11"/>
    <w:multiLevelType w:val="hybridMultilevel"/>
    <w:tmpl w:val="FFFFFFFF"/>
    <w:lvl w:ilvl="0" w:tplc="9D88E720">
      <w:start w:val="1"/>
      <w:numFmt w:val="bullet"/>
      <w:lvlText w:val="·"/>
      <w:lvlJc w:val="left"/>
      <w:pPr>
        <w:ind w:left="720" w:hanging="360"/>
      </w:pPr>
      <w:rPr>
        <w:rFonts w:ascii="Symbol" w:hAnsi="Symbol" w:hint="default"/>
      </w:rPr>
    </w:lvl>
    <w:lvl w:ilvl="1" w:tplc="51884D46">
      <w:start w:val="1"/>
      <w:numFmt w:val="bullet"/>
      <w:lvlText w:val="o"/>
      <w:lvlJc w:val="left"/>
      <w:pPr>
        <w:ind w:left="1440" w:hanging="360"/>
      </w:pPr>
      <w:rPr>
        <w:rFonts w:ascii="Courier New" w:hAnsi="Courier New" w:hint="default"/>
      </w:rPr>
    </w:lvl>
    <w:lvl w:ilvl="2" w:tplc="CFB61AB4">
      <w:start w:val="1"/>
      <w:numFmt w:val="bullet"/>
      <w:lvlText w:val=""/>
      <w:lvlJc w:val="left"/>
      <w:pPr>
        <w:ind w:left="2160" w:hanging="360"/>
      </w:pPr>
      <w:rPr>
        <w:rFonts w:ascii="Wingdings" w:hAnsi="Wingdings" w:hint="default"/>
      </w:rPr>
    </w:lvl>
    <w:lvl w:ilvl="3" w:tplc="ADFE8606">
      <w:start w:val="1"/>
      <w:numFmt w:val="bullet"/>
      <w:lvlText w:val=""/>
      <w:lvlJc w:val="left"/>
      <w:pPr>
        <w:ind w:left="2880" w:hanging="360"/>
      </w:pPr>
      <w:rPr>
        <w:rFonts w:ascii="Symbol" w:hAnsi="Symbol" w:hint="default"/>
      </w:rPr>
    </w:lvl>
    <w:lvl w:ilvl="4" w:tplc="F73EC1CA">
      <w:start w:val="1"/>
      <w:numFmt w:val="bullet"/>
      <w:lvlText w:val="o"/>
      <w:lvlJc w:val="left"/>
      <w:pPr>
        <w:ind w:left="3600" w:hanging="360"/>
      </w:pPr>
      <w:rPr>
        <w:rFonts w:ascii="Courier New" w:hAnsi="Courier New" w:hint="default"/>
      </w:rPr>
    </w:lvl>
    <w:lvl w:ilvl="5" w:tplc="EE24A45E">
      <w:start w:val="1"/>
      <w:numFmt w:val="bullet"/>
      <w:lvlText w:val=""/>
      <w:lvlJc w:val="left"/>
      <w:pPr>
        <w:ind w:left="4320" w:hanging="360"/>
      </w:pPr>
      <w:rPr>
        <w:rFonts w:ascii="Wingdings" w:hAnsi="Wingdings" w:hint="default"/>
      </w:rPr>
    </w:lvl>
    <w:lvl w:ilvl="6" w:tplc="18F4A210">
      <w:start w:val="1"/>
      <w:numFmt w:val="bullet"/>
      <w:lvlText w:val=""/>
      <w:lvlJc w:val="left"/>
      <w:pPr>
        <w:ind w:left="5040" w:hanging="360"/>
      </w:pPr>
      <w:rPr>
        <w:rFonts w:ascii="Symbol" w:hAnsi="Symbol" w:hint="default"/>
      </w:rPr>
    </w:lvl>
    <w:lvl w:ilvl="7" w:tplc="EC60BC66">
      <w:start w:val="1"/>
      <w:numFmt w:val="bullet"/>
      <w:lvlText w:val="o"/>
      <w:lvlJc w:val="left"/>
      <w:pPr>
        <w:ind w:left="5760" w:hanging="360"/>
      </w:pPr>
      <w:rPr>
        <w:rFonts w:ascii="Courier New" w:hAnsi="Courier New" w:hint="default"/>
      </w:rPr>
    </w:lvl>
    <w:lvl w:ilvl="8" w:tplc="062C43C2">
      <w:start w:val="1"/>
      <w:numFmt w:val="bullet"/>
      <w:lvlText w:val=""/>
      <w:lvlJc w:val="left"/>
      <w:pPr>
        <w:ind w:left="6480" w:hanging="360"/>
      </w:pPr>
      <w:rPr>
        <w:rFonts w:ascii="Wingdings" w:hAnsi="Wingdings" w:hint="default"/>
      </w:rPr>
    </w:lvl>
  </w:abstractNum>
  <w:abstractNum w:abstractNumId="138" w15:restartNumberingAfterBreak="0">
    <w:nsid w:val="46F32E4A"/>
    <w:multiLevelType w:val="hybridMultilevel"/>
    <w:tmpl w:val="DB781246"/>
    <w:lvl w:ilvl="0" w:tplc="4BEACA78">
      <w:numFmt w:val="none"/>
      <w:lvlText w:val=""/>
      <w:lvlJc w:val="left"/>
      <w:pPr>
        <w:tabs>
          <w:tab w:val="num" w:pos="360"/>
        </w:tabs>
      </w:pPr>
    </w:lvl>
    <w:lvl w:ilvl="1" w:tplc="A5A06C28">
      <w:start w:val="1"/>
      <w:numFmt w:val="decimal"/>
      <w:lvlText w:val="%2)"/>
      <w:lvlJc w:val="left"/>
      <w:pPr>
        <w:ind w:left="1080" w:hanging="360"/>
      </w:pPr>
      <w:rPr>
        <w:rFonts w:hint="default"/>
      </w:rPr>
    </w:lvl>
    <w:lvl w:ilvl="2" w:tplc="62F0F12A">
      <w:start w:val="1"/>
      <w:numFmt w:val="lowerRoman"/>
      <w:lvlText w:val="%3."/>
      <w:lvlJc w:val="right"/>
      <w:pPr>
        <w:ind w:left="1800" w:hanging="180"/>
      </w:pPr>
    </w:lvl>
    <w:lvl w:ilvl="3" w:tplc="71BE027E" w:tentative="1">
      <w:start w:val="1"/>
      <w:numFmt w:val="decimal"/>
      <w:lvlText w:val="%4."/>
      <w:lvlJc w:val="left"/>
      <w:pPr>
        <w:ind w:left="2520" w:hanging="360"/>
      </w:pPr>
    </w:lvl>
    <w:lvl w:ilvl="4" w:tplc="03427AE2" w:tentative="1">
      <w:start w:val="1"/>
      <w:numFmt w:val="lowerLetter"/>
      <w:lvlText w:val="%5."/>
      <w:lvlJc w:val="left"/>
      <w:pPr>
        <w:ind w:left="3240" w:hanging="360"/>
      </w:pPr>
    </w:lvl>
    <w:lvl w:ilvl="5" w:tplc="B79A3FB4" w:tentative="1">
      <w:start w:val="1"/>
      <w:numFmt w:val="lowerRoman"/>
      <w:lvlText w:val="%6."/>
      <w:lvlJc w:val="right"/>
      <w:pPr>
        <w:ind w:left="3960" w:hanging="180"/>
      </w:pPr>
    </w:lvl>
    <w:lvl w:ilvl="6" w:tplc="505673C4" w:tentative="1">
      <w:start w:val="1"/>
      <w:numFmt w:val="decimal"/>
      <w:lvlText w:val="%7."/>
      <w:lvlJc w:val="left"/>
      <w:pPr>
        <w:ind w:left="4680" w:hanging="360"/>
      </w:pPr>
    </w:lvl>
    <w:lvl w:ilvl="7" w:tplc="A5EE0B1E" w:tentative="1">
      <w:start w:val="1"/>
      <w:numFmt w:val="lowerLetter"/>
      <w:lvlText w:val="%8."/>
      <w:lvlJc w:val="left"/>
      <w:pPr>
        <w:ind w:left="5400" w:hanging="360"/>
      </w:pPr>
    </w:lvl>
    <w:lvl w:ilvl="8" w:tplc="CA1C1D5A" w:tentative="1">
      <w:start w:val="1"/>
      <w:numFmt w:val="lowerRoman"/>
      <w:lvlText w:val="%9."/>
      <w:lvlJc w:val="right"/>
      <w:pPr>
        <w:ind w:left="6120" w:hanging="180"/>
      </w:pPr>
    </w:lvl>
  </w:abstractNum>
  <w:abstractNum w:abstractNumId="139" w15:restartNumberingAfterBreak="0">
    <w:nsid w:val="476C32E1"/>
    <w:multiLevelType w:val="hybridMultilevel"/>
    <w:tmpl w:val="1E9224A8"/>
    <w:lvl w:ilvl="0" w:tplc="CE4831C8">
      <w:start w:val="1"/>
      <w:numFmt w:val="bullet"/>
      <w:lvlText w:val="·"/>
      <w:lvlJc w:val="left"/>
      <w:pPr>
        <w:ind w:left="720" w:hanging="360"/>
      </w:pPr>
      <w:rPr>
        <w:rFonts w:ascii="Symbol" w:hAnsi="Symbol" w:hint="default"/>
      </w:rPr>
    </w:lvl>
    <w:lvl w:ilvl="1" w:tplc="3B24329A">
      <w:start w:val="1"/>
      <w:numFmt w:val="bullet"/>
      <w:lvlText w:val="o"/>
      <w:lvlJc w:val="left"/>
      <w:pPr>
        <w:ind w:left="1440" w:hanging="360"/>
      </w:pPr>
      <w:rPr>
        <w:rFonts w:ascii="Courier New" w:hAnsi="Courier New" w:hint="default"/>
      </w:rPr>
    </w:lvl>
    <w:lvl w:ilvl="2" w:tplc="83A84D84">
      <w:start w:val="1"/>
      <w:numFmt w:val="bullet"/>
      <w:lvlText w:val=""/>
      <w:lvlJc w:val="left"/>
      <w:pPr>
        <w:ind w:left="2160" w:hanging="360"/>
      </w:pPr>
      <w:rPr>
        <w:rFonts w:ascii="Wingdings" w:hAnsi="Wingdings" w:hint="default"/>
      </w:rPr>
    </w:lvl>
    <w:lvl w:ilvl="3" w:tplc="197606B2">
      <w:start w:val="1"/>
      <w:numFmt w:val="bullet"/>
      <w:lvlText w:val=""/>
      <w:lvlJc w:val="left"/>
      <w:pPr>
        <w:ind w:left="2880" w:hanging="360"/>
      </w:pPr>
      <w:rPr>
        <w:rFonts w:ascii="Symbol" w:hAnsi="Symbol" w:hint="default"/>
      </w:rPr>
    </w:lvl>
    <w:lvl w:ilvl="4" w:tplc="1414A106">
      <w:start w:val="1"/>
      <w:numFmt w:val="bullet"/>
      <w:lvlText w:val="o"/>
      <w:lvlJc w:val="left"/>
      <w:pPr>
        <w:ind w:left="3600" w:hanging="360"/>
      </w:pPr>
      <w:rPr>
        <w:rFonts w:ascii="Courier New" w:hAnsi="Courier New" w:hint="default"/>
      </w:rPr>
    </w:lvl>
    <w:lvl w:ilvl="5" w:tplc="CB0AF864">
      <w:start w:val="1"/>
      <w:numFmt w:val="bullet"/>
      <w:lvlText w:val=""/>
      <w:lvlJc w:val="left"/>
      <w:pPr>
        <w:ind w:left="4320" w:hanging="360"/>
      </w:pPr>
      <w:rPr>
        <w:rFonts w:ascii="Wingdings" w:hAnsi="Wingdings" w:hint="default"/>
      </w:rPr>
    </w:lvl>
    <w:lvl w:ilvl="6" w:tplc="AD285DB6">
      <w:start w:val="1"/>
      <w:numFmt w:val="bullet"/>
      <w:lvlText w:val=""/>
      <w:lvlJc w:val="left"/>
      <w:pPr>
        <w:ind w:left="5040" w:hanging="360"/>
      </w:pPr>
      <w:rPr>
        <w:rFonts w:ascii="Symbol" w:hAnsi="Symbol" w:hint="default"/>
      </w:rPr>
    </w:lvl>
    <w:lvl w:ilvl="7" w:tplc="77C40BAA">
      <w:start w:val="1"/>
      <w:numFmt w:val="bullet"/>
      <w:lvlText w:val="o"/>
      <w:lvlJc w:val="left"/>
      <w:pPr>
        <w:ind w:left="5760" w:hanging="360"/>
      </w:pPr>
      <w:rPr>
        <w:rFonts w:ascii="Courier New" w:hAnsi="Courier New" w:hint="default"/>
      </w:rPr>
    </w:lvl>
    <w:lvl w:ilvl="8" w:tplc="D25CA5B8">
      <w:start w:val="1"/>
      <w:numFmt w:val="bullet"/>
      <w:lvlText w:val=""/>
      <w:lvlJc w:val="left"/>
      <w:pPr>
        <w:ind w:left="6480" w:hanging="360"/>
      </w:pPr>
      <w:rPr>
        <w:rFonts w:ascii="Wingdings" w:hAnsi="Wingdings" w:hint="default"/>
      </w:rPr>
    </w:lvl>
  </w:abstractNum>
  <w:abstractNum w:abstractNumId="140" w15:restartNumberingAfterBreak="0">
    <w:nsid w:val="486F0A09"/>
    <w:multiLevelType w:val="hybridMultilevel"/>
    <w:tmpl w:val="72D260BC"/>
    <w:lvl w:ilvl="0" w:tplc="08090001">
      <w:start w:val="1"/>
      <w:numFmt w:val="bullet"/>
      <w:lvlText w:val=""/>
      <w:lvlJc w:val="left"/>
      <w:pPr>
        <w:ind w:left="805" w:hanging="360"/>
      </w:pPr>
      <w:rPr>
        <w:rFonts w:ascii="Symbol" w:hAnsi="Symbol" w:hint="default"/>
      </w:rPr>
    </w:lvl>
    <w:lvl w:ilvl="1" w:tplc="08090003" w:tentative="1">
      <w:start w:val="1"/>
      <w:numFmt w:val="bullet"/>
      <w:lvlText w:val="o"/>
      <w:lvlJc w:val="left"/>
      <w:pPr>
        <w:ind w:left="1525" w:hanging="360"/>
      </w:pPr>
      <w:rPr>
        <w:rFonts w:ascii="Courier New" w:hAnsi="Courier New" w:cs="Courier New" w:hint="default"/>
      </w:rPr>
    </w:lvl>
    <w:lvl w:ilvl="2" w:tplc="08090005" w:tentative="1">
      <w:start w:val="1"/>
      <w:numFmt w:val="bullet"/>
      <w:lvlText w:val=""/>
      <w:lvlJc w:val="left"/>
      <w:pPr>
        <w:ind w:left="2245" w:hanging="360"/>
      </w:pPr>
      <w:rPr>
        <w:rFonts w:ascii="Wingdings" w:hAnsi="Wingdings" w:hint="default"/>
      </w:rPr>
    </w:lvl>
    <w:lvl w:ilvl="3" w:tplc="08090001" w:tentative="1">
      <w:start w:val="1"/>
      <w:numFmt w:val="bullet"/>
      <w:lvlText w:val=""/>
      <w:lvlJc w:val="left"/>
      <w:pPr>
        <w:ind w:left="2965" w:hanging="360"/>
      </w:pPr>
      <w:rPr>
        <w:rFonts w:ascii="Symbol" w:hAnsi="Symbol" w:hint="default"/>
      </w:rPr>
    </w:lvl>
    <w:lvl w:ilvl="4" w:tplc="08090003" w:tentative="1">
      <w:start w:val="1"/>
      <w:numFmt w:val="bullet"/>
      <w:lvlText w:val="o"/>
      <w:lvlJc w:val="left"/>
      <w:pPr>
        <w:ind w:left="3685" w:hanging="360"/>
      </w:pPr>
      <w:rPr>
        <w:rFonts w:ascii="Courier New" w:hAnsi="Courier New" w:cs="Courier New" w:hint="default"/>
      </w:rPr>
    </w:lvl>
    <w:lvl w:ilvl="5" w:tplc="08090005" w:tentative="1">
      <w:start w:val="1"/>
      <w:numFmt w:val="bullet"/>
      <w:lvlText w:val=""/>
      <w:lvlJc w:val="left"/>
      <w:pPr>
        <w:ind w:left="4405" w:hanging="360"/>
      </w:pPr>
      <w:rPr>
        <w:rFonts w:ascii="Wingdings" w:hAnsi="Wingdings" w:hint="default"/>
      </w:rPr>
    </w:lvl>
    <w:lvl w:ilvl="6" w:tplc="08090001" w:tentative="1">
      <w:start w:val="1"/>
      <w:numFmt w:val="bullet"/>
      <w:lvlText w:val=""/>
      <w:lvlJc w:val="left"/>
      <w:pPr>
        <w:ind w:left="5125" w:hanging="360"/>
      </w:pPr>
      <w:rPr>
        <w:rFonts w:ascii="Symbol" w:hAnsi="Symbol" w:hint="default"/>
      </w:rPr>
    </w:lvl>
    <w:lvl w:ilvl="7" w:tplc="08090003" w:tentative="1">
      <w:start w:val="1"/>
      <w:numFmt w:val="bullet"/>
      <w:lvlText w:val="o"/>
      <w:lvlJc w:val="left"/>
      <w:pPr>
        <w:ind w:left="5845" w:hanging="360"/>
      </w:pPr>
      <w:rPr>
        <w:rFonts w:ascii="Courier New" w:hAnsi="Courier New" w:cs="Courier New" w:hint="default"/>
      </w:rPr>
    </w:lvl>
    <w:lvl w:ilvl="8" w:tplc="08090005" w:tentative="1">
      <w:start w:val="1"/>
      <w:numFmt w:val="bullet"/>
      <w:lvlText w:val=""/>
      <w:lvlJc w:val="left"/>
      <w:pPr>
        <w:ind w:left="6565" w:hanging="360"/>
      </w:pPr>
      <w:rPr>
        <w:rFonts w:ascii="Wingdings" w:hAnsi="Wingdings" w:hint="default"/>
      </w:rPr>
    </w:lvl>
  </w:abstractNum>
  <w:abstractNum w:abstractNumId="141" w15:restartNumberingAfterBreak="0">
    <w:nsid w:val="489010CE"/>
    <w:multiLevelType w:val="hybridMultilevel"/>
    <w:tmpl w:val="AD7859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2" w15:restartNumberingAfterBreak="0">
    <w:nsid w:val="48DA2401"/>
    <w:multiLevelType w:val="hybridMultilevel"/>
    <w:tmpl w:val="A3BC0C96"/>
    <w:lvl w:ilvl="0" w:tplc="6304ED5E">
      <w:start w:val="1"/>
      <w:numFmt w:val="decimal"/>
      <w:lvlText w:val="(%1)"/>
      <w:lvlJc w:val="right"/>
      <w:pPr>
        <w:ind w:left="1074" w:hanging="360"/>
      </w:pPr>
      <w:rPr>
        <w:rFonts w:hint="default"/>
      </w:rPr>
    </w:lvl>
    <w:lvl w:ilvl="1" w:tplc="0809001B">
      <w:start w:val="1"/>
      <w:numFmt w:val="lowerRoman"/>
      <w:lvlText w:val="%2."/>
      <w:lvlJc w:val="right"/>
      <w:pPr>
        <w:ind w:left="1794" w:hanging="360"/>
      </w:pPr>
    </w:lvl>
    <w:lvl w:ilvl="2" w:tplc="B60A0A72">
      <w:start w:val="51"/>
      <w:numFmt w:val="decimal"/>
      <w:lvlText w:val="%3)"/>
      <w:lvlJc w:val="left"/>
      <w:pPr>
        <w:ind w:left="2694" w:hanging="360"/>
      </w:pPr>
      <w:rPr>
        <w:rFonts w:hint="default"/>
      </w:rPr>
    </w:lvl>
    <w:lvl w:ilvl="3" w:tplc="0809000F" w:tentative="1">
      <w:start w:val="1"/>
      <w:numFmt w:val="decimal"/>
      <w:lvlText w:val="%4."/>
      <w:lvlJc w:val="left"/>
      <w:pPr>
        <w:ind w:left="3234" w:hanging="360"/>
      </w:pPr>
    </w:lvl>
    <w:lvl w:ilvl="4" w:tplc="08090019" w:tentative="1">
      <w:start w:val="1"/>
      <w:numFmt w:val="lowerLetter"/>
      <w:lvlText w:val="%5."/>
      <w:lvlJc w:val="left"/>
      <w:pPr>
        <w:ind w:left="3954" w:hanging="360"/>
      </w:pPr>
    </w:lvl>
    <w:lvl w:ilvl="5" w:tplc="0809001B" w:tentative="1">
      <w:start w:val="1"/>
      <w:numFmt w:val="lowerRoman"/>
      <w:lvlText w:val="%6."/>
      <w:lvlJc w:val="right"/>
      <w:pPr>
        <w:ind w:left="4674" w:hanging="180"/>
      </w:pPr>
    </w:lvl>
    <w:lvl w:ilvl="6" w:tplc="0809000F" w:tentative="1">
      <w:start w:val="1"/>
      <w:numFmt w:val="decimal"/>
      <w:lvlText w:val="%7."/>
      <w:lvlJc w:val="left"/>
      <w:pPr>
        <w:ind w:left="5394" w:hanging="360"/>
      </w:pPr>
    </w:lvl>
    <w:lvl w:ilvl="7" w:tplc="08090019" w:tentative="1">
      <w:start w:val="1"/>
      <w:numFmt w:val="lowerLetter"/>
      <w:lvlText w:val="%8."/>
      <w:lvlJc w:val="left"/>
      <w:pPr>
        <w:ind w:left="6114" w:hanging="360"/>
      </w:pPr>
    </w:lvl>
    <w:lvl w:ilvl="8" w:tplc="0809001B" w:tentative="1">
      <w:start w:val="1"/>
      <w:numFmt w:val="lowerRoman"/>
      <w:lvlText w:val="%9."/>
      <w:lvlJc w:val="right"/>
      <w:pPr>
        <w:ind w:left="6834" w:hanging="180"/>
      </w:pPr>
    </w:lvl>
  </w:abstractNum>
  <w:abstractNum w:abstractNumId="143" w15:restartNumberingAfterBreak="0">
    <w:nsid w:val="492269F1"/>
    <w:multiLevelType w:val="hybridMultilevel"/>
    <w:tmpl w:val="04B4E452"/>
    <w:lvl w:ilvl="0" w:tplc="CCD23C1A">
      <w:start w:val="1"/>
      <w:numFmt w:val="bullet"/>
      <w:lvlText w:val="-"/>
      <w:lvlJc w:val="left"/>
      <w:pPr>
        <w:ind w:left="445" w:hanging="360"/>
      </w:pPr>
      <w:rPr>
        <w:rFonts w:ascii="Cambria" w:eastAsia="Cambria" w:hAnsi="Cambria" w:cs="Cambria" w:hint="default"/>
      </w:rPr>
    </w:lvl>
    <w:lvl w:ilvl="1" w:tplc="08090003" w:tentative="1">
      <w:start w:val="1"/>
      <w:numFmt w:val="bullet"/>
      <w:lvlText w:val="o"/>
      <w:lvlJc w:val="left"/>
      <w:pPr>
        <w:ind w:left="1165" w:hanging="360"/>
      </w:pPr>
      <w:rPr>
        <w:rFonts w:ascii="Courier New" w:hAnsi="Courier New" w:cs="Courier New" w:hint="default"/>
      </w:rPr>
    </w:lvl>
    <w:lvl w:ilvl="2" w:tplc="08090005" w:tentative="1">
      <w:start w:val="1"/>
      <w:numFmt w:val="bullet"/>
      <w:lvlText w:val=""/>
      <w:lvlJc w:val="left"/>
      <w:pPr>
        <w:ind w:left="1885" w:hanging="360"/>
      </w:pPr>
      <w:rPr>
        <w:rFonts w:ascii="Wingdings" w:hAnsi="Wingdings" w:hint="default"/>
      </w:rPr>
    </w:lvl>
    <w:lvl w:ilvl="3" w:tplc="08090001" w:tentative="1">
      <w:start w:val="1"/>
      <w:numFmt w:val="bullet"/>
      <w:lvlText w:val=""/>
      <w:lvlJc w:val="left"/>
      <w:pPr>
        <w:ind w:left="2605" w:hanging="360"/>
      </w:pPr>
      <w:rPr>
        <w:rFonts w:ascii="Symbol" w:hAnsi="Symbol" w:hint="default"/>
      </w:rPr>
    </w:lvl>
    <w:lvl w:ilvl="4" w:tplc="08090003" w:tentative="1">
      <w:start w:val="1"/>
      <w:numFmt w:val="bullet"/>
      <w:lvlText w:val="o"/>
      <w:lvlJc w:val="left"/>
      <w:pPr>
        <w:ind w:left="3325" w:hanging="360"/>
      </w:pPr>
      <w:rPr>
        <w:rFonts w:ascii="Courier New" w:hAnsi="Courier New" w:cs="Courier New" w:hint="default"/>
      </w:rPr>
    </w:lvl>
    <w:lvl w:ilvl="5" w:tplc="08090005" w:tentative="1">
      <w:start w:val="1"/>
      <w:numFmt w:val="bullet"/>
      <w:lvlText w:val=""/>
      <w:lvlJc w:val="left"/>
      <w:pPr>
        <w:ind w:left="4045" w:hanging="360"/>
      </w:pPr>
      <w:rPr>
        <w:rFonts w:ascii="Wingdings" w:hAnsi="Wingdings" w:hint="default"/>
      </w:rPr>
    </w:lvl>
    <w:lvl w:ilvl="6" w:tplc="08090001" w:tentative="1">
      <w:start w:val="1"/>
      <w:numFmt w:val="bullet"/>
      <w:lvlText w:val=""/>
      <w:lvlJc w:val="left"/>
      <w:pPr>
        <w:ind w:left="4765" w:hanging="360"/>
      </w:pPr>
      <w:rPr>
        <w:rFonts w:ascii="Symbol" w:hAnsi="Symbol" w:hint="default"/>
      </w:rPr>
    </w:lvl>
    <w:lvl w:ilvl="7" w:tplc="08090003" w:tentative="1">
      <w:start w:val="1"/>
      <w:numFmt w:val="bullet"/>
      <w:lvlText w:val="o"/>
      <w:lvlJc w:val="left"/>
      <w:pPr>
        <w:ind w:left="5485" w:hanging="360"/>
      </w:pPr>
      <w:rPr>
        <w:rFonts w:ascii="Courier New" w:hAnsi="Courier New" w:cs="Courier New" w:hint="default"/>
      </w:rPr>
    </w:lvl>
    <w:lvl w:ilvl="8" w:tplc="08090005" w:tentative="1">
      <w:start w:val="1"/>
      <w:numFmt w:val="bullet"/>
      <w:lvlText w:val=""/>
      <w:lvlJc w:val="left"/>
      <w:pPr>
        <w:ind w:left="6205" w:hanging="360"/>
      </w:pPr>
      <w:rPr>
        <w:rFonts w:ascii="Wingdings" w:hAnsi="Wingdings" w:hint="default"/>
      </w:rPr>
    </w:lvl>
  </w:abstractNum>
  <w:abstractNum w:abstractNumId="144" w15:restartNumberingAfterBreak="0">
    <w:nsid w:val="49D36EAE"/>
    <w:multiLevelType w:val="hybridMultilevel"/>
    <w:tmpl w:val="93C0B8DA"/>
    <w:lvl w:ilvl="0" w:tplc="08090001">
      <w:start w:val="1"/>
      <w:numFmt w:val="bullet"/>
      <w:lvlText w:val=""/>
      <w:lvlJc w:val="left"/>
      <w:pPr>
        <w:ind w:left="805" w:hanging="360"/>
      </w:pPr>
      <w:rPr>
        <w:rFonts w:ascii="Symbol" w:hAnsi="Symbol" w:hint="default"/>
      </w:rPr>
    </w:lvl>
    <w:lvl w:ilvl="1" w:tplc="08090003">
      <w:start w:val="1"/>
      <w:numFmt w:val="bullet"/>
      <w:lvlText w:val="o"/>
      <w:lvlJc w:val="left"/>
      <w:pPr>
        <w:ind w:left="1525" w:hanging="360"/>
      </w:pPr>
      <w:rPr>
        <w:rFonts w:ascii="Courier New" w:hAnsi="Courier New" w:cs="Courier New" w:hint="default"/>
      </w:rPr>
    </w:lvl>
    <w:lvl w:ilvl="2" w:tplc="08090005" w:tentative="1">
      <w:start w:val="1"/>
      <w:numFmt w:val="bullet"/>
      <w:lvlText w:val=""/>
      <w:lvlJc w:val="left"/>
      <w:pPr>
        <w:ind w:left="2245" w:hanging="360"/>
      </w:pPr>
      <w:rPr>
        <w:rFonts w:ascii="Wingdings" w:hAnsi="Wingdings" w:hint="default"/>
      </w:rPr>
    </w:lvl>
    <w:lvl w:ilvl="3" w:tplc="08090001" w:tentative="1">
      <w:start w:val="1"/>
      <w:numFmt w:val="bullet"/>
      <w:lvlText w:val=""/>
      <w:lvlJc w:val="left"/>
      <w:pPr>
        <w:ind w:left="2965" w:hanging="360"/>
      </w:pPr>
      <w:rPr>
        <w:rFonts w:ascii="Symbol" w:hAnsi="Symbol" w:hint="default"/>
      </w:rPr>
    </w:lvl>
    <w:lvl w:ilvl="4" w:tplc="08090003" w:tentative="1">
      <w:start w:val="1"/>
      <w:numFmt w:val="bullet"/>
      <w:lvlText w:val="o"/>
      <w:lvlJc w:val="left"/>
      <w:pPr>
        <w:ind w:left="3685" w:hanging="360"/>
      </w:pPr>
      <w:rPr>
        <w:rFonts w:ascii="Courier New" w:hAnsi="Courier New" w:cs="Courier New" w:hint="default"/>
      </w:rPr>
    </w:lvl>
    <w:lvl w:ilvl="5" w:tplc="08090005" w:tentative="1">
      <w:start w:val="1"/>
      <w:numFmt w:val="bullet"/>
      <w:lvlText w:val=""/>
      <w:lvlJc w:val="left"/>
      <w:pPr>
        <w:ind w:left="4405" w:hanging="360"/>
      </w:pPr>
      <w:rPr>
        <w:rFonts w:ascii="Wingdings" w:hAnsi="Wingdings" w:hint="default"/>
      </w:rPr>
    </w:lvl>
    <w:lvl w:ilvl="6" w:tplc="08090001" w:tentative="1">
      <w:start w:val="1"/>
      <w:numFmt w:val="bullet"/>
      <w:lvlText w:val=""/>
      <w:lvlJc w:val="left"/>
      <w:pPr>
        <w:ind w:left="5125" w:hanging="360"/>
      </w:pPr>
      <w:rPr>
        <w:rFonts w:ascii="Symbol" w:hAnsi="Symbol" w:hint="default"/>
      </w:rPr>
    </w:lvl>
    <w:lvl w:ilvl="7" w:tplc="08090003" w:tentative="1">
      <w:start w:val="1"/>
      <w:numFmt w:val="bullet"/>
      <w:lvlText w:val="o"/>
      <w:lvlJc w:val="left"/>
      <w:pPr>
        <w:ind w:left="5845" w:hanging="360"/>
      </w:pPr>
      <w:rPr>
        <w:rFonts w:ascii="Courier New" w:hAnsi="Courier New" w:cs="Courier New" w:hint="default"/>
      </w:rPr>
    </w:lvl>
    <w:lvl w:ilvl="8" w:tplc="08090005" w:tentative="1">
      <w:start w:val="1"/>
      <w:numFmt w:val="bullet"/>
      <w:lvlText w:val=""/>
      <w:lvlJc w:val="left"/>
      <w:pPr>
        <w:ind w:left="6565" w:hanging="360"/>
      </w:pPr>
      <w:rPr>
        <w:rFonts w:ascii="Wingdings" w:hAnsi="Wingdings" w:hint="default"/>
      </w:rPr>
    </w:lvl>
  </w:abstractNum>
  <w:abstractNum w:abstractNumId="145" w15:restartNumberingAfterBreak="0">
    <w:nsid w:val="49F74A04"/>
    <w:multiLevelType w:val="hybridMultilevel"/>
    <w:tmpl w:val="763EAF08"/>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46" w15:restartNumberingAfterBreak="0">
    <w:nsid w:val="4A183C4D"/>
    <w:multiLevelType w:val="hybridMultilevel"/>
    <w:tmpl w:val="CD585B18"/>
    <w:lvl w:ilvl="0" w:tplc="FE3C0D54">
      <w:start w:val="55"/>
      <w:numFmt w:val="bullet"/>
      <w:lvlText w:val="-"/>
      <w:lvlJc w:val="left"/>
      <w:pPr>
        <w:ind w:left="720" w:hanging="360"/>
      </w:pPr>
      <w:rPr>
        <w:rFonts w:ascii="Verdana" w:eastAsia="Calibri"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7" w15:restartNumberingAfterBreak="0">
    <w:nsid w:val="4A282FC8"/>
    <w:multiLevelType w:val="hybridMultilevel"/>
    <w:tmpl w:val="9FBC9B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8" w15:restartNumberingAfterBreak="0">
    <w:nsid w:val="4A9C7E8A"/>
    <w:multiLevelType w:val="hybridMultilevel"/>
    <w:tmpl w:val="8D428572"/>
    <w:lvl w:ilvl="0" w:tplc="0BF2BB52">
      <w:start w:val="1"/>
      <w:numFmt w:val="decimal"/>
      <w:lvlText w:val="%1."/>
      <w:lvlJc w:val="left"/>
      <w:pPr>
        <w:ind w:left="720" w:hanging="360"/>
      </w:pPr>
    </w:lvl>
    <w:lvl w:ilvl="1" w:tplc="C5329D6A">
      <w:start w:val="1"/>
      <w:numFmt w:val="lowerLetter"/>
      <w:lvlText w:val="%2."/>
      <w:lvlJc w:val="left"/>
      <w:pPr>
        <w:ind w:left="1440" w:hanging="360"/>
      </w:pPr>
    </w:lvl>
    <w:lvl w:ilvl="2" w:tplc="7C7C1D38">
      <w:start w:val="1"/>
      <w:numFmt w:val="lowerRoman"/>
      <w:lvlText w:val="%3."/>
      <w:lvlJc w:val="right"/>
      <w:pPr>
        <w:ind w:left="2160" w:hanging="180"/>
      </w:pPr>
    </w:lvl>
    <w:lvl w:ilvl="3" w:tplc="54163190">
      <w:start w:val="1"/>
      <w:numFmt w:val="decimal"/>
      <w:lvlText w:val="%4."/>
      <w:lvlJc w:val="left"/>
      <w:pPr>
        <w:ind w:left="2880" w:hanging="360"/>
      </w:pPr>
    </w:lvl>
    <w:lvl w:ilvl="4" w:tplc="CE1EE69E">
      <w:start w:val="1"/>
      <w:numFmt w:val="lowerLetter"/>
      <w:lvlText w:val="%5."/>
      <w:lvlJc w:val="left"/>
      <w:pPr>
        <w:ind w:left="3600" w:hanging="360"/>
      </w:pPr>
    </w:lvl>
    <w:lvl w:ilvl="5" w:tplc="BECC24AA">
      <w:start w:val="1"/>
      <w:numFmt w:val="lowerRoman"/>
      <w:lvlText w:val="%6."/>
      <w:lvlJc w:val="right"/>
      <w:pPr>
        <w:ind w:left="4320" w:hanging="180"/>
      </w:pPr>
    </w:lvl>
    <w:lvl w:ilvl="6" w:tplc="DA8E3506">
      <w:start w:val="1"/>
      <w:numFmt w:val="decimal"/>
      <w:lvlText w:val="%7."/>
      <w:lvlJc w:val="left"/>
      <w:pPr>
        <w:ind w:left="5040" w:hanging="360"/>
      </w:pPr>
    </w:lvl>
    <w:lvl w:ilvl="7" w:tplc="94AAC4CE">
      <w:start w:val="1"/>
      <w:numFmt w:val="lowerLetter"/>
      <w:lvlText w:val="%8."/>
      <w:lvlJc w:val="left"/>
      <w:pPr>
        <w:ind w:left="5760" w:hanging="360"/>
      </w:pPr>
    </w:lvl>
    <w:lvl w:ilvl="8" w:tplc="92AA1CF6">
      <w:start w:val="1"/>
      <w:numFmt w:val="lowerRoman"/>
      <w:lvlText w:val="%9."/>
      <w:lvlJc w:val="right"/>
      <w:pPr>
        <w:ind w:left="6480" w:hanging="180"/>
      </w:pPr>
    </w:lvl>
  </w:abstractNum>
  <w:abstractNum w:abstractNumId="149" w15:restartNumberingAfterBreak="0">
    <w:nsid w:val="4AF60CEE"/>
    <w:multiLevelType w:val="hybridMultilevel"/>
    <w:tmpl w:val="FFFFFFFF"/>
    <w:lvl w:ilvl="0" w:tplc="627236E0">
      <w:start w:val="1"/>
      <w:numFmt w:val="bullet"/>
      <w:lvlText w:val="-"/>
      <w:lvlJc w:val="left"/>
      <w:pPr>
        <w:ind w:left="720" w:hanging="360"/>
      </w:pPr>
      <w:rPr>
        <w:rFonts w:ascii="&quot;Calibri&quot;,sans-serif" w:hAnsi="&quot;Calibri&quot;,sans-serif" w:hint="default"/>
      </w:rPr>
    </w:lvl>
    <w:lvl w:ilvl="1" w:tplc="8856D2EA">
      <w:start w:val="1"/>
      <w:numFmt w:val="bullet"/>
      <w:lvlText w:val="o"/>
      <w:lvlJc w:val="left"/>
      <w:pPr>
        <w:ind w:left="1440" w:hanging="360"/>
      </w:pPr>
      <w:rPr>
        <w:rFonts w:ascii="Courier New" w:hAnsi="Courier New" w:hint="default"/>
      </w:rPr>
    </w:lvl>
    <w:lvl w:ilvl="2" w:tplc="18421B60">
      <w:start w:val="1"/>
      <w:numFmt w:val="bullet"/>
      <w:lvlText w:val=""/>
      <w:lvlJc w:val="left"/>
      <w:pPr>
        <w:ind w:left="2160" w:hanging="360"/>
      </w:pPr>
      <w:rPr>
        <w:rFonts w:ascii="Wingdings" w:hAnsi="Wingdings" w:hint="default"/>
      </w:rPr>
    </w:lvl>
    <w:lvl w:ilvl="3" w:tplc="BC0CCF9C">
      <w:start w:val="1"/>
      <w:numFmt w:val="bullet"/>
      <w:lvlText w:val=""/>
      <w:lvlJc w:val="left"/>
      <w:pPr>
        <w:ind w:left="2880" w:hanging="360"/>
      </w:pPr>
      <w:rPr>
        <w:rFonts w:ascii="Symbol" w:hAnsi="Symbol" w:hint="default"/>
      </w:rPr>
    </w:lvl>
    <w:lvl w:ilvl="4" w:tplc="21C4A204">
      <w:start w:val="1"/>
      <w:numFmt w:val="bullet"/>
      <w:lvlText w:val="o"/>
      <w:lvlJc w:val="left"/>
      <w:pPr>
        <w:ind w:left="3600" w:hanging="360"/>
      </w:pPr>
      <w:rPr>
        <w:rFonts w:ascii="Courier New" w:hAnsi="Courier New" w:hint="default"/>
      </w:rPr>
    </w:lvl>
    <w:lvl w:ilvl="5" w:tplc="F63291C6">
      <w:start w:val="1"/>
      <w:numFmt w:val="bullet"/>
      <w:lvlText w:val=""/>
      <w:lvlJc w:val="left"/>
      <w:pPr>
        <w:ind w:left="4320" w:hanging="360"/>
      </w:pPr>
      <w:rPr>
        <w:rFonts w:ascii="Wingdings" w:hAnsi="Wingdings" w:hint="default"/>
      </w:rPr>
    </w:lvl>
    <w:lvl w:ilvl="6" w:tplc="E3D4D0EE">
      <w:start w:val="1"/>
      <w:numFmt w:val="bullet"/>
      <w:lvlText w:val=""/>
      <w:lvlJc w:val="left"/>
      <w:pPr>
        <w:ind w:left="5040" w:hanging="360"/>
      </w:pPr>
      <w:rPr>
        <w:rFonts w:ascii="Symbol" w:hAnsi="Symbol" w:hint="default"/>
      </w:rPr>
    </w:lvl>
    <w:lvl w:ilvl="7" w:tplc="E5B00DF6">
      <w:start w:val="1"/>
      <w:numFmt w:val="bullet"/>
      <w:lvlText w:val="o"/>
      <w:lvlJc w:val="left"/>
      <w:pPr>
        <w:ind w:left="5760" w:hanging="360"/>
      </w:pPr>
      <w:rPr>
        <w:rFonts w:ascii="Courier New" w:hAnsi="Courier New" w:hint="default"/>
      </w:rPr>
    </w:lvl>
    <w:lvl w:ilvl="8" w:tplc="EAD0D474">
      <w:start w:val="1"/>
      <w:numFmt w:val="bullet"/>
      <w:lvlText w:val=""/>
      <w:lvlJc w:val="left"/>
      <w:pPr>
        <w:ind w:left="6480" w:hanging="360"/>
      </w:pPr>
      <w:rPr>
        <w:rFonts w:ascii="Wingdings" w:hAnsi="Wingdings" w:hint="default"/>
      </w:rPr>
    </w:lvl>
  </w:abstractNum>
  <w:abstractNum w:abstractNumId="150" w15:restartNumberingAfterBreak="0">
    <w:nsid w:val="4BF366C4"/>
    <w:multiLevelType w:val="hybridMultilevel"/>
    <w:tmpl w:val="FFFFFFFF"/>
    <w:lvl w:ilvl="0" w:tplc="7818B60E">
      <w:start w:val="1"/>
      <w:numFmt w:val="bullet"/>
      <w:lvlText w:val="·"/>
      <w:lvlJc w:val="left"/>
      <w:pPr>
        <w:ind w:left="720" w:hanging="360"/>
      </w:pPr>
      <w:rPr>
        <w:rFonts w:ascii="Symbol" w:hAnsi="Symbol" w:hint="default"/>
      </w:rPr>
    </w:lvl>
    <w:lvl w:ilvl="1" w:tplc="C23889DA">
      <w:start w:val="1"/>
      <w:numFmt w:val="decimal"/>
      <w:lvlText w:val="%2."/>
      <w:lvlJc w:val="left"/>
      <w:pPr>
        <w:ind w:left="1440" w:hanging="360"/>
      </w:pPr>
      <w:rPr>
        <w:rFonts w:hint="default"/>
      </w:rPr>
    </w:lvl>
    <w:lvl w:ilvl="2" w:tplc="05529188">
      <w:start w:val="1"/>
      <w:numFmt w:val="bullet"/>
      <w:lvlText w:val=""/>
      <w:lvlJc w:val="left"/>
      <w:pPr>
        <w:ind w:left="2160" w:hanging="360"/>
      </w:pPr>
      <w:rPr>
        <w:rFonts w:ascii="Wingdings" w:hAnsi="Wingdings" w:hint="default"/>
      </w:rPr>
    </w:lvl>
    <w:lvl w:ilvl="3" w:tplc="74A8D556">
      <w:start w:val="1"/>
      <w:numFmt w:val="bullet"/>
      <w:lvlText w:val=""/>
      <w:lvlJc w:val="left"/>
      <w:pPr>
        <w:ind w:left="2880" w:hanging="360"/>
      </w:pPr>
      <w:rPr>
        <w:rFonts w:ascii="Symbol" w:hAnsi="Symbol" w:hint="default"/>
      </w:rPr>
    </w:lvl>
    <w:lvl w:ilvl="4" w:tplc="D15C47FC">
      <w:start w:val="1"/>
      <w:numFmt w:val="bullet"/>
      <w:lvlText w:val="o"/>
      <w:lvlJc w:val="left"/>
      <w:pPr>
        <w:ind w:left="3600" w:hanging="360"/>
      </w:pPr>
      <w:rPr>
        <w:rFonts w:ascii="Courier New" w:hAnsi="Courier New" w:hint="default"/>
      </w:rPr>
    </w:lvl>
    <w:lvl w:ilvl="5" w:tplc="019ACE82">
      <w:start w:val="1"/>
      <w:numFmt w:val="bullet"/>
      <w:lvlText w:val=""/>
      <w:lvlJc w:val="left"/>
      <w:pPr>
        <w:ind w:left="4320" w:hanging="360"/>
      </w:pPr>
      <w:rPr>
        <w:rFonts w:ascii="Wingdings" w:hAnsi="Wingdings" w:hint="default"/>
      </w:rPr>
    </w:lvl>
    <w:lvl w:ilvl="6" w:tplc="04BCD96A">
      <w:start w:val="1"/>
      <w:numFmt w:val="bullet"/>
      <w:lvlText w:val=""/>
      <w:lvlJc w:val="left"/>
      <w:pPr>
        <w:ind w:left="5040" w:hanging="360"/>
      </w:pPr>
      <w:rPr>
        <w:rFonts w:ascii="Symbol" w:hAnsi="Symbol" w:hint="default"/>
      </w:rPr>
    </w:lvl>
    <w:lvl w:ilvl="7" w:tplc="76C4CCEC">
      <w:start w:val="1"/>
      <w:numFmt w:val="bullet"/>
      <w:lvlText w:val="o"/>
      <w:lvlJc w:val="left"/>
      <w:pPr>
        <w:ind w:left="5760" w:hanging="360"/>
      </w:pPr>
      <w:rPr>
        <w:rFonts w:ascii="Courier New" w:hAnsi="Courier New" w:hint="default"/>
      </w:rPr>
    </w:lvl>
    <w:lvl w:ilvl="8" w:tplc="05386F44">
      <w:start w:val="1"/>
      <w:numFmt w:val="bullet"/>
      <w:lvlText w:val=""/>
      <w:lvlJc w:val="left"/>
      <w:pPr>
        <w:ind w:left="6480" w:hanging="360"/>
      </w:pPr>
      <w:rPr>
        <w:rFonts w:ascii="Wingdings" w:hAnsi="Wingdings" w:hint="default"/>
      </w:rPr>
    </w:lvl>
  </w:abstractNum>
  <w:abstractNum w:abstractNumId="151" w15:restartNumberingAfterBreak="0">
    <w:nsid w:val="4C691602"/>
    <w:multiLevelType w:val="hybridMultilevel"/>
    <w:tmpl w:val="FFFFFFFF"/>
    <w:lvl w:ilvl="0" w:tplc="13B6A028">
      <w:start w:val="1"/>
      <w:numFmt w:val="decimal"/>
      <w:lvlText w:val="%1."/>
      <w:lvlJc w:val="left"/>
      <w:pPr>
        <w:ind w:left="720" w:hanging="360"/>
      </w:pPr>
    </w:lvl>
    <w:lvl w:ilvl="1" w:tplc="9D74E164">
      <w:start w:val="1"/>
      <w:numFmt w:val="lowerLetter"/>
      <w:lvlText w:val="%2."/>
      <w:lvlJc w:val="left"/>
      <w:pPr>
        <w:ind w:left="1440" w:hanging="360"/>
      </w:pPr>
    </w:lvl>
    <w:lvl w:ilvl="2" w:tplc="35D0B660">
      <w:start w:val="1"/>
      <w:numFmt w:val="lowerRoman"/>
      <w:lvlText w:val="%3."/>
      <w:lvlJc w:val="right"/>
      <w:pPr>
        <w:ind w:left="2160" w:hanging="180"/>
      </w:pPr>
    </w:lvl>
    <w:lvl w:ilvl="3" w:tplc="11568AEC">
      <w:start w:val="1"/>
      <w:numFmt w:val="decimal"/>
      <w:lvlText w:val="%4."/>
      <w:lvlJc w:val="left"/>
      <w:pPr>
        <w:ind w:left="2880" w:hanging="360"/>
      </w:pPr>
    </w:lvl>
    <w:lvl w:ilvl="4" w:tplc="F5C2A0E0">
      <w:start w:val="1"/>
      <w:numFmt w:val="lowerLetter"/>
      <w:lvlText w:val="%5."/>
      <w:lvlJc w:val="left"/>
      <w:pPr>
        <w:ind w:left="3600" w:hanging="360"/>
      </w:pPr>
    </w:lvl>
    <w:lvl w:ilvl="5" w:tplc="2EDAA962">
      <w:start w:val="1"/>
      <w:numFmt w:val="lowerRoman"/>
      <w:lvlText w:val="%6."/>
      <w:lvlJc w:val="right"/>
      <w:pPr>
        <w:ind w:left="4320" w:hanging="180"/>
      </w:pPr>
    </w:lvl>
    <w:lvl w:ilvl="6" w:tplc="BEC04A96">
      <w:start w:val="1"/>
      <w:numFmt w:val="decimal"/>
      <w:lvlText w:val="%7."/>
      <w:lvlJc w:val="left"/>
      <w:pPr>
        <w:ind w:left="5040" w:hanging="360"/>
      </w:pPr>
    </w:lvl>
    <w:lvl w:ilvl="7" w:tplc="CF5CAD9A">
      <w:start w:val="1"/>
      <w:numFmt w:val="lowerLetter"/>
      <w:lvlText w:val="%8."/>
      <w:lvlJc w:val="left"/>
      <w:pPr>
        <w:ind w:left="5760" w:hanging="360"/>
      </w:pPr>
    </w:lvl>
    <w:lvl w:ilvl="8" w:tplc="9A2611C8">
      <w:start w:val="1"/>
      <w:numFmt w:val="lowerRoman"/>
      <w:lvlText w:val="%9."/>
      <w:lvlJc w:val="right"/>
      <w:pPr>
        <w:ind w:left="6480" w:hanging="180"/>
      </w:pPr>
    </w:lvl>
  </w:abstractNum>
  <w:abstractNum w:abstractNumId="152" w15:restartNumberingAfterBreak="0">
    <w:nsid w:val="4CD8334A"/>
    <w:multiLevelType w:val="hybridMultilevel"/>
    <w:tmpl w:val="FFFFFFFF"/>
    <w:lvl w:ilvl="0" w:tplc="D640E50E">
      <w:start w:val="1"/>
      <w:numFmt w:val="decimal"/>
      <w:lvlText w:val="%1."/>
      <w:lvlJc w:val="left"/>
      <w:pPr>
        <w:ind w:left="720" w:hanging="360"/>
      </w:pPr>
    </w:lvl>
    <w:lvl w:ilvl="1" w:tplc="CF489950">
      <w:start w:val="1"/>
      <w:numFmt w:val="lowerLetter"/>
      <w:lvlText w:val="%2."/>
      <w:lvlJc w:val="left"/>
      <w:pPr>
        <w:ind w:left="1440" w:hanging="360"/>
      </w:pPr>
    </w:lvl>
    <w:lvl w:ilvl="2" w:tplc="08AABD10">
      <w:start w:val="1"/>
      <w:numFmt w:val="lowerRoman"/>
      <w:lvlText w:val="%3."/>
      <w:lvlJc w:val="right"/>
      <w:pPr>
        <w:ind w:left="2160" w:hanging="180"/>
      </w:pPr>
    </w:lvl>
    <w:lvl w:ilvl="3" w:tplc="BE64A6EE">
      <w:start w:val="1"/>
      <w:numFmt w:val="decimal"/>
      <w:lvlText w:val="%4."/>
      <w:lvlJc w:val="left"/>
      <w:pPr>
        <w:ind w:left="2880" w:hanging="360"/>
      </w:pPr>
    </w:lvl>
    <w:lvl w:ilvl="4" w:tplc="7B585AB6">
      <w:start w:val="1"/>
      <w:numFmt w:val="lowerLetter"/>
      <w:lvlText w:val="%5."/>
      <w:lvlJc w:val="left"/>
      <w:pPr>
        <w:ind w:left="3600" w:hanging="360"/>
      </w:pPr>
    </w:lvl>
    <w:lvl w:ilvl="5" w:tplc="81C62F1C">
      <w:start w:val="1"/>
      <w:numFmt w:val="lowerRoman"/>
      <w:lvlText w:val="%6."/>
      <w:lvlJc w:val="right"/>
      <w:pPr>
        <w:ind w:left="4320" w:hanging="180"/>
      </w:pPr>
    </w:lvl>
    <w:lvl w:ilvl="6" w:tplc="9D8A23F2">
      <w:start w:val="1"/>
      <w:numFmt w:val="decimal"/>
      <w:lvlText w:val="%7."/>
      <w:lvlJc w:val="left"/>
      <w:pPr>
        <w:ind w:left="5040" w:hanging="360"/>
      </w:pPr>
    </w:lvl>
    <w:lvl w:ilvl="7" w:tplc="6DBE8972">
      <w:start w:val="1"/>
      <w:numFmt w:val="lowerLetter"/>
      <w:lvlText w:val="%8."/>
      <w:lvlJc w:val="left"/>
      <w:pPr>
        <w:ind w:left="5760" w:hanging="360"/>
      </w:pPr>
    </w:lvl>
    <w:lvl w:ilvl="8" w:tplc="789A19A0">
      <w:start w:val="1"/>
      <w:numFmt w:val="lowerRoman"/>
      <w:lvlText w:val="%9."/>
      <w:lvlJc w:val="right"/>
      <w:pPr>
        <w:ind w:left="6480" w:hanging="180"/>
      </w:pPr>
    </w:lvl>
  </w:abstractNum>
  <w:abstractNum w:abstractNumId="153" w15:restartNumberingAfterBreak="0">
    <w:nsid w:val="4E682FAF"/>
    <w:multiLevelType w:val="hybridMultilevel"/>
    <w:tmpl w:val="18827CF4"/>
    <w:lvl w:ilvl="0" w:tplc="16E255B0">
      <w:start w:val="1"/>
      <w:numFmt w:val="decimal"/>
      <w:lvlText w:val="%1."/>
      <w:lvlJc w:val="left"/>
      <w:pPr>
        <w:ind w:left="720" w:hanging="360"/>
      </w:pPr>
    </w:lvl>
    <w:lvl w:ilvl="1" w:tplc="CA8CD326">
      <w:start w:val="1"/>
      <w:numFmt w:val="decimal"/>
      <w:lvlText w:val="%2."/>
      <w:lvlJc w:val="left"/>
      <w:pPr>
        <w:ind w:left="1440" w:hanging="360"/>
      </w:pPr>
    </w:lvl>
    <w:lvl w:ilvl="2" w:tplc="D2687AE6">
      <w:start w:val="1"/>
      <w:numFmt w:val="lowerRoman"/>
      <w:lvlText w:val="%3."/>
      <w:lvlJc w:val="right"/>
      <w:pPr>
        <w:ind w:left="2160" w:hanging="180"/>
      </w:pPr>
    </w:lvl>
    <w:lvl w:ilvl="3" w:tplc="68700AC8">
      <w:start w:val="1"/>
      <w:numFmt w:val="decimal"/>
      <w:lvlText w:val="%4."/>
      <w:lvlJc w:val="left"/>
      <w:pPr>
        <w:ind w:left="2880" w:hanging="360"/>
      </w:pPr>
    </w:lvl>
    <w:lvl w:ilvl="4" w:tplc="F0241D3C">
      <w:start w:val="1"/>
      <w:numFmt w:val="lowerLetter"/>
      <w:lvlText w:val="%5."/>
      <w:lvlJc w:val="left"/>
      <w:pPr>
        <w:ind w:left="3600" w:hanging="360"/>
      </w:pPr>
    </w:lvl>
    <w:lvl w:ilvl="5" w:tplc="E8861942">
      <w:start w:val="1"/>
      <w:numFmt w:val="lowerRoman"/>
      <w:lvlText w:val="%6."/>
      <w:lvlJc w:val="right"/>
      <w:pPr>
        <w:ind w:left="4320" w:hanging="180"/>
      </w:pPr>
    </w:lvl>
    <w:lvl w:ilvl="6" w:tplc="4C3871E4">
      <w:start w:val="1"/>
      <w:numFmt w:val="decimal"/>
      <w:lvlText w:val="%7."/>
      <w:lvlJc w:val="left"/>
      <w:pPr>
        <w:ind w:left="5040" w:hanging="360"/>
      </w:pPr>
    </w:lvl>
    <w:lvl w:ilvl="7" w:tplc="AC4C7490">
      <w:start w:val="1"/>
      <w:numFmt w:val="lowerLetter"/>
      <w:lvlText w:val="%8."/>
      <w:lvlJc w:val="left"/>
      <w:pPr>
        <w:ind w:left="5760" w:hanging="360"/>
      </w:pPr>
    </w:lvl>
    <w:lvl w:ilvl="8" w:tplc="437403A0">
      <w:start w:val="1"/>
      <w:numFmt w:val="lowerRoman"/>
      <w:lvlText w:val="%9."/>
      <w:lvlJc w:val="right"/>
      <w:pPr>
        <w:ind w:left="6480" w:hanging="180"/>
      </w:pPr>
    </w:lvl>
  </w:abstractNum>
  <w:abstractNum w:abstractNumId="154" w15:restartNumberingAfterBreak="0">
    <w:nsid w:val="50422B26"/>
    <w:multiLevelType w:val="hybridMultilevel"/>
    <w:tmpl w:val="F20404C2"/>
    <w:lvl w:ilvl="0" w:tplc="7D5EEB9C">
      <w:start w:val="1"/>
      <w:numFmt w:val="lowerRoman"/>
      <w:lvlText w:val="(%1)"/>
      <w:lvlJc w:val="left"/>
      <w:pPr>
        <w:ind w:left="753" w:hanging="720"/>
      </w:pPr>
      <w:rPr>
        <w:rFonts w:hint="default"/>
      </w:rPr>
    </w:lvl>
    <w:lvl w:ilvl="1" w:tplc="08090019" w:tentative="1">
      <w:start w:val="1"/>
      <w:numFmt w:val="lowerLetter"/>
      <w:lvlText w:val="%2."/>
      <w:lvlJc w:val="left"/>
      <w:pPr>
        <w:ind w:left="1113" w:hanging="360"/>
      </w:pPr>
    </w:lvl>
    <w:lvl w:ilvl="2" w:tplc="0809001B" w:tentative="1">
      <w:start w:val="1"/>
      <w:numFmt w:val="lowerRoman"/>
      <w:lvlText w:val="%3."/>
      <w:lvlJc w:val="right"/>
      <w:pPr>
        <w:ind w:left="1833" w:hanging="180"/>
      </w:pPr>
    </w:lvl>
    <w:lvl w:ilvl="3" w:tplc="0809000F" w:tentative="1">
      <w:start w:val="1"/>
      <w:numFmt w:val="decimal"/>
      <w:lvlText w:val="%4."/>
      <w:lvlJc w:val="left"/>
      <w:pPr>
        <w:ind w:left="2553" w:hanging="360"/>
      </w:pPr>
    </w:lvl>
    <w:lvl w:ilvl="4" w:tplc="08090019" w:tentative="1">
      <w:start w:val="1"/>
      <w:numFmt w:val="lowerLetter"/>
      <w:lvlText w:val="%5."/>
      <w:lvlJc w:val="left"/>
      <w:pPr>
        <w:ind w:left="3273" w:hanging="360"/>
      </w:pPr>
    </w:lvl>
    <w:lvl w:ilvl="5" w:tplc="0809001B" w:tentative="1">
      <w:start w:val="1"/>
      <w:numFmt w:val="lowerRoman"/>
      <w:lvlText w:val="%6."/>
      <w:lvlJc w:val="right"/>
      <w:pPr>
        <w:ind w:left="3993" w:hanging="180"/>
      </w:pPr>
    </w:lvl>
    <w:lvl w:ilvl="6" w:tplc="0809000F" w:tentative="1">
      <w:start w:val="1"/>
      <w:numFmt w:val="decimal"/>
      <w:lvlText w:val="%7."/>
      <w:lvlJc w:val="left"/>
      <w:pPr>
        <w:ind w:left="4713" w:hanging="360"/>
      </w:pPr>
    </w:lvl>
    <w:lvl w:ilvl="7" w:tplc="08090019" w:tentative="1">
      <w:start w:val="1"/>
      <w:numFmt w:val="lowerLetter"/>
      <w:lvlText w:val="%8."/>
      <w:lvlJc w:val="left"/>
      <w:pPr>
        <w:ind w:left="5433" w:hanging="360"/>
      </w:pPr>
    </w:lvl>
    <w:lvl w:ilvl="8" w:tplc="0809001B" w:tentative="1">
      <w:start w:val="1"/>
      <w:numFmt w:val="lowerRoman"/>
      <w:lvlText w:val="%9."/>
      <w:lvlJc w:val="right"/>
      <w:pPr>
        <w:ind w:left="6153" w:hanging="180"/>
      </w:pPr>
    </w:lvl>
  </w:abstractNum>
  <w:abstractNum w:abstractNumId="155" w15:restartNumberingAfterBreak="0">
    <w:nsid w:val="51863F82"/>
    <w:multiLevelType w:val="hybridMultilevel"/>
    <w:tmpl w:val="FFFFFFFF"/>
    <w:lvl w:ilvl="0" w:tplc="5886620E">
      <w:start w:val="1"/>
      <w:numFmt w:val="bullet"/>
      <w:lvlText w:val="·"/>
      <w:lvlJc w:val="left"/>
      <w:pPr>
        <w:ind w:left="720" w:hanging="360"/>
      </w:pPr>
      <w:rPr>
        <w:rFonts w:ascii="Symbol" w:hAnsi="Symbol" w:hint="default"/>
      </w:rPr>
    </w:lvl>
    <w:lvl w:ilvl="1" w:tplc="337A5E36">
      <w:start w:val="1"/>
      <w:numFmt w:val="decimal"/>
      <w:lvlText w:val="%2."/>
      <w:lvlJc w:val="left"/>
      <w:pPr>
        <w:ind w:left="1440" w:hanging="360"/>
      </w:pPr>
      <w:rPr>
        <w:rFonts w:hint="default"/>
      </w:rPr>
    </w:lvl>
    <w:lvl w:ilvl="2" w:tplc="A3BE1D6A">
      <w:start w:val="1"/>
      <w:numFmt w:val="bullet"/>
      <w:lvlText w:val=""/>
      <w:lvlJc w:val="left"/>
      <w:pPr>
        <w:ind w:left="2160" w:hanging="360"/>
      </w:pPr>
      <w:rPr>
        <w:rFonts w:ascii="Wingdings" w:hAnsi="Wingdings" w:hint="default"/>
      </w:rPr>
    </w:lvl>
    <w:lvl w:ilvl="3" w:tplc="E8A2134C">
      <w:start w:val="1"/>
      <w:numFmt w:val="bullet"/>
      <w:lvlText w:val=""/>
      <w:lvlJc w:val="left"/>
      <w:pPr>
        <w:ind w:left="2880" w:hanging="360"/>
      </w:pPr>
      <w:rPr>
        <w:rFonts w:ascii="Symbol" w:hAnsi="Symbol" w:hint="default"/>
      </w:rPr>
    </w:lvl>
    <w:lvl w:ilvl="4" w:tplc="C0261D4E">
      <w:start w:val="1"/>
      <w:numFmt w:val="bullet"/>
      <w:lvlText w:val="o"/>
      <w:lvlJc w:val="left"/>
      <w:pPr>
        <w:ind w:left="3600" w:hanging="360"/>
      </w:pPr>
      <w:rPr>
        <w:rFonts w:ascii="Courier New" w:hAnsi="Courier New" w:hint="default"/>
      </w:rPr>
    </w:lvl>
    <w:lvl w:ilvl="5" w:tplc="8D5814B6">
      <w:start w:val="1"/>
      <w:numFmt w:val="bullet"/>
      <w:lvlText w:val=""/>
      <w:lvlJc w:val="left"/>
      <w:pPr>
        <w:ind w:left="4320" w:hanging="360"/>
      </w:pPr>
      <w:rPr>
        <w:rFonts w:ascii="Wingdings" w:hAnsi="Wingdings" w:hint="default"/>
      </w:rPr>
    </w:lvl>
    <w:lvl w:ilvl="6" w:tplc="C860A228">
      <w:start w:val="1"/>
      <w:numFmt w:val="bullet"/>
      <w:lvlText w:val=""/>
      <w:lvlJc w:val="left"/>
      <w:pPr>
        <w:ind w:left="5040" w:hanging="360"/>
      </w:pPr>
      <w:rPr>
        <w:rFonts w:ascii="Symbol" w:hAnsi="Symbol" w:hint="default"/>
      </w:rPr>
    </w:lvl>
    <w:lvl w:ilvl="7" w:tplc="80C0C9B6">
      <w:start w:val="1"/>
      <w:numFmt w:val="bullet"/>
      <w:lvlText w:val="o"/>
      <w:lvlJc w:val="left"/>
      <w:pPr>
        <w:ind w:left="5760" w:hanging="360"/>
      </w:pPr>
      <w:rPr>
        <w:rFonts w:ascii="Courier New" w:hAnsi="Courier New" w:hint="default"/>
      </w:rPr>
    </w:lvl>
    <w:lvl w:ilvl="8" w:tplc="CDC20E0A">
      <w:start w:val="1"/>
      <w:numFmt w:val="bullet"/>
      <w:lvlText w:val=""/>
      <w:lvlJc w:val="left"/>
      <w:pPr>
        <w:ind w:left="6480" w:hanging="360"/>
      </w:pPr>
      <w:rPr>
        <w:rFonts w:ascii="Wingdings" w:hAnsi="Wingdings" w:hint="default"/>
      </w:rPr>
    </w:lvl>
  </w:abstractNum>
  <w:abstractNum w:abstractNumId="156" w15:restartNumberingAfterBreak="0">
    <w:nsid w:val="52B23B42"/>
    <w:multiLevelType w:val="hybridMultilevel"/>
    <w:tmpl w:val="30AA6C84"/>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7" w15:restartNumberingAfterBreak="0">
    <w:nsid w:val="53F95047"/>
    <w:multiLevelType w:val="hybridMultilevel"/>
    <w:tmpl w:val="FFFFFFFF"/>
    <w:lvl w:ilvl="0" w:tplc="F8FEE626">
      <w:start w:val="1"/>
      <w:numFmt w:val="decimal"/>
      <w:lvlText w:val="%1."/>
      <w:lvlJc w:val="left"/>
      <w:pPr>
        <w:ind w:left="720" w:hanging="360"/>
      </w:pPr>
    </w:lvl>
    <w:lvl w:ilvl="1" w:tplc="DD9079C0">
      <w:start w:val="1"/>
      <w:numFmt w:val="decimal"/>
      <w:lvlText w:val="%2."/>
      <w:lvlJc w:val="left"/>
      <w:pPr>
        <w:ind w:left="1440" w:hanging="360"/>
      </w:pPr>
    </w:lvl>
    <w:lvl w:ilvl="2" w:tplc="2E9EDF62">
      <w:start w:val="1"/>
      <w:numFmt w:val="lowerRoman"/>
      <w:lvlText w:val="%3."/>
      <w:lvlJc w:val="right"/>
      <w:pPr>
        <w:ind w:left="2160" w:hanging="180"/>
      </w:pPr>
    </w:lvl>
    <w:lvl w:ilvl="3" w:tplc="4E1AB8CA">
      <w:start w:val="1"/>
      <w:numFmt w:val="decimal"/>
      <w:lvlText w:val="%4."/>
      <w:lvlJc w:val="left"/>
      <w:pPr>
        <w:ind w:left="2880" w:hanging="360"/>
      </w:pPr>
    </w:lvl>
    <w:lvl w:ilvl="4" w:tplc="A55C23E6">
      <w:start w:val="1"/>
      <w:numFmt w:val="lowerLetter"/>
      <w:lvlText w:val="%5."/>
      <w:lvlJc w:val="left"/>
      <w:pPr>
        <w:ind w:left="3600" w:hanging="360"/>
      </w:pPr>
    </w:lvl>
    <w:lvl w:ilvl="5" w:tplc="A9CA267C">
      <w:start w:val="1"/>
      <w:numFmt w:val="lowerRoman"/>
      <w:lvlText w:val="%6."/>
      <w:lvlJc w:val="right"/>
      <w:pPr>
        <w:ind w:left="4320" w:hanging="180"/>
      </w:pPr>
    </w:lvl>
    <w:lvl w:ilvl="6" w:tplc="B2829E66">
      <w:start w:val="1"/>
      <w:numFmt w:val="decimal"/>
      <w:lvlText w:val="%7."/>
      <w:lvlJc w:val="left"/>
      <w:pPr>
        <w:ind w:left="5040" w:hanging="360"/>
      </w:pPr>
    </w:lvl>
    <w:lvl w:ilvl="7" w:tplc="2A10226A">
      <w:start w:val="1"/>
      <w:numFmt w:val="lowerLetter"/>
      <w:lvlText w:val="%8."/>
      <w:lvlJc w:val="left"/>
      <w:pPr>
        <w:ind w:left="5760" w:hanging="360"/>
      </w:pPr>
    </w:lvl>
    <w:lvl w:ilvl="8" w:tplc="B90C711A">
      <w:start w:val="1"/>
      <w:numFmt w:val="lowerRoman"/>
      <w:lvlText w:val="%9."/>
      <w:lvlJc w:val="right"/>
      <w:pPr>
        <w:ind w:left="6480" w:hanging="180"/>
      </w:pPr>
    </w:lvl>
  </w:abstractNum>
  <w:abstractNum w:abstractNumId="158" w15:restartNumberingAfterBreak="0">
    <w:nsid w:val="54656358"/>
    <w:multiLevelType w:val="multilevel"/>
    <w:tmpl w:val="D2C692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15:restartNumberingAfterBreak="0">
    <w:nsid w:val="55B70622"/>
    <w:multiLevelType w:val="hybridMultilevel"/>
    <w:tmpl w:val="F00CB8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0" w15:restartNumberingAfterBreak="0">
    <w:nsid w:val="56985AE2"/>
    <w:multiLevelType w:val="hybridMultilevel"/>
    <w:tmpl w:val="917CA5EE"/>
    <w:lvl w:ilvl="0" w:tplc="2B329774">
      <w:start w:val="1"/>
      <w:numFmt w:val="bullet"/>
      <w:lvlText w:val=""/>
      <w:lvlJc w:val="left"/>
      <w:pPr>
        <w:ind w:left="720" w:hanging="360"/>
      </w:pPr>
      <w:rPr>
        <w:rFonts w:ascii="Symbol" w:hAnsi="Symbol" w:hint="default"/>
      </w:rPr>
    </w:lvl>
    <w:lvl w:ilvl="1" w:tplc="E522C776">
      <w:start w:val="1"/>
      <w:numFmt w:val="bullet"/>
      <w:lvlText w:val="o"/>
      <w:lvlJc w:val="left"/>
      <w:pPr>
        <w:ind w:left="1440" w:hanging="360"/>
      </w:pPr>
      <w:rPr>
        <w:rFonts w:ascii="Courier New" w:hAnsi="Courier New" w:hint="default"/>
      </w:rPr>
    </w:lvl>
    <w:lvl w:ilvl="2" w:tplc="779035AC">
      <w:start w:val="1"/>
      <w:numFmt w:val="bullet"/>
      <w:lvlText w:val=""/>
      <w:lvlJc w:val="left"/>
      <w:pPr>
        <w:ind w:left="2160" w:hanging="360"/>
      </w:pPr>
      <w:rPr>
        <w:rFonts w:ascii="Wingdings" w:hAnsi="Wingdings" w:hint="default"/>
      </w:rPr>
    </w:lvl>
    <w:lvl w:ilvl="3" w:tplc="646AB0FA">
      <w:start w:val="1"/>
      <w:numFmt w:val="bullet"/>
      <w:lvlText w:val=""/>
      <w:lvlJc w:val="left"/>
      <w:pPr>
        <w:ind w:left="2880" w:hanging="360"/>
      </w:pPr>
      <w:rPr>
        <w:rFonts w:ascii="Symbol" w:hAnsi="Symbol" w:hint="default"/>
      </w:rPr>
    </w:lvl>
    <w:lvl w:ilvl="4" w:tplc="19D20F94">
      <w:start w:val="1"/>
      <w:numFmt w:val="bullet"/>
      <w:lvlText w:val="o"/>
      <w:lvlJc w:val="left"/>
      <w:pPr>
        <w:ind w:left="3600" w:hanging="360"/>
      </w:pPr>
      <w:rPr>
        <w:rFonts w:ascii="Courier New" w:hAnsi="Courier New" w:hint="default"/>
      </w:rPr>
    </w:lvl>
    <w:lvl w:ilvl="5" w:tplc="1CD2EE2A">
      <w:start w:val="1"/>
      <w:numFmt w:val="bullet"/>
      <w:lvlText w:val=""/>
      <w:lvlJc w:val="left"/>
      <w:pPr>
        <w:ind w:left="4320" w:hanging="360"/>
      </w:pPr>
      <w:rPr>
        <w:rFonts w:ascii="Wingdings" w:hAnsi="Wingdings" w:hint="default"/>
      </w:rPr>
    </w:lvl>
    <w:lvl w:ilvl="6" w:tplc="85BCF010">
      <w:start w:val="1"/>
      <w:numFmt w:val="bullet"/>
      <w:lvlText w:val=""/>
      <w:lvlJc w:val="left"/>
      <w:pPr>
        <w:ind w:left="5040" w:hanging="360"/>
      </w:pPr>
      <w:rPr>
        <w:rFonts w:ascii="Symbol" w:hAnsi="Symbol" w:hint="default"/>
      </w:rPr>
    </w:lvl>
    <w:lvl w:ilvl="7" w:tplc="4F142666">
      <w:start w:val="1"/>
      <w:numFmt w:val="bullet"/>
      <w:lvlText w:val="o"/>
      <w:lvlJc w:val="left"/>
      <w:pPr>
        <w:ind w:left="5760" w:hanging="360"/>
      </w:pPr>
      <w:rPr>
        <w:rFonts w:ascii="Courier New" w:hAnsi="Courier New" w:hint="default"/>
      </w:rPr>
    </w:lvl>
    <w:lvl w:ilvl="8" w:tplc="7BC49D68">
      <w:start w:val="1"/>
      <w:numFmt w:val="bullet"/>
      <w:lvlText w:val=""/>
      <w:lvlJc w:val="left"/>
      <w:pPr>
        <w:ind w:left="6480" w:hanging="360"/>
      </w:pPr>
      <w:rPr>
        <w:rFonts w:ascii="Wingdings" w:hAnsi="Wingdings" w:hint="default"/>
      </w:rPr>
    </w:lvl>
  </w:abstractNum>
  <w:abstractNum w:abstractNumId="161" w15:restartNumberingAfterBreak="0">
    <w:nsid w:val="582F3CBD"/>
    <w:multiLevelType w:val="hybridMultilevel"/>
    <w:tmpl w:val="E2F8FEC4"/>
    <w:lvl w:ilvl="0" w:tplc="08090001">
      <w:start w:val="1"/>
      <w:numFmt w:val="bullet"/>
      <w:lvlText w:val=""/>
      <w:lvlJc w:val="left"/>
      <w:pPr>
        <w:ind w:left="360" w:hanging="360"/>
      </w:pPr>
      <w:rPr>
        <w:rFonts w:ascii="Symbol" w:hAnsi="Symbol" w:hint="default"/>
        <w:spacing w:val="0"/>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2" w15:restartNumberingAfterBreak="0">
    <w:nsid w:val="59235E79"/>
    <w:multiLevelType w:val="hybridMultilevel"/>
    <w:tmpl w:val="2E96878E"/>
    <w:lvl w:ilvl="0" w:tplc="08160001">
      <w:start w:val="1"/>
      <w:numFmt w:val="bullet"/>
      <w:lvlText w:val=""/>
      <w:lvlJc w:val="left"/>
      <w:pPr>
        <w:ind w:left="805" w:hanging="360"/>
      </w:pPr>
      <w:rPr>
        <w:rFonts w:ascii="Symbol" w:hAnsi="Symbol" w:hint="default"/>
      </w:rPr>
    </w:lvl>
    <w:lvl w:ilvl="1" w:tplc="08160003" w:tentative="1">
      <w:start w:val="1"/>
      <w:numFmt w:val="bullet"/>
      <w:lvlText w:val="o"/>
      <w:lvlJc w:val="left"/>
      <w:pPr>
        <w:ind w:left="1525" w:hanging="360"/>
      </w:pPr>
      <w:rPr>
        <w:rFonts w:ascii="Courier New" w:hAnsi="Courier New" w:cs="Courier New" w:hint="default"/>
      </w:rPr>
    </w:lvl>
    <w:lvl w:ilvl="2" w:tplc="08160005" w:tentative="1">
      <w:start w:val="1"/>
      <w:numFmt w:val="bullet"/>
      <w:lvlText w:val=""/>
      <w:lvlJc w:val="left"/>
      <w:pPr>
        <w:ind w:left="2245" w:hanging="360"/>
      </w:pPr>
      <w:rPr>
        <w:rFonts w:ascii="Wingdings" w:hAnsi="Wingdings" w:hint="default"/>
      </w:rPr>
    </w:lvl>
    <w:lvl w:ilvl="3" w:tplc="08160001" w:tentative="1">
      <w:start w:val="1"/>
      <w:numFmt w:val="bullet"/>
      <w:lvlText w:val=""/>
      <w:lvlJc w:val="left"/>
      <w:pPr>
        <w:ind w:left="2965" w:hanging="360"/>
      </w:pPr>
      <w:rPr>
        <w:rFonts w:ascii="Symbol" w:hAnsi="Symbol" w:hint="default"/>
      </w:rPr>
    </w:lvl>
    <w:lvl w:ilvl="4" w:tplc="08160003" w:tentative="1">
      <w:start w:val="1"/>
      <w:numFmt w:val="bullet"/>
      <w:lvlText w:val="o"/>
      <w:lvlJc w:val="left"/>
      <w:pPr>
        <w:ind w:left="3685" w:hanging="360"/>
      </w:pPr>
      <w:rPr>
        <w:rFonts w:ascii="Courier New" w:hAnsi="Courier New" w:cs="Courier New" w:hint="default"/>
      </w:rPr>
    </w:lvl>
    <w:lvl w:ilvl="5" w:tplc="08160005" w:tentative="1">
      <w:start w:val="1"/>
      <w:numFmt w:val="bullet"/>
      <w:lvlText w:val=""/>
      <w:lvlJc w:val="left"/>
      <w:pPr>
        <w:ind w:left="4405" w:hanging="360"/>
      </w:pPr>
      <w:rPr>
        <w:rFonts w:ascii="Wingdings" w:hAnsi="Wingdings" w:hint="default"/>
      </w:rPr>
    </w:lvl>
    <w:lvl w:ilvl="6" w:tplc="08160001" w:tentative="1">
      <w:start w:val="1"/>
      <w:numFmt w:val="bullet"/>
      <w:lvlText w:val=""/>
      <w:lvlJc w:val="left"/>
      <w:pPr>
        <w:ind w:left="5125" w:hanging="360"/>
      </w:pPr>
      <w:rPr>
        <w:rFonts w:ascii="Symbol" w:hAnsi="Symbol" w:hint="default"/>
      </w:rPr>
    </w:lvl>
    <w:lvl w:ilvl="7" w:tplc="08160003" w:tentative="1">
      <w:start w:val="1"/>
      <w:numFmt w:val="bullet"/>
      <w:lvlText w:val="o"/>
      <w:lvlJc w:val="left"/>
      <w:pPr>
        <w:ind w:left="5845" w:hanging="360"/>
      </w:pPr>
      <w:rPr>
        <w:rFonts w:ascii="Courier New" w:hAnsi="Courier New" w:cs="Courier New" w:hint="default"/>
      </w:rPr>
    </w:lvl>
    <w:lvl w:ilvl="8" w:tplc="08160005" w:tentative="1">
      <w:start w:val="1"/>
      <w:numFmt w:val="bullet"/>
      <w:lvlText w:val=""/>
      <w:lvlJc w:val="left"/>
      <w:pPr>
        <w:ind w:left="6565" w:hanging="360"/>
      </w:pPr>
      <w:rPr>
        <w:rFonts w:ascii="Wingdings" w:hAnsi="Wingdings" w:hint="default"/>
      </w:rPr>
    </w:lvl>
  </w:abstractNum>
  <w:abstractNum w:abstractNumId="163" w15:restartNumberingAfterBreak="0">
    <w:nsid w:val="59525D42"/>
    <w:multiLevelType w:val="hybridMultilevel"/>
    <w:tmpl w:val="FFFFFFFF"/>
    <w:lvl w:ilvl="0" w:tplc="E20096AA">
      <w:start w:val="1"/>
      <w:numFmt w:val="bullet"/>
      <w:lvlText w:val="-"/>
      <w:lvlJc w:val="left"/>
      <w:pPr>
        <w:ind w:left="720" w:hanging="360"/>
      </w:pPr>
      <w:rPr>
        <w:rFonts w:ascii="Calibri" w:hAnsi="Calibri" w:hint="default"/>
      </w:rPr>
    </w:lvl>
    <w:lvl w:ilvl="1" w:tplc="9BFCB794">
      <w:start w:val="1"/>
      <w:numFmt w:val="bullet"/>
      <w:lvlText w:val="o"/>
      <w:lvlJc w:val="left"/>
      <w:pPr>
        <w:ind w:left="1440" w:hanging="360"/>
      </w:pPr>
      <w:rPr>
        <w:rFonts w:ascii="Courier New" w:hAnsi="Courier New" w:hint="default"/>
      </w:rPr>
    </w:lvl>
    <w:lvl w:ilvl="2" w:tplc="50F8D120">
      <w:start w:val="1"/>
      <w:numFmt w:val="bullet"/>
      <w:lvlText w:val=""/>
      <w:lvlJc w:val="left"/>
      <w:pPr>
        <w:ind w:left="2160" w:hanging="360"/>
      </w:pPr>
      <w:rPr>
        <w:rFonts w:ascii="Wingdings" w:hAnsi="Wingdings" w:hint="default"/>
      </w:rPr>
    </w:lvl>
    <w:lvl w:ilvl="3" w:tplc="3D08CF90">
      <w:start w:val="1"/>
      <w:numFmt w:val="bullet"/>
      <w:lvlText w:val=""/>
      <w:lvlJc w:val="left"/>
      <w:pPr>
        <w:ind w:left="2880" w:hanging="360"/>
      </w:pPr>
      <w:rPr>
        <w:rFonts w:ascii="Symbol" w:hAnsi="Symbol" w:hint="default"/>
      </w:rPr>
    </w:lvl>
    <w:lvl w:ilvl="4" w:tplc="500A0032">
      <w:start w:val="1"/>
      <w:numFmt w:val="bullet"/>
      <w:lvlText w:val="o"/>
      <w:lvlJc w:val="left"/>
      <w:pPr>
        <w:ind w:left="3600" w:hanging="360"/>
      </w:pPr>
      <w:rPr>
        <w:rFonts w:ascii="Courier New" w:hAnsi="Courier New" w:hint="default"/>
      </w:rPr>
    </w:lvl>
    <w:lvl w:ilvl="5" w:tplc="D494BF2A">
      <w:start w:val="1"/>
      <w:numFmt w:val="bullet"/>
      <w:lvlText w:val=""/>
      <w:lvlJc w:val="left"/>
      <w:pPr>
        <w:ind w:left="4320" w:hanging="360"/>
      </w:pPr>
      <w:rPr>
        <w:rFonts w:ascii="Wingdings" w:hAnsi="Wingdings" w:hint="default"/>
      </w:rPr>
    </w:lvl>
    <w:lvl w:ilvl="6" w:tplc="2BE41F68">
      <w:start w:val="1"/>
      <w:numFmt w:val="bullet"/>
      <w:lvlText w:val=""/>
      <w:lvlJc w:val="left"/>
      <w:pPr>
        <w:ind w:left="5040" w:hanging="360"/>
      </w:pPr>
      <w:rPr>
        <w:rFonts w:ascii="Symbol" w:hAnsi="Symbol" w:hint="default"/>
      </w:rPr>
    </w:lvl>
    <w:lvl w:ilvl="7" w:tplc="43F0D1B4">
      <w:start w:val="1"/>
      <w:numFmt w:val="bullet"/>
      <w:lvlText w:val="o"/>
      <w:lvlJc w:val="left"/>
      <w:pPr>
        <w:ind w:left="5760" w:hanging="360"/>
      </w:pPr>
      <w:rPr>
        <w:rFonts w:ascii="Courier New" w:hAnsi="Courier New" w:hint="default"/>
      </w:rPr>
    </w:lvl>
    <w:lvl w:ilvl="8" w:tplc="86E8DE92">
      <w:start w:val="1"/>
      <w:numFmt w:val="bullet"/>
      <w:lvlText w:val=""/>
      <w:lvlJc w:val="left"/>
      <w:pPr>
        <w:ind w:left="6480" w:hanging="360"/>
      </w:pPr>
      <w:rPr>
        <w:rFonts w:ascii="Wingdings" w:hAnsi="Wingdings" w:hint="default"/>
      </w:rPr>
    </w:lvl>
  </w:abstractNum>
  <w:abstractNum w:abstractNumId="164" w15:restartNumberingAfterBreak="0">
    <w:nsid w:val="5A10544D"/>
    <w:multiLevelType w:val="hybridMultilevel"/>
    <w:tmpl w:val="AEF0A6A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5" w15:restartNumberingAfterBreak="0">
    <w:nsid w:val="5ADD1127"/>
    <w:multiLevelType w:val="hybridMultilevel"/>
    <w:tmpl w:val="44722EE6"/>
    <w:lvl w:ilvl="0" w:tplc="7D5EEB9C">
      <w:start w:val="1"/>
      <w:numFmt w:val="lowerRoman"/>
      <w:lvlText w:val="(%1)"/>
      <w:lvlJc w:val="left"/>
      <w:pPr>
        <w:ind w:left="753" w:hanging="720"/>
      </w:pPr>
      <w:rPr>
        <w:rFonts w:hint="default"/>
      </w:rPr>
    </w:lvl>
    <w:lvl w:ilvl="1" w:tplc="08090019" w:tentative="1">
      <w:start w:val="1"/>
      <w:numFmt w:val="lowerLetter"/>
      <w:lvlText w:val="%2."/>
      <w:lvlJc w:val="left"/>
      <w:pPr>
        <w:ind w:left="1113" w:hanging="360"/>
      </w:pPr>
    </w:lvl>
    <w:lvl w:ilvl="2" w:tplc="0809001B" w:tentative="1">
      <w:start w:val="1"/>
      <w:numFmt w:val="lowerRoman"/>
      <w:lvlText w:val="%3."/>
      <w:lvlJc w:val="right"/>
      <w:pPr>
        <w:ind w:left="1833" w:hanging="180"/>
      </w:pPr>
    </w:lvl>
    <w:lvl w:ilvl="3" w:tplc="0809000F" w:tentative="1">
      <w:start w:val="1"/>
      <w:numFmt w:val="decimal"/>
      <w:lvlText w:val="%4."/>
      <w:lvlJc w:val="left"/>
      <w:pPr>
        <w:ind w:left="2553" w:hanging="360"/>
      </w:pPr>
    </w:lvl>
    <w:lvl w:ilvl="4" w:tplc="08090019" w:tentative="1">
      <w:start w:val="1"/>
      <w:numFmt w:val="lowerLetter"/>
      <w:lvlText w:val="%5."/>
      <w:lvlJc w:val="left"/>
      <w:pPr>
        <w:ind w:left="3273" w:hanging="360"/>
      </w:pPr>
    </w:lvl>
    <w:lvl w:ilvl="5" w:tplc="0809001B" w:tentative="1">
      <w:start w:val="1"/>
      <w:numFmt w:val="lowerRoman"/>
      <w:lvlText w:val="%6."/>
      <w:lvlJc w:val="right"/>
      <w:pPr>
        <w:ind w:left="3993" w:hanging="180"/>
      </w:pPr>
    </w:lvl>
    <w:lvl w:ilvl="6" w:tplc="0809000F" w:tentative="1">
      <w:start w:val="1"/>
      <w:numFmt w:val="decimal"/>
      <w:lvlText w:val="%7."/>
      <w:lvlJc w:val="left"/>
      <w:pPr>
        <w:ind w:left="4713" w:hanging="360"/>
      </w:pPr>
    </w:lvl>
    <w:lvl w:ilvl="7" w:tplc="08090019" w:tentative="1">
      <w:start w:val="1"/>
      <w:numFmt w:val="lowerLetter"/>
      <w:lvlText w:val="%8."/>
      <w:lvlJc w:val="left"/>
      <w:pPr>
        <w:ind w:left="5433" w:hanging="360"/>
      </w:pPr>
    </w:lvl>
    <w:lvl w:ilvl="8" w:tplc="0809001B" w:tentative="1">
      <w:start w:val="1"/>
      <w:numFmt w:val="lowerRoman"/>
      <w:lvlText w:val="%9."/>
      <w:lvlJc w:val="right"/>
      <w:pPr>
        <w:ind w:left="6153" w:hanging="180"/>
      </w:pPr>
    </w:lvl>
  </w:abstractNum>
  <w:abstractNum w:abstractNumId="166" w15:restartNumberingAfterBreak="0">
    <w:nsid w:val="5B9E0146"/>
    <w:multiLevelType w:val="hybridMultilevel"/>
    <w:tmpl w:val="3564CFFE"/>
    <w:lvl w:ilvl="0" w:tplc="08090001">
      <w:start w:val="1"/>
      <w:numFmt w:val="bullet"/>
      <w:lvlText w:val=""/>
      <w:lvlJc w:val="left"/>
      <w:pPr>
        <w:ind w:left="805" w:hanging="360"/>
      </w:pPr>
      <w:rPr>
        <w:rFonts w:ascii="Symbol" w:hAnsi="Symbol" w:hint="default"/>
      </w:rPr>
    </w:lvl>
    <w:lvl w:ilvl="1" w:tplc="08090003" w:tentative="1">
      <w:start w:val="1"/>
      <w:numFmt w:val="bullet"/>
      <w:lvlText w:val="o"/>
      <w:lvlJc w:val="left"/>
      <w:pPr>
        <w:ind w:left="1525" w:hanging="360"/>
      </w:pPr>
      <w:rPr>
        <w:rFonts w:ascii="Courier New" w:hAnsi="Courier New" w:cs="Courier New" w:hint="default"/>
      </w:rPr>
    </w:lvl>
    <w:lvl w:ilvl="2" w:tplc="08090005" w:tentative="1">
      <w:start w:val="1"/>
      <w:numFmt w:val="bullet"/>
      <w:lvlText w:val=""/>
      <w:lvlJc w:val="left"/>
      <w:pPr>
        <w:ind w:left="2245" w:hanging="360"/>
      </w:pPr>
      <w:rPr>
        <w:rFonts w:ascii="Wingdings" w:hAnsi="Wingdings" w:hint="default"/>
      </w:rPr>
    </w:lvl>
    <w:lvl w:ilvl="3" w:tplc="08090001" w:tentative="1">
      <w:start w:val="1"/>
      <w:numFmt w:val="bullet"/>
      <w:lvlText w:val=""/>
      <w:lvlJc w:val="left"/>
      <w:pPr>
        <w:ind w:left="2965" w:hanging="360"/>
      </w:pPr>
      <w:rPr>
        <w:rFonts w:ascii="Symbol" w:hAnsi="Symbol" w:hint="default"/>
      </w:rPr>
    </w:lvl>
    <w:lvl w:ilvl="4" w:tplc="08090003" w:tentative="1">
      <w:start w:val="1"/>
      <w:numFmt w:val="bullet"/>
      <w:lvlText w:val="o"/>
      <w:lvlJc w:val="left"/>
      <w:pPr>
        <w:ind w:left="3685" w:hanging="360"/>
      </w:pPr>
      <w:rPr>
        <w:rFonts w:ascii="Courier New" w:hAnsi="Courier New" w:cs="Courier New" w:hint="default"/>
      </w:rPr>
    </w:lvl>
    <w:lvl w:ilvl="5" w:tplc="08090005" w:tentative="1">
      <w:start w:val="1"/>
      <w:numFmt w:val="bullet"/>
      <w:lvlText w:val=""/>
      <w:lvlJc w:val="left"/>
      <w:pPr>
        <w:ind w:left="4405" w:hanging="360"/>
      </w:pPr>
      <w:rPr>
        <w:rFonts w:ascii="Wingdings" w:hAnsi="Wingdings" w:hint="default"/>
      </w:rPr>
    </w:lvl>
    <w:lvl w:ilvl="6" w:tplc="08090001" w:tentative="1">
      <w:start w:val="1"/>
      <w:numFmt w:val="bullet"/>
      <w:lvlText w:val=""/>
      <w:lvlJc w:val="left"/>
      <w:pPr>
        <w:ind w:left="5125" w:hanging="360"/>
      </w:pPr>
      <w:rPr>
        <w:rFonts w:ascii="Symbol" w:hAnsi="Symbol" w:hint="default"/>
      </w:rPr>
    </w:lvl>
    <w:lvl w:ilvl="7" w:tplc="08090003" w:tentative="1">
      <w:start w:val="1"/>
      <w:numFmt w:val="bullet"/>
      <w:lvlText w:val="o"/>
      <w:lvlJc w:val="left"/>
      <w:pPr>
        <w:ind w:left="5845" w:hanging="360"/>
      </w:pPr>
      <w:rPr>
        <w:rFonts w:ascii="Courier New" w:hAnsi="Courier New" w:cs="Courier New" w:hint="default"/>
      </w:rPr>
    </w:lvl>
    <w:lvl w:ilvl="8" w:tplc="08090005" w:tentative="1">
      <w:start w:val="1"/>
      <w:numFmt w:val="bullet"/>
      <w:lvlText w:val=""/>
      <w:lvlJc w:val="left"/>
      <w:pPr>
        <w:ind w:left="6565" w:hanging="360"/>
      </w:pPr>
      <w:rPr>
        <w:rFonts w:ascii="Wingdings" w:hAnsi="Wingdings" w:hint="default"/>
      </w:rPr>
    </w:lvl>
  </w:abstractNum>
  <w:abstractNum w:abstractNumId="167" w15:restartNumberingAfterBreak="0">
    <w:nsid w:val="5BB44229"/>
    <w:multiLevelType w:val="hybridMultilevel"/>
    <w:tmpl w:val="CBBEE3D4"/>
    <w:lvl w:ilvl="0" w:tplc="CCD23C1A">
      <w:start w:val="1"/>
      <w:numFmt w:val="bullet"/>
      <w:lvlText w:val="-"/>
      <w:lvlJc w:val="left"/>
      <w:pPr>
        <w:ind w:left="890" w:hanging="360"/>
      </w:pPr>
      <w:rPr>
        <w:rFonts w:ascii="Cambria" w:eastAsia="Cambria" w:hAnsi="Cambria" w:cs="Cambria" w:hint="default"/>
      </w:rPr>
    </w:lvl>
    <w:lvl w:ilvl="1" w:tplc="08090003" w:tentative="1">
      <w:start w:val="1"/>
      <w:numFmt w:val="bullet"/>
      <w:lvlText w:val="o"/>
      <w:lvlJc w:val="left"/>
      <w:pPr>
        <w:ind w:left="1525" w:hanging="360"/>
      </w:pPr>
      <w:rPr>
        <w:rFonts w:ascii="Courier New" w:hAnsi="Courier New" w:cs="Courier New" w:hint="default"/>
      </w:rPr>
    </w:lvl>
    <w:lvl w:ilvl="2" w:tplc="08090005" w:tentative="1">
      <w:start w:val="1"/>
      <w:numFmt w:val="bullet"/>
      <w:lvlText w:val=""/>
      <w:lvlJc w:val="left"/>
      <w:pPr>
        <w:ind w:left="2245" w:hanging="360"/>
      </w:pPr>
      <w:rPr>
        <w:rFonts w:ascii="Wingdings" w:hAnsi="Wingdings" w:hint="default"/>
      </w:rPr>
    </w:lvl>
    <w:lvl w:ilvl="3" w:tplc="08090001" w:tentative="1">
      <w:start w:val="1"/>
      <w:numFmt w:val="bullet"/>
      <w:lvlText w:val=""/>
      <w:lvlJc w:val="left"/>
      <w:pPr>
        <w:ind w:left="2965" w:hanging="360"/>
      </w:pPr>
      <w:rPr>
        <w:rFonts w:ascii="Symbol" w:hAnsi="Symbol" w:hint="default"/>
      </w:rPr>
    </w:lvl>
    <w:lvl w:ilvl="4" w:tplc="08090003" w:tentative="1">
      <w:start w:val="1"/>
      <w:numFmt w:val="bullet"/>
      <w:lvlText w:val="o"/>
      <w:lvlJc w:val="left"/>
      <w:pPr>
        <w:ind w:left="3685" w:hanging="360"/>
      </w:pPr>
      <w:rPr>
        <w:rFonts w:ascii="Courier New" w:hAnsi="Courier New" w:cs="Courier New" w:hint="default"/>
      </w:rPr>
    </w:lvl>
    <w:lvl w:ilvl="5" w:tplc="08090005" w:tentative="1">
      <w:start w:val="1"/>
      <w:numFmt w:val="bullet"/>
      <w:lvlText w:val=""/>
      <w:lvlJc w:val="left"/>
      <w:pPr>
        <w:ind w:left="4405" w:hanging="360"/>
      </w:pPr>
      <w:rPr>
        <w:rFonts w:ascii="Wingdings" w:hAnsi="Wingdings" w:hint="default"/>
      </w:rPr>
    </w:lvl>
    <w:lvl w:ilvl="6" w:tplc="08090001" w:tentative="1">
      <w:start w:val="1"/>
      <w:numFmt w:val="bullet"/>
      <w:lvlText w:val=""/>
      <w:lvlJc w:val="left"/>
      <w:pPr>
        <w:ind w:left="5125" w:hanging="360"/>
      </w:pPr>
      <w:rPr>
        <w:rFonts w:ascii="Symbol" w:hAnsi="Symbol" w:hint="default"/>
      </w:rPr>
    </w:lvl>
    <w:lvl w:ilvl="7" w:tplc="08090003" w:tentative="1">
      <w:start w:val="1"/>
      <w:numFmt w:val="bullet"/>
      <w:lvlText w:val="o"/>
      <w:lvlJc w:val="left"/>
      <w:pPr>
        <w:ind w:left="5845" w:hanging="360"/>
      </w:pPr>
      <w:rPr>
        <w:rFonts w:ascii="Courier New" w:hAnsi="Courier New" w:cs="Courier New" w:hint="default"/>
      </w:rPr>
    </w:lvl>
    <w:lvl w:ilvl="8" w:tplc="08090005" w:tentative="1">
      <w:start w:val="1"/>
      <w:numFmt w:val="bullet"/>
      <w:lvlText w:val=""/>
      <w:lvlJc w:val="left"/>
      <w:pPr>
        <w:ind w:left="6565" w:hanging="360"/>
      </w:pPr>
      <w:rPr>
        <w:rFonts w:ascii="Wingdings" w:hAnsi="Wingdings" w:hint="default"/>
      </w:rPr>
    </w:lvl>
  </w:abstractNum>
  <w:abstractNum w:abstractNumId="168" w15:restartNumberingAfterBreak="0">
    <w:nsid w:val="5C851747"/>
    <w:multiLevelType w:val="hybridMultilevel"/>
    <w:tmpl w:val="FFFFFFFF"/>
    <w:lvl w:ilvl="0" w:tplc="5302F9D4">
      <w:start w:val="1"/>
      <w:numFmt w:val="bullet"/>
      <w:lvlText w:val=""/>
      <w:lvlJc w:val="left"/>
      <w:pPr>
        <w:ind w:left="720" w:hanging="360"/>
      </w:pPr>
      <w:rPr>
        <w:rFonts w:ascii="Symbol" w:hAnsi="Symbol" w:hint="default"/>
      </w:rPr>
    </w:lvl>
    <w:lvl w:ilvl="1" w:tplc="DD4659C2">
      <w:start w:val="1"/>
      <w:numFmt w:val="bullet"/>
      <w:lvlText w:val="o"/>
      <w:lvlJc w:val="left"/>
      <w:pPr>
        <w:ind w:left="1440" w:hanging="360"/>
      </w:pPr>
      <w:rPr>
        <w:rFonts w:ascii="Courier New" w:hAnsi="Courier New" w:hint="default"/>
      </w:rPr>
    </w:lvl>
    <w:lvl w:ilvl="2" w:tplc="D9BA3428">
      <w:start w:val="1"/>
      <w:numFmt w:val="bullet"/>
      <w:lvlText w:val=""/>
      <w:lvlJc w:val="left"/>
      <w:pPr>
        <w:ind w:left="2160" w:hanging="360"/>
      </w:pPr>
      <w:rPr>
        <w:rFonts w:ascii="Wingdings" w:hAnsi="Wingdings" w:hint="default"/>
      </w:rPr>
    </w:lvl>
    <w:lvl w:ilvl="3" w:tplc="67049B74">
      <w:start w:val="1"/>
      <w:numFmt w:val="bullet"/>
      <w:lvlText w:val=""/>
      <w:lvlJc w:val="left"/>
      <w:pPr>
        <w:ind w:left="2880" w:hanging="360"/>
      </w:pPr>
      <w:rPr>
        <w:rFonts w:ascii="Symbol" w:hAnsi="Symbol" w:hint="default"/>
      </w:rPr>
    </w:lvl>
    <w:lvl w:ilvl="4" w:tplc="5C00F5D2">
      <w:start w:val="1"/>
      <w:numFmt w:val="bullet"/>
      <w:lvlText w:val="o"/>
      <w:lvlJc w:val="left"/>
      <w:pPr>
        <w:ind w:left="3600" w:hanging="360"/>
      </w:pPr>
      <w:rPr>
        <w:rFonts w:ascii="Courier New" w:hAnsi="Courier New" w:hint="default"/>
      </w:rPr>
    </w:lvl>
    <w:lvl w:ilvl="5" w:tplc="20E4343C">
      <w:start w:val="1"/>
      <w:numFmt w:val="bullet"/>
      <w:lvlText w:val=""/>
      <w:lvlJc w:val="left"/>
      <w:pPr>
        <w:ind w:left="4320" w:hanging="360"/>
      </w:pPr>
      <w:rPr>
        <w:rFonts w:ascii="Wingdings" w:hAnsi="Wingdings" w:hint="default"/>
      </w:rPr>
    </w:lvl>
    <w:lvl w:ilvl="6" w:tplc="4D8680CA">
      <w:start w:val="1"/>
      <w:numFmt w:val="bullet"/>
      <w:lvlText w:val=""/>
      <w:lvlJc w:val="left"/>
      <w:pPr>
        <w:ind w:left="5040" w:hanging="360"/>
      </w:pPr>
      <w:rPr>
        <w:rFonts w:ascii="Symbol" w:hAnsi="Symbol" w:hint="default"/>
      </w:rPr>
    </w:lvl>
    <w:lvl w:ilvl="7" w:tplc="2C16C8AA">
      <w:start w:val="1"/>
      <w:numFmt w:val="bullet"/>
      <w:lvlText w:val="o"/>
      <w:lvlJc w:val="left"/>
      <w:pPr>
        <w:ind w:left="5760" w:hanging="360"/>
      </w:pPr>
      <w:rPr>
        <w:rFonts w:ascii="Courier New" w:hAnsi="Courier New" w:hint="default"/>
      </w:rPr>
    </w:lvl>
    <w:lvl w:ilvl="8" w:tplc="9C6673B4">
      <w:start w:val="1"/>
      <w:numFmt w:val="bullet"/>
      <w:lvlText w:val=""/>
      <w:lvlJc w:val="left"/>
      <w:pPr>
        <w:ind w:left="6480" w:hanging="360"/>
      </w:pPr>
      <w:rPr>
        <w:rFonts w:ascii="Wingdings" w:hAnsi="Wingdings" w:hint="default"/>
      </w:rPr>
    </w:lvl>
  </w:abstractNum>
  <w:abstractNum w:abstractNumId="169" w15:restartNumberingAfterBreak="0">
    <w:nsid w:val="5D106B02"/>
    <w:multiLevelType w:val="hybridMultilevel"/>
    <w:tmpl w:val="6444E81E"/>
    <w:lvl w:ilvl="0" w:tplc="AAE463B2">
      <w:start w:val="1"/>
      <w:numFmt w:val="decimal"/>
      <w:lvlText w:val="%1)"/>
      <w:lvlJc w:val="left"/>
      <w:pPr>
        <w:ind w:left="180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0" w15:restartNumberingAfterBreak="0">
    <w:nsid w:val="5D332643"/>
    <w:multiLevelType w:val="hybridMultilevel"/>
    <w:tmpl w:val="4A46D1D8"/>
    <w:lvl w:ilvl="0" w:tplc="08160001">
      <w:start w:val="1"/>
      <w:numFmt w:val="bullet"/>
      <w:lvlText w:val=""/>
      <w:lvlJc w:val="left"/>
      <w:pPr>
        <w:ind w:left="753" w:hanging="360"/>
      </w:pPr>
      <w:rPr>
        <w:rFonts w:ascii="Symbol" w:hAnsi="Symbol" w:hint="default"/>
      </w:rPr>
    </w:lvl>
    <w:lvl w:ilvl="1" w:tplc="08160003" w:tentative="1">
      <w:start w:val="1"/>
      <w:numFmt w:val="bullet"/>
      <w:lvlText w:val="o"/>
      <w:lvlJc w:val="left"/>
      <w:pPr>
        <w:ind w:left="1473" w:hanging="360"/>
      </w:pPr>
      <w:rPr>
        <w:rFonts w:ascii="Courier New" w:hAnsi="Courier New" w:cs="Courier New" w:hint="default"/>
      </w:rPr>
    </w:lvl>
    <w:lvl w:ilvl="2" w:tplc="08160005" w:tentative="1">
      <w:start w:val="1"/>
      <w:numFmt w:val="bullet"/>
      <w:lvlText w:val=""/>
      <w:lvlJc w:val="left"/>
      <w:pPr>
        <w:ind w:left="2193" w:hanging="360"/>
      </w:pPr>
      <w:rPr>
        <w:rFonts w:ascii="Wingdings" w:hAnsi="Wingdings" w:hint="default"/>
      </w:rPr>
    </w:lvl>
    <w:lvl w:ilvl="3" w:tplc="08160001" w:tentative="1">
      <w:start w:val="1"/>
      <w:numFmt w:val="bullet"/>
      <w:lvlText w:val=""/>
      <w:lvlJc w:val="left"/>
      <w:pPr>
        <w:ind w:left="2913" w:hanging="360"/>
      </w:pPr>
      <w:rPr>
        <w:rFonts w:ascii="Symbol" w:hAnsi="Symbol" w:hint="default"/>
      </w:rPr>
    </w:lvl>
    <w:lvl w:ilvl="4" w:tplc="08160003" w:tentative="1">
      <w:start w:val="1"/>
      <w:numFmt w:val="bullet"/>
      <w:lvlText w:val="o"/>
      <w:lvlJc w:val="left"/>
      <w:pPr>
        <w:ind w:left="3633" w:hanging="360"/>
      </w:pPr>
      <w:rPr>
        <w:rFonts w:ascii="Courier New" w:hAnsi="Courier New" w:cs="Courier New" w:hint="default"/>
      </w:rPr>
    </w:lvl>
    <w:lvl w:ilvl="5" w:tplc="08160005" w:tentative="1">
      <w:start w:val="1"/>
      <w:numFmt w:val="bullet"/>
      <w:lvlText w:val=""/>
      <w:lvlJc w:val="left"/>
      <w:pPr>
        <w:ind w:left="4353" w:hanging="360"/>
      </w:pPr>
      <w:rPr>
        <w:rFonts w:ascii="Wingdings" w:hAnsi="Wingdings" w:hint="default"/>
      </w:rPr>
    </w:lvl>
    <w:lvl w:ilvl="6" w:tplc="08160001" w:tentative="1">
      <w:start w:val="1"/>
      <w:numFmt w:val="bullet"/>
      <w:lvlText w:val=""/>
      <w:lvlJc w:val="left"/>
      <w:pPr>
        <w:ind w:left="5073" w:hanging="360"/>
      </w:pPr>
      <w:rPr>
        <w:rFonts w:ascii="Symbol" w:hAnsi="Symbol" w:hint="default"/>
      </w:rPr>
    </w:lvl>
    <w:lvl w:ilvl="7" w:tplc="08160003" w:tentative="1">
      <w:start w:val="1"/>
      <w:numFmt w:val="bullet"/>
      <w:lvlText w:val="o"/>
      <w:lvlJc w:val="left"/>
      <w:pPr>
        <w:ind w:left="5793" w:hanging="360"/>
      </w:pPr>
      <w:rPr>
        <w:rFonts w:ascii="Courier New" w:hAnsi="Courier New" w:cs="Courier New" w:hint="default"/>
      </w:rPr>
    </w:lvl>
    <w:lvl w:ilvl="8" w:tplc="08160005" w:tentative="1">
      <w:start w:val="1"/>
      <w:numFmt w:val="bullet"/>
      <w:lvlText w:val=""/>
      <w:lvlJc w:val="left"/>
      <w:pPr>
        <w:ind w:left="6513" w:hanging="360"/>
      </w:pPr>
      <w:rPr>
        <w:rFonts w:ascii="Wingdings" w:hAnsi="Wingdings" w:hint="default"/>
      </w:rPr>
    </w:lvl>
  </w:abstractNum>
  <w:abstractNum w:abstractNumId="171" w15:restartNumberingAfterBreak="0">
    <w:nsid w:val="5D387742"/>
    <w:multiLevelType w:val="hybridMultilevel"/>
    <w:tmpl w:val="6444E81E"/>
    <w:lvl w:ilvl="0" w:tplc="AAE463B2">
      <w:start w:val="1"/>
      <w:numFmt w:val="decimal"/>
      <w:lvlText w:val="%1)"/>
      <w:lvlJc w:val="left"/>
      <w:pPr>
        <w:ind w:left="180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2" w15:restartNumberingAfterBreak="0">
    <w:nsid w:val="5E3F52BA"/>
    <w:multiLevelType w:val="hybridMultilevel"/>
    <w:tmpl w:val="2462250C"/>
    <w:lvl w:ilvl="0" w:tplc="895E822A">
      <w:start w:val="1"/>
      <w:numFmt w:val="decimal"/>
      <w:lvlText w:val="%1."/>
      <w:lvlJc w:val="left"/>
      <w:pPr>
        <w:ind w:left="530" w:hanging="445"/>
      </w:pPr>
      <w:rPr>
        <w:rFonts w:hint="default"/>
      </w:rPr>
    </w:lvl>
    <w:lvl w:ilvl="1" w:tplc="08090019" w:tentative="1">
      <w:start w:val="1"/>
      <w:numFmt w:val="lowerLetter"/>
      <w:lvlText w:val="%2."/>
      <w:lvlJc w:val="left"/>
      <w:pPr>
        <w:ind w:left="1165" w:hanging="360"/>
      </w:pPr>
    </w:lvl>
    <w:lvl w:ilvl="2" w:tplc="0809001B" w:tentative="1">
      <w:start w:val="1"/>
      <w:numFmt w:val="lowerRoman"/>
      <w:lvlText w:val="%3."/>
      <w:lvlJc w:val="right"/>
      <w:pPr>
        <w:ind w:left="1885" w:hanging="180"/>
      </w:pPr>
    </w:lvl>
    <w:lvl w:ilvl="3" w:tplc="0809000F" w:tentative="1">
      <w:start w:val="1"/>
      <w:numFmt w:val="decimal"/>
      <w:lvlText w:val="%4."/>
      <w:lvlJc w:val="left"/>
      <w:pPr>
        <w:ind w:left="2605" w:hanging="360"/>
      </w:pPr>
    </w:lvl>
    <w:lvl w:ilvl="4" w:tplc="08090019" w:tentative="1">
      <w:start w:val="1"/>
      <w:numFmt w:val="lowerLetter"/>
      <w:lvlText w:val="%5."/>
      <w:lvlJc w:val="left"/>
      <w:pPr>
        <w:ind w:left="3325" w:hanging="360"/>
      </w:pPr>
    </w:lvl>
    <w:lvl w:ilvl="5" w:tplc="0809001B" w:tentative="1">
      <w:start w:val="1"/>
      <w:numFmt w:val="lowerRoman"/>
      <w:lvlText w:val="%6."/>
      <w:lvlJc w:val="right"/>
      <w:pPr>
        <w:ind w:left="4045" w:hanging="180"/>
      </w:pPr>
    </w:lvl>
    <w:lvl w:ilvl="6" w:tplc="0809000F" w:tentative="1">
      <w:start w:val="1"/>
      <w:numFmt w:val="decimal"/>
      <w:lvlText w:val="%7."/>
      <w:lvlJc w:val="left"/>
      <w:pPr>
        <w:ind w:left="4765" w:hanging="360"/>
      </w:pPr>
    </w:lvl>
    <w:lvl w:ilvl="7" w:tplc="08090019" w:tentative="1">
      <w:start w:val="1"/>
      <w:numFmt w:val="lowerLetter"/>
      <w:lvlText w:val="%8."/>
      <w:lvlJc w:val="left"/>
      <w:pPr>
        <w:ind w:left="5485" w:hanging="360"/>
      </w:pPr>
    </w:lvl>
    <w:lvl w:ilvl="8" w:tplc="0809001B" w:tentative="1">
      <w:start w:val="1"/>
      <w:numFmt w:val="lowerRoman"/>
      <w:lvlText w:val="%9."/>
      <w:lvlJc w:val="right"/>
      <w:pPr>
        <w:ind w:left="6205" w:hanging="180"/>
      </w:pPr>
    </w:lvl>
  </w:abstractNum>
  <w:abstractNum w:abstractNumId="173" w15:restartNumberingAfterBreak="0">
    <w:nsid w:val="5EEF3CC7"/>
    <w:multiLevelType w:val="hybridMultilevel"/>
    <w:tmpl w:val="D3001D84"/>
    <w:lvl w:ilvl="0" w:tplc="BE2C372A">
      <w:start w:val="1"/>
      <w:numFmt w:val="bullet"/>
      <w:lvlText w:val="-"/>
      <w:lvlJc w:val="left"/>
      <w:pPr>
        <w:ind w:left="720" w:hanging="360"/>
      </w:pPr>
      <w:rPr>
        <w:rFonts w:ascii="&quot;Calibri&quot;,sans-serif" w:hAnsi="&quot;Calibri&quot;,sans-serif" w:hint="default"/>
      </w:rPr>
    </w:lvl>
    <w:lvl w:ilvl="1" w:tplc="BE7C4842">
      <w:start w:val="1"/>
      <w:numFmt w:val="bullet"/>
      <w:lvlText w:val="o"/>
      <w:lvlJc w:val="left"/>
      <w:pPr>
        <w:ind w:left="1440" w:hanging="360"/>
      </w:pPr>
      <w:rPr>
        <w:rFonts w:ascii="Courier New" w:hAnsi="Courier New" w:hint="default"/>
      </w:rPr>
    </w:lvl>
    <w:lvl w:ilvl="2" w:tplc="A0BE2BDA">
      <w:start w:val="1"/>
      <w:numFmt w:val="bullet"/>
      <w:lvlText w:val=""/>
      <w:lvlJc w:val="left"/>
      <w:pPr>
        <w:ind w:left="2160" w:hanging="360"/>
      </w:pPr>
      <w:rPr>
        <w:rFonts w:ascii="Wingdings" w:hAnsi="Wingdings" w:hint="default"/>
      </w:rPr>
    </w:lvl>
    <w:lvl w:ilvl="3" w:tplc="A7EECF48">
      <w:start w:val="1"/>
      <w:numFmt w:val="bullet"/>
      <w:lvlText w:val=""/>
      <w:lvlJc w:val="left"/>
      <w:pPr>
        <w:ind w:left="2880" w:hanging="360"/>
      </w:pPr>
      <w:rPr>
        <w:rFonts w:ascii="Symbol" w:hAnsi="Symbol" w:hint="default"/>
      </w:rPr>
    </w:lvl>
    <w:lvl w:ilvl="4" w:tplc="B8C041BE">
      <w:start w:val="1"/>
      <w:numFmt w:val="bullet"/>
      <w:lvlText w:val="o"/>
      <w:lvlJc w:val="left"/>
      <w:pPr>
        <w:ind w:left="3600" w:hanging="360"/>
      </w:pPr>
      <w:rPr>
        <w:rFonts w:ascii="Courier New" w:hAnsi="Courier New" w:hint="default"/>
      </w:rPr>
    </w:lvl>
    <w:lvl w:ilvl="5" w:tplc="6D688C50">
      <w:start w:val="1"/>
      <w:numFmt w:val="bullet"/>
      <w:lvlText w:val=""/>
      <w:lvlJc w:val="left"/>
      <w:pPr>
        <w:ind w:left="4320" w:hanging="360"/>
      </w:pPr>
      <w:rPr>
        <w:rFonts w:ascii="Wingdings" w:hAnsi="Wingdings" w:hint="default"/>
      </w:rPr>
    </w:lvl>
    <w:lvl w:ilvl="6" w:tplc="64602E00">
      <w:start w:val="1"/>
      <w:numFmt w:val="bullet"/>
      <w:lvlText w:val=""/>
      <w:lvlJc w:val="left"/>
      <w:pPr>
        <w:ind w:left="5040" w:hanging="360"/>
      </w:pPr>
      <w:rPr>
        <w:rFonts w:ascii="Symbol" w:hAnsi="Symbol" w:hint="default"/>
      </w:rPr>
    </w:lvl>
    <w:lvl w:ilvl="7" w:tplc="19B0B4E2">
      <w:start w:val="1"/>
      <w:numFmt w:val="bullet"/>
      <w:lvlText w:val="o"/>
      <w:lvlJc w:val="left"/>
      <w:pPr>
        <w:ind w:left="5760" w:hanging="360"/>
      </w:pPr>
      <w:rPr>
        <w:rFonts w:ascii="Courier New" w:hAnsi="Courier New" w:hint="default"/>
      </w:rPr>
    </w:lvl>
    <w:lvl w:ilvl="8" w:tplc="B8286664">
      <w:start w:val="1"/>
      <w:numFmt w:val="bullet"/>
      <w:lvlText w:val=""/>
      <w:lvlJc w:val="left"/>
      <w:pPr>
        <w:ind w:left="6480" w:hanging="360"/>
      </w:pPr>
      <w:rPr>
        <w:rFonts w:ascii="Wingdings" w:hAnsi="Wingdings" w:hint="default"/>
      </w:rPr>
    </w:lvl>
  </w:abstractNum>
  <w:abstractNum w:abstractNumId="174" w15:restartNumberingAfterBreak="0">
    <w:nsid w:val="5F406C4C"/>
    <w:multiLevelType w:val="hybridMultilevel"/>
    <w:tmpl w:val="DF5C70F0"/>
    <w:lvl w:ilvl="0" w:tplc="42900518">
      <w:start w:val="1"/>
      <w:numFmt w:val="bullet"/>
      <w:lvlText w:val="·"/>
      <w:lvlJc w:val="left"/>
      <w:pPr>
        <w:ind w:left="720" w:hanging="360"/>
      </w:pPr>
      <w:rPr>
        <w:rFonts w:ascii="Symbol" w:hAnsi="Symbol" w:hint="default"/>
      </w:rPr>
    </w:lvl>
    <w:lvl w:ilvl="1" w:tplc="CC5A2C74">
      <w:start w:val="1"/>
      <w:numFmt w:val="bullet"/>
      <w:lvlText w:val="o"/>
      <w:lvlJc w:val="left"/>
      <w:pPr>
        <w:ind w:left="1440" w:hanging="360"/>
      </w:pPr>
      <w:rPr>
        <w:rFonts w:ascii="Courier New" w:hAnsi="Courier New" w:hint="default"/>
      </w:rPr>
    </w:lvl>
    <w:lvl w:ilvl="2" w:tplc="C0F0541E">
      <w:start w:val="1"/>
      <w:numFmt w:val="bullet"/>
      <w:lvlText w:val=""/>
      <w:lvlJc w:val="left"/>
      <w:pPr>
        <w:ind w:left="2160" w:hanging="360"/>
      </w:pPr>
      <w:rPr>
        <w:rFonts w:ascii="Wingdings" w:hAnsi="Wingdings" w:hint="default"/>
      </w:rPr>
    </w:lvl>
    <w:lvl w:ilvl="3" w:tplc="5FC6AD28">
      <w:start w:val="1"/>
      <w:numFmt w:val="bullet"/>
      <w:lvlText w:val=""/>
      <w:lvlJc w:val="left"/>
      <w:pPr>
        <w:ind w:left="2880" w:hanging="360"/>
      </w:pPr>
      <w:rPr>
        <w:rFonts w:ascii="Symbol" w:hAnsi="Symbol" w:hint="default"/>
      </w:rPr>
    </w:lvl>
    <w:lvl w:ilvl="4" w:tplc="6D92DB8C">
      <w:start w:val="1"/>
      <w:numFmt w:val="bullet"/>
      <w:lvlText w:val="o"/>
      <w:lvlJc w:val="left"/>
      <w:pPr>
        <w:ind w:left="3600" w:hanging="360"/>
      </w:pPr>
      <w:rPr>
        <w:rFonts w:ascii="Courier New" w:hAnsi="Courier New" w:hint="default"/>
      </w:rPr>
    </w:lvl>
    <w:lvl w:ilvl="5" w:tplc="360499D4">
      <w:start w:val="1"/>
      <w:numFmt w:val="bullet"/>
      <w:lvlText w:val=""/>
      <w:lvlJc w:val="left"/>
      <w:pPr>
        <w:ind w:left="4320" w:hanging="360"/>
      </w:pPr>
      <w:rPr>
        <w:rFonts w:ascii="Wingdings" w:hAnsi="Wingdings" w:hint="default"/>
      </w:rPr>
    </w:lvl>
    <w:lvl w:ilvl="6" w:tplc="DB087B5A">
      <w:start w:val="1"/>
      <w:numFmt w:val="bullet"/>
      <w:lvlText w:val=""/>
      <w:lvlJc w:val="left"/>
      <w:pPr>
        <w:ind w:left="5040" w:hanging="360"/>
      </w:pPr>
      <w:rPr>
        <w:rFonts w:ascii="Symbol" w:hAnsi="Symbol" w:hint="default"/>
      </w:rPr>
    </w:lvl>
    <w:lvl w:ilvl="7" w:tplc="9894D160">
      <w:start w:val="1"/>
      <w:numFmt w:val="bullet"/>
      <w:lvlText w:val="o"/>
      <w:lvlJc w:val="left"/>
      <w:pPr>
        <w:ind w:left="5760" w:hanging="360"/>
      </w:pPr>
      <w:rPr>
        <w:rFonts w:ascii="Courier New" w:hAnsi="Courier New" w:hint="default"/>
      </w:rPr>
    </w:lvl>
    <w:lvl w:ilvl="8" w:tplc="D1264484">
      <w:start w:val="1"/>
      <w:numFmt w:val="bullet"/>
      <w:lvlText w:val=""/>
      <w:lvlJc w:val="left"/>
      <w:pPr>
        <w:ind w:left="6480" w:hanging="360"/>
      </w:pPr>
      <w:rPr>
        <w:rFonts w:ascii="Wingdings" w:hAnsi="Wingdings" w:hint="default"/>
      </w:rPr>
    </w:lvl>
  </w:abstractNum>
  <w:abstractNum w:abstractNumId="175" w15:restartNumberingAfterBreak="0">
    <w:nsid w:val="5FAD3D08"/>
    <w:multiLevelType w:val="hybridMultilevel"/>
    <w:tmpl w:val="DB923068"/>
    <w:lvl w:ilvl="0" w:tplc="85CC68A2">
      <w:start w:val="52"/>
      <w:numFmt w:val="decimal"/>
      <w:lvlText w:val="%1."/>
      <w:lvlJc w:val="left"/>
      <w:pPr>
        <w:ind w:left="928" w:hanging="360"/>
      </w:pPr>
      <w:rPr>
        <w:rFonts w:hint="default"/>
        <w:strike w:val="0"/>
        <w:color w:val="0070C0"/>
      </w:rPr>
    </w:lvl>
    <w:lvl w:ilvl="1" w:tplc="08090019">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176" w15:restartNumberingAfterBreak="0">
    <w:nsid w:val="605147A2"/>
    <w:multiLevelType w:val="hybridMultilevel"/>
    <w:tmpl w:val="AFF86D02"/>
    <w:lvl w:ilvl="0" w:tplc="41D287EE">
      <w:start w:val="1"/>
      <w:numFmt w:val="decimal"/>
      <w:lvlText w:val="%1."/>
      <w:lvlJc w:val="left"/>
      <w:pPr>
        <w:ind w:left="720" w:hanging="360"/>
      </w:pPr>
    </w:lvl>
    <w:lvl w:ilvl="1" w:tplc="40C64530">
      <w:start w:val="1"/>
      <w:numFmt w:val="decimal"/>
      <w:lvlText w:val="%2."/>
      <w:lvlJc w:val="left"/>
      <w:pPr>
        <w:ind w:left="1440" w:hanging="360"/>
      </w:pPr>
    </w:lvl>
    <w:lvl w:ilvl="2" w:tplc="A0206DEE">
      <w:start w:val="1"/>
      <w:numFmt w:val="lowerRoman"/>
      <w:lvlText w:val="%3."/>
      <w:lvlJc w:val="right"/>
      <w:pPr>
        <w:ind w:left="2160" w:hanging="180"/>
      </w:pPr>
    </w:lvl>
    <w:lvl w:ilvl="3" w:tplc="D2301244">
      <w:start w:val="1"/>
      <w:numFmt w:val="decimal"/>
      <w:lvlText w:val="%4."/>
      <w:lvlJc w:val="left"/>
      <w:pPr>
        <w:ind w:left="2880" w:hanging="360"/>
      </w:pPr>
    </w:lvl>
    <w:lvl w:ilvl="4" w:tplc="0D4679E8">
      <w:start w:val="1"/>
      <w:numFmt w:val="lowerLetter"/>
      <w:lvlText w:val="%5."/>
      <w:lvlJc w:val="left"/>
      <w:pPr>
        <w:ind w:left="3600" w:hanging="360"/>
      </w:pPr>
    </w:lvl>
    <w:lvl w:ilvl="5" w:tplc="485ED0D8">
      <w:start w:val="1"/>
      <w:numFmt w:val="lowerRoman"/>
      <w:lvlText w:val="%6."/>
      <w:lvlJc w:val="right"/>
      <w:pPr>
        <w:ind w:left="4320" w:hanging="180"/>
      </w:pPr>
    </w:lvl>
    <w:lvl w:ilvl="6" w:tplc="9CE0A61C">
      <w:start w:val="1"/>
      <w:numFmt w:val="decimal"/>
      <w:lvlText w:val="%7."/>
      <w:lvlJc w:val="left"/>
      <w:pPr>
        <w:ind w:left="5040" w:hanging="360"/>
      </w:pPr>
    </w:lvl>
    <w:lvl w:ilvl="7" w:tplc="EF92423A">
      <w:start w:val="1"/>
      <w:numFmt w:val="lowerLetter"/>
      <w:lvlText w:val="%8."/>
      <w:lvlJc w:val="left"/>
      <w:pPr>
        <w:ind w:left="5760" w:hanging="360"/>
      </w:pPr>
    </w:lvl>
    <w:lvl w:ilvl="8" w:tplc="1F0EAEDC">
      <w:start w:val="1"/>
      <w:numFmt w:val="lowerRoman"/>
      <w:lvlText w:val="%9."/>
      <w:lvlJc w:val="right"/>
      <w:pPr>
        <w:ind w:left="6480" w:hanging="180"/>
      </w:pPr>
    </w:lvl>
  </w:abstractNum>
  <w:abstractNum w:abstractNumId="177" w15:restartNumberingAfterBreak="0">
    <w:nsid w:val="606D78C4"/>
    <w:multiLevelType w:val="hybridMultilevel"/>
    <w:tmpl w:val="FFFFFFFF"/>
    <w:lvl w:ilvl="0" w:tplc="84762456">
      <w:start w:val="1"/>
      <w:numFmt w:val="decimal"/>
      <w:lvlText w:val="%1."/>
      <w:lvlJc w:val="left"/>
      <w:pPr>
        <w:ind w:left="720" w:hanging="360"/>
      </w:pPr>
    </w:lvl>
    <w:lvl w:ilvl="1" w:tplc="499E7F82">
      <w:start w:val="1"/>
      <w:numFmt w:val="lowerLetter"/>
      <w:lvlText w:val="%2."/>
      <w:lvlJc w:val="left"/>
      <w:pPr>
        <w:ind w:left="1440" w:hanging="360"/>
      </w:pPr>
    </w:lvl>
    <w:lvl w:ilvl="2" w:tplc="3B5E071A">
      <w:start w:val="1"/>
      <w:numFmt w:val="lowerRoman"/>
      <w:lvlText w:val="%3."/>
      <w:lvlJc w:val="right"/>
      <w:pPr>
        <w:ind w:left="2160" w:hanging="180"/>
      </w:pPr>
    </w:lvl>
    <w:lvl w:ilvl="3" w:tplc="B0763120">
      <w:start w:val="1"/>
      <w:numFmt w:val="decimal"/>
      <w:lvlText w:val="%4."/>
      <w:lvlJc w:val="left"/>
      <w:pPr>
        <w:ind w:left="2880" w:hanging="360"/>
      </w:pPr>
    </w:lvl>
    <w:lvl w:ilvl="4" w:tplc="EB9EABC2">
      <w:start w:val="1"/>
      <w:numFmt w:val="lowerLetter"/>
      <w:lvlText w:val="%5."/>
      <w:lvlJc w:val="left"/>
      <w:pPr>
        <w:ind w:left="3600" w:hanging="360"/>
      </w:pPr>
    </w:lvl>
    <w:lvl w:ilvl="5" w:tplc="D228C230">
      <w:start w:val="1"/>
      <w:numFmt w:val="lowerRoman"/>
      <w:lvlText w:val="%6."/>
      <w:lvlJc w:val="right"/>
      <w:pPr>
        <w:ind w:left="4320" w:hanging="180"/>
      </w:pPr>
    </w:lvl>
    <w:lvl w:ilvl="6" w:tplc="599ABA50">
      <w:start w:val="1"/>
      <w:numFmt w:val="decimal"/>
      <w:lvlText w:val="%7."/>
      <w:lvlJc w:val="left"/>
      <w:pPr>
        <w:ind w:left="5040" w:hanging="360"/>
      </w:pPr>
    </w:lvl>
    <w:lvl w:ilvl="7" w:tplc="1DA6DAC0">
      <w:start w:val="1"/>
      <w:numFmt w:val="lowerLetter"/>
      <w:lvlText w:val="%8."/>
      <w:lvlJc w:val="left"/>
      <w:pPr>
        <w:ind w:left="5760" w:hanging="360"/>
      </w:pPr>
    </w:lvl>
    <w:lvl w:ilvl="8" w:tplc="ACCEC848">
      <w:start w:val="1"/>
      <w:numFmt w:val="lowerRoman"/>
      <w:lvlText w:val="%9."/>
      <w:lvlJc w:val="right"/>
      <w:pPr>
        <w:ind w:left="6480" w:hanging="180"/>
      </w:pPr>
    </w:lvl>
  </w:abstractNum>
  <w:abstractNum w:abstractNumId="178" w15:restartNumberingAfterBreak="0">
    <w:nsid w:val="607415E9"/>
    <w:multiLevelType w:val="hybridMultilevel"/>
    <w:tmpl w:val="5E4E3CA0"/>
    <w:lvl w:ilvl="0" w:tplc="A7D4F840">
      <w:start w:val="40"/>
      <w:numFmt w:val="bullet"/>
      <w:lvlText w:val="-"/>
      <w:lvlJc w:val="left"/>
      <w:pPr>
        <w:ind w:left="720" w:hanging="360"/>
      </w:pPr>
      <w:rPr>
        <w:rFonts w:ascii="Verdana" w:eastAsia="Calibri"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9" w15:restartNumberingAfterBreak="0">
    <w:nsid w:val="60AE4036"/>
    <w:multiLevelType w:val="hybridMultilevel"/>
    <w:tmpl w:val="24AEAA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0" w15:restartNumberingAfterBreak="0">
    <w:nsid w:val="624A7553"/>
    <w:multiLevelType w:val="hybridMultilevel"/>
    <w:tmpl w:val="7B54DAD4"/>
    <w:lvl w:ilvl="0" w:tplc="0972CC78">
      <w:start w:val="1"/>
      <w:numFmt w:val="lowerRoman"/>
      <w:lvlText w:val="(%1)"/>
      <w:lvlJc w:val="left"/>
      <w:pPr>
        <w:ind w:left="1068" w:hanging="360"/>
      </w:pPr>
      <w:rPr>
        <w:rFonts w:hint="default"/>
      </w:rPr>
    </w:lvl>
    <w:lvl w:ilvl="1" w:tplc="08160019" w:tentative="1">
      <w:start w:val="1"/>
      <w:numFmt w:val="lowerLetter"/>
      <w:lvlText w:val="%2."/>
      <w:lvlJc w:val="left"/>
      <w:pPr>
        <w:ind w:left="1788" w:hanging="360"/>
      </w:pPr>
    </w:lvl>
    <w:lvl w:ilvl="2" w:tplc="0816001B" w:tentative="1">
      <w:start w:val="1"/>
      <w:numFmt w:val="lowerRoman"/>
      <w:lvlText w:val="%3."/>
      <w:lvlJc w:val="right"/>
      <w:pPr>
        <w:ind w:left="2508" w:hanging="180"/>
      </w:pPr>
    </w:lvl>
    <w:lvl w:ilvl="3" w:tplc="0816000F" w:tentative="1">
      <w:start w:val="1"/>
      <w:numFmt w:val="decimal"/>
      <w:lvlText w:val="%4."/>
      <w:lvlJc w:val="left"/>
      <w:pPr>
        <w:ind w:left="3228" w:hanging="360"/>
      </w:pPr>
    </w:lvl>
    <w:lvl w:ilvl="4" w:tplc="08160019" w:tentative="1">
      <w:start w:val="1"/>
      <w:numFmt w:val="lowerLetter"/>
      <w:lvlText w:val="%5."/>
      <w:lvlJc w:val="left"/>
      <w:pPr>
        <w:ind w:left="3948" w:hanging="360"/>
      </w:pPr>
    </w:lvl>
    <w:lvl w:ilvl="5" w:tplc="0816001B" w:tentative="1">
      <w:start w:val="1"/>
      <w:numFmt w:val="lowerRoman"/>
      <w:lvlText w:val="%6."/>
      <w:lvlJc w:val="right"/>
      <w:pPr>
        <w:ind w:left="4668" w:hanging="180"/>
      </w:pPr>
    </w:lvl>
    <w:lvl w:ilvl="6" w:tplc="0816000F" w:tentative="1">
      <w:start w:val="1"/>
      <w:numFmt w:val="decimal"/>
      <w:lvlText w:val="%7."/>
      <w:lvlJc w:val="left"/>
      <w:pPr>
        <w:ind w:left="5388" w:hanging="360"/>
      </w:pPr>
    </w:lvl>
    <w:lvl w:ilvl="7" w:tplc="08160019" w:tentative="1">
      <w:start w:val="1"/>
      <w:numFmt w:val="lowerLetter"/>
      <w:lvlText w:val="%8."/>
      <w:lvlJc w:val="left"/>
      <w:pPr>
        <w:ind w:left="6108" w:hanging="360"/>
      </w:pPr>
    </w:lvl>
    <w:lvl w:ilvl="8" w:tplc="0816001B" w:tentative="1">
      <w:start w:val="1"/>
      <w:numFmt w:val="lowerRoman"/>
      <w:lvlText w:val="%9."/>
      <w:lvlJc w:val="right"/>
      <w:pPr>
        <w:ind w:left="6828" w:hanging="180"/>
      </w:pPr>
    </w:lvl>
  </w:abstractNum>
  <w:abstractNum w:abstractNumId="181" w15:restartNumberingAfterBreak="0">
    <w:nsid w:val="62DE286D"/>
    <w:multiLevelType w:val="hybridMultilevel"/>
    <w:tmpl w:val="389AC0F2"/>
    <w:lvl w:ilvl="0" w:tplc="7BBAF134">
      <w:start w:val="3"/>
      <w:numFmt w:val="bullet"/>
      <w:lvlText w:val="-"/>
      <w:lvlJc w:val="left"/>
      <w:pPr>
        <w:ind w:left="717" w:hanging="360"/>
      </w:pPr>
      <w:rPr>
        <w:rFonts w:ascii="Calibri" w:eastAsiaTheme="minorEastAsia" w:hAnsi="Calibri" w:cs="Calibri" w:hint="default"/>
        <w:spacing w:val="0"/>
      </w:rPr>
    </w:lvl>
    <w:lvl w:ilvl="1" w:tplc="04090001">
      <w:start w:val="1"/>
      <w:numFmt w:val="bullet"/>
      <w:lvlText w:val=""/>
      <w:lvlJc w:val="left"/>
      <w:pPr>
        <w:ind w:left="1437" w:hanging="360"/>
      </w:pPr>
      <w:rPr>
        <w:rFonts w:ascii="Symbol" w:hAnsi="Symbol" w:hint="default"/>
      </w:r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182" w15:restartNumberingAfterBreak="0">
    <w:nsid w:val="62FB77AD"/>
    <w:multiLevelType w:val="hybridMultilevel"/>
    <w:tmpl w:val="6E2C0A1C"/>
    <w:lvl w:ilvl="0" w:tplc="71A2B31C">
      <w:start w:val="2"/>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3" w15:restartNumberingAfterBreak="0">
    <w:nsid w:val="639A5964"/>
    <w:multiLevelType w:val="hybridMultilevel"/>
    <w:tmpl w:val="FFFFFFFF"/>
    <w:lvl w:ilvl="0" w:tplc="35D0D0A0">
      <w:start w:val="1"/>
      <w:numFmt w:val="decimal"/>
      <w:lvlText w:val="%1."/>
      <w:lvlJc w:val="left"/>
      <w:pPr>
        <w:ind w:left="720" w:hanging="360"/>
      </w:pPr>
    </w:lvl>
    <w:lvl w:ilvl="1" w:tplc="0340239E">
      <w:start w:val="1"/>
      <w:numFmt w:val="decimal"/>
      <w:lvlText w:val="%2."/>
      <w:lvlJc w:val="left"/>
      <w:pPr>
        <w:ind w:left="1440" w:hanging="360"/>
      </w:pPr>
    </w:lvl>
    <w:lvl w:ilvl="2" w:tplc="ADBCB3D6">
      <w:start w:val="1"/>
      <w:numFmt w:val="lowerRoman"/>
      <w:lvlText w:val="%3."/>
      <w:lvlJc w:val="right"/>
      <w:pPr>
        <w:ind w:left="2160" w:hanging="180"/>
      </w:pPr>
    </w:lvl>
    <w:lvl w:ilvl="3" w:tplc="CF2EB4F8">
      <w:start w:val="1"/>
      <w:numFmt w:val="decimal"/>
      <w:lvlText w:val="%4."/>
      <w:lvlJc w:val="left"/>
      <w:pPr>
        <w:ind w:left="2880" w:hanging="360"/>
      </w:pPr>
    </w:lvl>
    <w:lvl w:ilvl="4" w:tplc="FD20740A">
      <w:start w:val="1"/>
      <w:numFmt w:val="lowerLetter"/>
      <w:lvlText w:val="%5."/>
      <w:lvlJc w:val="left"/>
      <w:pPr>
        <w:ind w:left="3600" w:hanging="360"/>
      </w:pPr>
    </w:lvl>
    <w:lvl w:ilvl="5" w:tplc="3F143DEE">
      <w:start w:val="1"/>
      <w:numFmt w:val="lowerRoman"/>
      <w:lvlText w:val="%6."/>
      <w:lvlJc w:val="right"/>
      <w:pPr>
        <w:ind w:left="4320" w:hanging="180"/>
      </w:pPr>
    </w:lvl>
    <w:lvl w:ilvl="6" w:tplc="4F1C5B8C">
      <w:start w:val="1"/>
      <w:numFmt w:val="decimal"/>
      <w:lvlText w:val="%7."/>
      <w:lvlJc w:val="left"/>
      <w:pPr>
        <w:ind w:left="5040" w:hanging="360"/>
      </w:pPr>
    </w:lvl>
    <w:lvl w:ilvl="7" w:tplc="81AC4C5C">
      <w:start w:val="1"/>
      <w:numFmt w:val="lowerLetter"/>
      <w:lvlText w:val="%8."/>
      <w:lvlJc w:val="left"/>
      <w:pPr>
        <w:ind w:left="5760" w:hanging="360"/>
      </w:pPr>
    </w:lvl>
    <w:lvl w:ilvl="8" w:tplc="E3328D54">
      <w:start w:val="1"/>
      <w:numFmt w:val="lowerRoman"/>
      <w:lvlText w:val="%9."/>
      <w:lvlJc w:val="right"/>
      <w:pPr>
        <w:ind w:left="6480" w:hanging="180"/>
      </w:pPr>
    </w:lvl>
  </w:abstractNum>
  <w:abstractNum w:abstractNumId="184" w15:restartNumberingAfterBreak="0">
    <w:nsid w:val="63C9723A"/>
    <w:multiLevelType w:val="hybridMultilevel"/>
    <w:tmpl w:val="E7289BFA"/>
    <w:lvl w:ilvl="0" w:tplc="0809001B">
      <w:start w:val="1"/>
      <w:numFmt w:val="lowerRoman"/>
      <w:lvlText w:val="%1."/>
      <w:lvlJc w:val="righ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5" w15:restartNumberingAfterBreak="0">
    <w:nsid w:val="64293F29"/>
    <w:multiLevelType w:val="hybridMultilevel"/>
    <w:tmpl w:val="799A8CC8"/>
    <w:lvl w:ilvl="0" w:tplc="08090001">
      <w:start w:val="1"/>
      <w:numFmt w:val="bullet"/>
      <w:lvlText w:val=""/>
      <w:lvlJc w:val="left"/>
      <w:pPr>
        <w:ind w:left="1428" w:hanging="360"/>
      </w:pPr>
      <w:rPr>
        <w:rFonts w:ascii="Symbol" w:hAnsi="Symbol"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186" w15:restartNumberingAfterBreak="0">
    <w:nsid w:val="65D310CE"/>
    <w:multiLevelType w:val="hybridMultilevel"/>
    <w:tmpl w:val="DB923068"/>
    <w:lvl w:ilvl="0" w:tplc="85CC68A2">
      <w:start w:val="52"/>
      <w:numFmt w:val="decimal"/>
      <w:lvlText w:val="%1."/>
      <w:lvlJc w:val="left"/>
      <w:pPr>
        <w:ind w:left="928" w:hanging="360"/>
      </w:pPr>
      <w:rPr>
        <w:rFonts w:hint="default"/>
        <w:strike w:val="0"/>
        <w:color w:val="0070C0"/>
      </w:rPr>
    </w:lvl>
    <w:lvl w:ilvl="1" w:tplc="08090019">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187" w15:restartNumberingAfterBreak="0">
    <w:nsid w:val="65DF7145"/>
    <w:multiLevelType w:val="hybridMultilevel"/>
    <w:tmpl w:val="51B886C4"/>
    <w:lvl w:ilvl="0" w:tplc="A7BA0830">
      <w:start w:val="1"/>
      <w:numFmt w:val="bullet"/>
      <w:lvlText w:val="·"/>
      <w:lvlJc w:val="left"/>
      <w:pPr>
        <w:ind w:left="720" w:hanging="360"/>
      </w:pPr>
      <w:rPr>
        <w:rFonts w:ascii="Symbol" w:hAnsi="Symbol" w:hint="default"/>
      </w:rPr>
    </w:lvl>
    <w:lvl w:ilvl="1" w:tplc="841A7C6C">
      <w:start w:val="1"/>
      <w:numFmt w:val="bullet"/>
      <w:lvlText w:val="o"/>
      <w:lvlJc w:val="left"/>
      <w:pPr>
        <w:ind w:left="1440" w:hanging="360"/>
      </w:pPr>
      <w:rPr>
        <w:rFonts w:ascii="Courier New" w:hAnsi="Courier New" w:hint="default"/>
      </w:rPr>
    </w:lvl>
    <w:lvl w:ilvl="2" w:tplc="C1485DFA">
      <w:start w:val="1"/>
      <w:numFmt w:val="bullet"/>
      <w:lvlText w:val=""/>
      <w:lvlJc w:val="left"/>
      <w:pPr>
        <w:ind w:left="2160" w:hanging="360"/>
      </w:pPr>
      <w:rPr>
        <w:rFonts w:ascii="Wingdings" w:hAnsi="Wingdings" w:hint="default"/>
      </w:rPr>
    </w:lvl>
    <w:lvl w:ilvl="3" w:tplc="CFD016BC">
      <w:start w:val="1"/>
      <w:numFmt w:val="bullet"/>
      <w:lvlText w:val=""/>
      <w:lvlJc w:val="left"/>
      <w:pPr>
        <w:ind w:left="2880" w:hanging="360"/>
      </w:pPr>
      <w:rPr>
        <w:rFonts w:ascii="Symbol" w:hAnsi="Symbol" w:hint="default"/>
      </w:rPr>
    </w:lvl>
    <w:lvl w:ilvl="4" w:tplc="7452F5DE">
      <w:start w:val="1"/>
      <w:numFmt w:val="bullet"/>
      <w:lvlText w:val="o"/>
      <w:lvlJc w:val="left"/>
      <w:pPr>
        <w:ind w:left="3600" w:hanging="360"/>
      </w:pPr>
      <w:rPr>
        <w:rFonts w:ascii="Courier New" w:hAnsi="Courier New" w:hint="default"/>
      </w:rPr>
    </w:lvl>
    <w:lvl w:ilvl="5" w:tplc="D090D416">
      <w:start w:val="1"/>
      <w:numFmt w:val="bullet"/>
      <w:lvlText w:val=""/>
      <w:lvlJc w:val="left"/>
      <w:pPr>
        <w:ind w:left="4320" w:hanging="360"/>
      </w:pPr>
      <w:rPr>
        <w:rFonts w:ascii="Wingdings" w:hAnsi="Wingdings" w:hint="default"/>
      </w:rPr>
    </w:lvl>
    <w:lvl w:ilvl="6" w:tplc="C6F64E60">
      <w:start w:val="1"/>
      <w:numFmt w:val="bullet"/>
      <w:lvlText w:val=""/>
      <w:lvlJc w:val="left"/>
      <w:pPr>
        <w:ind w:left="5040" w:hanging="360"/>
      </w:pPr>
      <w:rPr>
        <w:rFonts w:ascii="Symbol" w:hAnsi="Symbol" w:hint="default"/>
      </w:rPr>
    </w:lvl>
    <w:lvl w:ilvl="7" w:tplc="40F66C10">
      <w:start w:val="1"/>
      <w:numFmt w:val="bullet"/>
      <w:lvlText w:val="o"/>
      <w:lvlJc w:val="left"/>
      <w:pPr>
        <w:ind w:left="5760" w:hanging="360"/>
      </w:pPr>
      <w:rPr>
        <w:rFonts w:ascii="Courier New" w:hAnsi="Courier New" w:hint="default"/>
      </w:rPr>
    </w:lvl>
    <w:lvl w:ilvl="8" w:tplc="3EB05E98">
      <w:start w:val="1"/>
      <w:numFmt w:val="bullet"/>
      <w:lvlText w:val=""/>
      <w:lvlJc w:val="left"/>
      <w:pPr>
        <w:ind w:left="6480" w:hanging="360"/>
      </w:pPr>
      <w:rPr>
        <w:rFonts w:ascii="Wingdings" w:hAnsi="Wingdings" w:hint="default"/>
      </w:rPr>
    </w:lvl>
  </w:abstractNum>
  <w:abstractNum w:abstractNumId="188" w15:restartNumberingAfterBreak="0">
    <w:nsid w:val="67045AA4"/>
    <w:multiLevelType w:val="hybridMultilevel"/>
    <w:tmpl w:val="FE326594"/>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9" w15:restartNumberingAfterBreak="0">
    <w:nsid w:val="672C3D90"/>
    <w:multiLevelType w:val="hybridMultilevel"/>
    <w:tmpl w:val="FA507458"/>
    <w:lvl w:ilvl="0" w:tplc="08090001">
      <w:start w:val="1"/>
      <w:numFmt w:val="bullet"/>
      <w:lvlText w:val=""/>
      <w:lvlJc w:val="left"/>
      <w:pPr>
        <w:ind w:left="1428" w:hanging="360"/>
      </w:pPr>
      <w:rPr>
        <w:rFonts w:ascii="Symbol" w:hAnsi="Symbol"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190" w15:restartNumberingAfterBreak="0">
    <w:nsid w:val="67A85384"/>
    <w:multiLevelType w:val="hybridMultilevel"/>
    <w:tmpl w:val="FFFFFFFF"/>
    <w:lvl w:ilvl="0" w:tplc="7F426448">
      <w:start w:val="1"/>
      <w:numFmt w:val="bullet"/>
      <w:lvlText w:val="·"/>
      <w:lvlJc w:val="left"/>
      <w:pPr>
        <w:ind w:left="720" w:hanging="360"/>
      </w:pPr>
      <w:rPr>
        <w:rFonts w:ascii="Symbol" w:hAnsi="Symbol" w:hint="default"/>
      </w:rPr>
    </w:lvl>
    <w:lvl w:ilvl="1" w:tplc="ABE06104">
      <w:start w:val="1"/>
      <w:numFmt w:val="bullet"/>
      <w:lvlText w:val="o"/>
      <w:lvlJc w:val="left"/>
      <w:pPr>
        <w:ind w:left="1440" w:hanging="360"/>
      </w:pPr>
      <w:rPr>
        <w:rFonts w:ascii="Courier New" w:hAnsi="Courier New" w:hint="default"/>
      </w:rPr>
    </w:lvl>
    <w:lvl w:ilvl="2" w:tplc="2E9A1BB2">
      <w:start w:val="1"/>
      <w:numFmt w:val="bullet"/>
      <w:lvlText w:val=""/>
      <w:lvlJc w:val="left"/>
      <w:pPr>
        <w:ind w:left="2160" w:hanging="360"/>
      </w:pPr>
      <w:rPr>
        <w:rFonts w:ascii="Wingdings" w:hAnsi="Wingdings" w:hint="default"/>
      </w:rPr>
    </w:lvl>
    <w:lvl w:ilvl="3" w:tplc="D674A232">
      <w:start w:val="1"/>
      <w:numFmt w:val="bullet"/>
      <w:lvlText w:val=""/>
      <w:lvlJc w:val="left"/>
      <w:pPr>
        <w:ind w:left="2880" w:hanging="360"/>
      </w:pPr>
      <w:rPr>
        <w:rFonts w:ascii="Symbol" w:hAnsi="Symbol" w:hint="default"/>
      </w:rPr>
    </w:lvl>
    <w:lvl w:ilvl="4" w:tplc="C832CA3A">
      <w:start w:val="1"/>
      <w:numFmt w:val="bullet"/>
      <w:lvlText w:val="o"/>
      <w:lvlJc w:val="left"/>
      <w:pPr>
        <w:ind w:left="3600" w:hanging="360"/>
      </w:pPr>
      <w:rPr>
        <w:rFonts w:ascii="Courier New" w:hAnsi="Courier New" w:hint="default"/>
      </w:rPr>
    </w:lvl>
    <w:lvl w:ilvl="5" w:tplc="C6842834">
      <w:start w:val="1"/>
      <w:numFmt w:val="bullet"/>
      <w:lvlText w:val=""/>
      <w:lvlJc w:val="left"/>
      <w:pPr>
        <w:ind w:left="4320" w:hanging="360"/>
      </w:pPr>
      <w:rPr>
        <w:rFonts w:ascii="Wingdings" w:hAnsi="Wingdings" w:hint="default"/>
      </w:rPr>
    </w:lvl>
    <w:lvl w:ilvl="6" w:tplc="CD54CCD4">
      <w:start w:val="1"/>
      <w:numFmt w:val="bullet"/>
      <w:lvlText w:val=""/>
      <w:lvlJc w:val="left"/>
      <w:pPr>
        <w:ind w:left="5040" w:hanging="360"/>
      </w:pPr>
      <w:rPr>
        <w:rFonts w:ascii="Symbol" w:hAnsi="Symbol" w:hint="default"/>
      </w:rPr>
    </w:lvl>
    <w:lvl w:ilvl="7" w:tplc="8D44EEBE">
      <w:start w:val="1"/>
      <w:numFmt w:val="bullet"/>
      <w:lvlText w:val="o"/>
      <w:lvlJc w:val="left"/>
      <w:pPr>
        <w:ind w:left="5760" w:hanging="360"/>
      </w:pPr>
      <w:rPr>
        <w:rFonts w:ascii="Courier New" w:hAnsi="Courier New" w:hint="default"/>
      </w:rPr>
    </w:lvl>
    <w:lvl w:ilvl="8" w:tplc="A0A09D2A">
      <w:start w:val="1"/>
      <w:numFmt w:val="bullet"/>
      <w:lvlText w:val=""/>
      <w:lvlJc w:val="left"/>
      <w:pPr>
        <w:ind w:left="6480" w:hanging="360"/>
      </w:pPr>
      <w:rPr>
        <w:rFonts w:ascii="Wingdings" w:hAnsi="Wingdings" w:hint="default"/>
      </w:rPr>
    </w:lvl>
  </w:abstractNum>
  <w:abstractNum w:abstractNumId="191" w15:restartNumberingAfterBreak="0">
    <w:nsid w:val="67C006A5"/>
    <w:multiLevelType w:val="hybridMultilevel"/>
    <w:tmpl w:val="B73053C6"/>
    <w:lvl w:ilvl="0" w:tplc="6304ED5E">
      <w:start w:val="1"/>
      <w:numFmt w:val="decimal"/>
      <w:lvlText w:val="(%1)"/>
      <w:lvlJc w:val="right"/>
      <w:pPr>
        <w:ind w:left="1074" w:hanging="360"/>
      </w:pPr>
      <w:rPr>
        <w:rFonts w:hint="default"/>
      </w:rPr>
    </w:lvl>
    <w:lvl w:ilvl="1" w:tplc="0809001B">
      <w:start w:val="1"/>
      <w:numFmt w:val="lowerRoman"/>
      <w:lvlText w:val="%2."/>
      <w:lvlJc w:val="right"/>
      <w:pPr>
        <w:ind w:left="1794" w:hanging="360"/>
      </w:pPr>
    </w:lvl>
    <w:lvl w:ilvl="2" w:tplc="805CBA54">
      <w:start w:val="45"/>
      <w:numFmt w:val="decimal"/>
      <w:lvlText w:val="%3)"/>
      <w:lvlJc w:val="left"/>
      <w:pPr>
        <w:ind w:left="2694" w:hanging="360"/>
      </w:pPr>
      <w:rPr>
        <w:rFonts w:eastAsia="MS Mincho" w:hint="default"/>
        <w:color w:val="auto"/>
      </w:rPr>
    </w:lvl>
    <w:lvl w:ilvl="3" w:tplc="343C732C">
      <w:start w:val="1"/>
      <w:numFmt w:val="lowerRoman"/>
      <w:lvlText w:val="(%4)"/>
      <w:lvlJc w:val="left"/>
      <w:pPr>
        <w:ind w:left="3594" w:hanging="720"/>
      </w:pPr>
      <w:rPr>
        <w:rFonts w:hint="default"/>
      </w:rPr>
    </w:lvl>
    <w:lvl w:ilvl="4" w:tplc="08090019">
      <w:start w:val="1"/>
      <w:numFmt w:val="lowerLetter"/>
      <w:lvlText w:val="%5."/>
      <w:lvlJc w:val="left"/>
      <w:pPr>
        <w:ind w:left="3954" w:hanging="360"/>
      </w:pPr>
    </w:lvl>
    <w:lvl w:ilvl="5" w:tplc="0809001B" w:tentative="1">
      <w:start w:val="1"/>
      <w:numFmt w:val="lowerRoman"/>
      <w:lvlText w:val="%6."/>
      <w:lvlJc w:val="right"/>
      <w:pPr>
        <w:ind w:left="4674" w:hanging="180"/>
      </w:pPr>
    </w:lvl>
    <w:lvl w:ilvl="6" w:tplc="0809000F" w:tentative="1">
      <w:start w:val="1"/>
      <w:numFmt w:val="decimal"/>
      <w:lvlText w:val="%7."/>
      <w:lvlJc w:val="left"/>
      <w:pPr>
        <w:ind w:left="5394" w:hanging="360"/>
      </w:pPr>
    </w:lvl>
    <w:lvl w:ilvl="7" w:tplc="08090019" w:tentative="1">
      <w:start w:val="1"/>
      <w:numFmt w:val="lowerLetter"/>
      <w:lvlText w:val="%8."/>
      <w:lvlJc w:val="left"/>
      <w:pPr>
        <w:ind w:left="6114" w:hanging="360"/>
      </w:pPr>
    </w:lvl>
    <w:lvl w:ilvl="8" w:tplc="0809001B" w:tentative="1">
      <w:start w:val="1"/>
      <w:numFmt w:val="lowerRoman"/>
      <w:lvlText w:val="%9."/>
      <w:lvlJc w:val="right"/>
      <w:pPr>
        <w:ind w:left="6834" w:hanging="180"/>
      </w:pPr>
    </w:lvl>
  </w:abstractNum>
  <w:abstractNum w:abstractNumId="192" w15:restartNumberingAfterBreak="0">
    <w:nsid w:val="68042957"/>
    <w:multiLevelType w:val="hybridMultilevel"/>
    <w:tmpl w:val="E064F45E"/>
    <w:lvl w:ilvl="0" w:tplc="5DE487A8">
      <w:start w:val="57"/>
      <w:numFmt w:val="decimal"/>
      <w:lvlText w:val="%1"/>
      <w:lvlJc w:val="left"/>
      <w:pPr>
        <w:ind w:left="720" w:hanging="360"/>
      </w:pPr>
      <w:rPr>
        <w:rFonts w:eastAsia="MS Mincho"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3" w15:restartNumberingAfterBreak="0">
    <w:nsid w:val="68E30A57"/>
    <w:multiLevelType w:val="hybridMultilevel"/>
    <w:tmpl w:val="951021D0"/>
    <w:lvl w:ilvl="0" w:tplc="08AAAA54">
      <w:start w:val="1"/>
      <w:numFmt w:val="bullet"/>
      <w:lvlText w:val="·"/>
      <w:lvlJc w:val="left"/>
      <w:pPr>
        <w:ind w:left="720" w:hanging="360"/>
      </w:pPr>
    </w:lvl>
    <w:lvl w:ilvl="1" w:tplc="08090001">
      <w:start w:val="1"/>
      <w:numFmt w:val="bullet"/>
      <w:lvlText w:val=""/>
      <w:lvlJc w:val="left"/>
      <w:pPr>
        <w:ind w:left="1440" w:hanging="360"/>
      </w:pPr>
      <w:rPr>
        <w:rFonts w:ascii="Symbol" w:hAnsi="Symbol" w:hint="default"/>
      </w:rPr>
    </w:lvl>
    <w:lvl w:ilvl="2" w:tplc="F32A256C">
      <w:start w:val="1"/>
      <w:numFmt w:val="lowerRoman"/>
      <w:lvlText w:val="%3."/>
      <w:lvlJc w:val="right"/>
      <w:pPr>
        <w:ind w:left="2160" w:hanging="180"/>
      </w:pPr>
    </w:lvl>
    <w:lvl w:ilvl="3" w:tplc="E4646F38">
      <w:start w:val="1"/>
      <w:numFmt w:val="decimal"/>
      <w:lvlText w:val="%4."/>
      <w:lvlJc w:val="left"/>
      <w:pPr>
        <w:ind w:left="2880" w:hanging="360"/>
      </w:pPr>
    </w:lvl>
    <w:lvl w:ilvl="4" w:tplc="48BCA9D2">
      <w:start w:val="1"/>
      <w:numFmt w:val="lowerLetter"/>
      <w:lvlText w:val="%5."/>
      <w:lvlJc w:val="left"/>
      <w:pPr>
        <w:ind w:left="3600" w:hanging="360"/>
      </w:pPr>
    </w:lvl>
    <w:lvl w:ilvl="5" w:tplc="6BAACC24">
      <w:start w:val="1"/>
      <w:numFmt w:val="lowerRoman"/>
      <w:lvlText w:val="%6."/>
      <w:lvlJc w:val="right"/>
      <w:pPr>
        <w:ind w:left="4320" w:hanging="180"/>
      </w:pPr>
    </w:lvl>
    <w:lvl w:ilvl="6" w:tplc="276EF0A8">
      <w:start w:val="1"/>
      <w:numFmt w:val="decimal"/>
      <w:lvlText w:val="%7."/>
      <w:lvlJc w:val="left"/>
      <w:pPr>
        <w:ind w:left="5040" w:hanging="360"/>
      </w:pPr>
    </w:lvl>
    <w:lvl w:ilvl="7" w:tplc="E550DE5C">
      <w:start w:val="1"/>
      <w:numFmt w:val="lowerLetter"/>
      <w:lvlText w:val="%8."/>
      <w:lvlJc w:val="left"/>
      <w:pPr>
        <w:ind w:left="5760" w:hanging="360"/>
      </w:pPr>
    </w:lvl>
    <w:lvl w:ilvl="8" w:tplc="E83A813E">
      <w:start w:val="1"/>
      <w:numFmt w:val="lowerRoman"/>
      <w:lvlText w:val="%9."/>
      <w:lvlJc w:val="right"/>
      <w:pPr>
        <w:ind w:left="6480" w:hanging="180"/>
      </w:pPr>
    </w:lvl>
  </w:abstractNum>
  <w:abstractNum w:abstractNumId="194" w15:restartNumberingAfterBreak="0">
    <w:nsid w:val="690A652A"/>
    <w:multiLevelType w:val="hybridMultilevel"/>
    <w:tmpl w:val="FFFFFFFF"/>
    <w:lvl w:ilvl="0" w:tplc="B594A394">
      <w:start w:val="1"/>
      <w:numFmt w:val="decimal"/>
      <w:lvlText w:val="%1."/>
      <w:lvlJc w:val="left"/>
      <w:pPr>
        <w:ind w:left="720" w:hanging="360"/>
      </w:pPr>
    </w:lvl>
    <w:lvl w:ilvl="1" w:tplc="D9A4EDE4">
      <w:start w:val="1"/>
      <w:numFmt w:val="lowerLetter"/>
      <w:lvlText w:val="%2."/>
      <w:lvlJc w:val="left"/>
      <w:pPr>
        <w:ind w:left="1440" w:hanging="360"/>
      </w:pPr>
    </w:lvl>
    <w:lvl w:ilvl="2" w:tplc="069831A2">
      <w:start w:val="1"/>
      <w:numFmt w:val="lowerRoman"/>
      <w:lvlText w:val="%3."/>
      <w:lvlJc w:val="right"/>
      <w:pPr>
        <w:ind w:left="2160" w:hanging="180"/>
      </w:pPr>
    </w:lvl>
    <w:lvl w:ilvl="3" w:tplc="90F20FF4">
      <w:start w:val="1"/>
      <w:numFmt w:val="decimal"/>
      <w:lvlText w:val="%4."/>
      <w:lvlJc w:val="left"/>
      <w:pPr>
        <w:ind w:left="2880" w:hanging="360"/>
      </w:pPr>
    </w:lvl>
    <w:lvl w:ilvl="4" w:tplc="4418DAA4">
      <w:start w:val="1"/>
      <w:numFmt w:val="lowerLetter"/>
      <w:lvlText w:val="%5."/>
      <w:lvlJc w:val="left"/>
      <w:pPr>
        <w:ind w:left="3600" w:hanging="360"/>
      </w:pPr>
    </w:lvl>
    <w:lvl w:ilvl="5" w:tplc="7D968528">
      <w:start w:val="1"/>
      <w:numFmt w:val="lowerRoman"/>
      <w:lvlText w:val="%6."/>
      <w:lvlJc w:val="right"/>
      <w:pPr>
        <w:ind w:left="4320" w:hanging="180"/>
      </w:pPr>
    </w:lvl>
    <w:lvl w:ilvl="6" w:tplc="D980AA92">
      <w:start w:val="1"/>
      <w:numFmt w:val="decimal"/>
      <w:lvlText w:val="%7."/>
      <w:lvlJc w:val="left"/>
      <w:pPr>
        <w:ind w:left="5040" w:hanging="360"/>
      </w:pPr>
    </w:lvl>
    <w:lvl w:ilvl="7" w:tplc="438807A2">
      <w:start w:val="1"/>
      <w:numFmt w:val="lowerLetter"/>
      <w:lvlText w:val="%8."/>
      <w:lvlJc w:val="left"/>
      <w:pPr>
        <w:ind w:left="5760" w:hanging="360"/>
      </w:pPr>
    </w:lvl>
    <w:lvl w:ilvl="8" w:tplc="5052F44C">
      <w:start w:val="1"/>
      <w:numFmt w:val="lowerRoman"/>
      <w:lvlText w:val="%9."/>
      <w:lvlJc w:val="right"/>
      <w:pPr>
        <w:ind w:left="6480" w:hanging="180"/>
      </w:pPr>
    </w:lvl>
  </w:abstractNum>
  <w:abstractNum w:abstractNumId="195" w15:restartNumberingAfterBreak="0">
    <w:nsid w:val="6A9A58EE"/>
    <w:multiLevelType w:val="hybridMultilevel"/>
    <w:tmpl w:val="E332AB52"/>
    <w:lvl w:ilvl="0" w:tplc="08090001">
      <w:start w:val="1"/>
      <w:numFmt w:val="bullet"/>
      <w:lvlText w:val=""/>
      <w:lvlJc w:val="left"/>
      <w:pPr>
        <w:ind w:left="805" w:hanging="360"/>
      </w:pPr>
      <w:rPr>
        <w:rFonts w:ascii="Symbol" w:hAnsi="Symbol" w:hint="default"/>
      </w:rPr>
    </w:lvl>
    <w:lvl w:ilvl="1" w:tplc="08090003" w:tentative="1">
      <w:start w:val="1"/>
      <w:numFmt w:val="bullet"/>
      <w:lvlText w:val="o"/>
      <w:lvlJc w:val="left"/>
      <w:pPr>
        <w:ind w:left="1525" w:hanging="360"/>
      </w:pPr>
      <w:rPr>
        <w:rFonts w:ascii="Courier New" w:hAnsi="Courier New" w:cs="Courier New" w:hint="default"/>
      </w:rPr>
    </w:lvl>
    <w:lvl w:ilvl="2" w:tplc="08090005" w:tentative="1">
      <w:start w:val="1"/>
      <w:numFmt w:val="bullet"/>
      <w:lvlText w:val=""/>
      <w:lvlJc w:val="left"/>
      <w:pPr>
        <w:ind w:left="2245" w:hanging="360"/>
      </w:pPr>
      <w:rPr>
        <w:rFonts w:ascii="Wingdings" w:hAnsi="Wingdings" w:hint="default"/>
      </w:rPr>
    </w:lvl>
    <w:lvl w:ilvl="3" w:tplc="08090001" w:tentative="1">
      <w:start w:val="1"/>
      <w:numFmt w:val="bullet"/>
      <w:lvlText w:val=""/>
      <w:lvlJc w:val="left"/>
      <w:pPr>
        <w:ind w:left="2965" w:hanging="360"/>
      </w:pPr>
      <w:rPr>
        <w:rFonts w:ascii="Symbol" w:hAnsi="Symbol" w:hint="default"/>
      </w:rPr>
    </w:lvl>
    <w:lvl w:ilvl="4" w:tplc="08090003" w:tentative="1">
      <w:start w:val="1"/>
      <w:numFmt w:val="bullet"/>
      <w:lvlText w:val="o"/>
      <w:lvlJc w:val="left"/>
      <w:pPr>
        <w:ind w:left="3685" w:hanging="360"/>
      </w:pPr>
      <w:rPr>
        <w:rFonts w:ascii="Courier New" w:hAnsi="Courier New" w:cs="Courier New" w:hint="default"/>
      </w:rPr>
    </w:lvl>
    <w:lvl w:ilvl="5" w:tplc="08090005" w:tentative="1">
      <w:start w:val="1"/>
      <w:numFmt w:val="bullet"/>
      <w:lvlText w:val=""/>
      <w:lvlJc w:val="left"/>
      <w:pPr>
        <w:ind w:left="4405" w:hanging="360"/>
      </w:pPr>
      <w:rPr>
        <w:rFonts w:ascii="Wingdings" w:hAnsi="Wingdings" w:hint="default"/>
      </w:rPr>
    </w:lvl>
    <w:lvl w:ilvl="6" w:tplc="08090001" w:tentative="1">
      <w:start w:val="1"/>
      <w:numFmt w:val="bullet"/>
      <w:lvlText w:val=""/>
      <w:lvlJc w:val="left"/>
      <w:pPr>
        <w:ind w:left="5125" w:hanging="360"/>
      </w:pPr>
      <w:rPr>
        <w:rFonts w:ascii="Symbol" w:hAnsi="Symbol" w:hint="default"/>
      </w:rPr>
    </w:lvl>
    <w:lvl w:ilvl="7" w:tplc="08090003" w:tentative="1">
      <w:start w:val="1"/>
      <w:numFmt w:val="bullet"/>
      <w:lvlText w:val="o"/>
      <w:lvlJc w:val="left"/>
      <w:pPr>
        <w:ind w:left="5845" w:hanging="360"/>
      </w:pPr>
      <w:rPr>
        <w:rFonts w:ascii="Courier New" w:hAnsi="Courier New" w:cs="Courier New" w:hint="default"/>
      </w:rPr>
    </w:lvl>
    <w:lvl w:ilvl="8" w:tplc="08090005" w:tentative="1">
      <w:start w:val="1"/>
      <w:numFmt w:val="bullet"/>
      <w:lvlText w:val=""/>
      <w:lvlJc w:val="left"/>
      <w:pPr>
        <w:ind w:left="6565" w:hanging="360"/>
      </w:pPr>
      <w:rPr>
        <w:rFonts w:ascii="Wingdings" w:hAnsi="Wingdings" w:hint="default"/>
      </w:rPr>
    </w:lvl>
  </w:abstractNum>
  <w:abstractNum w:abstractNumId="196" w15:restartNumberingAfterBreak="0">
    <w:nsid w:val="6B416C67"/>
    <w:multiLevelType w:val="hybridMultilevel"/>
    <w:tmpl w:val="FFFFFFFF"/>
    <w:lvl w:ilvl="0" w:tplc="D0B09374">
      <w:start w:val="1"/>
      <w:numFmt w:val="bullet"/>
      <w:lvlText w:val="·"/>
      <w:lvlJc w:val="left"/>
      <w:pPr>
        <w:ind w:left="720" w:hanging="360"/>
      </w:pPr>
      <w:rPr>
        <w:rFonts w:ascii="Symbol" w:hAnsi="Symbol" w:hint="default"/>
      </w:rPr>
    </w:lvl>
    <w:lvl w:ilvl="1" w:tplc="3E2ED156">
      <w:start w:val="1"/>
      <w:numFmt w:val="decimal"/>
      <w:lvlText w:val="%2."/>
      <w:lvlJc w:val="left"/>
      <w:pPr>
        <w:ind w:left="1440" w:hanging="360"/>
      </w:pPr>
      <w:rPr>
        <w:rFonts w:hint="default"/>
      </w:rPr>
    </w:lvl>
    <w:lvl w:ilvl="2" w:tplc="7B90A510">
      <w:start w:val="1"/>
      <w:numFmt w:val="bullet"/>
      <w:lvlText w:val=""/>
      <w:lvlJc w:val="left"/>
      <w:pPr>
        <w:ind w:left="2160" w:hanging="360"/>
      </w:pPr>
      <w:rPr>
        <w:rFonts w:ascii="Wingdings" w:hAnsi="Wingdings" w:hint="default"/>
      </w:rPr>
    </w:lvl>
    <w:lvl w:ilvl="3" w:tplc="E6D61F0A">
      <w:start w:val="1"/>
      <w:numFmt w:val="bullet"/>
      <w:lvlText w:val=""/>
      <w:lvlJc w:val="left"/>
      <w:pPr>
        <w:ind w:left="2880" w:hanging="360"/>
      </w:pPr>
      <w:rPr>
        <w:rFonts w:ascii="Symbol" w:hAnsi="Symbol" w:hint="default"/>
      </w:rPr>
    </w:lvl>
    <w:lvl w:ilvl="4" w:tplc="3CA4BAEA">
      <w:start w:val="1"/>
      <w:numFmt w:val="bullet"/>
      <w:lvlText w:val="o"/>
      <w:lvlJc w:val="left"/>
      <w:pPr>
        <w:ind w:left="3600" w:hanging="360"/>
      </w:pPr>
      <w:rPr>
        <w:rFonts w:ascii="Courier New" w:hAnsi="Courier New" w:hint="default"/>
      </w:rPr>
    </w:lvl>
    <w:lvl w:ilvl="5" w:tplc="332A4AF8">
      <w:start w:val="1"/>
      <w:numFmt w:val="bullet"/>
      <w:lvlText w:val=""/>
      <w:lvlJc w:val="left"/>
      <w:pPr>
        <w:ind w:left="4320" w:hanging="360"/>
      </w:pPr>
      <w:rPr>
        <w:rFonts w:ascii="Wingdings" w:hAnsi="Wingdings" w:hint="default"/>
      </w:rPr>
    </w:lvl>
    <w:lvl w:ilvl="6" w:tplc="94004B88">
      <w:start w:val="1"/>
      <w:numFmt w:val="bullet"/>
      <w:lvlText w:val=""/>
      <w:lvlJc w:val="left"/>
      <w:pPr>
        <w:ind w:left="5040" w:hanging="360"/>
      </w:pPr>
      <w:rPr>
        <w:rFonts w:ascii="Symbol" w:hAnsi="Symbol" w:hint="default"/>
      </w:rPr>
    </w:lvl>
    <w:lvl w:ilvl="7" w:tplc="2D822F44">
      <w:start w:val="1"/>
      <w:numFmt w:val="bullet"/>
      <w:lvlText w:val="o"/>
      <w:lvlJc w:val="left"/>
      <w:pPr>
        <w:ind w:left="5760" w:hanging="360"/>
      </w:pPr>
      <w:rPr>
        <w:rFonts w:ascii="Courier New" w:hAnsi="Courier New" w:hint="default"/>
      </w:rPr>
    </w:lvl>
    <w:lvl w:ilvl="8" w:tplc="CE0ACBF2">
      <w:start w:val="1"/>
      <w:numFmt w:val="bullet"/>
      <w:lvlText w:val=""/>
      <w:lvlJc w:val="left"/>
      <w:pPr>
        <w:ind w:left="6480" w:hanging="360"/>
      </w:pPr>
      <w:rPr>
        <w:rFonts w:ascii="Wingdings" w:hAnsi="Wingdings" w:hint="default"/>
      </w:rPr>
    </w:lvl>
  </w:abstractNum>
  <w:abstractNum w:abstractNumId="197" w15:restartNumberingAfterBreak="0">
    <w:nsid w:val="6BC535BB"/>
    <w:multiLevelType w:val="hybridMultilevel"/>
    <w:tmpl w:val="DBF049AA"/>
    <w:lvl w:ilvl="0" w:tplc="7D5EEB9C">
      <w:start w:val="1"/>
      <w:numFmt w:val="lowerRoman"/>
      <w:lvlText w:val="(%1)"/>
      <w:lvlJc w:val="left"/>
      <w:pPr>
        <w:ind w:left="753" w:hanging="720"/>
      </w:pPr>
      <w:rPr>
        <w:rFonts w:hint="default"/>
      </w:rPr>
    </w:lvl>
    <w:lvl w:ilvl="1" w:tplc="08090019" w:tentative="1">
      <w:start w:val="1"/>
      <w:numFmt w:val="lowerLetter"/>
      <w:lvlText w:val="%2."/>
      <w:lvlJc w:val="left"/>
      <w:pPr>
        <w:ind w:left="1113" w:hanging="360"/>
      </w:pPr>
    </w:lvl>
    <w:lvl w:ilvl="2" w:tplc="0809001B" w:tentative="1">
      <w:start w:val="1"/>
      <w:numFmt w:val="lowerRoman"/>
      <w:lvlText w:val="%3."/>
      <w:lvlJc w:val="right"/>
      <w:pPr>
        <w:ind w:left="1833" w:hanging="180"/>
      </w:pPr>
    </w:lvl>
    <w:lvl w:ilvl="3" w:tplc="0809000F" w:tentative="1">
      <w:start w:val="1"/>
      <w:numFmt w:val="decimal"/>
      <w:lvlText w:val="%4."/>
      <w:lvlJc w:val="left"/>
      <w:pPr>
        <w:ind w:left="2553" w:hanging="360"/>
      </w:pPr>
    </w:lvl>
    <w:lvl w:ilvl="4" w:tplc="08090019" w:tentative="1">
      <w:start w:val="1"/>
      <w:numFmt w:val="lowerLetter"/>
      <w:lvlText w:val="%5."/>
      <w:lvlJc w:val="left"/>
      <w:pPr>
        <w:ind w:left="3273" w:hanging="360"/>
      </w:pPr>
    </w:lvl>
    <w:lvl w:ilvl="5" w:tplc="0809001B" w:tentative="1">
      <w:start w:val="1"/>
      <w:numFmt w:val="lowerRoman"/>
      <w:lvlText w:val="%6."/>
      <w:lvlJc w:val="right"/>
      <w:pPr>
        <w:ind w:left="3993" w:hanging="180"/>
      </w:pPr>
    </w:lvl>
    <w:lvl w:ilvl="6" w:tplc="0809000F" w:tentative="1">
      <w:start w:val="1"/>
      <w:numFmt w:val="decimal"/>
      <w:lvlText w:val="%7."/>
      <w:lvlJc w:val="left"/>
      <w:pPr>
        <w:ind w:left="4713" w:hanging="360"/>
      </w:pPr>
    </w:lvl>
    <w:lvl w:ilvl="7" w:tplc="08090019" w:tentative="1">
      <w:start w:val="1"/>
      <w:numFmt w:val="lowerLetter"/>
      <w:lvlText w:val="%8."/>
      <w:lvlJc w:val="left"/>
      <w:pPr>
        <w:ind w:left="5433" w:hanging="360"/>
      </w:pPr>
    </w:lvl>
    <w:lvl w:ilvl="8" w:tplc="0809001B" w:tentative="1">
      <w:start w:val="1"/>
      <w:numFmt w:val="lowerRoman"/>
      <w:lvlText w:val="%9."/>
      <w:lvlJc w:val="right"/>
      <w:pPr>
        <w:ind w:left="6153" w:hanging="180"/>
      </w:pPr>
    </w:lvl>
  </w:abstractNum>
  <w:abstractNum w:abstractNumId="198" w15:restartNumberingAfterBreak="0">
    <w:nsid w:val="6BCD57BB"/>
    <w:multiLevelType w:val="multilevel"/>
    <w:tmpl w:val="6FBE688C"/>
    <w:lvl w:ilvl="0">
      <w:start w:val="1"/>
      <w:numFmt w:val="upperRoman"/>
      <w:lvlText w:val="%1."/>
      <w:lvlJc w:val="left"/>
      <w:pPr>
        <w:ind w:left="0" w:firstLine="0"/>
      </w:pPr>
    </w:lvl>
    <w:lvl w:ilvl="1">
      <w:start w:val="1"/>
      <w:numFmt w:val="decimal"/>
      <w:lvlText w:val="%1.%2"/>
      <w:lvlJc w:val="left"/>
      <w:pPr>
        <w:ind w:left="0" w:firstLine="0"/>
      </w:pPr>
    </w:lvl>
    <w:lvl w:ilvl="2">
      <w:start w:val="1"/>
      <w:numFmt w:val="decimal"/>
      <w:pStyle w:val="Instructionsberschrift3"/>
      <w:lvlText w:val="%1.%2.%3"/>
      <w:lvlJc w:val="left"/>
      <w:pPr>
        <w:ind w:left="720" w:hanging="432"/>
      </w:pPr>
      <w:rPr>
        <w:b w:val="0"/>
      </w:r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9" w15:restartNumberingAfterBreak="0">
    <w:nsid w:val="6C026693"/>
    <w:multiLevelType w:val="hybridMultilevel"/>
    <w:tmpl w:val="BC685418"/>
    <w:lvl w:ilvl="0" w:tplc="A9781040">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0" w15:restartNumberingAfterBreak="0">
    <w:nsid w:val="6CB8133D"/>
    <w:multiLevelType w:val="hybridMultilevel"/>
    <w:tmpl w:val="9AFC1E62"/>
    <w:lvl w:ilvl="0" w:tplc="08090001">
      <w:start w:val="1"/>
      <w:numFmt w:val="bullet"/>
      <w:lvlText w:val=""/>
      <w:lvlJc w:val="left"/>
      <w:pPr>
        <w:ind w:left="1428" w:hanging="360"/>
      </w:pPr>
      <w:rPr>
        <w:rFonts w:ascii="Symbol" w:hAnsi="Symbol"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201" w15:restartNumberingAfterBreak="0">
    <w:nsid w:val="6CCB754A"/>
    <w:multiLevelType w:val="multilevel"/>
    <w:tmpl w:val="BC0478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15:restartNumberingAfterBreak="0">
    <w:nsid w:val="6DB451DC"/>
    <w:multiLevelType w:val="multilevel"/>
    <w:tmpl w:val="649A00FE"/>
    <w:lvl w:ilvl="0">
      <w:start w:val="1"/>
      <w:numFmt w:val="decimal"/>
      <w:lvlText w:val="%1."/>
      <w:lvlJc w:val="left"/>
      <w:pPr>
        <w:ind w:left="720" w:hanging="360"/>
      </w:pPr>
      <w:rPr>
        <w:i w:val="0"/>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2880" w:hanging="2520"/>
      </w:pPr>
      <w:rPr>
        <w:rFonts w:hint="default"/>
      </w:rPr>
    </w:lvl>
  </w:abstractNum>
  <w:abstractNum w:abstractNumId="203" w15:restartNumberingAfterBreak="0">
    <w:nsid w:val="6E157C41"/>
    <w:multiLevelType w:val="hybridMultilevel"/>
    <w:tmpl w:val="375075FE"/>
    <w:lvl w:ilvl="0" w:tplc="357AFF7A">
      <w:start w:val="1"/>
      <w:numFmt w:val="bullet"/>
      <w:lvlText w:val="·"/>
      <w:lvlJc w:val="left"/>
      <w:pPr>
        <w:ind w:left="720" w:hanging="360"/>
      </w:pPr>
      <w:rPr>
        <w:rFonts w:ascii="Symbol" w:hAnsi="Symbol" w:hint="default"/>
      </w:rPr>
    </w:lvl>
    <w:lvl w:ilvl="1" w:tplc="AEF20F6A">
      <w:start w:val="1"/>
      <w:numFmt w:val="decimal"/>
      <w:lvlText w:val="%2."/>
      <w:lvlJc w:val="left"/>
      <w:pPr>
        <w:ind w:left="1440" w:hanging="360"/>
      </w:pPr>
      <w:rPr>
        <w:rFonts w:hint="default"/>
      </w:rPr>
    </w:lvl>
    <w:lvl w:ilvl="2" w:tplc="D376CE86">
      <w:start w:val="1"/>
      <w:numFmt w:val="bullet"/>
      <w:lvlText w:val=""/>
      <w:lvlJc w:val="left"/>
      <w:pPr>
        <w:ind w:left="2160" w:hanging="360"/>
      </w:pPr>
      <w:rPr>
        <w:rFonts w:ascii="Wingdings" w:hAnsi="Wingdings" w:hint="default"/>
      </w:rPr>
    </w:lvl>
    <w:lvl w:ilvl="3" w:tplc="A7ECB72C">
      <w:start w:val="1"/>
      <w:numFmt w:val="bullet"/>
      <w:lvlText w:val=""/>
      <w:lvlJc w:val="left"/>
      <w:pPr>
        <w:ind w:left="2880" w:hanging="360"/>
      </w:pPr>
      <w:rPr>
        <w:rFonts w:ascii="Symbol" w:hAnsi="Symbol" w:hint="default"/>
      </w:rPr>
    </w:lvl>
    <w:lvl w:ilvl="4" w:tplc="96DCEDCC">
      <w:start w:val="1"/>
      <w:numFmt w:val="bullet"/>
      <w:lvlText w:val="o"/>
      <w:lvlJc w:val="left"/>
      <w:pPr>
        <w:ind w:left="3600" w:hanging="360"/>
      </w:pPr>
      <w:rPr>
        <w:rFonts w:ascii="Courier New" w:hAnsi="Courier New" w:hint="default"/>
      </w:rPr>
    </w:lvl>
    <w:lvl w:ilvl="5" w:tplc="2BFE3416">
      <w:start w:val="1"/>
      <w:numFmt w:val="bullet"/>
      <w:lvlText w:val=""/>
      <w:lvlJc w:val="left"/>
      <w:pPr>
        <w:ind w:left="4320" w:hanging="360"/>
      </w:pPr>
      <w:rPr>
        <w:rFonts w:ascii="Wingdings" w:hAnsi="Wingdings" w:hint="default"/>
      </w:rPr>
    </w:lvl>
    <w:lvl w:ilvl="6" w:tplc="8BAE30FC">
      <w:start w:val="1"/>
      <w:numFmt w:val="bullet"/>
      <w:lvlText w:val=""/>
      <w:lvlJc w:val="left"/>
      <w:pPr>
        <w:ind w:left="5040" w:hanging="360"/>
      </w:pPr>
      <w:rPr>
        <w:rFonts w:ascii="Symbol" w:hAnsi="Symbol" w:hint="default"/>
      </w:rPr>
    </w:lvl>
    <w:lvl w:ilvl="7" w:tplc="BF8ABDC8">
      <w:start w:val="1"/>
      <w:numFmt w:val="bullet"/>
      <w:lvlText w:val="o"/>
      <w:lvlJc w:val="left"/>
      <w:pPr>
        <w:ind w:left="5760" w:hanging="360"/>
      </w:pPr>
      <w:rPr>
        <w:rFonts w:ascii="Courier New" w:hAnsi="Courier New" w:hint="default"/>
      </w:rPr>
    </w:lvl>
    <w:lvl w:ilvl="8" w:tplc="5C5CAECC">
      <w:start w:val="1"/>
      <w:numFmt w:val="bullet"/>
      <w:lvlText w:val=""/>
      <w:lvlJc w:val="left"/>
      <w:pPr>
        <w:ind w:left="6480" w:hanging="360"/>
      </w:pPr>
      <w:rPr>
        <w:rFonts w:ascii="Wingdings" w:hAnsi="Wingdings" w:hint="default"/>
      </w:rPr>
    </w:lvl>
  </w:abstractNum>
  <w:abstractNum w:abstractNumId="204" w15:restartNumberingAfterBreak="0">
    <w:nsid w:val="6EE0541B"/>
    <w:multiLevelType w:val="hybridMultilevel"/>
    <w:tmpl w:val="C3B6CA8E"/>
    <w:lvl w:ilvl="0" w:tplc="08090001">
      <w:start w:val="1"/>
      <w:numFmt w:val="bullet"/>
      <w:lvlText w:val=""/>
      <w:lvlJc w:val="left"/>
      <w:pPr>
        <w:ind w:left="1428" w:hanging="360"/>
      </w:pPr>
      <w:rPr>
        <w:rFonts w:ascii="Symbol" w:hAnsi="Symbol"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205" w15:restartNumberingAfterBreak="0">
    <w:nsid w:val="6F167A56"/>
    <w:multiLevelType w:val="hybridMultilevel"/>
    <w:tmpl w:val="28BAD89C"/>
    <w:lvl w:ilvl="0" w:tplc="88F8117C">
      <w:start w:val="1"/>
      <w:numFmt w:val="bullet"/>
      <w:lvlText w:val="·"/>
      <w:lvlJc w:val="left"/>
      <w:pPr>
        <w:ind w:left="720" w:hanging="360"/>
      </w:pPr>
      <w:rPr>
        <w:rFonts w:ascii="Symbol" w:hAnsi="Symbol" w:hint="default"/>
      </w:rPr>
    </w:lvl>
    <w:lvl w:ilvl="1" w:tplc="0EEE4636">
      <w:start w:val="1"/>
      <w:numFmt w:val="bullet"/>
      <w:lvlText w:val="o"/>
      <w:lvlJc w:val="left"/>
      <w:pPr>
        <w:ind w:left="1440" w:hanging="360"/>
      </w:pPr>
      <w:rPr>
        <w:rFonts w:ascii="Courier New" w:hAnsi="Courier New" w:hint="default"/>
      </w:rPr>
    </w:lvl>
    <w:lvl w:ilvl="2" w:tplc="041E5F9E">
      <w:start w:val="1"/>
      <w:numFmt w:val="bullet"/>
      <w:lvlText w:val=""/>
      <w:lvlJc w:val="left"/>
      <w:pPr>
        <w:ind w:left="2160" w:hanging="360"/>
      </w:pPr>
      <w:rPr>
        <w:rFonts w:ascii="Wingdings" w:hAnsi="Wingdings" w:hint="default"/>
      </w:rPr>
    </w:lvl>
    <w:lvl w:ilvl="3" w:tplc="89D42A5A">
      <w:start w:val="1"/>
      <w:numFmt w:val="bullet"/>
      <w:lvlText w:val=""/>
      <w:lvlJc w:val="left"/>
      <w:pPr>
        <w:ind w:left="2880" w:hanging="360"/>
      </w:pPr>
      <w:rPr>
        <w:rFonts w:ascii="Symbol" w:hAnsi="Symbol" w:hint="default"/>
      </w:rPr>
    </w:lvl>
    <w:lvl w:ilvl="4" w:tplc="40849A20">
      <w:start w:val="1"/>
      <w:numFmt w:val="bullet"/>
      <w:lvlText w:val="o"/>
      <w:lvlJc w:val="left"/>
      <w:pPr>
        <w:ind w:left="3600" w:hanging="360"/>
      </w:pPr>
      <w:rPr>
        <w:rFonts w:ascii="Courier New" w:hAnsi="Courier New" w:hint="default"/>
      </w:rPr>
    </w:lvl>
    <w:lvl w:ilvl="5" w:tplc="290C1BE6">
      <w:start w:val="1"/>
      <w:numFmt w:val="bullet"/>
      <w:lvlText w:val=""/>
      <w:lvlJc w:val="left"/>
      <w:pPr>
        <w:ind w:left="4320" w:hanging="360"/>
      </w:pPr>
      <w:rPr>
        <w:rFonts w:ascii="Wingdings" w:hAnsi="Wingdings" w:hint="default"/>
      </w:rPr>
    </w:lvl>
    <w:lvl w:ilvl="6" w:tplc="B75A9084">
      <w:start w:val="1"/>
      <w:numFmt w:val="bullet"/>
      <w:lvlText w:val=""/>
      <w:lvlJc w:val="left"/>
      <w:pPr>
        <w:ind w:left="5040" w:hanging="360"/>
      </w:pPr>
      <w:rPr>
        <w:rFonts w:ascii="Symbol" w:hAnsi="Symbol" w:hint="default"/>
      </w:rPr>
    </w:lvl>
    <w:lvl w:ilvl="7" w:tplc="99F25084">
      <w:start w:val="1"/>
      <w:numFmt w:val="bullet"/>
      <w:lvlText w:val="o"/>
      <w:lvlJc w:val="left"/>
      <w:pPr>
        <w:ind w:left="5760" w:hanging="360"/>
      </w:pPr>
      <w:rPr>
        <w:rFonts w:ascii="Courier New" w:hAnsi="Courier New" w:hint="default"/>
      </w:rPr>
    </w:lvl>
    <w:lvl w:ilvl="8" w:tplc="39DAAA14">
      <w:start w:val="1"/>
      <w:numFmt w:val="bullet"/>
      <w:lvlText w:val=""/>
      <w:lvlJc w:val="left"/>
      <w:pPr>
        <w:ind w:left="6480" w:hanging="360"/>
      </w:pPr>
      <w:rPr>
        <w:rFonts w:ascii="Wingdings" w:hAnsi="Wingdings" w:hint="default"/>
      </w:rPr>
    </w:lvl>
  </w:abstractNum>
  <w:abstractNum w:abstractNumId="206" w15:restartNumberingAfterBreak="0">
    <w:nsid w:val="6F2A6E34"/>
    <w:multiLevelType w:val="multilevel"/>
    <w:tmpl w:val="1D42C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7" w15:restartNumberingAfterBreak="0">
    <w:nsid w:val="6F4F7920"/>
    <w:multiLevelType w:val="hybridMultilevel"/>
    <w:tmpl w:val="FFFFFFFF"/>
    <w:lvl w:ilvl="0" w:tplc="18EEAD7E">
      <w:start w:val="1"/>
      <w:numFmt w:val="bullet"/>
      <w:lvlText w:val="·"/>
      <w:lvlJc w:val="left"/>
      <w:pPr>
        <w:ind w:left="720" w:hanging="360"/>
      </w:pPr>
      <w:rPr>
        <w:rFonts w:ascii="Symbol" w:hAnsi="Symbol" w:hint="default"/>
      </w:rPr>
    </w:lvl>
    <w:lvl w:ilvl="1" w:tplc="3A94C39A">
      <w:start w:val="1"/>
      <w:numFmt w:val="bullet"/>
      <w:lvlText w:val="o"/>
      <w:lvlJc w:val="left"/>
      <w:pPr>
        <w:ind w:left="1440" w:hanging="360"/>
      </w:pPr>
      <w:rPr>
        <w:rFonts w:ascii="Courier New" w:hAnsi="Courier New" w:hint="default"/>
      </w:rPr>
    </w:lvl>
    <w:lvl w:ilvl="2" w:tplc="903A93DE">
      <w:start w:val="1"/>
      <w:numFmt w:val="bullet"/>
      <w:lvlText w:val=""/>
      <w:lvlJc w:val="left"/>
      <w:pPr>
        <w:ind w:left="2160" w:hanging="360"/>
      </w:pPr>
      <w:rPr>
        <w:rFonts w:ascii="Wingdings" w:hAnsi="Wingdings" w:hint="default"/>
      </w:rPr>
    </w:lvl>
    <w:lvl w:ilvl="3" w:tplc="42A8A9BA">
      <w:start w:val="1"/>
      <w:numFmt w:val="bullet"/>
      <w:lvlText w:val=""/>
      <w:lvlJc w:val="left"/>
      <w:pPr>
        <w:ind w:left="2880" w:hanging="360"/>
      </w:pPr>
      <w:rPr>
        <w:rFonts w:ascii="Symbol" w:hAnsi="Symbol" w:hint="default"/>
      </w:rPr>
    </w:lvl>
    <w:lvl w:ilvl="4" w:tplc="B5A8677A">
      <w:start w:val="1"/>
      <w:numFmt w:val="bullet"/>
      <w:lvlText w:val="o"/>
      <w:lvlJc w:val="left"/>
      <w:pPr>
        <w:ind w:left="3600" w:hanging="360"/>
      </w:pPr>
      <w:rPr>
        <w:rFonts w:ascii="Courier New" w:hAnsi="Courier New" w:hint="default"/>
      </w:rPr>
    </w:lvl>
    <w:lvl w:ilvl="5" w:tplc="1FC2A36C">
      <w:start w:val="1"/>
      <w:numFmt w:val="bullet"/>
      <w:lvlText w:val=""/>
      <w:lvlJc w:val="left"/>
      <w:pPr>
        <w:ind w:left="4320" w:hanging="360"/>
      </w:pPr>
      <w:rPr>
        <w:rFonts w:ascii="Wingdings" w:hAnsi="Wingdings" w:hint="default"/>
      </w:rPr>
    </w:lvl>
    <w:lvl w:ilvl="6" w:tplc="080CF9F6">
      <w:start w:val="1"/>
      <w:numFmt w:val="bullet"/>
      <w:lvlText w:val=""/>
      <w:lvlJc w:val="left"/>
      <w:pPr>
        <w:ind w:left="5040" w:hanging="360"/>
      </w:pPr>
      <w:rPr>
        <w:rFonts w:ascii="Symbol" w:hAnsi="Symbol" w:hint="default"/>
      </w:rPr>
    </w:lvl>
    <w:lvl w:ilvl="7" w:tplc="EF647294">
      <w:start w:val="1"/>
      <w:numFmt w:val="bullet"/>
      <w:lvlText w:val="o"/>
      <w:lvlJc w:val="left"/>
      <w:pPr>
        <w:ind w:left="5760" w:hanging="360"/>
      </w:pPr>
      <w:rPr>
        <w:rFonts w:ascii="Courier New" w:hAnsi="Courier New" w:hint="default"/>
      </w:rPr>
    </w:lvl>
    <w:lvl w:ilvl="8" w:tplc="1C2C4494">
      <w:start w:val="1"/>
      <w:numFmt w:val="bullet"/>
      <w:lvlText w:val=""/>
      <w:lvlJc w:val="left"/>
      <w:pPr>
        <w:ind w:left="6480" w:hanging="360"/>
      </w:pPr>
      <w:rPr>
        <w:rFonts w:ascii="Wingdings" w:hAnsi="Wingdings" w:hint="default"/>
      </w:rPr>
    </w:lvl>
  </w:abstractNum>
  <w:abstractNum w:abstractNumId="208" w15:restartNumberingAfterBreak="0">
    <w:nsid w:val="6FB95973"/>
    <w:multiLevelType w:val="hybridMultilevel"/>
    <w:tmpl w:val="AA8E90FC"/>
    <w:lvl w:ilvl="0" w:tplc="8302529E">
      <w:start w:val="1"/>
      <w:numFmt w:val="bullet"/>
      <w:lvlText w:val="·"/>
      <w:lvlJc w:val="left"/>
      <w:pPr>
        <w:ind w:left="720" w:hanging="360"/>
      </w:pPr>
      <w:rPr>
        <w:rFonts w:ascii="Symbol" w:hAnsi="Symbol" w:hint="default"/>
      </w:rPr>
    </w:lvl>
    <w:lvl w:ilvl="1" w:tplc="C6A2EA7C">
      <w:start w:val="1"/>
      <w:numFmt w:val="decimal"/>
      <w:lvlText w:val="%2."/>
      <w:lvlJc w:val="left"/>
      <w:pPr>
        <w:ind w:left="1440" w:hanging="360"/>
      </w:pPr>
      <w:rPr>
        <w:rFonts w:hint="default"/>
      </w:rPr>
    </w:lvl>
    <w:lvl w:ilvl="2" w:tplc="2A823F48">
      <w:start w:val="1"/>
      <w:numFmt w:val="bullet"/>
      <w:lvlText w:val=""/>
      <w:lvlJc w:val="left"/>
      <w:pPr>
        <w:ind w:left="2160" w:hanging="360"/>
      </w:pPr>
      <w:rPr>
        <w:rFonts w:ascii="Wingdings" w:hAnsi="Wingdings" w:hint="default"/>
      </w:rPr>
    </w:lvl>
    <w:lvl w:ilvl="3" w:tplc="30C69E2C">
      <w:start w:val="1"/>
      <w:numFmt w:val="bullet"/>
      <w:lvlText w:val=""/>
      <w:lvlJc w:val="left"/>
      <w:pPr>
        <w:ind w:left="2880" w:hanging="360"/>
      </w:pPr>
      <w:rPr>
        <w:rFonts w:ascii="Symbol" w:hAnsi="Symbol" w:hint="default"/>
      </w:rPr>
    </w:lvl>
    <w:lvl w:ilvl="4" w:tplc="A346624C">
      <w:start w:val="1"/>
      <w:numFmt w:val="bullet"/>
      <w:lvlText w:val="o"/>
      <w:lvlJc w:val="left"/>
      <w:pPr>
        <w:ind w:left="3600" w:hanging="360"/>
      </w:pPr>
      <w:rPr>
        <w:rFonts w:ascii="Courier New" w:hAnsi="Courier New" w:hint="default"/>
      </w:rPr>
    </w:lvl>
    <w:lvl w:ilvl="5" w:tplc="8E1AF08A">
      <w:start w:val="1"/>
      <w:numFmt w:val="bullet"/>
      <w:lvlText w:val=""/>
      <w:lvlJc w:val="left"/>
      <w:pPr>
        <w:ind w:left="4320" w:hanging="360"/>
      </w:pPr>
      <w:rPr>
        <w:rFonts w:ascii="Wingdings" w:hAnsi="Wingdings" w:hint="default"/>
      </w:rPr>
    </w:lvl>
    <w:lvl w:ilvl="6" w:tplc="9EB2AC54">
      <w:start w:val="1"/>
      <w:numFmt w:val="bullet"/>
      <w:lvlText w:val=""/>
      <w:lvlJc w:val="left"/>
      <w:pPr>
        <w:ind w:left="5040" w:hanging="360"/>
      </w:pPr>
      <w:rPr>
        <w:rFonts w:ascii="Symbol" w:hAnsi="Symbol" w:hint="default"/>
      </w:rPr>
    </w:lvl>
    <w:lvl w:ilvl="7" w:tplc="7D106C60">
      <w:start w:val="1"/>
      <w:numFmt w:val="bullet"/>
      <w:lvlText w:val="o"/>
      <w:lvlJc w:val="left"/>
      <w:pPr>
        <w:ind w:left="5760" w:hanging="360"/>
      </w:pPr>
      <w:rPr>
        <w:rFonts w:ascii="Courier New" w:hAnsi="Courier New" w:hint="default"/>
      </w:rPr>
    </w:lvl>
    <w:lvl w:ilvl="8" w:tplc="39002528">
      <w:start w:val="1"/>
      <w:numFmt w:val="bullet"/>
      <w:lvlText w:val=""/>
      <w:lvlJc w:val="left"/>
      <w:pPr>
        <w:ind w:left="6480" w:hanging="360"/>
      </w:pPr>
      <w:rPr>
        <w:rFonts w:ascii="Wingdings" w:hAnsi="Wingdings" w:hint="default"/>
      </w:rPr>
    </w:lvl>
  </w:abstractNum>
  <w:abstractNum w:abstractNumId="209" w15:restartNumberingAfterBreak="0">
    <w:nsid w:val="70084534"/>
    <w:multiLevelType w:val="multilevel"/>
    <w:tmpl w:val="40EAC0F4"/>
    <w:lvl w:ilvl="0">
      <w:start w:val="1"/>
      <w:numFmt w:val="bullet"/>
      <w:lvlText w:val=""/>
      <w:lvlJc w:val="left"/>
      <w:pPr>
        <w:ind w:left="360" w:hanging="360"/>
      </w:pPr>
      <w:rPr>
        <w:rFonts w:ascii="Symbol" w:hAnsi="Symbol" w:hint="default"/>
      </w:rPr>
    </w:lvl>
    <w:lvl w:ilvl="1">
      <w:start w:val="1"/>
      <w:numFmt w:val="decimal"/>
      <w:isLgl/>
      <w:lvlText w:val="%1.%2"/>
      <w:lvlJc w:val="left"/>
      <w:pPr>
        <w:ind w:left="1080" w:hanging="360"/>
      </w:pPr>
      <w:rPr>
        <w:rFonts w:hint="default"/>
        <w:u w:val="none"/>
      </w:rPr>
    </w:lvl>
    <w:lvl w:ilvl="2">
      <w:start w:val="1"/>
      <w:numFmt w:val="decimal"/>
      <w:isLgl/>
      <w:lvlText w:val="%1.%2.%3"/>
      <w:lvlJc w:val="left"/>
      <w:pPr>
        <w:ind w:left="2160" w:hanging="720"/>
      </w:pPr>
      <w:rPr>
        <w:rFonts w:hint="default"/>
        <w:u w:val="single"/>
      </w:rPr>
    </w:lvl>
    <w:lvl w:ilvl="3">
      <w:start w:val="1"/>
      <w:numFmt w:val="decimal"/>
      <w:isLgl/>
      <w:lvlText w:val="%1.%2.%3.%4"/>
      <w:lvlJc w:val="left"/>
      <w:pPr>
        <w:ind w:left="2880" w:hanging="720"/>
      </w:pPr>
      <w:rPr>
        <w:rFonts w:hint="default"/>
        <w:u w:val="single"/>
      </w:rPr>
    </w:lvl>
    <w:lvl w:ilvl="4">
      <w:start w:val="1"/>
      <w:numFmt w:val="decimal"/>
      <w:isLgl/>
      <w:lvlText w:val="%1.%2.%3.%4.%5"/>
      <w:lvlJc w:val="left"/>
      <w:pPr>
        <w:ind w:left="3960" w:hanging="1080"/>
      </w:pPr>
      <w:rPr>
        <w:rFonts w:hint="default"/>
        <w:u w:val="single"/>
      </w:rPr>
    </w:lvl>
    <w:lvl w:ilvl="5">
      <w:start w:val="1"/>
      <w:numFmt w:val="decimal"/>
      <w:isLgl/>
      <w:lvlText w:val="%1.%2.%3.%4.%5.%6"/>
      <w:lvlJc w:val="left"/>
      <w:pPr>
        <w:ind w:left="4680" w:hanging="1080"/>
      </w:pPr>
      <w:rPr>
        <w:rFonts w:hint="default"/>
        <w:u w:val="single"/>
      </w:rPr>
    </w:lvl>
    <w:lvl w:ilvl="6">
      <w:start w:val="1"/>
      <w:numFmt w:val="decimal"/>
      <w:isLgl/>
      <w:lvlText w:val="%1.%2.%3.%4.%5.%6.%7"/>
      <w:lvlJc w:val="left"/>
      <w:pPr>
        <w:ind w:left="5760" w:hanging="1440"/>
      </w:pPr>
      <w:rPr>
        <w:rFonts w:hint="default"/>
        <w:u w:val="single"/>
      </w:rPr>
    </w:lvl>
    <w:lvl w:ilvl="7">
      <w:start w:val="1"/>
      <w:numFmt w:val="decimal"/>
      <w:isLgl/>
      <w:lvlText w:val="%1.%2.%3.%4.%5.%6.%7.%8"/>
      <w:lvlJc w:val="left"/>
      <w:pPr>
        <w:ind w:left="6480" w:hanging="1440"/>
      </w:pPr>
      <w:rPr>
        <w:rFonts w:hint="default"/>
        <w:u w:val="single"/>
      </w:rPr>
    </w:lvl>
    <w:lvl w:ilvl="8">
      <w:start w:val="1"/>
      <w:numFmt w:val="decimal"/>
      <w:isLgl/>
      <w:lvlText w:val="%1.%2.%3.%4.%5.%6.%7.%8.%9"/>
      <w:lvlJc w:val="left"/>
      <w:pPr>
        <w:ind w:left="7200" w:hanging="1440"/>
      </w:pPr>
      <w:rPr>
        <w:rFonts w:hint="default"/>
        <w:u w:val="single"/>
      </w:rPr>
    </w:lvl>
  </w:abstractNum>
  <w:abstractNum w:abstractNumId="210" w15:restartNumberingAfterBreak="0">
    <w:nsid w:val="701D4702"/>
    <w:multiLevelType w:val="hybridMultilevel"/>
    <w:tmpl w:val="C00402D4"/>
    <w:lvl w:ilvl="0" w:tplc="D92AABF8">
      <w:start w:val="1"/>
      <w:numFmt w:val="bullet"/>
      <w:lvlText w:val="·"/>
      <w:lvlJc w:val="left"/>
      <w:pPr>
        <w:ind w:left="720" w:hanging="360"/>
      </w:pPr>
      <w:rPr>
        <w:rFonts w:ascii="Symbol" w:hAnsi="Symbol" w:hint="default"/>
      </w:rPr>
    </w:lvl>
    <w:lvl w:ilvl="1" w:tplc="EE02857A">
      <w:start w:val="1"/>
      <w:numFmt w:val="decimal"/>
      <w:lvlText w:val="%2."/>
      <w:lvlJc w:val="left"/>
      <w:pPr>
        <w:ind w:left="1440" w:hanging="360"/>
      </w:pPr>
      <w:rPr>
        <w:rFonts w:hint="default"/>
      </w:rPr>
    </w:lvl>
    <w:lvl w:ilvl="2" w:tplc="16DEA1FC">
      <w:start w:val="1"/>
      <w:numFmt w:val="bullet"/>
      <w:lvlText w:val=""/>
      <w:lvlJc w:val="left"/>
      <w:pPr>
        <w:ind w:left="2160" w:hanging="360"/>
      </w:pPr>
      <w:rPr>
        <w:rFonts w:ascii="Wingdings" w:hAnsi="Wingdings" w:hint="default"/>
      </w:rPr>
    </w:lvl>
    <w:lvl w:ilvl="3" w:tplc="C024BD78">
      <w:start w:val="1"/>
      <w:numFmt w:val="bullet"/>
      <w:lvlText w:val=""/>
      <w:lvlJc w:val="left"/>
      <w:pPr>
        <w:ind w:left="2880" w:hanging="360"/>
      </w:pPr>
      <w:rPr>
        <w:rFonts w:ascii="Symbol" w:hAnsi="Symbol" w:hint="default"/>
      </w:rPr>
    </w:lvl>
    <w:lvl w:ilvl="4" w:tplc="37D08E38">
      <w:start w:val="1"/>
      <w:numFmt w:val="bullet"/>
      <w:lvlText w:val="o"/>
      <w:lvlJc w:val="left"/>
      <w:pPr>
        <w:ind w:left="3600" w:hanging="360"/>
      </w:pPr>
      <w:rPr>
        <w:rFonts w:ascii="Courier New" w:hAnsi="Courier New" w:hint="default"/>
      </w:rPr>
    </w:lvl>
    <w:lvl w:ilvl="5" w:tplc="98C41290">
      <w:start w:val="1"/>
      <w:numFmt w:val="bullet"/>
      <w:lvlText w:val=""/>
      <w:lvlJc w:val="left"/>
      <w:pPr>
        <w:ind w:left="4320" w:hanging="360"/>
      </w:pPr>
      <w:rPr>
        <w:rFonts w:ascii="Wingdings" w:hAnsi="Wingdings" w:hint="default"/>
      </w:rPr>
    </w:lvl>
    <w:lvl w:ilvl="6" w:tplc="81A05BA6">
      <w:start w:val="1"/>
      <w:numFmt w:val="bullet"/>
      <w:lvlText w:val=""/>
      <w:lvlJc w:val="left"/>
      <w:pPr>
        <w:ind w:left="5040" w:hanging="360"/>
      </w:pPr>
      <w:rPr>
        <w:rFonts w:ascii="Symbol" w:hAnsi="Symbol" w:hint="default"/>
      </w:rPr>
    </w:lvl>
    <w:lvl w:ilvl="7" w:tplc="732C0420">
      <w:start w:val="1"/>
      <w:numFmt w:val="bullet"/>
      <w:lvlText w:val="o"/>
      <w:lvlJc w:val="left"/>
      <w:pPr>
        <w:ind w:left="5760" w:hanging="360"/>
      </w:pPr>
      <w:rPr>
        <w:rFonts w:ascii="Courier New" w:hAnsi="Courier New" w:hint="default"/>
      </w:rPr>
    </w:lvl>
    <w:lvl w:ilvl="8" w:tplc="B3AC786A">
      <w:start w:val="1"/>
      <w:numFmt w:val="bullet"/>
      <w:lvlText w:val=""/>
      <w:lvlJc w:val="left"/>
      <w:pPr>
        <w:ind w:left="6480" w:hanging="360"/>
      </w:pPr>
      <w:rPr>
        <w:rFonts w:ascii="Wingdings" w:hAnsi="Wingdings" w:hint="default"/>
      </w:rPr>
    </w:lvl>
  </w:abstractNum>
  <w:abstractNum w:abstractNumId="211" w15:restartNumberingAfterBreak="0">
    <w:nsid w:val="706A6883"/>
    <w:multiLevelType w:val="hybridMultilevel"/>
    <w:tmpl w:val="84981EAC"/>
    <w:lvl w:ilvl="0" w:tplc="08160011">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12" w15:restartNumberingAfterBreak="0">
    <w:nsid w:val="71064D88"/>
    <w:multiLevelType w:val="hybridMultilevel"/>
    <w:tmpl w:val="F79473BE"/>
    <w:lvl w:ilvl="0" w:tplc="98F68450">
      <w:start w:val="1"/>
      <w:numFmt w:val="bullet"/>
      <w:pStyle w:val="List1"/>
      <w:lvlText w:val=""/>
      <w:lvlJc w:val="left"/>
      <w:pPr>
        <w:ind w:left="720" w:hanging="72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3" w15:restartNumberingAfterBreak="0">
    <w:nsid w:val="71117267"/>
    <w:multiLevelType w:val="hybridMultilevel"/>
    <w:tmpl w:val="46547B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4" w15:restartNumberingAfterBreak="0">
    <w:nsid w:val="719E18D2"/>
    <w:multiLevelType w:val="hybridMultilevel"/>
    <w:tmpl w:val="1F3C9A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5" w15:restartNumberingAfterBreak="0">
    <w:nsid w:val="72282870"/>
    <w:multiLevelType w:val="hybridMultilevel"/>
    <w:tmpl w:val="FFFFFFFF"/>
    <w:lvl w:ilvl="0" w:tplc="08AAAA54">
      <w:start w:val="1"/>
      <w:numFmt w:val="bullet"/>
      <w:lvlText w:val="·"/>
      <w:lvlJc w:val="left"/>
      <w:pPr>
        <w:ind w:left="720" w:hanging="360"/>
      </w:pPr>
    </w:lvl>
    <w:lvl w:ilvl="1" w:tplc="F4B45504">
      <w:start w:val="1"/>
      <w:numFmt w:val="decimal"/>
      <w:lvlText w:val="%2."/>
      <w:lvlJc w:val="left"/>
      <w:pPr>
        <w:ind w:left="1440" w:hanging="360"/>
      </w:pPr>
    </w:lvl>
    <w:lvl w:ilvl="2" w:tplc="F32A256C">
      <w:start w:val="1"/>
      <w:numFmt w:val="lowerRoman"/>
      <w:lvlText w:val="%3."/>
      <w:lvlJc w:val="right"/>
      <w:pPr>
        <w:ind w:left="2160" w:hanging="180"/>
      </w:pPr>
    </w:lvl>
    <w:lvl w:ilvl="3" w:tplc="E4646F38">
      <w:start w:val="1"/>
      <w:numFmt w:val="decimal"/>
      <w:lvlText w:val="%4."/>
      <w:lvlJc w:val="left"/>
      <w:pPr>
        <w:ind w:left="2880" w:hanging="360"/>
      </w:pPr>
    </w:lvl>
    <w:lvl w:ilvl="4" w:tplc="48BCA9D2">
      <w:start w:val="1"/>
      <w:numFmt w:val="lowerLetter"/>
      <w:lvlText w:val="%5."/>
      <w:lvlJc w:val="left"/>
      <w:pPr>
        <w:ind w:left="3600" w:hanging="360"/>
      </w:pPr>
    </w:lvl>
    <w:lvl w:ilvl="5" w:tplc="6BAACC24">
      <w:start w:val="1"/>
      <w:numFmt w:val="lowerRoman"/>
      <w:lvlText w:val="%6."/>
      <w:lvlJc w:val="right"/>
      <w:pPr>
        <w:ind w:left="4320" w:hanging="180"/>
      </w:pPr>
    </w:lvl>
    <w:lvl w:ilvl="6" w:tplc="276EF0A8">
      <w:start w:val="1"/>
      <w:numFmt w:val="decimal"/>
      <w:lvlText w:val="%7."/>
      <w:lvlJc w:val="left"/>
      <w:pPr>
        <w:ind w:left="5040" w:hanging="360"/>
      </w:pPr>
    </w:lvl>
    <w:lvl w:ilvl="7" w:tplc="E550DE5C">
      <w:start w:val="1"/>
      <w:numFmt w:val="lowerLetter"/>
      <w:lvlText w:val="%8."/>
      <w:lvlJc w:val="left"/>
      <w:pPr>
        <w:ind w:left="5760" w:hanging="360"/>
      </w:pPr>
    </w:lvl>
    <w:lvl w:ilvl="8" w:tplc="E83A813E">
      <w:start w:val="1"/>
      <w:numFmt w:val="lowerRoman"/>
      <w:lvlText w:val="%9."/>
      <w:lvlJc w:val="right"/>
      <w:pPr>
        <w:ind w:left="6480" w:hanging="180"/>
      </w:pPr>
    </w:lvl>
  </w:abstractNum>
  <w:abstractNum w:abstractNumId="216" w15:restartNumberingAfterBreak="0">
    <w:nsid w:val="72E62938"/>
    <w:multiLevelType w:val="hybridMultilevel"/>
    <w:tmpl w:val="FFFFFFFF"/>
    <w:lvl w:ilvl="0" w:tplc="2862BA10">
      <w:start w:val="1"/>
      <w:numFmt w:val="bullet"/>
      <w:lvlText w:val="·"/>
      <w:lvlJc w:val="left"/>
      <w:pPr>
        <w:ind w:left="720" w:hanging="360"/>
      </w:pPr>
      <w:rPr>
        <w:rFonts w:ascii="Symbol" w:hAnsi="Symbol" w:hint="default"/>
      </w:rPr>
    </w:lvl>
    <w:lvl w:ilvl="1" w:tplc="A9E8D7D8">
      <w:start w:val="1"/>
      <w:numFmt w:val="bullet"/>
      <w:lvlText w:val="o"/>
      <w:lvlJc w:val="left"/>
      <w:pPr>
        <w:ind w:left="1440" w:hanging="360"/>
      </w:pPr>
      <w:rPr>
        <w:rFonts w:ascii="Courier New" w:hAnsi="Courier New" w:hint="default"/>
      </w:rPr>
    </w:lvl>
    <w:lvl w:ilvl="2" w:tplc="198A1E3A">
      <w:start w:val="1"/>
      <w:numFmt w:val="bullet"/>
      <w:lvlText w:val=""/>
      <w:lvlJc w:val="left"/>
      <w:pPr>
        <w:ind w:left="2160" w:hanging="360"/>
      </w:pPr>
      <w:rPr>
        <w:rFonts w:ascii="Wingdings" w:hAnsi="Wingdings" w:hint="default"/>
      </w:rPr>
    </w:lvl>
    <w:lvl w:ilvl="3" w:tplc="10B8BFB8">
      <w:start w:val="1"/>
      <w:numFmt w:val="bullet"/>
      <w:lvlText w:val=""/>
      <w:lvlJc w:val="left"/>
      <w:pPr>
        <w:ind w:left="2880" w:hanging="360"/>
      </w:pPr>
      <w:rPr>
        <w:rFonts w:ascii="Symbol" w:hAnsi="Symbol" w:hint="default"/>
      </w:rPr>
    </w:lvl>
    <w:lvl w:ilvl="4" w:tplc="981E2B80">
      <w:start w:val="1"/>
      <w:numFmt w:val="bullet"/>
      <w:lvlText w:val="o"/>
      <w:lvlJc w:val="left"/>
      <w:pPr>
        <w:ind w:left="3600" w:hanging="360"/>
      </w:pPr>
      <w:rPr>
        <w:rFonts w:ascii="Courier New" w:hAnsi="Courier New" w:hint="default"/>
      </w:rPr>
    </w:lvl>
    <w:lvl w:ilvl="5" w:tplc="262E0562">
      <w:start w:val="1"/>
      <w:numFmt w:val="bullet"/>
      <w:lvlText w:val=""/>
      <w:lvlJc w:val="left"/>
      <w:pPr>
        <w:ind w:left="4320" w:hanging="360"/>
      </w:pPr>
      <w:rPr>
        <w:rFonts w:ascii="Wingdings" w:hAnsi="Wingdings" w:hint="default"/>
      </w:rPr>
    </w:lvl>
    <w:lvl w:ilvl="6" w:tplc="F7202BDE">
      <w:start w:val="1"/>
      <w:numFmt w:val="bullet"/>
      <w:lvlText w:val=""/>
      <w:lvlJc w:val="left"/>
      <w:pPr>
        <w:ind w:left="5040" w:hanging="360"/>
      </w:pPr>
      <w:rPr>
        <w:rFonts w:ascii="Symbol" w:hAnsi="Symbol" w:hint="default"/>
      </w:rPr>
    </w:lvl>
    <w:lvl w:ilvl="7" w:tplc="3AC2A384">
      <w:start w:val="1"/>
      <w:numFmt w:val="bullet"/>
      <w:lvlText w:val="o"/>
      <w:lvlJc w:val="left"/>
      <w:pPr>
        <w:ind w:left="5760" w:hanging="360"/>
      </w:pPr>
      <w:rPr>
        <w:rFonts w:ascii="Courier New" w:hAnsi="Courier New" w:hint="default"/>
      </w:rPr>
    </w:lvl>
    <w:lvl w:ilvl="8" w:tplc="797877BE">
      <w:start w:val="1"/>
      <w:numFmt w:val="bullet"/>
      <w:lvlText w:val=""/>
      <w:lvlJc w:val="left"/>
      <w:pPr>
        <w:ind w:left="6480" w:hanging="360"/>
      </w:pPr>
      <w:rPr>
        <w:rFonts w:ascii="Wingdings" w:hAnsi="Wingdings" w:hint="default"/>
      </w:rPr>
    </w:lvl>
  </w:abstractNum>
  <w:abstractNum w:abstractNumId="217" w15:restartNumberingAfterBreak="0">
    <w:nsid w:val="748C5DC5"/>
    <w:multiLevelType w:val="hybridMultilevel"/>
    <w:tmpl w:val="6628A65E"/>
    <w:lvl w:ilvl="0" w:tplc="6304ED5E">
      <w:start w:val="1"/>
      <w:numFmt w:val="decimal"/>
      <w:lvlText w:val="(%1)"/>
      <w:lvlJc w:val="right"/>
      <w:pPr>
        <w:ind w:left="1074" w:hanging="360"/>
      </w:pPr>
      <w:rPr>
        <w:rFonts w:hint="default"/>
      </w:rPr>
    </w:lvl>
    <w:lvl w:ilvl="1" w:tplc="0809001B">
      <w:start w:val="1"/>
      <w:numFmt w:val="lowerRoman"/>
      <w:lvlText w:val="%2."/>
      <w:lvlJc w:val="right"/>
      <w:pPr>
        <w:ind w:left="1794" w:hanging="360"/>
      </w:pPr>
    </w:lvl>
    <w:lvl w:ilvl="2" w:tplc="07ACA20E">
      <w:start w:val="49"/>
      <w:numFmt w:val="decimal"/>
      <w:lvlText w:val="%3)"/>
      <w:lvlJc w:val="left"/>
      <w:pPr>
        <w:ind w:left="2694" w:hanging="360"/>
      </w:pPr>
      <w:rPr>
        <w:rFonts w:hint="default"/>
      </w:rPr>
    </w:lvl>
    <w:lvl w:ilvl="3" w:tplc="0809000F" w:tentative="1">
      <w:start w:val="1"/>
      <w:numFmt w:val="decimal"/>
      <w:lvlText w:val="%4."/>
      <w:lvlJc w:val="left"/>
      <w:pPr>
        <w:ind w:left="3234" w:hanging="360"/>
      </w:pPr>
    </w:lvl>
    <w:lvl w:ilvl="4" w:tplc="08090019" w:tentative="1">
      <w:start w:val="1"/>
      <w:numFmt w:val="lowerLetter"/>
      <w:lvlText w:val="%5."/>
      <w:lvlJc w:val="left"/>
      <w:pPr>
        <w:ind w:left="3954" w:hanging="360"/>
      </w:pPr>
    </w:lvl>
    <w:lvl w:ilvl="5" w:tplc="0809001B" w:tentative="1">
      <w:start w:val="1"/>
      <w:numFmt w:val="lowerRoman"/>
      <w:lvlText w:val="%6."/>
      <w:lvlJc w:val="right"/>
      <w:pPr>
        <w:ind w:left="4674" w:hanging="180"/>
      </w:pPr>
    </w:lvl>
    <w:lvl w:ilvl="6" w:tplc="0809000F" w:tentative="1">
      <w:start w:val="1"/>
      <w:numFmt w:val="decimal"/>
      <w:lvlText w:val="%7."/>
      <w:lvlJc w:val="left"/>
      <w:pPr>
        <w:ind w:left="5394" w:hanging="360"/>
      </w:pPr>
    </w:lvl>
    <w:lvl w:ilvl="7" w:tplc="08090019" w:tentative="1">
      <w:start w:val="1"/>
      <w:numFmt w:val="lowerLetter"/>
      <w:lvlText w:val="%8."/>
      <w:lvlJc w:val="left"/>
      <w:pPr>
        <w:ind w:left="6114" w:hanging="360"/>
      </w:pPr>
    </w:lvl>
    <w:lvl w:ilvl="8" w:tplc="0809001B" w:tentative="1">
      <w:start w:val="1"/>
      <w:numFmt w:val="lowerRoman"/>
      <w:lvlText w:val="%9."/>
      <w:lvlJc w:val="right"/>
      <w:pPr>
        <w:ind w:left="6834" w:hanging="180"/>
      </w:pPr>
    </w:lvl>
  </w:abstractNum>
  <w:abstractNum w:abstractNumId="218" w15:restartNumberingAfterBreak="0">
    <w:nsid w:val="75F9197C"/>
    <w:multiLevelType w:val="hybridMultilevel"/>
    <w:tmpl w:val="B34AA6BA"/>
    <w:lvl w:ilvl="0" w:tplc="08090011">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9" w15:restartNumberingAfterBreak="0">
    <w:nsid w:val="76421E92"/>
    <w:multiLevelType w:val="hybridMultilevel"/>
    <w:tmpl w:val="E50EF50E"/>
    <w:lvl w:ilvl="0" w:tplc="7BBAF134">
      <w:start w:val="3"/>
      <w:numFmt w:val="bullet"/>
      <w:lvlText w:val="-"/>
      <w:lvlJc w:val="left"/>
      <w:pPr>
        <w:ind w:left="717" w:hanging="360"/>
      </w:pPr>
      <w:rPr>
        <w:rFonts w:ascii="Calibri" w:eastAsiaTheme="minorEastAsia" w:hAnsi="Calibri" w:cs="Calibri" w:hint="default"/>
        <w:spacing w:val="0"/>
      </w:rPr>
    </w:lvl>
    <w:lvl w:ilvl="1" w:tplc="08090019">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220" w15:restartNumberingAfterBreak="0">
    <w:nsid w:val="769800E2"/>
    <w:multiLevelType w:val="multilevel"/>
    <w:tmpl w:val="60228A3C"/>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1" w15:restartNumberingAfterBreak="0">
    <w:nsid w:val="776E0D5E"/>
    <w:multiLevelType w:val="hybridMultilevel"/>
    <w:tmpl w:val="1450BE3C"/>
    <w:lvl w:ilvl="0" w:tplc="6E3E9BC8">
      <w:start w:val="1"/>
      <w:numFmt w:val="decimal"/>
      <w:lvlText w:val="%1)"/>
      <w:lvlJc w:val="left"/>
      <w:pPr>
        <w:ind w:left="1077" w:hanging="360"/>
      </w:pPr>
      <w:rPr>
        <w:rFonts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22" w15:restartNumberingAfterBreak="0">
    <w:nsid w:val="77751EC2"/>
    <w:multiLevelType w:val="hybridMultilevel"/>
    <w:tmpl w:val="1C844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3" w15:restartNumberingAfterBreak="0">
    <w:nsid w:val="784C5B2C"/>
    <w:multiLevelType w:val="hybridMultilevel"/>
    <w:tmpl w:val="FE86E734"/>
    <w:lvl w:ilvl="0" w:tplc="8D5EDCB0">
      <w:start w:val="7"/>
      <w:numFmt w:val="decimal"/>
      <w:lvlText w:val="%1)"/>
      <w:lvlJc w:val="left"/>
      <w:pPr>
        <w:ind w:left="107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4" w15:restartNumberingAfterBreak="0">
    <w:nsid w:val="78B342BF"/>
    <w:multiLevelType w:val="hybridMultilevel"/>
    <w:tmpl w:val="D138C750"/>
    <w:lvl w:ilvl="0" w:tplc="E08E51BC">
      <w:start w:val="1"/>
      <w:numFmt w:val="decimal"/>
      <w:lvlText w:val="%1."/>
      <w:lvlJc w:val="left"/>
      <w:pPr>
        <w:ind w:left="720" w:hanging="360"/>
      </w:pPr>
    </w:lvl>
    <w:lvl w:ilvl="1" w:tplc="2146E71E">
      <w:start w:val="1"/>
      <w:numFmt w:val="lowerLetter"/>
      <w:lvlText w:val="%2."/>
      <w:lvlJc w:val="left"/>
      <w:pPr>
        <w:ind w:left="1440" w:hanging="360"/>
      </w:pPr>
    </w:lvl>
    <w:lvl w:ilvl="2" w:tplc="E92E1150">
      <w:start w:val="1"/>
      <w:numFmt w:val="lowerRoman"/>
      <w:lvlText w:val="%3."/>
      <w:lvlJc w:val="right"/>
      <w:pPr>
        <w:ind w:left="2160" w:hanging="180"/>
      </w:pPr>
    </w:lvl>
    <w:lvl w:ilvl="3" w:tplc="6A42ECD8">
      <w:start w:val="1"/>
      <w:numFmt w:val="decimal"/>
      <w:lvlText w:val="%4."/>
      <w:lvlJc w:val="left"/>
      <w:pPr>
        <w:ind w:left="2880" w:hanging="360"/>
      </w:pPr>
    </w:lvl>
    <w:lvl w:ilvl="4" w:tplc="C83E71FA">
      <w:start w:val="1"/>
      <w:numFmt w:val="lowerLetter"/>
      <w:lvlText w:val="%5."/>
      <w:lvlJc w:val="left"/>
      <w:pPr>
        <w:ind w:left="3600" w:hanging="360"/>
      </w:pPr>
    </w:lvl>
    <w:lvl w:ilvl="5" w:tplc="ED12556C">
      <w:start w:val="1"/>
      <w:numFmt w:val="lowerRoman"/>
      <w:lvlText w:val="%6."/>
      <w:lvlJc w:val="right"/>
      <w:pPr>
        <w:ind w:left="4320" w:hanging="180"/>
      </w:pPr>
    </w:lvl>
    <w:lvl w:ilvl="6" w:tplc="A7202864">
      <w:start w:val="1"/>
      <w:numFmt w:val="decimal"/>
      <w:lvlText w:val="%7."/>
      <w:lvlJc w:val="left"/>
      <w:pPr>
        <w:ind w:left="5040" w:hanging="360"/>
      </w:pPr>
    </w:lvl>
    <w:lvl w:ilvl="7" w:tplc="F20A0F82">
      <w:start w:val="1"/>
      <w:numFmt w:val="lowerLetter"/>
      <w:lvlText w:val="%8."/>
      <w:lvlJc w:val="left"/>
      <w:pPr>
        <w:ind w:left="5760" w:hanging="360"/>
      </w:pPr>
    </w:lvl>
    <w:lvl w:ilvl="8" w:tplc="47E8F52C">
      <w:start w:val="1"/>
      <w:numFmt w:val="lowerRoman"/>
      <w:lvlText w:val="%9."/>
      <w:lvlJc w:val="right"/>
      <w:pPr>
        <w:ind w:left="6480" w:hanging="180"/>
      </w:pPr>
    </w:lvl>
  </w:abstractNum>
  <w:abstractNum w:abstractNumId="225" w15:restartNumberingAfterBreak="0">
    <w:nsid w:val="78FD639B"/>
    <w:multiLevelType w:val="hybridMultilevel"/>
    <w:tmpl w:val="1488EB0C"/>
    <w:lvl w:ilvl="0" w:tplc="EA4AD4DC">
      <w:start w:val="1"/>
      <w:numFmt w:val="bullet"/>
      <w:lvlText w:val=""/>
      <w:lvlJc w:val="left"/>
      <w:pPr>
        <w:ind w:left="720" w:hanging="360"/>
      </w:pPr>
      <w:rPr>
        <w:rFonts w:ascii="Symbol" w:hAnsi="Symbol" w:hint="default"/>
        <w:color w:val="C0504D" w:themeColor="accen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6" w15:restartNumberingAfterBreak="0">
    <w:nsid w:val="796603CE"/>
    <w:multiLevelType w:val="hybridMultilevel"/>
    <w:tmpl w:val="480A2296"/>
    <w:lvl w:ilvl="0" w:tplc="3B9C276A">
      <w:start w:val="1"/>
      <w:numFmt w:val="bullet"/>
      <w:lvlText w:val="·"/>
      <w:lvlJc w:val="left"/>
      <w:pPr>
        <w:ind w:left="720" w:hanging="360"/>
      </w:pPr>
      <w:rPr>
        <w:rFonts w:ascii="Symbol" w:hAnsi="Symbol" w:hint="default"/>
      </w:rPr>
    </w:lvl>
    <w:lvl w:ilvl="1" w:tplc="53D46DD8">
      <w:start w:val="1"/>
      <w:numFmt w:val="bullet"/>
      <w:lvlText w:val="o"/>
      <w:lvlJc w:val="left"/>
      <w:pPr>
        <w:ind w:left="1440" w:hanging="360"/>
      </w:pPr>
      <w:rPr>
        <w:rFonts w:ascii="Courier New" w:hAnsi="Courier New" w:hint="default"/>
      </w:rPr>
    </w:lvl>
    <w:lvl w:ilvl="2" w:tplc="669268E0">
      <w:start w:val="1"/>
      <w:numFmt w:val="bullet"/>
      <w:lvlText w:val=""/>
      <w:lvlJc w:val="left"/>
      <w:pPr>
        <w:ind w:left="2160" w:hanging="360"/>
      </w:pPr>
      <w:rPr>
        <w:rFonts w:ascii="Wingdings" w:hAnsi="Wingdings" w:hint="default"/>
      </w:rPr>
    </w:lvl>
    <w:lvl w:ilvl="3" w:tplc="DA72C43E">
      <w:start w:val="1"/>
      <w:numFmt w:val="bullet"/>
      <w:lvlText w:val=""/>
      <w:lvlJc w:val="left"/>
      <w:pPr>
        <w:ind w:left="2880" w:hanging="360"/>
      </w:pPr>
      <w:rPr>
        <w:rFonts w:ascii="Symbol" w:hAnsi="Symbol" w:hint="default"/>
      </w:rPr>
    </w:lvl>
    <w:lvl w:ilvl="4" w:tplc="F76A5DB8">
      <w:start w:val="1"/>
      <w:numFmt w:val="bullet"/>
      <w:lvlText w:val="o"/>
      <w:lvlJc w:val="left"/>
      <w:pPr>
        <w:ind w:left="3600" w:hanging="360"/>
      </w:pPr>
      <w:rPr>
        <w:rFonts w:ascii="Courier New" w:hAnsi="Courier New" w:hint="default"/>
      </w:rPr>
    </w:lvl>
    <w:lvl w:ilvl="5" w:tplc="DC8209F2">
      <w:start w:val="1"/>
      <w:numFmt w:val="bullet"/>
      <w:lvlText w:val=""/>
      <w:lvlJc w:val="left"/>
      <w:pPr>
        <w:ind w:left="4320" w:hanging="360"/>
      </w:pPr>
      <w:rPr>
        <w:rFonts w:ascii="Wingdings" w:hAnsi="Wingdings" w:hint="default"/>
      </w:rPr>
    </w:lvl>
    <w:lvl w:ilvl="6" w:tplc="FA16E598">
      <w:start w:val="1"/>
      <w:numFmt w:val="bullet"/>
      <w:lvlText w:val=""/>
      <w:lvlJc w:val="left"/>
      <w:pPr>
        <w:ind w:left="5040" w:hanging="360"/>
      </w:pPr>
      <w:rPr>
        <w:rFonts w:ascii="Symbol" w:hAnsi="Symbol" w:hint="default"/>
      </w:rPr>
    </w:lvl>
    <w:lvl w:ilvl="7" w:tplc="81DEC4DA">
      <w:start w:val="1"/>
      <w:numFmt w:val="bullet"/>
      <w:lvlText w:val="o"/>
      <w:lvlJc w:val="left"/>
      <w:pPr>
        <w:ind w:left="5760" w:hanging="360"/>
      </w:pPr>
      <w:rPr>
        <w:rFonts w:ascii="Courier New" w:hAnsi="Courier New" w:hint="default"/>
      </w:rPr>
    </w:lvl>
    <w:lvl w:ilvl="8" w:tplc="57A6DF18">
      <w:start w:val="1"/>
      <w:numFmt w:val="bullet"/>
      <w:lvlText w:val=""/>
      <w:lvlJc w:val="left"/>
      <w:pPr>
        <w:ind w:left="6480" w:hanging="360"/>
      </w:pPr>
      <w:rPr>
        <w:rFonts w:ascii="Wingdings" w:hAnsi="Wingdings" w:hint="default"/>
      </w:rPr>
    </w:lvl>
  </w:abstractNum>
  <w:abstractNum w:abstractNumId="227" w15:restartNumberingAfterBreak="0">
    <w:nsid w:val="7BE95C91"/>
    <w:multiLevelType w:val="hybridMultilevel"/>
    <w:tmpl w:val="EEBE78CC"/>
    <w:lvl w:ilvl="0" w:tplc="9112CD98">
      <w:start w:val="1"/>
      <w:numFmt w:val="bullet"/>
      <w:lvlText w:val="·"/>
      <w:lvlJc w:val="left"/>
      <w:pPr>
        <w:ind w:left="720" w:hanging="360"/>
      </w:pPr>
      <w:rPr>
        <w:rFonts w:ascii="Symbol" w:hAnsi="Symbol" w:hint="default"/>
      </w:rPr>
    </w:lvl>
    <w:lvl w:ilvl="1" w:tplc="E7CE7B2C">
      <w:start w:val="1"/>
      <w:numFmt w:val="bullet"/>
      <w:lvlText w:val="o"/>
      <w:lvlJc w:val="left"/>
      <w:pPr>
        <w:ind w:left="1440" w:hanging="360"/>
      </w:pPr>
      <w:rPr>
        <w:rFonts w:ascii="Courier New" w:hAnsi="Courier New" w:hint="default"/>
      </w:rPr>
    </w:lvl>
    <w:lvl w:ilvl="2" w:tplc="DF7AEEB0">
      <w:start w:val="1"/>
      <w:numFmt w:val="bullet"/>
      <w:lvlText w:val=""/>
      <w:lvlJc w:val="left"/>
      <w:pPr>
        <w:ind w:left="2160" w:hanging="360"/>
      </w:pPr>
      <w:rPr>
        <w:rFonts w:ascii="Wingdings" w:hAnsi="Wingdings" w:hint="default"/>
      </w:rPr>
    </w:lvl>
    <w:lvl w:ilvl="3" w:tplc="567079B8">
      <w:start w:val="1"/>
      <w:numFmt w:val="bullet"/>
      <w:lvlText w:val=""/>
      <w:lvlJc w:val="left"/>
      <w:pPr>
        <w:ind w:left="2880" w:hanging="360"/>
      </w:pPr>
      <w:rPr>
        <w:rFonts w:ascii="Symbol" w:hAnsi="Symbol" w:hint="default"/>
      </w:rPr>
    </w:lvl>
    <w:lvl w:ilvl="4" w:tplc="117E7A42">
      <w:start w:val="1"/>
      <w:numFmt w:val="bullet"/>
      <w:lvlText w:val="o"/>
      <w:lvlJc w:val="left"/>
      <w:pPr>
        <w:ind w:left="3600" w:hanging="360"/>
      </w:pPr>
      <w:rPr>
        <w:rFonts w:ascii="Courier New" w:hAnsi="Courier New" w:hint="default"/>
      </w:rPr>
    </w:lvl>
    <w:lvl w:ilvl="5" w:tplc="CB6EE380">
      <w:start w:val="1"/>
      <w:numFmt w:val="bullet"/>
      <w:lvlText w:val=""/>
      <w:lvlJc w:val="left"/>
      <w:pPr>
        <w:ind w:left="4320" w:hanging="360"/>
      </w:pPr>
      <w:rPr>
        <w:rFonts w:ascii="Wingdings" w:hAnsi="Wingdings" w:hint="default"/>
      </w:rPr>
    </w:lvl>
    <w:lvl w:ilvl="6" w:tplc="59767F2C">
      <w:start w:val="1"/>
      <w:numFmt w:val="bullet"/>
      <w:lvlText w:val=""/>
      <w:lvlJc w:val="left"/>
      <w:pPr>
        <w:ind w:left="5040" w:hanging="360"/>
      </w:pPr>
      <w:rPr>
        <w:rFonts w:ascii="Symbol" w:hAnsi="Symbol" w:hint="default"/>
      </w:rPr>
    </w:lvl>
    <w:lvl w:ilvl="7" w:tplc="5C42EC84">
      <w:start w:val="1"/>
      <w:numFmt w:val="bullet"/>
      <w:lvlText w:val="o"/>
      <w:lvlJc w:val="left"/>
      <w:pPr>
        <w:ind w:left="5760" w:hanging="360"/>
      </w:pPr>
      <w:rPr>
        <w:rFonts w:ascii="Courier New" w:hAnsi="Courier New" w:hint="default"/>
      </w:rPr>
    </w:lvl>
    <w:lvl w:ilvl="8" w:tplc="3EBE8B9C">
      <w:start w:val="1"/>
      <w:numFmt w:val="bullet"/>
      <w:lvlText w:val=""/>
      <w:lvlJc w:val="left"/>
      <w:pPr>
        <w:ind w:left="6480" w:hanging="360"/>
      </w:pPr>
      <w:rPr>
        <w:rFonts w:ascii="Wingdings" w:hAnsi="Wingdings" w:hint="default"/>
      </w:rPr>
    </w:lvl>
  </w:abstractNum>
  <w:abstractNum w:abstractNumId="228" w15:restartNumberingAfterBreak="0">
    <w:nsid w:val="7C257D43"/>
    <w:multiLevelType w:val="hybridMultilevel"/>
    <w:tmpl w:val="5C8A7378"/>
    <w:lvl w:ilvl="0" w:tplc="FFFFFFFF">
      <w:start w:val="1"/>
      <w:numFmt w:val="lowerLetter"/>
      <w:lvlText w:val="%1)"/>
      <w:lvlJc w:val="left"/>
      <w:pPr>
        <w:ind w:left="445" w:hanging="360"/>
      </w:pPr>
    </w:lvl>
    <w:lvl w:ilvl="1" w:tplc="08090019" w:tentative="1">
      <w:start w:val="1"/>
      <w:numFmt w:val="lowerLetter"/>
      <w:lvlText w:val="%2."/>
      <w:lvlJc w:val="left"/>
      <w:pPr>
        <w:ind w:left="1165" w:hanging="360"/>
      </w:pPr>
    </w:lvl>
    <w:lvl w:ilvl="2" w:tplc="0809001B" w:tentative="1">
      <w:start w:val="1"/>
      <w:numFmt w:val="lowerRoman"/>
      <w:lvlText w:val="%3."/>
      <w:lvlJc w:val="right"/>
      <w:pPr>
        <w:ind w:left="1885" w:hanging="180"/>
      </w:pPr>
    </w:lvl>
    <w:lvl w:ilvl="3" w:tplc="0809000F" w:tentative="1">
      <w:start w:val="1"/>
      <w:numFmt w:val="decimal"/>
      <w:lvlText w:val="%4."/>
      <w:lvlJc w:val="left"/>
      <w:pPr>
        <w:ind w:left="2605" w:hanging="360"/>
      </w:pPr>
    </w:lvl>
    <w:lvl w:ilvl="4" w:tplc="08090019" w:tentative="1">
      <w:start w:val="1"/>
      <w:numFmt w:val="lowerLetter"/>
      <w:lvlText w:val="%5."/>
      <w:lvlJc w:val="left"/>
      <w:pPr>
        <w:ind w:left="3325" w:hanging="360"/>
      </w:pPr>
    </w:lvl>
    <w:lvl w:ilvl="5" w:tplc="0809001B" w:tentative="1">
      <w:start w:val="1"/>
      <w:numFmt w:val="lowerRoman"/>
      <w:lvlText w:val="%6."/>
      <w:lvlJc w:val="right"/>
      <w:pPr>
        <w:ind w:left="4045" w:hanging="180"/>
      </w:pPr>
    </w:lvl>
    <w:lvl w:ilvl="6" w:tplc="0809000F" w:tentative="1">
      <w:start w:val="1"/>
      <w:numFmt w:val="decimal"/>
      <w:lvlText w:val="%7."/>
      <w:lvlJc w:val="left"/>
      <w:pPr>
        <w:ind w:left="4765" w:hanging="360"/>
      </w:pPr>
    </w:lvl>
    <w:lvl w:ilvl="7" w:tplc="08090019" w:tentative="1">
      <w:start w:val="1"/>
      <w:numFmt w:val="lowerLetter"/>
      <w:lvlText w:val="%8."/>
      <w:lvlJc w:val="left"/>
      <w:pPr>
        <w:ind w:left="5485" w:hanging="360"/>
      </w:pPr>
    </w:lvl>
    <w:lvl w:ilvl="8" w:tplc="0809001B" w:tentative="1">
      <w:start w:val="1"/>
      <w:numFmt w:val="lowerRoman"/>
      <w:lvlText w:val="%9."/>
      <w:lvlJc w:val="right"/>
      <w:pPr>
        <w:ind w:left="6205" w:hanging="180"/>
      </w:pPr>
    </w:lvl>
  </w:abstractNum>
  <w:abstractNum w:abstractNumId="229" w15:restartNumberingAfterBreak="0">
    <w:nsid w:val="7F6C167D"/>
    <w:multiLevelType w:val="hybridMultilevel"/>
    <w:tmpl w:val="FD787130"/>
    <w:lvl w:ilvl="0" w:tplc="A9EA0F4C">
      <w:start w:val="1"/>
      <w:numFmt w:val="bullet"/>
      <w:lvlText w:val="·"/>
      <w:lvlJc w:val="left"/>
      <w:pPr>
        <w:ind w:left="720" w:hanging="360"/>
      </w:pPr>
      <w:rPr>
        <w:rFonts w:ascii="Symbol" w:hAnsi="Symbol" w:hint="default"/>
      </w:rPr>
    </w:lvl>
    <w:lvl w:ilvl="1" w:tplc="50567486">
      <w:start w:val="1"/>
      <w:numFmt w:val="bullet"/>
      <w:lvlText w:val="o"/>
      <w:lvlJc w:val="left"/>
      <w:pPr>
        <w:ind w:left="1440" w:hanging="360"/>
      </w:pPr>
      <w:rPr>
        <w:rFonts w:ascii="Courier New" w:hAnsi="Courier New" w:hint="default"/>
      </w:rPr>
    </w:lvl>
    <w:lvl w:ilvl="2" w:tplc="B8205350">
      <w:start w:val="1"/>
      <w:numFmt w:val="bullet"/>
      <w:lvlText w:val=""/>
      <w:lvlJc w:val="left"/>
      <w:pPr>
        <w:ind w:left="2160" w:hanging="360"/>
      </w:pPr>
      <w:rPr>
        <w:rFonts w:ascii="Wingdings" w:hAnsi="Wingdings" w:hint="default"/>
      </w:rPr>
    </w:lvl>
    <w:lvl w:ilvl="3" w:tplc="B8CC0EFA">
      <w:start w:val="1"/>
      <w:numFmt w:val="bullet"/>
      <w:lvlText w:val=""/>
      <w:lvlJc w:val="left"/>
      <w:pPr>
        <w:ind w:left="2880" w:hanging="360"/>
      </w:pPr>
      <w:rPr>
        <w:rFonts w:ascii="Symbol" w:hAnsi="Symbol" w:hint="default"/>
      </w:rPr>
    </w:lvl>
    <w:lvl w:ilvl="4" w:tplc="073008D4">
      <w:start w:val="1"/>
      <w:numFmt w:val="bullet"/>
      <w:lvlText w:val="o"/>
      <w:lvlJc w:val="left"/>
      <w:pPr>
        <w:ind w:left="3600" w:hanging="360"/>
      </w:pPr>
      <w:rPr>
        <w:rFonts w:ascii="Courier New" w:hAnsi="Courier New" w:hint="default"/>
      </w:rPr>
    </w:lvl>
    <w:lvl w:ilvl="5" w:tplc="256C21A4">
      <w:start w:val="1"/>
      <w:numFmt w:val="bullet"/>
      <w:lvlText w:val=""/>
      <w:lvlJc w:val="left"/>
      <w:pPr>
        <w:ind w:left="4320" w:hanging="360"/>
      </w:pPr>
      <w:rPr>
        <w:rFonts w:ascii="Wingdings" w:hAnsi="Wingdings" w:hint="default"/>
      </w:rPr>
    </w:lvl>
    <w:lvl w:ilvl="6" w:tplc="F8463EDC">
      <w:start w:val="1"/>
      <w:numFmt w:val="bullet"/>
      <w:lvlText w:val=""/>
      <w:lvlJc w:val="left"/>
      <w:pPr>
        <w:ind w:left="5040" w:hanging="360"/>
      </w:pPr>
      <w:rPr>
        <w:rFonts w:ascii="Symbol" w:hAnsi="Symbol" w:hint="default"/>
      </w:rPr>
    </w:lvl>
    <w:lvl w:ilvl="7" w:tplc="D2B87EBA">
      <w:start w:val="1"/>
      <w:numFmt w:val="bullet"/>
      <w:lvlText w:val="o"/>
      <w:lvlJc w:val="left"/>
      <w:pPr>
        <w:ind w:left="5760" w:hanging="360"/>
      </w:pPr>
      <w:rPr>
        <w:rFonts w:ascii="Courier New" w:hAnsi="Courier New" w:hint="default"/>
      </w:rPr>
    </w:lvl>
    <w:lvl w:ilvl="8" w:tplc="3BC43D70">
      <w:start w:val="1"/>
      <w:numFmt w:val="bullet"/>
      <w:lvlText w:val=""/>
      <w:lvlJc w:val="left"/>
      <w:pPr>
        <w:ind w:left="6480" w:hanging="360"/>
      </w:pPr>
      <w:rPr>
        <w:rFonts w:ascii="Wingdings" w:hAnsi="Wingdings" w:hint="default"/>
      </w:rPr>
    </w:lvl>
  </w:abstractNum>
  <w:abstractNum w:abstractNumId="230" w15:restartNumberingAfterBreak="0">
    <w:nsid w:val="7F8D17A9"/>
    <w:multiLevelType w:val="hybridMultilevel"/>
    <w:tmpl w:val="E9A02EF4"/>
    <w:lvl w:ilvl="0" w:tplc="9728763A">
      <w:start w:val="1"/>
      <w:numFmt w:val="decimal"/>
      <w:lvlText w:val="%1."/>
      <w:lvlJc w:val="left"/>
      <w:pPr>
        <w:ind w:left="720" w:hanging="360"/>
      </w:pPr>
    </w:lvl>
    <w:lvl w:ilvl="1" w:tplc="225C9C58">
      <w:start w:val="1"/>
      <w:numFmt w:val="lowerLetter"/>
      <w:lvlText w:val="%2."/>
      <w:lvlJc w:val="left"/>
      <w:pPr>
        <w:ind w:left="1440" w:hanging="360"/>
      </w:pPr>
    </w:lvl>
    <w:lvl w:ilvl="2" w:tplc="46D011E6">
      <w:start w:val="1"/>
      <w:numFmt w:val="lowerRoman"/>
      <w:lvlText w:val="%3."/>
      <w:lvlJc w:val="right"/>
      <w:pPr>
        <w:ind w:left="2160" w:hanging="180"/>
      </w:pPr>
    </w:lvl>
    <w:lvl w:ilvl="3" w:tplc="21E242DC">
      <w:start w:val="1"/>
      <w:numFmt w:val="decimal"/>
      <w:lvlText w:val="%4."/>
      <w:lvlJc w:val="left"/>
      <w:pPr>
        <w:ind w:left="2880" w:hanging="360"/>
      </w:pPr>
    </w:lvl>
    <w:lvl w:ilvl="4" w:tplc="429A8DFA">
      <w:start w:val="1"/>
      <w:numFmt w:val="lowerLetter"/>
      <w:lvlText w:val="%5."/>
      <w:lvlJc w:val="left"/>
      <w:pPr>
        <w:ind w:left="3600" w:hanging="360"/>
      </w:pPr>
    </w:lvl>
    <w:lvl w:ilvl="5" w:tplc="150003FC">
      <w:start w:val="1"/>
      <w:numFmt w:val="lowerRoman"/>
      <w:lvlText w:val="%6."/>
      <w:lvlJc w:val="right"/>
      <w:pPr>
        <w:ind w:left="4320" w:hanging="180"/>
      </w:pPr>
    </w:lvl>
    <w:lvl w:ilvl="6" w:tplc="5DC6F0D2">
      <w:start w:val="1"/>
      <w:numFmt w:val="decimal"/>
      <w:lvlText w:val="%7."/>
      <w:lvlJc w:val="left"/>
      <w:pPr>
        <w:ind w:left="5040" w:hanging="360"/>
      </w:pPr>
    </w:lvl>
    <w:lvl w:ilvl="7" w:tplc="2C6C74FC">
      <w:start w:val="1"/>
      <w:numFmt w:val="lowerLetter"/>
      <w:lvlText w:val="%8."/>
      <w:lvlJc w:val="left"/>
      <w:pPr>
        <w:ind w:left="5760" w:hanging="360"/>
      </w:pPr>
    </w:lvl>
    <w:lvl w:ilvl="8" w:tplc="81BA3E1A">
      <w:start w:val="1"/>
      <w:numFmt w:val="lowerRoman"/>
      <w:lvlText w:val="%9."/>
      <w:lvlJc w:val="right"/>
      <w:pPr>
        <w:ind w:left="6480" w:hanging="180"/>
      </w:pPr>
    </w:lvl>
  </w:abstractNum>
  <w:abstractNum w:abstractNumId="231" w15:restartNumberingAfterBreak="0">
    <w:nsid w:val="7FC8025A"/>
    <w:multiLevelType w:val="hybridMultilevel"/>
    <w:tmpl w:val="B372CD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36985600">
    <w:abstractNumId w:val="4"/>
  </w:num>
  <w:num w:numId="2" w16cid:durableId="527183814">
    <w:abstractNumId w:val="47"/>
  </w:num>
  <w:num w:numId="3" w16cid:durableId="1176921029">
    <w:abstractNumId w:val="148"/>
  </w:num>
  <w:num w:numId="4" w16cid:durableId="366102755">
    <w:abstractNumId w:val="227"/>
  </w:num>
  <w:num w:numId="5" w16cid:durableId="1847790544">
    <w:abstractNumId w:val="83"/>
  </w:num>
  <w:num w:numId="6" w16cid:durableId="1877808404">
    <w:abstractNumId w:val="139"/>
  </w:num>
  <w:num w:numId="7" w16cid:durableId="1912109604">
    <w:abstractNumId w:val="226"/>
  </w:num>
  <w:num w:numId="8" w16cid:durableId="2146923796">
    <w:abstractNumId w:val="63"/>
  </w:num>
  <w:num w:numId="9" w16cid:durableId="708603050">
    <w:abstractNumId w:val="100"/>
  </w:num>
  <w:num w:numId="10" w16cid:durableId="1213611544">
    <w:abstractNumId w:val="37"/>
  </w:num>
  <w:num w:numId="11" w16cid:durableId="1552838689">
    <w:abstractNumId w:val="111"/>
  </w:num>
  <w:num w:numId="12" w16cid:durableId="645168093">
    <w:abstractNumId w:val="230"/>
  </w:num>
  <w:num w:numId="13" w16cid:durableId="256014536">
    <w:abstractNumId w:val="224"/>
  </w:num>
  <w:num w:numId="14" w16cid:durableId="2076660622">
    <w:abstractNumId w:val="95"/>
  </w:num>
  <w:num w:numId="15" w16cid:durableId="289938605">
    <w:abstractNumId w:val="174"/>
  </w:num>
  <w:num w:numId="16" w16cid:durableId="1936287175">
    <w:abstractNumId w:val="205"/>
  </w:num>
  <w:num w:numId="17" w16cid:durableId="1788112967">
    <w:abstractNumId w:val="56"/>
  </w:num>
  <w:num w:numId="18" w16cid:durableId="84351531">
    <w:abstractNumId w:val="187"/>
  </w:num>
  <w:num w:numId="19" w16cid:durableId="253317903">
    <w:abstractNumId w:val="127"/>
  </w:num>
  <w:num w:numId="20" w16cid:durableId="277218497">
    <w:abstractNumId w:val="38"/>
  </w:num>
  <w:num w:numId="21" w16cid:durableId="1887376714">
    <w:abstractNumId w:val="229"/>
  </w:num>
  <w:num w:numId="22" w16cid:durableId="401222900">
    <w:abstractNumId w:val="101"/>
  </w:num>
  <w:num w:numId="23" w16cid:durableId="468590720">
    <w:abstractNumId w:val="13"/>
  </w:num>
  <w:num w:numId="24" w16cid:durableId="1926568356">
    <w:abstractNumId w:val="97"/>
  </w:num>
  <w:num w:numId="25" w16cid:durableId="329334524">
    <w:abstractNumId w:val="15"/>
  </w:num>
  <w:num w:numId="26" w16cid:durableId="1853107545">
    <w:abstractNumId w:val="176"/>
  </w:num>
  <w:num w:numId="27" w16cid:durableId="1118640088">
    <w:abstractNumId w:val="208"/>
  </w:num>
  <w:num w:numId="28" w16cid:durableId="972979768">
    <w:abstractNumId w:val="210"/>
  </w:num>
  <w:num w:numId="29" w16cid:durableId="205682563">
    <w:abstractNumId w:val="203"/>
  </w:num>
  <w:num w:numId="30" w16cid:durableId="1010182092">
    <w:abstractNumId w:val="75"/>
  </w:num>
  <w:num w:numId="31" w16cid:durableId="149029496">
    <w:abstractNumId w:val="54"/>
  </w:num>
  <w:num w:numId="32" w16cid:durableId="744305848">
    <w:abstractNumId w:val="153"/>
  </w:num>
  <w:num w:numId="33" w16cid:durableId="1888567417">
    <w:abstractNumId w:val="116"/>
  </w:num>
  <w:num w:numId="34" w16cid:durableId="1052117220">
    <w:abstractNumId w:val="24"/>
  </w:num>
  <w:num w:numId="35" w16cid:durableId="707410361">
    <w:abstractNumId w:val="93"/>
  </w:num>
  <w:num w:numId="36" w16cid:durableId="144979335">
    <w:abstractNumId w:val="160"/>
  </w:num>
  <w:num w:numId="37" w16cid:durableId="678703454">
    <w:abstractNumId w:val="36"/>
  </w:num>
  <w:num w:numId="38" w16cid:durableId="805317060">
    <w:abstractNumId w:val="42"/>
  </w:num>
  <w:num w:numId="39" w16cid:durableId="117651569">
    <w:abstractNumId w:val="64"/>
  </w:num>
  <w:num w:numId="40" w16cid:durableId="202249377">
    <w:abstractNumId w:val="173"/>
  </w:num>
  <w:num w:numId="41" w16cid:durableId="818965037">
    <w:abstractNumId w:val="135"/>
  </w:num>
  <w:num w:numId="42" w16cid:durableId="1828856784">
    <w:abstractNumId w:val="29"/>
  </w:num>
  <w:num w:numId="43" w16cid:durableId="835001156">
    <w:abstractNumId w:val="133"/>
  </w:num>
  <w:num w:numId="44" w16cid:durableId="1312055482">
    <w:abstractNumId w:val="11"/>
  </w:num>
  <w:num w:numId="45" w16cid:durableId="403188701">
    <w:abstractNumId w:val="92"/>
  </w:num>
  <w:num w:numId="46" w16cid:durableId="1549105683">
    <w:abstractNumId w:val="112"/>
  </w:num>
  <w:num w:numId="47" w16cid:durableId="767892507">
    <w:abstractNumId w:val="212"/>
  </w:num>
  <w:num w:numId="48" w16cid:durableId="87462">
    <w:abstractNumId w:val="3"/>
  </w:num>
  <w:num w:numId="49" w16cid:durableId="2045594300">
    <w:abstractNumId w:val="198"/>
  </w:num>
  <w:num w:numId="50" w16cid:durableId="1370227096">
    <w:abstractNumId w:val="0"/>
  </w:num>
  <w:num w:numId="51" w16cid:durableId="1647659091">
    <w:abstractNumId w:val="87"/>
  </w:num>
  <w:num w:numId="52" w16cid:durableId="1164472401">
    <w:abstractNumId w:val="52"/>
  </w:num>
  <w:num w:numId="53" w16cid:durableId="761488709">
    <w:abstractNumId w:val="59"/>
  </w:num>
  <w:num w:numId="54" w16cid:durableId="497693710">
    <w:abstractNumId w:val="209"/>
  </w:num>
  <w:num w:numId="55" w16cid:durableId="64689614">
    <w:abstractNumId w:val="106"/>
  </w:num>
  <w:num w:numId="56" w16cid:durableId="592478094">
    <w:abstractNumId w:val="202"/>
  </w:num>
  <w:num w:numId="57" w16cid:durableId="1352609795">
    <w:abstractNumId w:val="198"/>
  </w:num>
  <w:num w:numId="58" w16cid:durableId="1072581428">
    <w:abstractNumId w:val="198"/>
  </w:num>
  <w:num w:numId="59" w16cid:durableId="1358234269">
    <w:abstractNumId w:val="44"/>
  </w:num>
  <w:num w:numId="60" w16cid:durableId="781537126">
    <w:abstractNumId w:val="188"/>
  </w:num>
  <w:num w:numId="61" w16cid:durableId="784151408">
    <w:abstractNumId w:val="81"/>
  </w:num>
  <w:num w:numId="62" w16cid:durableId="801340820">
    <w:abstractNumId w:val="164"/>
  </w:num>
  <w:num w:numId="63" w16cid:durableId="1563255870">
    <w:abstractNumId w:val="35"/>
  </w:num>
  <w:num w:numId="64" w16cid:durableId="1396779229">
    <w:abstractNumId w:val="143"/>
  </w:num>
  <w:num w:numId="65" w16cid:durableId="1235823542">
    <w:abstractNumId w:val="172"/>
  </w:num>
  <w:num w:numId="66" w16cid:durableId="235286886">
    <w:abstractNumId w:val="67"/>
  </w:num>
  <w:num w:numId="67" w16cid:durableId="149686508">
    <w:abstractNumId w:val="228"/>
  </w:num>
  <w:num w:numId="68" w16cid:durableId="1436560144">
    <w:abstractNumId w:val="21"/>
  </w:num>
  <w:num w:numId="69" w16cid:durableId="224266330">
    <w:abstractNumId w:val="140"/>
  </w:num>
  <w:num w:numId="70" w16cid:durableId="1759985851">
    <w:abstractNumId w:val="96"/>
  </w:num>
  <w:num w:numId="71" w16cid:durableId="655305740">
    <w:abstractNumId w:val="138"/>
  </w:num>
  <w:num w:numId="72" w16cid:durableId="1953784815">
    <w:abstractNumId w:val="58"/>
  </w:num>
  <w:num w:numId="73" w16cid:durableId="1063060502">
    <w:abstractNumId w:val="136"/>
  </w:num>
  <w:num w:numId="74" w16cid:durableId="887687055">
    <w:abstractNumId w:val="165"/>
  </w:num>
  <w:num w:numId="75" w16cid:durableId="1328098960">
    <w:abstractNumId w:val="197"/>
  </w:num>
  <w:num w:numId="76" w16cid:durableId="340662204">
    <w:abstractNumId w:val="62"/>
  </w:num>
  <w:num w:numId="77" w16cid:durableId="200751241">
    <w:abstractNumId w:val="128"/>
  </w:num>
  <w:num w:numId="78" w16cid:durableId="1912307058">
    <w:abstractNumId w:val="154"/>
  </w:num>
  <w:num w:numId="79" w16cid:durableId="280771655">
    <w:abstractNumId w:val="45"/>
  </w:num>
  <w:num w:numId="80" w16cid:durableId="600913025">
    <w:abstractNumId w:val="68"/>
  </w:num>
  <w:num w:numId="81" w16cid:durableId="66196267">
    <w:abstractNumId w:val="161"/>
  </w:num>
  <w:num w:numId="82" w16cid:durableId="1252815622">
    <w:abstractNumId w:val="198"/>
  </w:num>
  <w:num w:numId="83" w16cid:durableId="306472255">
    <w:abstractNumId w:val="198"/>
  </w:num>
  <w:num w:numId="84" w16cid:durableId="1815218691">
    <w:abstractNumId w:val="198"/>
  </w:num>
  <w:num w:numId="85" w16cid:durableId="1972401314">
    <w:abstractNumId w:val="198"/>
  </w:num>
  <w:num w:numId="86" w16cid:durableId="524178791">
    <w:abstractNumId w:val="198"/>
  </w:num>
  <w:num w:numId="87" w16cid:durableId="1394809415">
    <w:abstractNumId w:val="198"/>
  </w:num>
  <w:num w:numId="88" w16cid:durableId="753670502">
    <w:abstractNumId w:val="1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554659514">
    <w:abstractNumId w:val="104"/>
  </w:num>
  <w:num w:numId="90" w16cid:durableId="1586307904">
    <w:abstractNumId w:val="58"/>
  </w:num>
  <w:num w:numId="91" w16cid:durableId="1022121934">
    <w:abstractNumId w:val="198"/>
  </w:num>
  <w:num w:numId="92" w16cid:durableId="164445837">
    <w:abstractNumId w:val="198"/>
  </w:num>
  <w:num w:numId="93" w16cid:durableId="1712150731">
    <w:abstractNumId w:val="58"/>
  </w:num>
  <w:num w:numId="94" w16cid:durableId="1521890392">
    <w:abstractNumId w:val="58"/>
  </w:num>
  <w:num w:numId="95" w16cid:durableId="1666978741">
    <w:abstractNumId w:val="58"/>
  </w:num>
  <w:num w:numId="96" w16cid:durableId="504445378">
    <w:abstractNumId w:val="58"/>
  </w:num>
  <w:num w:numId="97" w16cid:durableId="1401756105">
    <w:abstractNumId w:val="58"/>
  </w:num>
  <w:num w:numId="98" w16cid:durableId="1089352793">
    <w:abstractNumId w:val="58"/>
  </w:num>
  <w:num w:numId="99" w16cid:durableId="512038859">
    <w:abstractNumId w:val="138"/>
  </w:num>
  <w:num w:numId="100" w16cid:durableId="1002976506">
    <w:abstractNumId w:val="58"/>
  </w:num>
  <w:num w:numId="101" w16cid:durableId="1737118690">
    <w:abstractNumId w:val="216"/>
  </w:num>
  <w:num w:numId="102" w16cid:durableId="965963957">
    <w:abstractNumId w:val="79"/>
  </w:num>
  <w:num w:numId="103" w16cid:durableId="1045981385">
    <w:abstractNumId w:val="190"/>
  </w:num>
  <w:num w:numId="104" w16cid:durableId="235239412">
    <w:abstractNumId w:val="207"/>
  </w:num>
  <w:num w:numId="105" w16cid:durableId="27612252">
    <w:abstractNumId w:val="86"/>
  </w:num>
  <w:num w:numId="106" w16cid:durableId="1885869034">
    <w:abstractNumId w:val="17"/>
  </w:num>
  <w:num w:numId="107" w16cid:durableId="437411876">
    <w:abstractNumId w:val="129"/>
  </w:num>
  <w:num w:numId="108" w16cid:durableId="932779888">
    <w:abstractNumId w:val="43"/>
  </w:num>
  <w:num w:numId="109" w16cid:durableId="918908825">
    <w:abstractNumId w:val="194"/>
  </w:num>
  <w:num w:numId="110" w16cid:durableId="1228952286">
    <w:abstractNumId w:val="177"/>
  </w:num>
  <w:num w:numId="111" w16cid:durableId="709190413">
    <w:abstractNumId w:val="48"/>
  </w:num>
  <w:num w:numId="112" w16cid:durableId="1702245047">
    <w:abstractNumId w:val="84"/>
  </w:num>
  <w:num w:numId="113" w16cid:durableId="1720395296">
    <w:abstractNumId w:val="34"/>
  </w:num>
  <w:num w:numId="114" w16cid:durableId="255598172">
    <w:abstractNumId w:val="23"/>
  </w:num>
  <w:num w:numId="115" w16cid:durableId="1856189694">
    <w:abstractNumId w:val="131"/>
  </w:num>
  <w:num w:numId="116" w16cid:durableId="1230920324">
    <w:abstractNumId w:val="25"/>
  </w:num>
  <w:num w:numId="117" w16cid:durableId="1769497626">
    <w:abstractNumId w:val="117"/>
  </w:num>
  <w:num w:numId="118" w16cid:durableId="480923836">
    <w:abstractNumId w:val="73"/>
  </w:num>
  <w:num w:numId="119" w16cid:durableId="1403065333">
    <w:abstractNumId w:val="155"/>
  </w:num>
  <w:num w:numId="120" w16cid:durableId="1856848352">
    <w:abstractNumId w:val="9"/>
  </w:num>
  <w:num w:numId="121" w16cid:durableId="1077825549">
    <w:abstractNumId w:val="215"/>
  </w:num>
  <w:num w:numId="122" w16cid:durableId="754127533">
    <w:abstractNumId w:val="157"/>
  </w:num>
  <w:num w:numId="123" w16cid:durableId="634141794">
    <w:abstractNumId w:val="88"/>
  </w:num>
  <w:num w:numId="124" w16cid:durableId="280458799">
    <w:abstractNumId w:val="20"/>
  </w:num>
  <w:num w:numId="125" w16cid:durableId="1778941127">
    <w:abstractNumId w:val="196"/>
  </w:num>
  <w:num w:numId="126" w16cid:durableId="486750128">
    <w:abstractNumId w:val="150"/>
  </w:num>
  <w:num w:numId="127" w16cid:durableId="2073966515">
    <w:abstractNumId w:val="6"/>
  </w:num>
  <w:num w:numId="128" w16cid:durableId="1942299963">
    <w:abstractNumId w:val="183"/>
  </w:num>
  <w:num w:numId="129" w16cid:durableId="1965842760">
    <w:abstractNumId w:val="94"/>
  </w:num>
  <w:num w:numId="130" w16cid:durableId="1286539998">
    <w:abstractNumId w:val="1"/>
  </w:num>
  <w:num w:numId="131" w16cid:durableId="1847818378">
    <w:abstractNumId w:val="137"/>
  </w:num>
  <w:num w:numId="132" w16cid:durableId="93130671">
    <w:abstractNumId w:val="168"/>
  </w:num>
  <w:num w:numId="133" w16cid:durableId="1810706904">
    <w:abstractNumId w:val="69"/>
  </w:num>
  <w:num w:numId="134" w16cid:durableId="1320308819">
    <w:abstractNumId w:val="74"/>
  </w:num>
  <w:num w:numId="135" w16cid:durableId="1261641079">
    <w:abstractNumId w:val="151"/>
  </w:num>
  <w:num w:numId="136" w16cid:durableId="1700887817">
    <w:abstractNumId w:val="152"/>
  </w:num>
  <w:num w:numId="137" w16cid:durableId="14426047">
    <w:abstractNumId w:val="149"/>
  </w:num>
  <w:num w:numId="138" w16cid:durableId="584920117">
    <w:abstractNumId w:val="2"/>
  </w:num>
  <w:num w:numId="139" w16cid:durableId="2032606189">
    <w:abstractNumId w:val="130"/>
  </w:num>
  <w:num w:numId="140" w16cid:durableId="1257058450">
    <w:abstractNumId w:val="58"/>
  </w:num>
  <w:num w:numId="141" w16cid:durableId="952127267">
    <w:abstractNumId w:val="122"/>
  </w:num>
  <w:num w:numId="142" w16cid:durableId="691996445">
    <w:abstractNumId w:val="58"/>
  </w:num>
  <w:num w:numId="143" w16cid:durableId="1760442225">
    <w:abstractNumId w:val="58"/>
  </w:num>
  <w:num w:numId="144" w16cid:durableId="1903832017">
    <w:abstractNumId w:val="58"/>
  </w:num>
  <w:num w:numId="145" w16cid:durableId="564801983">
    <w:abstractNumId w:val="58"/>
  </w:num>
  <w:num w:numId="146" w16cid:durableId="1844121258">
    <w:abstractNumId w:val="58"/>
  </w:num>
  <w:num w:numId="147" w16cid:durableId="1482310904">
    <w:abstractNumId w:val="58"/>
  </w:num>
  <w:num w:numId="148" w16cid:durableId="757558005">
    <w:abstractNumId w:val="58"/>
  </w:num>
  <w:num w:numId="149" w16cid:durableId="995300664">
    <w:abstractNumId w:val="138"/>
  </w:num>
  <w:num w:numId="150" w16cid:durableId="83499984">
    <w:abstractNumId w:val="138"/>
  </w:num>
  <w:num w:numId="151" w16cid:durableId="1616525727">
    <w:abstractNumId w:val="138"/>
  </w:num>
  <w:num w:numId="152" w16cid:durableId="74016568">
    <w:abstractNumId w:val="58"/>
  </w:num>
  <w:num w:numId="153" w16cid:durableId="390471733">
    <w:abstractNumId w:val="181"/>
  </w:num>
  <w:num w:numId="154" w16cid:durableId="1970817398">
    <w:abstractNumId w:val="219"/>
  </w:num>
  <w:num w:numId="155" w16cid:durableId="1823228135">
    <w:abstractNumId w:val="58"/>
  </w:num>
  <w:num w:numId="156" w16cid:durableId="450588583">
    <w:abstractNumId w:val="58"/>
  </w:num>
  <w:num w:numId="157" w16cid:durableId="1237089920">
    <w:abstractNumId w:val="58"/>
  </w:num>
  <w:num w:numId="158" w16cid:durableId="1138035733">
    <w:abstractNumId w:val="198"/>
  </w:num>
  <w:num w:numId="159" w16cid:durableId="1692684714">
    <w:abstractNumId w:val="58"/>
  </w:num>
  <w:num w:numId="160" w16cid:durableId="1392385747">
    <w:abstractNumId w:val="198"/>
  </w:num>
  <w:num w:numId="161" w16cid:durableId="1796867793">
    <w:abstractNumId w:val="138"/>
  </w:num>
  <w:num w:numId="162" w16cid:durableId="57166585">
    <w:abstractNumId w:val="58"/>
  </w:num>
  <w:num w:numId="163" w16cid:durableId="1527212293">
    <w:abstractNumId w:val="58"/>
  </w:num>
  <w:num w:numId="164" w16cid:durableId="778525876">
    <w:abstractNumId w:val="145"/>
  </w:num>
  <w:num w:numId="165" w16cid:durableId="44569457">
    <w:abstractNumId w:val="40"/>
  </w:num>
  <w:num w:numId="166" w16cid:durableId="132911494">
    <w:abstractNumId w:val="55"/>
  </w:num>
  <w:num w:numId="167" w16cid:durableId="608243112">
    <w:abstractNumId w:val="163"/>
  </w:num>
  <w:num w:numId="168" w16cid:durableId="1370954214">
    <w:abstractNumId w:val="76"/>
  </w:num>
  <w:num w:numId="169" w16cid:durableId="53628031">
    <w:abstractNumId w:val="115"/>
  </w:num>
  <w:num w:numId="170" w16cid:durableId="306907268">
    <w:abstractNumId w:val="211"/>
  </w:num>
  <w:num w:numId="171" w16cid:durableId="1820416327">
    <w:abstractNumId w:val="58"/>
  </w:num>
  <w:num w:numId="172" w16cid:durableId="1412696025">
    <w:abstractNumId w:val="58"/>
  </w:num>
  <w:num w:numId="173" w16cid:durableId="643004259">
    <w:abstractNumId w:val="198"/>
  </w:num>
  <w:num w:numId="174" w16cid:durableId="1220022310">
    <w:abstractNumId w:val="162"/>
  </w:num>
  <w:num w:numId="175" w16cid:durableId="1912503136">
    <w:abstractNumId w:val="27"/>
  </w:num>
  <w:num w:numId="176" w16cid:durableId="812791560">
    <w:abstractNumId w:val="58"/>
  </w:num>
  <w:num w:numId="177" w16cid:durableId="336225810">
    <w:abstractNumId w:val="58"/>
  </w:num>
  <w:num w:numId="178" w16cid:durableId="1421368290">
    <w:abstractNumId w:val="198"/>
  </w:num>
  <w:num w:numId="179" w16cid:durableId="928388474">
    <w:abstractNumId w:val="198"/>
  </w:num>
  <w:num w:numId="180" w16cid:durableId="1365902821">
    <w:abstractNumId w:val="61"/>
  </w:num>
  <w:num w:numId="181" w16cid:durableId="1554345429">
    <w:abstractNumId w:val="18"/>
  </w:num>
  <w:num w:numId="182" w16cid:durableId="1936670609">
    <w:abstractNumId w:val="12"/>
  </w:num>
  <w:num w:numId="183" w16cid:durableId="310141272">
    <w:abstractNumId w:val="16"/>
  </w:num>
  <w:num w:numId="184" w16cid:durableId="36585631">
    <w:abstractNumId w:val="72"/>
  </w:num>
  <w:num w:numId="185" w16cid:durableId="563685124">
    <w:abstractNumId w:val="170"/>
  </w:num>
  <w:num w:numId="186" w16cid:durableId="2108885988">
    <w:abstractNumId w:val="58"/>
  </w:num>
  <w:num w:numId="187" w16cid:durableId="1410885784">
    <w:abstractNumId w:val="206"/>
  </w:num>
  <w:num w:numId="188" w16cid:durableId="1687245458">
    <w:abstractNumId w:val="50"/>
  </w:num>
  <w:num w:numId="189" w16cid:durableId="818839511">
    <w:abstractNumId w:val="201"/>
  </w:num>
  <w:num w:numId="190" w16cid:durableId="1306662340">
    <w:abstractNumId w:val="158"/>
  </w:num>
  <w:num w:numId="191" w16cid:durableId="1763408331">
    <w:abstractNumId w:val="58"/>
  </w:num>
  <w:num w:numId="192" w16cid:durableId="1037462015">
    <w:abstractNumId w:val="70"/>
  </w:num>
  <w:num w:numId="193" w16cid:durableId="931665203">
    <w:abstractNumId w:val="110"/>
  </w:num>
  <w:num w:numId="194" w16cid:durableId="32774021">
    <w:abstractNumId w:val="180"/>
  </w:num>
  <w:num w:numId="195" w16cid:durableId="1331980600">
    <w:abstractNumId w:val="58"/>
  </w:num>
  <w:num w:numId="196" w16cid:durableId="1711613578">
    <w:abstractNumId w:val="58"/>
  </w:num>
  <w:num w:numId="197" w16cid:durableId="626010350">
    <w:abstractNumId w:val="58"/>
  </w:num>
  <w:num w:numId="198" w16cid:durableId="786513058">
    <w:abstractNumId w:val="58"/>
  </w:num>
  <w:num w:numId="199" w16cid:durableId="1887989977">
    <w:abstractNumId w:val="58"/>
  </w:num>
  <w:num w:numId="200" w16cid:durableId="1870528583">
    <w:abstractNumId w:val="220"/>
  </w:num>
  <w:num w:numId="201" w16cid:durableId="615019939">
    <w:abstractNumId w:val="113"/>
  </w:num>
  <w:num w:numId="202" w16cid:durableId="333073689">
    <w:abstractNumId w:val="31"/>
  </w:num>
  <w:num w:numId="203" w16cid:durableId="1609310789">
    <w:abstractNumId w:val="58"/>
  </w:num>
  <w:num w:numId="204" w16cid:durableId="899369615">
    <w:abstractNumId w:val="58"/>
  </w:num>
  <w:num w:numId="205" w16cid:durableId="745417072">
    <w:abstractNumId w:val="58"/>
  </w:num>
  <w:num w:numId="206" w16cid:durableId="657269407">
    <w:abstractNumId w:val="89"/>
  </w:num>
  <w:num w:numId="207" w16cid:durableId="1846246453">
    <w:abstractNumId w:val="14"/>
  </w:num>
  <w:num w:numId="208" w16cid:durableId="802043788">
    <w:abstractNumId w:val="123"/>
  </w:num>
  <w:num w:numId="209" w16cid:durableId="1913924776">
    <w:abstractNumId w:val="142"/>
  </w:num>
  <w:num w:numId="210" w16cid:durableId="1783068803">
    <w:abstractNumId w:val="217"/>
  </w:num>
  <w:num w:numId="211" w16cid:durableId="1431584483">
    <w:abstractNumId w:val="191"/>
  </w:num>
  <w:num w:numId="212" w16cid:durableId="22707032">
    <w:abstractNumId w:val="184"/>
  </w:num>
  <w:num w:numId="213" w16cid:durableId="611322235">
    <w:abstractNumId w:val="156"/>
  </w:num>
  <w:num w:numId="214" w16cid:durableId="1141073981">
    <w:abstractNumId w:val="98"/>
  </w:num>
  <w:num w:numId="215" w16cid:durableId="2110736803">
    <w:abstractNumId w:val="103"/>
  </w:num>
  <w:num w:numId="216" w16cid:durableId="1312516491">
    <w:abstractNumId w:val="103"/>
    <w:lvlOverride w:ilvl="0">
      <w:lvl w:ilvl="0" w:tplc="0809001B">
        <w:start w:val="1"/>
        <w:numFmt w:val="lowerRoman"/>
        <w:lvlText w:val="%1."/>
        <w:lvlJc w:val="right"/>
        <w:pPr>
          <w:ind w:left="1800" w:hanging="360"/>
        </w:pPr>
        <w:rPr>
          <w:rFonts w:hint="default"/>
        </w:rPr>
      </w:lvl>
    </w:lvlOverride>
    <w:lvlOverride w:ilvl="1">
      <w:lvl w:ilvl="1" w:tplc="08090019" w:tentative="1">
        <w:start w:val="1"/>
        <w:numFmt w:val="lowerLetter"/>
        <w:lvlText w:val="%2."/>
        <w:lvlJc w:val="left"/>
        <w:pPr>
          <w:ind w:left="1440" w:hanging="360"/>
        </w:pPr>
      </w:lvl>
    </w:lvlOverride>
    <w:lvlOverride w:ilvl="2">
      <w:lvl w:ilvl="2" w:tplc="0809001B" w:tentative="1">
        <w:start w:val="1"/>
        <w:numFmt w:val="lowerRoman"/>
        <w:lvlText w:val="%3."/>
        <w:lvlJc w:val="right"/>
        <w:pPr>
          <w:ind w:left="2160" w:hanging="180"/>
        </w:pPr>
      </w:lvl>
    </w:lvlOverride>
    <w:lvlOverride w:ilvl="3">
      <w:lvl w:ilvl="3" w:tplc="0809000F" w:tentative="1">
        <w:start w:val="1"/>
        <w:numFmt w:val="decimal"/>
        <w:lvlText w:val="%4."/>
        <w:lvlJc w:val="left"/>
        <w:pPr>
          <w:ind w:left="2880" w:hanging="360"/>
        </w:pPr>
      </w:lvl>
    </w:lvlOverride>
    <w:lvlOverride w:ilvl="4">
      <w:lvl w:ilvl="4" w:tplc="08090019" w:tentative="1">
        <w:start w:val="1"/>
        <w:numFmt w:val="lowerLetter"/>
        <w:lvlText w:val="%5."/>
        <w:lvlJc w:val="left"/>
        <w:pPr>
          <w:ind w:left="3600" w:hanging="360"/>
        </w:pPr>
      </w:lvl>
    </w:lvlOverride>
    <w:lvlOverride w:ilvl="5">
      <w:lvl w:ilvl="5" w:tplc="0809001B" w:tentative="1">
        <w:start w:val="1"/>
        <w:numFmt w:val="lowerRoman"/>
        <w:lvlText w:val="%6."/>
        <w:lvlJc w:val="right"/>
        <w:pPr>
          <w:ind w:left="4320" w:hanging="180"/>
        </w:pPr>
      </w:lvl>
    </w:lvlOverride>
    <w:lvlOverride w:ilvl="6">
      <w:lvl w:ilvl="6" w:tplc="0809000F" w:tentative="1">
        <w:start w:val="1"/>
        <w:numFmt w:val="decimal"/>
        <w:lvlText w:val="%7."/>
        <w:lvlJc w:val="left"/>
        <w:pPr>
          <w:ind w:left="5040" w:hanging="360"/>
        </w:pPr>
      </w:lvl>
    </w:lvlOverride>
    <w:lvlOverride w:ilvl="7">
      <w:lvl w:ilvl="7" w:tplc="08090019" w:tentative="1">
        <w:start w:val="1"/>
        <w:numFmt w:val="lowerLetter"/>
        <w:lvlText w:val="%8."/>
        <w:lvlJc w:val="left"/>
        <w:pPr>
          <w:ind w:left="5760" w:hanging="360"/>
        </w:pPr>
      </w:lvl>
    </w:lvlOverride>
    <w:lvlOverride w:ilvl="8">
      <w:lvl w:ilvl="8" w:tplc="0809001B" w:tentative="1">
        <w:start w:val="1"/>
        <w:numFmt w:val="lowerRoman"/>
        <w:lvlText w:val="%9."/>
        <w:lvlJc w:val="right"/>
        <w:pPr>
          <w:ind w:left="6480" w:hanging="180"/>
        </w:pPr>
      </w:lvl>
    </w:lvlOverride>
  </w:num>
  <w:num w:numId="217" w16cid:durableId="1506751699">
    <w:abstractNumId w:val="5"/>
  </w:num>
  <w:num w:numId="218" w16cid:durableId="233586123">
    <w:abstractNumId w:val="119"/>
  </w:num>
  <w:num w:numId="219" w16cid:durableId="916287734">
    <w:abstractNumId w:val="218"/>
  </w:num>
  <w:num w:numId="220" w16cid:durableId="53551785">
    <w:abstractNumId w:val="19"/>
  </w:num>
  <w:num w:numId="221" w16cid:durableId="595789817">
    <w:abstractNumId w:val="221"/>
  </w:num>
  <w:num w:numId="222" w16cid:durableId="1862275999">
    <w:abstractNumId w:val="223"/>
  </w:num>
  <w:num w:numId="223" w16cid:durableId="42339731">
    <w:abstractNumId w:val="39"/>
  </w:num>
  <w:num w:numId="224" w16cid:durableId="608901995">
    <w:abstractNumId w:val="182"/>
  </w:num>
  <w:num w:numId="225" w16cid:durableId="162933906">
    <w:abstractNumId w:val="65"/>
  </w:num>
  <w:num w:numId="226" w16cid:durableId="2122214931">
    <w:abstractNumId w:val="58"/>
  </w:num>
  <w:num w:numId="227" w16cid:durableId="1038552460">
    <w:abstractNumId w:val="77"/>
  </w:num>
  <w:num w:numId="228" w16cid:durableId="185993983">
    <w:abstractNumId w:val="80"/>
  </w:num>
  <w:num w:numId="229" w16cid:durableId="518082519">
    <w:abstractNumId w:val="109"/>
  </w:num>
  <w:num w:numId="230" w16cid:durableId="972557401">
    <w:abstractNumId w:val="107"/>
  </w:num>
  <w:num w:numId="231" w16cid:durableId="2038385990">
    <w:abstractNumId w:val="82"/>
  </w:num>
  <w:num w:numId="232" w16cid:durableId="1064373314">
    <w:abstractNumId w:val="102"/>
  </w:num>
  <w:num w:numId="233" w16cid:durableId="1110861397">
    <w:abstractNumId w:val="171"/>
  </w:num>
  <w:num w:numId="234" w16cid:durableId="133527564">
    <w:abstractNumId w:val="32"/>
  </w:num>
  <w:num w:numId="235" w16cid:durableId="1757903338">
    <w:abstractNumId w:val="118"/>
  </w:num>
  <w:num w:numId="236" w16cid:durableId="714041211">
    <w:abstractNumId w:val="199"/>
  </w:num>
  <w:num w:numId="237" w16cid:durableId="2009864590">
    <w:abstractNumId w:val="66"/>
  </w:num>
  <w:num w:numId="238" w16cid:durableId="1319967322">
    <w:abstractNumId w:val="146"/>
  </w:num>
  <w:num w:numId="239" w16cid:durableId="1876768559">
    <w:abstractNumId w:val="178"/>
  </w:num>
  <w:num w:numId="240" w16cid:durableId="598757408">
    <w:abstractNumId w:val="22"/>
  </w:num>
  <w:num w:numId="241" w16cid:durableId="979310245">
    <w:abstractNumId w:val="175"/>
  </w:num>
  <w:num w:numId="242" w16cid:durableId="1426070389">
    <w:abstractNumId w:val="91"/>
  </w:num>
  <w:num w:numId="243" w16cid:durableId="1398168769">
    <w:abstractNumId w:val="186"/>
  </w:num>
  <w:num w:numId="244" w16cid:durableId="811606327">
    <w:abstractNumId w:val="192"/>
  </w:num>
  <w:num w:numId="245" w16cid:durableId="353269314">
    <w:abstractNumId w:val="85"/>
  </w:num>
  <w:num w:numId="246" w16cid:durableId="1935627958">
    <w:abstractNumId w:val="121"/>
  </w:num>
  <w:num w:numId="247" w16cid:durableId="1530751473">
    <w:abstractNumId w:val="78"/>
  </w:num>
  <w:num w:numId="248" w16cid:durableId="1642150198">
    <w:abstractNumId w:val="167"/>
  </w:num>
  <w:num w:numId="249" w16cid:durableId="2146581200">
    <w:abstractNumId w:val="166"/>
  </w:num>
  <w:num w:numId="250" w16cid:durableId="215745799">
    <w:abstractNumId w:val="144"/>
  </w:num>
  <w:num w:numId="251" w16cid:durableId="1144587840">
    <w:abstractNumId w:val="33"/>
  </w:num>
  <w:num w:numId="252" w16cid:durableId="1922831250">
    <w:abstractNumId w:val="92"/>
  </w:num>
  <w:num w:numId="253" w16cid:durableId="2064525055">
    <w:abstractNumId w:val="92"/>
  </w:num>
  <w:num w:numId="254" w16cid:durableId="652561952">
    <w:abstractNumId w:val="92"/>
  </w:num>
  <w:num w:numId="255" w16cid:durableId="1510951242">
    <w:abstractNumId w:val="132"/>
  </w:num>
  <w:num w:numId="256" w16cid:durableId="1201895172">
    <w:abstractNumId w:val="179"/>
  </w:num>
  <w:num w:numId="257" w16cid:durableId="109864429">
    <w:abstractNumId w:val="169"/>
  </w:num>
  <w:num w:numId="258" w16cid:durableId="1309939234">
    <w:abstractNumId w:val="198"/>
    <w:lvlOverride w:ilvl="0">
      <w:startOverride w:val="2"/>
    </w:lvlOverride>
    <w:lvlOverride w:ilvl="1">
      <w:startOverride w:val="17"/>
    </w:lvlOverride>
    <w:lvlOverride w:ilvl="2">
      <w:startOverride w:val="2"/>
    </w:lvlOverride>
    <w:lvlOverride w:ilvl="3">
      <w:startOverride w:val="1"/>
    </w:lvlOverride>
    <w:lvlOverride w:ilvl="4">
      <w:startOverride w:val="43"/>
    </w:lvlOverride>
    <w:lvlOverride w:ilvl="5">
      <w:startOverride w:val="1"/>
    </w:lvlOverride>
    <w:lvlOverride w:ilvl="6">
      <w:startOverride w:val="1"/>
    </w:lvlOverride>
    <w:lvlOverride w:ilvl="7">
      <w:startOverride w:val="1"/>
    </w:lvlOverride>
    <w:lvlOverride w:ilvl="8">
      <w:startOverride w:val="1"/>
    </w:lvlOverride>
  </w:num>
  <w:num w:numId="259" w16cid:durableId="502473448">
    <w:abstractNumId w:val="198"/>
    <w:lvlOverride w:ilvl="0">
      <w:startOverride w:val="2"/>
    </w:lvlOverride>
    <w:lvlOverride w:ilvl="1">
      <w:startOverride w:val="17"/>
    </w:lvlOverride>
    <w:lvlOverride w:ilvl="2">
      <w:startOverride w:val="2"/>
    </w:lvlOverride>
    <w:lvlOverride w:ilvl="3">
      <w:startOverride w:val="1"/>
    </w:lvlOverride>
    <w:lvlOverride w:ilvl="4">
      <w:startOverride w:val="43"/>
    </w:lvlOverride>
    <w:lvlOverride w:ilvl="5">
      <w:startOverride w:val="1"/>
    </w:lvlOverride>
    <w:lvlOverride w:ilvl="6">
      <w:startOverride w:val="1"/>
    </w:lvlOverride>
    <w:lvlOverride w:ilvl="7">
      <w:startOverride w:val="1"/>
    </w:lvlOverride>
    <w:lvlOverride w:ilvl="8">
      <w:startOverride w:val="1"/>
    </w:lvlOverride>
  </w:num>
  <w:num w:numId="260" w16cid:durableId="1679846067">
    <w:abstractNumId w:val="198"/>
  </w:num>
  <w:num w:numId="261" w16cid:durableId="1606380466">
    <w:abstractNumId w:val="1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2" w16cid:durableId="159004348">
    <w:abstractNumId w:val="225"/>
  </w:num>
  <w:num w:numId="263" w16cid:durableId="298649542">
    <w:abstractNumId w:val="28"/>
  </w:num>
  <w:num w:numId="264" w16cid:durableId="1995836472">
    <w:abstractNumId w:val="46"/>
  </w:num>
  <w:num w:numId="265" w16cid:durableId="418798377">
    <w:abstractNumId w:val="26"/>
  </w:num>
  <w:num w:numId="266" w16cid:durableId="174926766">
    <w:abstractNumId w:val="90"/>
  </w:num>
  <w:num w:numId="267" w16cid:durableId="954945208">
    <w:abstractNumId w:val="124"/>
  </w:num>
  <w:num w:numId="268" w16cid:durableId="888614222">
    <w:abstractNumId w:val="10"/>
  </w:num>
  <w:num w:numId="269" w16cid:durableId="1366440764">
    <w:abstractNumId w:val="30"/>
  </w:num>
  <w:num w:numId="270" w16cid:durableId="512961180">
    <w:abstractNumId w:val="7"/>
  </w:num>
  <w:num w:numId="271" w16cid:durableId="591281226">
    <w:abstractNumId w:val="141"/>
  </w:num>
  <w:num w:numId="272" w16cid:durableId="848713473">
    <w:abstractNumId w:val="159"/>
  </w:num>
  <w:num w:numId="273" w16cid:durableId="499660560">
    <w:abstractNumId w:val="214"/>
  </w:num>
  <w:num w:numId="274" w16cid:durableId="1930578262">
    <w:abstractNumId w:val="49"/>
  </w:num>
  <w:num w:numId="275" w16cid:durableId="894269104">
    <w:abstractNumId w:val="147"/>
  </w:num>
  <w:num w:numId="276" w16cid:durableId="1284577574">
    <w:abstractNumId w:val="125"/>
  </w:num>
  <w:num w:numId="277" w16cid:durableId="589656717">
    <w:abstractNumId w:val="231"/>
  </w:num>
  <w:num w:numId="278" w16cid:durableId="616373926">
    <w:abstractNumId w:val="51"/>
  </w:num>
  <w:num w:numId="279" w16cid:durableId="436829786">
    <w:abstractNumId w:val="193"/>
  </w:num>
  <w:num w:numId="280" w16cid:durableId="987976900">
    <w:abstractNumId w:val="41"/>
  </w:num>
  <w:num w:numId="281" w16cid:durableId="488133779">
    <w:abstractNumId w:val="8"/>
  </w:num>
  <w:num w:numId="282" w16cid:durableId="540676342">
    <w:abstractNumId w:val="222"/>
  </w:num>
  <w:num w:numId="283" w16cid:durableId="1813522530">
    <w:abstractNumId w:val="213"/>
  </w:num>
  <w:num w:numId="284" w16cid:durableId="1195339387">
    <w:abstractNumId w:val="105"/>
  </w:num>
  <w:num w:numId="285" w16cid:durableId="690423601">
    <w:abstractNumId w:val="53"/>
  </w:num>
  <w:num w:numId="286" w16cid:durableId="2027827043">
    <w:abstractNumId w:val="57"/>
  </w:num>
  <w:num w:numId="287" w16cid:durableId="566575354">
    <w:abstractNumId w:val="120"/>
  </w:num>
  <w:num w:numId="288" w16cid:durableId="1383408846">
    <w:abstractNumId w:val="114"/>
  </w:num>
  <w:num w:numId="289" w16cid:durableId="411659411">
    <w:abstractNumId w:val="108"/>
  </w:num>
  <w:num w:numId="290" w16cid:durableId="1957977638">
    <w:abstractNumId w:val="60"/>
  </w:num>
  <w:num w:numId="291" w16cid:durableId="1751386735">
    <w:abstractNumId w:val="134"/>
  </w:num>
  <w:num w:numId="292" w16cid:durableId="1396663314">
    <w:abstractNumId w:val="200"/>
  </w:num>
  <w:num w:numId="293" w16cid:durableId="252319778">
    <w:abstractNumId w:val="185"/>
  </w:num>
  <w:num w:numId="294" w16cid:durableId="1437795604">
    <w:abstractNumId w:val="189"/>
  </w:num>
  <w:num w:numId="295" w16cid:durableId="679085209">
    <w:abstractNumId w:val="71"/>
  </w:num>
  <w:num w:numId="296" w16cid:durableId="2112118546">
    <w:abstractNumId w:val="204"/>
  </w:num>
  <w:num w:numId="297" w16cid:durableId="2036809290">
    <w:abstractNumId w:val="99"/>
  </w:num>
  <w:num w:numId="298" w16cid:durableId="1135216362">
    <w:abstractNumId w:val="195"/>
  </w:num>
  <w:num w:numId="299" w16cid:durableId="1685211058">
    <w:abstractNumId w:val="126"/>
  </w:num>
  <w:num w:numId="300" w16cid:durableId="789476050">
    <w:abstractNumId w:val="150"/>
    <w:lvlOverride w:ilvl="0"/>
    <w:lvlOverride w:ilvl="1">
      <w:startOverride w:val="1"/>
    </w:lvlOverride>
    <w:lvlOverride w:ilvl="2"/>
    <w:lvlOverride w:ilvl="3"/>
    <w:lvlOverride w:ilvl="4"/>
    <w:lvlOverride w:ilvl="5"/>
    <w:lvlOverride w:ilvl="6"/>
    <w:lvlOverride w:ilvl="7"/>
    <w:lvlOverride w:ilvl="8"/>
  </w:num>
  <w:num w:numId="301" w16cid:durableId="906502484">
    <w:abstractNumId w:val="9"/>
    <w:lvlOverride w:ilvl="0"/>
    <w:lvlOverride w:ilvl="1">
      <w:startOverride w:val="1"/>
    </w:lvlOverride>
    <w:lvlOverride w:ilvl="2"/>
    <w:lvlOverride w:ilvl="3"/>
    <w:lvlOverride w:ilvl="4"/>
    <w:lvlOverride w:ilvl="5"/>
    <w:lvlOverride w:ilvl="6"/>
    <w:lvlOverride w:ilvl="7"/>
    <w:lvlOverride w:ilvl="8"/>
  </w:num>
  <w:numIdMacAtCleanup w:val="29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FF75025F"/>
  </w:docVars>
  <w:rsids>
    <w:rsidRoot w:val="00CC0A94"/>
    <w:rsid w:val="00001922"/>
    <w:rsid w:val="00002E32"/>
    <w:rsid w:val="00005B33"/>
    <w:rsid w:val="00012EF3"/>
    <w:rsid w:val="0003338C"/>
    <w:rsid w:val="00052532"/>
    <w:rsid w:val="0007729C"/>
    <w:rsid w:val="00081A0B"/>
    <w:rsid w:val="00084FEA"/>
    <w:rsid w:val="00086C16"/>
    <w:rsid w:val="00095408"/>
    <w:rsid w:val="00096E2F"/>
    <w:rsid w:val="000B3ECD"/>
    <w:rsid w:val="000B45B0"/>
    <w:rsid w:val="000C0E67"/>
    <w:rsid w:val="000C51EB"/>
    <w:rsid w:val="000D2CC5"/>
    <w:rsid w:val="000D7090"/>
    <w:rsid w:val="000E083F"/>
    <w:rsid w:val="000E50C4"/>
    <w:rsid w:val="00124735"/>
    <w:rsid w:val="001310BC"/>
    <w:rsid w:val="00151BE4"/>
    <w:rsid w:val="0016454D"/>
    <w:rsid w:val="00164AB4"/>
    <w:rsid w:val="001767FA"/>
    <w:rsid w:val="00181496"/>
    <w:rsid w:val="00191356"/>
    <w:rsid w:val="00194B9D"/>
    <w:rsid w:val="001B0D4C"/>
    <w:rsid w:val="001B3099"/>
    <w:rsid w:val="001B542E"/>
    <w:rsid w:val="001D45AF"/>
    <w:rsid w:val="001D771D"/>
    <w:rsid w:val="001E0B2B"/>
    <w:rsid w:val="001E11D9"/>
    <w:rsid w:val="001F0302"/>
    <w:rsid w:val="001F0311"/>
    <w:rsid w:val="00200EED"/>
    <w:rsid w:val="00202CEF"/>
    <w:rsid w:val="00202F1E"/>
    <w:rsid w:val="00204A18"/>
    <w:rsid w:val="00231332"/>
    <w:rsid w:val="00235437"/>
    <w:rsid w:val="00235542"/>
    <w:rsid w:val="002415F5"/>
    <w:rsid w:val="002421B0"/>
    <w:rsid w:val="00247EF6"/>
    <w:rsid w:val="002519F3"/>
    <w:rsid w:val="00252ECE"/>
    <w:rsid w:val="00283DC8"/>
    <w:rsid w:val="002857B4"/>
    <w:rsid w:val="002872FC"/>
    <w:rsid w:val="00295C4A"/>
    <w:rsid w:val="002A1DEF"/>
    <w:rsid w:val="002B3A04"/>
    <w:rsid w:val="002B58C1"/>
    <w:rsid w:val="002C351F"/>
    <w:rsid w:val="002C4F63"/>
    <w:rsid w:val="002C5CD1"/>
    <w:rsid w:val="002D6061"/>
    <w:rsid w:val="002F61BB"/>
    <w:rsid w:val="00304D62"/>
    <w:rsid w:val="003139A0"/>
    <w:rsid w:val="0032366B"/>
    <w:rsid w:val="0032589B"/>
    <w:rsid w:val="00346701"/>
    <w:rsid w:val="0036700A"/>
    <w:rsid w:val="00370AFA"/>
    <w:rsid w:val="00376C55"/>
    <w:rsid w:val="003932C1"/>
    <w:rsid w:val="00393D7F"/>
    <w:rsid w:val="003A172A"/>
    <w:rsid w:val="003E102B"/>
    <w:rsid w:val="003E4C28"/>
    <w:rsid w:val="003F79E6"/>
    <w:rsid w:val="00400683"/>
    <w:rsid w:val="00401B63"/>
    <w:rsid w:val="00402CDD"/>
    <w:rsid w:val="00417791"/>
    <w:rsid w:val="00425EF9"/>
    <w:rsid w:val="00434529"/>
    <w:rsid w:val="004559DD"/>
    <w:rsid w:val="0046145A"/>
    <w:rsid w:val="00474B54"/>
    <w:rsid w:val="00475F09"/>
    <w:rsid w:val="004778B3"/>
    <w:rsid w:val="00483AA9"/>
    <w:rsid w:val="004949AC"/>
    <w:rsid w:val="00496767"/>
    <w:rsid w:val="004A4C35"/>
    <w:rsid w:val="004B5F95"/>
    <w:rsid w:val="004B735F"/>
    <w:rsid w:val="004C3C09"/>
    <w:rsid w:val="004E1A73"/>
    <w:rsid w:val="004E372E"/>
    <w:rsid w:val="005020C0"/>
    <w:rsid w:val="0050242D"/>
    <w:rsid w:val="00531F46"/>
    <w:rsid w:val="005327AD"/>
    <w:rsid w:val="00541BD5"/>
    <w:rsid w:val="00542AEB"/>
    <w:rsid w:val="00555315"/>
    <w:rsid w:val="0055797C"/>
    <w:rsid w:val="00562C7C"/>
    <w:rsid w:val="00574F6D"/>
    <w:rsid w:val="00577491"/>
    <w:rsid w:val="0058353F"/>
    <w:rsid w:val="00584116"/>
    <w:rsid w:val="00591328"/>
    <w:rsid w:val="005A126D"/>
    <w:rsid w:val="005B2566"/>
    <w:rsid w:val="005C73DC"/>
    <w:rsid w:val="005D3243"/>
    <w:rsid w:val="005E4C5E"/>
    <w:rsid w:val="005F7477"/>
    <w:rsid w:val="006277CC"/>
    <w:rsid w:val="00632077"/>
    <w:rsid w:val="00642CE2"/>
    <w:rsid w:val="00651C2B"/>
    <w:rsid w:val="00670C83"/>
    <w:rsid w:val="00681B11"/>
    <w:rsid w:val="006827D4"/>
    <w:rsid w:val="006912B4"/>
    <w:rsid w:val="00695A00"/>
    <w:rsid w:val="00696584"/>
    <w:rsid w:val="006A352F"/>
    <w:rsid w:val="006C1571"/>
    <w:rsid w:val="006C57D3"/>
    <w:rsid w:val="006C5E0F"/>
    <w:rsid w:val="006C5EF9"/>
    <w:rsid w:val="006E1646"/>
    <w:rsid w:val="006F00E1"/>
    <w:rsid w:val="006F02B1"/>
    <w:rsid w:val="006F7CBC"/>
    <w:rsid w:val="00725BF8"/>
    <w:rsid w:val="00730DE1"/>
    <w:rsid w:val="00737DF9"/>
    <w:rsid w:val="00783C45"/>
    <w:rsid w:val="00785F50"/>
    <w:rsid w:val="00793939"/>
    <w:rsid w:val="007956E0"/>
    <w:rsid w:val="007B0136"/>
    <w:rsid w:val="007C03B1"/>
    <w:rsid w:val="007C64F6"/>
    <w:rsid w:val="007E4726"/>
    <w:rsid w:val="008029DD"/>
    <w:rsid w:val="00821FB1"/>
    <w:rsid w:val="00825546"/>
    <w:rsid w:val="00855E4E"/>
    <w:rsid w:val="00875E09"/>
    <w:rsid w:val="008777A7"/>
    <w:rsid w:val="008827A2"/>
    <w:rsid w:val="00884A0A"/>
    <w:rsid w:val="00887021"/>
    <w:rsid w:val="008959FF"/>
    <w:rsid w:val="00896925"/>
    <w:rsid w:val="008A017A"/>
    <w:rsid w:val="008A0689"/>
    <w:rsid w:val="008A0CAD"/>
    <w:rsid w:val="008A683F"/>
    <w:rsid w:val="008B0FBE"/>
    <w:rsid w:val="008B4771"/>
    <w:rsid w:val="008C6287"/>
    <w:rsid w:val="008D2A6E"/>
    <w:rsid w:val="008D3FCE"/>
    <w:rsid w:val="008E5478"/>
    <w:rsid w:val="00904640"/>
    <w:rsid w:val="00911BEF"/>
    <w:rsid w:val="0092703F"/>
    <w:rsid w:val="009275AB"/>
    <w:rsid w:val="00942CB0"/>
    <w:rsid w:val="00956AFD"/>
    <w:rsid w:val="009825D6"/>
    <w:rsid w:val="00982EC9"/>
    <w:rsid w:val="0098354D"/>
    <w:rsid w:val="00990404"/>
    <w:rsid w:val="009907F3"/>
    <w:rsid w:val="009A5C0C"/>
    <w:rsid w:val="009B5BE4"/>
    <w:rsid w:val="009B7AA0"/>
    <w:rsid w:val="009C5DF9"/>
    <w:rsid w:val="009E5123"/>
    <w:rsid w:val="009F3EBB"/>
    <w:rsid w:val="009F5B93"/>
    <w:rsid w:val="00A22012"/>
    <w:rsid w:val="00A23095"/>
    <w:rsid w:val="00A23AD2"/>
    <w:rsid w:val="00A23F4B"/>
    <w:rsid w:val="00A4142A"/>
    <w:rsid w:val="00A5354C"/>
    <w:rsid w:val="00A55292"/>
    <w:rsid w:val="00A945A8"/>
    <w:rsid w:val="00A953AC"/>
    <w:rsid w:val="00A968A9"/>
    <w:rsid w:val="00AA0791"/>
    <w:rsid w:val="00AB3A47"/>
    <w:rsid w:val="00AB5152"/>
    <w:rsid w:val="00AB7545"/>
    <w:rsid w:val="00AD694F"/>
    <w:rsid w:val="00AE1EA2"/>
    <w:rsid w:val="00AE4741"/>
    <w:rsid w:val="00AE75AC"/>
    <w:rsid w:val="00AE774B"/>
    <w:rsid w:val="00B11DF8"/>
    <w:rsid w:val="00B232AE"/>
    <w:rsid w:val="00B549AA"/>
    <w:rsid w:val="00B72EA2"/>
    <w:rsid w:val="00B82609"/>
    <w:rsid w:val="00B9253F"/>
    <w:rsid w:val="00BA0E3F"/>
    <w:rsid w:val="00BB7638"/>
    <w:rsid w:val="00BC2A0D"/>
    <w:rsid w:val="00BC4FE7"/>
    <w:rsid w:val="00BD3768"/>
    <w:rsid w:val="00BDE510"/>
    <w:rsid w:val="00BF7349"/>
    <w:rsid w:val="00C16DB1"/>
    <w:rsid w:val="00C175F1"/>
    <w:rsid w:val="00C22F1A"/>
    <w:rsid w:val="00C27BAD"/>
    <w:rsid w:val="00C34ACF"/>
    <w:rsid w:val="00C37F49"/>
    <w:rsid w:val="00C4259E"/>
    <w:rsid w:val="00C5754B"/>
    <w:rsid w:val="00C718D3"/>
    <w:rsid w:val="00C937F1"/>
    <w:rsid w:val="00C94070"/>
    <w:rsid w:val="00CA03F1"/>
    <w:rsid w:val="00CC0A94"/>
    <w:rsid w:val="00CC359C"/>
    <w:rsid w:val="00CC6EA5"/>
    <w:rsid w:val="00CD34A6"/>
    <w:rsid w:val="00CE06F0"/>
    <w:rsid w:val="00CE138C"/>
    <w:rsid w:val="00CE3C84"/>
    <w:rsid w:val="00CE7459"/>
    <w:rsid w:val="00CF774B"/>
    <w:rsid w:val="00D1158C"/>
    <w:rsid w:val="00D31247"/>
    <w:rsid w:val="00D34E5E"/>
    <w:rsid w:val="00D3698C"/>
    <w:rsid w:val="00D45B99"/>
    <w:rsid w:val="00D609F8"/>
    <w:rsid w:val="00D614E0"/>
    <w:rsid w:val="00D641C3"/>
    <w:rsid w:val="00D86983"/>
    <w:rsid w:val="00D87DFB"/>
    <w:rsid w:val="00D913E7"/>
    <w:rsid w:val="00D91C51"/>
    <w:rsid w:val="00DB167B"/>
    <w:rsid w:val="00DB2112"/>
    <w:rsid w:val="00DD34EA"/>
    <w:rsid w:val="00DE1074"/>
    <w:rsid w:val="00DE5715"/>
    <w:rsid w:val="00E03DC5"/>
    <w:rsid w:val="00E0411D"/>
    <w:rsid w:val="00E11B70"/>
    <w:rsid w:val="00E1268F"/>
    <w:rsid w:val="00E12A97"/>
    <w:rsid w:val="00E15E6E"/>
    <w:rsid w:val="00E22C47"/>
    <w:rsid w:val="00E376B0"/>
    <w:rsid w:val="00ED6B02"/>
    <w:rsid w:val="00ED6D3D"/>
    <w:rsid w:val="00EE2582"/>
    <w:rsid w:val="00EE30B2"/>
    <w:rsid w:val="00EF26A6"/>
    <w:rsid w:val="00EF5B83"/>
    <w:rsid w:val="00F04D9A"/>
    <w:rsid w:val="00F1241E"/>
    <w:rsid w:val="00F147A9"/>
    <w:rsid w:val="00F31ADF"/>
    <w:rsid w:val="00F406E1"/>
    <w:rsid w:val="00F6125A"/>
    <w:rsid w:val="00F61D1C"/>
    <w:rsid w:val="00F61ED3"/>
    <w:rsid w:val="00F66F8E"/>
    <w:rsid w:val="00F70BE6"/>
    <w:rsid w:val="00F75217"/>
    <w:rsid w:val="00F8598D"/>
    <w:rsid w:val="00F85DDB"/>
    <w:rsid w:val="00F86B79"/>
    <w:rsid w:val="00F87AA6"/>
    <w:rsid w:val="00FB1DE9"/>
    <w:rsid w:val="00FB425E"/>
    <w:rsid w:val="00FB6BAE"/>
    <w:rsid w:val="00FD00F2"/>
    <w:rsid w:val="00FD0421"/>
    <w:rsid w:val="00FD564A"/>
    <w:rsid w:val="00FD67E1"/>
    <w:rsid w:val="00FF5CEE"/>
    <w:rsid w:val="00FF5F87"/>
    <w:rsid w:val="029F4E13"/>
    <w:rsid w:val="03359521"/>
    <w:rsid w:val="042579BD"/>
    <w:rsid w:val="0433F022"/>
    <w:rsid w:val="056E2A99"/>
    <w:rsid w:val="05B3D9B8"/>
    <w:rsid w:val="0718AA92"/>
    <w:rsid w:val="09EC9C66"/>
    <w:rsid w:val="0A0D63C1"/>
    <w:rsid w:val="0BD83DBB"/>
    <w:rsid w:val="0BDD0BDE"/>
    <w:rsid w:val="10267A14"/>
    <w:rsid w:val="10CA5500"/>
    <w:rsid w:val="1135525F"/>
    <w:rsid w:val="11CD3ED1"/>
    <w:rsid w:val="14F44483"/>
    <w:rsid w:val="150B0049"/>
    <w:rsid w:val="1788D054"/>
    <w:rsid w:val="1C196B18"/>
    <w:rsid w:val="1D65E5DF"/>
    <w:rsid w:val="203AB394"/>
    <w:rsid w:val="2060138B"/>
    <w:rsid w:val="24C9850D"/>
    <w:rsid w:val="2511498C"/>
    <w:rsid w:val="25B99E98"/>
    <w:rsid w:val="266CFF96"/>
    <w:rsid w:val="273964A0"/>
    <w:rsid w:val="273BD91A"/>
    <w:rsid w:val="2A19DD85"/>
    <w:rsid w:val="2A43CD68"/>
    <w:rsid w:val="2A9469EC"/>
    <w:rsid w:val="32066573"/>
    <w:rsid w:val="3540A952"/>
    <w:rsid w:val="35FE8455"/>
    <w:rsid w:val="37177E8F"/>
    <w:rsid w:val="37AB708C"/>
    <w:rsid w:val="3A0C342C"/>
    <w:rsid w:val="3BF700AB"/>
    <w:rsid w:val="3FDE2E1B"/>
    <w:rsid w:val="400935C2"/>
    <w:rsid w:val="4138B284"/>
    <w:rsid w:val="4558BA8E"/>
    <w:rsid w:val="479FF250"/>
    <w:rsid w:val="4815509E"/>
    <w:rsid w:val="49F80DDB"/>
    <w:rsid w:val="4A84024E"/>
    <w:rsid w:val="4AFD8972"/>
    <w:rsid w:val="52B5BC27"/>
    <w:rsid w:val="559041F5"/>
    <w:rsid w:val="55F01250"/>
    <w:rsid w:val="55FEC5F2"/>
    <w:rsid w:val="56E0627F"/>
    <w:rsid w:val="59B7B240"/>
    <w:rsid w:val="5C7F6D19"/>
    <w:rsid w:val="5FDBD9AB"/>
    <w:rsid w:val="60B38950"/>
    <w:rsid w:val="625C7E0B"/>
    <w:rsid w:val="62B0FEEC"/>
    <w:rsid w:val="6400DE52"/>
    <w:rsid w:val="66378C83"/>
    <w:rsid w:val="665A2B50"/>
    <w:rsid w:val="6746A063"/>
    <w:rsid w:val="67AF3858"/>
    <w:rsid w:val="696A97FD"/>
    <w:rsid w:val="6BEE00EC"/>
    <w:rsid w:val="6C4B2203"/>
    <w:rsid w:val="6F08E959"/>
    <w:rsid w:val="714FB7B4"/>
    <w:rsid w:val="721AA17D"/>
    <w:rsid w:val="77AFEA43"/>
    <w:rsid w:val="7B4895B1"/>
    <w:rsid w:val="7C06B413"/>
    <w:rsid w:val="7D1129B8"/>
    <w:rsid w:val="7E51A602"/>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FE1B2AE"/>
  <w15:docId w15:val="{CA19EFD7-95DA-4F94-8F0B-1BA28BA7A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eastAsiaTheme="minorEastAsia"/>
      <w:szCs w:val="24"/>
    </w:rPr>
  </w:style>
  <w:style w:type="paragraph" w:styleId="Heading1">
    <w:name w:val="heading 1"/>
    <w:aliases w:val="Cover title white"/>
    <w:next w:val="Normal"/>
    <w:link w:val="Heading1Char"/>
    <w:qFormat/>
    <w:pPr>
      <w:keepNext/>
      <w:keepLines/>
      <w:spacing w:after="0" w:line="240" w:lineRule="auto"/>
      <w:outlineLvl w:val="0"/>
    </w:pPr>
    <w:rPr>
      <w:rFonts w:asciiTheme="majorHAnsi" w:eastAsiaTheme="majorEastAsia" w:hAnsiTheme="majorHAnsi" w:cstheme="majorBidi"/>
      <w:b/>
      <w:bCs/>
      <w:caps/>
      <w:color w:val="FFFFFF" w:themeColor="background1"/>
      <w:sz w:val="40"/>
      <w:szCs w:val="40"/>
    </w:rPr>
  </w:style>
  <w:style w:type="paragraph" w:styleId="Heading2">
    <w:name w:val="heading 2"/>
    <w:basedOn w:val="Numberedtilelevel1"/>
    <w:next w:val="Normal"/>
    <w:link w:val="Heading2Char"/>
    <w:uiPriority w:val="9"/>
    <w:semiHidden/>
    <w:qFormat/>
    <w:pPr>
      <w:numPr>
        <w:numId w:val="0"/>
      </w:numPr>
      <w:outlineLvl w:val="1"/>
    </w:pPr>
  </w:style>
  <w:style w:type="paragraph" w:styleId="Heading3">
    <w:name w:val="heading 3"/>
    <w:aliases w:val="Title 2"/>
    <w:basedOn w:val="Numberedtitlelevel2"/>
    <w:next w:val="Normal"/>
    <w:link w:val="Heading3Char"/>
    <w:uiPriority w:val="9"/>
    <w:semiHidden/>
    <w:pPr>
      <w:outlineLvl w:val="2"/>
    </w:pPr>
  </w:style>
  <w:style w:type="paragraph" w:styleId="Heading4">
    <w:name w:val="heading 4"/>
    <w:basedOn w:val="Normal"/>
    <w:next w:val="Normal"/>
    <w:link w:val="Heading4Char"/>
    <w:uiPriority w:val="9"/>
    <w:semiHidden/>
    <w:qFormat/>
    <w:pPr>
      <w:keepNext/>
      <w:keepLines/>
      <w:numPr>
        <w:ilvl w:val="3"/>
        <w:numId w:val="45"/>
      </w:numPr>
      <w:spacing w:before="200"/>
      <w:outlineLvl w:val="3"/>
    </w:pPr>
    <w:rPr>
      <w:rFonts w:asciiTheme="majorHAnsi" w:eastAsiaTheme="majorEastAsia" w:hAnsiTheme="majorHAnsi" w:cstheme="majorBidi"/>
      <w:b/>
      <w:bCs/>
      <w:i/>
      <w:iCs/>
      <w:color w:val="4F81BD" w:themeColor="accent1"/>
    </w:rPr>
  </w:style>
  <w:style w:type="paragraph" w:styleId="Heading5">
    <w:name w:val="heading 5"/>
    <w:aliases w:val="Cover subtitle white"/>
    <w:next w:val="Normal"/>
    <w:link w:val="Heading5Char"/>
    <w:semiHidden/>
    <w:qFormat/>
    <w:pPr>
      <w:keepNext/>
      <w:keepLines/>
      <w:spacing w:before="200" w:after="0" w:line="240" w:lineRule="auto"/>
      <w:outlineLvl w:val="4"/>
    </w:pPr>
    <w:rPr>
      <w:rFonts w:asciiTheme="majorHAnsi" w:eastAsiaTheme="majorEastAsia" w:hAnsiTheme="majorHAnsi" w:cstheme="majorBidi"/>
      <w:caps/>
      <w:color w:val="FFFFFF" w:themeColor="background1"/>
      <w:sz w:val="28"/>
      <w:szCs w:val="28"/>
    </w:rPr>
  </w:style>
  <w:style w:type="paragraph" w:styleId="Heading6">
    <w:name w:val="heading 6"/>
    <w:basedOn w:val="Normal"/>
    <w:next w:val="Normal"/>
    <w:link w:val="Heading6Char"/>
    <w:uiPriority w:val="9"/>
    <w:semiHidden/>
    <w:qFormat/>
    <w:pPr>
      <w:keepNext/>
      <w:keepLines/>
      <w:numPr>
        <w:ilvl w:val="5"/>
        <w:numId w:val="45"/>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qFormat/>
    <w:pPr>
      <w:keepNext/>
      <w:keepLines/>
      <w:numPr>
        <w:ilvl w:val="6"/>
        <w:numId w:val="45"/>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qFormat/>
    <w:pPr>
      <w:keepNext/>
      <w:keepLines/>
      <w:numPr>
        <w:ilvl w:val="7"/>
        <w:numId w:val="45"/>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qFormat/>
    <w:pPr>
      <w:keepNext/>
      <w:keepLines/>
      <w:numPr>
        <w:ilvl w:val="8"/>
        <w:numId w:val="45"/>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over title white Char"/>
    <w:basedOn w:val="DefaultParagraphFont"/>
    <w:link w:val="Heading1"/>
    <w:rPr>
      <w:rFonts w:asciiTheme="majorHAnsi" w:eastAsiaTheme="majorEastAsia" w:hAnsiTheme="majorHAnsi" w:cstheme="majorBidi"/>
      <w:b/>
      <w:bCs/>
      <w:caps/>
      <w:color w:val="FFFFFF" w:themeColor="background1"/>
      <w:sz w:val="40"/>
      <w:szCs w:val="40"/>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1F497D" w:themeColor="text2"/>
      <w:kern w:val="28"/>
      <w:sz w:val="52"/>
      <w:szCs w:val="52"/>
    </w:rPr>
  </w:style>
  <w:style w:type="character" w:customStyle="1" w:styleId="Heading3Char">
    <w:name w:val="Heading 3 Char"/>
    <w:aliases w:val="Title 2 Char"/>
    <w:basedOn w:val="DefaultParagraphFont"/>
    <w:link w:val="Heading3"/>
    <w:uiPriority w:val="9"/>
    <w:semiHidden/>
    <w:rPr>
      <w:rFonts w:asciiTheme="majorHAnsi" w:eastAsiaTheme="majorEastAsia" w:hAnsiTheme="majorHAnsi" w:cstheme="majorBidi"/>
      <w:bCs/>
      <w:color w:val="1F497D" w:themeColor="text2"/>
      <w:sz w:val="32"/>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4F81BD" w:themeColor="accent1"/>
      <w:szCs w:val="24"/>
    </w:rPr>
  </w:style>
  <w:style w:type="character" w:customStyle="1" w:styleId="Heading5Char">
    <w:name w:val="Heading 5 Char"/>
    <w:aliases w:val="Cover subtitle white Char"/>
    <w:basedOn w:val="DefaultParagraphFont"/>
    <w:link w:val="Heading5"/>
    <w:semiHidden/>
    <w:rPr>
      <w:rFonts w:asciiTheme="majorHAnsi" w:eastAsiaTheme="majorEastAsia" w:hAnsiTheme="majorHAnsi" w:cstheme="majorBidi"/>
      <w:caps/>
      <w:color w:val="FFFFFF" w:themeColor="background1"/>
      <w:sz w:val="28"/>
      <w:szCs w:val="28"/>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243F60" w:themeColor="accent1" w:themeShade="7F"/>
      <w:szCs w:val="24"/>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Cs w:val="24"/>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sz w:val="20"/>
      <w:szCs w:val="20"/>
    </w:rPr>
  </w:style>
  <w:style w:type="paragraph" w:customStyle="1" w:styleId="Numberedtilelevel1">
    <w:name w:val="Numbered tile level 1"/>
    <w:basedOn w:val="Titlelevel1"/>
    <w:qFormat/>
    <w:pPr>
      <w:numPr>
        <w:numId w:val="63"/>
      </w:numPr>
    </w:pPr>
  </w:style>
  <w:style w:type="paragraph" w:customStyle="1" w:styleId="Numberedtitlelevel2">
    <w:name w:val="Numbered title level 2"/>
    <w:basedOn w:val="Titlelevel2"/>
    <w:next w:val="body"/>
    <w:qFormat/>
  </w:style>
  <w:style w:type="paragraph" w:customStyle="1" w:styleId="Titlelevel2">
    <w:name w:val="Title level 2"/>
    <w:qFormat/>
    <w:pPr>
      <w:spacing w:before="240" w:after="240" w:line="240" w:lineRule="auto"/>
    </w:pPr>
    <w:rPr>
      <w:rFonts w:asciiTheme="majorHAnsi" w:eastAsiaTheme="majorEastAsia" w:hAnsiTheme="majorHAnsi" w:cstheme="majorBidi"/>
      <w:bCs/>
      <w:color w:val="1F497D" w:themeColor="text2"/>
      <w:sz w:val="32"/>
      <w:szCs w:val="24"/>
    </w:rPr>
  </w:style>
  <w:style w:type="paragraph" w:customStyle="1" w:styleId="body">
    <w:name w:val="body"/>
    <w:qFormat/>
    <w:pPr>
      <w:spacing w:before="240" w:after="120"/>
      <w:jc w:val="both"/>
    </w:pPr>
    <w:rPr>
      <w:rFonts w:eastAsiaTheme="minorEastAsia"/>
      <w:szCs w:val="24"/>
    </w:rPr>
  </w:style>
  <w:style w:type="paragraph" w:styleId="BalloonText">
    <w:name w:val="Balloon Text"/>
    <w:basedOn w:val="Normal"/>
    <w:link w:val="BalloonTextChar"/>
    <w:uiPriority w:val="99"/>
    <w:semiHidden/>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Pr>
      <w:rFonts w:ascii="Lucida Grande" w:eastAsiaTheme="minorEastAsia" w:hAnsi="Lucida Grande" w:cs="Lucida Grande"/>
      <w:sz w:val="18"/>
      <w:szCs w:val="18"/>
    </w:rPr>
  </w:style>
  <w:style w:type="paragraph" w:customStyle="1" w:styleId="Tableheader">
    <w:name w:val="Table header"/>
    <w:next w:val="Tabledata"/>
    <w:qFormat/>
    <w:pPr>
      <w:spacing w:after="80" w:line="240" w:lineRule="auto"/>
    </w:pPr>
    <w:rPr>
      <w:rFonts w:ascii="Calibri" w:eastAsia="Times New Roman" w:hAnsi="Calibri" w:cs="Times New Roman"/>
      <w:b/>
      <w:color w:val="000000"/>
    </w:rPr>
  </w:style>
  <w:style w:type="paragraph" w:customStyle="1" w:styleId="Tabledata">
    <w:name w:val="Table data"/>
    <w:basedOn w:val="body"/>
    <w:qFormat/>
    <w:pPr>
      <w:spacing w:before="120" w:line="240" w:lineRule="auto"/>
    </w:pPr>
    <w:rPr>
      <w:rFonts w:eastAsia="Times New Roman" w:cstheme="minorHAnsi"/>
      <w:bCs/>
      <w:color w:val="000000"/>
      <w:sz w:val="20"/>
      <w:szCs w:val="22"/>
    </w:rPr>
  </w:style>
  <w:style w:type="paragraph" w:customStyle="1" w:styleId="List1">
    <w:name w:val="List1"/>
    <w:autoRedefine/>
    <w:qFormat/>
    <w:pPr>
      <w:numPr>
        <w:numId w:val="47"/>
      </w:numPr>
      <w:spacing w:after="0" w:line="240" w:lineRule="auto"/>
    </w:pPr>
    <w:rPr>
      <w:rFonts w:eastAsiaTheme="minorEastAsia"/>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rPr>
      <w:rFonts w:eastAsiaTheme="minorEastAsia"/>
      <w:szCs w:val="24"/>
    </w:rPr>
  </w:style>
  <w:style w:type="table" w:styleId="TableGrid">
    <w:name w:val="Table Grid"/>
    <w:basedOn w:val="TableProfessional"/>
    <w:uiPriority w:val="59"/>
    <w:rPr>
      <w:sz w:val="20"/>
      <w:szCs w:val="20"/>
      <w:lang w:val="en-GB" w:eastAsia="de-AT"/>
    </w:rPr>
    <w:tblPr>
      <w:tblBorders>
        <w:top w:val="none" w:sz="0" w:space="0" w:color="auto"/>
        <w:left w:val="none" w:sz="0" w:space="0" w:color="auto"/>
        <w:bottom w:val="single" w:sz="4" w:space="0" w:color="auto"/>
        <w:right w:val="none" w:sz="0" w:space="0" w:color="auto"/>
        <w:insideH w:val="single" w:sz="4" w:space="0" w:color="auto"/>
        <w:insideV w:val="none" w:sz="0" w:space="0" w:color="auto"/>
      </w:tblBorders>
    </w:tblPr>
    <w:tcPr>
      <w:vAlign w:val="center"/>
    </w:tcPr>
    <w:tblStylePr w:type="firstRow">
      <w:rPr>
        <w:rFonts w:asciiTheme="minorHAnsi" w:hAnsiTheme="minorHAnsi"/>
        <w:b w:val="0"/>
        <w:bCs/>
        <w:color w:val="auto"/>
        <w:sz w:val="22"/>
      </w:rPr>
      <w:tblPr/>
      <w:tcPr>
        <w:tcBorders>
          <w:top w:val="nil"/>
          <w:left w:val="nil"/>
          <w:bottom w:val="single" w:sz="4" w:space="0" w:color="auto"/>
          <w:right w:val="nil"/>
          <w:insideH w:val="nil"/>
          <w:insideV w:val="nil"/>
          <w:tl2br w:val="nil"/>
          <w:tr2bl w:val="nil"/>
        </w:tcBorders>
        <w:shd w:val="clear" w:color="000000" w:fill="auto"/>
      </w:tcPr>
    </w:tblStylePr>
  </w:style>
  <w:style w:type="table" w:styleId="TableProfessional">
    <w:name w:val="Table Professional"/>
    <w:basedOn w:val="TableNormal"/>
    <w:uiPriority w:val="99"/>
    <w:semiHidden/>
    <w:unhideWhenUsed/>
    <w:pPr>
      <w:spacing w:after="0" w:line="240" w:lineRule="auto"/>
    </w:pPr>
    <w:rPr>
      <w:rFonts w:eastAsiaTheme="minorEastAsia"/>
      <w:sz w:val="24"/>
      <w:szCs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
    <w:name w:val="List"/>
    <w:autoRedefine/>
    <w:uiPriority w:val="99"/>
    <w:semiHidden/>
    <w:qFormat/>
    <w:pPr>
      <w:numPr>
        <w:numId w:val="48"/>
      </w:numPr>
      <w:spacing w:before="240" w:after="120" w:line="240" w:lineRule="auto"/>
      <w:contextualSpacing/>
    </w:pPr>
    <w:rPr>
      <w:rFonts w:eastAsiaTheme="minorEastAsia"/>
      <w:szCs w:val="24"/>
    </w:rPr>
  </w:style>
  <w:style w:type="paragraph" w:customStyle="1" w:styleId="Titlelevel1">
    <w:name w:val="Title level 1"/>
    <w:autoRedefine/>
    <w:qFormat/>
    <w:pPr>
      <w:pBdr>
        <w:bottom w:val="single" w:sz="8" w:space="1" w:color="1F497D" w:themeColor="text2"/>
      </w:pBdr>
      <w:spacing w:before="360" w:after="600" w:line="560" w:lineRule="exact"/>
    </w:pPr>
    <w:rPr>
      <w:rFonts w:asciiTheme="majorHAnsi" w:eastAsiaTheme="majorEastAsia" w:hAnsiTheme="majorHAnsi" w:cstheme="majorBidi"/>
      <w:color w:val="1F497D" w:themeColor="text2"/>
      <w:kern w:val="28"/>
      <w:sz w:val="52"/>
      <w:szCs w:val="52"/>
    </w:rPr>
  </w:style>
  <w:style w:type="paragraph" w:customStyle="1" w:styleId="Titlelevel3">
    <w:name w:val="Title level 3"/>
    <w:qFormat/>
    <w:pPr>
      <w:spacing w:before="240" w:after="240" w:line="240" w:lineRule="auto"/>
    </w:pPr>
    <w:rPr>
      <w:rFonts w:eastAsiaTheme="minorEastAsia"/>
      <w:b/>
      <w:color w:val="1F497D" w:themeColor="text2"/>
      <w:sz w:val="24"/>
      <w:szCs w:val="24"/>
    </w:rPr>
  </w:style>
  <w:style w:type="paragraph" w:customStyle="1" w:styleId="Titlelevel4">
    <w:name w:val="Title level 4"/>
    <w:next w:val="body"/>
    <w:qFormat/>
    <w:pPr>
      <w:spacing w:before="240" w:after="240" w:line="240" w:lineRule="auto"/>
    </w:pPr>
    <w:rPr>
      <w:rFonts w:eastAsiaTheme="minorEastAsia"/>
      <w:color w:val="EEECE1" w:themeColor="background2"/>
      <w:sz w:val="24"/>
      <w:szCs w:val="24"/>
    </w:rPr>
  </w:style>
  <w:style w:type="paragraph" w:customStyle="1" w:styleId="Figuretitle">
    <w:name w:val="Figure title"/>
    <w:basedOn w:val="body"/>
    <w:next w:val="Normal"/>
    <w:autoRedefine/>
    <w:qFormat/>
    <w:pPr>
      <w:keepNext/>
      <w:spacing w:before="360" w:after="360"/>
    </w:pPr>
    <w:rPr>
      <w:rFonts w:eastAsia="Times New Roman" w:cs="Times New Roman"/>
      <w:bCs/>
      <w:color w:val="1F497D" w:themeColor="text2"/>
      <w:szCs w:val="20"/>
    </w:rPr>
  </w:style>
  <w:style w:type="table" w:customStyle="1" w:styleId="EBAtable">
    <w:name w:val="EBA table"/>
    <w:basedOn w:val="TableNormal"/>
    <w:uiPriority w:val="99"/>
    <w:pPr>
      <w:spacing w:after="0" w:line="240" w:lineRule="auto"/>
    </w:pPr>
    <w:rPr>
      <w:rFonts w:eastAsiaTheme="minorEastAsia"/>
      <w:sz w:val="24"/>
      <w:szCs w:val="24"/>
    </w:rPr>
    <w:tblPr>
      <w:tblBorders>
        <w:bottom w:val="single" w:sz="2" w:space="0" w:color="000000" w:themeColor="text1"/>
        <w:insideH w:val="single" w:sz="2" w:space="0" w:color="000000" w:themeColor="text1"/>
      </w:tblBorders>
    </w:tblPr>
    <w:tcPr>
      <w:vAlign w:val="center"/>
    </w:tcPr>
    <w:tblStylePr w:type="firstRow">
      <w:pPr>
        <w:jc w:val="left"/>
      </w:pPr>
      <w:tblPr/>
      <w:trPr>
        <w:tblHeader/>
      </w:trPr>
      <w:tcPr>
        <w:tcBorders>
          <w:top w:val="nil"/>
          <w:left w:val="nil"/>
          <w:bottom w:val="single" w:sz="18" w:space="0" w:color="EEECE1" w:themeColor="background2"/>
          <w:right w:val="nil"/>
          <w:insideH w:val="nil"/>
          <w:insideV w:val="nil"/>
          <w:tl2br w:val="nil"/>
          <w:tr2bl w:val="nil"/>
        </w:tcBorders>
      </w:tcPr>
    </w:tblStylePr>
    <w:tblStylePr w:type="lastRow">
      <w:tblPr/>
      <w:tcPr>
        <w:tcBorders>
          <w:top w:val="nil"/>
          <w:left w:val="nil"/>
          <w:bottom w:val="single" w:sz="4" w:space="0" w:color="EEECE1" w:themeColor="background2"/>
          <w:right w:val="nil"/>
          <w:insideH w:val="nil"/>
          <w:insideV w:val="nil"/>
          <w:tl2br w:val="nil"/>
          <w:tr2bl w:val="nil"/>
        </w:tcBorders>
      </w:tcPr>
    </w:tblStylePr>
  </w:style>
  <w:style w:type="character" w:styleId="PageNumber">
    <w:name w:val="page number"/>
    <w:basedOn w:val="DefaultParagraphFont"/>
    <w:uiPriority w:val="99"/>
    <w:semiHidden/>
    <w:rPr>
      <w:rFonts w:asciiTheme="minorHAnsi" w:hAnsiTheme="minorHAnsi"/>
      <w:color w:val="auto"/>
      <w:sz w:val="22"/>
    </w:rPr>
  </w:style>
  <w:style w:type="paragraph" w:customStyle="1" w:styleId="Runningtitle">
    <w:name w:val="Running title"/>
    <w:qFormat/>
    <w:pPr>
      <w:spacing w:after="0" w:line="240" w:lineRule="auto"/>
    </w:pPr>
    <w:rPr>
      <w:rFonts w:eastAsiaTheme="minorEastAsia"/>
      <w:caps/>
      <w:sz w:val="16"/>
      <w:szCs w:val="18"/>
    </w:rPr>
  </w:style>
  <w:style w:type="paragraph" w:styleId="FootnoteText">
    <w:name w:val="footnote text"/>
    <w:aliases w:val="EBA_Footnote Text,fn,Footnote Text Char Char,Footnote,Fußnote,FSR footnote,lábléc,Char,Texto nota pie Car,notefranz,ARM footnote Text,Footnote Text Char2,Footnote Text Char11,Footnote Text Char3,Footnote Text Char4,Footnote Text Char5,Ch,f"/>
    <w:basedOn w:val="body"/>
    <w:link w:val="FootnoteTextChar"/>
    <w:autoRedefine/>
    <w:uiPriority w:val="99"/>
    <w:qFormat/>
    <w:pPr>
      <w:spacing w:before="80" w:after="0" w:line="200" w:lineRule="exact"/>
    </w:pPr>
    <w:rPr>
      <w:rFonts w:ascii="Times New Roman" w:hAnsi="Times New Roman" w:cs="Times New Roman"/>
      <w:sz w:val="18"/>
      <w:szCs w:val="18"/>
    </w:rPr>
  </w:style>
  <w:style w:type="character" w:customStyle="1" w:styleId="FootnoteTextChar">
    <w:name w:val="Footnote Text Char"/>
    <w:aliases w:val="EBA_Footnote Text Char,fn Char,Footnote Text Char Char Char,Footnote Char,Fußnote Char,FSR footnote Char,lábléc Char,Char Char,Texto nota pie Car Char,notefranz Char,ARM footnote Text Char,Footnote Text Char2 Char,Ch Char,f Char"/>
    <w:basedOn w:val="DefaultParagraphFont"/>
    <w:link w:val="FootnoteText"/>
    <w:uiPriority w:val="99"/>
    <w:rPr>
      <w:rFonts w:ascii="Times New Roman" w:eastAsiaTheme="minorEastAsia" w:hAnsi="Times New Roman" w:cs="Times New Roman"/>
      <w:sz w:val="18"/>
      <w:szCs w:val="18"/>
    </w:rPr>
  </w:style>
  <w:style w:type="character" w:styleId="FootnoteReference">
    <w:name w:val="footnote reference"/>
    <w:aliases w:val="Footnote Reference Number,Footnote Reference_LVL6,Footnote Reference_LVL61,Footnote Reference_LVL62,Footnote Reference_LVL63,Footnote Reference_LVL64,Footnote symbol,Footnote reference number,Fußnotenzeichen3,Char1,ftref,fr,Ref"/>
    <w:basedOn w:val="DefaultParagraphFont"/>
    <w:uiPriority w:val="99"/>
    <w:qFormat/>
    <w:rPr>
      <w:rFonts w:asciiTheme="minorHAnsi" w:hAnsiTheme="minorHAnsi"/>
      <w:sz w:val="22"/>
      <w:szCs w:val="18"/>
      <w:vertAlign w:val="superscript"/>
    </w:rPr>
  </w:style>
  <w:style w:type="paragraph" w:customStyle="1" w:styleId="bullet1">
    <w:name w:val="bullet 1"/>
    <w:basedOn w:val="body"/>
    <w:next w:val="body"/>
    <w:qFormat/>
    <w:pPr>
      <w:numPr>
        <w:numId w:val="44"/>
      </w:numPr>
    </w:pPr>
    <w:rPr>
      <w:szCs w:val="22"/>
    </w:rPr>
  </w:style>
  <w:style w:type="paragraph" w:styleId="TOC1">
    <w:name w:val="toc 1"/>
    <w:autoRedefine/>
    <w:uiPriority w:val="39"/>
    <w:qFormat/>
    <w:pPr>
      <w:tabs>
        <w:tab w:val="left" w:pos="312"/>
        <w:tab w:val="left" w:pos="421"/>
        <w:tab w:val="right" w:pos="8771"/>
      </w:tabs>
      <w:spacing w:before="120" w:after="120" w:line="240" w:lineRule="auto"/>
      <w:outlineLvl w:val="0"/>
    </w:pPr>
    <w:rPr>
      <w:rFonts w:eastAsiaTheme="minorEastAsia"/>
      <w:b/>
      <w:bCs/>
      <w:color w:val="1F497D" w:themeColor="text2"/>
    </w:rPr>
  </w:style>
  <w:style w:type="paragraph" w:styleId="TOC2">
    <w:name w:val="toc 2"/>
    <w:next w:val="Normal"/>
    <w:autoRedefine/>
    <w:uiPriority w:val="39"/>
    <w:qFormat/>
    <w:pPr>
      <w:tabs>
        <w:tab w:val="left" w:pos="529"/>
        <w:tab w:val="right" w:pos="8771"/>
      </w:tabs>
      <w:spacing w:before="80" w:after="80" w:line="240" w:lineRule="auto"/>
    </w:pPr>
    <w:rPr>
      <w:rFonts w:eastAsiaTheme="minorEastAsia"/>
    </w:rPr>
  </w:style>
  <w:style w:type="paragraph" w:styleId="TOC3">
    <w:name w:val="toc 3"/>
    <w:basedOn w:val="Normal"/>
    <w:next w:val="Normal"/>
    <w:autoRedefine/>
    <w:uiPriority w:val="39"/>
    <w:qFormat/>
    <w:pPr>
      <w:tabs>
        <w:tab w:val="right" w:pos="8771"/>
      </w:tabs>
      <w:ind w:left="567"/>
    </w:pPr>
    <w:rPr>
      <w:szCs w:val="22"/>
    </w:rPr>
  </w:style>
  <w:style w:type="paragraph" w:styleId="TOC4">
    <w:name w:val="toc 4"/>
    <w:basedOn w:val="Normal"/>
    <w:next w:val="Normal"/>
    <w:autoRedefine/>
    <w:uiPriority w:val="39"/>
    <w:pPr>
      <w:tabs>
        <w:tab w:val="right" w:pos="8771"/>
      </w:tabs>
      <w:ind w:left="1134"/>
    </w:pPr>
    <w:rPr>
      <w:szCs w:val="22"/>
    </w:rPr>
  </w:style>
  <w:style w:type="paragraph" w:customStyle="1" w:styleId="bullet2">
    <w:name w:val="bullet 2"/>
    <w:basedOn w:val="body"/>
    <w:qFormat/>
    <w:pPr>
      <w:numPr>
        <w:numId w:val="43"/>
      </w:numPr>
    </w:pPr>
    <w:rPr>
      <w:szCs w:val="22"/>
    </w:rPr>
  </w:style>
  <w:style w:type="paragraph" w:customStyle="1" w:styleId="Numberedtitlelevel3">
    <w:name w:val="Numbered title level 3"/>
    <w:basedOn w:val="Titlelevel3"/>
    <w:next w:val="body"/>
    <w:qFormat/>
    <w:pPr>
      <w:ind w:left="720" w:hanging="432"/>
    </w:pPr>
  </w:style>
  <w:style w:type="table" w:customStyle="1" w:styleId="LightShading1">
    <w:name w:val="Light Shading1"/>
    <w:basedOn w:val="TableNormal"/>
    <w:uiPriority w:val="60"/>
    <w:pPr>
      <w:spacing w:after="0" w:line="240" w:lineRule="auto"/>
    </w:pPr>
    <w:rPr>
      <w:rFonts w:eastAsiaTheme="minorEastAsia"/>
      <w:color w:val="000000" w:themeColor="text1" w:themeShade="BF"/>
      <w:sz w:val="24"/>
      <w:szCs w:val="24"/>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1">
    <w:name w:val="Light Shading - Accent 11"/>
    <w:basedOn w:val="TableNormal"/>
    <w:uiPriority w:val="60"/>
    <w:pPr>
      <w:spacing w:after="0" w:line="240" w:lineRule="auto"/>
    </w:pPr>
    <w:rPr>
      <w:rFonts w:eastAsiaTheme="minorEastAsia"/>
      <w:color w:val="365F91" w:themeColor="accent1" w:themeShade="BF"/>
      <w:sz w:val="24"/>
      <w:szCs w:val="24"/>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Contenttitle">
    <w:name w:val="Content title"/>
    <w:basedOn w:val="Titlelevel1"/>
    <w:qFormat/>
  </w:style>
  <w:style w:type="paragraph" w:customStyle="1" w:styleId="Numberedtitlelevel4">
    <w:name w:val="Numbered title level 4"/>
    <w:basedOn w:val="Titlelevel4"/>
    <w:qFormat/>
    <w:pPr>
      <w:numPr>
        <w:numId w:val="46"/>
      </w:numPr>
    </w:pPr>
  </w:style>
  <w:style w:type="paragraph" w:styleId="Header">
    <w:name w:val="header"/>
    <w:basedOn w:val="Normal"/>
    <w:link w:val="HeaderChar"/>
    <w:uiPriority w:val="99"/>
    <w:semiHidden/>
    <w:pPr>
      <w:tabs>
        <w:tab w:val="center" w:pos="4320"/>
        <w:tab w:val="right" w:pos="8640"/>
      </w:tabs>
    </w:pPr>
  </w:style>
  <w:style w:type="character" w:customStyle="1" w:styleId="HeaderChar">
    <w:name w:val="Header Char"/>
    <w:basedOn w:val="DefaultParagraphFont"/>
    <w:link w:val="Header"/>
    <w:uiPriority w:val="99"/>
    <w:semiHidden/>
    <w:rPr>
      <w:rFonts w:eastAsiaTheme="minorEastAsia"/>
      <w:szCs w:val="24"/>
    </w:rPr>
  </w:style>
  <w:style w:type="paragraph" w:styleId="Title">
    <w:name w:val="Title"/>
    <w:basedOn w:val="Normal"/>
    <w:next w:val="Normal"/>
    <w:link w:val="TitleChar"/>
    <w:qFormat/>
    <w:pPr>
      <w:pBdr>
        <w:bottom w:val="single" w:sz="8" w:space="4" w:color="4F81BD" w:themeColor="accent1"/>
      </w:pBdr>
      <w:spacing w:after="300"/>
      <w:contextualSpacing/>
    </w:pPr>
    <w:rPr>
      <w:rFonts w:asciiTheme="majorHAnsi" w:eastAsiaTheme="majorEastAsia" w:hAnsiTheme="majorHAnsi" w:cstheme="majorBidi"/>
      <w:color w:val="1F497D" w:themeColor="text2"/>
      <w:kern w:val="28"/>
      <w:sz w:val="52"/>
      <w:szCs w:val="52"/>
    </w:rPr>
  </w:style>
  <w:style w:type="character" w:customStyle="1" w:styleId="TitleChar">
    <w:name w:val="Title Char"/>
    <w:basedOn w:val="DefaultParagraphFont"/>
    <w:link w:val="Title"/>
    <w:rPr>
      <w:rFonts w:asciiTheme="majorHAnsi" w:eastAsiaTheme="majorEastAsia" w:hAnsiTheme="majorHAnsi" w:cstheme="majorBidi"/>
      <w:color w:val="1F497D" w:themeColor="text2"/>
      <w:kern w:val="28"/>
      <w:sz w:val="52"/>
      <w:szCs w:val="52"/>
    </w:rPr>
  </w:style>
  <w:style w:type="paragraph" w:styleId="TableofFigures">
    <w:name w:val="table of figures"/>
    <w:basedOn w:val="Normal"/>
    <w:next w:val="Normal"/>
    <w:autoRedefine/>
    <w:uiPriority w:val="99"/>
    <w:qFormat/>
    <w:pPr>
      <w:spacing w:before="160"/>
    </w:pPr>
  </w:style>
  <w:style w:type="paragraph" w:styleId="Subtitle">
    <w:name w:val="Subtitle"/>
    <w:next w:val="Normal"/>
    <w:link w:val="SubtitleChar"/>
    <w:autoRedefine/>
    <w:uiPriority w:val="11"/>
    <w:qFormat/>
    <w:pPr>
      <w:numPr>
        <w:ilvl w:val="1"/>
      </w:numPr>
      <w:spacing w:before="240" w:after="120" w:line="240" w:lineRule="auto"/>
    </w:pPr>
    <w:rPr>
      <w:rFonts w:asciiTheme="majorHAnsi" w:eastAsiaTheme="majorEastAsia" w:hAnsiTheme="majorHAnsi" w:cstheme="majorBidi"/>
      <w:color w:val="4F81BD" w:themeColor="accent1"/>
      <w:sz w:val="32"/>
      <w:szCs w:val="32"/>
    </w:rPr>
  </w:style>
  <w:style w:type="character" w:customStyle="1" w:styleId="SubtitleChar">
    <w:name w:val="Subtitle Char"/>
    <w:basedOn w:val="DefaultParagraphFont"/>
    <w:link w:val="Subtitle"/>
    <w:uiPriority w:val="11"/>
    <w:rPr>
      <w:rFonts w:asciiTheme="majorHAnsi" w:eastAsiaTheme="majorEastAsia" w:hAnsiTheme="majorHAnsi" w:cstheme="majorBidi"/>
      <w:color w:val="4F81BD" w:themeColor="accent1"/>
      <w:sz w:val="32"/>
      <w:szCs w:val="32"/>
    </w:rPr>
  </w:style>
  <w:style w:type="character" w:styleId="BookTitle">
    <w:name w:val="Book Title"/>
    <w:basedOn w:val="DefaultParagraphFont"/>
    <w:uiPriority w:val="33"/>
    <w:qFormat/>
    <w:rPr>
      <w:b/>
      <w:bCs/>
      <w:smallCaps/>
    </w:rPr>
  </w:style>
  <w:style w:type="character" w:customStyle="1" w:styleId="Highlighttext">
    <w:name w:val="Highlight text"/>
    <w:basedOn w:val="DefaultParagraphFont"/>
    <w:uiPriority w:val="1"/>
    <w:semiHidden/>
    <w:qFormat/>
    <w:rPr>
      <w:rFonts w:asciiTheme="minorHAnsi" w:hAnsiTheme="minorHAnsi"/>
      <w:b/>
      <w:bCs/>
      <w:caps w:val="0"/>
      <w:smallCaps w:val="0"/>
      <w:color w:val="EEECE1" w:themeColor="background2"/>
      <w:sz w:val="22"/>
      <w:szCs w:val="22"/>
    </w:rPr>
  </w:style>
  <w:style w:type="paragraph" w:customStyle="1" w:styleId="abbreviation">
    <w:name w:val="abbreviation"/>
    <w:basedOn w:val="Tableheader"/>
    <w:qFormat/>
    <w:rPr>
      <w:bCs/>
    </w:rPr>
  </w:style>
  <w:style w:type="paragraph" w:styleId="ListBullet">
    <w:name w:val="List Bullet"/>
    <w:basedOn w:val="Normal"/>
    <w:semiHidden/>
    <w:qFormat/>
    <w:pPr>
      <w:numPr>
        <w:numId w:val="50"/>
      </w:numPr>
      <w:contextualSpacing/>
    </w:pPr>
  </w:style>
  <w:style w:type="character" w:styleId="Hyperlink">
    <w:name w:val="Hyperlink"/>
    <w:basedOn w:val="DefaultParagraphFont"/>
    <w:uiPriority w:val="99"/>
    <w:rPr>
      <w:color w:val="0000FF" w:themeColor="hyperlink"/>
      <w:u w:val="single"/>
    </w:rPr>
  </w:style>
  <w:style w:type="paragraph" w:customStyle="1" w:styleId="numberedparagraph">
    <w:name w:val="numbered paragraph"/>
    <w:basedOn w:val="body"/>
    <w:autoRedefine/>
    <w:qFormat/>
    <w:pPr>
      <w:numPr>
        <w:numId w:val="218"/>
      </w:numPr>
      <w:ind w:left="1134"/>
    </w:pPr>
    <w:rPr>
      <w:rFonts w:asciiTheme="majorHAnsi" w:hAnsiTheme="majorHAnsi"/>
      <w:color w:val="000000" w:themeColor="text1"/>
    </w:rPr>
  </w:style>
  <w:style w:type="paragraph" w:styleId="TOC5">
    <w:name w:val="toc 5"/>
    <w:basedOn w:val="Normal"/>
    <w:next w:val="Normal"/>
    <w:autoRedefine/>
    <w:uiPriority w:val="39"/>
    <w:semiHidden/>
    <w:pPr>
      <w:ind w:left="880"/>
    </w:pPr>
  </w:style>
  <w:style w:type="paragraph" w:styleId="TOC6">
    <w:name w:val="toc 6"/>
    <w:basedOn w:val="Normal"/>
    <w:next w:val="Normal"/>
    <w:autoRedefine/>
    <w:uiPriority w:val="39"/>
    <w:semiHidden/>
    <w:pPr>
      <w:ind w:left="1100"/>
    </w:pPr>
  </w:style>
  <w:style w:type="paragraph" w:styleId="TOC7">
    <w:name w:val="toc 7"/>
    <w:basedOn w:val="Normal"/>
    <w:next w:val="Normal"/>
    <w:autoRedefine/>
    <w:uiPriority w:val="39"/>
    <w:semiHidden/>
    <w:pPr>
      <w:ind w:left="1320"/>
    </w:pPr>
  </w:style>
  <w:style w:type="paragraph" w:styleId="TOC8">
    <w:name w:val="toc 8"/>
    <w:basedOn w:val="Normal"/>
    <w:next w:val="Normal"/>
    <w:autoRedefine/>
    <w:uiPriority w:val="39"/>
    <w:semiHidden/>
    <w:pPr>
      <w:ind w:left="1540"/>
    </w:pPr>
  </w:style>
  <w:style w:type="paragraph" w:styleId="TOC9">
    <w:name w:val="toc 9"/>
    <w:basedOn w:val="Normal"/>
    <w:next w:val="Normal"/>
    <w:autoRedefine/>
    <w:uiPriority w:val="39"/>
    <w:semiHidden/>
    <w:pPr>
      <w:ind w:left="1760"/>
    </w:pPr>
  </w:style>
  <w:style w:type="paragraph" w:customStyle="1" w:styleId="Default">
    <w:name w:val="Default"/>
    <w:pPr>
      <w:autoSpaceDE w:val="0"/>
      <w:autoSpaceDN w:val="0"/>
      <w:adjustRightInd w:val="0"/>
      <w:spacing w:after="0" w:line="240" w:lineRule="auto"/>
    </w:pPr>
    <w:rPr>
      <w:rFonts w:ascii="Calibri" w:hAnsi="Calibri" w:cs="Calibri"/>
      <w:color w:val="000000"/>
      <w:sz w:val="24"/>
      <w:szCs w:val="24"/>
    </w:rPr>
  </w:style>
  <w:style w:type="paragraph" w:styleId="TOCHeading">
    <w:name w:val="TOC Heading"/>
    <w:basedOn w:val="Heading1"/>
    <w:next w:val="Normal"/>
    <w:uiPriority w:val="39"/>
    <w:semiHidden/>
    <w:qFormat/>
    <w:pPr>
      <w:spacing w:before="480"/>
      <w:outlineLvl w:val="9"/>
    </w:pPr>
    <w:rPr>
      <w:caps w:val="0"/>
      <w:color w:val="365F91" w:themeColor="accent1" w:themeShade="BF"/>
      <w:sz w:val="28"/>
      <w:szCs w:val="28"/>
    </w:rPr>
  </w:style>
  <w:style w:type="character" w:customStyle="1" w:styleId="Marker">
    <w:name w:val="Marker"/>
    <w:rPr>
      <w:color w:val="0000FF"/>
      <w:shd w:val="clear" w:color="auto" w:fill="auto"/>
    </w:rPr>
  </w:style>
  <w:style w:type="character" w:customStyle="1" w:styleId="Marker2">
    <w:name w:val="Marker2"/>
    <w:rPr>
      <w:color w:val="FF0000"/>
      <w:shd w:val="clear" w:color="auto" w:fill="auto"/>
    </w:rPr>
  </w:style>
  <w:style w:type="paragraph" w:customStyle="1" w:styleId="Annexetitre">
    <w:name w:val="Annexe titre"/>
    <w:basedOn w:val="Normal"/>
    <w:next w:val="Normal"/>
    <w:pPr>
      <w:spacing w:before="120" w:after="120"/>
      <w:jc w:val="center"/>
    </w:pPr>
    <w:rPr>
      <w:rFonts w:ascii="Times New Roman" w:eastAsia="Times New Roman" w:hAnsi="Times New Roman" w:cs="Times New Roman"/>
      <w:b/>
      <w:sz w:val="24"/>
      <w:u w:val="single"/>
    </w:rPr>
  </w:style>
  <w:style w:type="paragraph" w:customStyle="1" w:styleId="Applicationdirecte">
    <w:name w:val="Application directe"/>
    <w:basedOn w:val="Normal"/>
    <w:next w:val="Fait"/>
    <w:pPr>
      <w:spacing w:before="480" w:after="120"/>
      <w:jc w:val="both"/>
    </w:pPr>
    <w:rPr>
      <w:rFonts w:ascii="Times New Roman" w:eastAsia="Times New Roman" w:hAnsi="Times New Roman" w:cs="Times New Roman"/>
      <w:sz w:val="24"/>
    </w:rPr>
  </w:style>
  <w:style w:type="paragraph" w:customStyle="1" w:styleId="Considrant">
    <w:name w:val="Considérant"/>
    <w:basedOn w:val="Normal"/>
    <w:pPr>
      <w:numPr>
        <w:numId w:val="51"/>
      </w:numPr>
      <w:spacing w:before="120" w:after="120"/>
      <w:jc w:val="both"/>
    </w:pPr>
    <w:rPr>
      <w:rFonts w:ascii="Times New Roman" w:eastAsia="Times New Roman" w:hAnsi="Times New Roman" w:cs="Times New Roman"/>
      <w:sz w:val="24"/>
    </w:rPr>
  </w:style>
  <w:style w:type="paragraph" w:customStyle="1" w:styleId="Datedadoption">
    <w:name w:val="Date d'adoption"/>
    <w:basedOn w:val="Normal"/>
    <w:next w:val="Titreobjet"/>
    <w:pPr>
      <w:spacing w:before="360"/>
      <w:jc w:val="center"/>
    </w:pPr>
    <w:rPr>
      <w:rFonts w:ascii="Times New Roman" w:eastAsia="Times New Roman" w:hAnsi="Times New Roman" w:cs="Times New Roman"/>
      <w:b/>
      <w:sz w:val="24"/>
    </w:rPr>
  </w:style>
  <w:style w:type="paragraph" w:customStyle="1" w:styleId="Fait">
    <w:name w:val="Fait à"/>
    <w:basedOn w:val="Normal"/>
    <w:next w:val="Institutionquisigne"/>
    <w:pPr>
      <w:keepNext/>
      <w:spacing w:before="120"/>
      <w:jc w:val="both"/>
    </w:pPr>
    <w:rPr>
      <w:rFonts w:ascii="Times New Roman" w:eastAsia="Times New Roman" w:hAnsi="Times New Roman" w:cs="Times New Roman"/>
      <w:sz w:val="24"/>
    </w:rPr>
  </w:style>
  <w:style w:type="paragraph" w:customStyle="1" w:styleId="Formuledadoption">
    <w:name w:val="Formule d'adoption"/>
    <w:basedOn w:val="Normal"/>
    <w:next w:val="Titrearticle"/>
    <w:pPr>
      <w:keepNext/>
      <w:spacing w:before="120" w:after="120"/>
      <w:jc w:val="both"/>
    </w:pPr>
    <w:rPr>
      <w:rFonts w:ascii="Times New Roman" w:eastAsia="Times New Roman" w:hAnsi="Times New Roman" w:cs="Times New Roman"/>
      <w:sz w:val="24"/>
    </w:rPr>
  </w:style>
  <w:style w:type="paragraph" w:customStyle="1" w:styleId="Institutionquisigne">
    <w:name w:val="Institution qui signe"/>
    <w:basedOn w:val="Normal"/>
    <w:next w:val="Personnequisigne"/>
    <w:pPr>
      <w:keepNext/>
      <w:tabs>
        <w:tab w:val="left" w:pos="4252"/>
      </w:tabs>
      <w:spacing w:before="720"/>
      <w:jc w:val="both"/>
    </w:pPr>
    <w:rPr>
      <w:rFonts w:ascii="Times New Roman" w:eastAsia="Times New Roman" w:hAnsi="Times New Roman" w:cs="Times New Roman"/>
      <w:i/>
      <w:sz w:val="24"/>
    </w:rPr>
  </w:style>
  <w:style w:type="paragraph" w:customStyle="1" w:styleId="Personnequisigne">
    <w:name w:val="Personne qui signe"/>
    <w:basedOn w:val="Normal"/>
    <w:next w:val="Institutionquisigne"/>
    <w:pPr>
      <w:tabs>
        <w:tab w:val="left" w:pos="4252"/>
      </w:tabs>
    </w:pPr>
    <w:rPr>
      <w:rFonts w:ascii="Times New Roman" w:eastAsia="Times New Roman" w:hAnsi="Times New Roman" w:cs="Times New Roman"/>
      <w:i/>
      <w:sz w:val="24"/>
    </w:rPr>
  </w:style>
  <w:style w:type="paragraph" w:customStyle="1" w:styleId="Titrearticle">
    <w:name w:val="Titre article"/>
    <w:basedOn w:val="Normal"/>
    <w:next w:val="Normal"/>
    <w:pPr>
      <w:keepNext/>
      <w:spacing w:before="360" w:after="120"/>
      <w:jc w:val="center"/>
    </w:pPr>
    <w:rPr>
      <w:rFonts w:ascii="Times New Roman" w:eastAsia="Times New Roman" w:hAnsi="Times New Roman" w:cs="Times New Roman"/>
      <w:i/>
      <w:sz w:val="24"/>
    </w:rPr>
  </w:style>
  <w:style w:type="paragraph" w:customStyle="1" w:styleId="Titreobjet">
    <w:name w:val="Titre objet"/>
    <w:basedOn w:val="Normal"/>
    <w:next w:val="Normal"/>
    <w:pPr>
      <w:spacing w:before="360" w:after="360"/>
      <w:jc w:val="center"/>
    </w:pPr>
    <w:rPr>
      <w:rFonts w:ascii="Times New Roman" w:eastAsia="Times New Roman" w:hAnsi="Times New Roman" w:cs="Times New Roman"/>
      <w:b/>
      <w:sz w:val="24"/>
    </w:rPr>
  </w:style>
  <w:style w:type="paragraph" w:customStyle="1" w:styleId="Typedudocument">
    <w:name w:val="Type du document"/>
    <w:basedOn w:val="Normal"/>
    <w:next w:val="Titreobjet"/>
    <w:pPr>
      <w:spacing w:before="360"/>
      <w:jc w:val="center"/>
    </w:pPr>
    <w:rPr>
      <w:rFonts w:ascii="Times New Roman" w:eastAsia="Times New Roman" w:hAnsi="Times New Roman" w:cs="Times New Roman"/>
      <w:b/>
      <w:sz w:val="24"/>
    </w:rPr>
  </w:style>
  <w:style w:type="paragraph" w:customStyle="1" w:styleId="Pagedecouverture">
    <w:name w:val="Page de couverture"/>
    <w:basedOn w:val="Normal"/>
    <w:next w:val="Normal"/>
    <w:pPr>
      <w:spacing w:before="120" w:after="120"/>
      <w:jc w:val="both"/>
    </w:pPr>
    <w:rPr>
      <w:rFonts w:ascii="Times New Roman" w:eastAsia="Times New Roman" w:hAnsi="Times New Roman" w:cs="Times New Roman"/>
      <w:sz w:val="24"/>
    </w:rPr>
  </w:style>
  <w:style w:type="paragraph" w:customStyle="1" w:styleId="Institutionquiagit">
    <w:name w:val="Institution qui agit"/>
    <w:basedOn w:val="Normal"/>
    <w:next w:val="Normal"/>
    <w:pPr>
      <w:keepNext/>
      <w:spacing w:before="600" w:after="120"/>
      <w:jc w:val="both"/>
    </w:pPr>
    <w:rPr>
      <w:rFonts w:ascii="Times New Roman" w:eastAsia="Times New Roman" w:hAnsi="Times New Roman" w:cs="Times New Roman"/>
      <w:sz w:val="24"/>
    </w:rPr>
  </w:style>
  <w:style w:type="paragraph" w:styleId="ListParagraph">
    <w:name w:val="List Paragraph"/>
    <w:aliases w:val="Paragraphe EI,Paragraphe de liste1,EC,Paragraphe de liste2,Colorful List Accent 1,Liste couleur - Accent 11,Paragraphe de liste11,RETRAIT 1,List Paragraph1,Colorful List - Accent 11,Párrafo de lista"/>
    <w:basedOn w:val="Normal"/>
    <w:link w:val="ListParagraphChar"/>
    <w:uiPriority w:val="34"/>
    <w:qFormat/>
    <w:pPr>
      <w:ind w:left="720"/>
    </w:pPr>
    <w:rPr>
      <w:rFonts w:ascii="Calibri" w:eastAsia="Calibri" w:hAnsi="Calibri" w:cs="Times New Roman"/>
      <w:szCs w:val="22"/>
    </w:rPr>
  </w:style>
  <w:style w:type="paragraph" w:customStyle="1" w:styleId="Questionforconsultation">
    <w:name w:val="Question for consultation"/>
    <w:basedOn w:val="ListParagraph"/>
    <w:link w:val="QuestionforconsultationChar"/>
    <w:qFormat/>
    <w:pPr>
      <w:numPr>
        <w:numId w:val="52"/>
      </w:numPr>
      <w:pBdr>
        <w:top w:val="single" w:sz="4" w:space="1" w:color="auto"/>
        <w:left w:val="single" w:sz="4" w:space="4" w:color="auto"/>
        <w:bottom w:val="single" w:sz="4" w:space="1" w:color="auto"/>
        <w:right w:val="single" w:sz="4" w:space="4" w:color="auto"/>
      </w:pBdr>
      <w:ind w:left="1134" w:hanging="1134"/>
      <w:contextualSpacing/>
      <w:jc w:val="both"/>
    </w:pPr>
    <w:rPr>
      <w:rFonts w:ascii="Times New Roman" w:hAnsi="Times New Roman"/>
    </w:rPr>
  </w:style>
  <w:style w:type="paragraph" w:customStyle="1" w:styleId="doc-ti">
    <w:name w:val="doc-ti"/>
    <w:basedOn w:val="Normal"/>
    <w:pPr>
      <w:spacing w:before="100" w:beforeAutospacing="1" w:after="100" w:afterAutospacing="1"/>
    </w:pPr>
    <w:rPr>
      <w:rFonts w:ascii="Times New Roman" w:eastAsia="Times New Roman" w:hAnsi="Times New Roman" w:cs="Times New Roman"/>
      <w:sz w:val="24"/>
    </w:rPr>
  </w:style>
  <w:style w:type="character" w:customStyle="1" w:styleId="ListParagraphChar">
    <w:name w:val="List Paragraph Char"/>
    <w:aliases w:val="Paragraphe EI Char,Paragraphe de liste1 Char,EC Char,Paragraphe de liste2 Char,Colorful List Accent 1 Char,Liste couleur - Accent 11 Char,Paragraphe de liste11 Char,RETRAIT 1 Char,List Paragraph1 Char,Colorful List - Accent 11 Char"/>
    <w:basedOn w:val="DefaultParagraphFont"/>
    <w:link w:val="ListParagraph"/>
    <w:uiPriority w:val="34"/>
    <w:rPr>
      <w:rFonts w:ascii="Calibri" w:eastAsia="Calibri" w:hAnsi="Calibri" w:cs="Times New Roman"/>
    </w:rPr>
  </w:style>
  <w:style w:type="character" w:customStyle="1" w:styleId="QuestionforconsultationChar">
    <w:name w:val="Question for consultation Char"/>
    <w:basedOn w:val="ListParagraphChar"/>
    <w:link w:val="Questionforconsultation"/>
    <w:rPr>
      <w:rFonts w:ascii="Times New Roman" w:eastAsia="Calibri" w:hAnsi="Times New Roman" w:cs="Times New Roman"/>
    </w:rPr>
  </w:style>
  <w:style w:type="paragraph" w:customStyle="1" w:styleId="Normal1">
    <w:name w:val="Normal1"/>
    <w:basedOn w:val="Normal"/>
    <w:pPr>
      <w:spacing w:before="100" w:beforeAutospacing="1" w:after="100" w:afterAutospacing="1"/>
    </w:pPr>
    <w:rPr>
      <w:rFonts w:ascii="Times New Roman" w:eastAsia="Times New Roman" w:hAnsi="Times New Roman" w:cs="Times New Roman"/>
      <w:sz w:val="24"/>
    </w:rPr>
  </w:style>
  <w:style w:type="character" w:customStyle="1" w:styleId="super">
    <w:name w:val="super"/>
    <w:basedOn w:val="DefaultParagraphFont"/>
  </w:style>
  <w:style w:type="paragraph" w:customStyle="1" w:styleId="ti-art">
    <w:name w:val="ti-art"/>
    <w:basedOn w:val="Normal"/>
    <w:pPr>
      <w:spacing w:before="100" w:beforeAutospacing="1" w:after="100" w:afterAutospacing="1"/>
    </w:pPr>
    <w:rPr>
      <w:rFonts w:ascii="Times New Roman" w:eastAsia="Times New Roman" w:hAnsi="Times New Roman" w:cs="Times New Roman"/>
      <w:sz w:val="24"/>
    </w:rPr>
  </w:style>
  <w:style w:type="paragraph" w:customStyle="1" w:styleId="sti-art">
    <w:name w:val="sti-art"/>
    <w:basedOn w:val="Normal"/>
    <w:pPr>
      <w:spacing w:before="100" w:beforeAutospacing="1" w:after="100" w:afterAutospacing="1"/>
    </w:pPr>
    <w:rPr>
      <w:rFonts w:ascii="Times New Roman" w:eastAsia="Times New Roman" w:hAnsi="Times New Roman" w:cs="Times New Roman"/>
      <w:sz w:val="24"/>
    </w:rPr>
  </w:style>
  <w:style w:type="character" w:customStyle="1" w:styleId="apple-converted-space">
    <w:name w:val="apple-converted-space"/>
    <w:basedOn w:val="DefaultParagraphFont"/>
  </w:style>
  <w:style w:type="character" w:customStyle="1" w:styleId="italic">
    <w:name w:val="italic"/>
    <w:basedOn w:val="DefaultParagraphFont"/>
  </w:style>
  <w:style w:type="character" w:styleId="CommentReference">
    <w:name w:val="annotation reference"/>
    <w:basedOn w:val="DefaultParagraphFont"/>
    <w:uiPriority w:val="99"/>
    <w:semiHidden/>
    <w:rPr>
      <w:sz w:val="16"/>
      <w:szCs w:val="16"/>
    </w:rPr>
  </w:style>
  <w:style w:type="paragraph" w:styleId="CommentText">
    <w:name w:val="annotation text"/>
    <w:basedOn w:val="Normal"/>
    <w:link w:val="CommentTextChar"/>
    <w:uiPriority w:val="99"/>
    <w:rPr>
      <w:sz w:val="20"/>
      <w:szCs w:val="20"/>
    </w:rPr>
  </w:style>
  <w:style w:type="character" w:customStyle="1" w:styleId="CommentTextChar">
    <w:name w:val="Comment Text Char"/>
    <w:basedOn w:val="DefaultParagraphFont"/>
    <w:link w:val="CommentText"/>
    <w:uiPriority w:val="99"/>
    <w:rPr>
      <w:rFonts w:eastAsiaTheme="minorEastAsia"/>
      <w:sz w:val="20"/>
      <w:szCs w:val="20"/>
    </w:rPr>
  </w:style>
  <w:style w:type="paragraph" w:styleId="CommentSubject">
    <w:name w:val="annotation subject"/>
    <w:basedOn w:val="CommentText"/>
    <w:next w:val="CommentText"/>
    <w:link w:val="CommentSubjectChar"/>
    <w:uiPriority w:val="99"/>
    <w:semiHidden/>
    <w:rPr>
      <w:b/>
      <w:bCs/>
    </w:rPr>
  </w:style>
  <w:style w:type="character" w:customStyle="1" w:styleId="CommentSubjectChar">
    <w:name w:val="Comment Subject Char"/>
    <w:basedOn w:val="CommentTextChar"/>
    <w:link w:val="CommentSubject"/>
    <w:uiPriority w:val="99"/>
    <w:semiHidden/>
    <w:rPr>
      <w:rFonts w:eastAsiaTheme="minorEastAsia"/>
      <w:b/>
      <w:bCs/>
      <w:sz w:val="20"/>
      <w:szCs w:val="20"/>
    </w:rPr>
  </w:style>
  <w:style w:type="paragraph" w:customStyle="1" w:styleId="Point0number">
    <w:name w:val="Point 0 (number)"/>
    <w:basedOn w:val="Normal"/>
    <w:pPr>
      <w:numPr>
        <w:numId w:val="53"/>
      </w:numPr>
      <w:spacing w:before="120" w:after="120"/>
      <w:jc w:val="both"/>
    </w:pPr>
    <w:rPr>
      <w:rFonts w:ascii="Times New Roman" w:eastAsiaTheme="minorHAnsi" w:hAnsi="Times New Roman" w:cs="Times New Roman"/>
      <w:sz w:val="24"/>
      <w:szCs w:val="22"/>
    </w:rPr>
  </w:style>
  <w:style w:type="paragraph" w:customStyle="1" w:styleId="Point1number">
    <w:name w:val="Point 1 (number)"/>
    <w:basedOn w:val="Normal"/>
    <w:pPr>
      <w:numPr>
        <w:ilvl w:val="2"/>
        <w:numId w:val="53"/>
      </w:numPr>
      <w:spacing w:before="120" w:after="120"/>
      <w:jc w:val="both"/>
    </w:pPr>
    <w:rPr>
      <w:rFonts w:ascii="Times New Roman" w:eastAsiaTheme="minorHAnsi" w:hAnsi="Times New Roman" w:cs="Times New Roman"/>
      <w:sz w:val="24"/>
      <w:szCs w:val="22"/>
    </w:rPr>
  </w:style>
  <w:style w:type="paragraph" w:customStyle="1" w:styleId="Point2number">
    <w:name w:val="Point 2 (number)"/>
    <w:basedOn w:val="Normal"/>
    <w:pPr>
      <w:numPr>
        <w:ilvl w:val="4"/>
        <w:numId w:val="53"/>
      </w:numPr>
      <w:spacing w:before="120" w:after="120"/>
      <w:jc w:val="both"/>
    </w:pPr>
    <w:rPr>
      <w:rFonts w:ascii="Times New Roman" w:eastAsiaTheme="minorHAnsi" w:hAnsi="Times New Roman" w:cs="Times New Roman"/>
      <w:sz w:val="24"/>
      <w:szCs w:val="22"/>
    </w:rPr>
  </w:style>
  <w:style w:type="paragraph" w:customStyle="1" w:styleId="Point3number">
    <w:name w:val="Point 3 (number)"/>
    <w:basedOn w:val="Normal"/>
    <w:pPr>
      <w:numPr>
        <w:ilvl w:val="6"/>
        <w:numId w:val="53"/>
      </w:numPr>
      <w:spacing w:before="120" w:after="120"/>
      <w:jc w:val="both"/>
    </w:pPr>
    <w:rPr>
      <w:rFonts w:ascii="Times New Roman" w:eastAsiaTheme="minorHAnsi" w:hAnsi="Times New Roman" w:cs="Times New Roman"/>
      <w:sz w:val="24"/>
      <w:szCs w:val="22"/>
    </w:rPr>
  </w:style>
  <w:style w:type="paragraph" w:customStyle="1" w:styleId="Point0letter">
    <w:name w:val="Point 0 (letter)"/>
    <w:basedOn w:val="Normal"/>
    <w:pPr>
      <w:numPr>
        <w:ilvl w:val="1"/>
        <w:numId w:val="53"/>
      </w:numPr>
      <w:spacing w:before="120" w:after="120"/>
      <w:jc w:val="both"/>
    </w:pPr>
    <w:rPr>
      <w:rFonts w:ascii="Times New Roman" w:eastAsiaTheme="minorHAnsi" w:hAnsi="Times New Roman" w:cs="Times New Roman"/>
      <w:sz w:val="24"/>
      <w:szCs w:val="22"/>
    </w:rPr>
  </w:style>
  <w:style w:type="paragraph" w:customStyle="1" w:styleId="Point1letter">
    <w:name w:val="Point 1 (letter)"/>
    <w:basedOn w:val="Normal"/>
    <w:pPr>
      <w:numPr>
        <w:ilvl w:val="3"/>
        <w:numId w:val="53"/>
      </w:numPr>
      <w:spacing w:before="120" w:after="120"/>
      <w:jc w:val="both"/>
    </w:pPr>
    <w:rPr>
      <w:rFonts w:ascii="Times New Roman" w:eastAsiaTheme="minorHAnsi" w:hAnsi="Times New Roman" w:cs="Times New Roman"/>
      <w:sz w:val="24"/>
      <w:szCs w:val="22"/>
    </w:rPr>
  </w:style>
  <w:style w:type="paragraph" w:customStyle="1" w:styleId="Point2letter">
    <w:name w:val="Point 2 (letter)"/>
    <w:basedOn w:val="Normal"/>
    <w:pPr>
      <w:numPr>
        <w:ilvl w:val="5"/>
        <w:numId w:val="53"/>
      </w:numPr>
      <w:spacing w:before="120" w:after="120"/>
      <w:jc w:val="both"/>
    </w:pPr>
    <w:rPr>
      <w:rFonts w:ascii="Times New Roman" w:eastAsiaTheme="minorHAnsi" w:hAnsi="Times New Roman" w:cs="Times New Roman"/>
      <w:sz w:val="24"/>
      <w:szCs w:val="22"/>
    </w:rPr>
  </w:style>
  <w:style w:type="paragraph" w:customStyle="1" w:styleId="Point3letter">
    <w:name w:val="Point 3 (letter)"/>
    <w:basedOn w:val="Normal"/>
    <w:pPr>
      <w:numPr>
        <w:ilvl w:val="7"/>
        <w:numId w:val="53"/>
      </w:numPr>
      <w:spacing w:before="120" w:after="120"/>
      <w:jc w:val="both"/>
    </w:pPr>
    <w:rPr>
      <w:rFonts w:ascii="Times New Roman" w:eastAsiaTheme="minorHAnsi" w:hAnsi="Times New Roman" w:cs="Times New Roman"/>
      <w:sz w:val="24"/>
      <w:szCs w:val="22"/>
    </w:rPr>
  </w:style>
  <w:style w:type="paragraph" w:customStyle="1" w:styleId="Point4letter">
    <w:name w:val="Point 4 (letter)"/>
    <w:basedOn w:val="Normal"/>
    <w:pPr>
      <w:numPr>
        <w:ilvl w:val="8"/>
        <w:numId w:val="53"/>
      </w:numPr>
      <w:spacing w:before="120" w:after="120"/>
      <w:jc w:val="both"/>
    </w:pPr>
    <w:rPr>
      <w:rFonts w:ascii="Times New Roman" w:eastAsiaTheme="minorHAnsi" w:hAnsi="Times New Roman" w:cs="Times New Roman"/>
      <w:sz w:val="24"/>
      <w:szCs w:val="22"/>
    </w:rPr>
  </w:style>
  <w:style w:type="paragraph" w:styleId="BodyText">
    <w:name w:val="Body Text"/>
    <w:basedOn w:val="Normal"/>
    <w:link w:val="BodyTextChar"/>
    <w:uiPriority w:val="1"/>
    <w:qFormat/>
    <w:pPr>
      <w:widowControl w:val="0"/>
      <w:ind w:left="20"/>
    </w:pPr>
    <w:rPr>
      <w:rFonts w:ascii="Cambria" w:eastAsia="Cambria" w:hAnsi="Cambria"/>
      <w:sz w:val="19"/>
      <w:szCs w:val="19"/>
    </w:rPr>
  </w:style>
  <w:style w:type="character" w:customStyle="1" w:styleId="BodyTextChar">
    <w:name w:val="Body Text Char"/>
    <w:basedOn w:val="DefaultParagraphFont"/>
    <w:link w:val="BodyText"/>
    <w:uiPriority w:val="1"/>
    <w:rPr>
      <w:rFonts w:ascii="Cambria" w:eastAsia="Cambria" w:hAnsi="Cambria"/>
      <w:sz w:val="19"/>
      <w:szCs w:val="19"/>
    </w:rPr>
  </w:style>
  <w:style w:type="paragraph" w:customStyle="1" w:styleId="TableParagraph">
    <w:name w:val="Table Paragraph"/>
    <w:basedOn w:val="Normal"/>
    <w:uiPriority w:val="1"/>
    <w:qFormat/>
    <w:pPr>
      <w:widowControl w:val="0"/>
    </w:pPr>
    <w:rPr>
      <w:rFonts w:eastAsiaTheme="minorHAnsi"/>
      <w:szCs w:val="22"/>
    </w:rPr>
  </w:style>
  <w:style w:type="paragraph" w:customStyle="1" w:styleId="Instructionsberschrift2">
    <w:name w:val="Instructions Überschrift 2"/>
    <w:basedOn w:val="Heading2"/>
    <w:link w:val="Instructionsberschrift2Char"/>
    <w:pPr>
      <w:keepNext/>
      <w:pBdr>
        <w:bottom w:val="none" w:sz="0" w:space="0" w:color="auto"/>
      </w:pBdr>
      <w:spacing w:before="240" w:after="240" w:line="240" w:lineRule="auto"/>
      <w:jc w:val="both"/>
    </w:pPr>
    <w:rPr>
      <w:rFonts w:ascii="Verdana" w:eastAsia="Times New Roman" w:hAnsi="Verdana" w:cs="Arial"/>
      <w:color w:val="auto"/>
      <w:kern w:val="0"/>
      <w:sz w:val="20"/>
      <w:szCs w:val="24"/>
      <w:u w:val="single"/>
    </w:rPr>
  </w:style>
  <w:style w:type="paragraph" w:customStyle="1" w:styleId="InstructionsText">
    <w:name w:val="Instructions Text"/>
    <w:basedOn w:val="Normal"/>
    <w:link w:val="InstructionsTextChar"/>
    <w:autoRedefine/>
    <w:pPr>
      <w:spacing w:before="108"/>
      <w:ind w:firstLine="221"/>
      <w:jc w:val="both"/>
    </w:pPr>
    <w:rPr>
      <w:rFonts w:asciiTheme="majorHAnsi" w:eastAsia="Times New Roman" w:hAnsiTheme="majorHAnsi" w:cs="Arial"/>
      <w:szCs w:val="22"/>
    </w:rPr>
  </w:style>
  <w:style w:type="character" w:customStyle="1" w:styleId="InstructionsTextChar">
    <w:name w:val="Instructions Text Char"/>
    <w:link w:val="InstructionsText"/>
    <w:locked/>
    <w:rPr>
      <w:rFonts w:asciiTheme="majorHAnsi" w:eastAsia="Times New Roman" w:hAnsiTheme="majorHAnsi" w:cs="Arial"/>
    </w:rPr>
  </w:style>
  <w:style w:type="paragraph" w:customStyle="1" w:styleId="InstructionsText2">
    <w:name w:val="Instructions Text 2"/>
    <w:basedOn w:val="InstructionsText"/>
    <w:qFormat/>
    <w:pPr>
      <w:numPr>
        <w:numId w:val="72"/>
      </w:numPr>
      <w:spacing w:after="240"/>
    </w:pPr>
  </w:style>
  <w:style w:type="character" w:customStyle="1" w:styleId="Instructionsberschrift2Char">
    <w:name w:val="Instructions Überschrift 2 Char"/>
    <w:link w:val="Instructionsberschrift2"/>
    <w:locked/>
    <w:rPr>
      <w:rFonts w:ascii="Verdana" w:eastAsia="Times New Roman" w:hAnsi="Verdana" w:cs="Arial"/>
      <w:sz w:val="20"/>
      <w:szCs w:val="24"/>
      <w:u w:val="single"/>
    </w:rPr>
  </w:style>
  <w:style w:type="paragraph" w:styleId="NormalWeb">
    <w:name w:val="Normal (Web)"/>
    <w:basedOn w:val="Normal"/>
    <w:uiPriority w:val="99"/>
    <w:unhideWhenUsed/>
    <w:pPr>
      <w:spacing w:before="100" w:beforeAutospacing="1" w:after="100" w:afterAutospacing="1"/>
    </w:pPr>
    <w:rPr>
      <w:rFonts w:ascii="Times New Roman" w:eastAsiaTheme="minorHAnsi" w:hAnsi="Times New Roman" w:cs="Times New Roman"/>
      <w:sz w:val="24"/>
    </w:rPr>
  </w:style>
  <w:style w:type="paragraph" w:customStyle="1" w:styleId="CM1">
    <w:name w:val="CM1"/>
    <w:basedOn w:val="Default"/>
    <w:next w:val="Default"/>
    <w:uiPriority w:val="99"/>
    <w:rPr>
      <w:rFonts w:ascii="EUAlbertina" w:hAnsi="EUAlbertina" w:cstheme="minorBidi"/>
      <w:color w:val="auto"/>
    </w:rPr>
  </w:style>
  <w:style w:type="paragraph" w:customStyle="1" w:styleId="CM3">
    <w:name w:val="CM3"/>
    <w:basedOn w:val="Default"/>
    <w:next w:val="Default"/>
    <w:uiPriority w:val="99"/>
    <w:rPr>
      <w:rFonts w:ascii="EUAlbertina" w:hAnsi="EUAlbertina" w:cstheme="minorBidi"/>
      <w:color w:val="auto"/>
    </w:rPr>
  </w:style>
  <w:style w:type="paragraph" w:customStyle="1" w:styleId="CM4">
    <w:name w:val="CM4"/>
    <w:basedOn w:val="Default"/>
    <w:next w:val="Default"/>
    <w:uiPriority w:val="99"/>
    <w:rPr>
      <w:rFonts w:ascii="EUAlbertina" w:hAnsi="EUAlbertina" w:cstheme="minorBidi"/>
      <w:color w:val="auto"/>
    </w:rPr>
  </w:style>
  <w:style w:type="paragraph" w:customStyle="1" w:styleId="Baseparagraphnumbered">
    <w:name w:val="Base paragraph numbered"/>
    <w:basedOn w:val="Normal"/>
    <w:link w:val="BaseparagraphnumberedChar"/>
    <w:qFormat/>
    <w:pPr>
      <w:numPr>
        <w:numId w:val="59"/>
      </w:numPr>
      <w:spacing w:after="240"/>
      <w:jc w:val="both"/>
    </w:pPr>
    <w:rPr>
      <w:rFonts w:ascii="Times New Roman" w:eastAsia="Times New Roman" w:hAnsi="Times New Roman" w:cs="Times New Roman"/>
      <w:sz w:val="24"/>
    </w:rPr>
  </w:style>
  <w:style w:type="character" w:customStyle="1" w:styleId="BaseparagraphnumberedChar">
    <w:name w:val="Base paragraph numbered Char"/>
    <w:link w:val="Baseparagraphnumbered"/>
    <w:rPr>
      <w:rFonts w:ascii="Times New Roman" w:eastAsia="Times New Roman" w:hAnsi="Times New Roman" w:cs="Times New Roman"/>
      <w:sz w:val="24"/>
      <w:szCs w:val="24"/>
    </w:rPr>
  </w:style>
  <w:style w:type="paragraph" w:styleId="Revision">
    <w:name w:val="Revision"/>
    <w:hidden/>
    <w:uiPriority w:val="99"/>
    <w:semiHidden/>
    <w:pPr>
      <w:spacing w:after="0" w:line="240" w:lineRule="auto"/>
    </w:pPr>
    <w:rPr>
      <w:rFonts w:eastAsiaTheme="minorEastAsia"/>
      <w:szCs w:val="24"/>
    </w:rPr>
  </w:style>
  <w:style w:type="character" w:styleId="Emphasis">
    <w:name w:val="Emphasis"/>
    <w:basedOn w:val="DefaultParagraphFont"/>
    <w:uiPriority w:val="20"/>
    <w:qFormat/>
    <w:rPr>
      <w:i/>
      <w:iCs/>
    </w:rPr>
  </w:style>
  <w:style w:type="character" w:customStyle="1" w:styleId="InstructionsTabelleberschrift">
    <w:name w:val="Instructions Tabelle Überschrift"/>
    <w:qFormat/>
    <w:rPr>
      <w:rFonts w:ascii="Verdana" w:hAnsi="Verdana" w:cs="Times New Roman"/>
      <w:b/>
      <w:bCs/>
      <w:sz w:val="20"/>
      <w:u w:val="single"/>
    </w:rPr>
  </w:style>
  <w:style w:type="paragraph" w:customStyle="1" w:styleId="Instructionsberschrift3">
    <w:name w:val="Instructions Überschrift 3"/>
    <w:basedOn w:val="Numberedtitlelevel3"/>
    <w:pPr>
      <w:numPr>
        <w:ilvl w:val="2"/>
        <w:numId w:val="260"/>
      </w:numPr>
    </w:pPr>
    <w:rPr>
      <w:rFonts w:ascii="Times New Roman" w:hAnsi="Times New Roman" w:cs="Times New Roman"/>
      <w:b w:val="0"/>
      <w:color w:val="000000" w:themeColor="text1"/>
      <w:sz w:val="20"/>
      <w:szCs w:val="20"/>
      <w:u w:val="single"/>
    </w:rPr>
  </w:style>
  <w:style w:type="table" w:customStyle="1" w:styleId="TableGrid0">
    <w:name w:val="Table Grid0"/>
    <w:pPr>
      <w:spacing w:after="0" w:line="240" w:lineRule="auto"/>
    </w:pPr>
    <w:rPr>
      <w:rFonts w:eastAsiaTheme="minorEastAsia"/>
    </w:rPr>
    <w:tblPr>
      <w:tblCellMar>
        <w:top w:w="0" w:type="dxa"/>
        <w:left w:w="0" w:type="dxa"/>
        <w:bottom w:w="0" w:type="dxa"/>
        <w:right w:w="0" w:type="dxa"/>
      </w:tblCellMar>
    </w:tblPr>
  </w:style>
  <w:style w:type="character" w:styleId="FollowedHyperlink">
    <w:name w:val="FollowedHyperlink"/>
    <w:basedOn w:val="DefaultParagraphFont"/>
    <w:uiPriority w:val="99"/>
    <w:semiHidden/>
    <w:unhideWhenUsed/>
    <w:rPr>
      <w:color w:val="800080" w:themeColor="followedHyperlink"/>
      <w:u w:val="single"/>
    </w:rPr>
  </w:style>
  <w:style w:type="paragraph" w:customStyle="1" w:styleId="ql-indent-1">
    <w:name w:val="ql-indent-1"/>
    <w:basedOn w:val="Normal"/>
    <w:pPr>
      <w:spacing w:before="100" w:beforeAutospacing="1" w:after="100" w:afterAutospacing="1"/>
    </w:pPr>
    <w:rPr>
      <w:rFonts w:ascii="Times New Roman" w:eastAsia="Times New Roman" w:hAnsi="Times New Roman" w:cs="Times New Roman"/>
      <w:sz w:val="24"/>
    </w:rPr>
  </w:style>
  <w:style w:type="paragraph" w:customStyle="1" w:styleId="ql-indent-3">
    <w:name w:val="ql-indent-3"/>
    <w:basedOn w:val="Normal"/>
    <w:pPr>
      <w:spacing w:before="100" w:beforeAutospacing="1" w:after="100" w:afterAutospacing="1"/>
    </w:pPr>
    <w:rPr>
      <w:rFonts w:ascii="Times New Roman" w:eastAsia="Times New Roman" w:hAnsi="Times New Roman" w:cs="Times New Roman"/>
      <w:sz w:val="24"/>
    </w:rPr>
  </w:style>
  <w:style w:type="paragraph" w:customStyle="1" w:styleId="norm">
    <w:name w:val="norm"/>
    <w:basedOn w:val="Normal"/>
    <w:pPr>
      <w:spacing w:before="100" w:beforeAutospacing="1" w:after="100" w:afterAutospacing="1"/>
    </w:pPr>
    <w:rPr>
      <w:rFonts w:ascii="Times New Roman" w:eastAsia="Times New Roman" w:hAnsi="Times New Roman" w:cs="Times New Roman"/>
      <w:sz w:val="24"/>
    </w:rPr>
  </w:style>
  <w:style w:type="table" w:customStyle="1" w:styleId="TableGrid1">
    <w:name w:val="Table Grid1"/>
    <w:basedOn w:val="TableNormal"/>
    <w:next w:val="TableGrid"/>
    <w:uiPriority w:val="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dnoteTextChar">
    <w:name w:val="Endnote Text Char"/>
    <w:basedOn w:val="DefaultParagraphFont"/>
    <w:link w:val="EndnoteText"/>
    <w:uiPriority w:val="99"/>
    <w:semiHidden/>
    <w:rPr>
      <w:sz w:val="20"/>
      <w:szCs w:val="20"/>
    </w:rPr>
  </w:style>
  <w:style w:type="paragraph" w:styleId="EndnoteText">
    <w:name w:val="endnote text"/>
    <w:basedOn w:val="Normal"/>
    <w:link w:val="EndnoteTextChar"/>
    <w:uiPriority w:val="99"/>
    <w:semiHidden/>
    <w:unhideWhenUsed/>
    <w:rPr>
      <w:rFonts w:eastAsiaTheme="minorHAnsi"/>
      <w:sz w:val="20"/>
      <w:szCs w:val="20"/>
    </w:rPr>
  </w:style>
  <w:style w:type="character" w:customStyle="1" w:styleId="EndnoteTextChar1">
    <w:name w:val="Endnote Text Char1"/>
    <w:basedOn w:val="DefaultParagraphFont"/>
    <w:uiPriority w:val="99"/>
    <w:semiHidden/>
    <w:rPr>
      <w:rFonts w:eastAsiaTheme="minorEastAsia"/>
      <w:sz w:val="20"/>
      <w:szCs w:val="20"/>
    </w:rPr>
  </w:style>
  <w:style w:type="table" w:customStyle="1" w:styleId="TableGrid11">
    <w:name w:val="Table Grid11"/>
    <w:basedOn w:val="TableNormal"/>
    <w:next w:val="TableGrid"/>
    <w:uiPriority w:val="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376B0"/>
    <w:rPr>
      <w:color w:val="605E5C"/>
      <w:shd w:val="clear" w:color="auto" w:fill="E1DFDD"/>
    </w:rPr>
  </w:style>
  <w:style w:type="character" w:customStyle="1" w:styleId="PrrafodelistaCar">
    <w:name w:val="Párrafo de lista Car"/>
    <w:aliases w:val="Paragraphe EI Car,Paragraphe de liste1 Car,EC Car,Paragraphe de liste2 Car,Colorful List Accent 1 Car,Liste couleur - Accent 11 Car,Paragraphe de liste11 Car,RETRAIT 1 Car,List Paragraph1 Car,Colorful List - Accent 11 Car"/>
    <w:basedOn w:val="DefaultParagraphFont"/>
    <w:uiPriority w:val="34"/>
    <w:locked/>
    <w:rsid w:val="0046145A"/>
    <w:rPr>
      <w:rFonts w:ascii="Aptos" w:hAnsi="Aptos"/>
      <w14:ligatures w14:val="standardContextual"/>
    </w:rPr>
  </w:style>
  <w:style w:type="paragraph" w:customStyle="1" w:styleId="P68B1DB1-ListParagraph1">
    <w:name w:val="P68B1DB1-ListParagraph1"/>
    <w:basedOn w:val="ListParagraph"/>
    <w:rPr>
      <w:rFonts w:ascii="Times New Roman" w:hAnsi="Times New Roman"/>
      <w:b/>
      <w:color w:val="000000" w:themeColor="text1"/>
      <w:sz w:val="20"/>
      <w:szCs w:val="20"/>
    </w:rPr>
  </w:style>
  <w:style w:type="paragraph" w:customStyle="1" w:styleId="P68B1DB1-TOC22">
    <w:name w:val="P68B1DB1-TOC22"/>
    <w:basedOn w:val="TOC2"/>
    <w:rPr>
      <w:sz w:val="20"/>
      <w:szCs w:val="20"/>
    </w:rPr>
  </w:style>
  <w:style w:type="paragraph" w:customStyle="1" w:styleId="P68B1DB1-Normal3">
    <w:name w:val="P68B1DB1-Normal3"/>
    <w:basedOn w:val="Normal"/>
    <w:rPr>
      <w:rFonts w:ascii="Times New Roman" w:hAnsi="Times New Roman" w:cs="Times New Roman"/>
      <w:color w:val="000000" w:themeColor="text1"/>
      <w:sz w:val="20"/>
      <w:szCs w:val="20"/>
    </w:rPr>
  </w:style>
  <w:style w:type="paragraph" w:customStyle="1" w:styleId="P68B1DB1-Instructionsberschrift24">
    <w:name w:val="P68B1DB1-Instructionsberschrift24"/>
    <w:basedOn w:val="Instructionsberschrift2"/>
    <w:rPr>
      <w:rFonts w:ascii="Times New Roman" w:hAnsi="Times New Roman" w:cs="Times New Roman"/>
      <w:szCs w:val="20"/>
    </w:rPr>
  </w:style>
  <w:style w:type="paragraph" w:customStyle="1" w:styleId="P68B1DB1-Instructionsberschrift25">
    <w:name w:val="P68B1DB1-Instructionsberschrift25"/>
    <w:basedOn w:val="Instructionsberschrift2"/>
    <w:rPr>
      <w:rFonts w:ascii="Times New Roman" w:hAnsi="Times New Roman" w:cs="Times New Roman"/>
    </w:rPr>
  </w:style>
  <w:style w:type="paragraph" w:customStyle="1" w:styleId="P68B1DB1-InstructionsText26">
    <w:name w:val="P68B1DB1-InstructionsText26"/>
    <w:basedOn w:val="InstructionsText2"/>
    <w:rPr>
      <w:rFonts w:ascii="Times New Roman" w:hAnsi="Times New Roman" w:cs="Times New Roman"/>
      <w:sz w:val="20"/>
      <w:szCs w:val="20"/>
    </w:rPr>
  </w:style>
  <w:style w:type="paragraph" w:customStyle="1" w:styleId="P68B1DB1-body7">
    <w:name w:val="P68B1DB1-body7"/>
    <w:basedOn w:val="body"/>
    <w:rPr>
      <w:rFonts w:ascii="Times New Roman" w:hAnsi="Times New Roman" w:cs="Times New Roman"/>
      <w:color w:val="000000" w:themeColor="text1"/>
      <w:sz w:val="20"/>
      <w:szCs w:val="20"/>
    </w:rPr>
  </w:style>
  <w:style w:type="paragraph" w:customStyle="1" w:styleId="P68B1DB1-ListParagraph8">
    <w:name w:val="P68B1DB1-ListParagraph8"/>
    <w:basedOn w:val="ListParagraph"/>
    <w:rPr>
      <w:rFonts w:ascii="Times New Roman" w:hAnsi="Times New Roman"/>
      <w:color w:val="000000" w:themeColor="text1"/>
      <w:sz w:val="20"/>
      <w:szCs w:val="20"/>
    </w:rPr>
  </w:style>
  <w:style w:type="paragraph" w:customStyle="1" w:styleId="P68B1DB1-ListParagraph9">
    <w:name w:val="P68B1DB1-ListParagraph9"/>
    <w:basedOn w:val="ListParagraph"/>
    <w:rPr>
      <w:rFonts w:ascii="Times New Roman" w:hAnsi="Times New Roman"/>
    </w:rPr>
  </w:style>
  <w:style w:type="paragraph" w:customStyle="1" w:styleId="P68B1DB1-Instructionsberschrift310">
    <w:name w:val="P68B1DB1-Instructionsberschrift310"/>
    <w:basedOn w:val="Instructionsberschrift3"/>
    <w:rPr>
      <w:u w:val="none"/>
    </w:rPr>
  </w:style>
  <w:style w:type="paragraph" w:customStyle="1" w:styleId="P68B1DB1-numberedparagraph11">
    <w:name w:val="P68B1DB1-numberedparagraph11"/>
    <w:basedOn w:val="numberedparagraph"/>
    <w:rPr>
      <w:rFonts w:ascii="Times New Roman" w:hAnsi="Times New Roman" w:cs="Times New Roman"/>
    </w:rPr>
  </w:style>
  <w:style w:type="paragraph" w:customStyle="1" w:styleId="P68B1DB1-Instructionsberschrift312">
    <w:name w:val="P68B1DB1-Instructionsberschrift312"/>
    <w:basedOn w:val="Instructionsberschrift3"/>
    <w:rPr>
      <w:b/>
    </w:rPr>
  </w:style>
  <w:style w:type="paragraph" w:customStyle="1" w:styleId="P68B1DB1-TableParagraph13">
    <w:name w:val="P68B1DB1-TableParagraph13"/>
    <w:basedOn w:val="TableParagraph"/>
    <w:rPr>
      <w:rFonts w:ascii="Times New Roman" w:hAnsi="Times New Roman" w:cs="Times New Roman"/>
      <w:color w:val="000000" w:themeColor="text1"/>
      <w:sz w:val="20"/>
      <w:szCs w:val="20"/>
    </w:rPr>
  </w:style>
  <w:style w:type="paragraph" w:customStyle="1" w:styleId="P68B1DB1-TableParagraph14">
    <w:name w:val="P68B1DB1-TableParagraph14"/>
    <w:basedOn w:val="TableParagraph"/>
    <w:rPr>
      <w:rFonts w:ascii="Times New Roman" w:hAnsi="Times New Roman" w:cs="Times New Roman"/>
      <w:b/>
      <w:color w:val="000000" w:themeColor="text1"/>
      <w:sz w:val="20"/>
      <w:szCs w:val="20"/>
    </w:rPr>
  </w:style>
  <w:style w:type="paragraph" w:customStyle="1" w:styleId="P68B1DB1-TableParagraph15">
    <w:name w:val="P68B1DB1-TableParagraph15"/>
    <w:basedOn w:val="TableParagraph"/>
    <w:rPr>
      <w:rFonts w:ascii="Times New Roman" w:eastAsia="Book Antiqua" w:hAnsi="Times New Roman" w:cs="Times New Roman"/>
      <w:color w:val="000000" w:themeColor="text1"/>
      <w:sz w:val="20"/>
      <w:szCs w:val="20"/>
    </w:rPr>
  </w:style>
  <w:style w:type="paragraph" w:customStyle="1" w:styleId="P68B1DB1-TableParagraph16">
    <w:name w:val="P68B1DB1-TableParagraph16"/>
    <w:basedOn w:val="TableParagraph"/>
    <w:rPr>
      <w:rFonts w:ascii="Times New Roman" w:hAnsi="Times New Roman" w:cs="Times New Roman"/>
    </w:rPr>
  </w:style>
  <w:style w:type="paragraph" w:customStyle="1" w:styleId="P68B1DB1-TableParagraph17">
    <w:name w:val="P68B1DB1-TableParagraph17"/>
    <w:basedOn w:val="TableParagraph"/>
    <w:rPr>
      <w:rFonts w:ascii="Times New Roman" w:eastAsia="Cambria" w:hAnsi="Times New Roman" w:cs="Times New Roman"/>
      <w:color w:val="000000" w:themeColor="text1"/>
      <w:sz w:val="20"/>
      <w:szCs w:val="20"/>
    </w:rPr>
  </w:style>
  <w:style w:type="paragraph" w:customStyle="1" w:styleId="P68B1DB1-Normal18">
    <w:name w:val="P68B1DB1-Normal18"/>
    <w:basedOn w:val="Normal"/>
    <w:rPr>
      <w:rFonts w:ascii="Times New Roman" w:eastAsia="Cambria" w:hAnsi="Times New Roman" w:cs="Times New Roman"/>
      <w:color w:val="000000" w:themeColor="text1"/>
      <w:sz w:val="20"/>
      <w:szCs w:val="20"/>
    </w:rPr>
  </w:style>
  <w:style w:type="paragraph" w:customStyle="1" w:styleId="P68B1DB1-Normal19">
    <w:name w:val="P68B1DB1-Normal19"/>
    <w:basedOn w:val="Normal"/>
    <w:rPr>
      <w:rFonts w:ascii="Times New Roman" w:hAnsi="Times New Roman" w:cs="Times New Roman"/>
      <w:sz w:val="20"/>
      <w:szCs w:val="20"/>
    </w:rPr>
  </w:style>
  <w:style w:type="paragraph" w:customStyle="1" w:styleId="P68B1DB1-TableParagraph20">
    <w:name w:val="P68B1DB1-TableParagraph20"/>
    <w:basedOn w:val="TableParagraph"/>
    <w:rPr>
      <w:rFonts w:ascii="Times New Roman" w:eastAsia="Cambria" w:hAnsi="Times New Roman" w:cs="Times New Roman"/>
      <w:sz w:val="20"/>
      <w:szCs w:val="20"/>
    </w:rPr>
  </w:style>
  <w:style w:type="paragraph" w:customStyle="1" w:styleId="P68B1DB1-Normal21">
    <w:name w:val="P68B1DB1-Normal21"/>
    <w:basedOn w:val="Normal"/>
    <w:rPr>
      <w:rFonts w:ascii="Times New Roman" w:eastAsia="Cambria" w:hAnsi="Times New Roman" w:cs="Times New Roman"/>
      <w:sz w:val="20"/>
      <w:szCs w:val="20"/>
    </w:rPr>
  </w:style>
  <w:style w:type="paragraph" w:customStyle="1" w:styleId="P68B1DB1-InstructionsText22">
    <w:name w:val="P68B1DB1-InstructionsText22"/>
    <w:basedOn w:val="InstructionsText"/>
    <w:rPr>
      <w:rFonts w:ascii="Times New Roman" w:hAnsi="Times New Roman" w:cs="Times New Roman"/>
      <w:color w:val="000000" w:themeColor="text1"/>
      <w:sz w:val="20"/>
      <w:szCs w:val="20"/>
    </w:rPr>
  </w:style>
  <w:style w:type="paragraph" w:customStyle="1" w:styleId="P68B1DB1-ListParagraph23">
    <w:name w:val="P68B1DB1-ListParagraph23"/>
    <w:basedOn w:val="ListParagraph"/>
    <w:rPr>
      <w:rFonts w:ascii="Times New Roman" w:eastAsiaTheme="minorEastAsia" w:hAnsi="Times New Roman"/>
      <w:color w:val="000000" w:themeColor="text1"/>
      <w:sz w:val="20"/>
      <w:szCs w:val="20"/>
      <w:u w:val="single"/>
    </w:rPr>
  </w:style>
  <w:style w:type="paragraph" w:customStyle="1" w:styleId="P68B1DB1-TableParagraph24">
    <w:name w:val="P68B1DB1-TableParagraph24"/>
    <w:basedOn w:val="TableParagraph"/>
    <w:rPr>
      <w:rFonts w:ascii="Times New Roman" w:eastAsia="Cambria" w:hAnsi="Times New Roman" w:cs="Times New Roman"/>
      <w:color w:val="000000" w:themeColor="text1"/>
      <w:sz w:val="20"/>
      <w:szCs w:val="20"/>
      <w:u w:val="single"/>
    </w:rPr>
  </w:style>
  <w:style w:type="paragraph" w:customStyle="1" w:styleId="P68B1DB1-ListParagraph25">
    <w:name w:val="P68B1DB1-ListParagraph25"/>
    <w:basedOn w:val="ListParagraph"/>
    <w:rPr>
      <w:rFonts w:ascii="Times New Roman" w:eastAsia="Cambria" w:hAnsi="Times New Roman"/>
      <w:color w:val="000000" w:themeColor="text1"/>
      <w:sz w:val="20"/>
      <w:szCs w:val="20"/>
    </w:rPr>
  </w:style>
  <w:style w:type="paragraph" w:customStyle="1" w:styleId="P68B1DB1-body26">
    <w:name w:val="P68B1DB1-body26"/>
    <w:basedOn w:val="body"/>
    <w:rPr>
      <w:u w:val="single"/>
    </w:rPr>
  </w:style>
  <w:style w:type="paragraph" w:customStyle="1" w:styleId="P68B1DB1-List127">
    <w:name w:val="P68B1DB1-List127"/>
    <w:basedOn w:val="List1"/>
    <w:rPr>
      <w:rFonts w:ascii="Times New Roman" w:eastAsia="Cambria" w:hAnsi="Times New Roman" w:cs="Times New Roman"/>
      <w:color w:val="000000" w:themeColor="text1"/>
      <w:sz w:val="20"/>
      <w:szCs w:val="20"/>
    </w:rPr>
  </w:style>
  <w:style w:type="paragraph" w:customStyle="1" w:styleId="P68B1DB1-TableParagraph28">
    <w:name w:val="P68B1DB1-TableParagraph28"/>
    <w:basedOn w:val="TableParagraph"/>
    <w:rPr>
      <w:rFonts w:ascii="Times New Roman" w:eastAsia="Cambria" w:hAnsi="Times New Roman" w:cs="Times New Roman"/>
      <w:b/>
      <w:color w:val="000000" w:themeColor="text1"/>
      <w:sz w:val="20"/>
      <w:szCs w:val="20"/>
      <w:u w:val="single"/>
    </w:rPr>
  </w:style>
  <w:style w:type="paragraph" w:customStyle="1" w:styleId="P68B1DB1-InstructionsText229">
    <w:name w:val="P68B1DB1-InstructionsText229"/>
    <w:basedOn w:val="InstructionsText2"/>
    <w:rPr>
      <w:rFonts w:ascii="Times New Roman" w:hAnsi="Times New Roman" w:cs="Times New Roman"/>
    </w:rPr>
  </w:style>
  <w:style w:type="paragraph" w:customStyle="1" w:styleId="P68B1DB1-body30">
    <w:name w:val="P68B1DB1-body30"/>
    <w:basedOn w:val="body"/>
    <w:rPr>
      <w:rFonts w:ascii="Times New Roman" w:hAnsi="Times New Roman" w:cs="Times New Roman"/>
      <w:sz w:val="20"/>
      <w:szCs w:val="20"/>
      <w:u w:val="single"/>
    </w:rPr>
  </w:style>
  <w:style w:type="paragraph" w:customStyle="1" w:styleId="P68B1DB1-Normal31">
    <w:name w:val="P68B1DB1-Normal31"/>
    <w:basedOn w:val="Normal"/>
    <w:rPr>
      <w:rFonts w:ascii="Times New Roman" w:eastAsia="Times New Roman" w:hAnsi="Times New Roman" w:cs="Times New Roman"/>
      <w:sz w:val="20"/>
      <w:szCs w:val="20"/>
    </w:rPr>
  </w:style>
  <w:style w:type="paragraph" w:customStyle="1" w:styleId="P68B1DB1-ListParagraph32">
    <w:name w:val="P68B1DB1-ListParagraph32"/>
    <w:basedOn w:val="ListParagraph"/>
    <w:rPr>
      <w:rFonts w:ascii="Times New Roman" w:eastAsia="Times New Roman" w:hAnsi="Times New Roman"/>
      <w:sz w:val="20"/>
      <w:szCs w:val="20"/>
    </w:rPr>
  </w:style>
  <w:style w:type="paragraph" w:customStyle="1" w:styleId="P68B1DB1-TableParagraph33">
    <w:name w:val="P68B1DB1-TableParagraph33"/>
    <w:basedOn w:val="TableParagraph"/>
    <w:rPr>
      <w:rFonts w:ascii="Times New Roman" w:eastAsia="Times New Roman" w:hAnsi="Times New Roman"/>
      <w:sz w:val="20"/>
      <w:szCs w:val="20"/>
    </w:rPr>
  </w:style>
  <w:style w:type="paragraph" w:customStyle="1" w:styleId="P68B1DB1-Normal34">
    <w:name w:val="P68B1DB1-Normal34"/>
    <w:basedOn w:val="Normal"/>
    <w:rPr>
      <w:rFonts w:ascii="Times New Roman" w:eastAsia="Times New Roman" w:hAnsi="Times New Roman"/>
      <w:sz w:val="20"/>
      <w:szCs w:val="20"/>
    </w:rPr>
  </w:style>
  <w:style w:type="paragraph" w:customStyle="1" w:styleId="P68B1DB1-Normal35">
    <w:name w:val="P68B1DB1-Normal35"/>
    <w:basedOn w:val="Normal"/>
    <w:rPr>
      <w:rFonts w:ascii="Times New Roman" w:eastAsia="Times New Roman" w:hAnsi="Times New Roman" w:cs="Times New Roman"/>
      <w:b/>
      <w:color w:val="000000" w:themeColor="text1"/>
      <w:sz w:val="20"/>
      <w:szCs w:val="20"/>
    </w:rPr>
  </w:style>
  <w:style w:type="paragraph" w:customStyle="1" w:styleId="P68B1DB1-Normal36">
    <w:name w:val="P68B1DB1-Normal36"/>
    <w:basedOn w:val="Normal"/>
    <w:rPr>
      <w:rFonts w:ascii="Times New Roman" w:eastAsia="Times New Roman" w:hAnsi="Times New Roman" w:cs="Times New Roman"/>
      <w:color w:val="000000" w:themeColor="text1"/>
      <w:sz w:val="20"/>
      <w:szCs w:val="20"/>
    </w:rPr>
  </w:style>
  <w:style w:type="paragraph" w:customStyle="1" w:styleId="P68B1DB1-ListParagraph37">
    <w:name w:val="P68B1DB1-ListParagraph37"/>
    <w:basedOn w:val="ListParagraph"/>
    <w:rPr>
      <w:rFonts w:ascii="Times New Roman" w:eastAsia="Times New Roman" w:hAnsi="Times New Roman"/>
      <w:color w:val="000000" w:themeColor="text1"/>
      <w:sz w:val="20"/>
      <w:szCs w:val="20"/>
    </w:rPr>
  </w:style>
  <w:style w:type="paragraph" w:customStyle="1" w:styleId="P68B1DB1-ListParagraph38">
    <w:name w:val="P68B1DB1-ListParagraph38"/>
    <w:basedOn w:val="ListParagraph"/>
    <w:rPr>
      <w:rFonts w:ascii="Times New Roman" w:eastAsiaTheme="minorHAnsi" w:hAnsi="Times New Roman"/>
      <w:color w:val="000000" w:themeColor="text1"/>
      <w:sz w:val="20"/>
      <w:szCs w:val="20"/>
    </w:rPr>
  </w:style>
  <w:style w:type="paragraph" w:customStyle="1" w:styleId="P68B1DB1-ListParagraph39">
    <w:name w:val="P68B1DB1-ListParagraph39"/>
    <w:basedOn w:val="ListParagraph"/>
    <w:rPr>
      <w:rFonts w:ascii="Times New Roman" w:eastAsiaTheme="minorEastAsia" w:hAnsi="Times New Roman"/>
      <w:color w:val="000000" w:themeColor="text1"/>
      <w:sz w:val="20"/>
      <w:szCs w:val="20"/>
    </w:rPr>
  </w:style>
  <w:style w:type="paragraph" w:customStyle="1" w:styleId="P68B1DB1-TableParagraph40">
    <w:name w:val="P68B1DB1-TableParagraph40"/>
    <w:basedOn w:val="TableParagraph"/>
    <w:rPr>
      <w:rFonts w:ascii="Times New Roman" w:eastAsia="Times New Roman" w:hAnsi="Times New Roman" w:cs="Times New Roman"/>
      <w:sz w:val="20"/>
      <w:szCs w:val="20"/>
    </w:rPr>
  </w:style>
  <w:style w:type="paragraph" w:customStyle="1" w:styleId="P68B1DB1-TableParagraph41">
    <w:name w:val="P68B1DB1-TableParagraph41"/>
    <w:basedOn w:val="TableParagraph"/>
    <w:rPr>
      <w:sz w:val="20"/>
      <w:szCs w:val="20"/>
    </w:rPr>
  </w:style>
  <w:style w:type="paragraph" w:customStyle="1" w:styleId="P68B1DB1-Normal42">
    <w:name w:val="P68B1DB1-Normal42"/>
    <w:basedOn w:val="Normal"/>
    <w:rPr>
      <w:rFonts w:ascii="Times New Roman" w:eastAsiaTheme="minorHAnsi" w:hAnsi="Times New Roman" w:cs="Times New Roman"/>
      <w:b/>
      <w:color w:val="000000" w:themeColor="text1"/>
      <w:sz w:val="20"/>
      <w:szCs w:val="20"/>
    </w:rPr>
  </w:style>
  <w:style w:type="paragraph" w:customStyle="1" w:styleId="P68B1DB1-Normal43">
    <w:name w:val="P68B1DB1-Normal43"/>
    <w:basedOn w:val="Normal"/>
    <w:rPr>
      <w:rFonts w:ascii="Times New Roman" w:eastAsiaTheme="minorHAnsi" w:hAnsi="Times New Roman" w:cs="Times New Roman"/>
      <w:color w:val="000000" w:themeColor="text1"/>
      <w:sz w:val="20"/>
      <w:szCs w:val="20"/>
    </w:rPr>
  </w:style>
  <w:style w:type="paragraph" w:customStyle="1" w:styleId="P68B1DB1-Instructionsberschrift244">
    <w:name w:val="P68B1DB1-Instructionsberschrift244"/>
    <w:basedOn w:val="Instructionsberschrift2"/>
    <w:rPr>
      <w:rFonts w:ascii="Times New Roman" w:eastAsia="Calibri" w:hAnsi="Times New Roman" w:cs="Times New Roman"/>
    </w:rPr>
  </w:style>
  <w:style w:type="paragraph" w:customStyle="1" w:styleId="P68B1DB1-Normal45">
    <w:name w:val="P68B1DB1-Normal45"/>
    <w:basedOn w:val="Normal"/>
    <w:rPr>
      <w:rFonts w:ascii="Times New Roman" w:eastAsia="Calibri" w:hAnsi="Times New Roman" w:cs="Times New Roman"/>
      <w:sz w:val="20"/>
    </w:rPr>
  </w:style>
  <w:style w:type="paragraph" w:customStyle="1" w:styleId="P68B1DB1-Instructionsberschrift346">
    <w:name w:val="P68B1DB1-Instructionsberschrift346"/>
    <w:basedOn w:val="Instructionsberschrift3"/>
    <w:rPr>
      <w:rFonts w:eastAsia="MS Mincho"/>
      <w:u w:val="none"/>
    </w:rPr>
  </w:style>
  <w:style w:type="paragraph" w:customStyle="1" w:styleId="P68B1DB1-Instructionsberschrift347">
    <w:name w:val="P68B1DB1-Instructionsberschrift347"/>
    <w:basedOn w:val="Instructionsberschrift3"/>
    <w:rPr>
      <w:color w:val="auto"/>
      <w:u w:val="none"/>
    </w:rPr>
  </w:style>
  <w:style w:type="paragraph" w:customStyle="1" w:styleId="P68B1DB1-Instructionsberschrift348">
    <w:name w:val="P68B1DB1-Instructionsberschrift348"/>
    <w:basedOn w:val="Instructionsberschrift3"/>
    <w:rPr>
      <w:rFonts w:eastAsia="MS Mincho"/>
      <w:szCs w:val="24"/>
      <w:u w:val="none"/>
    </w:rPr>
  </w:style>
  <w:style w:type="paragraph" w:customStyle="1" w:styleId="P68B1DB1-Normal49">
    <w:name w:val="P68B1DB1-Normal49"/>
    <w:basedOn w:val="Normal"/>
    <w:rPr>
      <w:rFonts w:ascii="Times New Roman" w:eastAsia="Calibri" w:hAnsi="Times New Roman" w:cs="Times New Roman"/>
      <w:b/>
      <w:sz w:val="20"/>
      <w:szCs w:val="20"/>
    </w:rPr>
  </w:style>
  <w:style w:type="paragraph" w:customStyle="1" w:styleId="P68B1DB1-Normal50">
    <w:name w:val="P68B1DB1-Normal50"/>
    <w:basedOn w:val="Normal"/>
    <w:rPr>
      <w:rFonts w:ascii="Times New Roman" w:eastAsia="Calibri" w:hAnsi="Times New Roman" w:cs="Times New Roman"/>
      <w:sz w:val="20"/>
      <w:szCs w:val="20"/>
    </w:rPr>
  </w:style>
  <w:style w:type="paragraph" w:customStyle="1" w:styleId="P68B1DB1-Normal51">
    <w:name w:val="P68B1DB1-Normal51"/>
    <w:basedOn w:val="Normal"/>
    <w:rPr>
      <w:rFonts w:ascii="Times New Roman" w:eastAsia="Calibri" w:hAnsi="Times New Roman" w:cs="Times New Roman"/>
      <w:i/>
      <w:sz w:val="20"/>
      <w:szCs w:val="20"/>
    </w:rPr>
  </w:style>
  <w:style w:type="paragraph" w:customStyle="1" w:styleId="P68B1DB1-Normal52">
    <w:name w:val="P68B1DB1-Normal52"/>
    <w:basedOn w:val="Normal"/>
    <w:rPr>
      <w:rFonts w:ascii="Times New Roman" w:eastAsia="MS Mincho" w:hAnsi="Times New Roman" w:cs="Times New Roman"/>
      <w:sz w:val="20"/>
      <w:szCs w:val="20"/>
    </w:rPr>
  </w:style>
  <w:style w:type="paragraph" w:customStyle="1" w:styleId="P68B1DB1-ListParagraph53">
    <w:name w:val="P68B1DB1-ListParagraph53"/>
    <w:basedOn w:val="ListParagraph"/>
    <w:rPr>
      <w:rFonts w:ascii="Times New Roman" w:eastAsia="MS Mincho" w:hAnsi="Times New Roman"/>
      <w:sz w:val="20"/>
      <w:szCs w:val="20"/>
    </w:rPr>
  </w:style>
  <w:style w:type="paragraph" w:customStyle="1" w:styleId="P68B1DB1-Normal54">
    <w:name w:val="P68B1DB1-Normal54"/>
    <w:basedOn w:val="Normal"/>
    <w:rPr>
      <w:rFonts w:ascii="Times New Roman" w:eastAsia="MS Mincho" w:hAnsi="Times New Roman" w:cs="Times New Roman"/>
      <w:szCs w:val="20"/>
    </w:rPr>
  </w:style>
  <w:style w:type="paragraph" w:customStyle="1" w:styleId="P68B1DB1-Normal55">
    <w:name w:val="P68B1DB1-Normal55"/>
    <w:basedOn w:val="Normal"/>
    <w:rPr>
      <w:rFonts w:ascii="Times New Roman" w:eastAsia="Calibri" w:hAnsi="Times New Roman" w:cs="Times New Roman"/>
      <w:b/>
      <w:sz w:val="20"/>
    </w:rPr>
  </w:style>
  <w:style w:type="paragraph" w:customStyle="1" w:styleId="P68B1DB1-Normal56">
    <w:name w:val="P68B1DB1-Normal56"/>
    <w:basedOn w:val="Normal"/>
    <w:rPr>
      <w:rFonts w:ascii="Times New Roman" w:eastAsia="Calibri" w:hAnsi="Times New Roman" w:cs="Times New Roman"/>
      <w:i/>
      <w:sz w:val="20"/>
    </w:rPr>
  </w:style>
  <w:style w:type="paragraph" w:customStyle="1" w:styleId="P68B1DB1-Normal57">
    <w:name w:val="P68B1DB1-Normal57"/>
    <w:basedOn w:val="Normal"/>
    <w:rPr>
      <w:rFonts w:ascii="Times New Roman" w:hAnsi="Times New Roman"/>
      <w:color w:val="000000" w:themeColor="text1"/>
      <w:sz w:val="20"/>
      <w:szCs w:val="20"/>
    </w:rPr>
  </w:style>
  <w:style w:type="paragraph" w:customStyle="1" w:styleId="P68B1DB1-ListParagraph58">
    <w:name w:val="P68B1DB1-ListParagraph58"/>
    <w:basedOn w:val="ListParagraph"/>
    <w:rPr>
      <w:rFonts w:ascii="Times New Roman" w:hAnsi="Times New Roman"/>
      <w:sz w:val="20"/>
    </w:rPr>
  </w:style>
  <w:style w:type="paragraph" w:customStyle="1" w:styleId="P68B1DB1-NormalWeb59">
    <w:name w:val="P68B1DB1-NormalWeb59"/>
    <w:basedOn w:val="NormalWeb"/>
    <w:rPr>
      <w:rFonts w:eastAsia="Calibri"/>
      <w:sz w:val="20"/>
    </w:rPr>
  </w:style>
  <w:style w:type="paragraph" w:customStyle="1" w:styleId="P68B1DB1-ListParagraph60">
    <w:name w:val="P68B1DB1-ListParagraph60"/>
    <w:basedOn w:val="ListParagraph"/>
    <w:rPr>
      <w:rFonts w:ascii="Times New Roman" w:hAnsi="Times New Roman"/>
      <w:sz w:val="20"/>
      <w:szCs w:val="20"/>
    </w:rPr>
  </w:style>
  <w:style w:type="paragraph" w:customStyle="1" w:styleId="P68B1DB1-Normal61">
    <w:name w:val="P68B1DB1-Normal61"/>
    <w:basedOn w:val="Normal"/>
    <w:rPr>
      <w:rFonts w:ascii="Times New Roman" w:hAnsi="Times New Roman"/>
      <w:b/>
      <w:sz w:val="20"/>
      <w:szCs w:val="20"/>
    </w:rPr>
  </w:style>
  <w:style w:type="paragraph" w:customStyle="1" w:styleId="P68B1DB1-Normal62">
    <w:name w:val="P68B1DB1-Normal62"/>
    <w:basedOn w:val="Normal"/>
    <w:rPr>
      <w:rFonts w:ascii="Times New Roman" w:hAnsi="Times New Roman"/>
      <w:sz w:val="20"/>
      <w:szCs w:val="20"/>
    </w:rPr>
  </w:style>
  <w:style w:type="paragraph" w:customStyle="1" w:styleId="P68B1DB1-Normal63">
    <w:name w:val="P68B1DB1-Normal63"/>
    <w:basedOn w:val="Normal"/>
    <w:rPr>
      <w:rFonts w:ascii="Times New Roman" w:eastAsia="MS Mincho" w:hAnsi="Times New Roman"/>
      <w:sz w:val="20"/>
      <w:szCs w:val="20"/>
    </w:rPr>
  </w:style>
  <w:style w:type="paragraph" w:customStyle="1" w:styleId="P68B1DB1-Normal64">
    <w:name w:val="P68B1DB1-Normal64"/>
    <w:basedOn w:val="Normal"/>
    <w:rPr>
      <w:rFonts w:ascii="Times New Roman" w:hAnsi="Times New Roman"/>
      <w:sz w:val="20"/>
    </w:rPr>
  </w:style>
  <w:style w:type="paragraph" w:customStyle="1" w:styleId="P68B1DB1-Normal65">
    <w:name w:val="P68B1DB1-Normal65"/>
    <w:basedOn w:val="Normal"/>
    <w:rPr>
      <w:rFonts w:ascii="Times New Roman" w:hAnsi="Times New Roman"/>
      <w:b/>
      <w:sz w:val="20"/>
    </w:rPr>
  </w:style>
  <w:style w:type="paragraph" w:customStyle="1" w:styleId="P68B1DB1-Normal66">
    <w:name w:val="P68B1DB1-Normal66"/>
    <w:basedOn w:val="Normal"/>
    <w:rPr>
      <w:rFonts w:ascii="Times New Roman" w:eastAsia="MS Mincho" w:hAnsi="Times New Roman"/>
      <w:sz w:val="20"/>
    </w:rPr>
  </w:style>
  <w:style w:type="paragraph" w:customStyle="1" w:styleId="P68B1DB1-Normal67">
    <w:name w:val="P68B1DB1-Normal67"/>
    <w:basedOn w:val="Normal"/>
    <w:rPr>
      <w:rFonts w:ascii="Times New Roman" w:hAnsi="Times New Roman"/>
    </w:rPr>
  </w:style>
  <w:style w:type="paragraph" w:customStyle="1" w:styleId="P68B1DB1-Instructionsberschrift368">
    <w:name w:val="P68B1DB1-Instructionsberschrift368"/>
    <w:basedOn w:val="Instructionsberschrift3"/>
    <w:rPr>
      <w:rFonts w:eastAsia="MS Mincho"/>
      <w:color w:val="auto"/>
      <w:szCs w:val="24"/>
      <w:u w:val="none"/>
    </w:rPr>
  </w:style>
  <w:style w:type="paragraph" w:customStyle="1" w:styleId="P68B1DB1-Instructionsberschrift269">
    <w:name w:val="P68B1DB1-Instructionsberschrift269"/>
    <w:basedOn w:val="Instructionsberschrift2"/>
    <w:rPr>
      <w:rFonts w:ascii="Times New Roman" w:eastAsia="MS Mincho" w:hAnsi="Times New Roman" w:cs="Times New Roman"/>
      <w:szCs w:val="20"/>
    </w:rPr>
  </w:style>
  <w:style w:type="paragraph" w:customStyle="1" w:styleId="P68B1DB1-Normal70">
    <w:name w:val="P68B1DB1-Normal70"/>
    <w:basedOn w:val="Normal"/>
    <w:rPr>
      <w:rFonts w:ascii="Times New Roman" w:eastAsia="Calibri" w:hAnsi="Times New Roman" w:cs="Times New Roman"/>
      <w:u w:val="single"/>
    </w:rPr>
  </w:style>
  <w:style w:type="paragraph" w:customStyle="1" w:styleId="P68B1DB1-Instructionsberschrift271">
    <w:name w:val="P68B1DB1-Instructionsberschrift271"/>
    <w:basedOn w:val="Instructionsberschrift2"/>
    <w:rPr>
      <w:rFonts w:ascii="Times New Roman" w:eastAsia="Calibri" w:hAnsi="Times New Roman" w:cs="Times New Roman"/>
      <w:szCs w:val="20"/>
    </w:rPr>
  </w:style>
  <w:style w:type="paragraph" w:customStyle="1" w:styleId="P68B1DB1-Numberedtitlelevel372">
    <w:name w:val="P68B1DB1-Numberedtitlelevel372"/>
    <w:basedOn w:val="Numberedtitlelevel3"/>
    <w:rPr>
      <w:rFonts w:ascii="Times New Roman" w:hAnsi="Times New Roman" w:cs="Times New Roman"/>
      <w:b w:val="0"/>
      <w:color w:val="000000" w:themeColor="text1"/>
      <w:sz w:val="20"/>
      <w:szCs w:val="20"/>
      <w:u w:val="single"/>
    </w:rPr>
  </w:style>
  <w:style w:type="paragraph" w:customStyle="1" w:styleId="P68B1DB1-TableParagraph73">
    <w:name w:val="P68B1DB1-TableParagraph73"/>
    <w:basedOn w:val="TableParagraph"/>
    <w:rPr>
      <w:rFonts w:ascii="Times New Roman" w:eastAsia="Times New Roman" w:hAnsi="Times New Roman" w:cs="Times New Roman"/>
      <w:b/>
      <w:sz w:val="20"/>
      <w:szCs w:val="20"/>
    </w:rPr>
  </w:style>
  <w:style w:type="paragraph" w:customStyle="1" w:styleId="P68B1DB1-Normal74">
    <w:name w:val="P68B1DB1-Normal74"/>
    <w:basedOn w:val="Normal"/>
    <w:rPr>
      <w:rFonts w:ascii="Times New Roman" w:eastAsia="Times New Roman" w:hAnsi="Times New Roman" w:cs="Times New Roman"/>
      <w:i/>
      <w:sz w:val="20"/>
      <w:szCs w:val="20"/>
    </w:rPr>
  </w:style>
  <w:style w:type="paragraph" w:customStyle="1" w:styleId="P68B1DB1-TableParagraph75">
    <w:name w:val="P68B1DB1-TableParagraph75"/>
    <w:basedOn w:val="TableParagraph"/>
    <w:rPr>
      <w:rFonts w:ascii="Times New Roman" w:eastAsia="Times New Roman" w:hAnsi="Times New Roman" w:cs="Times New Roman"/>
      <w:b/>
      <w:i/>
      <w:sz w:val="20"/>
      <w:szCs w:val="20"/>
    </w:rPr>
  </w:style>
  <w:style w:type="paragraph" w:customStyle="1" w:styleId="P68B1DB1-Normal76">
    <w:name w:val="P68B1DB1-Normal76"/>
    <w:basedOn w:val="Normal"/>
    <w:rPr>
      <w:rFonts w:ascii="Times New Roman" w:eastAsia="Times New Roman" w:hAnsi="Times New Roman" w:cs="Times New Roman"/>
      <w:b/>
      <w:sz w:val="20"/>
      <w:szCs w:val="20"/>
    </w:rPr>
  </w:style>
  <w:style w:type="paragraph" w:customStyle="1" w:styleId="P68B1DB1-Normal77">
    <w:name w:val="P68B1DB1-Normal77"/>
    <w:basedOn w:val="Normal"/>
    <w:rPr>
      <w:rFonts w:ascii="Times New Roman" w:eastAsia="Times New Roman" w:hAnsi="Times New Roman" w:cs="Times New Roman"/>
      <w:b/>
      <w:i/>
      <w:sz w:val="20"/>
      <w:szCs w:val="20"/>
    </w:rPr>
  </w:style>
  <w:style w:type="paragraph" w:customStyle="1" w:styleId="P68B1DB1-Normal78">
    <w:name w:val="P68B1DB1-Normal78"/>
    <w:basedOn w:val="Normal"/>
    <w:rPr>
      <w:rFonts w:ascii="Times New Roman" w:hAnsi="Times New Roman" w:cs="Times New Roman"/>
    </w:rPr>
  </w:style>
  <w:style w:type="paragraph" w:customStyle="1" w:styleId="P68B1DB1-InstructionsText279">
    <w:name w:val="P68B1DB1-InstructionsText279"/>
    <w:basedOn w:val="InstructionsText2"/>
    <w:rPr>
      <w:rFonts w:ascii="Times New Roman" w:eastAsiaTheme="majorEastAsia" w:hAnsi="Times New Roman" w:cs="Times New Roman"/>
      <w:sz w:val="20"/>
      <w:szCs w:val="20"/>
    </w:rPr>
  </w:style>
  <w:style w:type="paragraph" w:customStyle="1" w:styleId="P68B1DB1-ListParagraph80">
    <w:name w:val="P68B1DB1-ListParagraph80"/>
    <w:basedOn w:val="ListParagraph"/>
    <w:rPr>
      <w:rFonts w:ascii="Times New Roman" w:eastAsiaTheme="majorEastAsia" w:hAnsi="Times New Roman"/>
      <w:sz w:val="20"/>
      <w:szCs w:val="20"/>
    </w:rPr>
  </w:style>
  <w:style w:type="paragraph" w:customStyle="1" w:styleId="P68B1DB1-Heading481">
    <w:name w:val="P68B1DB1-Heading481"/>
    <w:basedOn w:val="Heading4"/>
    <w:rPr>
      <w:rFonts w:ascii="Times New Roman" w:eastAsia="Times New Roman" w:hAnsi="Times New Roman" w:cs="Times New Roman"/>
      <w:color w:val="auto"/>
      <w:sz w:val="20"/>
      <w:szCs w:val="20"/>
    </w:rPr>
  </w:style>
  <w:style w:type="paragraph" w:customStyle="1" w:styleId="P68B1DB1-Heading482">
    <w:name w:val="P68B1DB1-Heading482"/>
    <w:basedOn w:val="Heading4"/>
    <w:rPr>
      <w:rFonts w:ascii="Times New Roman" w:eastAsia="Times New Roman" w:hAnsi="Times New Roman" w:cs="Times New Roman"/>
      <w:b w:val="0"/>
      <w:bCs w:val="0"/>
      <w:i w:val="0"/>
      <w:iCs w:val="0"/>
      <w:color w:val="auto"/>
      <w:sz w:val="20"/>
      <w:szCs w:val="20"/>
    </w:rPr>
  </w:style>
  <w:style w:type="paragraph" w:customStyle="1" w:styleId="P68B1DB1-Numberedtitlelevel383">
    <w:name w:val="P68B1DB1-Numberedtitlelevel383"/>
    <w:basedOn w:val="Numberedtitlelevel3"/>
    <w:rPr>
      <w:rFonts w:ascii="Times New Roman" w:hAnsi="Times New Roman" w:cs="Times New Roman"/>
      <w:color w:val="000000" w:themeColor="text1"/>
      <w:sz w:val="20"/>
      <w:szCs w:val="20"/>
      <w:u w:val="single"/>
    </w:rPr>
  </w:style>
  <w:style w:type="paragraph" w:customStyle="1" w:styleId="P68B1DB1-Instructionsberschrift284">
    <w:name w:val="P68B1DB1-Instructionsberschrift284"/>
    <w:basedOn w:val="Instructionsberschrift2"/>
    <w:rPr>
      <w:rFonts w:ascii="Times New Roman" w:eastAsiaTheme="minorEastAsia" w:hAnsi="Times New Roman" w:cs="Times New Roman"/>
    </w:rPr>
  </w:style>
  <w:style w:type="paragraph" w:customStyle="1" w:styleId="P68B1DB1-Numberedtitlelevel385">
    <w:name w:val="P68B1DB1-Numberedtitlelevel385"/>
    <w:basedOn w:val="Numberedtitlelevel3"/>
    <w:rPr>
      <w:rFonts w:ascii="Times New Roman" w:eastAsia="Times New Roman" w:hAnsi="Times New Roman" w:cs="Times New Roman"/>
      <w:b w:val="0"/>
      <w:color w:val="auto"/>
      <w:sz w:val="20"/>
      <w:szCs w:val="20"/>
    </w:rPr>
  </w:style>
  <w:style w:type="paragraph" w:customStyle="1" w:styleId="P68B1DB1-InstructionsText286">
    <w:name w:val="P68B1DB1-InstructionsText286"/>
    <w:basedOn w:val="InstructionsText2"/>
    <w:rPr>
      <w:rFonts w:ascii="Times New Roman" w:eastAsia="Cambria" w:hAnsi="Times New Roman" w:cs="Times New Roman"/>
      <w:sz w:val="20"/>
      <w:szCs w:val="20"/>
    </w:rPr>
  </w:style>
  <w:style w:type="paragraph" w:customStyle="1" w:styleId="P68B1DB1-InstructionsText287">
    <w:name w:val="P68B1DB1-InstructionsText287"/>
    <w:basedOn w:val="InstructionsText2"/>
    <w:rPr>
      <w:rFonts w:ascii="Times New Roman" w:hAnsi="Times New Roman" w:cs="Times New Roman"/>
      <w:color w:val="000000" w:themeColor="text1"/>
      <w:sz w:val="20"/>
      <w:szCs w:val="20"/>
      <w:u w:val="single"/>
    </w:rPr>
  </w:style>
  <w:style w:type="paragraph" w:customStyle="1" w:styleId="P68B1DB1-Numberedtitlelevel388">
    <w:name w:val="P68B1DB1-Numberedtitlelevel388"/>
    <w:basedOn w:val="Numberedtitlelevel3"/>
    <w:rPr>
      <w:rFonts w:ascii="Times New Roman" w:hAnsi="Times New Roman" w:cs="Times New Roman"/>
      <w:b w:val="0"/>
      <w:color w:val="auto"/>
      <w:sz w:val="20"/>
      <w:szCs w:val="20"/>
    </w:rPr>
  </w:style>
  <w:style w:type="paragraph" w:customStyle="1" w:styleId="P68B1DB1-Instructionsberschrift289">
    <w:name w:val="P68B1DB1-Instructionsberschrift289"/>
    <w:basedOn w:val="Instructionsberschrift2"/>
    <w:rPr>
      <w:rFonts w:ascii="Times New Roman" w:hAnsi="Times New Roman" w:cs="Times New Roman"/>
      <w:u w:val="none"/>
    </w:rPr>
  </w:style>
  <w:style w:type="paragraph" w:customStyle="1" w:styleId="P68B1DB1-Normal90">
    <w:name w:val="P68B1DB1-Normal90"/>
    <w:basedOn w:val="Normal"/>
    <w:rPr>
      <w:rFonts w:eastAsia="Times New Roman" w:cs="Calibri"/>
      <w:b/>
      <w:color w:val="000000"/>
      <w:sz w:val="18"/>
      <w:szCs w:val="18"/>
    </w:rPr>
  </w:style>
  <w:style w:type="paragraph" w:customStyle="1" w:styleId="P68B1DB1-Normal91">
    <w:name w:val="P68B1DB1-Normal91"/>
    <w:basedOn w:val="Normal"/>
    <w:rPr>
      <w:rFonts w:eastAsia="Times New Roman" w:cs="Calibri"/>
      <w:color w:val="000000"/>
      <w:sz w:val="18"/>
      <w:szCs w:val="18"/>
    </w:rPr>
  </w:style>
  <w:style w:type="paragraph" w:customStyle="1" w:styleId="P68B1DB1-Normal92">
    <w:name w:val="P68B1DB1-Normal92"/>
    <w:basedOn w:val="Normal"/>
    <w:rPr>
      <w:b/>
      <w:sz w:val="18"/>
      <w:szCs w:val="18"/>
    </w:rPr>
  </w:style>
  <w:style w:type="paragraph" w:customStyle="1" w:styleId="P68B1DB1-Normal93">
    <w:name w:val="P68B1DB1-Normal93"/>
    <w:basedOn w:val="Normal"/>
    <w:rPr>
      <w:rFonts w:ascii="Calibri" w:eastAsia="Calibri" w:hAnsi="Calibri" w:cs="Calibri"/>
      <w:color w:val="000000"/>
      <w:sz w:val="24"/>
    </w:rPr>
  </w:style>
  <w:style w:type="paragraph" w:customStyle="1" w:styleId="P68B1DB1-Header94">
    <w:name w:val="P68B1DB1-Header94"/>
    <w:basedOn w:val="Heade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772988">
      <w:bodyDiv w:val="1"/>
      <w:marLeft w:val="0"/>
      <w:marRight w:val="0"/>
      <w:marTop w:val="0"/>
      <w:marBottom w:val="0"/>
      <w:divBdr>
        <w:top w:val="none" w:sz="0" w:space="0" w:color="auto"/>
        <w:left w:val="none" w:sz="0" w:space="0" w:color="auto"/>
        <w:bottom w:val="none" w:sz="0" w:space="0" w:color="auto"/>
        <w:right w:val="none" w:sz="0" w:space="0" w:color="auto"/>
      </w:divBdr>
    </w:div>
    <w:div w:id="76292858">
      <w:bodyDiv w:val="1"/>
      <w:marLeft w:val="0"/>
      <w:marRight w:val="0"/>
      <w:marTop w:val="0"/>
      <w:marBottom w:val="0"/>
      <w:divBdr>
        <w:top w:val="none" w:sz="0" w:space="0" w:color="auto"/>
        <w:left w:val="none" w:sz="0" w:space="0" w:color="auto"/>
        <w:bottom w:val="none" w:sz="0" w:space="0" w:color="auto"/>
        <w:right w:val="none" w:sz="0" w:space="0" w:color="auto"/>
      </w:divBdr>
    </w:div>
    <w:div w:id="124078880">
      <w:bodyDiv w:val="1"/>
      <w:marLeft w:val="0"/>
      <w:marRight w:val="0"/>
      <w:marTop w:val="0"/>
      <w:marBottom w:val="0"/>
      <w:divBdr>
        <w:top w:val="none" w:sz="0" w:space="0" w:color="auto"/>
        <w:left w:val="none" w:sz="0" w:space="0" w:color="auto"/>
        <w:bottom w:val="none" w:sz="0" w:space="0" w:color="auto"/>
        <w:right w:val="none" w:sz="0" w:space="0" w:color="auto"/>
      </w:divBdr>
    </w:div>
    <w:div w:id="195777798">
      <w:bodyDiv w:val="1"/>
      <w:marLeft w:val="0"/>
      <w:marRight w:val="0"/>
      <w:marTop w:val="0"/>
      <w:marBottom w:val="0"/>
      <w:divBdr>
        <w:top w:val="none" w:sz="0" w:space="0" w:color="auto"/>
        <w:left w:val="none" w:sz="0" w:space="0" w:color="auto"/>
        <w:bottom w:val="none" w:sz="0" w:space="0" w:color="auto"/>
        <w:right w:val="none" w:sz="0" w:space="0" w:color="auto"/>
      </w:divBdr>
      <w:divsChild>
        <w:div w:id="2133983776">
          <w:marLeft w:val="0"/>
          <w:marRight w:val="0"/>
          <w:marTop w:val="120"/>
          <w:marBottom w:val="0"/>
          <w:divBdr>
            <w:top w:val="none" w:sz="0" w:space="0" w:color="auto"/>
            <w:left w:val="none" w:sz="0" w:space="0" w:color="auto"/>
            <w:bottom w:val="none" w:sz="0" w:space="0" w:color="auto"/>
            <w:right w:val="none" w:sz="0" w:space="0" w:color="auto"/>
          </w:divBdr>
        </w:div>
        <w:div w:id="233244626">
          <w:marLeft w:val="0"/>
          <w:marRight w:val="0"/>
          <w:marTop w:val="0"/>
          <w:marBottom w:val="0"/>
          <w:divBdr>
            <w:top w:val="none" w:sz="0" w:space="0" w:color="auto"/>
            <w:left w:val="none" w:sz="0" w:space="0" w:color="auto"/>
            <w:bottom w:val="none" w:sz="0" w:space="0" w:color="auto"/>
            <w:right w:val="none" w:sz="0" w:space="0" w:color="auto"/>
          </w:divBdr>
        </w:div>
      </w:divsChild>
    </w:div>
    <w:div w:id="236551278">
      <w:bodyDiv w:val="1"/>
      <w:marLeft w:val="0"/>
      <w:marRight w:val="0"/>
      <w:marTop w:val="0"/>
      <w:marBottom w:val="0"/>
      <w:divBdr>
        <w:top w:val="none" w:sz="0" w:space="0" w:color="auto"/>
        <w:left w:val="none" w:sz="0" w:space="0" w:color="auto"/>
        <w:bottom w:val="none" w:sz="0" w:space="0" w:color="auto"/>
        <w:right w:val="none" w:sz="0" w:space="0" w:color="auto"/>
      </w:divBdr>
    </w:div>
    <w:div w:id="260647293">
      <w:bodyDiv w:val="1"/>
      <w:marLeft w:val="0"/>
      <w:marRight w:val="0"/>
      <w:marTop w:val="0"/>
      <w:marBottom w:val="0"/>
      <w:divBdr>
        <w:top w:val="none" w:sz="0" w:space="0" w:color="auto"/>
        <w:left w:val="none" w:sz="0" w:space="0" w:color="auto"/>
        <w:bottom w:val="none" w:sz="0" w:space="0" w:color="auto"/>
        <w:right w:val="none" w:sz="0" w:space="0" w:color="auto"/>
      </w:divBdr>
    </w:div>
    <w:div w:id="317619041">
      <w:bodyDiv w:val="1"/>
      <w:marLeft w:val="0"/>
      <w:marRight w:val="0"/>
      <w:marTop w:val="0"/>
      <w:marBottom w:val="0"/>
      <w:divBdr>
        <w:top w:val="none" w:sz="0" w:space="0" w:color="auto"/>
        <w:left w:val="none" w:sz="0" w:space="0" w:color="auto"/>
        <w:bottom w:val="none" w:sz="0" w:space="0" w:color="auto"/>
        <w:right w:val="none" w:sz="0" w:space="0" w:color="auto"/>
      </w:divBdr>
    </w:div>
    <w:div w:id="529950855">
      <w:bodyDiv w:val="1"/>
      <w:marLeft w:val="0"/>
      <w:marRight w:val="0"/>
      <w:marTop w:val="0"/>
      <w:marBottom w:val="0"/>
      <w:divBdr>
        <w:top w:val="none" w:sz="0" w:space="0" w:color="auto"/>
        <w:left w:val="none" w:sz="0" w:space="0" w:color="auto"/>
        <w:bottom w:val="none" w:sz="0" w:space="0" w:color="auto"/>
        <w:right w:val="none" w:sz="0" w:space="0" w:color="auto"/>
      </w:divBdr>
    </w:div>
    <w:div w:id="674499920">
      <w:bodyDiv w:val="1"/>
      <w:marLeft w:val="0"/>
      <w:marRight w:val="0"/>
      <w:marTop w:val="0"/>
      <w:marBottom w:val="0"/>
      <w:divBdr>
        <w:top w:val="none" w:sz="0" w:space="0" w:color="auto"/>
        <w:left w:val="none" w:sz="0" w:space="0" w:color="auto"/>
        <w:bottom w:val="none" w:sz="0" w:space="0" w:color="auto"/>
        <w:right w:val="none" w:sz="0" w:space="0" w:color="auto"/>
      </w:divBdr>
    </w:div>
    <w:div w:id="695078397">
      <w:bodyDiv w:val="1"/>
      <w:marLeft w:val="0"/>
      <w:marRight w:val="0"/>
      <w:marTop w:val="0"/>
      <w:marBottom w:val="0"/>
      <w:divBdr>
        <w:top w:val="none" w:sz="0" w:space="0" w:color="auto"/>
        <w:left w:val="none" w:sz="0" w:space="0" w:color="auto"/>
        <w:bottom w:val="none" w:sz="0" w:space="0" w:color="auto"/>
        <w:right w:val="none" w:sz="0" w:space="0" w:color="auto"/>
      </w:divBdr>
    </w:div>
    <w:div w:id="713970764">
      <w:bodyDiv w:val="1"/>
      <w:marLeft w:val="0"/>
      <w:marRight w:val="0"/>
      <w:marTop w:val="0"/>
      <w:marBottom w:val="0"/>
      <w:divBdr>
        <w:top w:val="none" w:sz="0" w:space="0" w:color="auto"/>
        <w:left w:val="none" w:sz="0" w:space="0" w:color="auto"/>
        <w:bottom w:val="none" w:sz="0" w:space="0" w:color="auto"/>
        <w:right w:val="none" w:sz="0" w:space="0" w:color="auto"/>
      </w:divBdr>
    </w:div>
    <w:div w:id="773789282">
      <w:bodyDiv w:val="1"/>
      <w:marLeft w:val="0"/>
      <w:marRight w:val="0"/>
      <w:marTop w:val="0"/>
      <w:marBottom w:val="0"/>
      <w:divBdr>
        <w:top w:val="none" w:sz="0" w:space="0" w:color="auto"/>
        <w:left w:val="none" w:sz="0" w:space="0" w:color="auto"/>
        <w:bottom w:val="none" w:sz="0" w:space="0" w:color="auto"/>
        <w:right w:val="none" w:sz="0" w:space="0" w:color="auto"/>
      </w:divBdr>
    </w:div>
    <w:div w:id="809515557">
      <w:bodyDiv w:val="1"/>
      <w:marLeft w:val="0"/>
      <w:marRight w:val="0"/>
      <w:marTop w:val="0"/>
      <w:marBottom w:val="0"/>
      <w:divBdr>
        <w:top w:val="none" w:sz="0" w:space="0" w:color="auto"/>
        <w:left w:val="none" w:sz="0" w:space="0" w:color="auto"/>
        <w:bottom w:val="none" w:sz="0" w:space="0" w:color="auto"/>
        <w:right w:val="none" w:sz="0" w:space="0" w:color="auto"/>
      </w:divBdr>
    </w:div>
    <w:div w:id="824517146">
      <w:bodyDiv w:val="1"/>
      <w:marLeft w:val="0"/>
      <w:marRight w:val="0"/>
      <w:marTop w:val="0"/>
      <w:marBottom w:val="0"/>
      <w:divBdr>
        <w:top w:val="none" w:sz="0" w:space="0" w:color="auto"/>
        <w:left w:val="none" w:sz="0" w:space="0" w:color="auto"/>
        <w:bottom w:val="none" w:sz="0" w:space="0" w:color="auto"/>
        <w:right w:val="none" w:sz="0" w:space="0" w:color="auto"/>
      </w:divBdr>
    </w:div>
    <w:div w:id="827524307">
      <w:bodyDiv w:val="1"/>
      <w:marLeft w:val="0"/>
      <w:marRight w:val="0"/>
      <w:marTop w:val="0"/>
      <w:marBottom w:val="0"/>
      <w:divBdr>
        <w:top w:val="none" w:sz="0" w:space="0" w:color="auto"/>
        <w:left w:val="none" w:sz="0" w:space="0" w:color="auto"/>
        <w:bottom w:val="none" w:sz="0" w:space="0" w:color="auto"/>
        <w:right w:val="none" w:sz="0" w:space="0" w:color="auto"/>
      </w:divBdr>
    </w:div>
    <w:div w:id="846289926">
      <w:bodyDiv w:val="1"/>
      <w:marLeft w:val="0"/>
      <w:marRight w:val="0"/>
      <w:marTop w:val="0"/>
      <w:marBottom w:val="0"/>
      <w:divBdr>
        <w:top w:val="none" w:sz="0" w:space="0" w:color="auto"/>
        <w:left w:val="none" w:sz="0" w:space="0" w:color="auto"/>
        <w:bottom w:val="none" w:sz="0" w:space="0" w:color="auto"/>
        <w:right w:val="none" w:sz="0" w:space="0" w:color="auto"/>
      </w:divBdr>
    </w:div>
    <w:div w:id="847601636">
      <w:bodyDiv w:val="1"/>
      <w:marLeft w:val="0"/>
      <w:marRight w:val="0"/>
      <w:marTop w:val="0"/>
      <w:marBottom w:val="0"/>
      <w:divBdr>
        <w:top w:val="none" w:sz="0" w:space="0" w:color="auto"/>
        <w:left w:val="none" w:sz="0" w:space="0" w:color="auto"/>
        <w:bottom w:val="none" w:sz="0" w:space="0" w:color="auto"/>
        <w:right w:val="none" w:sz="0" w:space="0" w:color="auto"/>
      </w:divBdr>
    </w:div>
    <w:div w:id="866332713">
      <w:bodyDiv w:val="1"/>
      <w:marLeft w:val="0"/>
      <w:marRight w:val="0"/>
      <w:marTop w:val="0"/>
      <w:marBottom w:val="0"/>
      <w:divBdr>
        <w:top w:val="none" w:sz="0" w:space="0" w:color="auto"/>
        <w:left w:val="none" w:sz="0" w:space="0" w:color="auto"/>
        <w:bottom w:val="none" w:sz="0" w:space="0" w:color="auto"/>
        <w:right w:val="none" w:sz="0" w:space="0" w:color="auto"/>
      </w:divBdr>
    </w:div>
    <w:div w:id="938098268">
      <w:bodyDiv w:val="1"/>
      <w:marLeft w:val="0"/>
      <w:marRight w:val="0"/>
      <w:marTop w:val="0"/>
      <w:marBottom w:val="0"/>
      <w:divBdr>
        <w:top w:val="none" w:sz="0" w:space="0" w:color="auto"/>
        <w:left w:val="none" w:sz="0" w:space="0" w:color="auto"/>
        <w:bottom w:val="none" w:sz="0" w:space="0" w:color="auto"/>
        <w:right w:val="none" w:sz="0" w:space="0" w:color="auto"/>
      </w:divBdr>
    </w:div>
    <w:div w:id="1005669059">
      <w:bodyDiv w:val="1"/>
      <w:marLeft w:val="0"/>
      <w:marRight w:val="0"/>
      <w:marTop w:val="0"/>
      <w:marBottom w:val="0"/>
      <w:divBdr>
        <w:top w:val="none" w:sz="0" w:space="0" w:color="auto"/>
        <w:left w:val="none" w:sz="0" w:space="0" w:color="auto"/>
        <w:bottom w:val="none" w:sz="0" w:space="0" w:color="auto"/>
        <w:right w:val="none" w:sz="0" w:space="0" w:color="auto"/>
      </w:divBdr>
    </w:div>
    <w:div w:id="1159618785">
      <w:bodyDiv w:val="1"/>
      <w:marLeft w:val="0"/>
      <w:marRight w:val="0"/>
      <w:marTop w:val="0"/>
      <w:marBottom w:val="0"/>
      <w:divBdr>
        <w:top w:val="none" w:sz="0" w:space="0" w:color="auto"/>
        <w:left w:val="none" w:sz="0" w:space="0" w:color="auto"/>
        <w:bottom w:val="none" w:sz="0" w:space="0" w:color="auto"/>
        <w:right w:val="none" w:sz="0" w:space="0" w:color="auto"/>
      </w:divBdr>
    </w:div>
    <w:div w:id="1175147099">
      <w:bodyDiv w:val="1"/>
      <w:marLeft w:val="0"/>
      <w:marRight w:val="0"/>
      <w:marTop w:val="0"/>
      <w:marBottom w:val="0"/>
      <w:divBdr>
        <w:top w:val="none" w:sz="0" w:space="0" w:color="auto"/>
        <w:left w:val="none" w:sz="0" w:space="0" w:color="auto"/>
        <w:bottom w:val="none" w:sz="0" w:space="0" w:color="auto"/>
        <w:right w:val="none" w:sz="0" w:space="0" w:color="auto"/>
      </w:divBdr>
    </w:div>
    <w:div w:id="1264335604">
      <w:bodyDiv w:val="1"/>
      <w:marLeft w:val="0"/>
      <w:marRight w:val="0"/>
      <w:marTop w:val="0"/>
      <w:marBottom w:val="0"/>
      <w:divBdr>
        <w:top w:val="none" w:sz="0" w:space="0" w:color="auto"/>
        <w:left w:val="none" w:sz="0" w:space="0" w:color="auto"/>
        <w:bottom w:val="none" w:sz="0" w:space="0" w:color="auto"/>
        <w:right w:val="none" w:sz="0" w:space="0" w:color="auto"/>
      </w:divBdr>
    </w:div>
    <w:div w:id="1287001860">
      <w:bodyDiv w:val="1"/>
      <w:marLeft w:val="0"/>
      <w:marRight w:val="0"/>
      <w:marTop w:val="0"/>
      <w:marBottom w:val="0"/>
      <w:divBdr>
        <w:top w:val="none" w:sz="0" w:space="0" w:color="auto"/>
        <w:left w:val="none" w:sz="0" w:space="0" w:color="auto"/>
        <w:bottom w:val="none" w:sz="0" w:space="0" w:color="auto"/>
        <w:right w:val="none" w:sz="0" w:space="0" w:color="auto"/>
      </w:divBdr>
    </w:div>
    <w:div w:id="1302812721">
      <w:bodyDiv w:val="1"/>
      <w:marLeft w:val="0"/>
      <w:marRight w:val="0"/>
      <w:marTop w:val="0"/>
      <w:marBottom w:val="0"/>
      <w:divBdr>
        <w:top w:val="none" w:sz="0" w:space="0" w:color="auto"/>
        <w:left w:val="none" w:sz="0" w:space="0" w:color="auto"/>
        <w:bottom w:val="none" w:sz="0" w:space="0" w:color="auto"/>
        <w:right w:val="none" w:sz="0" w:space="0" w:color="auto"/>
      </w:divBdr>
    </w:div>
    <w:div w:id="1347171786">
      <w:bodyDiv w:val="1"/>
      <w:marLeft w:val="0"/>
      <w:marRight w:val="0"/>
      <w:marTop w:val="0"/>
      <w:marBottom w:val="0"/>
      <w:divBdr>
        <w:top w:val="none" w:sz="0" w:space="0" w:color="auto"/>
        <w:left w:val="none" w:sz="0" w:space="0" w:color="auto"/>
        <w:bottom w:val="none" w:sz="0" w:space="0" w:color="auto"/>
        <w:right w:val="none" w:sz="0" w:space="0" w:color="auto"/>
      </w:divBdr>
    </w:div>
    <w:div w:id="1367751175">
      <w:bodyDiv w:val="1"/>
      <w:marLeft w:val="0"/>
      <w:marRight w:val="0"/>
      <w:marTop w:val="0"/>
      <w:marBottom w:val="0"/>
      <w:divBdr>
        <w:top w:val="none" w:sz="0" w:space="0" w:color="auto"/>
        <w:left w:val="none" w:sz="0" w:space="0" w:color="auto"/>
        <w:bottom w:val="none" w:sz="0" w:space="0" w:color="auto"/>
        <w:right w:val="none" w:sz="0" w:space="0" w:color="auto"/>
      </w:divBdr>
    </w:div>
    <w:div w:id="1462071193">
      <w:bodyDiv w:val="1"/>
      <w:marLeft w:val="0"/>
      <w:marRight w:val="0"/>
      <w:marTop w:val="0"/>
      <w:marBottom w:val="0"/>
      <w:divBdr>
        <w:top w:val="none" w:sz="0" w:space="0" w:color="auto"/>
        <w:left w:val="none" w:sz="0" w:space="0" w:color="auto"/>
        <w:bottom w:val="none" w:sz="0" w:space="0" w:color="auto"/>
        <w:right w:val="none" w:sz="0" w:space="0" w:color="auto"/>
      </w:divBdr>
    </w:div>
    <w:div w:id="1540239448">
      <w:bodyDiv w:val="1"/>
      <w:marLeft w:val="0"/>
      <w:marRight w:val="0"/>
      <w:marTop w:val="0"/>
      <w:marBottom w:val="0"/>
      <w:divBdr>
        <w:top w:val="none" w:sz="0" w:space="0" w:color="auto"/>
        <w:left w:val="none" w:sz="0" w:space="0" w:color="auto"/>
        <w:bottom w:val="none" w:sz="0" w:space="0" w:color="auto"/>
        <w:right w:val="none" w:sz="0" w:space="0" w:color="auto"/>
      </w:divBdr>
    </w:div>
    <w:div w:id="1587953271">
      <w:bodyDiv w:val="1"/>
      <w:marLeft w:val="0"/>
      <w:marRight w:val="0"/>
      <w:marTop w:val="0"/>
      <w:marBottom w:val="0"/>
      <w:divBdr>
        <w:top w:val="none" w:sz="0" w:space="0" w:color="auto"/>
        <w:left w:val="none" w:sz="0" w:space="0" w:color="auto"/>
        <w:bottom w:val="none" w:sz="0" w:space="0" w:color="auto"/>
        <w:right w:val="none" w:sz="0" w:space="0" w:color="auto"/>
      </w:divBdr>
    </w:div>
    <w:div w:id="1589803825">
      <w:bodyDiv w:val="1"/>
      <w:marLeft w:val="0"/>
      <w:marRight w:val="0"/>
      <w:marTop w:val="0"/>
      <w:marBottom w:val="0"/>
      <w:divBdr>
        <w:top w:val="none" w:sz="0" w:space="0" w:color="auto"/>
        <w:left w:val="none" w:sz="0" w:space="0" w:color="auto"/>
        <w:bottom w:val="none" w:sz="0" w:space="0" w:color="auto"/>
        <w:right w:val="none" w:sz="0" w:space="0" w:color="auto"/>
      </w:divBdr>
    </w:div>
    <w:div w:id="1656642731">
      <w:bodyDiv w:val="1"/>
      <w:marLeft w:val="0"/>
      <w:marRight w:val="0"/>
      <w:marTop w:val="0"/>
      <w:marBottom w:val="0"/>
      <w:divBdr>
        <w:top w:val="none" w:sz="0" w:space="0" w:color="auto"/>
        <w:left w:val="none" w:sz="0" w:space="0" w:color="auto"/>
        <w:bottom w:val="none" w:sz="0" w:space="0" w:color="auto"/>
        <w:right w:val="none" w:sz="0" w:space="0" w:color="auto"/>
      </w:divBdr>
    </w:div>
    <w:div w:id="1702129057">
      <w:bodyDiv w:val="1"/>
      <w:marLeft w:val="0"/>
      <w:marRight w:val="0"/>
      <w:marTop w:val="0"/>
      <w:marBottom w:val="0"/>
      <w:divBdr>
        <w:top w:val="none" w:sz="0" w:space="0" w:color="auto"/>
        <w:left w:val="none" w:sz="0" w:space="0" w:color="auto"/>
        <w:bottom w:val="none" w:sz="0" w:space="0" w:color="auto"/>
        <w:right w:val="none" w:sz="0" w:space="0" w:color="auto"/>
      </w:divBdr>
    </w:div>
    <w:div w:id="1721401296">
      <w:bodyDiv w:val="1"/>
      <w:marLeft w:val="0"/>
      <w:marRight w:val="0"/>
      <w:marTop w:val="0"/>
      <w:marBottom w:val="0"/>
      <w:divBdr>
        <w:top w:val="none" w:sz="0" w:space="0" w:color="auto"/>
        <w:left w:val="none" w:sz="0" w:space="0" w:color="auto"/>
        <w:bottom w:val="none" w:sz="0" w:space="0" w:color="auto"/>
        <w:right w:val="none" w:sz="0" w:space="0" w:color="auto"/>
      </w:divBdr>
    </w:div>
    <w:div w:id="1722945214">
      <w:bodyDiv w:val="1"/>
      <w:marLeft w:val="0"/>
      <w:marRight w:val="0"/>
      <w:marTop w:val="0"/>
      <w:marBottom w:val="0"/>
      <w:divBdr>
        <w:top w:val="none" w:sz="0" w:space="0" w:color="auto"/>
        <w:left w:val="none" w:sz="0" w:space="0" w:color="auto"/>
        <w:bottom w:val="none" w:sz="0" w:space="0" w:color="auto"/>
        <w:right w:val="none" w:sz="0" w:space="0" w:color="auto"/>
      </w:divBdr>
    </w:div>
    <w:div w:id="1813332176">
      <w:bodyDiv w:val="1"/>
      <w:marLeft w:val="0"/>
      <w:marRight w:val="0"/>
      <w:marTop w:val="0"/>
      <w:marBottom w:val="0"/>
      <w:divBdr>
        <w:top w:val="none" w:sz="0" w:space="0" w:color="auto"/>
        <w:left w:val="none" w:sz="0" w:space="0" w:color="auto"/>
        <w:bottom w:val="none" w:sz="0" w:space="0" w:color="auto"/>
        <w:right w:val="none" w:sz="0" w:space="0" w:color="auto"/>
      </w:divBdr>
    </w:div>
    <w:div w:id="1831828968">
      <w:bodyDiv w:val="1"/>
      <w:marLeft w:val="0"/>
      <w:marRight w:val="0"/>
      <w:marTop w:val="0"/>
      <w:marBottom w:val="0"/>
      <w:divBdr>
        <w:top w:val="none" w:sz="0" w:space="0" w:color="auto"/>
        <w:left w:val="none" w:sz="0" w:space="0" w:color="auto"/>
        <w:bottom w:val="none" w:sz="0" w:space="0" w:color="auto"/>
        <w:right w:val="none" w:sz="0" w:space="0" w:color="auto"/>
      </w:divBdr>
    </w:div>
    <w:div w:id="1843740471">
      <w:bodyDiv w:val="1"/>
      <w:marLeft w:val="0"/>
      <w:marRight w:val="0"/>
      <w:marTop w:val="0"/>
      <w:marBottom w:val="0"/>
      <w:divBdr>
        <w:top w:val="none" w:sz="0" w:space="0" w:color="auto"/>
        <w:left w:val="none" w:sz="0" w:space="0" w:color="auto"/>
        <w:bottom w:val="none" w:sz="0" w:space="0" w:color="auto"/>
        <w:right w:val="none" w:sz="0" w:space="0" w:color="auto"/>
      </w:divBdr>
    </w:div>
    <w:div w:id="1933272222">
      <w:bodyDiv w:val="1"/>
      <w:marLeft w:val="0"/>
      <w:marRight w:val="0"/>
      <w:marTop w:val="0"/>
      <w:marBottom w:val="0"/>
      <w:divBdr>
        <w:top w:val="none" w:sz="0" w:space="0" w:color="auto"/>
        <w:left w:val="none" w:sz="0" w:space="0" w:color="auto"/>
        <w:bottom w:val="none" w:sz="0" w:space="0" w:color="auto"/>
        <w:right w:val="none" w:sz="0" w:space="0" w:color="auto"/>
      </w:divBdr>
    </w:div>
    <w:div w:id="2000233818">
      <w:bodyDiv w:val="1"/>
      <w:marLeft w:val="0"/>
      <w:marRight w:val="0"/>
      <w:marTop w:val="0"/>
      <w:marBottom w:val="0"/>
      <w:divBdr>
        <w:top w:val="none" w:sz="0" w:space="0" w:color="auto"/>
        <w:left w:val="none" w:sz="0" w:space="0" w:color="auto"/>
        <w:bottom w:val="none" w:sz="0" w:space="0" w:color="auto"/>
        <w:right w:val="none" w:sz="0" w:space="0" w:color="auto"/>
      </w:divBdr>
    </w:div>
    <w:div w:id="2020546108">
      <w:bodyDiv w:val="1"/>
      <w:marLeft w:val="0"/>
      <w:marRight w:val="0"/>
      <w:marTop w:val="0"/>
      <w:marBottom w:val="0"/>
      <w:divBdr>
        <w:top w:val="none" w:sz="0" w:space="0" w:color="auto"/>
        <w:left w:val="none" w:sz="0" w:space="0" w:color="auto"/>
        <w:bottom w:val="none" w:sz="0" w:space="0" w:color="auto"/>
        <w:right w:val="none" w:sz="0" w:space="0" w:color="auto"/>
      </w:divBdr>
    </w:div>
    <w:div w:id="2073964584">
      <w:bodyDiv w:val="1"/>
      <w:marLeft w:val="0"/>
      <w:marRight w:val="0"/>
      <w:marTop w:val="0"/>
      <w:marBottom w:val="0"/>
      <w:divBdr>
        <w:top w:val="none" w:sz="0" w:space="0" w:color="auto"/>
        <w:left w:val="none" w:sz="0" w:space="0" w:color="auto"/>
        <w:bottom w:val="none" w:sz="0" w:space="0" w:color="auto"/>
        <w:right w:val="none" w:sz="0" w:space="0" w:color="auto"/>
      </w:divBdr>
    </w:div>
    <w:div w:id="2100130620">
      <w:bodyDiv w:val="1"/>
      <w:marLeft w:val="0"/>
      <w:marRight w:val="0"/>
      <w:marTop w:val="0"/>
      <w:marBottom w:val="0"/>
      <w:divBdr>
        <w:top w:val="none" w:sz="0" w:space="0" w:color="auto"/>
        <w:left w:val="none" w:sz="0" w:space="0" w:color="auto"/>
        <w:bottom w:val="none" w:sz="0" w:space="0" w:color="auto"/>
        <w:right w:val="none" w:sz="0" w:space="0" w:color="auto"/>
      </w:divBdr>
    </w:div>
    <w:div w:id="2133286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euc-word-edit.officeapps.live.com/we/wordeditorframe.aspx?ui=en-us&amp;rs=en-us&amp;wopisrc=https%3A%2F%2Febaonline.sharepoint.com%2Fsites%2FITSResRep%2F_vti_bin%2Fwopi.ashx%2Ffiles%2F96ea38be104a4d74b71acda38ddd2ded&amp;wdenableroaming=1&amp;mscc=1&amp;hid=-111&amp;uiembed=1&amp;uih=teams&amp;hhdr=1&amp;dchat=1&amp;sc=%7B%22pmo%22%3A%22https%3A%2F%2Fteams.microsoft.com%22%2C%22pmshare%22%3Atrue%2C%22surl%22%3A%22%22%2C%22curl%22%3A%22%22%2C%22vurl%22%3A%22%22%2C%22eurl%22%3A%22https%3A%2F%2Fteams.microsoft.com%2Ffiles%2Fapps%2Fcom.microsoft.teams.files%2Ffiles%2F3356859179%2Fopen%3Fagent%3Dpostmessage%26objectUrl%3Dhttps%253A%252F%252Febaonline.sharepoint.com%252Fsites%252FITSResRep%252FShared%2520Documents%252FGeneral%252F20210517%2520Annex%2520II%2520(Instructions)%2520(tv).docx%26fileId%3D96EA38BE-104A-4D74-B71A-CDA38DDD2DED%26fileType%3Ddocx%26scenarioId%3D111%26locale%3Den-us%26theme%3Ddefault%26version%3D21043007800%26setting%3Dring.id%3Ageneral%26setting%3DcreatedTime%3A1625831342227%22%7D&amp;wdorigin=TEAMS-WEB.teams.undefined&amp;wdhostclicktime=1625831341357&amp;jsapi=1&amp;jsapiver=v1&amp;newsession=1&amp;corrid=9cb0b368-e356-4dda-b2b6-733b44dda51b&amp;usid=9cb0b368-e356-4dda-b2b6-733b44dda51b&amp;sftc=1&amp;sams=1&amp;accloop=1&amp;sdr=6&amp;scnd=1&amp;hbcv=1&amp;htv=1&amp;nbmd=1&amp;instantedit=1&amp;wopicomplete=1&amp;wdredirectionreason=Unified_SingleFlush&amp;rct=Medium&amp;ctp=LeastProtected"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http://www.leiroc.org"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euc-word-edit.officeapps.live.com/we/wordeditorframe.aspx?ui=en-us&amp;rs=en-us&amp;wopisrc=https%3A%2F%2Febaonline.sharepoint.com%2Fsites%2FITSResRep%2F_vti_bin%2Fwopi.ashx%2Ffiles%2F96ea38be104a4d74b71acda38ddd2ded&amp;wdenableroaming=1&amp;mscc=1&amp;hid=-111&amp;uiembed=1&amp;uih=teams&amp;hhdr=1&amp;dchat=1&amp;sc=%7B%22pmo%22%3A%22https%3A%2F%2Fteams.microsoft.com%22%2C%22pmshare%22%3Atrue%2C%22surl%22%3A%22%22%2C%22curl%22%3A%22%22%2C%22vurl%22%3A%22%22%2C%22eurl%22%3A%22https%3A%2F%2Fteams.microsoft.com%2Ffiles%2Fapps%2Fcom.microsoft.teams.files%2Ffiles%2F3356859179%2Fopen%3Fagent%3Dpostmessage%26objectUrl%3Dhttps%253A%252F%252Febaonline.sharepoint.com%252Fsites%252FITSResRep%252FShared%2520Documents%252FGeneral%252F20210517%2520Annex%2520II%2520(Instructions)%2520(tv).docx%26fileId%3D96EA38BE-104A-4D74-B71A-CDA38DDD2DED%26fileType%3Ddocx%26scenarioId%3D111%26locale%3Den-us%26theme%3Ddefault%26version%3D21043007800%26setting%3Dring.id%3Ageneral%26setting%3DcreatedTime%3A1625831342227%22%7D&amp;wdorigin=TEAMS-WEB.teams.undefined&amp;wdhostclicktime=1625831341357&amp;jsapi=1&amp;jsapiver=v1&amp;newsession=1&amp;corrid=9cb0b368-e356-4dda-b2b6-733b44dda51b&amp;usid=9cb0b368-e356-4dda-b2b6-733b44dda51b&amp;sftc=1&amp;sams=1&amp;accloop=1&amp;sdr=6&amp;scnd=1&amp;hbcv=1&amp;htv=1&amp;nbmd=1&amp;instantedit=1&amp;wopicomplete=1&amp;wdredirectionreason=Unified_SingleFlush&amp;rct=Medium&amp;ctp=LeastProtected"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euc-word-edit.officeapps.live.com/we/wordeditorframe.aspx?ui=en-us&amp;rs=en-us&amp;wopisrc=https%3A%2F%2Febaonline.sharepoint.com%2Fsites%2FITSResRep%2F_vti_bin%2Fwopi.ashx%2Ffiles%2F96ea38be104a4d74b71acda38ddd2ded&amp;wdenableroaming=1&amp;mscc=1&amp;hid=-111&amp;uiembed=1&amp;uih=teams&amp;hhdr=1&amp;dchat=1&amp;sc=%7B%22pmo%22%3A%22https%3A%2F%2Fteams.microsoft.com%22%2C%22pmshare%22%3Atrue%2C%22surl%22%3A%22%22%2C%22curl%22%3A%22%22%2C%22vurl%22%3A%22%22%2C%22eurl%22%3A%22https%3A%2F%2Fteams.microsoft.com%2Ffiles%2Fapps%2Fcom.microsoft.teams.files%2Ffiles%2F3356859179%2Fopen%3Fagent%3Dpostmessage%26objectUrl%3Dhttps%253A%252F%252Febaonline.sharepoint.com%252Fsites%252FITSResRep%252FShared%2520Documents%252FGeneral%252F20210517%2520Annex%2520II%2520(Instructions)%2520(tv).docx%26fileId%3D96EA38BE-104A-4D74-B71A-CDA38DDD2DED%26fileType%3Ddocx%26scenarioId%3D111%26locale%3Den-us%26theme%3Ddefault%26version%3D21043007800%26setting%3Dring.id%3Ageneral%26setting%3DcreatedTime%3A1625831342227%22%7D&amp;wdorigin=TEAMS-WEB.teams.undefined&amp;wdhostclicktime=1625831341357&amp;jsapi=1&amp;jsapiver=v1&amp;newsession=1&amp;corrid=9cb0b368-e356-4dda-b2b6-733b44dda51b&amp;usid=9cb0b368-e356-4dda-b2b6-733b44dda51b&amp;sftc=1&amp;sams=1&amp;accloop=1&amp;sdr=6&amp;scnd=1&amp;hbcv=1&amp;htv=1&amp;nbmd=1&amp;instantedit=1&amp;wopicomplete=1&amp;wdredirectionreason=Unified_SingleFlush&amp;rct=Medium&amp;ctp=LeastProtected"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euc-word-edit.officeapps.live.com/we/wordeditorframe.aspx?ui=en-us&amp;rs=en-us&amp;wopisrc=https%3A%2F%2Febaonline.sharepoint.com%2Fsites%2FITSResRep%2F_vti_bin%2Fwopi.ashx%2Ffiles%2F96ea38be104a4d74b71acda38ddd2ded&amp;wdenableroaming=1&amp;mscc=1&amp;hid=-111&amp;uiembed=1&amp;uih=teams&amp;hhdr=1&amp;dchat=1&amp;sc=%7B%22pmo%22%3A%22https%3A%2F%2Fteams.microsoft.com%22%2C%22pmshare%22%3Atrue%2C%22surl%22%3A%22%22%2C%22curl%22%3A%22%22%2C%22vurl%22%3A%22%22%2C%22eurl%22%3A%22https%3A%2F%2Fteams.microsoft.com%2Ffiles%2Fapps%2Fcom.microsoft.teams.files%2Ffiles%2F3356859179%2Fopen%3Fagent%3Dpostmessage%26objectUrl%3Dhttps%253A%252F%252Febaonline.sharepoint.com%252Fsites%252FITSResRep%252FShared%2520Documents%252FGeneral%252F20210517%2520Annex%2520II%2520(Instructions)%2520(tv).docx%26fileId%3D96EA38BE-104A-4D74-B71A-CDA38DDD2DED%26fileType%3Ddocx%26scenarioId%3D111%26locale%3Den-us%26theme%3Ddefault%26version%3D21043007800%26setting%3Dring.id%3Ageneral%26setting%3DcreatedTime%3A1625831342227%22%7D&amp;wdorigin=TEAMS-WEB.teams.undefined&amp;wdhostclicktime=1625831341357&amp;jsapi=1&amp;jsapiver=v1&amp;newsession=1&amp;corrid=9cb0b368-e356-4dda-b2b6-733b44dda51b&amp;usid=9cb0b368-e356-4dda-b2b6-733b44dda51b&amp;sftc=1&amp;sams=1&amp;accloop=1&amp;sdr=6&amp;scnd=1&amp;hbcv=1&amp;htv=1&amp;nbmd=1&amp;instantedit=1&amp;wopicomplete=1&amp;wdredirectionreason=Unified_SingleFlush&amp;rct=Medium&amp;ctp=LeastProtected"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data.europa.eu/eli/reg_impl/2024/3117/o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fd92a9451dd3463abf9634d05b73128d xmlns="CF979A76-87C8-4B49-B347-B93088FEC595">
      <Terms xmlns="http://schemas.microsoft.com/office/infopath/2007/PartnerControls">
        <TermInfo xmlns="http://schemas.microsoft.com/office/infopath/2007/PartnerControls">
          <TermName xmlns="http://schemas.microsoft.com/office/infopath/2007/PartnerControls">Standard</TermName>
          <TermId xmlns="http://schemas.microsoft.com/office/infopath/2007/PartnerControls">a52bd243-cec1-44e7-af4a-e2cb76028b9b</TermId>
        </TermInfo>
      </Terms>
    </fd92a9451dd3463abf9634d05b73128d>
    <TaxCatchAll xmlns="c6be4610-03ee-4504-9e6f-efba8b9bb303">
      <Value>588</Value>
    </TaxCatchAll>
    <PublishingExpirationDate xmlns="http://schemas.microsoft.com/sharepoint/v3" xsi:nil="true"/>
    <PublishingStartDate xmlns="http://schemas.microsoft.com/sharepoint/v3" xsi:nil="true"/>
    <_dlc_DocId xmlns="c6be4610-03ee-4504-9e6f-efba8b9bb303">THEMENRAUM-1767517434-1541</_dlc_DocId>
    <_dlc_DocIdUrl xmlns="c6be4610-03ee-4504-9e6f-efba8b9bb303">
      <Url>https://spse.fma.gv.at/sites/tr/544/_layouts/15/DocIdRedir.aspx?ID=THEMENRAUM-1767517434-1541</Url>
      <Description>THEMENRAUM-1767517434-1541</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F9BB2A5884800A4FB1B6255F1B4975A4" ma:contentTypeVersion="1" ma:contentTypeDescription="Ein neues Dokument erstellen." ma:contentTypeScope="" ma:versionID="6a6f3bfd137fd9099c3a6241c9aafd24">
  <xsd:schema xmlns:xsd="http://www.w3.org/2001/XMLSchema" xmlns:xs="http://www.w3.org/2001/XMLSchema" xmlns:p="http://schemas.microsoft.com/office/2006/metadata/properties" xmlns:ns1="http://schemas.microsoft.com/sharepoint/v3" xmlns:ns2="c6be4610-03ee-4504-9e6f-efba8b9bb303" xmlns:ns3="CF979A76-87C8-4B49-B347-B93088FEC595" xmlns:ns4="77fb0f20-738e-4199-abfc-1400b68556c8" targetNamespace="http://schemas.microsoft.com/office/2006/metadata/properties" ma:root="true" ma:fieldsID="125aa039d5dcec4b855809ec3d5b78f3" ns1:_="" ns2:_="" ns3:_="" ns4:_="">
    <xsd:import namespace="http://schemas.microsoft.com/sharepoint/v3"/>
    <xsd:import namespace="c6be4610-03ee-4504-9e6f-efba8b9bb303"/>
    <xsd:import namespace="CF979A76-87C8-4B49-B347-B93088FEC595"/>
    <xsd:import namespace="77fb0f20-738e-4199-abfc-1400b68556c8"/>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element ref="ns3:fd92a9451dd3463abf9634d05b73128d" minOccurs="0"/>
                <xsd:element ref="ns2:TaxCatchAll" minOccurs="0"/>
                <xsd:element ref="ns2:TaxCatchAllLabel"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Geplantes Startdatum" ma:description="Geplantes Startdatum ist eine Websitespalte, die über das Feature zum Veröffentlichen erstellt wird. Es wird zur Angabe des Datums und der Uhrzeit verwendet, wann diese Seite Besuchern zum ersten Mal angezeigt wird." ma:internalName="PublishingStartDate">
      <xsd:simpleType>
        <xsd:restriction base="dms:Unknown"/>
      </xsd:simpleType>
    </xsd:element>
    <xsd:element name="PublishingExpirationDate" ma:index="12" nillable="true" ma:displayName="Geplantes Enddatum" ma:description="Geplantes Enddatum ist eine Websitespalte, die über das Feature zum Veröffentlichen erstellt wird. Es wird zur Angabe des Datums und der Uhrzeit verwendet, wann diese Seite Besuchern nicht mehr angezeigt wird."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6be4610-03ee-4504-9e6f-efba8b9bb303" elementFormDefault="qualified">
    <xsd:import namespace="http://schemas.microsoft.com/office/2006/documentManagement/types"/>
    <xsd:import namespace="http://schemas.microsoft.com/office/infopath/2007/PartnerControls"/>
    <xsd:element name="_dlc_DocId" ma:index="8" nillable="true" ma:displayName="Wert der Dokument-ID" ma:description="Der Wert der diesem Element zugewiesenen Dokument-ID." ma:internalName="_dlc_DocId" ma:readOnly="true">
      <xsd:simpleType>
        <xsd:restriction base="dms:Text"/>
      </xsd:simpleType>
    </xsd:element>
    <xsd:element name="_dlc_DocIdUrl" ma:index="9" nillable="true" ma:displayName="Dokument-ID" ma:description="Permanenter Hyperlink zu diesem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Beständige ID" ma:description="ID beim Hinzufügen beibehalten." ma:hidden="true" ma:internalName="_dlc_DocIdPersistId" ma:readOnly="true">
      <xsd:simpleType>
        <xsd:restriction base="dms:Boolean"/>
      </xsd:simpleType>
    </xsd:element>
    <xsd:element name="TaxCatchAll" ma:index="14" nillable="true" ma:displayName="Taxonomy Catch All Column" ma:hidden="true" ma:list="{b204dc90-93e0-4fb0-9887-b47b83682dfe}" ma:internalName="TaxCatchAll" ma:showField="CatchAllData" ma:web="c6be4610-03ee-4504-9e6f-efba8b9bb303">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hidden="true" ma:list="{b204dc90-93e0-4fb0-9887-b47b83682dfe}" ma:internalName="TaxCatchAllLabel" ma:readOnly="true" ma:showField="CatchAllDataLabel" ma:web="c6be4610-03ee-4504-9e6f-efba8b9bb30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F979A76-87C8-4B49-B347-B93088FEC595" elementFormDefault="qualified">
    <xsd:import namespace="http://schemas.microsoft.com/office/2006/documentManagement/types"/>
    <xsd:import namespace="http://schemas.microsoft.com/office/infopath/2007/PartnerControls"/>
    <xsd:element name="fd92a9451dd3463abf9634d05b73128d" ma:index="13" nillable="true" ma:taxonomy="true" ma:internalName="fd92a9451dd3463abf9634d05b73128d" ma:taxonomyFieldName="Kategorie" ma:displayName="Kategorie" ma:indexed="true" ma:default="588;#Standard|a52bd243-cec1-44e7-af4a-e2cb76028b9b" ma:fieldId="{fd92a945-1dd3-463a-bf96-34d05b73128d}" ma:sspId="42013fb3-0d78-41c4-a110-b51ebf36d4e5" ma:termSetId="0b989650-211b-432e-ac55-aab621b0c99a"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7fb0f20-738e-4199-abfc-1400b68556c8" elementFormDefault="qualified">
    <xsd:import namespace="http://schemas.microsoft.com/office/2006/documentManagement/types"/>
    <xsd:import namespace="http://schemas.microsoft.com/office/infopath/2007/PartnerControls"/>
    <xsd:element name="SharedWithUsers" ma:index="17"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26D94E3-D2E2-4C29-BE1B-0CB7BAC142C0}">
  <ds:schemaRefs>
    <ds:schemaRef ds:uri="http://schemas.openxmlformats.org/officeDocument/2006/bibliography"/>
  </ds:schemaRefs>
</ds:datastoreItem>
</file>

<file path=customXml/itemProps2.xml><?xml version="1.0" encoding="utf-8"?>
<ds:datastoreItem xmlns:ds="http://schemas.openxmlformats.org/officeDocument/2006/customXml" ds:itemID="{E4D40281-3D5F-4DA9-93D5-07F602DB437A}">
  <ds:schemaRefs>
    <ds:schemaRef ds:uri="http://schemas.microsoft.com/sharepoint/events"/>
  </ds:schemaRefs>
</ds:datastoreItem>
</file>

<file path=customXml/itemProps3.xml><?xml version="1.0" encoding="utf-8"?>
<ds:datastoreItem xmlns:ds="http://schemas.openxmlformats.org/officeDocument/2006/customXml" ds:itemID="{F018EF0B-2BAD-4B12-9190-3D3A50D9EE3D}">
  <ds:schemaRefs>
    <ds:schemaRef ds:uri="http://purl.org/dc/elements/1.1/"/>
    <ds:schemaRef ds:uri="http://purl.org/dc/dcmitype/"/>
    <ds:schemaRef ds:uri="http://purl.org/dc/terms/"/>
    <ds:schemaRef ds:uri="http://schemas.microsoft.com/office/infopath/2007/PartnerControls"/>
    <ds:schemaRef ds:uri="http://schemas.microsoft.com/sharepoint/v3"/>
    <ds:schemaRef ds:uri="http://schemas.openxmlformats.org/package/2006/metadata/core-properties"/>
    <ds:schemaRef ds:uri="http://schemas.microsoft.com/office/2006/documentManagement/types"/>
    <ds:schemaRef ds:uri="c6be4610-03ee-4504-9e6f-efba8b9bb303"/>
    <ds:schemaRef ds:uri="CF979A76-87C8-4B49-B347-B93088FEC595"/>
    <ds:schemaRef ds:uri="77fb0f20-738e-4199-abfc-1400b68556c8"/>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C0E6CC43-C7C0-4E1F-95CE-AACE2EDCD6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6be4610-03ee-4504-9e6f-efba8b9bb303"/>
    <ds:schemaRef ds:uri="CF979A76-87C8-4B49-B347-B93088FEC595"/>
    <ds:schemaRef ds:uri="77fb0f20-738e-4199-abfc-1400b68556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EC53495-2AAF-4864-9657-EF708C1A4EA3}">
  <ds:schemaRefs>
    <ds:schemaRef ds:uri="http://schemas.microsoft.com/sharepoint/v3/contenttype/forms"/>
  </ds:schemaRefs>
</ds:datastoreItem>
</file>

<file path=docMetadata/LabelInfo.xml><?xml version="1.0" encoding="utf-8"?>
<clbl:labelList xmlns:clbl="http://schemas.microsoft.com/office/2020/mipLabelMetadata">
  <clbl:label id="{5c7eb9de-735b-4a68-8fe4-c9c62709b012}" enabled="1" method="Standard" siteId="{3bacb4ff-f1a2-4c92-b96c-e99fec826b68}" removed="0"/>
</clbl:labelList>
</file>

<file path=docProps/app.xml><?xml version="1.0" encoding="utf-8"?>
<Properties xmlns="http://schemas.openxmlformats.org/officeDocument/2006/extended-properties" xmlns:vt="http://schemas.openxmlformats.org/officeDocument/2006/docPropsVTypes">
  <Template>Normal</Template>
  <TotalTime>3</TotalTime>
  <Pages>116</Pages>
  <Words>41515</Words>
  <Characters>236638</Characters>
  <Application>Microsoft Office Word</Application>
  <DocSecurity>4</DocSecurity>
  <Lines>1971</Lines>
  <Paragraphs>555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277598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Bailey Michael</dc:creator>
  <cp:keywords/>
  <cp:lastModifiedBy>Kornelia Wilinska</cp:lastModifiedBy>
  <cp:revision>2</cp:revision>
  <dcterms:created xsi:type="dcterms:W3CDTF">2025-10-10T10:15:00Z</dcterms:created>
  <dcterms:modified xsi:type="dcterms:W3CDTF">2025-10-10T10:15:00Z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0x010100F9BB2A5884800A4FB1B6255F1B4975A4</vt:lpwstr>
  </property>
  <property fmtid="{D5CDD505-2E9C-101B-9397-08002B2CF9AE}" pid="3" name="_dlc_DocIdItemGuid">
    <vt:lpwstr>7609c1cc-2a5c-401f-a731-83a1ba92fbe7</vt:lpwstr>
  </property>
  <property fmtid="{D5CDD505-2E9C-101B-9397-08002B2CF9AE}" pid="4" name="f197afdb08d545b88364d84d5f12dbd8">
    <vt:lpwstr>11.01.005.050.010 Resolution Projects - LDT 1|39dd8d8f-bc69-4518-b38b-aa8718ae2236</vt:lpwstr>
  </property>
  <property fmtid="{D5CDD505-2E9C-101B-9397-08002B2CF9AE}" pid="5" name="SRBFilePlan">
    <vt:lpwstr>4;#11.01.005.050.010 Resolution Projects - LDT 1|39dd8d8f-bc69-4518-b38b-aa8718ae2236</vt:lpwstr>
  </property>
  <property fmtid="{D5CDD505-2E9C-101B-9397-08002B2CF9AE}" pid="6" name="Kategorie">
    <vt:lpwstr>588;#Standard|a52bd243-cec1-44e7-af4a-e2cb76028b9b</vt:lpwstr>
  </property>
</Properties>
</file>