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960E01" w:rsidRDefault="00960E01">
      <w:pPr>
        <w:pStyle w:val="abbreviation"/>
      </w:pPr>
    </w:p>
    <w:p w14:paraId="7FE1B2AF" w14:textId="77777777" w:rsidR="00960E01" w:rsidRDefault="00821CB5">
      <w:pPr>
        <w:pStyle w:val="P68B1DB1-ListParagraph1"/>
        <w:jc w:val="center"/>
        <w:rPr>
          <w:bCs/>
        </w:rPr>
      </w:pPr>
      <w:r>
        <w:t>Bilag II Instrukser</w:t>
      </w:r>
    </w:p>
    <w:p w14:paraId="7FE1B2B0" w14:textId="77777777" w:rsidR="00960E01" w:rsidRDefault="00960E01">
      <w:pPr>
        <w:rPr>
          <w:rFonts w:ascii="Times New Roman" w:hAnsi="Times New Roman" w:cs="Times New Roman"/>
          <w:b/>
          <w:color w:val="000000" w:themeColor="text1"/>
          <w:sz w:val="20"/>
          <w:szCs w:val="20"/>
        </w:rPr>
      </w:pPr>
    </w:p>
    <w:p w14:paraId="7FE1B2B1" w14:textId="77777777" w:rsidR="00960E01" w:rsidRDefault="00960E01">
      <w:pPr>
        <w:rPr>
          <w:rFonts w:ascii="Times New Roman" w:hAnsi="Times New Roman" w:cs="Times New Roman"/>
          <w:b/>
          <w:color w:val="000000" w:themeColor="text1"/>
          <w:sz w:val="20"/>
          <w:szCs w:val="20"/>
        </w:rPr>
      </w:pPr>
    </w:p>
    <w:p w14:paraId="2B605482" w14:textId="0A93BCE6" w:rsidR="00821CB5" w:rsidRDefault="00821CB5">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543" w:history="1">
        <w:r w:rsidRPr="00865A62">
          <w:rPr>
            <w:rStyle w:val="Hyperlink"/>
            <w:noProof/>
          </w:rPr>
          <w:t>I.</w:t>
        </w:r>
        <w:r>
          <w:rPr>
            <w:noProof/>
            <w:kern w:val="2"/>
            <w:sz w:val="24"/>
            <w:szCs w:val="24"/>
            <w:lang w:val="en-GB"/>
            <w14:ligatures w14:val="standardContextual"/>
          </w:rPr>
          <w:tab/>
        </w:r>
        <w:r w:rsidRPr="00865A62">
          <w:rPr>
            <w:rStyle w:val="Hyperlink"/>
            <w:noProof/>
          </w:rPr>
          <w:t>Generelle instruktioner</w:t>
        </w:r>
        <w:r>
          <w:rPr>
            <w:noProof/>
            <w:webHidden/>
          </w:rPr>
          <w:tab/>
        </w:r>
        <w:r>
          <w:rPr>
            <w:noProof/>
            <w:webHidden/>
          </w:rPr>
          <w:fldChar w:fldCharType="begin"/>
        </w:r>
        <w:r>
          <w:rPr>
            <w:noProof/>
            <w:webHidden/>
          </w:rPr>
          <w:instrText xml:space="preserve"> PAGEREF _Toc208244543 \h </w:instrText>
        </w:r>
        <w:r>
          <w:rPr>
            <w:noProof/>
            <w:webHidden/>
          </w:rPr>
        </w:r>
        <w:r>
          <w:rPr>
            <w:noProof/>
            <w:webHidden/>
          </w:rPr>
          <w:fldChar w:fldCharType="separate"/>
        </w:r>
        <w:r>
          <w:rPr>
            <w:noProof/>
            <w:webHidden/>
          </w:rPr>
          <w:t>3</w:t>
        </w:r>
        <w:r>
          <w:rPr>
            <w:noProof/>
            <w:webHidden/>
          </w:rPr>
          <w:fldChar w:fldCharType="end"/>
        </w:r>
      </w:hyperlink>
    </w:p>
    <w:p w14:paraId="2996D189" w14:textId="20E70DDD" w:rsidR="00821CB5" w:rsidRDefault="00821CB5">
      <w:pPr>
        <w:pStyle w:val="TOC2"/>
        <w:rPr>
          <w:noProof/>
          <w:kern w:val="2"/>
          <w:sz w:val="24"/>
          <w:szCs w:val="24"/>
          <w:lang w:val="en-GB"/>
          <w14:ligatures w14:val="standardContextual"/>
        </w:rPr>
      </w:pPr>
      <w:hyperlink w:anchor="_Toc208244544" w:history="1">
        <w:r w:rsidRPr="00865A62">
          <w:rPr>
            <w:rStyle w:val="Hyperlink"/>
            <w:noProof/>
          </w:rPr>
          <w:t>I.1</w:t>
        </w:r>
        <w:r>
          <w:rPr>
            <w:noProof/>
            <w:kern w:val="2"/>
            <w:sz w:val="24"/>
            <w:szCs w:val="24"/>
            <w:lang w:val="en-GB"/>
            <w14:ligatures w14:val="standardContextual"/>
          </w:rPr>
          <w:tab/>
        </w:r>
        <w:r w:rsidRPr="00865A62">
          <w:rPr>
            <w:rStyle w:val="Hyperlink"/>
            <w:noProof/>
          </w:rPr>
          <w:t>Struktur</w:t>
        </w:r>
        <w:r>
          <w:rPr>
            <w:noProof/>
            <w:webHidden/>
          </w:rPr>
          <w:tab/>
        </w:r>
        <w:r>
          <w:rPr>
            <w:noProof/>
            <w:webHidden/>
          </w:rPr>
          <w:fldChar w:fldCharType="begin"/>
        </w:r>
        <w:r>
          <w:rPr>
            <w:noProof/>
            <w:webHidden/>
          </w:rPr>
          <w:instrText xml:space="preserve"> PAGEREF _Toc208244544 \h </w:instrText>
        </w:r>
        <w:r>
          <w:rPr>
            <w:noProof/>
            <w:webHidden/>
          </w:rPr>
        </w:r>
        <w:r>
          <w:rPr>
            <w:noProof/>
            <w:webHidden/>
          </w:rPr>
          <w:fldChar w:fldCharType="separate"/>
        </w:r>
        <w:r>
          <w:rPr>
            <w:noProof/>
            <w:webHidden/>
          </w:rPr>
          <w:t>3</w:t>
        </w:r>
        <w:r>
          <w:rPr>
            <w:noProof/>
            <w:webHidden/>
          </w:rPr>
          <w:fldChar w:fldCharType="end"/>
        </w:r>
      </w:hyperlink>
    </w:p>
    <w:p w14:paraId="19F14FD9" w14:textId="6666BA89" w:rsidR="00821CB5" w:rsidRDefault="00821CB5">
      <w:pPr>
        <w:pStyle w:val="TOC2"/>
        <w:rPr>
          <w:noProof/>
          <w:kern w:val="2"/>
          <w:sz w:val="24"/>
          <w:szCs w:val="24"/>
          <w:lang w:val="en-GB"/>
          <w14:ligatures w14:val="standardContextual"/>
        </w:rPr>
      </w:pPr>
      <w:hyperlink w:anchor="_Toc208244545" w:history="1">
        <w:r w:rsidRPr="00865A62">
          <w:rPr>
            <w:rStyle w:val="Hyperlink"/>
            <w:noProof/>
          </w:rPr>
          <w:t>I.2</w:t>
        </w:r>
        <w:r>
          <w:rPr>
            <w:noProof/>
            <w:kern w:val="2"/>
            <w:sz w:val="24"/>
            <w:szCs w:val="24"/>
            <w:lang w:val="en-GB"/>
            <w14:ligatures w14:val="standardContextual"/>
          </w:rPr>
          <w:tab/>
        </w:r>
        <w:r w:rsidRPr="00865A62">
          <w:rPr>
            <w:rStyle w:val="Hyperlink"/>
            <w:noProof/>
          </w:rPr>
          <w:t>Ref.</w:t>
        </w:r>
        <w:r>
          <w:rPr>
            <w:noProof/>
            <w:webHidden/>
          </w:rPr>
          <w:tab/>
        </w:r>
        <w:r>
          <w:rPr>
            <w:noProof/>
            <w:webHidden/>
          </w:rPr>
          <w:fldChar w:fldCharType="begin"/>
        </w:r>
        <w:r>
          <w:rPr>
            <w:noProof/>
            <w:webHidden/>
          </w:rPr>
          <w:instrText xml:space="preserve"> PAGEREF _Toc208244545 \h </w:instrText>
        </w:r>
        <w:r>
          <w:rPr>
            <w:noProof/>
            <w:webHidden/>
          </w:rPr>
        </w:r>
        <w:r>
          <w:rPr>
            <w:noProof/>
            <w:webHidden/>
          </w:rPr>
          <w:fldChar w:fldCharType="separate"/>
        </w:r>
        <w:r>
          <w:rPr>
            <w:noProof/>
            <w:webHidden/>
          </w:rPr>
          <w:t>4</w:t>
        </w:r>
        <w:r>
          <w:rPr>
            <w:noProof/>
            <w:webHidden/>
          </w:rPr>
          <w:fldChar w:fldCharType="end"/>
        </w:r>
      </w:hyperlink>
    </w:p>
    <w:p w14:paraId="5990F635" w14:textId="6EF7D597" w:rsidR="00821CB5" w:rsidRDefault="00821CB5">
      <w:pPr>
        <w:pStyle w:val="TOC2"/>
        <w:rPr>
          <w:noProof/>
          <w:kern w:val="2"/>
          <w:sz w:val="24"/>
          <w:szCs w:val="24"/>
          <w:lang w:val="en-GB"/>
          <w14:ligatures w14:val="standardContextual"/>
        </w:rPr>
      </w:pPr>
      <w:hyperlink w:anchor="_Toc208244546" w:history="1">
        <w:r w:rsidRPr="00865A62">
          <w:rPr>
            <w:rStyle w:val="Hyperlink"/>
            <w:noProof/>
          </w:rPr>
          <w:t>I.3</w:t>
        </w:r>
        <w:r>
          <w:rPr>
            <w:noProof/>
            <w:kern w:val="2"/>
            <w:sz w:val="24"/>
            <w:szCs w:val="24"/>
            <w:lang w:val="en-GB"/>
            <w14:ligatures w14:val="standardContextual"/>
          </w:rPr>
          <w:tab/>
        </w:r>
        <w:r w:rsidRPr="00865A62">
          <w:rPr>
            <w:rStyle w:val="Hyperlink"/>
            <w:noProof/>
          </w:rPr>
          <w:t>Regnskabsstandarder</w:t>
        </w:r>
        <w:r>
          <w:rPr>
            <w:noProof/>
            <w:webHidden/>
          </w:rPr>
          <w:tab/>
        </w:r>
        <w:r>
          <w:rPr>
            <w:noProof/>
            <w:webHidden/>
          </w:rPr>
          <w:fldChar w:fldCharType="begin"/>
        </w:r>
        <w:r>
          <w:rPr>
            <w:noProof/>
            <w:webHidden/>
          </w:rPr>
          <w:instrText xml:space="preserve"> PAGEREF _Toc208244546 \h </w:instrText>
        </w:r>
        <w:r>
          <w:rPr>
            <w:noProof/>
            <w:webHidden/>
          </w:rPr>
        </w:r>
        <w:r>
          <w:rPr>
            <w:noProof/>
            <w:webHidden/>
          </w:rPr>
          <w:fldChar w:fldCharType="separate"/>
        </w:r>
        <w:r>
          <w:rPr>
            <w:noProof/>
            <w:webHidden/>
          </w:rPr>
          <w:t>5</w:t>
        </w:r>
        <w:r>
          <w:rPr>
            <w:noProof/>
            <w:webHidden/>
          </w:rPr>
          <w:fldChar w:fldCharType="end"/>
        </w:r>
      </w:hyperlink>
    </w:p>
    <w:p w14:paraId="2942448E" w14:textId="4402F3AD" w:rsidR="00821CB5" w:rsidRDefault="00821CB5">
      <w:pPr>
        <w:pStyle w:val="TOC2"/>
        <w:rPr>
          <w:noProof/>
          <w:kern w:val="2"/>
          <w:sz w:val="24"/>
          <w:szCs w:val="24"/>
          <w:lang w:val="en-GB"/>
          <w14:ligatures w14:val="standardContextual"/>
        </w:rPr>
      </w:pPr>
      <w:hyperlink w:anchor="_Toc208244547" w:history="1">
        <w:r w:rsidRPr="00865A62">
          <w:rPr>
            <w:rStyle w:val="Hyperlink"/>
            <w:noProof/>
          </w:rPr>
          <w:t>I.4</w:t>
        </w:r>
        <w:r>
          <w:rPr>
            <w:noProof/>
            <w:kern w:val="2"/>
            <w:sz w:val="24"/>
            <w:szCs w:val="24"/>
            <w:lang w:val="en-GB"/>
            <w14:ligatures w14:val="standardContextual"/>
          </w:rPr>
          <w:tab/>
        </w:r>
        <w:r w:rsidRPr="00865A62">
          <w:rPr>
            <w:rStyle w:val="Hyperlink"/>
            <w:noProof/>
          </w:rPr>
          <w:t>Indberetning af tilsynsdata</w:t>
        </w:r>
        <w:r>
          <w:rPr>
            <w:noProof/>
            <w:webHidden/>
          </w:rPr>
          <w:tab/>
        </w:r>
        <w:r>
          <w:rPr>
            <w:noProof/>
            <w:webHidden/>
          </w:rPr>
          <w:fldChar w:fldCharType="begin"/>
        </w:r>
        <w:r>
          <w:rPr>
            <w:noProof/>
            <w:webHidden/>
          </w:rPr>
          <w:instrText xml:space="preserve"> PAGEREF _Toc208244547 \h </w:instrText>
        </w:r>
        <w:r>
          <w:rPr>
            <w:noProof/>
            <w:webHidden/>
          </w:rPr>
        </w:r>
        <w:r>
          <w:rPr>
            <w:noProof/>
            <w:webHidden/>
          </w:rPr>
          <w:fldChar w:fldCharType="separate"/>
        </w:r>
        <w:r>
          <w:rPr>
            <w:noProof/>
            <w:webHidden/>
          </w:rPr>
          <w:t>5</w:t>
        </w:r>
        <w:r>
          <w:rPr>
            <w:noProof/>
            <w:webHidden/>
          </w:rPr>
          <w:fldChar w:fldCharType="end"/>
        </w:r>
      </w:hyperlink>
    </w:p>
    <w:p w14:paraId="6E4CCFF4" w14:textId="1C44747F" w:rsidR="00821CB5" w:rsidRDefault="00821CB5">
      <w:pPr>
        <w:pStyle w:val="TOC2"/>
        <w:rPr>
          <w:noProof/>
          <w:kern w:val="2"/>
          <w:sz w:val="24"/>
          <w:szCs w:val="24"/>
          <w:lang w:val="en-GB"/>
          <w14:ligatures w14:val="standardContextual"/>
        </w:rPr>
      </w:pPr>
      <w:hyperlink w:anchor="_Toc208244548" w:history="1">
        <w:r w:rsidRPr="00865A62">
          <w:rPr>
            <w:rStyle w:val="Hyperlink"/>
            <w:noProof/>
          </w:rPr>
          <w:t>I.5</w:t>
        </w:r>
        <w:r>
          <w:rPr>
            <w:noProof/>
            <w:kern w:val="2"/>
            <w:sz w:val="24"/>
            <w:szCs w:val="24"/>
            <w:lang w:val="en-GB"/>
            <w14:ligatures w14:val="standardContextual"/>
          </w:rPr>
          <w:tab/>
        </w:r>
        <w:r w:rsidRPr="00865A62">
          <w:rPr>
            <w:rStyle w:val="Hyperlink"/>
            <w:noProof/>
          </w:rPr>
          <w:t>Rammer for konsolideringen</w:t>
        </w:r>
        <w:r>
          <w:rPr>
            <w:noProof/>
            <w:webHidden/>
          </w:rPr>
          <w:tab/>
        </w:r>
        <w:r>
          <w:rPr>
            <w:noProof/>
            <w:webHidden/>
          </w:rPr>
          <w:fldChar w:fldCharType="begin"/>
        </w:r>
        <w:r>
          <w:rPr>
            <w:noProof/>
            <w:webHidden/>
          </w:rPr>
          <w:instrText xml:space="preserve"> PAGEREF _Toc208244548 \h </w:instrText>
        </w:r>
        <w:r>
          <w:rPr>
            <w:noProof/>
            <w:webHidden/>
          </w:rPr>
        </w:r>
        <w:r>
          <w:rPr>
            <w:noProof/>
            <w:webHidden/>
          </w:rPr>
          <w:fldChar w:fldCharType="separate"/>
        </w:r>
        <w:r>
          <w:rPr>
            <w:noProof/>
            <w:webHidden/>
          </w:rPr>
          <w:t>6</w:t>
        </w:r>
        <w:r>
          <w:rPr>
            <w:noProof/>
            <w:webHidden/>
          </w:rPr>
          <w:fldChar w:fldCharType="end"/>
        </w:r>
      </w:hyperlink>
    </w:p>
    <w:p w14:paraId="13D2B1B7" w14:textId="765F92B5" w:rsidR="00821CB5" w:rsidRDefault="00821CB5">
      <w:pPr>
        <w:pStyle w:val="TOC2"/>
        <w:rPr>
          <w:noProof/>
          <w:kern w:val="2"/>
          <w:sz w:val="24"/>
          <w:szCs w:val="24"/>
          <w:lang w:val="en-GB"/>
          <w14:ligatures w14:val="standardContextual"/>
        </w:rPr>
      </w:pPr>
      <w:hyperlink w:anchor="_Toc208244549" w:history="1">
        <w:r w:rsidRPr="00865A62">
          <w:rPr>
            <w:rStyle w:val="Hyperlink"/>
            <w:noProof/>
          </w:rPr>
          <w:t>I.6</w:t>
        </w:r>
        <w:r>
          <w:rPr>
            <w:noProof/>
            <w:kern w:val="2"/>
            <w:sz w:val="24"/>
            <w:szCs w:val="24"/>
            <w:lang w:val="en-GB"/>
            <w14:ligatures w14:val="standardContextual"/>
          </w:rPr>
          <w:tab/>
        </w:r>
        <w:r w:rsidRPr="00865A62">
          <w:rPr>
            <w:rStyle w:val="Hyperlink"/>
            <w:noProof/>
          </w:rPr>
          <w:t>Nummerering og andre konventioner</w:t>
        </w:r>
        <w:r>
          <w:rPr>
            <w:noProof/>
            <w:webHidden/>
          </w:rPr>
          <w:tab/>
        </w:r>
        <w:r>
          <w:rPr>
            <w:noProof/>
            <w:webHidden/>
          </w:rPr>
          <w:fldChar w:fldCharType="begin"/>
        </w:r>
        <w:r>
          <w:rPr>
            <w:noProof/>
            <w:webHidden/>
          </w:rPr>
          <w:instrText xml:space="preserve"> PAGEREF _Toc208244549 \h </w:instrText>
        </w:r>
        <w:r>
          <w:rPr>
            <w:noProof/>
            <w:webHidden/>
          </w:rPr>
        </w:r>
        <w:r>
          <w:rPr>
            <w:noProof/>
            <w:webHidden/>
          </w:rPr>
          <w:fldChar w:fldCharType="separate"/>
        </w:r>
        <w:r>
          <w:rPr>
            <w:noProof/>
            <w:webHidden/>
          </w:rPr>
          <w:t>6</w:t>
        </w:r>
        <w:r>
          <w:rPr>
            <w:noProof/>
            <w:webHidden/>
          </w:rPr>
          <w:fldChar w:fldCharType="end"/>
        </w:r>
      </w:hyperlink>
    </w:p>
    <w:p w14:paraId="14F86684" w14:textId="5AD39218" w:rsidR="00821CB5" w:rsidRDefault="00821CB5">
      <w:pPr>
        <w:pStyle w:val="TOC2"/>
        <w:rPr>
          <w:noProof/>
          <w:kern w:val="2"/>
          <w:sz w:val="24"/>
          <w:szCs w:val="24"/>
          <w:lang w:val="en-GB"/>
          <w14:ligatures w14:val="standardContextual"/>
        </w:rPr>
      </w:pPr>
      <w:hyperlink w:anchor="_Toc208244550" w:history="1">
        <w:r w:rsidRPr="00865A62">
          <w:rPr>
            <w:rStyle w:val="Hyperlink"/>
            <w:noProof/>
          </w:rPr>
          <w:t>II.</w:t>
        </w:r>
        <w:r>
          <w:rPr>
            <w:noProof/>
            <w:kern w:val="2"/>
            <w:sz w:val="24"/>
            <w:szCs w:val="24"/>
            <w:lang w:val="en-GB"/>
            <w14:ligatures w14:val="standardContextual"/>
          </w:rPr>
          <w:tab/>
        </w:r>
        <w:r w:rsidRPr="00865A62">
          <w:rPr>
            <w:rStyle w:val="Hyperlink"/>
            <w:noProof/>
          </w:rPr>
          <w:t>Instrukser vedrørende de enkelte skemaer</w:t>
        </w:r>
        <w:r>
          <w:rPr>
            <w:noProof/>
            <w:webHidden/>
          </w:rPr>
          <w:tab/>
        </w:r>
        <w:r>
          <w:rPr>
            <w:noProof/>
            <w:webHidden/>
          </w:rPr>
          <w:fldChar w:fldCharType="begin"/>
        </w:r>
        <w:r>
          <w:rPr>
            <w:noProof/>
            <w:webHidden/>
          </w:rPr>
          <w:instrText xml:space="preserve"> PAGEREF _Toc208244550 \h </w:instrText>
        </w:r>
        <w:r>
          <w:rPr>
            <w:noProof/>
            <w:webHidden/>
          </w:rPr>
        </w:r>
        <w:r>
          <w:rPr>
            <w:noProof/>
            <w:webHidden/>
          </w:rPr>
          <w:fldChar w:fldCharType="separate"/>
        </w:r>
        <w:r>
          <w:rPr>
            <w:noProof/>
            <w:webHidden/>
          </w:rPr>
          <w:t>6</w:t>
        </w:r>
        <w:r>
          <w:rPr>
            <w:noProof/>
            <w:webHidden/>
          </w:rPr>
          <w:fldChar w:fldCharType="end"/>
        </w:r>
      </w:hyperlink>
    </w:p>
    <w:p w14:paraId="18818FCD" w14:textId="5156F279" w:rsidR="00821CB5" w:rsidRDefault="00821CB5">
      <w:pPr>
        <w:pStyle w:val="TOC2"/>
        <w:rPr>
          <w:noProof/>
          <w:kern w:val="2"/>
          <w:sz w:val="24"/>
          <w:szCs w:val="24"/>
          <w:lang w:val="en-GB"/>
          <w14:ligatures w14:val="standardContextual"/>
        </w:rPr>
      </w:pPr>
      <w:hyperlink w:anchor="_Toc208244551" w:history="1">
        <w:r w:rsidRPr="00865A62">
          <w:rPr>
            <w:rStyle w:val="Hyperlink"/>
            <w:noProof/>
          </w:rPr>
          <w:t>II.1</w:t>
        </w:r>
        <w:r>
          <w:rPr>
            <w:noProof/>
            <w:kern w:val="2"/>
            <w:sz w:val="24"/>
            <w:szCs w:val="24"/>
            <w:lang w:val="en-GB"/>
            <w14:ligatures w14:val="standardContextual"/>
          </w:rPr>
          <w:tab/>
        </w:r>
        <w:r w:rsidRPr="00865A62">
          <w:rPr>
            <w:rStyle w:val="Hyperlink"/>
            <w:noProof/>
          </w:rPr>
          <w:t>Z 01.01 — Juridiske enheder (ORG 1)</w:t>
        </w:r>
        <w:r>
          <w:rPr>
            <w:noProof/>
            <w:webHidden/>
          </w:rPr>
          <w:tab/>
        </w:r>
        <w:r>
          <w:rPr>
            <w:noProof/>
            <w:webHidden/>
          </w:rPr>
          <w:fldChar w:fldCharType="begin"/>
        </w:r>
        <w:r>
          <w:rPr>
            <w:noProof/>
            <w:webHidden/>
          </w:rPr>
          <w:instrText xml:space="preserve"> PAGEREF _Toc208244551 \h </w:instrText>
        </w:r>
        <w:r>
          <w:rPr>
            <w:noProof/>
            <w:webHidden/>
          </w:rPr>
        </w:r>
        <w:r>
          <w:rPr>
            <w:noProof/>
            <w:webHidden/>
          </w:rPr>
          <w:fldChar w:fldCharType="separate"/>
        </w:r>
        <w:r>
          <w:rPr>
            <w:noProof/>
            <w:webHidden/>
          </w:rPr>
          <w:t>6</w:t>
        </w:r>
        <w:r>
          <w:rPr>
            <w:noProof/>
            <w:webHidden/>
          </w:rPr>
          <w:fldChar w:fldCharType="end"/>
        </w:r>
      </w:hyperlink>
    </w:p>
    <w:p w14:paraId="3D7667A4" w14:textId="2E87D31D" w:rsidR="00821CB5" w:rsidRDefault="00821CB5">
      <w:pPr>
        <w:pStyle w:val="TOC2"/>
        <w:rPr>
          <w:noProof/>
          <w:kern w:val="2"/>
          <w:sz w:val="24"/>
          <w:szCs w:val="24"/>
          <w:lang w:val="en-GB"/>
          <w14:ligatures w14:val="standardContextual"/>
        </w:rPr>
      </w:pPr>
      <w:hyperlink w:anchor="_Toc208244552" w:history="1">
        <w:r w:rsidRPr="00865A62">
          <w:rPr>
            <w:rStyle w:val="Hyperlink"/>
            <w:noProof/>
          </w:rPr>
          <w:t>II.2</w:t>
        </w:r>
        <w:r>
          <w:rPr>
            <w:noProof/>
            <w:kern w:val="2"/>
            <w:sz w:val="24"/>
            <w:szCs w:val="24"/>
            <w:lang w:val="en-GB"/>
            <w14:ligatures w14:val="standardContextual"/>
          </w:rPr>
          <w:tab/>
        </w:r>
        <w:r w:rsidRPr="00865A62">
          <w:rPr>
            <w:rStyle w:val="Hyperlink"/>
            <w:noProof/>
          </w:rPr>
          <w:t>Z 01.02 — Ejerskab (ORG 2)</w:t>
        </w:r>
        <w:r>
          <w:rPr>
            <w:noProof/>
            <w:webHidden/>
          </w:rPr>
          <w:tab/>
        </w:r>
        <w:r>
          <w:rPr>
            <w:noProof/>
            <w:webHidden/>
          </w:rPr>
          <w:fldChar w:fldCharType="begin"/>
        </w:r>
        <w:r>
          <w:rPr>
            <w:noProof/>
            <w:webHidden/>
          </w:rPr>
          <w:instrText xml:space="preserve"> PAGEREF _Toc208244552 \h </w:instrText>
        </w:r>
        <w:r>
          <w:rPr>
            <w:noProof/>
            <w:webHidden/>
          </w:rPr>
        </w:r>
        <w:r>
          <w:rPr>
            <w:noProof/>
            <w:webHidden/>
          </w:rPr>
          <w:fldChar w:fldCharType="separate"/>
        </w:r>
        <w:r>
          <w:rPr>
            <w:noProof/>
            <w:webHidden/>
          </w:rPr>
          <w:t>10</w:t>
        </w:r>
        <w:r>
          <w:rPr>
            <w:noProof/>
            <w:webHidden/>
          </w:rPr>
          <w:fldChar w:fldCharType="end"/>
        </w:r>
      </w:hyperlink>
    </w:p>
    <w:p w14:paraId="0272D2F4" w14:textId="361BB89F" w:rsidR="00821CB5" w:rsidRDefault="00821CB5">
      <w:pPr>
        <w:pStyle w:val="TOC2"/>
        <w:rPr>
          <w:noProof/>
          <w:kern w:val="2"/>
          <w:sz w:val="24"/>
          <w:szCs w:val="24"/>
          <w:lang w:val="en-GB"/>
          <w14:ligatures w14:val="standardContextual"/>
        </w:rPr>
      </w:pPr>
      <w:hyperlink w:anchor="_Toc208244553" w:history="1">
        <w:r w:rsidRPr="00865A62">
          <w:rPr>
            <w:rStyle w:val="Hyperlink"/>
            <w:noProof/>
          </w:rPr>
          <w:t>II.3</w:t>
        </w:r>
        <w:r>
          <w:rPr>
            <w:noProof/>
            <w:kern w:val="2"/>
            <w:sz w:val="24"/>
            <w:szCs w:val="24"/>
            <w:lang w:val="en-GB"/>
            <w14:ligatures w14:val="standardContextual"/>
          </w:rPr>
          <w:tab/>
        </w:r>
        <w:r w:rsidRPr="00865A62">
          <w:rPr>
            <w:rStyle w:val="Hyperlink"/>
            <w:noProof/>
          </w:rPr>
          <w:t>Z 02.00 — Udspecificering af forpligtelser (LIAB 1)</w:t>
        </w:r>
        <w:r>
          <w:rPr>
            <w:noProof/>
            <w:webHidden/>
          </w:rPr>
          <w:tab/>
        </w:r>
        <w:r>
          <w:rPr>
            <w:noProof/>
            <w:webHidden/>
          </w:rPr>
          <w:fldChar w:fldCharType="begin"/>
        </w:r>
        <w:r>
          <w:rPr>
            <w:noProof/>
            <w:webHidden/>
          </w:rPr>
          <w:instrText xml:space="preserve"> PAGEREF _Toc208244553 \h </w:instrText>
        </w:r>
        <w:r>
          <w:rPr>
            <w:noProof/>
            <w:webHidden/>
          </w:rPr>
        </w:r>
        <w:r>
          <w:rPr>
            <w:noProof/>
            <w:webHidden/>
          </w:rPr>
          <w:fldChar w:fldCharType="separate"/>
        </w:r>
        <w:r>
          <w:rPr>
            <w:noProof/>
            <w:webHidden/>
          </w:rPr>
          <w:t>11</w:t>
        </w:r>
        <w:r>
          <w:rPr>
            <w:noProof/>
            <w:webHidden/>
          </w:rPr>
          <w:fldChar w:fldCharType="end"/>
        </w:r>
      </w:hyperlink>
    </w:p>
    <w:p w14:paraId="0A137BFD" w14:textId="244470AC" w:rsidR="00821CB5" w:rsidRDefault="00821CB5">
      <w:pPr>
        <w:pStyle w:val="TOC2"/>
        <w:rPr>
          <w:noProof/>
          <w:kern w:val="2"/>
          <w:sz w:val="24"/>
          <w:szCs w:val="24"/>
          <w:lang w:val="en-GB"/>
          <w14:ligatures w14:val="standardContextual"/>
        </w:rPr>
      </w:pPr>
      <w:hyperlink w:anchor="_Toc208244554" w:history="1">
        <w:r w:rsidRPr="00865A62">
          <w:rPr>
            <w:rStyle w:val="Hyperlink"/>
            <w:noProof/>
          </w:rPr>
          <w:t>II.4</w:t>
        </w:r>
        <w:r>
          <w:rPr>
            <w:noProof/>
            <w:kern w:val="2"/>
            <w:sz w:val="24"/>
            <w:szCs w:val="24"/>
            <w:lang w:val="en-GB"/>
            <w14:ligatures w14:val="standardContextual"/>
          </w:rPr>
          <w:tab/>
        </w:r>
        <w:r w:rsidRPr="00865A62">
          <w:rPr>
            <w:rStyle w:val="Hyperlink"/>
            <w:noProof/>
          </w:rPr>
          <w:t>Z 03.01 — Krav til kapitalgrundlag — Kreditinstitutter (LIAB 2)</w:t>
        </w:r>
        <w:r>
          <w:rPr>
            <w:noProof/>
            <w:webHidden/>
          </w:rPr>
          <w:tab/>
        </w:r>
        <w:r>
          <w:rPr>
            <w:noProof/>
            <w:webHidden/>
          </w:rPr>
          <w:fldChar w:fldCharType="begin"/>
        </w:r>
        <w:r>
          <w:rPr>
            <w:noProof/>
            <w:webHidden/>
          </w:rPr>
          <w:instrText xml:space="preserve"> PAGEREF _Toc208244554 \h </w:instrText>
        </w:r>
        <w:r>
          <w:rPr>
            <w:noProof/>
            <w:webHidden/>
          </w:rPr>
        </w:r>
        <w:r>
          <w:rPr>
            <w:noProof/>
            <w:webHidden/>
          </w:rPr>
          <w:fldChar w:fldCharType="separate"/>
        </w:r>
        <w:r>
          <w:rPr>
            <w:noProof/>
            <w:webHidden/>
          </w:rPr>
          <w:t>19</w:t>
        </w:r>
        <w:r>
          <w:rPr>
            <w:noProof/>
            <w:webHidden/>
          </w:rPr>
          <w:fldChar w:fldCharType="end"/>
        </w:r>
      </w:hyperlink>
    </w:p>
    <w:p w14:paraId="288845DF" w14:textId="3ED290F0" w:rsidR="00821CB5" w:rsidRDefault="00821CB5">
      <w:pPr>
        <w:pStyle w:val="TOC2"/>
        <w:rPr>
          <w:noProof/>
          <w:kern w:val="2"/>
          <w:sz w:val="24"/>
          <w:szCs w:val="24"/>
          <w:lang w:val="en-GB"/>
          <w14:ligatures w14:val="standardContextual"/>
        </w:rPr>
      </w:pPr>
      <w:hyperlink w:anchor="_Toc208244555" w:history="1">
        <w:r w:rsidRPr="00865A62">
          <w:rPr>
            <w:rStyle w:val="Hyperlink"/>
            <w:noProof/>
          </w:rPr>
          <w:t>II.5</w:t>
        </w:r>
        <w:r>
          <w:rPr>
            <w:noProof/>
            <w:kern w:val="2"/>
            <w:sz w:val="24"/>
            <w:szCs w:val="24"/>
            <w:lang w:val="en-GB"/>
            <w14:ligatures w14:val="standardContextual"/>
          </w:rPr>
          <w:tab/>
        </w:r>
        <w:r w:rsidRPr="00865A62">
          <w:rPr>
            <w:rStyle w:val="Hyperlink"/>
            <w:noProof/>
          </w:rPr>
          <w:t>Z 03.02 — Krav til kapitalgrundlag — Investeringsselskaber (LIAB 3)</w:t>
        </w:r>
        <w:r>
          <w:rPr>
            <w:noProof/>
            <w:webHidden/>
          </w:rPr>
          <w:tab/>
        </w:r>
        <w:r>
          <w:rPr>
            <w:noProof/>
            <w:webHidden/>
          </w:rPr>
          <w:fldChar w:fldCharType="begin"/>
        </w:r>
        <w:r>
          <w:rPr>
            <w:noProof/>
            <w:webHidden/>
          </w:rPr>
          <w:instrText xml:space="preserve"> PAGEREF _Toc208244555 \h </w:instrText>
        </w:r>
        <w:r>
          <w:rPr>
            <w:noProof/>
            <w:webHidden/>
          </w:rPr>
        </w:r>
        <w:r>
          <w:rPr>
            <w:noProof/>
            <w:webHidden/>
          </w:rPr>
          <w:fldChar w:fldCharType="separate"/>
        </w:r>
        <w:r>
          <w:rPr>
            <w:noProof/>
            <w:webHidden/>
          </w:rPr>
          <w:t>22</w:t>
        </w:r>
        <w:r>
          <w:rPr>
            <w:noProof/>
            <w:webHidden/>
          </w:rPr>
          <w:fldChar w:fldCharType="end"/>
        </w:r>
      </w:hyperlink>
    </w:p>
    <w:p w14:paraId="0EED45E3" w14:textId="6F148203" w:rsidR="00821CB5" w:rsidRDefault="00821CB5">
      <w:pPr>
        <w:pStyle w:val="TOC2"/>
        <w:rPr>
          <w:noProof/>
          <w:kern w:val="2"/>
          <w:sz w:val="24"/>
          <w:szCs w:val="24"/>
          <w:lang w:val="en-GB"/>
          <w14:ligatures w14:val="standardContextual"/>
        </w:rPr>
      </w:pPr>
      <w:hyperlink w:anchor="_Toc208244556" w:history="1">
        <w:r w:rsidRPr="00865A62">
          <w:rPr>
            <w:rStyle w:val="Hyperlink"/>
            <w:noProof/>
          </w:rPr>
          <w:t>II.6</w:t>
        </w:r>
        <w:r>
          <w:rPr>
            <w:noProof/>
            <w:kern w:val="2"/>
            <w:sz w:val="24"/>
            <w:szCs w:val="24"/>
            <w:lang w:val="en-GB"/>
            <w14:ligatures w14:val="standardContextual"/>
          </w:rPr>
          <w:tab/>
        </w:r>
        <w:r w:rsidRPr="00865A62">
          <w:rPr>
            <w:rStyle w:val="Hyperlink"/>
            <w:noProof/>
          </w:rPr>
          <w:t>Z 04.00 — Koncerninterne indbyrdes finansielle forbindelser (LIAB 4)</w:t>
        </w:r>
        <w:r>
          <w:rPr>
            <w:noProof/>
            <w:webHidden/>
          </w:rPr>
          <w:tab/>
        </w:r>
        <w:r>
          <w:rPr>
            <w:noProof/>
            <w:webHidden/>
          </w:rPr>
          <w:fldChar w:fldCharType="begin"/>
        </w:r>
        <w:r>
          <w:rPr>
            <w:noProof/>
            <w:webHidden/>
          </w:rPr>
          <w:instrText xml:space="preserve"> PAGEREF _Toc208244556 \h </w:instrText>
        </w:r>
        <w:r>
          <w:rPr>
            <w:noProof/>
            <w:webHidden/>
          </w:rPr>
        </w:r>
        <w:r>
          <w:rPr>
            <w:noProof/>
            <w:webHidden/>
          </w:rPr>
          <w:fldChar w:fldCharType="separate"/>
        </w:r>
        <w:r>
          <w:rPr>
            <w:noProof/>
            <w:webHidden/>
          </w:rPr>
          <w:t>23</w:t>
        </w:r>
        <w:r>
          <w:rPr>
            <w:noProof/>
            <w:webHidden/>
          </w:rPr>
          <w:fldChar w:fldCharType="end"/>
        </w:r>
      </w:hyperlink>
    </w:p>
    <w:p w14:paraId="3F9EBD70" w14:textId="429D5BFB" w:rsidR="00821CB5" w:rsidRDefault="00821CB5">
      <w:pPr>
        <w:pStyle w:val="TOC2"/>
        <w:rPr>
          <w:noProof/>
          <w:kern w:val="2"/>
          <w:sz w:val="24"/>
          <w:szCs w:val="24"/>
          <w:lang w:val="en-GB"/>
          <w14:ligatures w14:val="standardContextual"/>
        </w:rPr>
      </w:pPr>
      <w:hyperlink w:anchor="_Toc208244557" w:history="1">
        <w:r w:rsidRPr="00865A62">
          <w:rPr>
            <w:rStyle w:val="Hyperlink"/>
            <w:noProof/>
          </w:rPr>
          <w:t>II.7</w:t>
        </w:r>
        <w:r>
          <w:rPr>
            <w:noProof/>
            <w:kern w:val="2"/>
            <w:sz w:val="24"/>
            <w:szCs w:val="24"/>
            <w:lang w:val="en-GB"/>
            <w14:ligatures w14:val="standardContextual"/>
          </w:rPr>
          <w:tab/>
        </w:r>
        <w:r w:rsidRPr="00865A62">
          <w:rPr>
            <w:rStyle w:val="Hyperlink"/>
            <w:noProof/>
          </w:rPr>
          <w:t>Større modparter (LIAB 5/6)</w:t>
        </w:r>
        <w:r>
          <w:rPr>
            <w:noProof/>
            <w:webHidden/>
          </w:rPr>
          <w:tab/>
        </w:r>
        <w:r>
          <w:rPr>
            <w:noProof/>
            <w:webHidden/>
          </w:rPr>
          <w:fldChar w:fldCharType="begin"/>
        </w:r>
        <w:r>
          <w:rPr>
            <w:noProof/>
            <w:webHidden/>
          </w:rPr>
          <w:instrText xml:space="preserve"> PAGEREF _Toc208244557 \h </w:instrText>
        </w:r>
        <w:r>
          <w:rPr>
            <w:noProof/>
            <w:webHidden/>
          </w:rPr>
        </w:r>
        <w:r>
          <w:rPr>
            <w:noProof/>
            <w:webHidden/>
          </w:rPr>
          <w:fldChar w:fldCharType="separate"/>
        </w:r>
        <w:r>
          <w:rPr>
            <w:noProof/>
            <w:webHidden/>
          </w:rPr>
          <w:t>26</w:t>
        </w:r>
        <w:r>
          <w:rPr>
            <w:noProof/>
            <w:webHidden/>
          </w:rPr>
          <w:fldChar w:fldCharType="end"/>
        </w:r>
      </w:hyperlink>
    </w:p>
    <w:p w14:paraId="47D65B13" w14:textId="5AD0B9E8" w:rsidR="00821CB5" w:rsidRDefault="00821CB5">
      <w:pPr>
        <w:pStyle w:val="TOC2"/>
        <w:rPr>
          <w:noProof/>
          <w:kern w:val="2"/>
          <w:sz w:val="24"/>
          <w:szCs w:val="24"/>
          <w:lang w:val="en-GB"/>
          <w14:ligatures w14:val="standardContextual"/>
        </w:rPr>
      </w:pPr>
      <w:hyperlink w:anchor="_Toc208244558" w:history="1">
        <w:r w:rsidRPr="00865A62">
          <w:rPr>
            <w:rStyle w:val="Hyperlink"/>
            <w:noProof/>
          </w:rPr>
          <w:t>II.8</w:t>
        </w:r>
        <w:r>
          <w:rPr>
            <w:noProof/>
            <w:kern w:val="2"/>
            <w:sz w:val="24"/>
            <w:szCs w:val="24"/>
            <w:lang w:val="en-GB"/>
            <w14:ligatures w14:val="standardContextual"/>
          </w:rPr>
          <w:tab/>
        </w:r>
        <w:r w:rsidRPr="00865A62">
          <w:rPr>
            <w:rStyle w:val="Hyperlink"/>
            <w:noProof/>
          </w:rPr>
          <w:t>Z 05.01 — Store modparter mht. forpligtelser (LIAB 5)</w:t>
        </w:r>
        <w:r>
          <w:rPr>
            <w:noProof/>
            <w:webHidden/>
          </w:rPr>
          <w:tab/>
        </w:r>
        <w:r>
          <w:rPr>
            <w:noProof/>
            <w:webHidden/>
          </w:rPr>
          <w:fldChar w:fldCharType="begin"/>
        </w:r>
        <w:r>
          <w:rPr>
            <w:noProof/>
            <w:webHidden/>
          </w:rPr>
          <w:instrText xml:space="preserve"> PAGEREF _Toc208244558 \h </w:instrText>
        </w:r>
        <w:r>
          <w:rPr>
            <w:noProof/>
            <w:webHidden/>
          </w:rPr>
        </w:r>
        <w:r>
          <w:rPr>
            <w:noProof/>
            <w:webHidden/>
          </w:rPr>
          <w:fldChar w:fldCharType="separate"/>
        </w:r>
        <w:r>
          <w:rPr>
            <w:noProof/>
            <w:webHidden/>
          </w:rPr>
          <w:t>26</w:t>
        </w:r>
        <w:r>
          <w:rPr>
            <w:noProof/>
            <w:webHidden/>
          </w:rPr>
          <w:fldChar w:fldCharType="end"/>
        </w:r>
      </w:hyperlink>
    </w:p>
    <w:p w14:paraId="0570C0EC" w14:textId="7C3687B0" w:rsidR="00821CB5" w:rsidRDefault="00821CB5">
      <w:pPr>
        <w:pStyle w:val="TOC2"/>
        <w:rPr>
          <w:noProof/>
          <w:kern w:val="2"/>
          <w:sz w:val="24"/>
          <w:szCs w:val="24"/>
          <w:lang w:val="en-GB"/>
          <w14:ligatures w14:val="standardContextual"/>
        </w:rPr>
      </w:pPr>
      <w:hyperlink w:anchor="_Toc208244559" w:history="1">
        <w:r w:rsidRPr="00865A62">
          <w:rPr>
            <w:rStyle w:val="Hyperlink"/>
            <w:noProof/>
          </w:rPr>
          <w:t>II.9</w:t>
        </w:r>
        <w:r>
          <w:rPr>
            <w:noProof/>
            <w:kern w:val="2"/>
            <w:sz w:val="24"/>
            <w:szCs w:val="24"/>
            <w:lang w:val="en-GB"/>
            <w14:ligatures w14:val="standardContextual"/>
          </w:rPr>
          <w:tab/>
        </w:r>
        <w:r w:rsidRPr="00865A62">
          <w:rPr>
            <w:rStyle w:val="Hyperlink"/>
            <w:noProof/>
          </w:rPr>
          <w:t>Z 05.02 — Store ikke-balanceførte modparter (LIAB 6)</w:t>
        </w:r>
        <w:r>
          <w:rPr>
            <w:noProof/>
            <w:webHidden/>
          </w:rPr>
          <w:tab/>
        </w:r>
        <w:r>
          <w:rPr>
            <w:noProof/>
            <w:webHidden/>
          </w:rPr>
          <w:fldChar w:fldCharType="begin"/>
        </w:r>
        <w:r>
          <w:rPr>
            <w:noProof/>
            <w:webHidden/>
          </w:rPr>
          <w:instrText xml:space="preserve"> PAGEREF _Toc208244559 \h </w:instrText>
        </w:r>
        <w:r>
          <w:rPr>
            <w:noProof/>
            <w:webHidden/>
          </w:rPr>
        </w:r>
        <w:r>
          <w:rPr>
            <w:noProof/>
            <w:webHidden/>
          </w:rPr>
          <w:fldChar w:fldCharType="separate"/>
        </w:r>
        <w:r>
          <w:rPr>
            <w:noProof/>
            <w:webHidden/>
          </w:rPr>
          <w:t>28</w:t>
        </w:r>
        <w:r>
          <w:rPr>
            <w:noProof/>
            <w:webHidden/>
          </w:rPr>
          <w:fldChar w:fldCharType="end"/>
        </w:r>
      </w:hyperlink>
    </w:p>
    <w:p w14:paraId="51A5C91E" w14:textId="4F4C7628" w:rsidR="00821CB5" w:rsidRDefault="00821CB5">
      <w:pPr>
        <w:pStyle w:val="TOC2"/>
        <w:rPr>
          <w:noProof/>
          <w:kern w:val="2"/>
          <w:sz w:val="24"/>
          <w:szCs w:val="24"/>
          <w:lang w:val="en-GB"/>
          <w14:ligatures w14:val="standardContextual"/>
        </w:rPr>
      </w:pPr>
      <w:hyperlink w:anchor="_Toc208244560" w:history="1">
        <w:r w:rsidRPr="00865A62">
          <w:rPr>
            <w:rStyle w:val="Hyperlink"/>
            <w:noProof/>
          </w:rPr>
          <w:t>II.10</w:t>
        </w:r>
        <w:r>
          <w:rPr>
            <w:noProof/>
            <w:kern w:val="2"/>
            <w:sz w:val="24"/>
            <w:szCs w:val="24"/>
            <w:lang w:val="en-GB"/>
            <w14:ligatures w14:val="standardContextual"/>
          </w:rPr>
          <w:tab/>
        </w:r>
        <w:r w:rsidRPr="00865A62">
          <w:rPr>
            <w:rStyle w:val="Hyperlink"/>
            <w:noProof/>
          </w:rPr>
          <w:t>Z 06.00 — Indskydergarantiordning (DIS)</w:t>
        </w:r>
        <w:r>
          <w:rPr>
            <w:noProof/>
            <w:webHidden/>
          </w:rPr>
          <w:tab/>
        </w:r>
        <w:r>
          <w:rPr>
            <w:noProof/>
            <w:webHidden/>
          </w:rPr>
          <w:fldChar w:fldCharType="begin"/>
        </w:r>
        <w:r>
          <w:rPr>
            <w:noProof/>
            <w:webHidden/>
          </w:rPr>
          <w:instrText xml:space="preserve"> PAGEREF _Toc208244560 \h </w:instrText>
        </w:r>
        <w:r>
          <w:rPr>
            <w:noProof/>
            <w:webHidden/>
          </w:rPr>
        </w:r>
        <w:r>
          <w:rPr>
            <w:noProof/>
            <w:webHidden/>
          </w:rPr>
          <w:fldChar w:fldCharType="separate"/>
        </w:r>
        <w:r>
          <w:rPr>
            <w:noProof/>
            <w:webHidden/>
          </w:rPr>
          <w:t>30</w:t>
        </w:r>
        <w:r>
          <w:rPr>
            <w:noProof/>
            <w:webHidden/>
          </w:rPr>
          <w:fldChar w:fldCharType="end"/>
        </w:r>
      </w:hyperlink>
    </w:p>
    <w:p w14:paraId="60216441" w14:textId="7D4F8A80" w:rsidR="00821CB5" w:rsidRDefault="00821CB5">
      <w:pPr>
        <w:pStyle w:val="TOC2"/>
        <w:rPr>
          <w:noProof/>
          <w:kern w:val="2"/>
          <w:sz w:val="24"/>
          <w:szCs w:val="24"/>
          <w:lang w:val="en-GB"/>
          <w14:ligatures w14:val="standardContextual"/>
        </w:rPr>
      </w:pPr>
      <w:hyperlink w:anchor="_Toc208244561" w:history="1">
        <w:r w:rsidRPr="00865A62">
          <w:rPr>
            <w:rStyle w:val="Hyperlink"/>
            <w:noProof/>
          </w:rPr>
          <w:t>II.11</w:t>
        </w:r>
        <w:r>
          <w:rPr>
            <w:noProof/>
            <w:kern w:val="2"/>
            <w:sz w:val="24"/>
            <w:szCs w:val="24"/>
            <w:lang w:val="en-GB"/>
            <w14:ligatures w14:val="standardContextual"/>
          </w:rPr>
          <w:tab/>
        </w:r>
        <w:r w:rsidRPr="00865A62">
          <w:rPr>
            <w:rStyle w:val="Hyperlink"/>
            <w:noProof/>
          </w:rPr>
          <w:t>Kritiske funktioner og centrale forretningsområder</w:t>
        </w:r>
        <w:r>
          <w:rPr>
            <w:noProof/>
            <w:webHidden/>
          </w:rPr>
          <w:tab/>
        </w:r>
        <w:r>
          <w:rPr>
            <w:noProof/>
            <w:webHidden/>
          </w:rPr>
          <w:fldChar w:fldCharType="begin"/>
        </w:r>
        <w:r>
          <w:rPr>
            <w:noProof/>
            <w:webHidden/>
          </w:rPr>
          <w:instrText xml:space="preserve"> PAGEREF _Toc208244561 \h </w:instrText>
        </w:r>
        <w:r>
          <w:rPr>
            <w:noProof/>
            <w:webHidden/>
          </w:rPr>
        </w:r>
        <w:r>
          <w:rPr>
            <w:noProof/>
            <w:webHidden/>
          </w:rPr>
          <w:fldChar w:fldCharType="separate"/>
        </w:r>
        <w:r>
          <w:rPr>
            <w:noProof/>
            <w:webHidden/>
          </w:rPr>
          <w:t>33</w:t>
        </w:r>
        <w:r>
          <w:rPr>
            <w:noProof/>
            <w:webHidden/>
          </w:rPr>
          <w:fldChar w:fldCharType="end"/>
        </w:r>
      </w:hyperlink>
    </w:p>
    <w:p w14:paraId="7C100214" w14:textId="4CA9163E" w:rsidR="00821CB5" w:rsidRDefault="00821CB5">
      <w:pPr>
        <w:pStyle w:val="TOC2"/>
        <w:rPr>
          <w:noProof/>
          <w:kern w:val="2"/>
          <w:sz w:val="24"/>
          <w:szCs w:val="24"/>
          <w:lang w:val="en-GB"/>
          <w14:ligatures w14:val="standardContextual"/>
        </w:rPr>
      </w:pPr>
      <w:hyperlink w:anchor="_Toc208244562" w:history="1">
        <w:r w:rsidRPr="00865A62">
          <w:rPr>
            <w:rStyle w:val="Hyperlink"/>
            <w:noProof/>
          </w:rPr>
          <w:t>II.12</w:t>
        </w:r>
        <w:r>
          <w:rPr>
            <w:noProof/>
            <w:kern w:val="2"/>
            <w:sz w:val="24"/>
            <w:szCs w:val="24"/>
            <w:lang w:val="en-GB"/>
            <w14:ligatures w14:val="standardContextual"/>
          </w:rPr>
          <w:tab/>
        </w:r>
        <w:r w:rsidRPr="00865A62">
          <w:rPr>
            <w:rStyle w:val="Hyperlink"/>
            <w:noProof/>
          </w:rPr>
          <w:t>Z 07.01 — Kritikalitetsvurdering af økonomiske funktioner (FUNC 1)</w:t>
        </w:r>
        <w:r>
          <w:rPr>
            <w:noProof/>
            <w:webHidden/>
          </w:rPr>
          <w:tab/>
        </w:r>
        <w:r>
          <w:rPr>
            <w:noProof/>
            <w:webHidden/>
          </w:rPr>
          <w:fldChar w:fldCharType="begin"/>
        </w:r>
        <w:r>
          <w:rPr>
            <w:noProof/>
            <w:webHidden/>
          </w:rPr>
          <w:instrText xml:space="preserve"> PAGEREF _Toc208244562 \h </w:instrText>
        </w:r>
        <w:r>
          <w:rPr>
            <w:noProof/>
            <w:webHidden/>
          </w:rPr>
        </w:r>
        <w:r>
          <w:rPr>
            <w:noProof/>
            <w:webHidden/>
          </w:rPr>
          <w:fldChar w:fldCharType="separate"/>
        </w:r>
        <w:r>
          <w:rPr>
            <w:noProof/>
            <w:webHidden/>
          </w:rPr>
          <w:t>35</w:t>
        </w:r>
        <w:r>
          <w:rPr>
            <w:noProof/>
            <w:webHidden/>
          </w:rPr>
          <w:fldChar w:fldCharType="end"/>
        </w:r>
      </w:hyperlink>
    </w:p>
    <w:p w14:paraId="0D2CABC2" w14:textId="2A5EA864" w:rsidR="00821CB5" w:rsidRDefault="00821CB5">
      <w:pPr>
        <w:pStyle w:val="TOC2"/>
        <w:rPr>
          <w:noProof/>
          <w:kern w:val="2"/>
          <w:sz w:val="24"/>
          <w:szCs w:val="24"/>
          <w:lang w:val="en-GB"/>
          <w14:ligatures w14:val="standardContextual"/>
        </w:rPr>
      </w:pPr>
      <w:hyperlink w:anchor="_Toc208244563" w:history="1">
        <w:r w:rsidRPr="00865A62">
          <w:rPr>
            <w:rStyle w:val="Hyperlink"/>
            <w:noProof/>
          </w:rPr>
          <w:t>II.13</w:t>
        </w:r>
        <w:r>
          <w:rPr>
            <w:noProof/>
            <w:kern w:val="2"/>
            <w:sz w:val="24"/>
            <w:szCs w:val="24"/>
            <w:lang w:val="en-GB"/>
            <w14:ligatures w14:val="standardContextual"/>
          </w:rPr>
          <w:tab/>
        </w:r>
        <w:r w:rsidRPr="00865A62">
          <w:rPr>
            <w:rStyle w:val="Hyperlink"/>
            <w:noProof/>
          </w:rPr>
          <w:t>Z 07.01.1 FUNC 1 DEP</w:t>
        </w:r>
        <w:r>
          <w:rPr>
            <w:noProof/>
            <w:webHidden/>
          </w:rPr>
          <w:tab/>
        </w:r>
        <w:r>
          <w:rPr>
            <w:noProof/>
            <w:webHidden/>
          </w:rPr>
          <w:fldChar w:fldCharType="begin"/>
        </w:r>
        <w:r>
          <w:rPr>
            <w:noProof/>
            <w:webHidden/>
          </w:rPr>
          <w:instrText xml:space="preserve"> PAGEREF _Toc208244563 \h </w:instrText>
        </w:r>
        <w:r>
          <w:rPr>
            <w:noProof/>
            <w:webHidden/>
          </w:rPr>
        </w:r>
        <w:r>
          <w:rPr>
            <w:noProof/>
            <w:webHidden/>
          </w:rPr>
          <w:fldChar w:fldCharType="separate"/>
        </w:r>
        <w:r>
          <w:rPr>
            <w:noProof/>
            <w:webHidden/>
          </w:rPr>
          <w:t>38</w:t>
        </w:r>
        <w:r>
          <w:rPr>
            <w:noProof/>
            <w:webHidden/>
          </w:rPr>
          <w:fldChar w:fldCharType="end"/>
        </w:r>
      </w:hyperlink>
    </w:p>
    <w:p w14:paraId="05C5F9F0" w14:textId="12C13B25" w:rsidR="00821CB5" w:rsidRDefault="00821CB5">
      <w:pPr>
        <w:pStyle w:val="TOC2"/>
        <w:rPr>
          <w:noProof/>
          <w:kern w:val="2"/>
          <w:sz w:val="24"/>
          <w:szCs w:val="24"/>
          <w:lang w:val="en-GB"/>
          <w14:ligatures w14:val="standardContextual"/>
        </w:rPr>
      </w:pPr>
      <w:hyperlink w:anchor="_Toc208244564" w:history="1">
        <w:r w:rsidRPr="00865A62">
          <w:rPr>
            <w:rStyle w:val="Hyperlink"/>
            <w:noProof/>
          </w:rPr>
          <w:t>II.14</w:t>
        </w:r>
        <w:r>
          <w:rPr>
            <w:noProof/>
            <w:kern w:val="2"/>
            <w:sz w:val="24"/>
            <w:szCs w:val="24"/>
            <w:lang w:val="en-GB"/>
            <w14:ligatures w14:val="standardContextual"/>
          </w:rPr>
          <w:tab/>
        </w:r>
        <w:r w:rsidRPr="00865A62">
          <w:rPr>
            <w:rStyle w:val="Hyperlink"/>
            <w:noProof/>
          </w:rPr>
          <w:t>Z 07.01.2 FUNC 1 LEN</w:t>
        </w:r>
        <w:r>
          <w:rPr>
            <w:noProof/>
            <w:webHidden/>
          </w:rPr>
          <w:tab/>
        </w:r>
        <w:r>
          <w:rPr>
            <w:noProof/>
            <w:webHidden/>
          </w:rPr>
          <w:fldChar w:fldCharType="begin"/>
        </w:r>
        <w:r>
          <w:rPr>
            <w:noProof/>
            <w:webHidden/>
          </w:rPr>
          <w:instrText xml:space="preserve"> PAGEREF _Toc208244564 \h </w:instrText>
        </w:r>
        <w:r>
          <w:rPr>
            <w:noProof/>
            <w:webHidden/>
          </w:rPr>
        </w:r>
        <w:r>
          <w:rPr>
            <w:noProof/>
            <w:webHidden/>
          </w:rPr>
          <w:fldChar w:fldCharType="separate"/>
        </w:r>
        <w:r>
          <w:rPr>
            <w:noProof/>
            <w:webHidden/>
          </w:rPr>
          <w:t>43</w:t>
        </w:r>
        <w:r>
          <w:rPr>
            <w:noProof/>
            <w:webHidden/>
          </w:rPr>
          <w:fldChar w:fldCharType="end"/>
        </w:r>
      </w:hyperlink>
    </w:p>
    <w:p w14:paraId="1712121B" w14:textId="26972171" w:rsidR="00821CB5" w:rsidRDefault="00821CB5">
      <w:pPr>
        <w:pStyle w:val="TOC2"/>
        <w:rPr>
          <w:noProof/>
          <w:kern w:val="2"/>
          <w:sz w:val="24"/>
          <w:szCs w:val="24"/>
          <w:lang w:val="en-GB"/>
          <w14:ligatures w14:val="standardContextual"/>
        </w:rPr>
      </w:pPr>
      <w:hyperlink w:anchor="_Toc208244565" w:history="1">
        <w:r w:rsidRPr="00865A62">
          <w:rPr>
            <w:rStyle w:val="Hyperlink"/>
            <w:noProof/>
          </w:rPr>
          <w:t>II.15</w:t>
        </w:r>
        <w:r>
          <w:rPr>
            <w:noProof/>
            <w:kern w:val="2"/>
            <w:sz w:val="24"/>
            <w:szCs w:val="24"/>
            <w:lang w:val="en-GB"/>
            <w14:ligatures w14:val="standardContextual"/>
          </w:rPr>
          <w:tab/>
        </w:r>
        <w:r w:rsidRPr="00865A62">
          <w:rPr>
            <w:rStyle w:val="Hyperlink"/>
            <w:noProof/>
          </w:rPr>
          <w:t xml:space="preserve">Z 07.01.3 FUNC 1 </w:t>
        </w:r>
        <w:r w:rsidR="009D3041">
          <w:rPr>
            <w:rStyle w:val="Hyperlink"/>
            <w:noProof/>
          </w:rPr>
          <w:t>PAY</w:t>
        </w:r>
        <w:r>
          <w:rPr>
            <w:noProof/>
            <w:webHidden/>
          </w:rPr>
          <w:tab/>
        </w:r>
        <w:r>
          <w:rPr>
            <w:noProof/>
            <w:webHidden/>
          </w:rPr>
          <w:fldChar w:fldCharType="begin"/>
        </w:r>
        <w:r>
          <w:rPr>
            <w:noProof/>
            <w:webHidden/>
          </w:rPr>
          <w:instrText xml:space="preserve"> PAGEREF _Toc208244565 \h </w:instrText>
        </w:r>
        <w:r>
          <w:rPr>
            <w:noProof/>
            <w:webHidden/>
          </w:rPr>
        </w:r>
        <w:r>
          <w:rPr>
            <w:noProof/>
            <w:webHidden/>
          </w:rPr>
          <w:fldChar w:fldCharType="separate"/>
        </w:r>
        <w:r>
          <w:rPr>
            <w:noProof/>
            <w:webHidden/>
          </w:rPr>
          <w:t>48</w:t>
        </w:r>
        <w:r>
          <w:rPr>
            <w:noProof/>
            <w:webHidden/>
          </w:rPr>
          <w:fldChar w:fldCharType="end"/>
        </w:r>
      </w:hyperlink>
    </w:p>
    <w:p w14:paraId="2B4D45D7" w14:textId="304125BA" w:rsidR="00821CB5" w:rsidRDefault="00821CB5">
      <w:pPr>
        <w:pStyle w:val="TOC2"/>
        <w:rPr>
          <w:noProof/>
          <w:kern w:val="2"/>
          <w:sz w:val="24"/>
          <w:szCs w:val="24"/>
          <w:lang w:val="en-GB"/>
          <w14:ligatures w14:val="standardContextual"/>
        </w:rPr>
      </w:pPr>
      <w:hyperlink w:anchor="_Toc208244566" w:history="1">
        <w:r w:rsidRPr="00865A62">
          <w:rPr>
            <w:rStyle w:val="Hyperlink"/>
            <w:noProof/>
          </w:rPr>
          <w:t>II.13</w:t>
        </w:r>
        <w:r>
          <w:rPr>
            <w:noProof/>
            <w:kern w:val="2"/>
            <w:sz w:val="24"/>
            <w:szCs w:val="24"/>
            <w:lang w:val="en-GB"/>
            <w14:ligatures w14:val="standardContextual"/>
          </w:rPr>
          <w:tab/>
        </w:r>
        <w:r w:rsidRPr="00865A62">
          <w:rPr>
            <w:rStyle w:val="Hyperlink"/>
            <w:noProof/>
          </w:rPr>
          <w:t>Z 07.01.4 FUNC 1 CM</w:t>
        </w:r>
        <w:r>
          <w:rPr>
            <w:noProof/>
            <w:webHidden/>
          </w:rPr>
          <w:tab/>
        </w:r>
        <w:r>
          <w:rPr>
            <w:noProof/>
            <w:webHidden/>
          </w:rPr>
          <w:fldChar w:fldCharType="begin"/>
        </w:r>
        <w:r>
          <w:rPr>
            <w:noProof/>
            <w:webHidden/>
          </w:rPr>
          <w:instrText xml:space="preserve"> PAGEREF _Toc208244566 \h </w:instrText>
        </w:r>
        <w:r>
          <w:rPr>
            <w:noProof/>
            <w:webHidden/>
          </w:rPr>
        </w:r>
        <w:r>
          <w:rPr>
            <w:noProof/>
            <w:webHidden/>
          </w:rPr>
          <w:fldChar w:fldCharType="separate"/>
        </w:r>
        <w:r>
          <w:rPr>
            <w:noProof/>
            <w:webHidden/>
          </w:rPr>
          <w:t>55</w:t>
        </w:r>
        <w:r>
          <w:rPr>
            <w:noProof/>
            <w:webHidden/>
          </w:rPr>
          <w:fldChar w:fldCharType="end"/>
        </w:r>
      </w:hyperlink>
    </w:p>
    <w:p w14:paraId="4E7D0D24" w14:textId="17A4748C" w:rsidR="00821CB5" w:rsidRDefault="00821CB5">
      <w:pPr>
        <w:pStyle w:val="TOC2"/>
        <w:rPr>
          <w:noProof/>
          <w:kern w:val="2"/>
          <w:sz w:val="24"/>
          <w:szCs w:val="24"/>
          <w:lang w:val="en-GB"/>
          <w14:ligatures w14:val="standardContextual"/>
        </w:rPr>
      </w:pPr>
      <w:hyperlink w:anchor="_Toc208244567" w:history="1">
        <w:r w:rsidRPr="00865A62">
          <w:rPr>
            <w:rStyle w:val="Hyperlink"/>
            <w:noProof/>
          </w:rPr>
          <w:t>II.13</w:t>
        </w:r>
        <w:r>
          <w:rPr>
            <w:noProof/>
            <w:kern w:val="2"/>
            <w:sz w:val="24"/>
            <w:szCs w:val="24"/>
            <w:lang w:val="en-GB"/>
            <w14:ligatures w14:val="standardContextual"/>
          </w:rPr>
          <w:tab/>
        </w:r>
        <w:r w:rsidRPr="00865A62">
          <w:rPr>
            <w:rStyle w:val="Hyperlink"/>
            <w:noProof/>
          </w:rPr>
          <w:t>Z 07.01.5 FUNC 1 WF</w:t>
        </w:r>
        <w:r>
          <w:rPr>
            <w:noProof/>
            <w:webHidden/>
          </w:rPr>
          <w:tab/>
        </w:r>
        <w:r>
          <w:rPr>
            <w:noProof/>
            <w:webHidden/>
          </w:rPr>
          <w:fldChar w:fldCharType="begin"/>
        </w:r>
        <w:r>
          <w:rPr>
            <w:noProof/>
            <w:webHidden/>
          </w:rPr>
          <w:instrText xml:space="preserve"> PAGEREF _Toc208244567 \h </w:instrText>
        </w:r>
        <w:r>
          <w:rPr>
            <w:noProof/>
            <w:webHidden/>
          </w:rPr>
        </w:r>
        <w:r>
          <w:rPr>
            <w:noProof/>
            <w:webHidden/>
          </w:rPr>
          <w:fldChar w:fldCharType="separate"/>
        </w:r>
        <w:r>
          <w:rPr>
            <w:noProof/>
            <w:webHidden/>
          </w:rPr>
          <w:t>60</w:t>
        </w:r>
        <w:r>
          <w:rPr>
            <w:noProof/>
            <w:webHidden/>
          </w:rPr>
          <w:fldChar w:fldCharType="end"/>
        </w:r>
      </w:hyperlink>
    </w:p>
    <w:p w14:paraId="2E6DF539" w14:textId="7EC71E10" w:rsidR="00821CB5" w:rsidRDefault="00821CB5">
      <w:pPr>
        <w:pStyle w:val="TOC2"/>
        <w:rPr>
          <w:noProof/>
          <w:kern w:val="2"/>
          <w:sz w:val="24"/>
          <w:szCs w:val="24"/>
          <w:lang w:val="en-GB"/>
          <w14:ligatures w14:val="standardContextual"/>
        </w:rPr>
      </w:pPr>
      <w:hyperlink w:anchor="_Toc208244568" w:history="1">
        <w:r w:rsidRPr="00865A62">
          <w:rPr>
            <w:rStyle w:val="Hyperlink"/>
            <w:noProof/>
          </w:rPr>
          <w:t>II.16</w:t>
        </w:r>
        <w:r>
          <w:rPr>
            <w:noProof/>
            <w:kern w:val="2"/>
            <w:sz w:val="24"/>
            <w:szCs w:val="24"/>
            <w:lang w:val="en-GB"/>
            <w14:ligatures w14:val="standardContextual"/>
          </w:rPr>
          <w:tab/>
        </w:r>
        <w:r w:rsidRPr="00865A62">
          <w:rPr>
            <w:rStyle w:val="Hyperlink"/>
            <w:noProof/>
          </w:rPr>
          <w:t>Z 07.02 — Oversigt over økonomiske funktioner pr. juridisk enhed (FUNC 2)</w:t>
        </w:r>
        <w:r>
          <w:rPr>
            <w:noProof/>
            <w:webHidden/>
          </w:rPr>
          <w:tab/>
        </w:r>
        <w:r>
          <w:rPr>
            <w:noProof/>
            <w:webHidden/>
          </w:rPr>
          <w:fldChar w:fldCharType="begin"/>
        </w:r>
        <w:r>
          <w:rPr>
            <w:noProof/>
            <w:webHidden/>
          </w:rPr>
          <w:instrText xml:space="preserve"> PAGEREF _Toc208244568 \h </w:instrText>
        </w:r>
        <w:r>
          <w:rPr>
            <w:noProof/>
            <w:webHidden/>
          </w:rPr>
        </w:r>
        <w:r>
          <w:rPr>
            <w:noProof/>
            <w:webHidden/>
          </w:rPr>
          <w:fldChar w:fldCharType="separate"/>
        </w:r>
        <w:r>
          <w:rPr>
            <w:noProof/>
            <w:webHidden/>
          </w:rPr>
          <w:t>64</w:t>
        </w:r>
        <w:r>
          <w:rPr>
            <w:noProof/>
            <w:webHidden/>
          </w:rPr>
          <w:fldChar w:fldCharType="end"/>
        </w:r>
      </w:hyperlink>
    </w:p>
    <w:p w14:paraId="4B6548B3" w14:textId="24911ADC" w:rsidR="00821CB5" w:rsidRDefault="00821CB5">
      <w:pPr>
        <w:pStyle w:val="TOC2"/>
        <w:rPr>
          <w:noProof/>
          <w:kern w:val="2"/>
          <w:sz w:val="24"/>
          <w:szCs w:val="24"/>
          <w:lang w:val="en-GB"/>
          <w14:ligatures w14:val="standardContextual"/>
        </w:rPr>
      </w:pPr>
      <w:hyperlink w:anchor="_Toc208244569" w:history="1">
        <w:r w:rsidRPr="00865A62">
          <w:rPr>
            <w:rStyle w:val="Hyperlink"/>
            <w:noProof/>
          </w:rPr>
          <w:t>II.17</w:t>
        </w:r>
        <w:r>
          <w:rPr>
            <w:noProof/>
            <w:kern w:val="2"/>
            <w:sz w:val="24"/>
            <w:szCs w:val="24"/>
            <w:lang w:val="en-GB"/>
            <w14:ligatures w14:val="standardContextual"/>
          </w:rPr>
          <w:tab/>
        </w:r>
        <w:r w:rsidRPr="00865A62">
          <w:rPr>
            <w:rStyle w:val="Hyperlink"/>
            <w:noProof/>
          </w:rPr>
          <w:t>Z 07.03 — Oversigt over centrale forretningsområder pr. juridisk enhed (FUNC 3)</w:t>
        </w:r>
        <w:r>
          <w:rPr>
            <w:noProof/>
            <w:webHidden/>
          </w:rPr>
          <w:tab/>
        </w:r>
        <w:r>
          <w:rPr>
            <w:noProof/>
            <w:webHidden/>
          </w:rPr>
          <w:fldChar w:fldCharType="begin"/>
        </w:r>
        <w:r>
          <w:rPr>
            <w:noProof/>
            <w:webHidden/>
          </w:rPr>
          <w:instrText xml:space="preserve"> PAGEREF _Toc208244569 \h </w:instrText>
        </w:r>
        <w:r>
          <w:rPr>
            <w:noProof/>
            <w:webHidden/>
          </w:rPr>
        </w:r>
        <w:r>
          <w:rPr>
            <w:noProof/>
            <w:webHidden/>
          </w:rPr>
          <w:fldChar w:fldCharType="separate"/>
        </w:r>
        <w:r>
          <w:rPr>
            <w:noProof/>
            <w:webHidden/>
          </w:rPr>
          <w:t>65</w:t>
        </w:r>
        <w:r>
          <w:rPr>
            <w:noProof/>
            <w:webHidden/>
          </w:rPr>
          <w:fldChar w:fldCharType="end"/>
        </w:r>
      </w:hyperlink>
    </w:p>
    <w:p w14:paraId="07A2CF53" w14:textId="0111A2C1" w:rsidR="00821CB5" w:rsidRDefault="00821CB5">
      <w:pPr>
        <w:pStyle w:val="TOC2"/>
        <w:rPr>
          <w:noProof/>
          <w:kern w:val="2"/>
          <w:sz w:val="24"/>
          <w:szCs w:val="24"/>
          <w:lang w:val="en-GB"/>
          <w14:ligatures w14:val="standardContextual"/>
        </w:rPr>
      </w:pPr>
      <w:hyperlink w:anchor="_Toc208244570" w:history="1">
        <w:r w:rsidRPr="00865A62">
          <w:rPr>
            <w:rStyle w:val="Hyperlink"/>
            <w:noProof/>
          </w:rPr>
          <w:t>II.18</w:t>
        </w:r>
        <w:r>
          <w:rPr>
            <w:noProof/>
            <w:kern w:val="2"/>
            <w:sz w:val="24"/>
            <w:szCs w:val="24"/>
            <w:lang w:val="en-GB"/>
            <w14:ligatures w14:val="standardContextual"/>
          </w:rPr>
          <w:tab/>
        </w:r>
        <w:r w:rsidRPr="00865A62">
          <w:rPr>
            <w:rStyle w:val="Hyperlink"/>
            <w:noProof/>
          </w:rPr>
          <w:t>Z 07.04 — Oversigt over økonomiske funktioner pr. centralt forretningsområde (FUNC 4)</w:t>
        </w:r>
        <w:r>
          <w:rPr>
            <w:noProof/>
            <w:webHidden/>
          </w:rPr>
          <w:tab/>
        </w:r>
        <w:r>
          <w:rPr>
            <w:noProof/>
            <w:webHidden/>
          </w:rPr>
          <w:fldChar w:fldCharType="begin"/>
        </w:r>
        <w:r>
          <w:rPr>
            <w:noProof/>
            <w:webHidden/>
          </w:rPr>
          <w:instrText xml:space="preserve"> PAGEREF _Toc208244570 \h </w:instrText>
        </w:r>
        <w:r>
          <w:rPr>
            <w:noProof/>
            <w:webHidden/>
          </w:rPr>
        </w:r>
        <w:r>
          <w:rPr>
            <w:noProof/>
            <w:webHidden/>
          </w:rPr>
          <w:fldChar w:fldCharType="separate"/>
        </w:r>
        <w:r>
          <w:rPr>
            <w:noProof/>
            <w:webHidden/>
          </w:rPr>
          <w:t>66</w:t>
        </w:r>
        <w:r>
          <w:rPr>
            <w:noProof/>
            <w:webHidden/>
          </w:rPr>
          <w:fldChar w:fldCharType="end"/>
        </w:r>
      </w:hyperlink>
    </w:p>
    <w:p w14:paraId="0BF863E5" w14:textId="5DFE422B" w:rsidR="00821CB5" w:rsidRDefault="00821CB5">
      <w:pPr>
        <w:pStyle w:val="TOC2"/>
        <w:rPr>
          <w:noProof/>
          <w:kern w:val="2"/>
          <w:sz w:val="24"/>
          <w:szCs w:val="24"/>
          <w:lang w:val="en-GB"/>
          <w14:ligatures w14:val="standardContextual"/>
        </w:rPr>
      </w:pPr>
      <w:hyperlink w:anchor="_Toc208244571" w:history="1">
        <w:r w:rsidRPr="00865A62">
          <w:rPr>
            <w:rStyle w:val="Hyperlink"/>
            <w:noProof/>
          </w:rPr>
          <w:t>II.19</w:t>
        </w:r>
        <w:r>
          <w:rPr>
            <w:noProof/>
            <w:kern w:val="2"/>
            <w:sz w:val="24"/>
            <w:szCs w:val="24"/>
            <w:lang w:val="en-GB"/>
            <w14:ligatures w14:val="standardContextual"/>
          </w:rPr>
          <w:tab/>
        </w:r>
        <w:r w:rsidRPr="00865A62">
          <w:rPr>
            <w:rStyle w:val="Hyperlink"/>
            <w:noProof/>
          </w:rPr>
          <w:t>Relevante tjenester</w:t>
        </w:r>
        <w:r>
          <w:rPr>
            <w:noProof/>
            <w:webHidden/>
          </w:rPr>
          <w:tab/>
        </w:r>
        <w:r>
          <w:rPr>
            <w:noProof/>
            <w:webHidden/>
          </w:rPr>
          <w:fldChar w:fldCharType="begin"/>
        </w:r>
        <w:r>
          <w:rPr>
            <w:noProof/>
            <w:webHidden/>
          </w:rPr>
          <w:instrText xml:space="preserve"> PAGEREF _Toc208244571 \h </w:instrText>
        </w:r>
        <w:r>
          <w:rPr>
            <w:noProof/>
            <w:webHidden/>
          </w:rPr>
        </w:r>
        <w:r>
          <w:rPr>
            <w:noProof/>
            <w:webHidden/>
          </w:rPr>
          <w:fldChar w:fldCharType="separate"/>
        </w:r>
        <w:r>
          <w:rPr>
            <w:noProof/>
            <w:webHidden/>
          </w:rPr>
          <w:t>67</w:t>
        </w:r>
        <w:r>
          <w:rPr>
            <w:noProof/>
            <w:webHidden/>
          </w:rPr>
          <w:fldChar w:fldCharType="end"/>
        </w:r>
      </w:hyperlink>
    </w:p>
    <w:p w14:paraId="531CF945" w14:textId="120445F8" w:rsidR="00821CB5" w:rsidRDefault="00821CB5">
      <w:pPr>
        <w:pStyle w:val="TOC2"/>
        <w:rPr>
          <w:noProof/>
          <w:kern w:val="2"/>
          <w:sz w:val="24"/>
          <w:szCs w:val="24"/>
          <w:lang w:val="en-GB"/>
          <w14:ligatures w14:val="standardContextual"/>
        </w:rPr>
      </w:pPr>
      <w:hyperlink w:anchor="_Toc208244572" w:history="1">
        <w:r w:rsidRPr="00865A62">
          <w:rPr>
            <w:rStyle w:val="Hyperlink"/>
            <w:rFonts w:eastAsia="Calibri"/>
            <w:noProof/>
          </w:rPr>
          <w:t>II.20</w:t>
        </w:r>
        <w:r>
          <w:rPr>
            <w:noProof/>
            <w:kern w:val="2"/>
            <w:sz w:val="24"/>
            <w:szCs w:val="24"/>
            <w:lang w:val="en-GB"/>
            <w14:ligatures w14:val="standardContextual"/>
          </w:rPr>
          <w:tab/>
        </w:r>
        <w:r w:rsidRPr="00865A62">
          <w:rPr>
            <w:rStyle w:val="Hyperlink"/>
            <w:noProof/>
          </w:rPr>
          <w:t>Z 08.01 — Relevante tjenester (SERV 1)</w:t>
        </w:r>
        <w:r>
          <w:rPr>
            <w:noProof/>
            <w:webHidden/>
          </w:rPr>
          <w:tab/>
        </w:r>
        <w:r>
          <w:rPr>
            <w:noProof/>
            <w:webHidden/>
          </w:rPr>
          <w:fldChar w:fldCharType="begin"/>
        </w:r>
        <w:r>
          <w:rPr>
            <w:noProof/>
            <w:webHidden/>
          </w:rPr>
          <w:instrText xml:space="preserve"> PAGEREF _Toc208244572 \h </w:instrText>
        </w:r>
        <w:r>
          <w:rPr>
            <w:noProof/>
            <w:webHidden/>
          </w:rPr>
        </w:r>
        <w:r>
          <w:rPr>
            <w:noProof/>
            <w:webHidden/>
          </w:rPr>
          <w:fldChar w:fldCharType="separate"/>
        </w:r>
        <w:r>
          <w:rPr>
            <w:noProof/>
            <w:webHidden/>
          </w:rPr>
          <w:t>67</w:t>
        </w:r>
        <w:r>
          <w:rPr>
            <w:noProof/>
            <w:webHidden/>
          </w:rPr>
          <w:fldChar w:fldCharType="end"/>
        </w:r>
      </w:hyperlink>
    </w:p>
    <w:p w14:paraId="1993A4EF" w14:textId="2B339EE2" w:rsidR="00821CB5" w:rsidRDefault="00821CB5">
      <w:pPr>
        <w:pStyle w:val="TOC2"/>
        <w:rPr>
          <w:noProof/>
          <w:kern w:val="2"/>
          <w:sz w:val="24"/>
          <w:szCs w:val="24"/>
          <w:lang w:val="en-GB"/>
          <w14:ligatures w14:val="standardContextual"/>
        </w:rPr>
      </w:pPr>
      <w:hyperlink w:anchor="_Toc208244573" w:history="1">
        <w:r w:rsidRPr="00865A62">
          <w:rPr>
            <w:rStyle w:val="Hyperlink"/>
            <w:noProof/>
          </w:rPr>
          <w:t>II.21</w:t>
        </w:r>
        <w:r>
          <w:rPr>
            <w:noProof/>
            <w:kern w:val="2"/>
            <w:sz w:val="24"/>
            <w:szCs w:val="24"/>
            <w:lang w:val="en-GB"/>
            <w14:ligatures w14:val="standardContextual"/>
          </w:rPr>
          <w:tab/>
        </w:r>
        <w:r w:rsidRPr="00865A62">
          <w:rPr>
            <w:rStyle w:val="Hyperlink"/>
            <w:noProof/>
          </w:rPr>
          <w:t>Z 08.02 — Relevante tjenester — Kortlægning af operationelle aktiver (SERV 2)</w:t>
        </w:r>
        <w:r>
          <w:rPr>
            <w:noProof/>
            <w:webHidden/>
          </w:rPr>
          <w:tab/>
        </w:r>
        <w:r>
          <w:rPr>
            <w:noProof/>
            <w:webHidden/>
          </w:rPr>
          <w:fldChar w:fldCharType="begin"/>
        </w:r>
        <w:r>
          <w:rPr>
            <w:noProof/>
            <w:webHidden/>
          </w:rPr>
          <w:instrText xml:space="preserve"> PAGEREF _Toc208244573 \h </w:instrText>
        </w:r>
        <w:r>
          <w:rPr>
            <w:noProof/>
            <w:webHidden/>
          </w:rPr>
        </w:r>
        <w:r>
          <w:rPr>
            <w:noProof/>
            <w:webHidden/>
          </w:rPr>
          <w:fldChar w:fldCharType="separate"/>
        </w:r>
        <w:r>
          <w:rPr>
            <w:noProof/>
            <w:webHidden/>
          </w:rPr>
          <w:t>73</w:t>
        </w:r>
        <w:r>
          <w:rPr>
            <w:noProof/>
            <w:webHidden/>
          </w:rPr>
          <w:fldChar w:fldCharType="end"/>
        </w:r>
      </w:hyperlink>
    </w:p>
    <w:p w14:paraId="502B28A2" w14:textId="527DC3DC" w:rsidR="00821CB5" w:rsidRDefault="00821CB5">
      <w:pPr>
        <w:pStyle w:val="TOC2"/>
        <w:rPr>
          <w:noProof/>
          <w:kern w:val="2"/>
          <w:sz w:val="24"/>
          <w:szCs w:val="24"/>
          <w:lang w:val="en-GB"/>
          <w14:ligatures w14:val="standardContextual"/>
        </w:rPr>
      </w:pPr>
      <w:hyperlink w:anchor="_Toc208244574" w:history="1">
        <w:r w:rsidRPr="00865A62">
          <w:rPr>
            <w:rStyle w:val="Hyperlink"/>
            <w:rFonts w:eastAsia="Calibri"/>
            <w:noProof/>
          </w:rPr>
          <w:t>II.22</w:t>
        </w:r>
        <w:r>
          <w:rPr>
            <w:noProof/>
            <w:kern w:val="2"/>
            <w:sz w:val="24"/>
            <w:szCs w:val="24"/>
            <w:lang w:val="en-GB"/>
            <w14:ligatures w14:val="standardContextual"/>
          </w:rPr>
          <w:tab/>
        </w:r>
        <w:r w:rsidRPr="00865A62">
          <w:rPr>
            <w:rStyle w:val="Hyperlink"/>
            <w:noProof/>
          </w:rPr>
          <w:t>Z 08.03 — Relevante tjenester — Kortlægning efter roller (SERV 3)</w:t>
        </w:r>
        <w:r>
          <w:rPr>
            <w:noProof/>
            <w:webHidden/>
          </w:rPr>
          <w:tab/>
        </w:r>
        <w:r>
          <w:rPr>
            <w:noProof/>
            <w:webHidden/>
          </w:rPr>
          <w:fldChar w:fldCharType="begin"/>
        </w:r>
        <w:r>
          <w:rPr>
            <w:noProof/>
            <w:webHidden/>
          </w:rPr>
          <w:instrText xml:space="preserve"> PAGEREF _Toc208244574 \h </w:instrText>
        </w:r>
        <w:r>
          <w:rPr>
            <w:noProof/>
            <w:webHidden/>
          </w:rPr>
        </w:r>
        <w:r>
          <w:rPr>
            <w:noProof/>
            <w:webHidden/>
          </w:rPr>
          <w:fldChar w:fldCharType="separate"/>
        </w:r>
        <w:r>
          <w:rPr>
            <w:noProof/>
            <w:webHidden/>
          </w:rPr>
          <w:t>76</w:t>
        </w:r>
        <w:r>
          <w:rPr>
            <w:noProof/>
            <w:webHidden/>
          </w:rPr>
          <w:fldChar w:fldCharType="end"/>
        </w:r>
      </w:hyperlink>
    </w:p>
    <w:p w14:paraId="22C2B774" w14:textId="664FE70E" w:rsidR="00821CB5" w:rsidRDefault="00821CB5">
      <w:pPr>
        <w:pStyle w:val="TOC2"/>
        <w:rPr>
          <w:noProof/>
          <w:kern w:val="2"/>
          <w:sz w:val="24"/>
          <w:szCs w:val="24"/>
          <w:lang w:val="en-GB"/>
          <w14:ligatures w14:val="standardContextual"/>
        </w:rPr>
      </w:pPr>
      <w:hyperlink w:anchor="_Toc208244575" w:history="1">
        <w:r w:rsidRPr="00865A62">
          <w:rPr>
            <w:rStyle w:val="Hyperlink"/>
            <w:rFonts w:eastAsia="Calibri"/>
            <w:noProof/>
          </w:rPr>
          <w:t>II.23</w:t>
        </w:r>
        <w:r>
          <w:rPr>
            <w:noProof/>
            <w:kern w:val="2"/>
            <w:sz w:val="24"/>
            <w:szCs w:val="24"/>
            <w:lang w:val="en-GB"/>
            <w14:ligatures w14:val="standardContextual"/>
          </w:rPr>
          <w:tab/>
        </w:r>
        <w:r w:rsidRPr="00865A62">
          <w:rPr>
            <w:rStyle w:val="Hyperlink"/>
            <w:noProof/>
          </w:rPr>
          <w:t>Z 08.04 — Kritiske tjenester — kortlægning efter kritiske funktioner (SERV 4)</w:t>
        </w:r>
        <w:r>
          <w:rPr>
            <w:noProof/>
            <w:webHidden/>
          </w:rPr>
          <w:tab/>
        </w:r>
        <w:r>
          <w:rPr>
            <w:noProof/>
            <w:webHidden/>
          </w:rPr>
          <w:fldChar w:fldCharType="begin"/>
        </w:r>
        <w:r>
          <w:rPr>
            <w:noProof/>
            <w:webHidden/>
          </w:rPr>
          <w:instrText xml:space="preserve"> PAGEREF _Toc208244575 \h </w:instrText>
        </w:r>
        <w:r>
          <w:rPr>
            <w:noProof/>
            <w:webHidden/>
          </w:rPr>
        </w:r>
        <w:r>
          <w:rPr>
            <w:noProof/>
            <w:webHidden/>
          </w:rPr>
          <w:fldChar w:fldCharType="separate"/>
        </w:r>
        <w:r>
          <w:rPr>
            <w:noProof/>
            <w:webHidden/>
          </w:rPr>
          <w:t>77</w:t>
        </w:r>
        <w:r>
          <w:rPr>
            <w:noProof/>
            <w:webHidden/>
          </w:rPr>
          <w:fldChar w:fldCharType="end"/>
        </w:r>
      </w:hyperlink>
    </w:p>
    <w:p w14:paraId="2304A67F" w14:textId="57F6238A" w:rsidR="00821CB5" w:rsidRDefault="00821CB5">
      <w:pPr>
        <w:pStyle w:val="TOC2"/>
        <w:rPr>
          <w:noProof/>
          <w:kern w:val="2"/>
          <w:sz w:val="24"/>
          <w:szCs w:val="24"/>
          <w:lang w:val="en-GB"/>
          <w14:ligatures w14:val="standardContextual"/>
        </w:rPr>
      </w:pPr>
      <w:hyperlink w:anchor="_Toc208244576" w:history="1">
        <w:r w:rsidRPr="00865A62">
          <w:rPr>
            <w:rStyle w:val="Hyperlink"/>
            <w:noProof/>
          </w:rPr>
          <w:t>Generelle instruktioner</w:t>
        </w:r>
        <w:r>
          <w:rPr>
            <w:noProof/>
            <w:webHidden/>
          </w:rPr>
          <w:tab/>
        </w:r>
        <w:r>
          <w:rPr>
            <w:noProof/>
            <w:webHidden/>
          </w:rPr>
          <w:fldChar w:fldCharType="begin"/>
        </w:r>
        <w:r>
          <w:rPr>
            <w:noProof/>
            <w:webHidden/>
          </w:rPr>
          <w:instrText xml:space="preserve"> PAGEREF _Toc208244576 \h </w:instrText>
        </w:r>
        <w:r>
          <w:rPr>
            <w:noProof/>
            <w:webHidden/>
          </w:rPr>
        </w:r>
        <w:r>
          <w:rPr>
            <w:noProof/>
            <w:webHidden/>
          </w:rPr>
          <w:fldChar w:fldCharType="separate"/>
        </w:r>
        <w:r>
          <w:rPr>
            <w:noProof/>
            <w:webHidden/>
          </w:rPr>
          <w:t>77</w:t>
        </w:r>
        <w:r>
          <w:rPr>
            <w:noProof/>
            <w:webHidden/>
          </w:rPr>
          <w:fldChar w:fldCharType="end"/>
        </w:r>
      </w:hyperlink>
    </w:p>
    <w:p w14:paraId="04742950" w14:textId="544C3618" w:rsidR="00821CB5" w:rsidRDefault="00821CB5">
      <w:pPr>
        <w:pStyle w:val="TOC2"/>
        <w:rPr>
          <w:noProof/>
          <w:kern w:val="2"/>
          <w:sz w:val="24"/>
          <w:szCs w:val="24"/>
          <w:lang w:val="en-GB"/>
          <w14:ligatures w14:val="standardContextual"/>
        </w:rPr>
      </w:pPr>
      <w:hyperlink w:anchor="_Toc208244577" w:history="1">
        <w:r w:rsidRPr="00865A62">
          <w:rPr>
            <w:rStyle w:val="Hyperlink"/>
            <w:rFonts w:eastAsia="Calibri"/>
            <w:noProof/>
          </w:rPr>
          <w:t>II.24</w:t>
        </w:r>
        <w:r>
          <w:rPr>
            <w:noProof/>
            <w:kern w:val="2"/>
            <w:sz w:val="24"/>
            <w:szCs w:val="24"/>
            <w:lang w:val="en-GB"/>
            <w14:ligatures w14:val="standardContextual"/>
          </w:rPr>
          <w:tab/>
        </w:r>
        <w:r w:rsidRPr="00865A62">
          <w:rPr>
            <w:rStyle w:val="Hyperlink"/>
            <w:noProof/>
          </w:rPr>
          <w:t>Z 08.05 — Væsentlige tjenesteydelser — Kortlægning efter centrale forretningsområder (SERV 5)</w:t>
        </w:r>
        <w:r>
          <w:rPr>
            <w:noProof/>
            <w:webHidden/>
          </w:rPr>
          <w:tab/>
        </w:r>
        <w:r>
          <w:rPr>
            <w:noProof/>
            <w:webHidden/>
          </w:rPr>
          <w:fldChar w:fldCharType="begin"/>
        </w:r>
        <w:r>
          <w:rPr>
            <w:noProof/>
            <w:webHidden/>
          </w:rPr>
          <w:instrText xml:space="preserve"> PAGEREF _Toc208244577 \h </w:instrText>
        </w:r>
        <w:r>
          <w:rPr>
            <w:noProof/>
            <w:webHidden/>
          </w:rPr>
        </w:r>
        <w:r>
          <w:rPr>
            <w:noProof/>
            <w:webHidden/>
          </w:rPr>
          <w:fldChar w:fldCharType="separate"/>
        </w:r>
        <w:r>
          <w:rPr>
            <w:noProof/>
            <w:webHidden/>
          </w:rPr>
          <w:t>78</w:t>
        </w:r>
        <w:r>
          <w:rPr>
            <w:noProof/>
            <w:webHidden/>
          </w:rPr>
          <w:fldChar w:fldCharType="end"/>
        </w:r>
      </w:hyperlink>
    </w:p>
    <w:p w14:paraId="77618700" w14:textId="22202891" w:rsidR="00821CB5" w:rsidRDefault="00821CB5">
      <w:pPr>
        <w:pStyle w:val="TOC2"/>
        <w:rPr>
          <w:noProof/>
          <w:kern w:val="2"/>
          <w:sz w:val="24"/>
          <w:szCs w:val="24"/>
          <w:lang w:val="en-GB"/>
          <w14:ligatures w14:val="standardContextual"/>
        </w:rPr>
      </w:pPr>
      <w:hyperlink w:anchor="_Toc208244578" w:history="1">
        <w:r w:rsidRPr="00865A62">
          <w:rPr>
            <w:rStyle w:val="Hyperlink"/>
            <w:noProof/>
          </w:rPr>
          <w:t>II.25</w:t>
        </w:r>
        <w:r>
          <w:rPr>
            <w:noProof/>
            <w:kern w:val="2"/>
            <w:sz w:val="24"/>
            <w:szCs w:val="24"/>
            <w:lang w:val="en-GB"/>
            <w14:ligatures w14:val="standardContextual"/>
          </w:rPr>
          <w:tab/>
        </w:r>
        <w:r w:rsidRPr="00865A62">
          <w:rPr>
            <w:rStyle w:val="Hyperlink"/>
            <w:noProof/>
          </w:rPr>
          <w:t>FMI-tjenester</w:t>
        </w:r>
        <w:r>
          <w:rPr>
            <w:noProof/>
            <w:webHidden/>
          </w:rPr>
          <w:tab/>
        </w:r>
        <w:r>
          <w:rPr>
            <w:noProof/>
            <w:webHidden/>
          </w:rPr>
          <w:fldChar w:fldCharType="begin"/>
        </w:r>
        <w:r>
          <w:rPr>
            <w:noProof/>
            <w:webHidden/>
          </w:rPr>
          <w:instrText xml:space="preserve"> PAGEREF _Toc208244578 \h </w:instrText>
        </w:r>
        <w:r>
          <w:rPr>
            <w:noProof/>
            <w:webHidden/>
          </w:rPr>
        </w:r>
        <w:r>
          <w:rPr>
            <w:noProof/>
            <w:webHidden/>
          </w:rPr>
          <w:fldChar w:fldCharType="separate"/>
        </w:r>
        <w:r>
          <w:rPr>
            <w:noProof/>
            <w:webHidden/>
          </w:rPr>
          <w:t>79</w:t>
        </w:r>
        <w:r>
          <w:rPr>
            <w:noProof/>
            <w:webHidden/>
          </w:rPr>
          <w:fldChar w:fldCharType="end"/>
        </w:r>
      </w:hyperlink>
    </w:p>
    <w:p w14:paraId="7384F9E4" w14:textId="76D4E3A0" w:rsidR="00821CB5" w:rsidRDefault="00821CB5">
      <w:pPr>
        <w:pStyle w:val="TOC2"/>
        <w:rPr>
          <w:noProof/>
          <w:kern w:val="2"/>
          <w:sz w:val="24"/>
          <w:szCs w:val="24"/>
          <w:lang w:val="en-GB"/>
          <w14:ligatures w14:val="standardContextual"/>
        </w:rPr>
      </w:pPr>
      <w:hyperlink w:anchor="_Toc208244579" w:history="1">
        <w:r w:rsidRPr="00865A62">
          <w:rPr>
            <w:rStyle w:val="Hyperlink"/>
            <w:noProof/>
          </w:rPr>
          <w:t>II.26</w:t>
        </w:r>
        <w:r>
          <w:rPr>
            <w:noProof/>
            <w:kern w:val="2"/>
            <w:sz w:val="24"/>
            <w:szCs w:val="24"/>
            <w:lang w:val="en-GB"/>
            <w14:ligatures w14:val="standardContextual"/>
          </w:rPr>
          <w:tab/>
        </w:r>
        <w:r w:rsidRPr="00865A62">
          <w:rPr>
            <w:rStyle w:val="Hyperlink"/>
            <w:noProof/>
          </w:rPr>
          <w:t>Z 09.01 — FMI-tjenester — Udbydere og brugere (FMI 1)</w:t>
        </w:r>
        <w:r>
          <w:rPr>
            <w:noProof/>
            <w:webHidden/>
          </w:rPr>
          <w:tab/>
        </w:r>
        <w:r>
          <w:rPr>
            <w:noProof/>
            <w:webHidden/>
          </w:rPr>
          <w:fldChar w:fldCharType="begin"/>
        </w:r>
        <w:r>
          <w:rPr>
            <w:noProof/>
            <w:webHidden/>
          </w:rPr>
          <w:instrText xml:space="preserve"> PAGEREF _Toc208244579 \h </w:instrText>
        </w:r>
        <w:r>
          <w:rPr>
            <w:noProof/>
            <w:webHidden/>
          </w:rPr>
        </w:r>
        <w:r>
          <w:rPr>
            <w:noProof/>
            <w:webHidden/>
          </w:rPr>
          <w:fldChar w:fldCharType="separate"/>
        </w:r>
        <w:r>
          <w:rPr>
            <w:noProof/>
            <w:webHidden/>
          </w:rPr>
          <w:t>79</w:t>
        </w:r>
        <w:r>
          <w:rPr>
            <w:noProof/>
            <w:webHidden/>
          </w:rPr>
          <w:fldChar w:fldCharType="end"/>
        </w:r>
      </w:hyperlink>
    </w:p>
    <w:p w14:paraId="4F739970" w14:textId="49DD3B36" w:rsidR="00821CB5" w:rsidRDefault="00821CB5">
      <w:pPr>
        <w:pStyle w:val="TOC2"/>
        <w:rPr>
          <w:noProof/>
          <w:kern w:val="2"/>
          <w:sz w:val="24"/>
          <w:szCs w:val="24"/>
          <w:lang w:val="en-GB"/>
          <w14:ligatures w14:val="standardContextual"/>
        </w:rPr>
      </w:pPr>
      <w:hyperlink w:anchor="_Toc208244580" w:history="1">
        <w:r w:rsidRPr="00865A62">
          <w:rPr>
            <w:rStyle w:val="Hyperlink"/>
            <w:rFonts w:eastAsia="Calibri"/>
            <w:noProof/>
          </w:rPr>
          <w:t>II.27</w:t>
        </w:r>
        <w:r>
          <w:rPr>
            <w:noProof/>
            <w:kern w:val="2"/>
            <w:sz w:val="24"/>
            <w:szCs w:val="24"/>
            <w:lang w:val="en-GB"/>
            <w14:ligatures w14:val="standardContextual"/>
          </w:rPr>
          <w:tab/>
        </w:r>
        <w:r w:rsidRPr="00865A62">
          <w:rPr>
            <w:rStyle w:val="Hyperlink"/>
            <w:noProof/>
          </w:rPr>
          <w:t>Z 09.02 — Oversigt over kritiske og væsentlige FMI'er (FMI 2)</w:t>
        </w:r>
        <w:r>
          <w:rPr>
            <w:noProof/>
            <w:webHidden/>
          </w:rPr>
          <w:tab/>
        </w:r>
        <w:r>
          <w:rPr>
            <w:noProof/>
            <w:webHidden/>
          </w:rPr>
          <w:fldChar w:fldCharType="begin"/>
        </w:r>
        <w:r>
          <w:rPr>
            <w:noProof/>
            <w:webHidden/>
          </w:rPr>
          <w:instrText xml:space="preserve"> PAGEREF _Toc208244580 \h </w:instrText>
        </w:r>
        <w:r>
          <w:rPr>
            <w:noProof/>
            <w:webHidden/>
          </w:rPr>
        </w:r>
        <w:r>
          <w:rPr>
            <w:noProof/>
            <w:webHidden/>
          </w:rPr>
          <w:fldChar w:fldCharType="separate"/>
        </w:r>
        <w:r>
          <w:rPr>
            <w:noProof/>
            <w:webHidden/>
          </w:rPr>
          <w:t>83</w:t>
        </w:r>
        <w:r>
          <w:rPr>
            <w:noProof/>
            <w:webHidden/>
          </w:rPr>
          <w:fldChar w:fldCharType="end"/>
        </w:r>
      </w:hyperlink>
    </w:p>
    <w:p w14:paraId="20D23009" w14:textId="666612CD" w:rsidR="00821CB5" w:rsidRDefault="00821CB5">
      <w:pPr>
        <w:pStyle w:val="TOC2"/>
        <w:rPr>
          <w:noProof/>
          <w:kern w:val="2"/>
          <w:sz w:val="24"/>
          <w:szCs w:val="24"/>
          <w:lang w:val="en-GB"/>
          <w14:ligatures w14:val="standardContextual"/>
        </w:rPr>
      </w:pPr>
      <w:hyperlink w:anchor="_Toc208244581" w:history="1">
        <w:r w:rsidRPr="00865A62">
          <w:rPr>
            <w:rStyle w:val="Hyperlink"/>
            <w:noProof/>
          </w:rPr>
          <w:t>II.28</w:t>
        </w:r>
        <w:r>
          <w:rPr>
            <w:noProof/>
            <w:kern w:val="2"/>
            <w:sz w:val="24"/>
            <w:szCs w:val="24"/>
            <w:lang w:val="en-GB"/>
            <w14:ligatures w14:val="standardContextual"/>
          </w:rPr>
          <w:tab/>
        </w:r>
        <w:r w:rsidRPr="00865A62">
          <w:rPr>
            <w:rStyle w:val="Hyperlink"/>
            <w:noProof/>
          </w:rPr>
          <w:t>Z 09.03 — FMI-tjenester — nøgleparametre (FMI 3)</w:t>
        </w:r>
        <w:r>
          <w:rPr>
            <w:noProof/>
            <w:webHidden/>
          </w:rPr>
          <w:tab/>
        </w:r>
        <w:r>
          <w:rPr>
            <w:noProof/>
            <w:webHidden/>
          </w:rPr>
          <w:fldChar w:fldCharType="begin"/>
        </w:r>
        <w:r>
          <w:rPr>
            <w:noProof/>
            <w:webHidden/>
          </w:rPr>
          <w:instrText xml:space="preserve"> PAGEREF _Toc208244581 \h </w:instrText>
        </w:r>
        <w:r>
          <w:rPr>
            <w:noProof/>
            <w:webHidden/>
          </w:rPr>
        </w:r>
        <w:r>
          <w:rPr>
            <w:noProof/>
            <w:webHidden/>
          </w:rPr>
          <w:fldChar w:fldCharType="separate"/>
        </w:r>
        <w:r>
          <w:rPr>
            <w:noProof/>
            <w:webHidden/>
          </w:rPr>
          <w:t>85</w:t>
        </w:r>
        <w:r>
          <w:rPr>
            <w:noProof/>
            <w:webHidden/>
          </w:rPr>
          <w:fldChar w:fldCharType="end"/>
        </w:r>
      </w:hyperlink>
    </w:p>
    <w:p w14:paraId="3A8994A6" w14:textId="26006172" w:rsidR="00821CB5" w:rsidRDefault="00821CB5">
      <w:pPr>
        <w:pStyle w:val="TOC2"/>
        <w:rPr>
          <w:noProof/>
          <w:kern w:val="2"/>
          <w:sz w:val="24"/>
          <w:szCs w:val="24"/>
          <w:lang w:val="en-GB"/>
          <w14:ligatures w14:val="standardContextual"/>
        </w:rPr>
      </w:pPr>
      <w:hyperlink w:anchor="_Toc208244582" w:history="1">
        <w:r w:rsidRPr="00865A62">
          <w:rPr>
            <w:rStyle w:val="Hyperlink"/>
            <w:noProof/>
          </w:rPr>
          <w:t>II.29</w:t>
        </w:r>
        <w:r>
          <w:rPr>
            <w:noProof/>
            <w:kern w:val="2"/>
            <w:sz w:val="24"/>
            <w:szCs w:val="24"/>
            <w:lang w:val="en-GB"/>
            <w14:ligatures w14:val="standardContextual"/>
          </w:rPr>
          <w:tab/>
        </w:r>
        <w:r w:rsidRPr="00865A62">
          <w:rPr>
            <w:rStyle w:val="Hyperlink"/>
            <w:noProof/>
          </w:rPr>
          <w:t>Z 09.04 — FMI-tjenester — CCP'er — alternative udbydere (FMI 4)</w:t>
        </w:r>
        <w:r>
          <w:rPr>
            <w:noProof/>
            <w:webHidden/>
          </w:rPr>
          <w:tab/>
        </w:r>
        <w:r>
          <w:rPr>
            <w:noProof/>
            <w:webHidden/>
          </w:rPr>
          <w:fldChar w:fldCharType="begin"/>
        </w:r>
        <w:r>
          <w:rPr>
            <w:noProof/>
            <w:webHidden/>
          </w:rPr>
          <w:instrText xml:space="preserve"> PAGEREF _Toc208244582 \h </w:instrText>
        </w:r>
        <w:r>
          <w:rPr>
            <w:noProof/>
            <w:webHidden/>
          </w:rPr>
        </w:r>
        <w:r>
          <w:rPr>
            <w:noProof/>
            <w:webHidden/>
          </w:rPr>
          <w:fldChar w:fldCharType="separate"/>
        </w:r>
        <w:r>
          <w:rPr>
            <w:noProof/>
            <w:webHidden/>
          </w:rPr>
          <w:t>87</w:t>
        </w:r>
        <w:r>
          <w:rPr>
            <w:noProof/>
            <w:webHidden/>
          </w:rPr>
          <w:fldChar w:fldCharType="end"/>
        </w:r>
      </w:hyperlink>
    </w:p>
    <w:p w14:paraId="4B1873CE" w14:textId="5FE9F2DB" w:rsidR="00821CB5" w:rsidRDefault="00821CB5">
      <w:pPr>
        <w:pStyle w:val="TOC2"/>
        <w:rPr>
          <w:noProof/>
          <w:kern w:val="2"/>
          <w:sz w:val="24"/>
          <w:szCs w:val="24"/>
          <w:lang w:val="en-GB"/>
          <w14:ligatures w14:val="standardContextual"/>
        </w:rPr>
      </w:pPr>
      <w:hyperlink w:anchor="_Toc208244583" w:history="1">
        <w:r w:rsidRPr="00865A62">
          <w:rPr>
            <w:rStyle w:val="Hyperlink"/>
            <w:noProof/>
          </w:rPr>
          <w:t>II.30</w:t>
        </w:r>
        <w:r>
          <w:rPr>
            <w:noProof/>
            <w:kern w:val="2"/>
            <w:sz w:val="24"/>
            <w:szCs w:val="24"/>
            <w:lang w:val="en-GB"/>
            <w14:ligatures w14:val="standardContextual"/>
          </w:rPr>
          <w:tab/>
        </w:r>
        <w:r w:rsidRPr="00865A62">
          <w:rPr>
            <w:rStyle w:val="Hyperlink"/>
            <w:noProof/>
          </w:rPr>
          <w:t>Analyse af ansvar</w:t>
        </w:r>
        <w:r>
          <w:rPr>
            <w:noProof/>
            <w:webHidden/>
          </w:rPr>
          <w:tab/>
        </w:r>
        <w:r>
          <w:rPr>
            <w:noProof/>
            <w:webHidden/>
          </w:rPr>
          <w:fldChar w:fldCharType="begin"/>
        </w:r>
        <w:r>
          <w:rPr>
            <w:noProof/>
            <w:webHidden/>
          </w:rPr>
          <w:instrText xml:space="preserve"> PAGEREF _Toc208244583 \h </w:instrText>
        </w:r>
        <w:r>
          <w:rPr>
            <w:noProof/>
            <w:webHidden/>
          </w:rPr>
        </w:r>
        <w:r>
          <w:rPr>
            <w:noProof/>
            <w:webHidden/>
          </w:rPr>
          <w:fldChar w:fldCharType="separate"/>
        </w:r>
        <w:r>
          <w:rPr>
            <w:noProof/>
            <w:webHidden/>
          </w:rPr>
          <w:t>87</w:t>
        </w:r>
        <w:r>
          <w:rPr>
            <w:noProof/>
            <w:webHidden/>
          </w:rPr>
          <w:fldChar w:fldCharType="end"/>
        </w:r>
      </w:hyperlink>
    </w:p>
    <w:p w14:paraId="041F74F7" w14:textId="5B5F02D2" w:rsidR="00821CB5" w:rsidRDefault="00821CB5">
      <w:pPr>
        <w:pStyle w:val="TOC2"/>
        <w:rPr>
          <w:noProof/>
          <w:kern w:val="2"/>
          <w:sz w:val="24"/>
          <w:szCs w:val="24"/>
          <w:lang w:val="en-GB"/>
          <w14:ligatures w14:val="standardContextual"/>
        </w:rPr>
      </w:pPr>
      <w:hyperlink w:anchor="_Toc208244584" w:history="1">
        <w:r w:rsidRPr="00865A62">
          <w:rPr>
            <w:rStyle w:val="Hyperlink"/>
            <w:rFonts w:ascii="Times New Roman" w:hAnsi="Times New Roman" w:cs="Times New Roman"/>
            <w:noProof/>
          </w:rPr>
          <w:t>II.31</w:t>
        </w:r>
        <w:r>
          <w:rPr>
            <w:noProof/>
            <w:kern w:val="2"/>
            <w:sz w:val="24"/>
            <w:szCs w:val="24"/>
            <w:lang w:val="en-GB"/>
            <w14:ligatures w14:val="standardContextual"/>
          </w:rPr>
          <w:tab/>
        </w:r>
        <w:r w:rsidRPr="00865A62">
          <w:rPr>
            <w:rStyle w:val="Hyperlink"/>
            <w:rFonts w:ascii="Times New Roman" w:hAnsi="Times New Roman" w:cs="Times New Roman"/>
            <w:noProof/>
          </w:rPr>
          <w:t>Z 11.00 Koncernforpligtelser</w:t>
        </w:r>
        <w:r w:rsidRPr="00865A62">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_Toc208244584 \h </w:instrText>
        </w:r>
        <w:r>
          <w:rPr>
            <w:noProof/>
            <w:webHidden/>
          </w:rPr>
        </w:r>
        <w:r>
          <w:rPr>
            <w:noProof/>
            <w:webHidden/>
          </w:rPr>
          <w:fldChar w:fldCharType="separate"/>
        </w:r>
        <w:r>
          <w:rPr>
            <w:noProof/>
            <w:webHidden/>
          </w:rPr>
          <w:t>87</w:t>
        </w:r>
        <w:r>
          <w:rPr>
            <w:noProof/>
            <w:webHidden/>
          </w:rPr>
          <w:fldChar w:fldCharType="end"/>
        </w:r>
      </w:hyperlink>
    </w:p>
    <w:p w14:paraId="45D6D403" w14:textId="7291AFCF" w:rsidR="00821CB5" w:rsidRDefault="00821CB5">
      <w:pPr>
        <w:pStyle w:val="TOC2"/>
        <w:rPr>
          <w:noProof/>
          <w:kern w:val="2"/>
          <w:sz w:val="24"/>
          <w:szCs w:val="24"/>
          <w:lang w:val="en-GB"/>
          <w14:ligatures w14:val="standardContextual"/>
        </w:rPr>
      </w:pPr>
      <w:hyperlink w:anchor="_Toc208244585" w:history="1">
        <w:r w:rsidRPr="00865A62">
          <w:rPr>
            <w:rStyle w:val="Hyperlink"/>
            <w:rFonts w:ascii="Times New Roman" w:hAnsi="Times New Roman" w:cs="Times New Roman"/>
            <w:noProof/>
          </w:rPr>
          <w:t>II.32</w:t>
        </w:r>
        <w:r>
          <w:rPr>
            <w:noProof/>
            <w:kern w:val="2"/>
            <w:sz w:val="24"/>
            <w:szCs w:val="24"/>
            <w:lang w:val="en-GB"/>
            <w14:ligatures w14:val="standardContextual"/>
          </w:rPr>
          <w:tab/>
        </w:r>
        <w:r w:rsidRPr="00865A62">
          <w:rPr>
            <w:rStyle w:val="Hyperlink"/>
            <w:rFonts w:ascii="Times New Roman" w:hAnsi="Times New Roman" w:cs="Times New Roman"/>
            <w:noProof/>
          </w:rPr>
          <w:t xml:space="preserve">Z 12.00 — </w:t>
        </w:r>
        <w:r w:rsidRPr="00865A62">
          <w:rPr>
            <w:rStyle w:val="Hyperlink"/>
            <w:rFonts w:ascii="Times New Roman" w:eastAsia="Cambria" w:hAnsi="Times New Roman" w:cs="Times New Roman"/>
            <w:noProof/>
          </w:rPr>
          <w:t xml:space="preserve">Værdipapirer (herunder CET1-, AT1- tier 2-instrumenter; undtagen koncernintern) </w:t>
        </w:r>
        <w:r w:rsidRPr="00865A62">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_Toc208244585 \h </w:instrText>
        </w:r>
        <w:r>
          <w:rPr>
            <w:noProof/>
            <w:webHidden/>
          </w:rPr>
        </w:r>
        <w:r>
          <w:rPr>
            <w:noProof/>
            <w:webHidden/>
          </w:rPr>
          <w:fldChar w:fldCharType="separate"/>
        </w:r>
        <w:r>
          <w:rPr>
            <w:noProof/>
            <w:webHidden/>
          </w:rPr>
          <w:t>90</w:t>
        </w:r>
        <w:r>
          <w:rPr>
            <w:noProof/>
            <w:webHidden/>
          </w:rPr>
          <w:fldChar w:fldCharType="end"/>
        </w:r>
      </w:hyperlink>
    </w:p>
    <w:p w14:paraId="5D905E57" w14:textId="12122B59" w:rsidR="00821CB5" w:rsidRDefault="00821CB5">
      <w:pPr>
        <w:pStyle w:val="TOC2"/>
        <w:rPr>
          <w:noProof/>
          <w:kern w:val="2"/>
          <w:sz w:val="24"/>
          <w:szCs w:val="24"/>
          <w:lang w:val="en-GB"/>
          <w14:ligatures w14:val="standardContextual"/>
        </w:rPr>
      </w:pPr>
      <w:hyperlink w:anchor="_Toc208244586" w:history="1">
        <w:r w:rsidRPr="00865A62">
          <w:rPr>
            <w:rStyle w:val="Hyperlink"/>
            <w:rFonts w:ascii="Times New Roman" w:hAnsi="Times New Roman" w:cs="Times New Roman"/>
            <w:noProof/>
          </w:rPr>
          <w:t>II.33</w:t>
        </w:r>
        <w:r>
          <w:rPr>
            <w:noProof/>
            <w:kern w:val="2"/>
            <w:sz w:val="24"/>
            <w:szCs w:val="24"/>
            <w:lang w:val="en-GB"/>
            <w14:ligatures w14:val="standardContextual"/>
          </w:rPr>
          <w:tab/>
        </w:r>
        <w:r w:rsidRPr="00865A62">
          <w:rPr>
            <w:rStyle w:val="Hyperlink"/>
            <w:rFonts w:ascii="Times New Roman" w:hAnsi="Times New Roman" w:cs="Times New Roman"/>
            <w:noProof/>
          </w:rPr>
          <w:t xml:space="preserve">Z 13.00 — Alle indskud (undtagen koncerninterne) </w:t>
        </w:r>
        <w:r w:rsidRPr="00865A62">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_Toc208244586 \h </w:instrText>
        </w:r>
        <w:r>
          <w:rPr>
            <w:noProof/>
            <w:webHidden/>
          </w:rPr>
        </w:r>
        <w:r>
          <w:rPr>
            <w:noProof/>
            <w:webHidden/>
          </w:rPr>
          <w:fldChar w:fldCharType="separate"/>
        </w:r>
        <w:r>
          <w:rPr>
            <w:noProof/>
            <w:webHidden/>
          </w:rPr>
          <w:t>95</w:t>
        </w:r>
        <w:r>
          <w:rPr>
            <w:noProof/>
            <w:webHidden/>
          </w:rPr>
          <w:fldChar w:fldCharType="end"/>
        </w:r>
      </w:hyperlink>
    </w:p>
    <w:p w14:paraId="068014FD" w14:textId="7F1C88D3" w:rsidR="00821CB5" w:rsidRDefault="00821CB5">
      <w:pPr>
        <w:pStyle w:val="TOC2"/>
        <w:rPr>
          <w:noProof/>
          <w:kern w:val="2"/>
          <w:sz w:val="24"/>
          <w:szCs w:val="24"/>
          <w:lang w:val="en-GB"/>
          <w14:ligatures w14:val="standardContextual"/>
        </w:rPr>
      </w:pPr>
      <w:hyperlink w:anchor="_Toc208244587" w:history="1">
        <w:r w:rsidRPr="00865A62">
          <w:rPr>
            <w:rStyle w:val="Hyperlink"/>
            <w:rFonts w:ascii="Times New Roman" w:hAnsi="Times New Roman" w:cs="Times New Roman"/>
            <w:noProof/>
          </w:rPr>
          <w:t>II.34</w:t>
        </w:r>
        <w:r>
          <w:rPr>
            <w:noProof/>
            <w:kern w:val="2"/>
            <w:sz w:val="24"/>
            <w:szCs w:val="24"/>
            <w:lang w:val="en-GB"/>
            <w14:ligatures w14:val="standardContextual"/>
          </w:rPr>
          <w:tab/>
        </w:r>
        <w:r w:rsidRPr="00865A62">
          <w:rPr>
            <w:rStyle w:val="Hyperlink"/>
            <w:rFonts w:ascii="Times New Roman" w:hAnsi="Times New Roman" w:cs="Times New Roman"/>
            <w:noProof/>
          </w:rPr>
          <w:t xml:space="preserve">Z 14.00 — Andre finansielle forpligtelser (ikke medtaget under andre faner, undtagen koncerninterne) </w:t>
        </w:r>
        <w:r w:rsidRPr="00865A62">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_Toc208244587 \h </w:instrText>
        </w:r>
        <w:r>
          <w:rPr>
            <w:noProof/>
            <w:webHidden/>
          </w:rPr>
        </w:r>
        <w:r>
          <w:rPr>
            <w:noProof/>
            <w:webHidden/>
          </w:rPr>
          <w:fldChar w:fldCharType="separate"/>
        </w:r>
        <w:r>
          <w:rPr>
            <w:noProof/>
            <w:webHidden/>
          </w:rPr>
          <w:t>97</w:t>
        </w:r>
        <w:r>
          <w:rPr>
            <w:noProof/>
            <w:webHidden/>
          </w:rPr>
          <w:fldChar w:fldCharType="end"/>
        </w:r>
      </w:hyperlink>
    </w:p>
    <w:p w14:paraId="7AB1D82B" w14:textId="71242007" w:rsidR="00821CB5" w:rsidRDefault="00821CB5">
      <w:pPr>
        <w:pStyle w:val="TOC2"/>
        <w:rPr>
          <w:noProof/>
          <w:kern w:val="2"/>
          <w:sz w:val="24"/>
          <w:szCs w:val="24"/>
          <w:lang w:val="en-GB"/>
          <w14:ligatures w14:val="standardContextual"/>
        </w:rPr>
      </w:pPr>
      <w:hyperlink w:anchor="_Toc208244588" w:history="1">
        <w:r w:rsidRPr="00865A62">
          <w:rPr>
            <w:rStyle w:val="Hyperlink"/>
            <w:rFonts w:ascii="Times New Roman" w:hAnsi="Times New Roman" w:cs="Times New Roman"/>
            <w:noProof/>
          </w:rPr>
          <w:t>II.35</w:t>
        </w:r>
        <w:r>
          <w:rPr>
            <w:noProof/>
            <w:kern w:val="2"/>
            <w:sz w:val="24"/>
            <w:szCs w:val="24"/>
            <w:lang w:val="en-GB"/>
            <w14:ligatures w14:val="standardContextual"/>
          </w:rPr>
          <w:tab/>
        </w:r>
        <w:r w:rsidRPr="00865A62">
          <w:rPr>
            <w:rStyle w:val="Hyperlink"/>
            <w:rFonts w:ascii="Times New Roman" w:hAnsi="Times New Roman" w:cs="Times New Roman"/>
            <w:noProof/>
          </w:rPr>
          <w:t xml:space="preserve">Z 15.00 — Derivater </w:t>
        </w:r>
        <w:r w:rsidRPr="00865A62">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_Toc208244588 \h </w:instrText>
        </w:r>
        <w:r>
          <w:rPr>
            <w:noProof/>
            <w:webHidden/>
          </w:rPr>
        </w:r>
        <w:r>
          <w:rPr>
            <w:noProof/>
            <w:webHidden/>
          </w:rPr>
          <w:fldChar w:fldCharType="separate"/>
        </w:r>
        <w:r>
          <w:rPr>
            <w:noProof/>
            <w:webHidden/>
          </w:rPr>
          <w:t>99</w:t>
        </w:r>
        <w:r>
          <w:rPr>
            <w:noProof/>
            <w:webHidden/>
          </w:rPr>
          <w:fldChar w:fldCharType="end"/>
        </w:r>
      </w:hyperlink>
    </w:p>
    <w:p w14:paraId="13BED48C" w14:textId="645120FE" w:rsidR="00821CB5" w:rsidRDefault="00821CB5">
      <w:pPr>
        <w:pStyle w:val="TOC2"/>
        <w:rPr>
          <w:noProof/>
          <w:kern w:val="2"/>
          <w:sz w:val="24"/>
          <w:szCs w:val="24"/>
          <w:lang w:val="en-GB"/>
          <w14:ligatures w14:val="standardContextual"/>
        </w:rPr>
      </w:pPr>
      <w:hyperlink w:anchor="_Toc208244589" w:history="1">
        <w:r w:rsidRPr="00865A62">
          <w:rPr>
            <w:rStyle w:val="Hyperlink"/>
            <w:rFonts w:ascii="Times New Roman" w:hAnsi="Times New Roman" w:cs="Times New Roman"/>
            <w:noProof/>
          </w:rPr>
          <w:t>II.36</w:t>
        </w:r>
        <w:r>
          <w:rPr>
            <w:noProof/>
            <w:kern w:val="2"/>
            <w:sz w:val="24"/>
            <w:szCs w:val="24"/>
            <w:lang w:val="en-GB"/>
            <w14:ligatures w14:val="standardContextual"/>
          </w:rPr>
          <w:tab/>
        </w:r>
        <w:r w:rsidRPr="00865A62">
          <w:rPr>
            <w:rStyle w:val="Hyperlink"/>
            <w:rFonts w:ascii="Times New Roman" w:hAnsi="Times New Roman" w:cs="Times New Roman"/>
            <w:noProof/>
          </w:rPr>
          <w:t xml:space="preserve">Z 16.00 — Sikrede finansieringstransaktioner, undtagen koncerninterne transaktioner </w:t>
        </w:r>
        <w:r w:rsidRPr="00865A62">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_Toc208244589 \h </w:instrText>
        </w:r>
        <w:r>
          <w:rPr>
            <w:noProof/>
            <w:webHidden/>
          </w:rPr>
        </w:r>
        <w:r>
          <w:rPr>
            <w:noProof/>
            <w:webHidden/>
          </w:rPr>
          <w:fldChar w:fldCharType="separate"/>
        </w:r>
        <w:r>
          <w:rPr>
            <w:noProof/>
            <w:webHidden/>
          </w:rPr>
          <w:t>101</w:t>
        </w:r>
        <w:r>
          <w:rPr>
            <w:noProof/>
            <w:webHidden/>
          </w:rPr>
          <w:fldChar w:fldCharType="end"/>
        </w:r>
      </w:hyperlink>
    </w:p>
    <w:p w14:paraId="1AECBA21" w14:textId="1824B817" w:rsidR="00821CB5" w:rsidRDefault="00821CB5">
      <w:pPr>
        <w:pStyle w:val="TOC2"/>
        <w:rPr>
          <w:noProof/>
          <w:kern w:val="2"/>
          <w:sz w:val="24"/>
          <w:szCs w:val="24"/>
          <w:lang w:val="en-GB"/>
          <w14:ligatures w14:val="standardContextual"/>
        </w:rPr>
      </w:pPr>
      <w:hyperlink w:anchor="_Toc208244590" w:history="1">
        <w:r w:rsidRPr="00865A62">
          <w:rPr>
            <w:rStyle w:val="Hyperlink"/>
            <w:rFonts w:ascii="Times New Roman" w:hAnsi="Times New Roman" w:cs="Times New Roman"/>
            <w:noProof/>
          </w:rPr>
          <w:t>II.37</w:t>
        </w:r>
        <w:r>
          <w:rPr>
            <w:noProof/>
            <w:kern w:val="2"/>
            <w:sz w:val="24"/>
            <w:szCs w:val="24"/>
            <w:lang w:val="en-GB"/>
            <w14:ligatures w14:val="standardContextual"/>
          </w:rPr>
          <w:tab/>
        </w:r>
        <w:r w:rsidRPr="00865A62">
          <w:rPr>
            <w:rStyle w:val="Hyperlink"/>
            <w:rFonts w:ascii="Times New Roman" w:hAnsi="Times New Roman" w:cs="Times New Roman"/>
            <w:noProof/>
          </w:rPr>
          <w:t xml:space="preserve">Z 17.00 — Andre ikke-finansielle forpligtelser (ikke medtaget under andre faner, undtagen koncerninterne) </w:t>
        </w:r>
        <w:r w:rsidRPr="00865A62">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_Toc208244590 \h </w:instrText>
        </w:r>
        <w:r>
          <w:rPr>
            <w:noProof/>
            <w:webHidden/>
          </w:rPr>
        </w:r>
        <w:r>
          <w:rPr>
            <w:noProof/>
            <w:webHidden/>
          </w:rPr>
          <w:fldChar w:fldCharType="separate"/>
        </w:r>
        <w:r>
          <w:rPr>
            <w:noProof/>
            <w:webHidden/>
          </w:rPr>
          <w:t>102</w:t>
        </w:r>
        <w:r>
          <w:rPr>
            <w:noProof/>
            <w:webHidden/>
          </w:rPr>
          <w:fldChar w:fldCharType="end"/>
        </w:r>
      </w:hyperlink>
    </w:p>
    <w:p w14:paraId="06AD5178" w14:textId="3236D7E2" w:rsidR="00821CB5" w:rsidRDefault="00821CB5">
      <w:pPr>
        <w:pStyle w:val="TOC2"/>
        <w:rPr>
          <w:noProof/>
          <w:kern w:val="2"/>
          <w:sz w:val="24"/>
          <w:szCs w:val="24"/>
          <w:lang w:val="en-GB"/>
          <w14:ligatures w14:val="standardContextual"/>
        </w:rPr>
      </w:pPr>
      <w:hyperlink w:anchor="_Toc208244591" w:history="1">
        <w:r w:rsidRPr="00865A62">
          <w:rPr>
            <w:rStyle w:val="Hyperlink"/>
            <w:noProof/>
          </w:rPr>
          <w:t>II.38</w:t>
        </w:r>
        <w:r>
          <w:rPr>
            <w:noProof/>
            <w:kern w:val="2"/>
            <w:sz w:val="24"/>
            <w:szCs w:val="24"/>
            <w:lang w:val="en-GB"/>
            <w14:ligatures w14:val="standardContextual"/>
          </w:rPr>
          <w:tab/>
        </w:r>
        <w:r w:rsidRPr="00865A62">
          <w:rPr>
            <w:rStyle w:val="Hyperlink"/>
            <w:noProof/>
          </w:rPr>
          <w:t>Bilag I — Liste over FMI'er, der skal anvendes i Z 09.01 — c0050</w:t>
        </w:r>
        <w:r>
          <w:rPr>
            <w:noProof/>
            <w:webHidden/>
          </w:rPr>
          <w:tab/>
        </w:r>
        <w:r>
          <w:rPr>
            <w:noProof/>
            <w:webHidden/>
          </w:rPr>
          <w:fldChar w:fldCharType="begin"/>
        </w:r>
        <w:r>
          <w:rPr>
            <w:noProof/>
            <w:webHidden/>
          </w:rPr>
          <w:instrText xml:space="preserve"> PAGEREF _Toc208244591 \h </w:instrText>
        </w:r>
        <w:r>
          <w:rPr>
            <w:noProof/>
            <w:webHidden/>
          </w:rPr>
        </w:r>
        <w:r>
          <w:rPr>
            <w:noProof/>
            <w:webHidden/>
          </w:rPr>
          <w:fldChar w:fldCharType="separate"/>
        </w:r>
        <w:r>
          <w:rPr>
            <w:noProof/>
            <w:webHidden/>
          </w:rPr>
          <w:t>105</w:t>
        </w:r>
        <w:r>
          <w:rPr>
            <w:noProof/>
            <w:webHidden/>
          </w:rPr>
          <w:fldChar w:fldCharType="end"/>
        </w:r>
      </w:hyperlink>
    </w:p>
    <w:p w14:paraId="7FE1B2E2" w14:textId="421B1507" w:rsidR="00960E01" w:rsidRDefault="00821CB5">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960E01" w:rsidRDefault="00960E01">
      <w:pPr>
        <w:rPr>
          <w:rFonts w:ascii="Times New Roman" w:hAnsi="Times New Roman" w:cs="Times New Roman"/>
          <w:b/>
          <w:color w:val="000000" w:themeColor="text1"/>
          <w:sz w:val="20"/>
          <w:szCs w:val="20"/>
        </w:rPr>
      </w:pPr>
    </w:p>
    <w:p w14:paraId="7FE1B2E4" w14:textId="77777777" w:rsidR="00960E01" w:rsidRDefault="00960E01">
      <w:pPr>
        <w:pStyle w:val="ListParagraph"/>
        <w:rPr>
          <w:rFonts w:ascii="Times New Roman" w:hAnsi="Times New Roman"/>
          <w:b/>
          <w:color w:val="000000" w:themeColor="text1"/>
          <w:sz w:val="20"/>
          <w:szCs w:val="20"/>
        </w:rPr>
      </w:pPr>
    </w:p>
    <w:p w14:paraId="7FE1B2E5" w14:textId="77777777" w:rsidR="00960E01" w:rsidRDefault="00821CB5">
      <w:pPr>
        <w:pStyle w:val="P68B1DB1-Normal3"/>
        <w:spacing w:after="200" w:line="276" w:lineRule="auto"/>
        <w:rPr>
          <w:rFonts w:eastAsiaTheme="majorEastAsia"/>
          <w:kern w:val="28"/>
        </w:rPr>
      </w:pPr>
      <w:bookmarkStart w:id="0" w:name="_Toc492542318"/>
      <w:r>
        <w:br w:type="page"/>
      </w:r>
    </w:p>
    <w:p w14:paraId="7FE1B2E6" w14:textId="77777777" w:rsidR="00960E01" w:rsidRDefault="00821CB5">
      <w:pPr>
        <w:pStyle w:val="P68B1DB1-Instructionsberschrift24"/>
        <w:numPr>
          <w:ilvl w:val="0"/>
          <w:numId w:val="49"/>
        </w:numPr>
        <w:ind w:left="357" w:hanging="357"/>
      </w:pPr>
      <w:bookmarkStart w:id="1" w:name="_Toc81454170"/>
      <w:bookmarkStart w:id="2" w:name="_Toc208244543"/>
      <w:r>
        <w:lastRenderedPageBreak/>
        <w:t>Generelle instruktioner</w:t>
      </w:r>
      <w:bookmarkEnd w:id="0"/>
      <w:bookmarkEnd w:id="1"/>
      <w:bookmarkEnd w:id="2"/>
    </w:p>
    <w:p w14:paraId="7FE1B2E7" w14:textId="77777777" w:rsidR="00960E01" w:rsidRDefault="00821CB5">
      <w:pPr>
        <w:pStyle w:val="P68B1DB1-Instructionsberschrift25"/>
        <w:numPr>
          <w:ilvl w:val="1"/>
          <w:numId w:val="49"/>
        </w:numPr>
        <w:ind w:left="357" w:hanging="357"/>
      </w:pPr>
      <w:bookmarkStart w:id="3" w:name="_Toc81454171"/>
      <w:bookmarkStart w:id="4" w:name="_Toc208244544"/>
      <w:r>
        <w:t>Struktur</w:t>
      </w:r>
      <w:bookmarkEnd w:id="3"/>
      <w:bookmarkEnd w:id="4"/>
    </w:p>
    <w:p w14:paraId="7FE1B2E8" w14:textId="261F32BB" w:rsidR="00960E01" w:rsidRDefault="00821CB5">
      <w:pPr>
        <w:pStyle w:val="P68B1DB1-InstructionsText26"/>
        <w:numPr>
          <w:ilvl w:val="0"/>
          <w:numId w:val="71"/>
        </w:numPr>
        <w:spacing w:before="0"/>
        <w:ind w:left="714" w:hanging="357"/>
      </w:pPr>
      <w:r>
        <w:t>Rammen består af 29 skemaer inddelt i 6 blokke.</w:t>
      </w:r>
    </w:p>
    <w:p w14:paraId="7FE1B2EA" w14:textId="45B1FB28" w:rsidR="00960E01" w:rsidRDefault="00821CB5">
      <w:pPr>
        <w:pStyle w:val="P68B1DB1-body7"/>
        <w:numPr>
          <w:ilvl w:val="0"/>
          <w:numId w:val="61"/>
        </w:numPr>
      </w:pPr>
      <w:r>
        <w:t>"Generelle oplysninger", som giver et overblik over den organisatoriske struktur hos en koncern og dens enheder, fordelingen af aktiver og risikoeksponeringer. Denne blok består af skemaer:</w:t>
      </w:r>
    </w:p>
    <w:p w14:paraId="7FE1B2EB" w14:textId="75468367" w:rsidR="00960E01" w:rsidRDefault="00821CB5">
      <w:pPr>
        <w:pStyle w:val="P68B1DB1-body7"/>
        <w:numPr>
          <w:ilvl w:val="1"/>
          <w:numId w:val="207"/>
        </w:numPr>
      </w:pPr>
      <w:r>
        <w:t>Z 01.01 — Juridiske enheder (ORG 1)"</w:t>
      </w:r>
    </w:p>
    <w:p w14:paraId="7FE1B2EC" w14:textId="77777777" w:rsidR="00960E01" w:rsidRDefault="00821CB5">
      <w:pPr>
        <w:pStyle w:val="P68B1DB1-body7"/>
        <w:numPr>
          <w:ilvl w:val="1"/>
          <w:numId w:val="207"/>
        </w:numPr>
      </w:pPr>
      <w:r>
        <w:t>Z 01.02 — Ejerskab (ORG 2)</w:t>
      </w:r>
    </w:p>
    <w:p w14:paraId="7FE1B2ED" w14:textId="0B29A8FB" w:rsidR="00960E01" w:rsidRDefault="00821CB5">
      <w:pPr>
        <w:pStyle w:val="P68B1DB1-body7"/>
        <w:numPr>
          <w:ilvl w:val="0"/>
          <w:numId w:val="61"/>
        </w:numPr>
      </w:pPr>
      <w:r>
        <w:t>"Samlede oplysninger om balanceførte og ikke-balanceførte poster", som giver finansielle oplysninger om forpligtelser, kapitalgrundlag, finansielle forbindelser mellem koncernenheder, forpligtelser over for store modparter og ikke-balanceførte poster modtaget fra store modparter samt indskydergarantiordningen. Denne blok består af 7 skemaer:</w:t>
      </w:r>
    </w:p>
    <w:p w14:paraId="7FE1B2EE" w14:textId="77777777" w:rsidR="00960E01" w:rsidRDefault="00821CB5">
      <w:pPr>
        <w:pStyle w:val="P68B1DB1-body7"/>
        <w:numPr>
          <w:ilvl w:val="0"/>
          <w:numId w:val="208"/>
        </w:numPr>
      </w:pPr>
      <w:r>
        <w:t>"Z 02.00 — Udspecificering af forpligtelser (LIAB 1)</w:t>
      </w:r>
    </w:p>
    <w:p w14:paraId="7FE1B2EF" w14:textId="584458BC" w:rsidR="00960E01" w:rsidRDefault="00821CB5">
      <w:pPr>
        <w:pStyle w:val="P68B1DB1-body7"/>
        <w:numPr>
          <w:ilvl w:val="0"/>
          <w:numId w:val="208"/>
        </w:numPr>
      </w:pPr>
      <w:r>
        <w:t>"Z 03.01 — Krav til kapitalgrundlag for kreditinstitutioner (LIAB 2)"</w:t>
      </w:r>
    </w:p>
    <w:p w14:paraId="7FE1B2F0" w14:textId="77777777" w:rsidR="00960E01" w:rsidRDefault="00821CB5">
      <w:pPr>
        <w:pStyle w:val="P68B1DB1-body7"/>
        <w:numPr>
          <w:ilvl w:val="0"/>
          <w:numId w:val="208"/>
        </w:numPr>
      </w:pPr>
      <w:r>
        <w:t>"Z 03.02 — Krav til kapitalgrundlag for investeringsvirksomheder (LIAB 3)"</w:t>
      </w:r>
    </w:p>
    <w:p w14:paraId="7FE1B2F2" w14:textId="77777777" w:rsidR="00960E01" w:rsidRDefault="00821CB5">
      <w:pPr>
        <w:pStyle w:val="P68B1DB1-body7"/>
        <w:numPr>
          <w:ilvl w:val="0"/>
          <w:numId w:val="208"/>
        </w:numPr>
      </w:pPr>
      <w:r>
        <w:t>"Z 04.00 — Koncerninterne indbyrdes finansielle forbindelser (LIAB 4)"</w:t>
      </w:r>
    </w:p>
    <w:p w14:paraId="7FE1B2F3" w14:textId="6467A322" w:rsidR="00960E01" w:rsidRDefault="00821CB5">
      <w:pPr>
        <w:pStyle w:val="P68B1DB1-body7"/>
        <w:numPr>
          <w:ilvl w:val="0"/>
          <w:numId w:val="208"/>
        </w:numPr>
      </w:pPr>
      <w:r>
        <w:t xml:space="preserve">"Z 05.01 — Større </w:t>
      </w:r>
      <w:r w:rsidR="00FC05A4">
        <w:t>forpligtelse</w:t>
      </w:r>
      <w:r>
        <w:t>smodparter (LIAB 5)"</w:t>
      </w:r>
    </w:p>
    <w:p w14:paraId="7FE1B2F4" w14:textId="510CE128" w:rsidR="00960E01" w:rsidRDefault="00821CB5">
      <w:pPr>
        <w:pStyle w:val="P68B1DB1-body7"/>
        <w:numPr>
          <w:ilvl w:val="0"/>
          <w:numId w:val="208"/>
        </w:numPr>
      </w:pPr>
      <w:r>
        <w:t>"Z 05.02 — Store ikke-balanceførte modparter (LIAB 6)";</w:t>
      </w:r>
    </w:p>
    <w:p w14:paraId="7FE1B2F5" w14:textId="762695F7" w:rsidR="00960E01" w:rsidRDefault="00821CB5">
      <w:pPr>
        <w:pStyle w:val="P68B1DB1-body7"/>
        <w:numPr>
          <w:ilvl w:val="0"/>
          <w:numId w:val="208"/>
        </w:numPr>
      </w:pPr>
      <w:r>
        <w:t>"Z 06.00 — Indskydergarantiordning (LIAB 7)".</w:t>
      </w:r>
    </w:p>
    <w:p w14:paraId="7FE1B2F6" w14:textId="75559FD1" w:rsidR="00960E01" w:rsidRDefault="00821CB5">
      <w:pPr>
        <w:pStyle w:val="P68B1DB1-body7"/>
        <w:numPr>
          <w:ilvl w:val="0"/>
          <w:numId w:val="61"/>
        </w:numPr>
      </w:pPr>
      <w:r>
        <w:t>"Kritiske funktioner", som giver et overblik over kritiske funktioner og viser deres fordeling på juridiske enheder, centrale forretningsområder. Denne blok består af 4 skemaer:</w:t>
      </w:r>
    </w:p>
    <w:p w14:paraId="7FE1B2F7" w14:textId="433A5E71" w:rsidR="00960E01" w:rsidRDefault="00821CB5">
      <w:pPr>
        <w:pStyle w:val="P68B1DB1-body7"/>
        <w:numPr>
          <w:ilvl w:val="1"/>
          <w:numId w:val="209"/>
        </w:numPr>
      </w:pPr>
      <w:r>
        <w:t xml:space="preserve">Z 07.01 — Kritikalitetsvurdering af økonomiske funktioner (FUNC 1), </w:t>
      </w:r>
    </w:p>
    <w:p w14:paraId="7FE1B2F8" w14:textId="3145F629" w:rsidR="00960E01" w:rsidRDefault="00821CB5">
      <w:pPr>
        <w:pStyle w:val="P68B1DB1-body7"/>
        <w:numPr>
          <w:ilvl w:val="1"/>
          <w:numId w:val="209"/>
        </w:numPr>
      </w:pPr>
      <w:r>
        <w:t xml:space="preserve">Z 07.02 — Oversigt over kritiske funktioner pr. juridisk enhed (FUNC 2) </w:t>
      </w:r>
    </w:p>
    <w:p w14:paraId="7FE1B2F9" w14:textId="1FE59149" w:rsidR="00960E01" w:rsidRDefault="00821CB5">
      <w:pPr>
        <w:pStyle w:val="P68B1DB1-body7"/>
        <w:numPr>
          <w:ilvl w:val="1"/>
          <w:numId w:val="209"/>
        </w:numPr>
      </w:pPr>
      <w:r>
        <w:t xml:space="preserve">Z 07.03 — Oversigt over centrale forretningsområder pr. juridisk enhed (FUNC 3) og </w:t>
      </w:r>
    </w:p>
    <w:p w14:paraId="7FE1B2FB" w14:textId="3D116B7E" w:rsidR="00960E01" w:rsidRDefault="00821CB5">
      <w:pPr>
        <w:pStyle w:val="P68B1DB1-body7"/>
        <w:ind w:left="1794"/>
      </w:pPr>
      <w:r>
        <w:t>Z 07.04 — Oversigt over kritiske funktioner pr. centralt forretningsområde (FUNC 4):</w:t>
      </w:r>
    </w:p>
    <w:p w14:paraId="7FE1B2FC" w14:textId="77777777" w:rsidR="00960E01" w:rsidRDefault="00821CB5">
      <w:pPr>
        <w:pStyle w:val="P68B1DB1-body7"/>
        <w:numPr>
          <w:ilvl w:val="0"/>
          <w:numId w:val="61"/>
        </w:numPr>
      </w:pPr>
      <w:bookmarkStart w:id="5" w:name="_Hlk160696385"/>
      <w:r>
        <w:t>Tjenester og enheder, som leverer en opdeling af brugere og leverandører af tjenesteydelser og kortlægger dem efter økonomiske funktioner og forretningsområder</w:t>
      </w:r>
      <w:bookmarkEnd w:id="5"/>
      <w:r>
        <w:t>:</w:t>
      </w:r>
    </w:p>
    <w:p w14:paraId="7FE1B2FD" w14:textId="77777777" w:rsidR="00960E01" w:rsidRDefault="00821CB5">
      <w:pPr>
        <w:pStyle w:val="P68B1DB1-body7"/>
        <w:numPr>
          <w:ilvl w:val="1"/>
          <w:numId w:val="210"/>
        </w:numPr>
      </w:pPr>
      <w:r>
        <w:t>Z 08.01 — Relevante tjenester (SERV 1)</w:t>
      </w:r>
    </w:p>
    <w:p w14:paraId="7FE1B2FE" w14:textId="77777777" w:rsidR="00960E01" w:rsidRDefault="00821CB5">
      <w:pPr>
        <w:pStyle w:val="P68B1DB1-body7"/>
        <w:numPr>
          <w:ilvl w:val="1"/>
          <w:numId w:val="210"/>
        </w:numPr>
      </w:pPr>
      <w:r>
        <w:t>Z 08.02 — Relevante tjenesteydelser — Kortlægning af aktiver (SERV 2)</w:t>
      </w:r>
    </w:p>
    <w:p w14:paraId="7FE1B2FF" w14:textId="77777777" w:rsidR="00960E01" w:rsidRDefault="00821CB5">
      <w:pPr>
        <w:pStyle w:val="P68B1DB1-body7"/>
        <w:numPr>
          <w:ilvl w:val="1"/>
          <w:numId w:val="210"/>
        </w:numPr>
      </w:pPr>
      <w:r>
        <w:t>Z 08.03 — Relevante tjenester — Kortlægning af roller (SERV 3)</w:t>
      </w:r>
    </w:p>
    <w:p w14:paraId="7FE1B300" w14:textId="77777777" w:rsidR="00960E01" w:rsidRDefault="00821CB5">
      <w:pPr>
        <w:pStyle w:val="P68B1DB1-body7"/>
        <w:numPr>
          <w:ilvl w:val="1"/>
          <w:numId w:val="210"/>
        </w:numPr>
      </w:pPr>
      <w:r>
        <w:t>Z 08.04 — Relevante tjenester — Kortlægning af kritiske funktioner (SERV 4)</w:t>
      </w:r>
    </w:p>
    <w:p w14:paraId="7FE1B301" w14:textId="77777777" w:rsidR="00960E01" w:rsidRDefault="00821CB5">
      <w:pPr>
        <w:pStyle w:val="P68B1DB1-body7"/>
        <w:numPr>
          <w:ilvl w:val="1"/>
          <w:numId w:val="210"/>
        </w:numPr>
      </w:pPr>
      <w:r>
        <w:lastRenderedPageBreak/>
        <w:t>Z 08.05 — Relevante tjenesteydelser — Kortlægning efter centrale forretningsområder (SERV 5)</w:t>
      </w:r>
    </w:p>
    <w:p w14:paraId="7FE1B303" w14:textId="397A4C74" w:rsidR="00960E01" w:rsidRDefault="00821CB5">
      <w:pPr>
        <w:pStyle w:val="P68B1DB1-body7"/>
        <w:numPr>
          <w:ilvl w:val="0"/>
          <w:numId w:val="61"/>
        </w:numPr>
      </w:pPr>
      <w:r>
        <w:t>Rapportering om FMI-tjenester</w:t>
      </w:r>
    </w:p>
    <w:p w14:paraId="7FE1B304" w14:textId="110EA9FD" w:rsidR="00960E01" w:rsidRDefault="00821CB5">
      <w:pPr>
        <w:pStyle w:val="P68B1DB1-body7"/>
        <w:numPr>
          <w:ilvl w:val="1"/>
          <w:numId w:val="211"/>
        </w:numPr>
      </w:pPr>
      <w:r>
        <w:t>Z 09.01 — FMI-tjenester — Udbydere og brugere (FMI 1)</w:t>
      </w:r>
    </w:p>
    <w:p w14:paraId="7FE1B305" w14:textId="76EA382C" w:rsidR="00960E01" w:rsidRDefault="00821CB5">
      <w:pPr>
        <w:pStyle w:val="P68B1DB1-body7"/>
        <w:numPr>
          <w:ilvl w:val="1"/>
          <w:numId w:val="211"/>
        </w:numPr>
      </w:pPr>
      <w:r>
        <w:t xml:space="preserve">Z 09.02 — FMI-tjenester — </w:t>
      </w:r>
      <w:r w:rsidR="00FC05A4">
        <w:t xml:space="preserve">Kortlægning </w:t>
      </w:r>
      <w:r>
        <w:t>over kritiske og væsentlige FMI'er (FMI 2)</w:t>
      </w:r>
    </w:p>
    <w:p w14:paraId="7FE1B306" w14:textId="1279F49C" w:rsidR="00960E01" w:rsidRDefault="00821CB5">
      <w:pPr>
        <w:pStyle w:val="P68B1DB1-body7"/>
        <w:numPr>
          <w:ilvl w:val="1"/>
          <w:numId w:val="211"/>
        </w:numPr>
      </w:pPr>
      <w:r>
        <w:t xml:space="preserve">Z 09.03 — FMI-tjenester — </w:t>
      </w:r>
      <w:r w:rsidR="00882D03">
        <w:t>N</w:t>
      </w:r>
      <w:r>
        <w:t>øgleparametre (FMI 3)</w:t>
      </w:r>
    </w:p>
    <w:p w14:paraId="7FE1B307" w14:textId="77777777" w:rsidR="00960E01" w:rsidRDefault="00821CB5">
      <w:pPr>
        <w:pStyle w:val="P68B1DB1-body7"/>
        <w:numPr>
          <w:ilvl w:val="1"/>
          <w:numId w:val="211"/>
        </w:numPr>
      </w:pPr>
      <w:r>
        <w:t>Z 09.04 — FMI-tjenester — CCP'er — alternative udbydere (FMI 4)</w:t>
      </w:r>
    </w:p>
    <w:p w14:paraId="7FE1B30B" w14:textId="05DD2D8B" w:rsidR="00960E01" w:rsidRDefault="00821CB5">
      <w:pPr>
        <w:pStyle w:val="P68B1DB1-body7"/>
        <w:numPr>
          <w:ilvl w:val="0"/>
          <w:numId w:val="61"/>
        </w:numPr>
      </w:pPr>
      <w:r>
        <w:t>Detaljeret indberetning af ansvarsdata med henblik på vurdering af Bail-in</w:t>
      </w:r>
    </w:p>
    <w:p w14:paraId="7FE1B30C" w14:textId="6ACC8549" w:rsidR="00960E01" w:rsidRDefault="00821CB5">
      <w:pPr>
        <w:pStyle w:val="P68B1DB1-body7"/>
        <w:numPr>
          <w:ilvl w:val="0"/>
          <w:numId w:val="217"/>
        </w:numPr>
      </w:pPr>
      <w:r>
        <w:t>Z 11.00 — Koncernmæssige forpligtelser (undtagen derivater) (LIAB-G-1)</w:t>
      </w:r>
    </w:p>
    <w:p w14:paraId="7FE1B30D" w14:textId="140BB302" w:rsidR="00960E01" w:rsidRDefault="00821CB5">
      <w:pPr>
        <w:pStyle w:val="P68B1DB1-body7"/>
        <w:numPr>
          <w:ilvl w:val="0"/>
          <w:numId w:val="217"/>
        </w:numPr>
      </w:pPr>
      <w:r>
        <w:t>Z 12.00 — Værdipapirer (herunder CET1-, AT1- tier 2-instrumenter, undtagen koncerninterne instrumenter) (LIAB-G-2)</w:t>
      </w:r>
    </w:p>
    <w:p w14:paraId="7FE1B30E" w14:textId="67922446" w:rsidR="00960E01" w:rsidRDefault="00821CB5">
      <w:pPr>
        <w:pStyle w:val="P68B1DB1-body7"/>
        <w:numPr>
          <w:ilvl w:val="0"/>
          <w:numId w:val="217"/>
        </w:numPr>
      </w:pPr>
      <w:r>
        <w:t>Z 13.00 — Alle indskud (undtagen koncerninterne) (LIAB-G-3)</w:t>
      </w:r>
    </w:p>
    <w:p w14:paraId="7FE1B30F" w14:textId="2D8F046E" w:rsidR="00960E01" w:rsidRDefault="00821CB5">
      <w:pPr>
        <w:pStyle w:val="P68B1DB1-body7"/>
        <w:numPr>
          <w:ilvl w:val="0"/>
          <w:numId w:val="217"/>
        </w:numPr>
      </w:pPr>
      <w:r>
        <w:t>Z 14.00 — Andre finansielle forpligtelser (LIAB-G-4)</w:t>
      </w:r>
    </w:p>
    <w:p w14:paraId="7FE1B310" w14:textId="69B08C3E" w:rsidR="00960E01" w:rsidRDefault="00821CB5">
      <w:pPr>
        <w:pStyle w:val="P68B1DB1-body7"/>
        <w:numPr>
          <w:ilvl w:val="1"/>
          <w:numId w:val="211"/>
        </w:numPr>
      </w:pPr>
      <w:r>
        <w:t>Z 15.00 — Derivater (LIAB-G-5)</w:t>
      </w:r>
    </w:p>
    <w:p w14:paraId="7FE1B311" w14:textId="2130BFF9" w:rsidR="00960E01" w:rsidRDefault="00821CB5">
      <w:pPr>
        <w:pStyle w:val="P68B1DB1-body7"/>
        <w:numPr>
          <w:ilvl w:val="1"/>
          <w:numId w:val="211"/>
        </w:numPr>
      </w:pPr>
      <w:r>
        <w:t>Z 16.00 — Sikret finansiering, undtagen koncernintern (LIAB-G-6)</w:t>
      </w:r>
    </w:p>
    <w:p w14:paraId="7FE1B312" w14:textId="77742066" w:rsidR="00960E01" w:rsidRDefault="00821CB5">
      <w:pPr>
        <w:pStyle w:val="P68B1DB1-body7"/>
        <w:numPr>
          <w:ilvl w:val="1"/>
          <w:numId w:val="211"/>
        </w:numPr>
      </w:pPr>
      <w:r>
        <w:t>Z 17.00 — Andre ikke-finansielle forpligtelser (LIAB-G-7)</w:t>
      </w:r>
    </w:p>
    <w:p w14:paraId="7FE1B313" w14:textId="77777777" w:rsidR="00960E01" w:rsidRDefault="00960E01">
      <w:pPr>
        <w:pStyle w:val="body"/>
        <w:ind w:left="426"/>
        <w:rPr>
          <w:rFonts w:ascii="Times New Roman" w:hAnsi="Times New Roman" w:cs="Times New Roman"/>
          <w:color w:val="000000" w:themeColor="text1"/>
          <w:sz w:val="20"/>
          <w:szCs w:val="20"/>
        </w:rPr>
      </w:pPr>
    </w:p>
    <w:p w14:paraId="7FE1B314" w14:textId="77777777" w:rsidR="00960E01" w:rsidRDefault="00821CB5">
      <w:pPr>
        <w:pStyle w:val="P68B1DB1-Instructionsberschrift25"/>
        <w:numPr>
          <w:ilvl w:val="1"/>
          <w:numId w:val="49"/>
        </w:numPr>
        <w:ind w:left="357" w:hanging="357"/>
      </w:pPr>
      <w:bookmarkStart w:id="6" w:name="_Toc81454172"/>
      <w:bookmarkStart w:id="7" w:name="_Toc208244545"/>
      <w:r>
        <w:t>Ref.</w:t>
      </w:r>
      <w:bookmarkEnd w:id="6"/>
      <w:bookmarkEnd w:id="7"/>
    </w:p>
    <w:p w14:paraId="7FE1B315" w14:textId="77777777" w:rsidR="00960E01" w:rsidRDefault="00821CB5">
      <w:pPr>
        <w:pStyle w:val="P68B1DB1-InstructionsText26"/>
        <w:numPr>
          <w:ilvl w:val="0"/>
          <w:numId w:val="225"/>
        </w:numPr>
        <w:spacing w:before="0"/>
      </w:pPr>
      <w:r>
        <w:t>I dette bilag bruges følgende forkortelser:</w:t>
      </w:r>
    </w:p>
    <w:p w14:paraId="7FE1B317" w14:textId="77777777" w:rsidR="00960E01" w:rsidRDefault="00821CB5">
      <w:pPr>
        <w:pStyle w:val="P68B1DB1-ListParagraph8"/>
        <w:numPr>
          <w:ilvl w:val="0"/>
          <w:numId w:val="60"/>
        </w:numPr>
        <w:ind w:left="1074"/>
        <w:jc w:val="both"/>
      </w:pPr>
      <w:r>
        <w:t>"CPMI": Udvalget om Betalings- og Markedsinfrastrukturer under Den Internationale Betalingsbank</w:t>
      </w:r>
    </w:p>
    <w:p w14:paraId="7FE1B318" w14:textId="36318AB0" w:rsidR="00960E01" w:rsidRDefault="00821CB5">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FINREP-skemaer i bilag I til Kommissionens gennemførelsesforordning (EU) 2024/3117</w:t>
      </w:r>
      <w:r>
        <w:rPr>
          <w:rStyle w:val="FootnoteReference"/>
          <w:rFonts w:ascii="Times New Roman" w:hAnsi="Times New Roman"/>
          <w:sz w:val="20"/>
          <w:szCs w:val="20"/>
        </w:rPr>
        <w:footnoteReference w:id="2"/>
      </w:r>
    </w:p>
    <w:p w14:paraId="7FE1B319" w14:textId="5E436E82" w:rsidR="00960E01" w:rsidRDefault="00821CB5">
      <w:pPr>
        <w:pStyle w:val="P68B1DB1-ListParagraph8"/>
        <w:numPr>
          <w:ilvl w:val="0"/>
          <w:numId w:val="60"/>
        </w:numPr>
        <w:ind w:left="1074"/>
        <w:jc w:val="both"/>
      </w:pPr>
      <w:r>
        <w:t>"COREP (OF)": COREP-skemaer (OF) i bilag I til Kommissionens gennemførelsesforordning (EU) 2024/3117</w:t>
      </w:r>
    </w:p>
    <w:p w14:paraId="7FE1B31A" w14:textId="2492C34D" w:rsidR="00960E01" w:rsidRDefault="00821CB5">
      <w:pPr>
        <w:pStyle w:val="P68B1DB1-ListParagraph8"/>
        <w:numPr>
          <w:ilvl w:val="0"/>
          <w:numId w:val="60"/>
        </w:numPr>
        <w:ind w:left="1074"/>
        <w:jc w:val="both"/>
      </w:pPr>
      <w:r>
        <w:t>"COREP (LR)": COREP-skemaer (LR) i bilag I til Kommissionens gennemførelsesforordning (EU) 2024/3117</w:t>
      </w:r>
    </w:p>
    <w:p w14:paraId="7FE1B31B" w14:textId="77777777" w:rsidR="00960E01" w:rsidRDefault="00821CB5">
      <w:pPr>
        <w:pStyle w:val="P68B1DB1-ListParagraph8"/>
        <w:numPr>
          <w:ilvl w:val="0"/>
          <w:numId w:val="60"/>
        </w:numPr>
        <w:ind w:left="1074"/>
        <w:jc w:val="both"/>
      </w:pPr>
      <w:r>
        <w:t>"FSB":Rådet for Finansiel Stabilitet</w:t>
      </w:r>
    </w:p>
    <w:p w14:paraId="7FE1B31C" w14:textId="77777777" w:rsidR="00960E01" w:rsidRDefault="00821CB5">
      <w:pPr>
        <w:pStyle w:val="P68B1DB1-ListParagraph9"/>
        <w:numPr>
          <w:ilvl w:val="0"/>
          <w:numId w:val="60"/>
        </w:numPr>
        <w:ind w:left="1074"/>
        <w:jc w:val="both"/>
        <w:rPr>
          <w:color w:val="000000" w:themeColor="text1"/>
          <w:sz w:val="20"/>
          <w:szCs w:val="20"/>
        </w:rPr>
      </w:pPr>
      <w:r>
        <w:rPr>
          <w:color w:val="000000" w:themeColor="text1"/>
          <w:sz w:val="20"/>
          <w:szCs w:val="20"/>
        </w:rPr>
        <w:t>"IAS":internationale regnskabsstandarder som defineret i artikel 2 i Europa-Parlamentets og Rådets forordning (EF) nr. 1606/2002</w:t>
      </w:r>
      <w:r>
        <w:footnoteReference w:id="3"/>
      </w:r>
    </w:p>
    <w:p w14:paraId="7FE1B31D" w14:textId="77777777" w:rsidR="00960E01" w:rsidRDefault="00821CB5">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"IFRS":International Financial Reporting Standards som defineret i artikel 2 i forordning (EF) nr. 1606/2002</w:t>
      </w:r>
      <w:r>
        <w:rPr>
          <w:rStyle w:val="FootnoteReference"/>
          <w:rFonts w:ascii="Times New Roman" w:hAnsi="Times New Roman"/>
          <w:color w:val="000000" w:themeColor="text1"/>
          <w:sz w:val="20"/>
          <w:szCs w:val="20"/>
        </w:rPr>
        <w:footnoteReference w:id="4"/>
      </w:r>
    </w:p>
    <w:p w14:paraId="7FE1B31E" w14:textId="527A31A3" w:rsidR="00960E01" w:rsidRDefault="00821CB5">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"LEI-kode": en ID-kode for juridiske enheder (Legal Entity Identifier), som har til formål at gøre det muligt på verdensplan entydigt at identificere parter i finansielle transaktioner, som foreslået af Rådet for Finansiel Stabilitet (FSB) og godkendt af G20. Indtil det verdensomspændende LEI-system er fuldt ud operationelt, tildeles modparter midlertidige LEI-koder af en lokal enhed, der er blevet godkendt af "Regulatory Oversight Committee" (ROC). Indtil det verdensomspændende LEI-system er fuldt ud operationelt, tildeles modparter midlertidige LEI-koder af en lokal enhed, der er blevet godkendt af "Regulatory Oversight Committee" (ROC).Yderligere oplysninger findes på følgende websted: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Hvis der for en given modpart findes en LEI-kode, skal den anvendes til at identificere denne modpart.</w:t>
      </w:r>
    </w:p>
    <w:p w14:paraId="7FE1B31F" w14:textId="34CF2B95" w:rsidR="00960E01" w:rsidRDefault="00821CB5">
      <w:pPr>
        <w:pStyle w:val="P68B1DB1-ListParagraph8"/>
        <w:numPr>
          <w:ilvl w:val="0"/>
          <w:numId w:val="60"/>
        </w:numPr>
        <w:ind w:left="1074"/>
        <w:jc w:val="both"/>
      </w:pPr>
      <w:r>
        <w:t>"MFI-ID" eller "Monetary Financial Institution" ID er en unik identifikationskode for en MFI på den liste over MFI'er, der føres og offentliggøres af ECB til statistiske formål i overensstemmelse med Den Europæiske Centralbanks forordning (EU) 2021/379 af 22. januar 2021 om balanceposter i kreditinstitutter og MFI-sektoren (omarbejdning) (ECB/2021/2), som skal indberettes, hvis der ikke allerede findes en LEI-kode.</w:t>
      </w:r>
    </w:p>
    <w:p w14:paraId="7FE1B320" w14:textId="0AC7C627" w:rsidR="00960E01" w:rsidRDefault="00821CB5">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eller "nationale almindeligt anerkendte regnskabsprincipper":nationale regnskabssystemer udviklet i overensstemmelse med direktiv 86/635/EØF</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960E01" w:rsidRDefault="00821CB5">
      <w:pPr>
        <w:pStyle w:val="P68B1DB1-ListParagraph8"/>
        <w:numPr>
          <w:ilvl w:val="0"/>
          <w:numId w:val="60"/>
        </w:numPr>
        <w:ind w:left="1074"/>
        <w:jc w:val="both"/>
      </w:pPr>
      <w:r>
        <w:t>"Operationelt aktiv" — Et aktiv, der ikke er et finansielt aktiv, og som er påkrævet for at udføre relevante tjenester såsom fast ejendom intellektuel ejendomsret, herunder varemærker, patenter og software hardware IT-systemer og -applikationer og datalagre. Driftsaktiver er kritiske/væsentlige, når der er behov for adgang til dem for at kunne udføre en kritisk/væsentlig tjeneste</w:t>
      </w:r>
    </w:p>
    <w:p w14:paraId="7FE1B322" w14:textId="77777777" w:rsidR="00960E01" w:rsidRDefault="00821CB5">
      <w:pPr>
        <w:pStyle w:val="P68B1DB1-ListParagraph8"/>
        <w:numPr>
          <w:ilvl w:val="0"/>
          <w:numId w:val="60"/>
        </w:numPr>
        <w:ind w:left="1074"/>
        <w:jc w:val="both"/>
      </w:pPr>
      <w:r>
        <w:t>"Relevante tjenester" — Tjenesteydelser, der understøtter i) bankens kritiske funktioner for økonomien (kritiske tjenester) og ii) centrale forretningsområder (væsentlige tjenester), for hvilke kontinuitet er nødvendig for en effektiv gennemførelse af afviklingsstrategien. Disse kategorier kan overlappe hinanden. Dette gælder tilsvarende for driftsaktiver og personale.</w:t>
      </w:r>
    </w:p>
    <w:p w14:paraId="7FE1B323" w14:textId="77777777" w:rsidR="00960E01" w:rsidRDefault="00821CB5">
      <w:pPr>
        <w:pStyle w:val="P68B1DB1-ListParagraph8"/>
        <w:numPr>
          <w:ilvl w:val="0"/>
          <w:numId w:val="60"/>
        </w:numPr>
        <w:ind w:left="1074"/>
        <w:jc w:val="both"/>
      </w:pPr>
      <w:r>
        <w:t>"Relevante roller" — jobroller, hvis ledige stilling i forbindelse med afvikling kan udgøre en hindring for videreførelsen af kritiske funktioner og de centrale forretningsområder, der er nødvendige for en effektiv gennemførelse af afviklingsstrategien og enhver efterfølgende omstrukturering.</w:t>
      </w:r>
    </w:p>
    <w:p w14:paraId="7FE1B324" w14:textId="77777777" w:rsidR="00960E01" w:rsidRDefault="00960E01">
      <w:pPr>
        <w:pStyle w:val="ListParagraph"/>
        <w:ind w:left="1074"/>
        <w:rPr>
          <w:rFonts w:ascii="Times New Roman" w:hAnsi="Times New Roman"/>
          <w:color w:val="000000" w:themeColor="text1"/>
          <w:sz w:val="20"/>
          <w:szCs w:val="20"/>
        </w:rPr>
      </w:pPr>
    </w:p>
    <w:p w14:paraId="7FE1B325" w14:textId="77777777" w:rsidR="00960E01" w:rsidRDefault="00821CB5">
      <w:pPr>
        <w:pStyle w:val="P68B1DB1-Instructionsberschrift25"/>
        <w:numPr>
          <w:ilvl w:val="1"/>
          <w:numId w:val="49"/>
        </w:numPr>
        <w:ind w:left="357" w:hanging="357"/>
      </w:pPr>
      <w:bookmarkStart w:id="8" w:name="_Toc81454173"/>
      <w:bookmarkStart w:id="9" w:name="_Toc208244546"/>
      <w:r>
        <w:t>Regnskabsstandarder</w:t>
      </w:r>
      <w:bookmarkEnd w:id="8"/>
      <w:bookmarkEnd w:id="9"/>
    </w:p>
    <w:p w14:paraId="7FE1B326" w14:textId="6C573E68" w:rsidR="00960E01" w:rsidRDefault="00821CB5">
      <w:pPr>
        <w:pStyle w:val="P68B1DB1-InstructionsText26"/>
        <w:numPr>
          <w:ilvl w:val="0"/>
          <w:numId w:val="71"/>
        </w:numPr>
        <w:spacing w:before="0"/>
        <w:ind w:left="714" w:hanging="357"/>
      </w:pPr>
      <w:r>
        <w:t xml:space="preserve">Medmindre andet er angivet i disse instrukser, skal institutter indberette alle beløb på basis af de regnskabssystemer, de anvender til indberetning af finansielle oplysninger i overensstemmelse med artikel 9-11 i gennemførelsesforordning (EU) 2024/3117. Institutter, der ikke skal indberette finansielle oplysninger i overensstemmelse med gennemførelsesforordning (EU) 2024/3117, skal følge reglerne i deres respektive regnskabssystemer. </w:t>
      </w:r>
    </w:p>
    <w:p w14:paraId="7FE1B327" w14:textId="77777777" w:rsidR="00960E01" w:rsidRDefault="00821CB5">
      <w:pPr>
        <w:pStyle w:val="P68B1DB1-InstructionsText26"/>
        <w:numPr>
          <w:ilvl w:val="0"/>
          <w:numId w:val="227"/>
        </w:numPr>
        <w:spacing w:before="0"/>
      </w:pPr>
      <w:r>
        <w:t>For institutter, der indberetter i henhold til IFRS, er der indsat henvisninger til de relevante IFRS.</w:t>
      </w:r>
    </w:p>
    <w:p w14:paraId="7FE1B328" w14:textId="77777777" w:rsidR="00960E01" w:rsidRDefault="00821CB5">
      <w:pPr>
        <w:pStyle w:val="P68B1DB1-Instructionsberschrift25"/>
        <w:numPr>
          <w:ilvl w:val="1"/>
          <w:numId w:val="49"/>
        </w:numPr>
        <w:ind w:left="357" w:hanging="357"/>
      </w:pPr>
      <w:bookmarkStart w:id="10" w:name="_Toc208244547"/>
      <w:bookmarkStart w:id="11" w:name="_Hlk167181695"/>
      <w:bookmarkStart w:id="12" w:name="_Toc81454174"/>
      <w:r>
        <w:t>Indberetning af tilsynsdata</w:t>
      </w:r>
      <w:bookmarkEnd w:id="10"/>
    </w:p>
    <w:p w14:paraId="7FE1B329" w14:textId="6A020DBF" w:rsidR="00960E01" w:rsidRDefault="00821CB5">
      <w:pPr>
        <w:pStyle w:val="P68B1DB1-Instructionsberschrift310"/>
        <w:numPr>
          <w:ilvl w:val="4"/>
          <w:numId w:val="49"/>
        </w:numPr>
      </w:pPr>
      <w:r>
        <w:t>Hvis den indberettende enhed er underlagt tilsynsmæssig indberetning i henhold til forordning (EU) nr. 575/2013</w:t>
      </w:r>
      <w:r>
        <w:footnoteReference w:id="6"/>
      </w:r>
      <w:r>
        <w:t xml:space="preserve"> på konsolideret eller individuelt niveau på den ønskede referencedato for afviklingsplanlægning, er enheden ikke forpligtet til at angive de datapunkter, der allerede er indberettet. Afviklingsmyndighederne indhenter disse datapunkter direkte fra de tilsynsrapporter, som den indberettende enhed allerede har angivet.</w:t>
      </w:r>
    </w:p>
    <w:p w14:paraId="7FE1B32A" w14:textId="05B0296B" w:rsidR="00960E01" w:rsidRDefault="00821CB5">
      <w:pPr>
        <w:pStyle w:val="Instructionsberschrift3"/>
        <w:numPr>
          <w:ilvl w:val="4"/>
          <w:numId w:val="49"/>
        </w:numPr>
      </w:pPr>
      <w:r>
        <w:rPr>
          <w:u w:val="none"/>
        </w:rPr>
        <w:lastRenderedPageBreak/>
        <w:t xml:space="preserve">Hvis enheden ikke er underlagt tilsynsmæssig indberetning på den givne referencedato, skal enheden angive disse datapunkter i overensstemmelse med gennemførelsesforordning (EU) nr. </w:t>
      </w:r>
      <w:r>
        <w:rPr>
          <w:highlight w:val="yellow"/>
          <w:u w:val="none"/>
        </w:rPr>
        <w:t>20XX/XXX</w:t>
      </w:r>
      <w:r>
        <w:t xml:space="preserve">. </w:t>
      </w:r>
      <w:r>
        <w:rPr>
          <w:u w:val="none"/>
        </w:rPr>
        <w:t>.</w:t>
      </w:r>
    </w:p>
    <w:p w14:paraId="7FE1B32B" w14:textId="77777777" w:rsidR="00960E01" w:rsidRDefault="00821CB5">
      <w:pPr>
        <w:pStyle w:val="P68B1DB1-Instructionsberschrift25"/>
        <w:numPr>
          <w:ilvl w:val="1"/>
          <w:numId w:val="49"/>
        </w:numPr>
        <w:ind w:left="357" w:hanging="357"/>
      </w:pPr>
      <w:bookmarkStart w:id="13" w:name="_Toc208244548"/>
      <w:bookmarkEnd w:id="11"/>
      <w:r>
        <w:t>Rammer for konsolideringen</w:t>
      </w:r>
      <w:bookmarkEnd w:id="12"/>
      <w:bookmarkEnd w:id="13"/>
    </w:p>
    <w:p w14:paraId="7FE1B32C" w14:textId="77777777" w:rsidR="00960E01" w:rsidRDefault="00821CB5">
      <w:pPr>
        <w:pStyle w:val="P68B1DB1-InstructionsText26"/>
        <w:numPr>
          <w:ilvl w:val="0"/>
          <w:numId w:val="228"/>
        </w:numPr>
        <w:spacing w:before="0"/>
      </w:pPr>
      <w:r>
        <w:t>Denne ramme omfatter, afhængigt af skemaet:</w:t>
      </w:r>
    </w:p>
    <w:p w14:paraId="7FE1B32D" w14:textId="77777777" w:rsidR="00960E01" w:rsidRDefault="00821CB5">
      <w:pPr>
        <w:pStyle w:val="P68B1DB1-numberedparagraph11"/>
        <w:numPr>
          <w:ilvl w:val="0"/>
          <w:numId w:val="81"/>
        </w:numPr>
        <w:rPr>
          <w:rFonts w:eastAsiaTheme="majorEastAsia"/>
        </w:rPr>
      </w:pPr>
      <w:r>
        <w:t>konsolidering på grundlag af regnskabskonsolidering (enheder, der indgår i de konsoliderede regnskaber i henhold til det gældende regnskabssystem)</w:t>
      </w:r>
    </w:p>
    <w:p w14:paraId="7FE1B32E" w14:textId="179BBDC6" w:rsidR="00960E01" w:rsidRDefault="00821CB5">
      <w:pPr>
        <w:pStyle w:val="P68B1DB1-numberedparagraph11"/>
        <w:numPr>
          <w:ilvl w:val="0"/>
          <w:numId w:val="81"/>
        </w:numPr>
        <w:rPr>
          <w:rFonts w:eastAsiaTheme="majorEastAsia"/>
        </w:rPr>
      </w:pPr>
      <w:r>
        <w:t xml:space="preserve">tilsynskonsolidering (enheder omfattet af konsolidering i henhold til første del, afsnit II, kapitel 2, i Europa-Parlamentets og Rådets forordning (EU) nr. 575/2013) for modervirksomheden i Unionen </w:t>
      </w:r>
    </w:p>
    <w:p w14:paraId="7FE1B32F" w14:textId="77777777" w:rsidR="00960E01" w:rsidRDefault="00821CB5">
      <w:pPr>
        <w:pStyle w:val="P68B1DB1-numberedparagraph11"/>
        <w:numPr>
          <w:ilvl w:val="0"/>
          <w:numId w:val="81"/>
        </w:numPr>
        <w:rPr>
          <w:rFonts w:eastAsiaTheme="majorEastAsia"/>
        </w:rPr>
      </w:pPr>
      <w:r>
        <w:t>konsolidering på afviklingsenhedsniveau for afviklingskoncernen.</w:t>
      </w:r>
    </w:p>
    <w:p w14:paraId="7FE1B330" w14:textId="4B5FA476" w:rsidR="00960E01" w:rsidRDefault="00821CB5">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For hvert skema følger institutterne det eller de konsolideringsgrundlag, der finder anvendelse i henhold til artikel 2 til artikel 5 i gennemførelsesforordning (EU</w:t>
      </w:r>
      <w:r>
        <w:rPr>
          <w:rFonts w:ascii="Times New Roman" w:hAnsi="Times New Roman" w:cs="Times New Roman"/>
          <w:sz w:val="20"/>
          <w:szCs w:val="20"/>
          <w:highlight w:val="yellow"/>
        </w:rPr>
        <w:t>)</w:t>
      </w:r>
      <w:r>
        <w:rPr>
          <w:highlight w:val="yellow"/>
        </w:rPr>
        <w:t>nr.</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960E01" w:rsidRDefault="00821CB5">
      <w:pPr>
        <w:pStyle w:val="P68B1DB1-Instructionsberschrift25"/>
        <w:numPr>
          <w:ilvl w:val="1"/>
          <w:numId w:val="49"/>
        </w:numPr>
        <w:ind w:left="357" w:hanging="357"/>
      </w:pPr>
      <w:bookmarkStart w:id="14" w:name="_Toc81454175"/>
      <w:bookmarkStart w:id="15" w:name="_Toc208244549"/>
      <w:r>
        <w:t>Nummerering og andre konventioner</w:t>
      </w:r>
      <w:bookmarkEnd w:id="14"/>
      <w:bookmarkEnd w:id="15"/>
    </w:p>
    <w:p w14:paraId="7FE1B332" w14:textId="639ED14D" w:rsidR="00960E01" w:rsidRDefault="00821CB5">
      <w:pPr>
        <w:pStyle w:val="P68B1DB1-InstructionsText26"/>
        <w:numPr>
          <w:ilvl w:val="0"/>
          <w:numId w:val="230"/>
        </w:numPr>
        <w:spacing w:before="0"/>
      </w:pPr>
      <w:r>
        <w:t>Disse instrukser følger de konventioner for tekst, der er angivet nedenfor, når der henvises til kolonner, rækker og celler i skemaerne. Disse numeriske koder anvendes generelt i valideringsreglerne.</w:t>
      </w:r>
    </w:p>
    <w:p w14:paraId="7FE1B333" w14:textId="24776AD5" w:rsidR="00960E01" w:rsidRDefault="00821CB5">
      <w:pPr>
        <w:pStyle w:val="P68B1DB1-InstructionsText26"/>
        <w:numPr>
          <w:ilvl w:val="0"/>
          <w:numId w:val="230"/>
        </w:numPr>
        <w:spacing w:before="0"/>
      </w:pPr>
      <w:r>
        <w:t>Følgende generelle notation anvendes i disse instrukser, når der henvises til et skemas kolonner, rækker og celler: {Skema;Række;Kolonne}.</w:t>
      </w:r>
    </w:p>
    <w:p w14:paraId="7FE1B334" w14:textId="144A32B1" w:rsidR="00960E01" w:rsidRDefault="00821CB5">
      <w:pPr>
        <w:pStyle w:val="P68B1DB1-InstructionsText26"/>
        <w:numPr>
          <w:ilvl w:val="0"/>
          <w:numId w:val="230"/>
        </w:numPr>
        <w:spacing w:before="0"/>
      </w:pPr>
      <w:r>
        <w:t>Ved valideringer i et skema, hvor kun datapunkter fra skemaet anvendes, henviser notationer ikke til et skema: · Række; Kolonne dertil.</w:t>
      </w:r>
    </w:p>
    <w:p w14:paraId="7FE1B335" w14:textId="77777777" w:rsidR="00960E01" w:rsidRDefault="00821CB5">
      <w:pPr>
        <w:pStyle w:val="P68B1DB1-InstructionsText26"/>
        <w:numPr>
          <w:ilvl w:val="0"/>
          <w:numId w:val="230"/>
        </w:numPr>
        <w:spacing w:before="0"/>
      </w:pPr>
      <w:r>
        <w:t>For så vidt angår skemaer med kun én kolonne henvises der kun til rækker: · Skabelon; Rækkevidde.</w:t>
      </w:r>
    </w:p>
    <w:p w14:paraId="7FE1B336" w14:textId="77777777" w:rsidR="00960E01" w:rsidRDefault="00821CB5">
      <w:pPr>
        <w:pStyle w:val="P68B1DB1-InstructionsText26"/>
        <w:numPr>
          <w:ilvl w:val="0"/>
          <w:numId w:val="230"/>
        </w:numPr>
        <w:spacing w:before="0"/>
      </w:pPr>
      <w:r>
        <w:t>En asterisk viser, at validering udføres for de angivne rækker eller kolonner.</w:t>
      </w:r>
    </w:p>
    <w:p w14:paraId="7FE1B337" w14:textId="77777777" w:rsidR="00960E01" w:rsidRDefault="00821CB5">
      <w:pPr>
        <w:pStyle w:val="P68B1DB1-InstructionsText26"/>
        <w:numPr>
          <w:ilvl w:val="0"/>
          <w:numId w:val="230"/>
        </w:numPr>
        <w:spacing w:before="0"/>
      </w:pPr>
      <w:r>
        <w:t>Hvis et oplysningselement ikke er relevant for de enheder, som indberetningen vedrører, udfyldes det pågældende felt ikke.</w:t>
      </w:r>
    </w:p>
    <w:p w14:paraId="7FE1B338" w14:textId="77777777" w:rsidR="00960E01" w:rsidRDefault="00821CB5">
      <w:pPr>
        <w:pStyle w:val="P68B1DB1-InstructionsText26"/>
        <w:numPr>
          <w:ilvl w:val="0"/>
          <w:numId w:val="230"/>
        </w:numPr>
        <w:spacing w:before="0"/>
      </w:pPr>
      <w:r>
        <w:t>Henvises der i disse instrukser til en primær nøgle, forstås med denne en kolonne eller en kombination af kolonner, der entydigt identificerer alle rækker i skemaet. En primær nøgle har en værdi, der er unik for hver enkelt række i skemaet. Den må ikke indeholde nulværdi.</w:t>
      </w:r>
    </w:p>
    <w:p w14:paraId="7FE1B339" w14:textId="77777777" w:rsidR="00960E01" w:rsidRDefault="00821CB5">
      <w:pPr>
        <w:pStyle w:val="P68B1DB1-Instructionsberschrift24"/>
        <w:numPr>
          <w:ilvl w:val="0"/>
          <w:numId w:val="49"/>
        </w:numPr>
        <w:ind w:left="357" w:hanging="357"/>
      </w:pPr>
      <w:bookmarkStart w:id="16" w:name="_Toc492542319"/>
      <w:bookmarkStart w:id="17" w:name="_Toc81454176"/>
      <w:bookmarkStart w:id="18" w:name="_Toc208244550"/>
      <w:r>
        <w:t>Instrukser vedrørende de enkelte skemaer</w:t>
      </w:r>
      <w:bookmarkEnd w:id="16"/>
      <w:bookmarkEnd w:id="17"/>
      <w:bookmarkEnd w:id="18"/>
    </w:p>
    <w:p w14:paraId="7FE1B33A" w14:textId="0E76C32D" w:rsidR="00960E01" w:rsidRDefault="00821CB5">
      <w:pPr>
        <w:pStyle w:val="P68B1DB1-Instructionsberschrift25"/>
        <w:numPr>
          <w:ilvl w:val="1"/>
          <w:numId w:val="49"/>
        </w:numPr>
        <w:ind w:left="357" w:hanging="357"/>
      </w:pPr>
      <w:bookmarkStart w:id="19" w:name="_Toc493236007"/>
      <w:bookmarkStart w:id="20" w:name="_Toc81454177"/>
      <w:bookmarkStart w:id="21" w:name="_Toc208244551"/>
      <w:bookmarkEnd w:id="19"/>
      <w:r>
        <w:t>Z 01.01 — Juridiske enheder (ORG 1)</w:t>
      </w:r>
      <w:bookmarkEnd w:id="20"/>
      <w:bookmarkEnd w:id="21"/>
    </w:p>
    <w:p w14:paraId="7FE1B33B" w14:textId="77777777" w:rsidR="00960E01" w:rsidRDefault="00821CB5">
      <w:pPr>
        <w:pStyle w:val="Instructionsberschrift3"/>
      </w:pPr>
      <w:r>
        <w:t>Generelle bemærkninger</w:t>
      </w:r>
    </w:p>
    <w:p w14:paraId="7FE1B33C" w14:textId="73410408" w:rsidR="00960E01" w:rsidRDefault="00821CB5">
      <w:pPr>
        <w:pStyle w:val="P68B1DB1-InstructionsText26"/>
        <w:numPr>
          <w:ilvl w:val="0"/>
          <w:numId w:val="231"/>
        </w:numPr>
        <w:spacing w:before="0"/>
      </w:pPr>
      <w:r>
        <w:t xml:space="preserve">Der skal indsendes et enkelt skema for alle koncernenheder, der er omfattet af den regnskabsmæssige konsolidering. Kun juridiske enheder skal identificeres i dette skema. </w:t>
      </w:r>
    </w:p>
    <w:p w14:paraId="7FE1B33D" w14:textId="32A49085" w:rsidR="00960E01" w:rsidRDefault="00821CB5">
      <w:pPr>
        <w:pStyle w:val="P68B1DB1-InstructionsText26"/>
        <w:numPr>
          <w:ilvl w:val="0"/>
          <w:numId w:val="231"/>
        </w:numPr>
        <w:spacing w:before="0"/>
      </w:pPr>
      <w:r>
        <w:t xml:space="preserve">Begrebet relevante juridiske enheder er ikke begrænset til kun at omfatte banktransaktioner, men omfatter også andre enheder, der er nødvendige for at støtte bankkoncernens aktiviteter på en væsentlig måde. Dette omfatter tjenesteudbydere for kritiske funktioner eller/og væsentlige forretningsområder, finansiering af enheder, der yder finansiering, og </w:t>
      </w:r>
      <w:r>
        <w:lastRenderedPageBreak/>
        <w:t>andre enheder, der er stærkt forbundne (økonomisk) med koncernen. Identifikationen af disse yderligere enheder forventes at være styret af afviklingsstrategiens krav, som fastlægges af afviklingsmyndighederne.</w:t>
      </w:r>
    </w:p>
    <w:p w14:paraId="7FE1B33E" w14:textId="77777777" w:rsidR="00960E01" w:rsidRDefault="00821CB5">
      <w:pPr>
        <w:pStyle w:val="P68B1DB1-Instructionsberschrift312"/>
      </w:pPr>
      <w:r>
        <w:t>Instrukser vedrørende specifikke positioner</w:t>
      </w:r>
    </w:p>
    <w:p w14:paraId="7FE1B33F" w14:textId="77777777" w:rsidR="00960E01" w:rsidRDefault="00960E01">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27"/>
        <w:gridCol w:w="8099"/>
      </w:tblGrid>
      <w:tr w:rsidR="00960E01"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960E01" w:rsidRDefault="00821CB5">
            <w:pPr>
              <w:pStyle w:val="P68B1DB1-TableParagraph13"/>
              <w:spacing w:before="66"/>
              <w:rPr>
                <w:rFonts w:eastAsia="Cambria"/>
              </w:rPr>
            </w:pPr>
            <w:r>
              <w:t>Kolonner</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960E01" w:rsidRDefault="00821CB5">
            <w:pPr>
              <w:pStyle w:val="P68B1DB1-TableParagraph13"/>
              <w:spacing w:before="66"/>
              <w:ind w:right="1"/>
              <w:jc w:val="center"/>
              <w:rPr>
                <w:rFonts w:eastAsia="Cambria"/>
              </w:rPr>
            </w:pPr>
            <w:r>
              <w:t>Instrukser</w:t>
            </w:r>
          </w:p>
        </w:tc>
      </w:tr>
      <w:tr w:rsidR="00960E01"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960E01" w:rsidRDefault="00821CB5">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960E01" w:rsidRDefault="00821CB5">
            <w:pPr>
              <w:pStyle w:val="P68B1DB1-TableParagraph14"/>
              <w:spacing w:before="108"/>
              <w:ind w:left="85"/>
            </w:pPr>
            <w:r>
              <w:t>Navn</w:t>
            </w:r>
          </w:p>
          <w:p w14:paraId="7FE1B348" w14:textId="3D2D6D6A" w:rsidR="00960E01" w:rsidRDefault="00821CB5">
            <w:pPr>
              <w:pStyle w:val="P68B1DB1-TableParagraph15"/>
              <w:spacing w:before="108"/>
              <w:ind w:left="85"/>
            </w:pPr>
            <w:r>
              <w:t>Enhedens navn. Officielt navn, som det fremgår af selskabsdokumenterne, herunder angivelse af den juridiske form.</w:t>
            </w:r>
          </w:p>
        </w:tc>
      </w:tr>
      <w:tr w:rsidR="00960E01"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960E01" w:rsidRDefault="00821CB5">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493742D7" w:rsidR="00960E01" w:rsidRDefault="00821CB5">
            <w:pPr>
              <w:pStyle w:val="P68B1DB1-TableParagraph14"/>
              <w:spacing w:before="108"/>
              <w:ind w:left="85"/>
            </w:pPr>
            <w:r>
              <w:t>Kode</w:t>
            </w:r>
          </w:p>
          <w:p w14:paraId="7FE1B34C" w14:textId="5527678D" w:rsidR="00960E01" w:rsidRDefault="00821CB5">
            <w:pPr>
              <w:pStyle w:val="P68B1DB1-TableParagraph13"/>
              <w:spacing w:before="108"/>
              <w:ind w:left="85"/>
            </w:pPr>
            <w:r>
              <w:t>Enhedens kode. For institutter er koden den 20-cifrede, alfanumeriske LEI-kode. For andre enheder er koden den 20-cifrede, alfanumeriske LEI-kode eller, hvis den ikke foreligger, MFI-ID'en eller en kode i henhold til en ensartet kodifikation, der finder anvendelse i Unionen.</w:t>
            </w:r>
          </w:p>
          <w:p w14:paraId="7FE1B34D" w14:textId="77777777" w:rsidR="00960E01" w:rsidRDefault="00821CB5">
            <w:pPr>
              <w:pStyle w:val="P68B1DB1-TableParagraph13"/>
              <w:spacing w:before="108"/>
              <w:ind w:left="85"/>
            </w:pPr>
            <w:r>
              <w:t>Koden skal være unik og skal anvendes konsekvent i alle skemaerne. Koden skal altid have en værdi.</w:t>
            </w:r>
          </w:p>
        </w:tc>
      </w:tr>
      <w:tr w:rsidR="00960E01"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960E01" w:rsidRDefault="00821CB5">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960E01" w:rsidRDefault="00821CB5">
            <w:pPr>
              <w:pStyle w:val="P68B1DB1-TableParagraph14"/>
              <w:spacing w:before="108"/>
              <w:ind w:left="85"/>
              <w:jc w:val="both"/>
            </w:pPr>
            <w:r>
              <w:t>Kodetype</w:t>
            </w:r>
          </w:p>
          <w:p w14:paraId="7FE1B352" w14:textId="7C9FB737" w:rsidR="00960E01" w:rsidRDefault="00821CB5">
            <w:pPr>
              <w:pStyle w:val="P68B1DB1-TableParagraph13"/>
              <w:spacing w:before="108"/>
            </w:pPr>
            <w:r>
              <w:t>Vælges blandt følgende muligheder: "LEI-kode", "MFI-kode" eller "Identifikationstype, bortset fra LEI- eller MFI-kode.</w:t>
            </w:r>
          </w:p>
          <w:p w14:paraId="7FE1B353" w14:textId="77777777" w:rsidR="00960E01" w:rsidRDefault="00821CB5">
            <w:pPr>
              <w:pStyle w:val="P68B1DB1-TableParagraph13"/>
              <w:spacing w:before="108"/>
              <w:ind w:left="85"/>
              <w:jc w:val="both"/>
              <w:rPr>
                <w:b/>
              </w:rPr>
            </w:pPr>
            <w:r>
              <w:t>Identifikationen af enheder foretages på en ensartet måde på tværs af skemaerne.</w:t>
            </w:r>
          </w:p>
        </w:tc>
      </w:tr>
      <w:tr w:rsidR="00960E01"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960E01" w:rsidRDefault="00821CB5">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960E01" w:rsidRDefault="00821CB5">
            <w:pPr>
              <w:pStyle w:val="P68B1DB1-TableParagraph14"/>
              <w:spacing w:before="108"/>
              <w:ind w:left="85"/>
            </w:pPr>
            <w:r>
              <w:t>Type enhed</w:t>
            </w:r>
          </w:p>
          <w:p w14:paraId="7FE1B35B" w14:textId="77777777" w:rsidR="00960E01" w:rsidRDefault="00821CB5">
            <w:pPr>
              <w:pStyle w:val="P68B1DB1-TableParagraph13"/>
              <w:spacing w:before="108"/>
              <w:ind w:left="85"/>
            </w:pPr>
            <w:r>
              <w:t>Enhedens type angives som et af følgende (i sekventiel rækkefølge):</w:t>
            </w:r>
          </w:p>
          <w:p w14:paraId="7FE1B35C" w14:textId="77777777" w:rsidR="00960E01" w:rsidRDefault="00821CB5">
            <w:pPr>
              <w:pStyle w:val="P68B1DB1-TableParagraph13"/>
              <w:numPr>
                <w:ilvl w:val="0"/>
                <w:numId w:val="67"/>
              </w:numPr>
              <w:spacing w:before="108"/>
            </w:pPr>
            <w:r>
              <w:t>"Kreditinstitut"</w:t>
            </w:r>
          </w:p>
          <w:p w14:paraId="7FE1B35D" w14:textId="653C7762" w:rsidR="00960E01" w:rsidRDefault="00821CB5">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Denne kategori omfatter kreditinstitutter som defineret i artikel 4, stk. 1, nr. 1), i forordning (EU) nr. 575/2013, bortset fra de enheder, der er omhandlet i artikel 2, stk. 5, i direktiv (EU) 2013/36/EU</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960E01" w:rsidRDefault="00821CB5">
            <w:pPr>
              <w:pStyle w:val="P68B1DB1-TableParagraph13"/>
              <w:numPr>
                <w:ilvl w:val="0"/>
                <w:numId w:val="67"/>
              </w:numPr>
              <w:spacing w:before="108"/>
            </w:pPr>
            <w:r>
              <w:t>"Investeringsselskab, som er underlagt startkapitalkravet fastsat i artikel 9, stk. 1, i direktiv (EU) 2019/2034"</w:t>
            </w:r>
          </w:p>
          <w:p w14:paraId="7FE1B35F" w14:textId="3246B488" w:rsidR="00960E01" w:rsidRDefault="00821CB5">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Denne kategori omfatter investeringsselskaber som defineret i artikel 4, stk. 1, nr. 22), i forordning (EU)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som er underlagt startkapitalkravet fastsat i artikel 9, stk. 1, i direktiv (EU)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1A7C0124" w:rsidR="00960E01" w:rsidRDefault="00821CB5">
            <w:pPr>
              <w:pStyle w:val="P68B1DB1-TableParagraph13"/>
              <w:numPr>
                <w:ilvl w:val="0"/>
                <w:numId w:val="67"/>
              </w:numPr>
              <w:spacing w:before="108"/>
            </w:pPr>
            <w:r>
              <w:t>"Investeringsselskab, som ikke er underlagt startkapitalkravet fastsat i artikel 9, stk. 1, i direktiv (EU) 2019/2034"</w:t>
            </w:r>
          </w:p>
          <w:p w14:paraId="7FE1B361" w14:textId="77777777" w:rsidR="00960E01" w:rsidRDefault="00821CB5">
            <w:pPr>
              <w:pStyle w:val="P68B1DB1-TableParagraph13"/>
              <w:numPr>
                <w:ilvl w:val="0"/>
                <w:numId w:val="67"/>
              </w:numPr>
              <w:spacing w:before="108"/>
            </w:pPr>
            <w:r>
              <w:t>"Finansieringsinstitut"</w:t>
            </w:r>
          </w:p>
          <w:p w14:paraId="7FE1B362" w14:textId="77777777" w:rsidR="00960E01" w:rsidRDefault="00821CB5">
            <w:pPr>
              <w:pStyle w:val="P68B1DB1-TableParagraph13"/>
              <w:spacing w:before="108"/>
              <w:ind w:left="445"/>
            </w:pPr>
            <w:r>
              <w:t>Denne kategori omfatter finansieringsinstitutter som defineret i artikel 4, stk. 1, nr. 26), i forordning (EU) nr. 575/2013, bortset fra dem, der klassificeres som "holdingselskab", jf. litra e) nedenfor.</w:t>
            </w:r>
          </w:p>
          <w:p w14:paraId="7FE1B363" w14:textId="77777777" w:rsidR="00960E01" w:rsidRDefault="00821CB5">
            <w:pPr>
              <w:pStyle w:val="P68B1DB1-TableParagraph13"/>
              <w:numPr>
                <w:ilvl w:val="0"/>
                <w:numId w:val="67"/>
              </w:numPr>
              <w:spacing w:before="108"/>
            </w:pPr>
            <w:r>
              <w:lastRenderedPageBreak/>
              <w:t>"Holdingselskab"</w:t>
            </w:r>
          </w:p>
          <w:p w14:paraId="7FE1B364" w14:textId="77777777" w:rsidR="00960E01" w:rsidRDefault="00821CB5">
            <w:pPr>
              <w:pStyle w:val="P68B1DB1-TableParagraph13"/>
              <w:spacing w:before="108"/>
              <w:ind w:left="445"/>
            </w:pPr>
            <w:r>
              <w:t>Denne kategori omfatter følgende:</w:t>
            </w:r>
          </w:p>
          <w:p w14:paraId="7FE1B365" w14:textId="77777777" w:rsidR="00960E01" w:rsidRDefault="00821CB5">
            <w:pPr>
              <w:pStyle w:val="P68B1DB1-TableParagraph13"/>
              <w:numPr>
                <w:ilvl w:val="0"/>
                <w:numId w:val="68"/>
              </w:numPr>
              <w:spacing w:before="108"/>
            </w:pPr>
            <w:r>
              <w:t>Finansielt holdingselskab som defineret i artikel 4, stk. 1, nr. 20), i forordning (EU) nr. 575/2013</w:t>
            </w:r>
          </w:p>
          <w:p w14:paraId="7FE1B366" w14:textId="77777777" w:rsidR="00960E01" w:rsidRDefault="00821CB5">
            <w:pPr>
              <w:pStyle w:val="P68B1DB1-TableParagraph13"/>
              <w:numPr>
                <w:ilvl w:val="0"/>
                <w:numId w:val="68"/>
              </w:numPr>
              <w:spacing w:before="108"/>
            </w:pPr>
            <w:r>
              <w:t>Blandet finansielt holdingselskab som defineret i artikel 4, stk. 1, nr. 21), i forordning (EU) nr. 575/2013</w:t>
            </w:r>
          </w:p>
          <w:p w14:paraId="7FE1B367" w14:textId="77777777" w:rsidR="00960E01" w:rsidRDefault="00821CB5">
            <w:pPr>
              <w:pStyle w:val="P68B1DB1-TableParagraph13"/>
              <w:numPr>
                <w:ilvl w:val="0"/>
                <w:numId w:val="68"/>
              </w:numPr>
              <w:spacing w:before="108"/>
            </w:pPr>
            <w:r>
              <w:t>Blandet holdingselskab som defineret i artikel 4, stk. 1, nr. 22), i forordning (EU) nr. 575/2013</w:t>
            </w:r>
          </w:p>
          <w:p w14:paraId="7FE1B368" w14:textId="77777777" w:rsidR="00960E01" w:rsidRDefault="00821CB5">
            <w:pPr>
              <w:pStyle w:val="P68B1DB1-TableParagraph13"/>
              <w:numPr>
                <w:ilvl w:val="0"/>
                <w:numId w:val="68"/>
              </w:numPr>
              <w:spacing w:before="108"/>
            </w:pPr>
            <w:r>
              <w:t>Finansielle moderholdingselskaber som defineret i artikel 4, stk. 1, nr. 30), i forordning (EU) nr. 575/2013</w:t>
            </w:r>
          </w:p>
          <w:p w14:paraId="7FE1B369" w14:textId="77777777" w:rsidR="00960E01" w:rsidRDefault="00821CB5">
            <w:pPr>
              <w:pStyle w:val="P68B1DB1-TableParagraph13"/>
              <w:numPr>
                <w:ilvl w:val="0"/>
                <w:numId w:val="68"/>
              </w:numPr>
              <w:spacing w:before="108"/>
            </w:pPr>
            <w:r>
              <w:t>Finansielt moderholdingselskab i Unionen som defineret i artikel 4, stk. 1, nr. 31), i forordning (EU) nr. 575/2013</w:t>
            </w:r>
          </w:p>
          <w:p w14:paraId="7FE1B36A" w14:textId="77777777" w:rsidR="00960E01" w:rsidRDefault="00821CB5">
            <w:pPr>
              <w:pStyle w:val="P68B1DB1-TableParagraph13"/>
              <w:numPr>
                <w:ilvl w:val="0"/>
                <w:numId w:val="68"/>
              </w:numPr>
              <w:spacing w:before="108"/>
            </w:pPr>
            <w:r>
              <w:t>Blandet finansielt moderholdingselskab i en medlemsstat som defineret i artikel 4, stk. 1, nr. 32), i forordning (EU) nr. 575/2013</w:t>
            </w:r>
          </w:p>
          <w:p w14:paraId="7FE1B36B" w14:textId="77777777" w:rsidR="00960E01" w:rsidRDefault="00821CB5">
            <w:pPr>
              <w:pStyle w:val="P68B1DB1-TableParagraph13"/>
              <w:numPr>
                <w:ilvl w:val="0"/>
                <w:numId w:val="68"/>
              </w:numPr>
              <w:spacing w:before="108"/>
            </w:pPr>
            <w:r>
              <w:t>Blandede finansielle moderholdingselskaber i Unionen som defineret i artikel 4, stk. 1, nr. 33), i forordning (EU) nr. 575/2013.</w:t>
            </w:r>
          </w:p>
          <w:p w14:paraId="7FE1B36C" w14:textId="0F68F780" w:rsidR="00960E01" w:rsidRDefault="00821CB5">
            <w:pPr>
              <w:pStyle w:val="P68B1DB1-TableParagraph13"/>
              <w:numPr>
                <w:ilvl w:val="0"/>
                <w:numId w:val="67"/>
              </w:numPr>
              <w:spacing w:before="108"/>
            </w:pPr>
            <w:r>
              <w:t>"Forsikringsselskab"</w:t>
            </w:r>
          </w:p>
          <w:p w14:paraId="7FE1B36D" w14:textId="77777777" w:rsidR="00960E01" w:rsidRDefault="00821CB5">
            <w:pPr>
              <w:pStyle w:val="P68B1DB1-TableParagraph16"/>
              <w:numPr>
                <w:ilvl w:val="0"/>
                <w:numId w:val="68"/>
              </w:numPr>
              <w:spacing w:before="108"/>
              <w:rPr>
                <w:color w:val="000000" w:themeColor="text1"/>
                <w:sz w:val="20"/>
                <w:szCs w:val="20"/>
              </w:rPr>
            </w:pPr>
            <w:r>
              <w:rPr>
                <w:color w:val="000000" w:themeColor="text1"/>
                <w:sz w:val="20"/>
                <w:szCs w:val="20"/>
              </w:rPr>
              <w:t>Denne kategori omfatter forsikringsselskaber som defineret i artikel 13 i Europa-Parlamentets og Rådets direktiv 2009/138/EF</w:t>
            </w:r>
            <w:r>
              <w:footnoteReference w:id="10"/>
            </w:r>
            <w:r>
              <w:rPr>
                <w:color w:val="000000" w:themeColor="text1"/>
                <w:sz w:val="20"/>
                <w:szCs w:val="20"/>
              </w:rPr>
              <w:t>.</w:t>
            </w:r>
          </w:p>
          <w:p w14:paraId="7FE1B36E" w14:textId="15AC498F" w:rsidR="00960E01" w:rsidRDefault="00821CB5">
            <w:pPr>
              <w:pStyle w:val="P68B1DB1-TableParagraph13"/>
              <w:numPr>
                <w:ilvl w:val="0"/>
                <w:numId w:val="67"/>
              </w:numPr>
              <w:spacing w:before="108"/>
            </w:pPr>
            <w:r>
              <w:t>"Relevant tjenesteudbyder" inden for koncernen, som er forbundet med kritiske funktioner og/eller væsentlige økonomiske aktiviteter.</w:t>
            </w:r>
          </w:p>
          <w:p w14:paraId="7FE1B370" w14:textId="77777777" w:rsidR="00960E01" w:rsidRDefault="00960E01">
            <w:pPr>
              <w:pStyle w:val="TableParagraph"/>
              <w:spacing w:before="108"/>
              <w:rPr>
                <w:rFonts w:ascii="Times New Roman" w:hAnsi="Times New Roman" w:cs="Times New Roman"/>
                <w:color w:val="000000" w:themeColor="text1"/>
                <w:sz w:val="20"/>
                <w:szCs w:val="20"/>
              </w:rPr>
            </w:pPr>
          </w:p>
          <w:p w14:paraId="7FE1B371" w14:textId="77777777" w:rsidR="00960E01" w:rsidRDefault="00821CB5">
            <w:pPr>
              <w:pStyle w:val="P68B1DB1-TableParagraph16"/>
              <w:numPr>
                <w:ilvl w:val="0"/>
                <w:numId w:val="67"/>
              </w:numPr>
              <w:spacing w:before="108"/>
              <w:rPr>
                <w:color w:val="000000" w:themeColor="text1"/>
                <w:sz w:val="20"/>
                <w:szCs w:val="20"/>
              </w:rPr>
            </w:pPr>
            <w:r>
              <w:rPr>
                <w:color w:val="000000" w:themeColor="text1"/>
                <w:sz w:val="20"/>
                <w:szCs w:val="20"/>
              </w:rPr>
              <w:t>"Anden type enhed", hvis enheden ikke er omfattet af nogen af ovenstående kategorier.</w:t>
            </w:r>
            <w:r>
              <w:br/>
            </w:r>
            <w:r>
              <w:rPr>
                <w:color w:val="000000" w:themeColor="text1"/>
                <w:sz w:val="20"/>
                <w:szCs w:val="20"/>
              </w:rPr>
              <w:t>(dvs. vigtig finansieringsyder)</w:t>
            </w:r>
          </w:p>
        </w:tc>
      </w:tr>
      <w:tr w:rsidR="00960E01"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960E01" w:rsidRDefault="00821CB5">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960E01" w:rsidRDefault="00821CB5">
            <w:pPr>
              <w:pStyle w:val="P68B1DB1-TableParagraph14"/>
              <w:spacing w:before="108"/>
              <w:ind w:left="85"/>
            </w:pPr>
            <w:r>
              <w:t>Land</w:t>
            </w:r>
          </w:p>
          <w:p w14:paraId="7FE1B375" w14:textId="77777777" w:rsidR="00960E01" w:rsidRDefault="00821CB5">
            <w:pPr>
              <w:pStyle w:val="P68B1DB1-TableParagraph13"/>
              <w:spacing w:before="108"/>
              <w:ind w:left="85"/>
              <w:jc w:val="both"/>
            </w:pPr>
            <w:r>
              <w:t>Tobogstavskoden efter ISO 3166-1-standarden for det land, hvor enheden har sit hjemsted, hvilket kan være en medlemsstat eller et tredjeland.</w:t>
            </w:r>
          </w:p>
        </w:tc>
      </w:tr>
      <w:tr w:rsidR="00960E01"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960E01" w:rsidRDefault="00821CB5">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960E01" w:rsidRDefault="00821CB5">
            <w:pPr>
              <w:pStyle w:val="P68B1DB1-TableParagraph14"/>
              <w:spacing w:before="108"/>
              <w:ind w:left="85"/>
            </w:pPr>
            <w:r>
              <w:t>LEI for afviklingsgruppens POE</w:t>
            </w:r>
          </w:p>
          <w:p w14:paraId="7FE1B379" w14:textId="77777777" w:rsidR="00960E01" w:rsidRDefault="00821CB5">
            <w:pPr>
              <w:pStyle w:val="P68B1DB1-TableParagraph13"/>
              <w:spacing w:before="108"/>
              <w:ind w:left="85"/>
              <w:rPr>
                <w:bCs/>
              </w:rPr>
            </w:pPr>
            <w:r>
              <w:t>LEI-kode til identifikation af det indgangspunkt for afviklingskoncernen, som den i punkt 0010 identificerede enhed tilhører.</w:t>
            </w:r>
          </w:p>
        </w:tc>
      </w:tr>
      <w:tr w:rsidR="00960E01"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960E01" w:rsidRDefault="00821CB5">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960E01" w:rsidRDefault="00821CB5">
            <w:pPr>
              <w:pStyle w:val="P68B1DB1-TableParagraph14"/>
              <w:spacing w:before="108"/>
              <w:ind w:left="85"/>
              <w:jc w:val="both"/>
              <w:rPr>
                <w:bCs/>
              </w:rPr>
            </w:pPr>
            <w:r>
              <w:t>Dispensation iht. CRR-forordningens artikel 7</w:t>
            </w:r>
          </w:p>
          <w:p w14:paraId="7FE1B383" w14:textId="77777777" w:rsidR="00960E01" w:rsidRDefault="00821CB5">
            <w:pPr>
              <w:pStyle w:val="P68B1DB1-TableParagraph13"/>
              <w:spacing w:before="108"/>
              <w:ind w:left="85"/>
              <w:jc w:val="both"/>
            </w:pPr>
            <w:r>
              <w:t>Angiv følgende forkortelser:</w:t>
            </w:r>
          </w:p>
          <w:p w14:paraId="7FE1B384" w14:textId="6DF8D995" w:rsidR="00960E01" w:rsidRDefault="00821CB5">
            <w:pPr>
              <w:pStyle w:val="P68B1DB1-TableParagraph13"/>
              <w:spacing w:before="108"/>
              <w:ind w:left="85"/>
              <w:jc w:val="both"/>
            </w:pPr>
            <w:r>
              <w:t>Ja — hvis den kompetente myndighed har dispenseret fra anvendelsen af artikel 6, stk. 1, i forordning (EU) nr. 575/2013 i henhold til samme forordnings artikel 7</w:t>
            </w:r>
          </w:p>
          <w:p w14:paraId="7FE1B385" w14:textId="7EC01EC3" w:rsidR="00960E01" w:rsidRDefault="00821CB5">
            <w:pPr>
              <w:pStyle w:val="P68B1DB1-TableParagraph13"/>
              <w:spacing w:before="108"/>
              <w:ind w:left="85"/>
              <w:jc w:val="both"/>
              <w:rPr>
                <w:b/>
              </w:rPr>
            </w:pPr>
            <w:r>
              <w:t>Nej — hvis det ikke er tilfældet.</w:t>
            </w:r>
          </w:p>
        </w:tc>
      </w:tr>
      <w:tr w:rsidR="00960E01"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960E01" w:rsidRDefault="00821CB5">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960E01" w:rsidRDefault="00821CB5">
            <w:pPr>
              <w:pStyle w:val="P68B1DB1-TableParagraph14"/>
              <w:jc w:val="both"/>
              <w:rPr>
                <w:bCs/>
              </w:rPr>
            </w:pPr>
            <w:r>
              <w:t>Dispensation iht. CRR-forordningens artikel 8</w:t>
            </w:r>
          </w:p>
          <w:p w14:paraId="7FE1B389" w14:textId="77777777" w:rsidR="00960E01" w:rsidRDefault="00960E01">
            <w:pPr>
              <w:pStyle w:val="TableParagraph"/>
              <w:jc w:val="both"/>
              <w:rPr>
                <w:rFonts w:ascii="Times New Roman" w:hAnsi="Times New Roman" w:cs="Times New Roman"/>
                <w:b/>
                <w:bCs/>
                <w:color w:val="000000" w:themeColor="text1"/>
                <w:sz w:val="20"/>
                <w:szCs w:val="20"/>
              </w:rPr>
            </w:pPr>
          </w:p>
          <w:p w14:paraId="7FE1B38A" w14:textId="77777777" w:rsidR="00960E01" w:rsidRDefault="00821CB5">
            <w:pPr>
              <w:pStyle w:val="P68B1DB1-TableParagraph13"/>
              <w:spacing w:before="108"/>
              <w:ind w:left="85"/>
              <w:jc w:val="both"/>
            </w:pPr>
            <w:r>
              <w:t>Angiv følgende forkortelser:</w:t>
            </w:r>
          </w:p>
          <w:p w14:paraId="7FE1B38B" w14:textId="7BE12ED7" w:rsidR="00960E01" w:rsidRDefault="00821CB5">
            <w:pPr>
              <w:pStyle w:val="P68B1DB1-TableParagraph13"/>
              <w:spacing w:before="108"/>
              <w:ind w:left="85"/>
              <w:jc w:val="both"/>
            </w:pPr>
            <w:r>
              <w:t>Ja — hvis den kompetente myndighed har dispenseret fra anvendelsen af del seks i forordning (EU) nr. 575/2013 i henhold til samme forordnings artikel 8</w:t>
            </w:r>
          </w:p>
          <w:p w14:paraId="7FE1B38C" w14:textId="08CEF953" w:rsidR="00960E01" w:rsidRDefault="00821CB5">
            <w:pPr>
              <w:pStyle w:val="P68B1DB1-TableParagraph13"/>
              <w:jc w:val="both"/>
              <w:rPr>
                <w:b/>
                <w:bCs/>
              </w:rPr>
            </w:pPr>
            <w:r>
              <w:lastRenderedPageBreak/>
              <w:t>Nej — hvis det ikke er tilfældet.</w:t>
            </w:r>
          </w:p>
        </w:tc>
      </w:tr>
      <w:tr w:rsidR="00960E01"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960E01" w:rsidRDefault="00821CB5">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960E01" w:rsidRDefault="00821CB5">
            <w:pPr>
              <w:pStyle w:val="P68B1DB1-TableParagraph14"/>
              <w:jc w:val="both"/>
              <w:rPr>
                <w:bCs/>
              </w:rPr>
            </w:pPr>
            <w:r>
              <w:t>Med forbehold af artikel 9 CRR</w:t>
            </w:r>
          </w:p>
          <w:p w14:paraId="7FE1B390" w14:textId="77777777" w:rsidR="00960E01" w:rsidRDefault="00960E01">
            <w:pPr>
              <w:pStyle w:val="TableParagraph"/>
              <w:jc w:val="both"/>
              <w:rPr>
                <w:rFonts w:ascii="Times New Roman" w:hAnsi="Times New Roman" w:cs="Times New Roman"/>
                <w:b/>
                <w:bCs/>
                <w:color w:val="000000" w:themeColor="text1"/>
                <w:sz w:val="20"/>
                <w:szCs w:val="20"/>
              </w:rPr>
            </w:pPr>
          </w:p>
          <w:p w14:paraId="7FE1B391" w14:textId="77777777" w:rsidR="00960E01" w:rsidRDefault="00821CB5">
            <w:pPr>
              <w:pStyle w:val="P68B1DB1-TableParagraph13"/>
              <w:spacing w:before="108"/>
              <w:ind w:left="85"/>
              <w:jc w:val="both"/>
            </w:pPr>
            <w:r>
              <w:t>Angiv følgende forkortelser:</w:t>
            </w:r>
          </w:p>
          <w:p w14:paraId="7FE1B392" w14:textId="30A38992" w:rsidR="00960E01" w:rsidRDefault="00821CB5">
            <w:pPr>
              <w:pStyle w:val="P68B1DB1-TableParagraph13"/>
              <w:spacing w:before="108"/>
              <w:ind w:left="85"/>
              <w:jc w:val="both"/>
            </w:pPr>
            <w:r>
              <w:t>Ja — hvis enheden opfylder betingelserne i artikel 7, stk. 1, litra c) og d), og dens væsentlige eksponeringer eller væsentlige passiver er mod moderinstituttet forordning (EU) nr. 575/2013 i henhold til artikel 8 i forordning (EU) nr. 575/2013 og derfor indgår i beregningen af moderinstituttets krav i henhold til artikel 6, stk. 1.</w:t>
            </w:r>
          </w:p>
          <w:p w14:paraId="7FE1B393" w14:textId="0CE17CBC" w:rsidR="00960E01" w:rsidRDefault="00821CB5">
            <w:pPr>
              <w:pStyle w:val="P68B1DB1-TableParagraph13"/>
              <w:jc w:val="both"/>
              <w:rPr>
                <w:b/>
                <w:bCs/>
              </w:rPr>
            </w:pPr>
            <w:r>
              <w:t>Nej — hvis det ikke er tilfældet.</w:t>
            </w:r>
          </w:p>
          <w:p w14:paraId="7FE1B394" w14:textId="77777777" w:rsidR="00960E01" w:rsidRDefault="00960E01">
            <w:pPr>
              <w:pStyle w:val="TableParagraph"/>
              <w:jc w:val="both"/>
              <w:rPr>
                <w:rFonts w:ascii="Times New Roman" w:hAnsi="Times New Roman" w:cs="Times New Roman"/>
                <w:b/>
                <w:bCs/>
                <w:color w:val="000000" w:themeColor="text1"/>
                <w:sz w:val="20"/>
                <w:szCs w:val="20"/>
              </w:rPr>
            </w:pPr>
          </w:p>
        </w:tc>
      </w:tr>
      <w:tr w:rsidR="00960E01"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960E01" w:rsidRDefault="00821CB5">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960E01" w:rsidRDefault="00821CB5">
            <w:pPr>
              <w:pStyle w:val="P68B1DB1-TableParagraph14"/>
              <w:spacing w:before="108"/>
              <w:ind w:left="85"/>
              <w:jc w:val="both"/>
            </w:pPr>
            <w:r>
              <w:t>Dispensation iht. CRR-forordningens artikel 10</w:t>
            </w:r>
          </w:p>
          <w:p w14:paraId="7FE1B398" w14:textId="77777777" w:rsidR="00960E01" w:rsidRDefault="00821CB5">
            <w:pPr>
              <w:pStyle w:val="P68B1DB1-TableParagraph13"/>
              <w:spacing w:before="108"/>
              <w:ind w:left="85"/>
              <w:jc w:val="both"/>
            </w:pPr>
            <w:r>
              <w:t>Angiv følgende forkortelser:</w:t>
            </w:r>
          </w:p>
          <w:p w14:paraId="7FE1B399" w14:textId="249CB221" w:rsidR="00960E01" w:rsidRDefault="00821CB5">
            <w:pPr>
              <w:pStyle w:val="P68B1DB1-TableParagraph13"/>
              <w:spacing w:before="108"/>
              <w:ind w:left="85"/>
              <w:jc w:val="both"/>
            </w:pPr>
            <w:r>
              <w:t>Ja — hvis den kompetente myndighed har dispenseret i henhold til artikel 10 i forordning (EU) nr. 575/2013</w:t>
            </w:r>
          </w:p>
          <w:p w14:paraId="7FE1B39A" w14:textId="2A6A5A7B" w:rsidR="00960E01" w:rsidRDefault="00821CB5">
            <w:pPr>
              <w:pStyle w:val="P68B1DB1-TableParagraph13"/>
              <w:spacing w:before="108"/>
              <w:ind w:left="85"/>
              <w:jc w:val="both"/>
              <w:rPr>
                <w:b/>
              </w:rPr>
            </w:pPr>
            <w:r>
              <w:t>Nej — hvis det ikke er tilfældet.</w:t>
            </w:r>
          </w:p>
        </w:tc>
      </w:tr>
      <w:tr w:rsidR="00960E01"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960E01" w:rsidRDefault="00821CB5">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960E01" w:rsidRDefault="00821CB5">
            <w:pPr>
              <w:pStyle w:val="P68B1DB1-TableParagraph14"/>
              <w:spacing w:before="108"/>
              <w:jc w:val="both"/>
            </w:pPr>
            <w:r>
              <w:t>Aktiver i alt</w:t>
            </w:r>
          </w:p>
          <w:p w14:paraId="7FE1B39E" w14:textId="77777777" w:rsidR="00960E01" w:rsidRDefault="00821CB5">
            <w:pPr>
              <w:pStyle w:val="P68B1DB1-TableParagraph13"/>
              <w:spacing w:before="108"/>
              <w:jc w:val="both"/>
              <w:rPr>
                <w:b/>
              </w:rPr>
            </w:pPr>
            <w:r>
              <w:t>Aktiver i alt som defineret for FINREP F 01.01;380,010</w:t>
            </w:r>
          </w:p>
        </w:tc>
      </w:tr>
      <w:tr w:rsidR="00960E01"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960E01" w:rsidRDefault="00821CB5">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960E01" w:rsidRDefault="00821CB5">
            <w:pPr>
              <w:pStyle w:val="P68B1DB1-TableParagraph14"/>
              <w:spacing w:before="108"/>
              <w:jc w:val="both"/>
            </w:pPr>
            <w:r>
              <w:t>Samlet risikoeksponering</w:t>
            </w:r>
          </w:p>
          <w:p w14:paraId="7FE1B3AA" w14:textId="77777777" w:rsidR="00960E01" w:rsidRDefault="00821CB5">
            <w:pPr>
              <w:pStyle w:val="P68B1DB1-TableParagraph13"/>
              <w:spacing w:before="108"/>
              <w:jc w:val="both"/>
            </w:pPr>
            <w:r>
              <w:t>Den samlede risikoeksponering som defineret for COREP (OF): C 02.00; 010; 010</w:t>
            </w:r>
          </w:p>
          <w:p w14:paraId="7FE1B3AB" w14:textId="77777777" w:rsidR="00960E01" w:rsidRDefault="00821CB5">
            <w:pPr>
              <w:pStyle w:val="P68B1DB1-TableParagraph13"/>
              <w:spacing w:before="108"/>
              <w:jc w:val="both"/>
              <w:rPr>
                <w:b/>
              </w:rPr>
            </w:pPr>
            <w:r>
              <w:t>Denne post indberettes ikke for enheder, der ikke er institutter, eller enheder, der er omfattet af en dispensation i henhold til artikel 7 eller artikel 10 i forordning (EU) nr. 575/2013.</w:t>
            </w:r>
          </w:p>
        </w:tc>
      </w:tr>
      <w:tr w:rsidR="00960E01"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960E01" w:rsidRDefault="00821CB5">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960E01" w:rsidRDefault="00821CB5">
            <w:pPr>
              <w:pStyle w:val="P68B1DB1-TableParagraph14"/>
              <w:spacing w:before="108"/>
              <w:ind w:left="85"/>
              <w:jc w:val="both"/>
            </w:pPr>
            <w:r>
              <w:t>Samlet eksponeringsmål</w:t>
            </w:r>
          </w:p>
          <w:p w14:paraId="7FE1B3AF" w14:textId="32D53B0C" w:rsidR="00960E01" w:rsidRDefault="00821CB5">
            <w:pPr>
              <w:pStyle w:val="P68B1DB1-TableParagraph13"/>
              <w:spacing w:before="108"/>
              <w:ind w:left="85"/>
              <w:jc w:val="both"/>
            </w:pPr>
            <w:r>
              <w:t>Samlet eksponeringsmål for gearingsgraden som defineret for COREP (LR): C 47.00; 0290; 0010</w:t>
            </w:r>
          </w:p>
          <w:p w14:paraId="7FE1B3B0" w14:textId="77777777" w:rsidR="00960E01" w:rsidRDefault="00821CB5">
            <w:pPr>
              <w:pStyle w:val="P68B1DB1-TableParagraph13"/>
              <w:spacing w:before="108"/>
              <w:ind w:left="85"/>
              <w:jc w:val="both"/>
            </w:pPr>
            <w:r>
              <w:t>Denne post indberettes ikke for enheder, der ikke er institutter, eller enheder, der er omfattet af en dispensation i henhold til artikel 7 eller artikel 10 i forordning (EU) nr. 575/2013.</w:t>
            </w:r>
          </w:p>
        </w:tc>
      </w:tr>
      <w:tr w:rsidR="00960E01"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960E01" w:rsidRDefault="00821CB5">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960E01" w:rsidRDefault="00821CB5">
            <w:pPr>
              <w:pStyle w:val="P68B1DB1-TableParagraph14"/>
              <w:jc w:val="both"/>
              <w:rPr>
                <w:bCs/>
              </w:rPr>
            </w:pPr>
            <w:r>
              <w:t>Driftsindtægter i alt</w:t>
            </w:r>
          </w:p>
          <w:p w14:paraId="7FE1B3B4" w14:textId="77777777" w:rsidR="00960E01" w:rsidRDefault="00960E01">
            <w:pPr>
              <w:pStyle w:val="TableParagraph"/>
              <w:jc w:val="both"/>
              <w:rPr>
                <w:rFonts w:ascii="Times New Roman" w:hAnsi="Times New Roman" w:cs="Times New Roman"/>
                <w:b/>
                <w:bCs/>
                <w:color w:val="000000" w:themeColor="text1"/>
                <w:sz w:val="20"/>
                <w:szCs w:val="20"/>
              </w:rPr>
            </w:pPr>
          </w:p>
          <w:p w14:paraId="7FE1B3B5" w14:textId="77777777" w:rsidR="00960E01" w:rsidRDefault="00821CB5">
            <w:pPr>
              <w:pStyle w:val="P68B1DB1-TableParagraph13"/>
              <w:jc w:val="both"/>
            </w:pPr>
            <w:r>
              <w:t>Driftsindtægter i alt som defineret i FINREP — F 02.00; 355; 010</w:t>
            </w:r>
          </w:p>
          <w:p w14:paraId="7FE1B3B6" w14:textId="77777777" w:rsidR="00960E01" w:rsidRDefault="00960E01">
            <w:pPr>
              <w:pStyle w:val="TableParagraph"/>
              <w:jc w:val="both"/>
              <w:rPr>
                <w:rFonts w:ascii="Times New Roman" w:hAnsi="Times New Roman" w:cs="Times New Roman"/>
                <w:b/>
                <w:bCs/>
                <w:color w:val="000000" w:themeColor="text1"/>
                <w:sz w:val="20"/>
                <w:szCs w:val="20"/>
              </w:rPr>
            </w:pPr>
          </w:p>
        </w:tc>
      </w:tr>
      <w:tr w:rsidR="00960E01"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960E01" w:rsidRDefault="00821CB5">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960E01" w:rsidRDefault="00821CB5">
            <w:pPr>
              <w:pStyle w:val="P68B1DB1-TableParagraph14"/>
              <w:spacing w:before="108"/>
              <w:jc w:val="both"/>
            </w:pPr>
            <w:r>
              <w:t>Regnskabsstandard</w:t>
            </w:r>
          </w:p>
          <w:p w14:paraId="7FE1B3BF" w14:textId="77777777" w:rsidR="00960E01" w:rsidRDefault="00821CB5">
            <w:pPr>
              <w:pStyle w:val="P68B1DB1-TableParagraph13"/>
              <w:spacing w:before="108"/>
              <w:jc w:val="both"/>
            </w:pPr>
            <w:r>
              <w:t>Regnskabsstandarder, der anvendes af virksomheden. Angiv følgende forkortelser:</w:t>
            </w:r>
          </w:p>
          <w:p w14:paraId="7FE1B3C0" w14:textId="77777777" w:rsidR="00960E01" w:rsidRDefault="00821CB5">
            <w:pPr>
              <w:pStyle w:val="P68B1DB1-TableParagraph13"/>
              <w:numPr>
                <w:ilvl w:val="0"/>
                <w:numId w:val="68"/>
              </w:numPr>
              <w:spacing w:before="108"/>
              <w:jc w:val="both"/>
            </w:pPr>
            <w:r>
              <w:t>IFRS</w:t>
            </w:r>
          </w:p>
          <w:p w14:paraId="7FE1B3C1" w14:textId="77777777" w:rsidR="00960E01" w:rsidRDefault="00821CB5">
            <w:pPr>
              <w:pStyle w:val="P68B1DB1-TableParagraph13"/>
              <w:numPr>
                <w:ilvl w:val="0"/>
                <w:numId w:val="68"/>
              </w:numPr>
              <w:spacing w:before="108"/>
              <w:jc w:val="both"/>
            </w:pPr>
            <w:r>
              <w:t>nGAAP</w:t>
            </w:r>
          </w:p>
        </w:tc>
      </w:tr>
      <w:tr w:rsidR="00960E01"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960E01" w:rsidRDefault="00821CB5">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960E01" w:rsidRDefault="00821CB5">
            <w:pPr>
              <w:pStyle w:val="P68B1DB1-TableParagraph14"/>
              <w:spacing w:before="108"/>
              <w:jc w:val="both"/>
            </w:pPr>
            <w:r>
              <w:t xml:space="preserve">Bidrag til den samlede konsoliderede risikoeksponering </w:t>
            </w:r>
          </w:p>
          <w:p w14:paraId="7FE1B3D5" w14:textId="77777777" w:rsidR="00960E01" w:rsidRDefault="00821CB5">
            <w:pPr>
              <w:pStyle w:val="P68B1DB1-TableParagraph13"/>
              <w:spacing w:before="108"/>
              <w:jc w:val="both"/>
              <w:rPr>
                <w:b/>
              </w:rPr>
            </w:pPr>
            <w:r>
              <w:t xml:space="preserve">Beløb, som enheden bidrager med til den samlede konsoliderede risikoeksponering for den koncern, indberetningen vedrører. </w:t>
            </w:r>
          </w:p>
        </w:tc>
      </w:tr>
      <w:tr w:rsidR="00960E01"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960E01" w:rsidRDefault="00821CB5">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960E01" w:rsidRDefault="00821CB5">
            <w:pPr>
              <w:pStyle w:val="P68B1DB1-TableParagraph14"/>
              <w:spacing w:before="108"/>
              <w:ind w:left="85"/>
              <w:jc w:val="both"/>
            </w:pPr>
            <w:r>
              <w:t>Bidrag til det konsoliderede samlede eksponeringsmål</w:t>
            </w:r>
          </w:p>
          <w:p w14:paraId="7FE1B3D9" w14:textId="61219862" w:rsidR="00960E01" w:rsidRDefault="00821CB5">
            <w:pPr>
              <w:pStyle w:val="P68B1DB1-TableParagraph13"/>
              <w:spacing w:before="108"/>
              <w:ind w:left="85"/>
              <w:jc w:val="both"/>
              <w:rPr>
                <w:b/>
              </w:rPr>
            </w:pPr>
            <w:r>
              <w:t>Beløb, som enheden bidrager med til den samlede udsætningsmåling for den koncern, indberetningen vedrører.</w:t>
            </w:r>
          </w:p>
        </w:tc>
      </w:tr>
      <w:tr w:rsidR="00960E01"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960E01" w:rsidRDefault="00821CB5">
            <w:pPr>
              <w:pStyle w:val="P68B1DB1-TableParagraph13"/>
            </w:pPr>
            <w:r>
              <w:lastRenderedPageBreak/>
              <w:t>0280</w:t>
            </w:r>
          </w:p>
        </w:tc>
        <w:tc>
          <w:tcPr>
            <w:tcW w:w="7962" w:type="dxa"/>
            <w:tcBorders>
              <w:top w:val="single" w:sz="4" w:space="0" w:color="1A171C"/>
              <w:left w:val="single" w:sz="4" w:space="0" w:color="1A171C"/>
              <w:bottom w:val="single" w:sz="4" w:space="0" w:color="1A171C"/>
              <w:right w:val="nil"/>
            </w:tcBorders>
          </w:tcPr>
          <w:p w14:paraId="7FE1B3DC" w14:textId="75821A54" w:rsidR="00960E01" w:rsidRDefault="00821CB5">
            <w:pPr>
              <w:pStyle w:val="P68B1DB1-TableParagraph14"/>
              <w:jc w:val="both"/>
              <w:rPr>
                <w:bCs/>
              </w:rPr>
            </w:pPr>
            <w:r>
              <w:t>Bidrag til konsoliderede driftsindtægter</w:t>
            </w:r>
          </w:p>
          <w:p w14:paraId="7FE1B3DD" w14:textId="77777777" w:rsidR="00960E01" w:rsidRDefault="00960E01">
            <w:pPr>
              <w:pStyle w:val="TableParagraph"/>
              <w:jc w:val="both"/>
              <w:rPr>
                <w:rFonts w:ascii="Times New Roman" w:hAnsi="Times New Roman" w:cs="Times New Roman"/>
                <w:color w:val="000000" w:themeColor="text1"/>
                <w:sz w:val="20"/>
                <w:szCs w:val="20"/>
              </w:rPr>
            </w:pPr>
          </w:p>
          <w:p w14:paraId="7FE1B3DE" w14:textId="1B38FEC1" w:rsidR="00960E01" w:rsidRDefault="00821CB5">
            <w:pPr>
              <w:pStyle w:val="P68B1DB1-TableParagraph13"/>
              <w:jc w:val="both"/>
            </w:pPr>
            <w:r>
              <w:t>Det beløb, som Enheden bidrager til koncernens samlede regnskabsmæssige konsoliderede driftsindtægter.</w:t>
            </w:r>
          </w:p>
        </w:tc>
      </w:tr>
      <w:tr w:rsidR="00960E01"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960E01" w:rsidRDefault="00821CB5">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960E01" w:rsidRDefault="00821CB5">
            <w:pPr>
              <w:pStyle w:val="P68B1DB1-TableParagraph14"/>
              <w:spacing w:before="108"/>
              <w:ind w:left="85"/>
              <w:jc w:val="both"/>
              <w:rPr>
                <w:bCs/>
              </w:rPr>
            </w:pPr>
            <w:r>
              <w:t>Relevant juridisk enhed</w:t>
            </w:r>
          </w:p>
          <w:p w14:paraId="7FE1B3F1" w14:textId="75C7B029" w:rsidR="00960E01" w:rsidRDefault="00821CB5">
            <w:pPr>
              <w:pStyle w:val="P68B1DB1-TableParagraph13"/>
              <w:spacing w:before="108"/>
              <w:jc w:val="both"/>
            </w:pPr>
            <w:r>
              <w:t>Hvorvidt enheden er en relevant juridisk enhed i henhold til definitionen i denne forordnings artikel 1.</w:t>
            </w:r>
          </w:p>
          <w:p w14:paraId="7FE1B3F2" w14:textId="0E42CD28" w:rsidR="00960E01" w:rsidRDefault="00960E01">
            <w:pPr>
              <w:pStyle w:val="TableParagraph"/>
              <w:spacing w:before="108"/>
              <w:jc w:val="both"/>
              <w:rPr>
                <w:rFonts w:ascii="Times New Roman" w:hAnsi="Times New Roman" w:cs="Times New Roman"/>
                <w:color w:val="000000" w:themeColor="text1"/>
                <w:sz w:val="20"/>
                <w:szCs w:val="20"/>
              </w:rPr>
            </w:pPr>
          </w:p>
        </w:tc>
      </w:tr>
    </w:tbl>
    <w:p w14:paraId="7FE1B491" w14:textId="77777777" w:rsidR="00960E01" w:rsidRDefault="00960E01">
      <w:pPr>
        <w:rPr>
          <w:rFonts w:ascii="Times New Roman" w:hAnsi="Times New Roman" w:cs="Times New Roman"/>
        </w:rPr>
      </w:pPr>
    </w:p>
    <w:p w14:paraId="7FE1B492" w14:textId="77777777" w:rsidR="00960E01" w:rsidRDefault="00821CB5">
      <w:pPr>
        <w:pStyle w:val="P68B1DB1-Instructionsberschrift25"/>
        <w:numPr>
          <w:ilvl w:val="1"/>
          <w:numId w:val="49"/>
        </w:numPr>
        <w:ind w:left="357" w:hanging="357"/>
      </w:pPr>
      <w:bookmarkStart w:id="22" w:name="_Toc81454178"/>
      <w:bookmarkStart w:id="23" w:name="_Toc208244552"/>
      <w:r>
        <w:t>Z 01.02 — Ejerskab (ORG 2)</w:t>
      </w:r>
      <w:bookmarkEnd w:id="22"/>
      <w:bookmarkEnd w:id="23"/>
    </w:p>
    <w:p w14:paraId="7FE1B493" w14:textId="77777777" w:rsidR="00960E01" w:rsidRDefault="00821CB5">
      <w:pPr>
        <w:pStyle w:val="Instructionsberschrift3"/>
      </w:pPr>
      <w:r>
        <w:t>Generelle bemærkninger</w:t>
      </w:r>
    </w:p>
    <w:p w14:paraId="50A00AA9" w14:textId="77777777" w:rsidR="00960E01" w:rsidRDefault="00821CB5">
      <w:pPr>
        <w:pStyle w:val="P68B1DB1-InstructionsText26"/>
        <w:numPr>
          <w:ilvl w:val="0"/>
          <w:numId w:val="234"/>
        </w:numPr>
        <w:spacing w:before="0"/>
      </w:pPr>
      <w:r>
        <w:t xml:space="preserve">Dette skema giver et overblik over koncernens juridiske struktur og ejerforhold. Der skal indsendes et enkelt skema for alle koncernenheder, der er omfattet af den regnskabsmæssige konsolidering. </w:t>
      </w:r>
    </w:p>
    <w:p w14:paraId="7FE1B494" w14:textId="57A6BCE4" w:rsidR="00960E01" w:rsidRDefault="00821CB5">
      <w:pPr>
        <w:pStyle w:val="P68B1DB1-InstructionsText26"/>
        <w:numPr>
          <w:ilvl w:val="0"/>
          <w:numId w:val="234"/>
        </w:numPr>
        <w:spacing w:before="0"/>
      </w:pPr>
      <w:r>
        <w:t xml:space="preserve">Afviklingsenheder, der ikke er en del af en koncern, der er underlagt konsolideret tilsyn, forventes også at fremlægge denne rapport. </w:t>
      </w:r>
    </w:p>
    <w:p w14:paraId="7FE1B496" w14:textId="77777777" w:rsidR="00960E01" w:rsidRDefault="00821CB5">
      <w:pPr>
        <w:pStyle w:val="P68B1DB1-InstructionsText26"/>
        <w:numPr>
          <w:ilvl w:val="0"/>
          <w:numId w:val="234"/>
        </w:numPr>
        <w:spacing w:before="0"/>
      </w:pPr>
      <w:r>
        <w:t>Dette skema skal indeholde en liste over alle aktionærer (eller tilsvarende) i koncernens enheder med mere end 2 % af aktiekapitalen (eller tilsvarende) eller stemmerettigheder og alle kapitalandele (eller tilsvarende), der besiddes af enheder i koncernen.</w:t>
      </w:r>
    </w:p>
    <w:p w14:paraId="7FE1B497" w14:textId="77777777" w:rsidR="00960E01" w:rsidRDefault="00821CB5">
      <w:pPr>
        <w:pStyle w:val="P68B1DB1-Instructionsberschrift312"/>
      </w:pPr>
      <w:r>
        <w:t>Instrukser vedrørende specifikke positioner</w:t>
      </w:r>
    </w:p>
    <w:tbl>
      <w:tblPr>
        <w:tblW w:w="0" w:type="auto"/>
        <w:tblCellMar>
          <w:top w:w="57" w:type="dxa"/>
          <w:left w:w="57" w:type="dxa"/>
          <w:bottom w:w="57" w:type="dxa"/>
          <w:right w:w="0" w:type="dxa"/>
        </w:tblCellMar>
        <w:tblLook w:val="01E0" w:firstRow="1" w:lastRow="1" w:firstColumn="1" w:lastColumn="1" w:noHBand="0" w:noVBand="0"/>
      </w:tblPr>
      <w:tblGrid>
        <w:gridCol w:w="849"/>
        <w:gridCol w:w="8177"/>
      </w:tblGrid>
      <w:tr w:rsidR="00960E01"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960E01" w:rsidRDefault="00821CB5">
            <w:pPr>
              <w:pStyle w:val="P68B1DB1-TableParagraph13"/>
              <w:spacing w:before="66"/>
              <w:rPr>
                <w:rFonts w:eastAsia="Cambria"/>
              </w:rPr>
            </w:pPr>
            <w:r>
              <w:t>Kolonner</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960E01" w:rsidRDefault="00821CB5">
            <w:pPr>
              <w:pStyle w:val="P68B1DB1-TableParagraph13"/>
              <w:spacing w:before="66"/>
              <w:ind w:right="1"/>
              <w:jc w:val="center"/>
              <w:rPr>
                <w:rFonts w:eastAsia="Cambria"/>
              </w:rPr>
            </w:pPr>
            <w:r>
              <w:t>Instrukser</w:t>
            </w:r>
          </w:p>
        </w:tc>
      </w:tr>
      <w:tr w:rsidR="00960E01"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960E01" w:rsidRDefault="00821CB5">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960E01" w:rsidRDefault="00821CB5">
            <w:pPr>
              <w:pStyle w:val="P68B1DB1-TableParagraph14"/>
              <w:spacing w:before="108"/>
              <w:ind w:left="85"/>
            </w:pPr>
            <w:r>
              <w:t>Investorer</w:t>
            </w:r>
          </w:p>
        </w:tc>
      </w:tr>
      <w:tr w:rsidR="00960E01"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960E01" w:rsidRDefault="00821CB5">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960E01" w:rsidRDefault="00821CB5">
            <w:pPr>
              <w:pStyle w:val="P68B1DB1-TableParagraph14"/>
              <w:spacing w:before="108"/>
              <w:ind w:left="85"/>
              <w:jc w:val="both"/>
              <w:rPr>
                <w:bCs/>
              </w:rPr>
            </w:pPr>
            <w:r>
              <w:t xml:space="preserve">Navn </w:t>
            </w:r>
          </w:p>
          <w:p w14:paraId="7FE1B4A1" w14:textId="77777777" w:rsidR="00960E01" w:rsidRDefault="00821CB5">
            <w:pPr>
              <w:pStyle w:val="P68B1DB1-TableParagraph17"/>
              <w:spacing w:before="108"/>
              <w:ind w:left="85"/>
              <w:rPr>
                <w:rFonts w:eastAsia="Book Antiqua"/>
              </w:rPr>
            </w:pPr>
            <w:r>
              <w:t>I DPD, dvs. fuld navn eller betegnelse på Investoren.</w:t>
            </w:r>
          </w:p>
        </w:tc>
      </w:tr>
      <w:tr w:rsidR="00960E01"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960E01" w:rsidRDefault="00821CB5">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680C1CF3" w:rsidR="00960E01" w:rsidRDefault="00821CB5">
            <w:pPr>
              <w:pStyle w:val="P68B1DB1-TableParagraph14"/>
              <w:spacing w:before="108"/>
              <w:ind w:left="85"/>
              <w:jc w:val="both"/>
              <w:rPr>
                <w:bCs/>
              </w:rPr>
            </w:pPr>
            <w:r>
              <w:t xml:space="preserve">Kode </w:t>
            </w:r>
          </w:p>
          <w:p w14:paraId="7FE1B4A5" w14:textId="77777777" w:rsidR="00960E01" w:rsidRDefault="00821CB5">
            <w:pPr>
              <w:pStyle w:val="P68B1DB1-TableParagraph17"/>
              <w:spacing w:before="108"/>
              <w:ind w:left="85"/>
            </w:pPr>
            <w:r>
              <w:t>Entydig identifikator for den juridiske enhed eller investoren refereret i kolonne 0010.</w:t>
            </w:r>
          </w:p>
          <w:p w14:paraId="7FE1B4A6" w14:textId="77777777" w:rsidR="00960E01" w:rsidRDefault="00821CB5">
            <w:pPr>
              <w:pStyle w:val="P68B1DB1-TableParagraph17"/>
              <w:spacing w:before="108"/>
              <w:ind w:left="85"/>
            </w:pPr>
            <w:r>
              <w:t>Hvis investoren er en koncernenhed, skal koden være de samme som den, der er angivet i skema Z 01.01 (ORG 1). Hvis investoren ikke er en koncernenhed, er koden:</w:t>
            </w:r>
          </w:p>
          <w:p w14:paraId="7FE1B4A7" w14:textId="77777777" w:rsidR="00960E01" w:rsidRDefault="00821CB5">
            <w:pPr>
              <w:pStyle w:val="P68B1DB1-TableParagraph17"/>
              <w:numPr>
                <w:ilvl w:val="0"/>
                <w:numId w:val="64"/>
              </w:numPr>
              <w:spacing w:before="108"/>
            </w:pPr>
            <w:r>
              <w:t>for institutter med en identifikator for juridiske enheder (LEI), den 20-cifrede alfanumeriske LEI-kode</w:t>
            </w:r>
          </w:p>
          <w:p w14:paraId="7FE1B4A8" w14:textId="7457E21A" w:rsidR="00960E01" w:rsidRDefault="00821CB5">
            <w:pPr>
              <w:pStyle w:val="P68B1DB1-TableParagraph17"/>
              <w:numPr>
                <w:ilvl w:val="0"/>
                <w:numId w:val="64"/>
              </w:numPr>
              <w:spacing w:before="108"/>
            </w:pPr>
            <w:r>
              <w:t>hvis de ikke foreligger, anvendes MFI-koden eller en kode i henhold til en ensartet kodifikation, der gælder i Unionen.</w:t>
            </w:r>
          </w:p>
          <w:p w14:paraId="7FE1B4A9" w14:textId="77777777" w:rsidR="00960E01" w:rsidRDefault="00821CB5">
            <w:pPr>
              <w:pStyle w:val="P68B1DB1-TableParagraph17"/>
              <w:spacing w:before="108"/>
              <w:ind w:left="85"/>
            </w:pPr>
            <w:r>
              <w:t>For begge tilfælde skal koden være unik og anvendes konsekvent i alle skemaerne.</w:t>
            </w:r>
          </w:p>
        </w:tc>
      </w:tr>
      <w:tr w:rsidR="00960E01"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960E01" w:rsidRDefault="00821CB5">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960E01" w:rsidRDefault="00821CB5">
            <w:pPr>
              <w:pStyle w:val="P68B1DB1-TableParagraph14"/>
              <w:spacing w:before="108"/>
              <w:ind w:left="85"/>
              <w:jc w:val="both"/>
              <w:rPr>
                <w:bCs/>
              </w:rPr>
            </w:pPr>
            <w:r>
              <w:t>Kodetype</w:t>
            </w:r>
          </w:p>
          <w:p w14:paraId="560AED27" w14:textId="77777777" w:rsidR="00960E01" w:rsidRDefault="00821CB5">
            <w:pPr>
              <w:pStyle w:val="P68B1DB1-Normal18"/>
            </w:pPr>
            <w:r>
              <w:t xml:space="preserve">Hvis investoren er en koncernenhed, skal koden være de samme som den, der er angivet i skema Z 01.01 (ORG 1). </w:t>
            </w:r>
          </w:p>
          <w:p w14:paraId="2DC78FBF" w14:textId="77777777" w:rsidR="00960E01" w:rsidRDefault="00960E01">
            <w:pPr>
              <w:rPr>
                <w:rFonts w:ascii="Times New Roman" w:hAnsi="Times New Roman" w:cs="Times New Roman"/>
                <w:sz w:val="20"/>
                <w:szCs w:val="20"/>
              </w:rPr>
            </w:pPr>
          </w:p>
          <w:p w14:paraId="3C91DA4D" w14:textId="535D128A" w:rsidR="00960E01" w:rsidRDefault="00821CB5">
            <w:pPr>
              <w:pStyle w:val="P68B1DB1-Normal19"/>
              <w:rPr>
                <w:rFonts w:eastAsiaTheme="minorHAnsi"/>
              </w:rPr>
            </w:pPr>
            <w:r>
              <w:t>Vælges blandt følgende muligheder: "LEI-kode", "MFI-kode" eller "Identifikationstype, bortset fra LEI- eller MFI-kode".</w:t>
            </w:r>
          </w:p>
          <w:p w14:paraId="7FE1B4B2" w14:textId="77777777" w:rsidR="00960E01" w:rsidRDefault="00821CB5">
            <w:pPr>
              <w:pStyle w:val="P68B1DB1-TableParagraph17"/>
              <w:spacing w:before="108"/>
            </w:pPr>
            <w:r>
              <w:lastRenderedPageBreak/>
              <w:t>Til identifikation af enheder eller investorer anvendes kode- og typeparret konsekvent på tværs af skemaerne.</w:t>
            </w:r>
          </w:p>
        </w:tc>
      </w:tr>
      <w:tr w:rsidR="00960E01"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960E01" w:rsidRDefault="00821CB5">
            <w:pPr>
              <w:pStyle w:val="P68B1DB1-TableParagraph13"/>
              <w:spacing w:before="106"/>
              <w:ind w:left="-1"/>
            </w:pPr>
            <w:r>
              <w:lastRenderedPageBreak/>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960E01" w:rsidRDefault="00821CB5">
            <w:pPr>
              <w:pStyle w:val="P68B1DB1-TableParagraph14"/>
              <w:spacing w:before="108"/>
              <w:ind w:left="85"/>
              <w:jc w:val="both"/>
              <w:rPr>
                <w:bCs/>
              </w:rPr>
            </w:pPr>
            <w:r>
              <w:t>Enhed, der er investeret i</w:t>
            </w:r>
          </w:p>
        </w:tc>
      </w:tr>
      <w:tr w:rsidR="00960E01"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960E01" w:rsidRDefault="00821CB5">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960E01" w:rsidRDefault="00821CB5">
            <w:pPr>
              <w:pStyle w:val="P68B1DB1-TableParagraph14"/>
              <w:spacing w:before="108"/>
              <w:ind w:left="85"/>
              <w:jc w:val="both"/>
              <w:rPr>
                <w:bCs/>
              </w:rPr>
            </w:pPr>
            <w:r>
              <w:t xml:space="preserve">Navn </w:t>
            </w:r>
          </w:p>
          <w:p w14:paraId="7FE1B4B9" w14:textId="77777777" w:rsidR="00960E01" w:rsidRDefault="00821CB5">
            <w:pPr>
              <w:pStyle w:val="P68B1DB1-TableParagraph13"/>
              <w:spacing w:before="108"/>
              <w:ind w:left="85"/>
              <w:jc w:val="both"/>
              <w:rPr>
                <w:bCs/>
              </w:rPr>
            </w:pPr>
            <w:r>
              <w:t>I DPD, dvs. det fulde navn eller betegnelse på Investee.</w:t>
            </w:r>
          </w:p>
        </w:tc>
      </w:tr>
      <w:tr w:rsidR="00960E01"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960E01" w:rsidRDefault="00821CB5">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33BF973B" w:rsidR="00960E01" w:rsidRDefault="00821CB5">
            <w:pPr>
              <w:pStyle w:val="P68B1DB1-TableParagraph14"/>
              <w:spacing w:before="108"/>
              <w:ind w:left="85"/>
              <w:jc w:val="both"/>
              <w:rPr>
                <w:bCs/>
              </w:rPr>
            </w:pPr>
            <w:r>
              <w:t xml:space="preserve">Kode </w:t>
            </w:r>
          </w:p>
          <w:p w14:paraId="7FE1B4BD" w14:textId="77777777" w:rsidR="00960E01" w:rsidRDefault="00821CB5">
            <w:pPr>
              <w:pStyle w:val="P68B1DB1-TableParagraph13"/>
              <w:spacing w:before="108"/>
              <w:ind w:left="85"/>
              <w:jc w:val="both"/>
              <w:rPr>
                <w:bCs/>
              </w:rPr>
            </w:pPr>
            <w:r>
              <w:t>Entydig identifikator for den juridiske enhed eller investoren som refereres i kolonne 0010.</w:t>
            </w:r>
          </w:p>
          <w:p w14:paraId="7FE1B4BE" w14:textId="77777777" w:rsidR="00960E01" w:rsidRDefault="00821CB5">
            <w:pPr>
              <w:pStyle w:val="P68B1DB1-TableParagraph13"/>
              <w:spacing w:before="108"/>
              <w:ind w:left="85"/>
              <w:jc w:val="both"/>
              <w:rPr>
                <w:bCs/>
              </w:rPr>
            </w:pPr>
            <w:r>
              <w:t>Hvis investeringsobjektet er en koncernenhed, skal koden være de samme som den, der er angivet i skema Z 01.01 (ORG 1). Hvis investeringsobjektet ikke er en koncernenhed, er koden:</w:t>
            </w:r>
          </w:p>
          <w:p w14:paraId="4B3351AF" w14:textId="77777777" w:rsidR="00960E01" w:rsidRDefault="00821CB5">
            <w:pPr>
              <w:pStyle w:val="P68B1DB1-TableParagraph13"/>
              <w:numPr>
                <w:ilvl w:val="0"/>
                <w:numId w:val="64"/>
              </w:numPr>
              <w:spacing w:before="108"/>
              <w:rPr>
                <w:bCs/>
              </w:rPr>
            </w:pPr>
            <w:r>
              <w:t>for institutter med en identifikator for juridiske enheder (LEI), den 20-cifrede alfanumeriske LEI-kode</w:t>
            </w:r>
          </w:p>
          <w:p w14:paraId="7FE1B4C0" w14:textId="1326FF82" w:rsidR="00960E01" w:rsidRDefault="00821CB5">
            <w:pPr>
              <w:pStyle w:val="P68B1DB1-TableParagraph13"/>
              <w:numPr>
                <w:ilvl w:val="0"/>
                <w:numId w:val="64"/>
              </w:numPr>
              <w:spacing w:before="108"/>
              <w:rPr>
                <w:bCs/>
              </w:rPr>
            </w:pPr>
            <w:r>
              <w:t>—</w:t>
            </w:r>
            <w:r>
              <w:tab/>
              <w:t>hvis de ikke foreligger, anvendes MFI-koden eller en kode i henhold til en ensartet kodifikation, der gælder i Unionen.</w:t>
            </w:r>
          </w:p>
          <w:p w14:paraId="7FE1B4C1" w14:textId="77777777" w:rsidR="00960E01" w:rsidRDefault="00821CB5">
            <w:pPr>
              <w:pStyle w:val="P68B1DB1-TableParagraph13"/>
              <w:spacing w:before="108"/>
              <w:ind w:left="85"/>
              <w:jc w:val="both"/>
              <w:rPr>
                <w:b/>
                <w:bCs/>
              </w:rPr>
            </w:pPr>
            <w:r>
              <w:t>For begge tilfælde skal koden være unik og anvendes konsekvent i alle skemaerne.</w:t>
            </w:r>
          </w:p>
        </w:tc>
      </w:tr>
      <w:tr w:rsidR="00960E01"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960E01" w:rsidRDefault="00821CB5">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960E01" w:rsidRDefault="00821CB5">
            <w:pPr>
              <w:pStyle w:val="P68B1DB1-TableParagraph14"/>
              <w:spacing w:before="108"/>
              <w:ind w:left="85"/>
              <w:jc w:val="both"/>
              <w:rPr>
                <w:bCs/>
              </w:rPr>
            </w:pPr>
            <w:r>
              <w:t>Kodetype</w:t>
            </w:r>
          </w:p>
          <w:p w14:paraId="7FE1B4C5" w14:textId="77777777" w:rsidR="00960E01" w:rsidRDefault="00821CB5">
            <w:pPr>
              <w:pStyle w:val="P68B1DB1-TableParagraph13"/>
              <w:spacing w:before="108"/>
              <w:ind w:left="85"/>
              <w:jc w:val="both"/>
              <w:rPr>
                <w:bCs/>
              </w:rPr>
            </w:pPr>
            <w:r>
              <w:t xml:space="preserve">Hvis investeringsobjektet er en koncernenhed, skal koden være de samme som den, der er angivet i skema Z 01.01 (ORG 1). </w:t>
            </w:r>
          </w:p>
          <w:p w14:paraId="783CEC76" w14:textId="13C64C21" w:rsidR="00960E01" w:rsidRDefault="00821CB5">
            <w:pPr>
              <w:pStyle w:val="P68B1DB1-TableParagraph13"/>
              <w:spacing w:before="108"/>
              <w:ind w:left="85"/>
              <w:jc w:val="both"/>
              <w:rPr>
                <w:bCs/>
              </w:rPr>
            </w:pPr>
            <w:r>
              <w:t>Vælges blandt følgende muligheder: "LEI-kode", "MFI-kode" eller "Identifikationstype, bortset fra LEI- eller MFI-kode".</w:t>
            </w:r>
          </w:p>
          <w:p w14:paraId="7FE1B4CA" w14:textId="092DA599" w:rsidR="00960E01" w:rsidRDefault="00821CB5">
            <w:pPr>
              <w:pStyle w:val="P68B1DB1-TableParagraph17"/>
              <w:spacing w:before="108"/>
            </w:pPr>
            <w:r>
              <w:t>Kodetypen skal altid indberettes.</w:t>
            </w:r>
          </w:p>
          <w:p w14:paraId="7FE1B4CB" w14:textId="77777777" w:rsidR="00960E01" w:rsidRDefault="00821CB5">
            <w:pPr>
              <w:pStyle w:val="P68B1DB1-TableParagraph13"/>
              <w:spacing w:before="108"/>
              <w:ind w:left="85"/>
              <w:rPr>
                <w:b/>
                <w:bCs/>
              </w:rPr>
            </w:pPr>
            <w:r>
              <w:t>Til identifikation af enheder eller virksomheder, der er investeret i, anvendes kode- og typeparret konsekvent i skemaerne.</w:t>
            </w:r>
          </w:p>
        </w:tc>
      </w:tr>
      <w:tr w:rsidR="00960E01"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960E01" w:rsidRDefault="00821CB5">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960E01" w:rsidRDefault="00821CB5">
            <w:pPr>
              <w:pStyle w:val="P68B1DB1-TableParagraph14"/>
              <w:spacing w:before="108"/>
              <w:ind w:left="85"/>
            </w:pPr>
            <w:r>
              <w:t>Den internationale afdeling</w:t>
            </w:r>
          </w:p>
          <w:p w14:paraId="7FE1B4CF" w14:textId="77777777" w:rsidR="00960E01" w:rsidRDefault="00821CB5">
            <w:pPr>
              <w:pStyle w:val="P68B1DB1-TableParagraph13"/>
              <w:spacing w:before="108"/>
              <w:ind w:left="85"/>
              <w:jc w:val="both"/>
            </w:pPr>
            <w:r>
              <w:t>Angiv følgende forkortelser:</w:t>
            </w:r>
          </w:p>
          <w:p w14:paraId="7FE1B4D0" w14:textId="0F2F9A3D" w:rsidR="00960E01" w:rsidRDefault="00821CB5">
            <w:pPr>
              <w:pStyle w:val="P68B1DB1-TableParagraph13"/>
              <w:spacing w:before="108"/>
              <w:ind w:left="85"/>
              <w:jc w:val="both"/>
            </w:pPr>
            <w:r>
              <w:t>Ja — hvis den enhed, der er investeret i, er en international filial af investoren.</w:t>
            </w:r>
          </w:p>
          <w:p w14:paraId="7FE1B4D1" w14:textId="303CCEBB" w:rsidR="00960E01" w:rsidRDefault="00821CB5">
            <w:pPr>
              <w:pStyle w:val="P68B1DB1-TableParagraph13"/>
              <w:spacing w:before="108"/>
              <w:ind w:left="85"/>
              <w:jc w:val="both"/>
              <w:rPr>
                <w:b/>
                <w:bCs/>
              </w:rPr>
            </w:pPr>
            <w:r>
              <w:t>Nej — for juridiske enheder:</w:t>
            </w:r>
          </w:p>
        </w:tc>
      </w:tr>
      <w:tr w:rsidR="00960E01"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960E01" w:rsidRDefault="00821CB5">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960E01" w:rsidRDefault="00821CB5">
            <w:pPr>
              <w:pStyle w:val="P68B1DB1-TableParagraph14"/>
              <w:spacing w:before="108"/>
              <w:ind w:left="85"/>
              <w:jc w:val="both"/>
              <w:rPr>
                <w:bCs/>
              </w:rPr>
            </w:pPr>
            <w:r>
              <w:t>Ejendomsret</w:t>
            </w:r>
          </w:p>
        </w:tc>
      </w:tr>
      <w:tr w:rsidR="00960E01"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960E01" w:rsidRDefault="00821CB5">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960E01" w:rsidRDefault="00821CB5">
            <w:pPr>
              <w:pStyle w:val="P68B1DB1-TableParagraph14"/>
              <w:spacing w:before="108"/>
              <w:ind w:left="85"/>
              <w:jc w:val="both"/>
            </w:pPr>
            <w:r>
              <w:t>Aktiekapital</w:t>
            </w:r>
          </w:p>
          <w:p w14:paraId="7FE1B4D8" w14:textId="77777777" w:rsidR="00960E01" w:rsidRDefault="00821CB5">
            <w:pPr>
              <w:pStyle w:val="P68B1DB1-TableParagraph17"/>
              <w:spacing w:before="108"/>
              <w:ind w:left="85"/>
              <w:jc w:val="both"/>
            </w:pPr>
            <w:r>
              <w:t>Investorens aktiekapital, ekskl. reserver. Hvis der er tale om en international filial, skal feltet være tomt.</w:t>
            </w:r>
          </w:p>
        </w:tc>
      </w:tr>
      <w:tr w:rsidR="00960E01"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960E01" w:rsidRDefault="00821CB5">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960E01" w:rsidRDefault="00821CB5">
            <w:pPr>
              <w:pStyle w:val="P68B1DB1-TableParagraph14"/>
              <w:spacing w:before="108"/>
              <w:ind w:left="85"/>
              <w:rPr>
                <w:rFonts w:eastAsia="Book Antiqua"/>
              </w:rPr>
            </w:pPr>
            <w:r>
              <w:t>Stemmerettigheder i enheden</w:t>
            </w:r>
          </w:p>
          <w:p w14:paraId="7FE1B4DC" w14:textId="77777777" w:rsidR="00960E01" w:rsidRDefault="00821CB5">
            <w:pPr>
              <w:pStyle w:val="P68B1DB1-TableParagraph17"/>
              <w:spacing w:before="108"/>
              <w:ind w:left="85"/>
              <w:jc w:val="both"/>
              <w:rPr>
                <w:b/>
              </w:rPr>
            </w:pPr>
            <w:r>
              <w:t>Procentdel af stemmerettigheder, der indehaves af investoren. Denne oplysning er kun påkrævet, hvis én aktie ikke er lig med én stemme (således at stemmerettighederne ikke svarer til aktiekapitalen). Hvis der er tale om en international filial, skal feltet være tomt.</w:t>
            </w:r>
          </w:p>
        </w:tc>
      </w:tr>
    </w:tbl>
    <w:p w14:paraId="7FE1B4DE" w14:textId="77777777" w:rsidR="00960E01" w:rsidRDefault="00960E01">
      <w:pPr>
        <w:rPr>
          <w:rFonts w:ascii="Times New Roman" w:hAnsi="Times New Roman" w:cs="Times New Roman"/>
        </w:rPr>
      </w:pPr>
    </w:p>
    <w:p w14:paraId="7FE1B4DF" w14:textId="77777777" w:rsidR="00960E01" w:rsidRDefault="00960E01">
      <w:pPr>
        <w:rPr>
          <w:rFonts w:ascii="Times New Roman" w:hAnsi="Times New Roman" w:cs="Times New Roman"/>
        </w:rPr>
      </w:pPr>
    </w:p>
    <w:p w14:paraId="7FE1B4E1" w14:textId="77777777" w:rsidR="00960E01" w:rsidRDefault="00821CB5">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55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Udspecificering af forpligtelser (LIAB 1)</w:t>
      </w:r>
      <w:bookmarkEnd w:id="54"/>
      <w:bookmarkEnd w:id="55"/>
      <w:bookmarkEnd w:id="56"/>
    </w:p>
    <w:p w14:paraId="7FE1B4E2" w14:textId="77777777" w:rsidR="00960E01" w:rsidRDefault="00821CB5">
      <w:pPr>
        <w:pStyle w:val="Instructionsberschrift3"/>
      </w:pPr>
      <w:r>
        <w:t>Generelle bemærkninger</w:t>
      </w:r>
    </w:p>
    <w:p w14:paraId="7FE1B4E3" w14:textId="190D578F" w:rsidR="00960E01" w:rsidRDefault="00821CB5">
      <w:pPr>
        <w:pStyle w:val="P68B1DB1-InstructionsText26"/>
        <w:numPr>
          <w:ilvl w:val="0"/>
          <w:numId w:val="233"/>
        </w:numPr>
        <w:spacing w:before="0"/>
      </w:pPr>
      <w:r>
        <w:lastRenderedPageBreak/>
        <w:t>I dette skema skal der gives en detaljeret udspecificering af forpligtelsesstrukturen i enheden eller koncernen. Forpligtelserne opdeles i hhv. forpligtelser, der er udelukket fra bail-in, og forpligtelser, der ikke er udelukket fra bail-in. Yderligere opdeling efter passivkategorier, modpart og restløbetid angives.</w:t>
      </w:r>
    </w:p>
    <w:p w14:paraId="7FE1B4E4" w14:textId="77777777" w:rsidR="00960E01" w:rsidRDefault="00821CB5">
      <w:pPr>
        <w:pStyle w:val="P68B1DB1-InstructionsText26"/>
        <w:numPr>
          <w:ilvl w:val="0"/>
          <w:numId w:val="233"/>
        </w:numPr>
        <w:spacing w:before="0"/>
      </w:pPr>
      <w:r>
        <w:t>Hvor der foretages en opdeling efter løbetid i dette skema, er restløbetiden tidsrummet indtil den kontraktlige udløbsdato. Som undtagelse herfra gælder følgende:</w:t>
      </w:r>
    </w:p>
    <w:p w14:paraId="7FE1B4E5" w14:textId="77777777" w:rsidR="00960E01" w:rsidRDefault="00821CB5">
      <w:pPr>
        <w:pStyle w:val="P68B1DB1-InstructionsText26"/>
        <w:numPr>
          <w:ilvl w:val="1"/>
          <w:numId w:val="233"/>
        </w:numPr>
        <w:spacing w:before="0"/>
      </w:pPr>
      <w:r>
        <w:t>Hvis et passivinstrument omfatter en option på indfrielse, som indehaveren kan udøve inden udløbet af instrumentets oprindelige løbetid, defineres instrumentets løbetid som den tidligst mulige dato, hvor indehaveren kan udøve optionen på indfrielse og anmode om indfrielse eller tilbagebetaling af instrumentet.</w:t>
      </w:r>
    </w:p>
    <w:p w14:paraId="7FE1B4E6" w14:textId="77777777" w:rsidR="00960E01" w:rsidRDefault="00821CB5">
      <w:pPr>
        <w:pStyle w:val="P68B1DB1-InstructionsText26"/>
        <w:numPr>
          <w:ilvl w:val="1"/>
          <w:numId w:val="233"/>
        </w:numPr>
        <w:spacing w:before="0"/>
      </w:pPr>
      <w:r>
        <w:t>Hvis et passivinstrument omfatter et incitament for udstederen til at opkræve, indfri, tilbagebetale eller genkøbe instrumentet inden udløbet af instrumentets oprindelige løbetid, defineres instrumentets løbetid med henblik på stk. 1 som den tidligst mulige dato, hvor udstederen kan udøve optionen og anmode om indfrielse eller tilbagebetaling af instrumentet.</w:t>
      </w:r>
    </w:p>
    <w:p w14:paraId="7FE1B4E8" w14:textId="77777777" w:rsidR="00960E01" w:rsidRDefault="00821CB5">
      <w:pPr>
        <w:pStyle w:val="P68B1DB1-InstructionsText26"/>
        <w:numPr>
          <w:ilvl w:val="0"/>
          <w:numId w:val="233"/>
        </w:numPr>
        <w:spacing w:before="0"/>
      </w:pPr>
      <w:r>
        <w:t>I forbindelse med mellemliggende betalinger af afdrag på hovedstolen skal hovedstolen deles op og fordeles på de dertil svarende løbetidskurver. I givet fald betragtes løbetiden separat for både hovedstolen og påløbne renter.</w:t>
      </w:r>
    </w:p>
    <w:p w14:paraId="7FE1B4E9" w14:textId="7225004D" w:rsidR="00960E01" w:rsidRDefault="00821CB5">
      <w:pPr>
        <w:pStyle w:val="P68B1DB1-InstructionsText26"/>
        <w:numPr>
          <w:ilvl w:val="0"/>
          <w:numId w:val="233"/>
        </w:numPr>
        <w:spacing w:before="0"/>
      </w:pPr>
      <w:r>
        <w:t>I visse specifikke tilfælde afhænger et givet instruments løbetid af eksterne faktorer, som instituttet kun har ringe eller ingen indflydelse på. I sådanne tilfælde betragtes den første dato, hvor sådanne begivenheder kan føre til tilbagebetaling, som den tidligste indløsningsdato.</w:t>
      </w:r>
    </w:p>
    <w:p w14:paraId="7FE1B4EA" w14:textId="77777777" w:rsidR="00960E01" w:rsidRDefault="00821CB5">
      <w:pPr>
        <w:pStyle w:val="P68B1DB1-InstructionsText26"/>
        <w:numPr>
          <w:ilvl w:val="0"/>
          <w:numId w:val="233"/>
        </w:numPr>
        <w:spacing w:before="0"/>
      </w:pPr>
      <w:r>
        <w:t>I andre tilfælde er der i kontrakterne ikke fastsat nogen specifik forfaldsdato, f.eks. anfordringsindskud eller indlån på anfordring. I disse tilfælde anses passiverne for at have en mulig løbetid på den første mulige dato, dvs. næste/én dag efter indberetningsdatoen.</w:t>
      </w:r>
    </w:p>
    <w:p w14:paraId="7FE1B4EB" w14:textId="7998FDEF" w:rsidR="00960E01" w:rsidRDefault="00821CB5">
      <w:pPr>
        <w:pStyle w:val="P68B1DB1-InstructionsText26"/>
        <w:numPr>
          <w:ilvl w:val="0"/>
          <w:numId w:val="233"/>
        </w:numPr>
        <w:spacing w:before="0"/>
      </w:pPr>
      <w:r>
        <w:t>For indskud skelnes der i indskudsgarantiordningernes dækning ikke nødvendigvis mellem de løbetider, der anses for at være dækkede, hvis der findes forskellige løbetider. For at opdele den ikke-dækkede del i løbetidskurve anmodes institutterne derfor om at anvende en pro rata-metode for den samlede dækning og fordele den ikke-dækkede del tilsvarende over løbetiden for de underliggende indskud, medmindre specifikke bestemmelser som følge af gennemførelsen af direktiv 2014/49/EU i national ret finder anvendelse.</w:t>
      </w:r>
    </w:p>
    <w:p w14:paraId="7FE1B4EC" w14:textId="333CC915" w:rsidR="00960E01" w:rsidRDefault="00821CB5">
      <w:pPr>
        <w:pStyle w:val="P68B1DB1-InstructionsText26"/>
        <w:numPr>
          <w:ilvl w:val="0"/>
          <w:numId w:val="233"/>
        </w:numPr>
        <w:spacing w:before="0"/>
      </w:pPr>
      <w:r>
        <w:t>Hvis en forpligtelse opfylder flere kriterier og kan indberettes i flere rækker i intervallet r0110 til r0210, indberettes det kun i én række, hvilket er den med det laveste antal rækker i dette skema.</w:t>
      </w:r>
    </w:p>
    <w:p w14:paraId="7FE1B4ED" w14:textId="0B0F63BC" w:rsidR="00960E01" w:rsidRDefault="00821CB5">
      <w:pPr>
        <w:pStyle w:val="P68B1DB1-InstructionsText26"/>
        <w:numPr>
          <w:ilvl w:val="0"/>
          <w:numId w:val="233"/>
        </w:numPr>
      </w:pPr>
      <w:r>
        <w:t>Beløbene i dette skema skal indberettes som både udestående og regnskabsmæssige værdier:</w:t>
      </w:r>
    </w:p>
    <w:p w14:paraId="7FE1B4EE" w14:textId="77777777" w:rsidR="00960E01" w:rsidRDefault="00821CB5">
      <w:pPr>
        <w:pStyle w:val="P68B1DB1-InstructionsText26"/>
        <w:numPr>
          <w:ilvl w:val="1"/>
          <w:numId w:val="233"/>
        </w:numPr>
      </w:pPr>
      <w:r>
        <w:t xml:space="preserve">Det udestående beløb for en fordring eller et instrument er summen af fordringens eller instrumentets hovedstol og påløbne renter. Det udestående skyldige beløb svarer til værdien af den fordring, som kreditor indgiver under insolvensbehandling, uden at tage hensyn til bestemmelser om modregning i insolvens, og omfatter ikke præmier eller nedslag på passivinstrumenter. I de tilfælde, hvor der ikke er anmeldt noget krav under insolvensbehandling, forventes det udestående beløb at være lig nul. </w:t>
      </w:r>
    </w:p>
    <w:p w14:paraId="7FE1B4EF" w14:textId="77777777" w:rsidR="00960E01" w:rsidRDefault="00821CB5">
      <w:pPr>
        <w:pStyle w:val="P68B1DB1-InstructionsText26"/>
        <w:numPr>
          <w:ilvl w:val="1"/>
          <w:numId w:val="233"/>
        </w:numPr>
      </w:pPr>
      <w:r>
        <w:t xml:space="preserve">Balanceværdien er balanceværdien som defineret til FINREP-formål i henhold til enten IFRS eller nGAAP, alt efter hvad der er relevant. Ellers anvendes de tal, der bruges i nGAAP-indberetningssystemer. </w:t>
      </w:r>
    </w:p>
    <w:p w14:paraId="7FE1B4F1" w14:textId="1849D60B" w:rsidR="00960E01" w:rsidRDefault="00821CB5">
      <w:pPr>
        <w:pStyle w:val="P68B1DB1-InstructionsText26"/>
        <w:numPr>
          <w:ilvl w:val="0"/>
          <w:numId w:val="233"/>
        </w:numPr>
        <w:spacing w:before="0"/>
      </w:pPr>
      <w:r>
        <w:t xml:space="preserve">Denne rapport henviser til datapunkter, som enheden måske allerede har indberettet i FINREP og COREP for samme referencedato og rapporteringsomfang (se COREP/FINREP-referencerne i instrukserne). Hvis dette er tilfældet, behøver den </w:t>
      </w:r>
      <w:r>
        <w:lastRenderedPageBreak/>
        <w:t>indberettende enhed ikke at indberette disse data for anden gang. F.eks. skal COREP/FINREP-datapunkter indberettes her, hvis den indberettende enhed er blevet fritaget fra finansielle eller tilsynsmæssige indberetningsforpligtelser, i hvilket tilfælde den eneste datakilde for afviklingsmyndigheder for disse datapunkter er denne rapport.</w:t>
      </w:r>
    </w:p>
    <w:p w14:paraId="7FE1B4F2" w14:textId="77777777" w:rsidR="00960E01" w:rsidRDefault="00821CB5">
      <w:pPr>
        <w:pStyle w:val="P68B1DB1-Instructionsberschrift312"/>
      </w:pPr>
      <w:r>
        <w:t>Instrukser vedrørende specifikke positioner</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960E01"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960E01" w:rsidRDefault="00821CB5">
            <w:pPr>
              <w:pStyle w:val="P68B1DB1-TableParagraph13"/>
              <w:spacing w:before="66"/>
              <w:rPr>
                <w:rFonts w:eastAsia="Cambria"/>
              </w:rPr>
            </w:pPr>
            <w:r>
              <w:t>Kolonner</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960E01" w:rsidRDefault="00821CB5">
            <w:pPr>
              <w:pStyle w:val="P68B1DB1-TableParagraph13"/>
              <w:spacing w:before="66"/>
              <w:ind w:right="1"/>
              <w:jc w:val="center"/>
              <w:rPr>
                <w:rFonts w:eastAsia="Cambria"/>
              </w:rPr>
            </w:pPr>
            <w:r>
              <w:t>Instrukser</w:t>
            </w:r>
          </w:p>
        </w:tc>
      </w:tr>
      <w:tr w:rsidR="00960E01"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960E01" w:rsidRDefault="00821CB5">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960E01" w:rsidRDefault="00821CB5">
            <w:pPr>
              <w:pStyle w:val="P68B1DB1-TableParagraph14"/>
              <w:spacing w:before="108"/>
              <w:ind w:left="85"/>
              <w:jc w:val="both"/>
            </w:pPr>
            <w:r>
              <w:t>Husholdninger</w:t>
            </w:r>
          </w:p>
          <w:p w14:paraId="7FE1B4F8" w14:textId="77777777" w:rsidR="00960E01" w:rsidRDefault="00821CB5">
            <w:pPr>
              <w:pStyle w:val="P68B1DB1-TableParagraph17"/>
              <w:spacing w:before="108"/>
              <w:ind w:left="85"/>
              <w:jc w:val="both"/>
            </w:pPr>
            <w:r>
              <w:t xml:space="preserve">FINREP, bilag V, del 1, punkt 42, litra f) </w:t>
            </w:r>
          </w:p>
          <w:p w14:paraId="7FE1B4F9" w14:textId="77777777" w:rsidR="00960E01" w:rsidRDefault="00821CB5">
            <w:pPr>
              <w:pStyle w:val="P68B1DB1-TableParagraph17"/>
              <w:spacing w:before="108"/>
              <w:ind w:left="85"/>
              <w:jc w:val="both"/>
              <w:rPr>
                <w:b/>
              </w:rPr>
            </w:pPr>
            <w:r>
              <w:t>Enkeltpersoner eller grupper af enkeltpersoner i deres egenskab af forbrugere samt producenter af varer og ikke-finansielle tjenester udelukkende til eget forbrug og som producenter af markedsmæssige varer og ikke-finansielle og finansielle tjenester, såfremt de ikke udøver deres aktiviteter i egenskab af kvasi-selskaber. Dette omfatter non-profitinstitutioner rettet mod husholdninger, som hovedsagelig beskæftiger sig med produktion af ikke-markedsmæssige varer og tjenester rettet mod bestemte grupper af husholdninger.</w:t>
            </w:r>
          </w:p>
        </w:tc>
      </w:tr>
      <w:tr w:rsidR="00960E01"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960E01" w:rsidRDefault="00821CB5">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960E01" w:rsidRDefault="00821CB5">
            <w:pPr>
              <w:pStyle w:val="P68B1DB1-TableParagraph14"/>
              <w:spacing w:before="108"/>
              <w:ind w:left="85"/>
              <w:jc w:val="both"/>
            </w:pPr>
            <w:r>
              <w:t>Ikke-finansielle selskaber (SMV'er)</w:t>
            </w:r>
          </w:p>
          <w:p w14:paraId="7FE1B4FD" w14:textId="77777777" w:rsidR="00960E01" w:rsidRDefault="00821CB5">
            <w:pPr>
              <w:pStyle w:val="P68B1DB1-TableParagraph17"/>
              <w:spacing w:before="108"/>
              <w:ind w:left="85"/>
              <w:jc w:val="both"/>
            </w:pPr>
            <w:r>
              <w:t>FINREP, bilag V, del 1, punkt 42, litra e)</w:t>
            </w:r>
          </w:p>
          <w:p w14:paraId="7FE1B4FE" w14:textId="63A52B7A" w:rsidR="00960E01" w:rsidRDefault="00821CB5">
            <w:pPr>
              <w:pStyle w:val="P68B1DB1-TableParagraph13"/>
              <w:spacing w:before="108"/>
              <w:ind w:left="85"/>
              <w:jc w:val="both"/>
              <w:rPr>
                <w:rFonts w:eastAsia="Cambria"/>
              </w:rPr>
            </w:pPr>
            <w:r>
              <w:t>Selskaber og kvasi-selskaber, der ikke beskæftiger sig med finansiel formidling, men hvis hovedaktivitet er produktion af markedsmæssige varer og ikke-finansielle tjenester, jf. Den Europæiske Centralbanks forordning (EU) 2021/379</w:t>
            </w:r>
            <w:r>
              <w:footnoteReference w:id="11"/>
            </w:r>
            <w:r>
              <w:t>, der også opfylder følgende definition af SME:</w:t>
            </w:r>
          </w:p>
          <w:p w14:paraId="7FE1B4FF" w14:textId="77777777"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Afsnit I</w:t>
            </w:r>
            <w:r>
              <w:rPr>
                <w:rFonts w:ascii="Times New Roman" w:eastAsia="Cambria" w:hAnsi="Times New Roman" w:cs="Times New Roman"/>
                <w:color w:val="000000" w:themeColor="text1"/>
                <w:sz w:val="20"/>
                <w:szCs w:val="20"/>
              </w:rPr>
              <w:t>, artikel 2, stk. 1, i bilaget til Kommissionens henstilling af 6. maj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bilag V, del 1, punkt 5, litra i)</w:t>
            </w:r>
          </w:p>
          <w:p w14:paraId="7FE1B500" w14:textId="77777777" w:rsidR="00960E01" w:rsidRDefault="00821CB5">
            <w:pPr>
              <w:pStyle w:val="P68B1DB1-TableParagraph17"/>
              <w:spacing w:before="108"/>
              <w:ind w:left="85"/>
              <w:jc w:val="both"/>
              <w:rPr>
                <w:rFonts w:eastAsia="Book Antiqua"/>
              </w:rPr>
            </w:pPr>
            <w:r>
              <w:t>Virksomheder, der beskæftiger under 250 personer, og som har en årlig omsætning på ikke over 50 mio. EUR og/eller en samlet årlig balance på ikke over 43 mio. EUR.</w:t>
            </w:r>
          </w:p>
        </w:tc>
      </w:tr>
      <w:tr w:rsidR="00960E01"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960E01" w:rsidRDefault="00821CB5">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960E01" w:rsidRDefault="00821CB5">
            <w:pPr>
              <w:pStyle w:val="P68B1DB1-TableParagraph14"/>
              <w:spacing w:before="108"/>
              <w:ind w:left="85"/>
              <w:jc w:val="both"/>
            </w:pPr>
            <w:r>
              <w:t>Ikke-finansielle selskaber (ikke-SMV'er)</w:t>
            </w:r>
          </w:p>
          <w:p w14:paraId="7FE1B504" w14:textId="77777777" w:rsidR="00960E01" w:rsidRDefault="00821CB5">
            <w:pPr>
              <w:pStyle w:val="P68B1DB1-TableParagraph17"/>
              <w:spacing w:before="108"/>
              <w:ind w:left="85"/>
              <w:jc w:val="both"/>
            </w:pPr>
            <w:r>
              <w:t>FINREP, bilag V, del 1, punkt 42, litra e)</w:t>
            </w:r>
          </w:p>
          <w:p w14:paraId="7FE1B505" w14:textId="53EEC701" w:rsidR="00960E01" w:rsidRDefault="00821CB5">
            <w:pPr>
              <w:pStyle w:val="P68B1DB1-TableParagraph13"/>
              <w:spacing w:before="108"/>
              <w:ind w:left="85"/>
              <w:jc w:val="both"/>
              <w:rPr>
                <w:rFonts w:eastAsia="Cambria"/>
              </w:rPr>
            </w:pPr>
            <w:r>
              <w:t>Selskaber og kvasi-selskaber, der ikke beskæftiger sig med finansiel formidling, men hvis hovedaktivitet er produktion af markedsmæssige varer og ikke-finansielle tjenester, jf. Den Europæiske Centralbanks forordning (EU) 2021/379.</w:t>
            </w:r>
          </w:p>
          <w:p w14:paraId="7FE1B506" w14:textId="77777777" w:rsidR="00960E01" w:rsidRDefault="00821CB5">
            <w:pPr>
              <w:pStyle w:val="P68B1DB1-TableParagraph17"/>
              <w:spacing w:before="108"/>
              <w:ind w:left="85"/>
              <w:jc w:val="both"/>
              <w:rPr>
                <w:b/>
                <w:bCs/>
              </w:rPr>
            </w:pPr>
            <w:r>
              <w:t xml:space="preserve">Omfatter ikke "SMV'er" indberettet i kolonne 0020. </w:t>
            </w:r>
          </w:p>
        </w:tc>
      </w:tr>
      <w:tr w:rsidR="00960E01"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960E01" w:rsidRDefault="00821CB5">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960E01" w:rsidRDefault="00821CB5">
            <w:pPr>
              <w:pStyle w:val="P68B1DB1-TableParagraph14"/>
              <w:spacing w:before="108"/>
              <w:ind w:left="85"/>
              <w:jc w:val="both"/>
            </w:pPr>
            <w:r>
              <w:t>Kreditinstitutter</w:t>
            </w:r>
          </w:p>
          <w:p w14:paraId="7FE1B50A" w14:textId="77777777" w:rsidR="00960E01" w:rsidRDefault="00821CB5">
            <w:pPr>
              <w:pStyle w:val="P68B1DB1-TableParagraph17"/>
              <w:spacing w:before="108"/>
              <w:ind w:left="85"/>
              <w:jc w:val="both"/>
            </w:pPr>
            <w:r>
              <w:t>FINREP, bilag V, del 1, punkt 42, litra c)</w:t>
            </w:r>
          </w:p>
          <w:p w14:paraId="7FE1B50B" w14:textId="77777777" w:rsidR="00960E01" w:rsidRDefault="00821CB5">
            <w:pPr>
              <w:pStyle w:val="P68B1DB1-TableParagraph13"/>
              <w:spacing w:before="108"/>
              <w:ind w:left="85"/>
              <w:jc w:val="both"/>
              <w:rPr>
                <w:b/>
                <w:bCs/>
              </w:rPr>
            </w:pPr>
            <w:r>
              <w:t>Kreditinstitutter som defineret i artikel 4, stk. 1, nr. 1), i forordning (EU) nr. 575/2013 og multilaterale udviklingsbanker.</w:t>
            </w:r>
          </w:p>
        </w:tc>
      </w:tr>
      <w:tr w:rsidR="00960E01"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960E01" w:rsidRDefault="00821CB5">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960E01" w:rsidRDefault="00821CB5">
            <w:pPr>
              <w:pStyle w:val="P68B1DB1-TableParagraph14"/>
              <w:spacing w:before="108"/>
              <w:ind w:left="85"/>
              <w:jc w:val="both"/>
            </w:pPr>
            <w:r>
              <w:t>Andre finansielle selskaber</w:t>
            </w:r>
          </w:p>
          <w:p w14:paraId="7FE1B50F" w14:textId="77777777" w:rsidR="00960E01" w:rsidRDefault="00821CB5">
            <w:pPr>
              <w:pStyle w:val="P68B1DB1-TableParagraph17"/>
              <w:spacing w:before="108"/>
              <w:ind w:left="85"/>
              <w:jc w:val="both"/>
            </w:pPr>
            <w:r>
              <w:t>FINREP, bilag V, del 1, punkt 42, litra d)</w:t>
            </w:r>
          </w:p>
          <w:p w14:paraId="7FE1B510" w14:textId="06860C4E" w:rsidR="00960E01" w:rsidRDefault="00821CB5">
            <w:pPr>
              <w:pStyle w:val="P68B1DB1-TableParagraph17"/>
              <w:spacing w:before="108"/>
              <w:ind w:left="85"/>
              <w:jc w:val="both"/>
              <w:rPr>
                <w:b/>
                <w:bCs/>
              </w:rPr>
            </w:pPr>
            <w:r>
              <w:t>Alle finansielle selskaber og kvasi-selskaber, bortset fra kreditinstitutter, som f.eks. investeringsselskaber, investeringsfonde, forsikringsselskaber, pensionsfonde, institutter for kollektiv investering og clearinginstitutter samt øvrige finansielle formidlere, finansielle hjælpeenheder og koncerntilknyttede finansieringsinstitutter og pengeudlånere.</w:t>
            </w:r>
          </w:p>
        </w:tc>
      </w:tr>
      <w:tr w:rsidR="00960E01"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960E01" w:rsidRDefault="00821CB5">
            <w:pPr>
              <w:pStyle w:val="P68B1DB1-TableParagraph13"/>
              <w:spacing w:before="106"/>
              <w:ind w:left="-1"/>
            </w:pPr>
            <w:r>
              <w:lastRenderedPageBreak/>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960E01" w:rsidRDefault="00821CB5">
            <w:pPr>
              <w:pStyle w:val="P68B1DB1-TableParagraph14"/>
              <w:spacing w:before="108"/>
              <w:ind w:left="85"/>
              <w:jc w:val="both"/>
            </w:pPr>
            <w:r>
              <w:t>Heraf forsikringsselskaber, pensionskasser</w:t>
            </w:r>
          </w:p>
          <w:p w14:paraId="7FE1B514" w14:textId="77777777" w:rsidR="00960E01" w:rsidRDefault="00821CB5">
            <w:pPr>
              <w:pStyle w:val="P68B1DB1-TableParagraph17"/>
              <w:spacing w:before="108"/>
              <w:ind w:left="85"/>
              <w:jc w:val="both"/>
              <w:rPr>
                <w:b/>
              </w:rPr>
            </w:pPr>
            <w:r>
              <w:t>Forsikringsselskaber, genforsikringsselskaber (som omhandlet i artikel 13, stk. 1-6, i Europa-Parlamentets og Rådets direktiv 2009/138/EF) og pensions- og afskedigelsesfonde.</w:t>
            </w:r>
          </w:p>
        </w:tc>
      </w:tr>
      <w:tr w:rsidR="00960E01"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960E01" w:rsidRDefault="00821CB5">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960E01" w:rsidRDefault="00821CB5">
            <w:pPr>
              <w:pStyle w:val="P68B1DB1-TableParagraph14"/>
              <w:spacing w:before="108"/>
              <w:ind w:left="85"/>
              <w:jc w:val="both"/>
            </w:pPr>
            <w:r>
              <w:t>Offentlige forvaltning og service &amp; centralbanker</w:t>
            </w:r>
          </w:p>
          <w:p w14:paraId="7FE1B518" w14:textId="77777777" w:rsidR="00960E01" w:rsidRDefault="00821CB5">
            <w:pPr>
              <w:pStyle w:val="P68B1DB1-TableParagraph17"/>
              <w:spacing w:before="108"/>
              <w:ind w:left="85"/>
              <w:jc w:val="both"/>
            </w:pPr>
            <w:r>
              <w:t>FINREP, bilag V, del 1, punkt 42, litra a) og b)</w:t>
            </w:r>
          </w:p>
          <w:p w14:paraId="7FE1B519" w14:textId="77777777" w:rsidR="00960E01" w:rsidRDefault="00821CB5">
            <w:pPr>
              <w:pStyle w:val="P68B1DB1-TableParagraph17"/>
              <w:spacing w:before="108"/>
              <w:ind w:left="85"/>
              <w:jc w:val="both"/>
              <w:rPr>
                <w:b/>
                <w:bCs/>
              </w:rPr>
            </w:pPr>
            <w:r>
              <w:t>Centralbanker og centralregeringer, statslige eller regionale myndigheder og lokale myndigheder, herunder administrative organer og ikke-kommercielle virksomheder, men ekskl. offentlige foretagender og private selskaber, der indehaves af sådanne forvaltninger, som driver kommerciel virksomhed (som skal indberettes under "kreditinstitutter", "andre finansielle selskaber" eller "ikke-finansielle selskaber" afhængigt af deres aktivitet), samt sociale kasser og fonde og internationale organisationer, som f.eks. Den Europæiske Union, Den Internationale Valutafond og Den Internationale Betalingsbank.</w:t>
            </w:r>
          </w:p>
        </w:tc>
      </w:tr>
      <w:tr w:rsidR="00960E01"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960E01" w:rsidRDefault="00821CB5">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960E01" w:rsidRDefault="00821CB5">
            <w:pPr>
              <w:pStyle w:val="P68B1DB1-TableParagraph14"/>
              <w:spacing w:before="108"/>
              <w:ind w:left="85"/>
              <w:jc w:val="both"/>
            </w:pPr>
            <w:r>
              <w:t>Ikke identificeret, noteret på en markedsplads</w:t>
            </w:r>
          </w:p>
          <w:p w14:paraId="7FE1B51D" w14:textId="5F92CBCC" w:rsidR="00960E01" w:rsidRDefault="00821CB5">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Beløbene skal henføres til denne kolonne, hvis identiteten på indehaveren af et værdipapir, på grund af instrumenternes notering på en markedsplads, som defineret</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i direktiv 2014/65/EU, ikke er kendt.</w:t>
            </w:r>
          </w:p>
        </w:tc>
      </w:tr>
      <w:tr w:rsidR="00960E01"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960E01" w:rsidRDefault="00821CB5">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960E01" w:rsidRDefault="00821CB5">
            <w:pPr>
              <w:pStyle w:val="P68B1DB1-TableParagraph14"/>
              <w:spacing w:before="108"/>
              <w:ind w:left="85"/>
              <w:jc w:val="both"/>
            </w:pPr>
            <w:r>
              <w:t>Ikke identificeret, ikke noteret på en markedsplads</w:t>
            </w:r>
          </w:p>
          <w:p w14:paraId="7FE1B521" w14:textId="4FDBE5B1" w:rsidR="00960E01" w:rsidRDefault="00821CB5">
            <w:pPr>
              <w:pStyle w:val="P68B1DB1-TableParagraph17"/>
              <w:spacing w:before="108"/>
              <w:ind w:left="85"/>
              <w:jc w:val="both"/>
            </w:pPr>
            <w:r>
              <w:t>Beløbene skal henføres til denne kolonne, hvis identiteten på indehaveren af et værdipapir, uden at instrumenterne er noteret på en markedsplads, ikke er kendt, uden at yderligere opdeling af modparter er påkrævet. Indberettende enheder opfordres til at identificere modparter og begrænse anvendelsen af denne kolonne til et minimum.</w:t>
            </w:r>
          </w:p>
        </w:tc>
      </w:tr>
      <w:tr w:rsidR="00960E01"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960E01" w:rsidRDefault="00821CB5">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960E01" w:rsidRDefault="00821CB5">
            <w:pPr>
              <w:pStyle w:val="P68B1DB1-TableParagraph14"/>
              <w:spacing w:before="108"/>
              <w:ind w:left="85"/>
              <w:jc w:val="both"/>
              <w:rPr>
                <w:bCs/>
              </w:rPr>
            </w:pPr>
            <w:r>
              <w:t>I alt</w:t>
            </w:r>
          </w:p>
        </w:tc>
      </w:tr>
      <w:tr w:rsidR="00960E01"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960E01" w:rsidRDefault="00821CB5">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960E01" w:rsidRDefault="00821CB5">
            <w:pPr>
              <w:pStyle w:val="P68B1DB1-TableParagraph14"/>
              <w:spacing w:before="108"/>
              <w:ind w:left="85"/>
              <w:jc w:val="both"/>
            </w:pPr>
            <w:r>
              <w:t>Heraf: koncernintern</w:t>
            </w:r>
          </w:p>
          <w:p w14:paraId="7FE1B528" w14:textId="1BF72D2B" w:rsidR="00960E01" w:rsidRDefault="00821CB5">
            <w:pPr>
              <w:pStyle w:val="P68B1DB1-TableParagraph13"/>
              <w:spacing w:before="108"/>
              <w:ind w:left="85"/>
              <w:jc w:val="both"/>
              <w:rPr>
                <w:rFonts w:eastAsia="Times New Roman"/>
              </w:rPr>
            </w:pPr>
            <w:r>
              <w:t xml:space="preserve">Forpligtelser over for enheder, der indgår i den regnskabsmæssige konsolideringsramme for det øverste moderselskab (i modsætning til den lovbestemte konsolideringsramme). </w:t>
            </w:r>
          </w:p>
        </w:tc>
      </w:tr>
      <w:tr w:rsidR="00960E01"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960E01" w:rsidRDefault="00821CB5">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960E01" w:rsidRDefault="00821CB5">
            <w:pPr>
              <w:pStyle w:val="P68B1DB1-TableParagraph14"/>
              <w:spacing w:before="108"/>
              <w:ind w:left="85"/>
              <w:jc w:val="both"/>
            </w:pPr>
            <w:r>
              <w:t>Heraf: forpligtelser underlagt lovgivningen i et tredjeland, ekskl. koncerninterne</w:t>
            </w:r>
          </w:p>
          <w:p w14:paraId="7FE1B52C" w14:textId="77777777" w:rsidR="00960E01" w:rsidRDefault="00821CB5">
            <w:pPr>
              <w:pStyle w:val="P68B1DB1-TableParagraph17"/>
              <w:spacing w:before="108"/>
              <w:ind w:left="85"/>
              <w:jc w:val="both"/>
            </w:pPr>
            <w:r>
              <w:t>Her indberettes forpligtelser (bruttobeløb), der er underlagt lovgivningen i et tredjeland og/eller er udstedt af koncernenheder etableret i tredjelande. Koncerninterne forpligtelser medtages ikke.</w:t>
            </w:r>
          </w:p>
          <w:p w14:paraId="7FE1B52D" w14:textId="77777777" w:rsidR="00960E01" w:rsidRDefault="00821CB5">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Hvis afviklingsmyndigheden har bekræftet, at den finder det godtgjort, jf. artikel 55, stk. 3, i Europa-Parlamentets og Rådets direktiv 2014/59/EU,</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at en afgørelse fra en afviklingsmyndighed om at nedskrive eller konvertere en forpligtelse vil træde i kraft i henhold til dette tredjelands lovgivning, indberettes den pågældende forpligtelse ikke i denne kolonne.</w:t>
            </w:r>
          </w:p>
        </w:tc>
      </w:tr>
    </w:tbl>
    <w:p w14:paraId="7FE1B532" w14:textId="77777777" w:rsidR="00960E01" w:rsidRDefault="00960E01">
      <w:pPr>
        <w:rPr>
          <w:rFonts w:ascii="Times New Roman" w:hAnsi="Times New Roman" w:cs="Times New Roman"/>
        </w:rPr>
      </w:pPr>
    </w:p>
    <w:p w14:paraId="7FE1B533" w14:textId="77777777" w:rsidR="00960E01" w:rsidRDefault="00960E01">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960E01"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960E01" w:rsidRDefault="00821CB5">
            <w:pPr>
              <w:pStyle w:val="P68B1DB1-TableParagraph13"/>
              <w:spacing w:before="66"/>
              <w:rPr>
                <w:rFonts w:eastAsia="Cambria"/>
              </w:rPr>
            </w:pPr>
            <w:r>
              <w:t>Rækker</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960E01" w:rsidRDefault="00821CB5">
            <w:pPr>
              <w:pStyle w:val="P68B1DB1-TableParagraph13"/>
              <w:spacing w:before="66"/>
              <w:ind w:right="1"/>
              <w:jc w:val="center"/>
              <w:rPr>
                <w:rFonts w:eastAsia="Cambria"/>
              </w:rPr>
            </w:pPr>
            <w:r>
              <w:t>Instrukser</w:t>
            </w:r>
          </w:p>
        </w:tc>
      </w:tr>
      <w:tr w:rsidR="00960E01"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960E01" w:rsidRDefault="00821CB5">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960E01" w:rsidRDefault="00821CB5">
            <w:pPr>
              <w:pStyle w:val="P68B1DB1-TableParagraph14"/>
              <w:spacing w:before="108"/>
              <w:ind w:left="85"/>
              <w:jc w:val="both"/>
            </w:pPr>
            <w:r>
              <w:t>Forpligtelser, der er udelukket fra bail-in</w:t>
            </w:r>
          </w:p>
          <w:p w14:paraId="7FE1B53A" w14:textId="5A5F469A" w:rsidR="00960E01" w:rsidRDefault="00821CB5">
            <w:pPr>
              <w:pStyle w:val="P68B1DB1-TableParagraph17"/>
              <w:spacing w:before="108"/>
              <w:jc w:val="both"/>
            </w:pPr>
            <w:r>
              <w:t xml:space="preserve">Størrelsen af passiver, for hvilke afviklingsmyndighederne ikke må udøve nedskrivnings- eller konverteringsbeføjelserne i overensstemmelse med artikel 44, stk. 2, i direktiv 2014/59/EU. </w:t>
            </w:r>
          </w:p>
        </w:tc>
      </w:tr>
      <w:tr w:rsidR="00960E01"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960E01" w:rsidRDefault="00821CB5">
            <w:pPr>
              <w:pStyle w:val="P68B1DB1-TableParagraph13"/>
              <w:spacing w:before="106"/>
              <w:ind w:left="-1"/>
              <w:rPr>
                <w:rFonts w:eastAsia="Cambria"/>
              </w:rPr>
            </w:pPr>
            <w:r>
              <w:lastRenderedPageBreak/>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960E01" w:rsidRDefault="00821CB5">
            <w:pPr>
              <w:pStyle w:val="P68B1DB1-TableParagraph14"/>
              <w:spacing w:before="108"/>
              <w:ind w:left="85"/>
              <w:jc w:val="both"/>
            </w:pPr>
            <w:r>
              <w:t>Dækkede indskud</w:t>
            </w:r>
          </w:p>
          <w:p w14:paraId="7FE1B53E" w14:textId="77777777" w:rsidR="00960E01" w:rsidRDefault="00821CB5">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De samlede dækkede indskud som defineret i artikel 2, stk. 1, nr. 5), i Europa-Parlamentets og Rådets direktiv 2014/49/EU</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bortset fra midlertidigt høje balancer som defineret i samme direktivs artikel 6, stk. 2.</w:t>
            </w:r>
          </w:p>
        </w:tc>
      </w:tr>
      <w:tr w:rsidR="00960E01"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960E01" w:rsidRDefault="00821CB5">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960E01" w:rsidRDefault="00821CB5">
            <w:pPr>
              <w:pStyle w:val="P68B1DB1-TableParagraph14"/>
              <w:spacing w:before="108"/>
              <w:ind w:left="85"/>
              <w:jc w:val="both"/>
            </w:pPr>
            <w:r>
              <w:t>Sikrede passiver — del, for hvilken der er stillet sikkerhed</w:t>
            </w:r>
          </w:p>
          <w:p w14:paraId="7FE1B542" w14:textId="14245B0A" w:rsidR="00960E01" w:rsidRDefault="00821CB5">
            <w:pPr>
              <w:pStyle w:val="P68B1DB1-TableParagraph17"/>
              <w:spacing w:before="108"/>
              <w:ind w:left="85"/>
              <w:jc w:val="both"/>
            </w:pPr>
            <w:r>
              <w:t>Den beløbsmæssige størrelse af passiver som omhandlet i artikel 44, stk. 2, litra b), i direktiv 2014/59/EU.</w:t>
            </w:r>
          </w:p>
          <w:p w14:paraId="7FE1B543" w14:textId="77777777" w:rsidR="00960E01" w:rsidRDefault="00821CB5">
            <w:pPr>
              <w:pStyle w:val="P68B1DB1-TableParagraph17"/>
              <w:spacing w:before="108"/>
              <w:ind w:left="85"/>
              <w:jc w:val="both"/>
            </w:pPr>
            <w:r>
              <w:t>Sikrede passiver, herunder genkøbsaftaler (repo-forretninger), dækkede obligationer og passiver i form af finansielle instrumenter, som udgør en integreret del af sikkerhedspuljen, og som i henhold til national ret er sikret på en måde svarende til dækkede obligationer.</w:t>
            </w:r>
          </w:p>
          <w:p w14:paraId="7FE1B544" w14:textId="77777777" w:rsidR="00960E01" w:rsidRDefault="00821CB5">
            <w:pPr>
              <w:pStyle w:val="P68B1DB1-TableParagraph17"/>
              <w:spacing w:before="108"/>
              <w:ind w:left="85"/>
              <w:jc w:val="both"/>
            </w:pPr>
            <w:r>
              <w:t>Hverken forpligtelsen til at sikre, at alle sikrede aktiver i tilknytning til en sikkerhedspulje med dækkede obligationer er uberørte, holdes adskilt og finansieres i tilstrækkeligt omfang, eller undtagelsen omhandlet i artikel 44, stk. 2, litra b), i direktiv 2014/59/EU er til hinder for, at afviklingsmyndighederne, når det er hensigtsmæssigt, udøver disse beføjelser i forhold til en hvilken som helst del af et sikret passiv eller en forpligtelse, for hvilken der er stillet sikkerhed, som overstiger værdien af de aktiver, det pant, den tilbageholdelsesret eller den kaution, der stilles som sikkerhed. Et sådant udækket beløb af disse sikrede passiver indberettes ikke i denne række, men derimod i række 0340, efter yderligere opdeling.</w:t>
            </w:r>
          </w:p>
          <w:p w14:paraId="7FE1B545" w14:textId="77777777" w:rsidR="00960E01" w:rsidRDefault="00821CB5">
            <w:pPr>
              <w:pStyle w:val="P68B1DB1-TableParagraph20"/>
              <w:spacing w:before="108"/>
              <w:ind w:left="85"/>
              <w:jc w:val="both"/>
              <w:rPr>
                <w:color w:val="000000" w:themeColor="text1"/>
              </w:rPr>
            </w:pPr>
            <w:r>
              <w:rPr>
                <w:color w:val="000000" w:themeColor="text1"/>
              </w:rPr>
              <w:t>Centralbankforpligtelser, der er dækket af en sikkerhedspulje</w:t>
            </w:r>
            <w:r>
              <w:rPr>
                <w:color w:val="1A171C"/>
              </w:rPr>
              <w:t>(f.eks. primære markedsoperationer, langfristede markedsoperationer, målrettede langfristede markedsoperationer osv.)</w:t>
            </w:r>
            <w:r>
              <w:rPr>
                <w:color w:val="000000" w:themeColor="text1"/>
              </w:rPr>
              <w:t xml:space="preserve">, betragtes som sikrede passiver. </w:t>
            </w:r>
          </w:p>
        </w:tc>
      </w:tr>
      <w:tr w:rsidR="00960E01"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960E01" w:rsidRDefault="00821CB5">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960E01" w:rsidRDefault="00821CB5">
            <w:pPr>
              <w:pStyle w:val="P68B1DB1-TableParagraph14"/>
              <w:spacing w:before="108"/>
              <w:ind w:left="85"/>
              <w:jc w:val="both"/>
            </w:pPr>
            <w:r>
              <w:t>Forpligtelser over for kunder, hvis beskyttet i tilfælde af insolvens</w:t>
            </w:r>
          </w:p>
          <w:p w14:paraId="7FE1B54A" w14:textId="2F60701C" w:rsidR="00960E01" w:rsidRDefault="00821CB5">
            <w:pPr>
              <w:pStyle w:val="P68B1DB1-TableParagraph17"/>
              <w:spacing w:before="108"/>
              <w:ind w:left="85"/>
              <w:jc w:val="both"/>
              <w:rPr>
                <w:b/>
                <w:bCs/>
              </w:rPr>
            </w:pPr>
            <w:r>
              <w:t>Den beløbsmæssige størrelse af passiver som omhandlet i artikel 44, stk. 2, litra c), i direktiv 2014/59/EU.</w:t>
            </w:r>
          </w:p>
        </w:tc>
      </w:tr>
      <w:tr w:rsidR="00960E01"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960E01" w:rsidRDefault="00821CB5">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960E01" w:rsidRDefault="00821CB5">
            <w:pPr>
              <w:pStyle w:val="P68B1DB1-TableParagraph14"/>
              <w:spacing w:before="108"/>
              <w:ind w:left="85"/>
              <w:jc w:val="both"/>
            </w:pPr>
            <w:r>
              <w:t>Betroede forpligtelser, hvis beskyttet i tilfælde af insolvens</w:t>
            </w:r>
          </w:p>
          <w:p w14:paraId="7FE1B54F" w14:textId="76B21996" w:rsidR="00960E01" w:rsidRDefault="00821CB5">
            <w:pPr>
              <w:pStyle w:val="P68B1DB1-TableParagraph17"/>
              <w:spacing w:before="108"/>
              <w:ind w:left="85"/>
              <w:jc w:val="both"/>
              <w:rPr>
                <w:b/>
                <w:bCs/>
              </w:rPr>
            </w:pPr>
            <w:r>
              <w:t>Den beløbsmæssige størrelse af passiver som omhandlet i artikel 44, stk. 2, litra d), i direktiv 2014/59/EU.</w:t>
            </w:r>
          </w:p>
        </w:tc>
      </w:tr>
      <w:tr w:rsidR="00960E01"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960E01" w:rsidRDefault="00821CB5">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58197D10" w:rsidR="00960E01" w:rsidRDefault="00821CB5">
            <w:pPr>
              <w:pStyle w:val="P68B1DB1-TableParagraph14"/>
              <w:spacing w:before="108"/>
              <w:ind w:left="85"/>
              <w:jc w:val="both"/>
            </w:pPr>
            <w:r>
              <w:t xml:space="preserve">Institutternes passiver </w:t>
            </w:r>
            <w:r w:rsidR="004A26C1">
              <w:t>&lt;</w:t>
            </w:r>
            <w:r>
              <w:t xml:space="preserve"> 7 dage </w:t>
            </w:r>
          </w:p>
          <w:p w14:paraId="7FE1B554" w14:textId="175AD873" w:rsidR="00960E01" w:rsidRDefault="00821CB5">
            <w:pPr>
              <w:pStyle w:val="P68B1DB1-TableParagraph17"/>
              <w:spacing w:before="108"/>
              <w:ind w:left="85"/>
              <w:jc w:val="both"/>
              <w:rPr>
                <w:b/>
                <w:bCs/>
              </w:rPr>
            </w:pPr>
            <w:r>
              <w:t>Den beløbsmæssige størrelse af passiver som omhandlet i artikel 44, stk. 2, litra e), i direktiv 2014/59/EU.</w:t>
            </w:r>
          </w:p>
        </w:tc>
      </w:tr>
      <w:tr w:rsidR="00960E01"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960E01" w:rsidRDefault="00821CB5">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960E01" w:rsidRDefault="00821CB5">
            <w:pPr>
              <w:pStyle w:val="P68B1DB1-TableParagraph14"/>
              <w:spacing w:before="108"/>
              <w:ind w:left="85"/>
              <w:jc w:val="both"/>
            </w:pPr>
            <w:r>
              <w:t>Forpligtelser over for systemer/systemoperatører og CCP &lt; 7 dage</w:t>
            </w:r>
          </w:p>
          <w:p w14:paraId="7FE1B558" w14:textId="79B15273" w:rsidR="00960E01" w:rsidRDefault="00821CB5">
            <w:pPr>
              <w:pStyle w:val="P68B1DB1-TableParagraph17"/>
              <w:spacing w:before="108"/>
              <w:ind w:left="85"/>
              <w:jc w:val="both"/>
              <w:rPr>
                <w:b/>
                <w:bCs/>
              </w:rPr>
            </w:pPr>
            <w:r>
              <w:t xml:space="preserve">Den beløbsmæssige størrelse af passiver som omhandlet i artikel 44, stk. 2, litra f), i direktiv 2014/59/EU, herunder betalings- og værdipapirafviklingssystemer og clearingcentraler, samt CCP-clearede derivater med en løbetid på under 7 dage. </w:t>
            </w:r>
          </w:p>
        </w:tc>
      </w:tr>
      <w:tr w:rsidR="00960E01"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960E01" w:rsidRDefault="00821CB5">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960E01" w:rsidRDefault="00821CB5">
            <w:pPr>
              <w:pStyle w:val="P68B1DB1-TableParagraph14"/>
              <w:spacing w:before="108"/>
              <w:ind w:left="85"/>
              <w:jc w:val="both"/>
            </w:pPr>
            <w:r>
              <w:t>Forpligtelser over for medarbejdere</w:t>
            </w:r>
          </w:p>
          <w:p w14:paraId="7FE1B55C" w14:textId="77777777" w:rsidR="00960E01" w:rsidRDefault="00821CB5">
            <w:pPr>
              <w:pStyle w:val="P68B1DB1-TableParagraph17"/>
              <w:spacing w:before="108"/>
              <w:ind w:left="85"/>
              <w:jc w:val="both"/>
            </w:pPr>
            <w:r>
              <w:t>Den beløbsmæssige størrelse af passiver som omhandlet i artikel 44, stk. 2, litra g), nr. i), i direktiv 2014/59/EU.</w:t>
            </w:r>
          </w:p>
          <w:p w14:paraId="7FE1B55D" w14:textId="77777777" w:rsidR="00960E01" w:rsidRDefault="00821CB5">
            <w:pPr>
              <w:pStyle w:val="P68B1DB1-TableParagraph17"/>
              <w:spacing w:before="108"/>
              <w:ind w:left="85"/>
              <w:jc w:val="both"/>
              <w:rPr>
                <w:b/>
                <w:bCs/>
              </w:rPr>
            </w:pPr>
            <w:r>
              <w:t>Forpligtelser over for en medarbejder som følge af et løntilgodehavende, pensionsydelser eller anden fast godtgørelse, undtagen den variable del af lønnen, som ikke er reguleret ved kollektive overenskomster. Dette gælder dog ikke for den variable del af lønnen for væsentlige risikotagere som omhandlet i artikel 92, stk. 2, i direktiv 2013/36/EU.</w:t>
            </w:r>
          </w:p>
        </w:tc>
      </w:tr>
      <w:tr w:rsidR="00960E01"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960E01" w:rsidRDefault="00821CB5">
            <w:pPr>
              <w:pStyle w:val="P68B1DB1-TableParagraph13"/>
              <w:spacing w:before="106"/>
              <w:ind w:left="-1"/>
            </w:pPr>
            <w:r>
              <w:lastRenderedPageBreak/>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960E01" w:rsidRDefault="00821CB5">
            <w:pPr>
              <w:pStyle w:val="P68B1DB1-TableParagraph14"/>
              <w:spacing w:before="108"/>
              <w:ind w:left="85"/>
              <w:jc w:val="both"/>
            </w:pPr>
            <w:r>
              <w:t>Forpligtelser, der er kritiske for den daglige drift</w:t>
            </w:r>
          </w:p>
          <w:p w14:paraId="7FE1B562" w14:textId="61C90413" w:rsidR="00960E01" w:rsidRDefault="00821CB5">
            <w:pPr>
              <w:pStyle w:val="P68B1DB1-TableParagraph17"/>
              <w:spacing w:before="108"/>
              <w:ind w:left="85"/>
              <w:jc w:val="both"/>
              <w:rPr>
                <w:b/>
                <w:bCs/>
              </w:rPr>
            </w:pPr>
            <w:r>
              <w:t>Den beløbsmæssige størrelse af passiver som omhandlet i artikel 44, stk. 2, litra g), nr. ii), i direktiv 2014/59/EU.</w:t>
            </w:r>
          </w:p>
        </w:tc>
      </w:tr>
      <w:tr w:rsidR="00960E01"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960E01" w:rsidRDefault="00821CB5">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960E01" w:rsidRDefault="00821CB5">
            <w:pPr>
              <w:pStyle w:val="P68B1DB1-TableParagraph14"/>
              <w:spacing w:before="108"/>
              <w:ind w:left="85"/>
              <w:jc w:val="both"/>
            </w:pPr>
            <w:r>
              <w:t>Forpligtelser over for skatte- og socialsikringsmyndigheder (hvis fortrinsret)</w:t>
            </w:r>
          </w:p>
          <w:p w14:paraId="7FE1B567" w14:textId="46841715" w:rsidR="00960E01" w:rsidRDefault="00821CB5">
            <w:pPr>
              <w:pStyle w:val="P68B1DB1-TableParagraph17"/>
              <w:spacing w:before="108"/>
              <w:ind w:left="85"/>
              <w:jc w:val="both"/>
              <w:rPr>
                <w:b/>
                <w:bCs/>
              </w:rPr>
            </w:pPr>
            <w:r>
              <w:t>Den beløbsmæssige størrelse af passiver som omhandlet i artikel 44, stk. 2, litra g), nr. iii), i direktiv 2014/59/EU.</w:t>
            </w:r>
          </w:p>
        </w:tc>
      </w:tr>
      <w:tr w:rsidR="00960E01"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960E01" w:rsidRDefault="00821CB5">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960E01" w:rsidRDefault="00821CB5">
            <w:pPr>
              <w:pStyle w:val="P68B1DB1-TableParagraph14"/>
              <w:spacing w:before="108"/>
              <w:ind w:left="85"/>
              <w:jc w:val="both"/>
            </w:pPr>
            <w:r>
              <w:t>Forpligtelser over for indskudsgarantiordninger</w:t>
            </w:r>
          </w:p>
          <w:p w14:paraId="7FE1B56C" w14:textId="69555433" w:rsidR="00960E01" w:rsidRDefault="00821CB5">
            <w:pPr>
              <w:pStyle w:val="P68B1DB1-TableParagraph17"/>
              <w:spacing w:before="108"/>
              <w:ind w:left="85"/>
              <w:jc w:val="both"/>
              <w:rPr>
                <w:b/>
                <w:bCs/>
              </w:rPr>
            </w:pPr>
            <w:r>
              <w:t>Den beløbsmæssige størrelse af passiver som omhandlet i artikel 44, stk. 2, litra g), nr. iv), i direktiv 2014/59/EU.</w:t>
            </w:r>
          </w:p>
        </w:tc>
      </w:tr>
      <w:tr w:rsidR="00960E01"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960E01" w:rsidRDefault="00821CB5">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960E01" w:rsidRDefault="00821CB5">
            <w:pPr>
              <w:pStyle w:val="P68B1DB1-TableParagraph14"/>
              <w:spacing w:before="108"/>
              <w:ind w:left="85"/>
              <w:jc w:val="both"/>
            </w:pPr>
            <w:r>
              <w:t>Forpligtelser over for andre enheder i afviklingskoncernen</w:t>
            </w:r>
          </w:p>
          <w:p w14:paraId="7FE1B570" w14:textId="77777777" w:rsidR="00960E01" w:rsidRDefault="00821CB5">
            <w:pPr>
              <w:pStyle w:val="P68B1DB1-TableParagraph17"/>
              <w:spacing w:before="108"/>
              <w:ind w:left="85"/>
              <w:jc w:val="both"/>
            </w:pPr>
            <w:r>
              <w:t>Den beløbsmæssige størrelse af passiver som omhandlet i artikel 44, stk. 2, litra h), i direktiv 2014/59/EU.</w:t>
            </w:r>
          </w:p>
          <w:p w14:paraId="7FE1B571" w14:textId="098C1D7E" w:rsidR="00960E01" w:rsidRDefault="00821CB5">
            <w:pPr>
              <w:pStyle w:val="P68B1DB1-TableParagraph17"/>
              <w:spacing w:before="108"/>
              <w:ind w:left="85"/>
              <w:jc w:val="both"/>
            </w:pPr>
            <w:r>
              <w:t>Hvis den udelukkede forpligtelse er en derivatforpligtelse, indberettes nettopositionerne under hensyntagen til reglerne om tilsynsmæssig netting i artikel 429c i forordning (EU) nr. 575/2013 for kolonnerne vedrørende "udestående beløb" (som i række r0334). For kolonnerne vedrørende "Regnskabsmæssig værdi" skal de balanceførte forpligtelser hidrørende fra derivater indberettes (som i række r0330).</w:t>
            </w:r>
          </w:p>
          <w:p w14:paraId="7FE1B572" w14:textId="5F543301" w:rsidR="00960E01" w:rsidRDefault="00821CB5">
            <w:pPr>
              <w:pStyle w:val="P68B1DB1-TableParagraph17"/>
              <w:spacing w:before="108"/>
              <w:ind w:left="85"/>
              <w:jc w:val="both"/>
            </w:pPr>
            <w:r>
              <w:t>Når den indberettende enhed ikke selv er identificeret som afviklingsenhed, skal den kun indberette de passiver, der er omfattet af artikel 44, stk. 2, litra h), i BRRD, og som indehaves af dens datterselskaber, som heller ikke er afviklingsenheder, men indgår i samme afviklingskoncern som den indberettende enhed.</w:t>
            </w:r>
          </w:p>
          <w:p w14:paraId="7FE1B573" w14:textId="0A9C3B4A" w:rsidR="00960E01" w:rsidRDefault="00821CB5">
            <w:pPr>
              <w:pStyle w:val="P68B1DB1-TableParagraph17"/>
              <w:spacing w:before="108"/>
              <w:ind w:left="85"/>
              <w:jc w:val="both"/>
            </w:pPr>
            <w:r>
              <w:t xml:space="preserve">Koncerninterne passiver for enheder, der er etableret uden for EU, indberettes ikke i denne række, jf. artikel 1, stk. 1, i BRRD, litra b), c) eller d), jf. artikel 44, stk. 2, litra h), i BRRD. </w:t>
            </w:r>
          </w:p>
        </w:tc>
      </w:tr>
      <w:tr w:rsidR="00960E01"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960E01" w:rsidRDefault="00821CB5">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960E01" w:rsidRDefault="00821CB5">
            <w:pPr>
              <w:pStyle w:val="P68B1DB1-TableParagraph14"/>
              <w:spacing w:before="108"/>
              <w:ind w:left="85"/>
              <w:jc w:val="both"/>
            </w:pPr>
            <w:r>
              <w:t>Forpligtelser, der ikke er udelukket fra bail-in</w:t>
            </w:r>
          </w:p>
          <w:p w14:paraId="7FE1B577" w14:textId="06299840" w:rsidR="00960E01" w:rsidRDefault="00821CB5">
            <w:pPr>
              <w:pStyle w:val="P68B1DB1-TableParagraph17"/>
              <w:spacing w:before="108"/>
              <w:ind w:left="85"/>
              <w:jc w:val="both"/>
              <w:rPr>
                <w:b/>
                <w:bCs/>
              </w:rPr>
            </w:pPr>
            <w:r>
              <w:t>Værdien af passiver, der er omfattet af bail-in, som defineret i artikel 2, nr. 1), i direktiv 2014/59/EU, nr. (71). Dette er summen af række 0310, 0320, 0330, 0334, 0340, 0350, 0360, 0365, 0370, 0380, 0390 og 0400.</w:t>
            </w:r>
          </w:p>
        </w:tc>
      </w:tr>
      <w:tr w:rsidR="00960E01"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960E01" w:rsidRDefault="00821CB5">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960E01" w:rsidRDefault="00821CB5">
            <w:pPr>
              <w:pStyle w:val="P68B1DB1-TableParagraph14"/>
              <w:spacing w:before="108"/>
              <w:ind w:left="85"/>
              <w:jc w:val="both"/>
            </w:pPr>
            <w:r>
              <w:t>Indskud, udækkede, men foranstillede</w:t>
            </w:r>
          </w:p>
          <w:p w14:paraId="7FE1B57B" w14:textId="77777777" w:rsidR="00960E01" w:rsidRDefault="00821CB5">
            <w:pPr>
              <w:pStyle w:val="P68B1DB1-TableParagraph17"/>
              <w:spacing w:before="108"/>
              <w:ind w:left="85"/>
              <w:jc w:val="both"/>
            </w:pPr>
            <w:r>
              <w:t>Artikel 108 i direktiv 2014/59/EU</w:t>
            </w:r>
          </w:p>
          <w:p w14:paraId="7FE1B57C" w14:textId="32E4C4DA" w:rsidR="00960E01" w:rsidRDefault="00821CB5">
            <w:pPr>
              <w:pStyle w:val="P68B1DB1-TableParagraph17"/>
              <w:spacing w:before="108"/>
              <w:ind w:left="85"/>
              <w:jc w:val="both"/>
              <w:rPr>
                <w:b/>
                <w:bCs/>
              </w:rPr>
            </w:pPr>
            <w:r>
              <w:t xml:space="preserve">Indskud som defineret i artikel 2, stk. 1, nr. 3), i direktiv 2014/49/EU, der ikke opfylder betingelserne for udelukkelse fra bail-in (artikel 44, stk. 2, litra a), i direktiv 2014/59/EU), men som er omfattet af muligheden for præferencebehandling i overensstemmelse med artikel 108 i direktiv 2014/59/EU. </w:t>
            </w:r>
          </w:p>
        </w:tc>
      </w:tr>
      <w:tr w:rsidR="00960E01"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960E01" w:rsidRDefault="00821CB5">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960E01" w:rsidRDefault="00821CB5">
            <w:pPr>
              <w:pStyle w:val="P68B1DB1-TableParagraph14"/>
              <w:spacing w:before="108"/>
              <w:ind w:left="85"/>
              <w:jc w:val="both"/>
            </w:pPr>
            <w:r>
              <w:t>Indskud, udækkede og ikke foranstillede</w:t>
            </w:r>
          </w:p>
          <w:p w14:paraId="7FE1B580" w14:textId="0D609C91" w:rsidR="00960E01" w:rsidRDefault="00821CB5">
            <w:pPr>
              <w:pStyle w:val="P68B1DB1-TableParagraph17"/>
              <w:spacing w:before="108"/>
              <w:ind w:left="85"/>
              <w:jc w:val="both"/>
              <w:rPr>
                <w:b/>
                <w:bCs/>
              </w:rPr>
            </w:pPr>
            <w:r>
              <w:t>Indskud som defineret i artikel 2, stk. 1, nr. 3), i direktiv 2014/49/EU, der ikke opfylder betingelserne for udelukkelse fra bail-in eller præferencebehandling i henhold til artikel 44, stk. 2, litra a), eller artikel 108 i direktiv 2014/59/EU.</w:t>
            </w:r>
          </w:p>
        </w:tc>
      </w:tr>
      <w:tr w:rsidR="00960E01"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960E01" w:rsidRDefault="00821CB5">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960E01" w:rsidRDefault="00821CB5">
            <w:pPr>
              <w:pStyle w:val="P68B1DB1-TableParagraph14"/>
              <w:spacing w:before="108"/>
              <w:ind w:left="85"/>
              <w:jc w:val="both"/>
            </w:pPr>
            <w:r>
              <w:t>Forpligtelser på balancen hidrørende fra derivater</w:t>
            </w:r>
          </w:p>
          <w:p w14:paraId="625CF843" w14:textId="77777777" w:rsidR="00960E01" w:rsidRDefault="00821CB5">
            <w:pPr>
              <w:pStyle w:val="P68B1DB1-TableParagraph17"/>
              <w:spacing w:before="108"/>
              <w:ind w:left="85"/>
              <w:jc w:val="both"/>
            </w:pPr>
            <w:r>
              <w:t xml:space="preserve">Regnskabsværdien af forpligtelser hidrørende fra derivater. </w:t>
            </w:r>
          </w:p>
          <w:p w14:paraId="7FE1B584" w14:textId="17111D9E" w:rsidR="00960E01" w:rsidRDefault="00821CB5">
            <w:pPr>
              <w:pStyle w:val="P68B1DB1-TableParagraph17"/>
              <w:spacing w:before="108"/>
              <w:ind w:left="85"/>
              <w:jc w:val="both"/>
              <w:rPr>
                <w:b/>
                <w:bCs/>
              </w:rPr>
            </w:pPr>
            <w:r>
              <w:t>Indberet kun værdier i feltet "regnskabsmæssig værdi".</w:t>
            </w:r>
          </w:p>
        </w:tc>
      </w:tr>
      <w:tr w:rsidR="00960E01"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960E01" w:rsidRDefault="00821CB5">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960E01" w:rsidRDefault="00821CB5">
            <w:pPr>
              <w:pStyle w:val="P68B1DB1-TableParagraph14"/>
              <w:spacing w:before="108"/>
              <w:ind w:left="85"/>
              <w:jc w:val="both"/>
            </w:pPr>
            <w:r>
              <w:t>Summen af nettogældspositioner under hensyntagen til kontraktlige nettinggrupper, efter mark-to-market-tilpasninger, inden modregning af sikkerhedsstillelse</w:t>
            </w:r>
          </w:p>
          <w:p w14:paraId="43E2EAD9" w14:textId="77777777" w:rsidR="00960E01" w:rsidRDefault="00821CB5">
            <w:pPr>
              <w:pStyle w:val="P68B1DB1-TableParagraph17"/>
              <w:spacing w:before="108"/>
              <w:ind w:left="85"/>
              <w:jc w:val="both"/>
            </w:pPr>
            <w:r>
              <w:t xml:space="preserve">Som standard summen af nettomarkedsværdien af alle derivatforpligtelser pr. kontraktlig </w:t>
            </w:r>
            <w:r>
              <w:lastRenderedPageBreak/>
              <w:t xml:space="preserve">nettinggruppe. Kun hvis nettomarkedsværdien af en nettinggruppe er en forpligtelse, indberettes nettinggruppen. I denne forbindelse gælder det, at derivater, der ikke er omfattet af nettingaftaler, skal behandles som én enkelt aftale, dvs. som om der var tale om en nettinggruppe med kun ét derivat. </w:t>
            </w:r>
          </w:p>
          <w:p w14:paraId="7FE1B588" w14:textId="07C2ADA5" w:rsidR="00960E01" w:rsidRDefault="00821CB5">
            <w:pPr>
              <w:pStyle w:val="P68B1DB1-TableParagraph17"/>
              <w:spacing w:before="108"/>
              <w:ind w:left="85"/>
              <w:jc w:val="both"/>
              <w:rPr>
                <w:b/>
                <w:bCs/>
              </w:rPr>
            </w:pPr>
            <w:r>
              <w:t>Indberet kun værdier i feltet "udestående beløb".</w:t>
            </w:r>
          </w:p>
        </w:tc>
      </w:tr>
      <w:tr w:rsidR="00960E01"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960E01" w:rsidRDefault="00821CB5">
            <w:pPr>
              <w:pStyle w:val="P68B1DB1-TableParagraph13"/>
              <w:spacing w:before="106"/>
              <w:ind w:left="-1"/>
            </w:pPr>
            <w:r>
              <w:lastRenderedPageBreak/>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960E01" w:rsidRDefault="00821CB5">
            <w:pPr>
              <w:pStyle w:val="P68B1DB1-TableParagraph14"/>
              <w:spacing w:before="108"/>
              <w:ind w:left="85"/>
              <w:jc w:val="both"/>
            </w:pPr>
            <w:r>
              <w:t>Summen af nettogældspositioner under hensyntagen til kontraktlige nettinggrupper, efter mark-to-market-tilpasninger, efter modregning af sikkerhedsstillelse</w:t>
            </w:r>
          </w:p>
          <w:p w14:paraId="5A26CA7C" w14:textId="1D9E4DD4" w:rsidR="00960E01" w:rsidRDefault="00821CB5">
            <w:pPr>
              <w:pStyle w:val="P68B1DB1-TableParagraph17"/>
              <w:spacing w:before="108"/>
              <w:ind w:left="85"/>
              <w:jc w:val="both"/>
            </w:pPr>
            <w:r>
              <w:t xml:space="preserve">For værdiansættelsen i række 0331 vil der skulle foretages en justering for sikkerhed stillet for at sikre denne eksponering, hvilket resulterer i summen af disse nettomarkedsværdier efter modregning af sikkerhedsstillelse til markedsværdien. Kun de aftalemæssige nettinggrupper, for hvilke passivpositionen efter mark-to-market-justeringer og efter modregning af sikkerhedsstillelse er et positivt beløb, bør indberettes i denne række (dvs. kun når nettomarkedsværdien (c0120 i Z15.00) er højere end værdien af nettosikkerhedsstillelsen (c0130 i Z15.00)). </w:t>
            </w:r>
          </w:p>
          <w:p w14:paraId="7FE1B58C" w14:textId="453C45AE" w:rsidR="00960E01" w:rsidRDefault="00821CB5">
            <w:pPr>
              <w:pStyle w:val="P68B1DB1-TableParagraph17"/>
              <w:spacing w:before="108"/>
              <w:ind w:left="85"/>
              <w:jc w:val="both"/>
            </w:pPr>
            <w:r>
              <w:t>Indberet kun værdier i feltet "udestående beløb".</w:t>
            </w:r>
          </w:p>
        </w:tc>
      </w:tr>
      <w:tr w:rsidR="00960E01"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960E01" w:rsidRDefault="00821CB5">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960E01" w:rsidRDefault="00821CB5">
            <w:pPr>
              <w:pStyle w:val="P68B1DB1-TableParagraph14"/>
              <w:spacing w:before="108"/>
              <w:ind w:left="85"/>
              <w:jc w:val="both"/>
            </w:pPr>
            <w:r>
              <w:t>Summen af nettogældspositioner under hensyntagen til kontraktlige nettinggrupper, efter mark-to-market-tilpasninger, efter modregning af sikkerhedsstillelse, iberegnet estimerede "close-out amounts"</w:t>
            </w:r>
          </w:p>
          <w:p w14:paraId="7FE1B590" w14:textId="77777777"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 overensstemmelse med Kommissionens delegerede forordning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vedrørende værdiansættelse af forpligtelser hidrørende fra derivater et supplerende "close-out amount", som dækker de tab eller omkostninger, der påføres derivatmodparter, eller de gevinster, disse realiserer, ved at genanskaffe eller opnå den økonomiske modværdi af aftalernes væsentlige vilkår og parternes optionsret, hvad angår de opsagte aftaler.</w:t>
            </w:r>
          </w:p>
          <w:p w14:paraId="00480641" w14:textId="2B7C2F6F"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 skøn, der er påkrævet til fastlæggelse af et "close-out amount" i overensstemmelse med ovennævnte forordning, kan være temmelig vanskelige at foretage på individuel basis. Der kan af samme grund i stedet anvendes proxy-værdier, som kan være baseret på tilgængelige data såsom de tilsynsmæssige krav vedrørende markedsrisiko. Hvis det viser sig at være umuligt at beregne et "close-out amount" for derivatforpligtelserne, skal det indberettede beløb være det samme som det beløb, der indberettes i række 0332.</w:t>
            </w:r>
            <w:r>
              <w:t xml:space="preserve"> </w:t>
            </w:r>
            <w:r>
              <w:rPr>
                <w:rFonts w:ascii="Times New Roman" w:eastAsia="Cambria" w:hAnsi="Times New Roman" w:cs="Times New Roman"/>
                <w:color w:val="000000" w:themeColor="text1"/>
                <w:sz w:val="20"/>
                <w:szCs w:val="20"/>
              </w:rPr>
              <w:t>Kun de aftalemæssige nettinggrupper, for hvilke passivpositionen efter mark-to-market-justeringer, efter modregning af sikkerhedsstillelse og med skønnede slutafgiftsbeløb er et positivt beløb, bør indberettes i denne række (dvs. kun når det anslåede beløb for førtidig opsigelse (c0150 i Z15.00) er positivt).</w:t>
            </w:r>
          </w:p>
          <w:p w14:paraId="7FE1B591" w14:textId="3F2EA3D4" w:rsidR="00960E01" w:rsidRDefault="00821CB5">
            <w:pPr>
              <w:pStyle w:val="P68B1DB1-TableParagraph17"/>
              <w:spacing w:before="108"/>
              <w:ind w:left="85"/>
              <w:jc w:val="both"/>
            </w:pPr>
            <w:r>
              <w:t>Indberet kun værdier i feltet "udestående beløb".</w:t>
            </w:r>
          </w:p>
        </w:tc>
      </w:tr>
      <w:tr w:rsidR="00960E01"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960E01" w:rsidRDefault="00821CB5">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960E01" w:rsidRDefault="00821CB5">
            <w:pPr>
              <w:pStyle w:val="P68B1DB1-TableParagraph14"/>
              <w:spacing w:before="108"/>
              <w:ind w:left="85"/>
              <w:jc w:val="both"/>
              <w:rPr>
                <w:bCs/>
              </w:rPr>
            </w:pPr>
            <w:r>
              <w:t>Summen af nettogældspositioner under hensyntagen til reglerne for tilsynsmæssig netting</w:t>
            </w:r>
          </w:p>
          <w:p w14:paraId="225BC2D2" w14:textId="5634735D" w:rsidR="00960E01" w:rsidRDefault="00821CB5">
            <w:pPr>
              <w:pStyle w:val="P68B1DB1-TableParagraph17"/>
              <w:spacing w:before="108"/>
              <w:ind w:left="85"/>
              <w:jc w:val="both"/>
            </w:pPr>
            <w:r>
              <w:t>Nettogældspositionerne for derivater under hensyntagen til reglerne for tilsynsmæssig netting i artikel 429 i forordning (EU) nr. 575/2013 (vedrørende beregningen af det samlede eksponeringsmål i tilknytning til gearingsgraden) skal indberettes.</w:t>
            </w:r>
          </w:p>
          <w:p w14:paraId="7FE1B595" w14:textId="1E8C2F86" w:rsidR="00960E01" w:rsidRDefault="00821CB5">
            <w:pPr>
              <w:pStyle w:val="P68B1DB1-TableParagraph17"/>
              <w:spacing w:before="108"/>
              <w:ind w:left="85"/>
              <w:jc w:val="both"/>
              <w:rPr>
                <w:b/>
                <w:bCs/>
              </w:rPr>
            </w:pPr>
            <w:r>
              <w:t>Indberet kun værdier i feltet "udestående beløb".</w:t>
            </w:r>
          </w:p>
        </w:tc>
      </w:tr>
      <w:tr w:rsidR="00960E01"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960E01" w:rsidRDefault="00821CB5">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960E01" w:rsidRDefault="00821CB5">
            <w:pPr>
              <w:pStyle w:val="P68B1DB1-TableParagraph14"/>
              <w:spacing w:before="108"/>
              <w:ind w:left="85"/>
              <w:jc w:val="both"/>
              <w:rPr>
                <w:bCs/>
              </w:rPr>
            </w:pPr>
            <w:r>
              <w:t>Sikrede passiver, for hvilke der ikke er stillet sikkerhed</w:t>
            </w:r>
          </w:p>
          <w:p w14:paraId="7FE1B599" w14:textId="77777777" w:rsidR="00960E01" w:rsidRDefault="00821CB5">
            <w:pPr>
              <w:pStyle w:val="P68B1DB1-TableParagraph13"/>
              <w:spacing w:before="108"/>
              <w:ind w:left="85"/>
              <w:jc w:val="both"/>
              <w:rPr>
                <w:b/>
                <w:bCs/>
              </w:rPr>
            </w:pPr>
            <w:r>
              <w:t>Sikrede passiver eller passiver, for hvilke der er stillet sikkerhed, som overstiger værdien af de aktiver, det pant, den tilbageholdelsesret eller den kaution, der stilles som sikkerhed. Dette omfatter den underkollateraliserede del af forpligtelser omfattet af sikkerhedsstillelse, f.eks. den underkollateralisede del af dækkede obligationer eller repo-forretninger.</w:t>
            </w:r>
          </w:p>
        </w:tc>
      </w:tr>
      <w:tr w:rsidR="00960E01"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960E01" w:rsidRDefault="00821CB5">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960E01" w:rsidRDefault="00821CB5">
            <w:pPr>
              <w:pStyle w:val="P68B1DB1-TableParagraph14"/>
              <w:spacing w:before="108"/>
              <w:ind w:left="85"/>
              <w:jc w:val="both"/>
              <w:rPr>
                <w:bCs/>
              </w:rPr>
            </w:pPr>
            <w:r>
              <w:t>Strukturerede værdipapirer</w:t>
            </w:r>
          </w:p>
          <w:p w14:paraId="7FE1B59D" w14:textId="77777777" w:rsidR="00960E01" w:rsidRDefault="00821CB5">
            <w:pPr>
              <w:pStyle w:val="P68B1DB1-TableParagraph17"/>
              <w:spacing w:before="108"/>
              <w:ind w:left="85"/>
              <w:jc w:val="both"/>
              <w:rPr>
                <w:b/>
                <w:bCs/>
              </w:rPr>
            </w:pPr>
            <w:r>
              <w:lastRenderedPageBreak/>
              <w:t>Strukturerede obligationer defineres til dette formål som gældsforpligtelser, der indeholder en indbygget derivatkomponent, med afkast, der er knyttet til et underliggende værdipapir eller indeks (offentligt eller skræddersyet, såsom aktier eller obligationer, "fixed income-renter" eller kredit, valuta, råvarer osv.). Strukturerede obligationer omfatter ikke gældsinstrumenter, der udelukkende omfatter call- eller put-optioner, dvs. instrumentets værdi afhænger ikke af en indbygget derivatkomponent.</w:t>
            </w:r>
          </w:p>
        </w:tc>
      </w:tr>
      <w:tr w:rsidR="00960E01"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960E01" w:rsidRDefault="00821CB5">
            <w:pPr>
              <w:pStyle w:val="P68B1DB1-TableParagraph13"/>
              <w:spacing w:before="106"/>
              <w:ind w:left="-1"/>
            </w:pPr>
            <w:r>
              <w:lastRenderedPageBreak/>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960E01" w:rsidRDefault="00821CB5">
            <w:pPr>
              <w:pStyle w:val="P68B1DB1-TableParagraph14"/>
              <w:spacing w:before="108"/>
              <w:ind w:left="85"/>
              <w:jc w:val="both"/>
              <w:rPr>
                <w:bCs/>
              </w:rPr>
            </w:pPr>
            <w:r>
              <w:t>Usikret seniorgæld</w:t>
            </w:r>
          </w:p>
          <w:p w14:paraId="7FE1B5A1" w14:textId="2515816B" w:rsidR="00960E01" w:rsidRDefault="00821CB5">
            <w:pPr>
              <w:pStyle w:val="P68B1DB1-TableParagraph17"/>
              <w:spacing w:before="108"/>
              <w:ind w:left="85"/>
              <w:jc w:val="both"/>
              <w:rPr>
                <w:b/>
                <w:bCs/>
              </w:rPr>
            </w:pPr>
            <w:r>
              <w:t>Dette omfatter alle usikrede seniorinstrumenter, der ikke indgår i andre kategorier ovenfor.</w:t>
            </w:r>
          </w:p>
        </w:tc>
      </w:tr>
      <w:tr w:rsidR="00960E01"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960E01" w:rsidRDefault="00821CB5">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960E01" w:rsidRDefault="00821CB5">
            <w:pPr>
              <w:pStyle w:val="P68B1DB1-TableParagraph14"/>
              <w:spacing w:before="108"/>
              <w:ind w:left="85"/>
              <w:jc w:val="both"/>
            </w:pPr>
            <w:r>
              <w:t>Ikke-foranstillet seniorgæld</w:t>
            </w:r>
          </w:p>
          <w:p w14:paraId="7FE1B5A5" w14:textId="77777777" w:rsidR="00960E01" w:rsidRDefault="00821CB5">
            <w:pPr>
              <w:pStyle w:val="P68B1DB1-TableParagraph13"/>
              <w:spacing w:before="108"/>
              <w:ind w:left="85"/>
              <w:jc w:val="both"/>
            </w:pPr>
            <w:r>
              <w:t>Beløbet for enhver af følgende forpligtelser:</w:t>
            </w:r>
          </w:p>
          <w:p w14:paraId="7FE1B5A6" w14:textId="51806099" w:rsidR="00960E01" w:rsidRDefault="00821CB5">
            <w:pPr>
              <w:pStyle w:val="P68B1DB1-TableParagraph13"/>
              <w:numPr>
                <w:ilvl w:val="0"/>
                <w:numId w:val="69"/>
              </w:numPr>
              <w:spacing w:before="108"/>
              <w:jc w:val="both"/>
            </w:pPr>
            <w:r>
              <w:t xml:space="preserve">Usikrede fordringer vedrørende gældsinstrumenter, der opfylder betingelserne i artikel 108 i direktiv 2014/59/EU, stk. 2, litra a), b) og c), og stk. 3 </w:t>
            </w:r>
          </w:p>
          <w:p w14:paraId="7FE1B5A7" w14:textId="77777777" w:rsidR="00960E01" w:rsidRDefault="00821CB5">
            <w:pPr>
              <w:pStyle w:val="P68B1DB1-TableParagraph13"/>
              <w:numPr>
                <w:ilvl w:val="0"/>
                <w:numId w:val="69"/>
              </w:numPr>
              <w:spacing w:before="108"/>
              <w:jc w:val="both"/>
            </w:pPr>
            <w:r>
              <w:t>Usikrede fordringer vedrørende gældsinstrumenter som omhandlet i artikel 108, stk. 5, første afsnit, litra b), i direktiv 2014/59/EF eller</w:t>
            </w:r>
          </w:p>
          <w:p w14:paraId="7FE1B5A8" w14:textId="77777777" w:rsidR="00960E01" w:rsidRDefault="00821CB5">
            <w:pPr>
              <w:pStyle w:val="P68B1DB1-TableParagraph13"/>
              <w:numPr>
                <w:ilvl w:val="0"/>
                <w:numId w:val="69"/>
              </w:numPr>
              <w:spacing w:before="108"/>
              <w:jc w:val="both"/>
            </w:pPr>
            <w:r>
              <w:t>Gældsinstrumenter med den laveste prioritet blandt almindelige usikrede fordringer vedrørende gældsinstrumenter som omhandlet i artikel 108, stk. 7, i direktiv 2014/59/EU, for hvilke en medlemsstat, i overensstemmelse med samme stykke, har fastsat, at de har den samme prioritet som fordringer, der opfylder betingelserne i artikel 108, stk. 2, litra a), b) og c), og stk. 3, i direktiv 2014/59/EU.</w:t>
            </w:r>
          </w:p>
        </w:tc>
      </w:tr>
      <w:tr w:rsidR="00960E01"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960E01" w:rsidRDefault="00821CB5">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960E01" w:rsidRDefault="00821CB5">
            <w:pPr>
              <w:pStyle w:val="P68B1DB1-TableParagraph14"/>
              <w:spacing w:before="108"/>
              <w:ind w:left="85"/>
              <w:jc w:val="both"/>
              <w:rPr>
                <w:bCs/>
              </w:rPr>
            </w:pPr>
            <w:r>
              <w:t>Efterstillede forpligtelser (der ikke indgår i kapitalgrundlaget)</w:t>
            </w:r>
          </w:p>
          <w:p w14:paraId="7FE1B5AC" w14:textId="77777777" w:rsidR="00960E01" w:rsidRDefault="00821CB5">
            <w:pPr>
              <w:pStyle w:val="P68B1DB1-TableParagraph17"/>
              <w:spacing w:before="108"/>
              <w:ind w:left="85"/>
              <w:jc w:val="both"/>
            </w:pPr>
            <w:r>
              <w:t>Forpligtelser, der i henhold til national insolvensret først vil blive tilbagebetalt, efter at alle klasser af simple kreditorer og kreditorer til ikke-foranstillet seniorgæld er tilbagebetalt fuldt ud. Dette omfatter både kontraktmæssigt og vedtægtsmæssigt efterstillede forpligtelser. For så vidt angår holdingselskaber kan ikke-efterstillede gældsværdipapirer også indberettes i denne kategori (dvs. strukturel efterstillelse).</w:t>
            </w:r>
          </w:p>
          <w:p w14:paraId="7FE1B5AD" w14:textId="77777777" w:rsidR="00960E01" w:rsidRDefault="00821CB5">
            <w:pPr>
              <w:pStyle w:val="P68B1DB1-TableParagraph17"/>
              <w:spacing w:before="108"/>
              <w:ind w:left="85"/>
              <w:jc w:val="both"/>
            </w:pPr>
            <w:r>
              <w:t xml:space="preserve">Kun efterstillede instrumenter, der ikke anerkendes som kapitalgrundlag, skal inkluderes i denne kategori. </w:t>
            </w:r>
          </w:p>
          <w:p w14:paraId="7FE1B5AE" w14:textId="77777777" w:rsidR="00960E01" w:rsidRDefault="00821CB5">
            <w:pPr>
              <w:pStyle w:val="P68B1DB1-TableParagraph17"/>
              <w:spacing w:before="108"/>
              <w:ind w:left="85"/>
              <w:jc w:val="both"/>
              <w:rPr>
                <w:b/>
                <w:bCs/>
              </w:rPr>
            </w:pPr>
            <w:r>
              <w:t xml:space="preserve">Denne række omfatter også den del af efterstillede forpligtelser, der i princippet betragtes som kapitalgrundlag, men som pga. udfasningsbestemmelser — som f.eks. artikel 64 i forordning (EU) nr. 575/2013 (restløbetid) eller tiende del i forordning (EU) nr. 575/2013 (grandfathering impact) — ikke indgår i kapitalgrundlaget. </w:t>
            </w:r>
          </w:p>
        </w:tc>
      </w:tr>
      <w:tr w:rsidR="00960E01"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960E01" w:rsidRDefault="00821CB5">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5E65C6AE" w:rsidR="00960E01" w:rsidRDefault="00821CB5">
            <w:pPr>
              <w:pStyle w:val="P68B1DB1-TableParagraph14"/>
              <w:spacing w:before="108"/>
              <w:ind w:left="85"/>
              <w:jc w:val="both"/>
              <w:rPr>
                <w:bCs/>
              </w:rPr>
            </w:pPr>
            <w:r>
              <w:t>Andre MREL-nedskrivningsrelevante passiver</w:t>
            </w:r>
          </w:p>
          <w:p w14:paraId="7FE1B5B2" w14:textId="4506AA1E" w:rsidR="00960E01" w:rsidRDefault="00821CB5">
            <w:pPr>
              <w:pStyle w:val="P68B1DB1-TableParagraph13"/>
              <w:spacing w:before="108"/>
              <w:ind w:left="85"/>
              <w:jc w:val="both"/>
              <w:rPr>
                <w:b/>
                <w:bCs/>
              </w:rPr>
            </w:pPr>
            <w:r>
              <w:t>Den beløbsmæssige størrelse af passiver, der er nedskrivningsrelevante med henblik på, at den indberettende enhed opfylder kravet i artikel 45 i direktiv 2014/59/EU i overensstemmelse med samme direktivs eller 45f, alt efter hvad der er relevant, men som ikke er medtaget i række 45 og 0320-0340.</w:t>
            </w:r>
          </w:p>
        </w:tc>
      </w:tr>
      <w:tr w:rsidR="00960E01"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960E01" w:rsidRDefault="00821CB5">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960E01" w:rsidRDefault="00821CB5">
            <w:pPr>
              <w:pStyle w:val="P68B1DB1-TableParagraph14"/>
              <w:spacing w:before="108"/>
              <w:ind w:left="85"/>
              <w:jc w:val="both"/>
              <w:rPr>
                <w:bCs/>
              </w:rPr>
            </w:pPr>
            <w:r>
              <w:t>Ikke-finansielle forpligtelser</w:t>
            </w:r>
          </w:p>
          <w:p w14:paraId="7FE1B5B6" w14:textId="2BB92741" w:rsidR="00960E01" w:rsidRDefault="00821CB5">
            <w:pPr>
              <w:pStyle w:val="P68B1DB1-TableParagraph17"/>
              <w:spacing w:before="108"/>
              <w:ind w:left="85"/>
              <w:jc w:val="both"/>
              <w:rPr>
                <w:b/>
                <w:bCs/>
              </w:rPr>
            </w:pPr>
            <w:r>
              <w:t xml:space="preserve">Den beløbsmæssige størrelse af forpligtelser, der ikke betragtes som finansielle forpligtelser i overensstemmelse med de gældende regnskabsregler, såsom hensættelser vedrørende retssager, som virksomheden er underlagt. </w:t>
            </w:r>
          </w:p>
        </w:tc>
      </w:tr>
      <w:tr w:rsidR="00960E01"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960E01" w:rsidRDefault="00821CB5">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960E01" w:rsidRDefault="00821CB5">
            <w:pPr>
              <w:pStyle w:val="P68B1DB1-TableParagraph14"/>
              <w:spacing w:before="108"/>
              <w:ind w:left="85"/>
              <w:jc w:val="both"/>
              <w:rPr>
                <w:bCs/>
              </w:rPr>
            </w:pPr>
            <w:r>
              <w:t>Resterende forpligtelser</w:t>
            </w:r>
          </w:p>
          <w:p w14:paraId="7FE1B5BA" w14:textId="66DA2802" w:rsidR="00960E01" w:rsidRDefault="00821CB5">
            <w:pPr>
              <w:pStyle w:val="P68B1DB1-TableParagraph17"/>
              <w:spacing w:before="108"/>
              <w:ind w:left="85"/>
              <w:jc w:val="both"/>
              <w:rPr>
                <w:b/>
                <w:bCs/>
              </w:rPr>
            </w:pPr>
            <w:r>
              <w:t xml:space="preserve">Den beløbsmæssige størrelse af forpligtelser, der ikke indberettes i række 0100-0390. </w:t>
            </w:r>
          </w:p>
        </w:tc>
      </w:tr>
      <w:tr w:rsidR="00960E01" w:rsidRPr="00BA6295"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960E01" w:rsidRDefault="00821CB5">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960E01" w:rsidRDefault="00821CB5">
            <w:pPr>
              <w:pStyle w:val="P68B1DB1-TableParagraph14"/>
              <w:spacing w:before="108"/>
              <w:ind w:left="85"/>
              <w:jc w:val="both"/>
            </w:pPr>
            <w:r>
              <w:t>Egenkapital</w:t>
            </w:r>
          </w:p>
          <w:p w14:paraId="7FE1B5BE" w14:textId="77777777" w:rsidR="00960E01" w:rsidRDefault="00821CB5">
            <w:pPr>
              <w:pStyle w:val="P68B1DB1-TableParagraph17"/>
              <w:spacing w:before="108"/>
              <w:ind w:left="85"/>
              <w:jc w:val="both"/>
            </w:pPr>
            <w:r>
              <w:t>Artikel 4, stk. 1, litra 118), og artikel 72 i forordning (EU) nr. 575/2013</w:t>
            </w:r>
          </w:p>
          <w:p w14:paraId="7FE1B5BF" w14:textId="77777777" w:rsidR="00960E01" w:rsidRPr="00BA6295" w:rsidRDefault="00821CB5">
            <w:pPr>
              <w:pStyle w:val="P68B1DB1-TableParagraph17"/>
              <w:spacing w:before="108"/>
              <w:ind w:left="85"/>
              <w:jc w:val="both"/>
            </w:pPr>
            <w:r w:rsidRPr="00BA6295">
              <w:lastRenderedPageBreak/>
              <w:t>Samme definition som COREP (OF): C 01.00; 010; 010</w:t>
            </w:r>
          </w:p>
        </w:tc>
      </w:tr>
      <w:tr w:rsidR="00960E01" w:rsidRPr="00BA6295"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960E01" w:rsidRDefault="00821CB5">
            <w:pPr>
              <w:pStyle w:val="P68B1DB1-TableParagraph13"/>
              <w:spacing w:before="106"/>
              <w:ind w:left="-1"/>
            </w:pPr>
            <w:r>
              <w:lastRenderedPageBreak/>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960E01" w:rsidRDefault="00821CB5">
            <w:pPr>
              <w:pStyle w:val="P68B1DB1-TableParagraph14"/>
              <w:spacing w:before="108"/>
              <w:ind w:left="85"/>
              <w:jc w:val="both"/>
              <w:rPr>
                <w:bCs/>
              </w:rPr>
            </w:pPr>
            <w:r>
              <w:t>Egentlig kernekapital</w:t>
            </w:r>
          </w:p>
          <w:p w14:paraId="7FE1B5C3" w14:textId="77777777" w:rsidR="00960E01" w:rsidRDefault="00821CB5">
            <w:pPr>
              <w:pStyle w:val="P68B1DB1-TableParagraph17"/>
              <w:spacing w:before="108"/>
              <w:ind w:left="85"/>
              <w:jc w:val="both"/>
            </w:pPr>
            <w:r>
              <w:t>Artikel 50 i forordning (EU) nr. 575/2013</w:t>
            </w:r>
          </w:p>
          <w:p w14:paraId="7FE1B5C4" w14:textId="77777777" w:rsidR="00960E01" w:rsidRPr="00BA6295" w:rsidRDefault="00821CB5">
            <w:pPr>
              <w:pStyle w:val="P68B1DB1-TableParagraph17"/>
              <w:spacing w:before="108"/>
              <w:ind w:left="85"/>
              <w:jc w:val="both"/>
              <w:rPr>
                <w:b/>
                <w:bCs/>
              </w:rPr>
            </w:pPr>
            <w:r w:rsidRPr="00BA6295">
              <w:t>Samme definition som COREP (OF): C 01.00; 020; 010</w:t>
            </w:r>
          </w:p>
        </w:tc>
      </w:tr>
      <w:tr w:rsidR="00960E01"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960E01" w:rsidRDefault="00821CB5">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960E01" w:rsidRDefault="00821CB5">
            <w:pPr>
              <w:pStyle w:val="P68B1DB1-TableParagraph14"/>
              <w:spacing w:before="108"/>
              <w:ind w:left="85"/>
              <w:jc w:val="both"/>
              <w:rPr>
                <w:bCs/>
              </w:rPr>
            </w:pPr>
            <w:r>
              <w:t>Heraf: kapitalinstrumenter/aktiekapital</w:t>
            </w:r>
          </w:p>
          <w:p w14:paraId="7FE1B5C8" w14:textId="77777777" w:rsidR="00960E01" w:rsidRDefault="00821CB5">
            <w:pPr>
              <w:pStyle w:val="P68B1DB1-TableParagraph17"/>
              <w:spacing w:before="108"/>
              <w:ind w:left="85"/>
              <w:jc w:val="both"/>
            </w:pPr>
            <w:r>
              <w:t>Retlige instrumenter, der udgør (en del af) den egentlige kernekapital i form af kapitalinstrumenter/aktiekapital</w:t>
            </w:r>
          </w:p>
          <w:p w14:paraId="7FE1B5C9" w14:textId="5A3DBB27" w:rsidR="00960E01" w:rsidRDefault="00821CB5">
            <w:pPr>
              <w:pStyle w:val="P68B1DB1-TableParagraph13"/>
              <w:spacing w:before="108"/>
              <w:ind w:left="85"/>
              <w:jc w:val="both"/>
            </w:pPr>
            <w:r>
              <w:t>Den regnskabsmæssige værdi (FINREP F01.03-020-010 + F01.03-040-010) forstås som instrumenternes pålydende værdi, mens det udestående beløb repræsenterer restfordringen på aktier på den samlede regnskabsmæssige egenkapital, dvs. inklusive enhedens/koncernens reserver.</w:t>
            </w:r>
          </w:p>
        </w:tc>
      </w:tr>
      <w:tr w:rsidR="00960E01"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960E01" w:rsidRDefault="00821CB5">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960E01" w:rsidRDefault="00821CB5">
            <w:pPr>
              <w:pStyle w:val="P68B1DB1-TableParagraph14"/>
              <w:spacing w:before="108"/>
              <w:ind w:left="85"/>
              <w:jc w:val="both"/>
              <w:rPr>
                <w:bCs/>
              </w:rPr>
            </w:pPr>
            <w:r>
              <w:t>Heraf: instrumenter, der rangerer på samme niveau som ordinære aktier</w:t>
            </w:r>
          </w:p>
          <w:p w14:paraId="7FE1B5CD" w14:textId="0D41ACA0" w:rsidR="00960E01" w:rsidRDefault="00821CB5">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Retlige instrumenter, der udgør (en del af) det egentlige kernekapitalgrundlag i form af andre instrumenter end kapitalinstrumenter/aktiekapital, men rangerer på samme niveau som denne kategori.</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Overført resultat og reserver indberettes ikke i denne række.</w:t>
            </w:r>
            <w:bookmarkEnd w:id="57"/>
          </w:p>
        </w:tc>
      </w:tr>
      <w:tr w:rsidR="00960E01" w:rsidRPr="00BA6295"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960E01" w:rsidRDefault="00821CB5">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960E01" w:rsidRDefault="00821CB5">
            <w:pPr>
              <w:pStyle w:val="P68B1DB1-TableParagraph14"/>
              <w:spacing w:before="108"/>
              <w:ind w:left="85"/>
              <w:jc w:val="both"/>
              <w:rPr>
                <w:bCs/>
              </w:rPr>
            </w:pPr>
            <w:r>
              <w:t>Hybrid kernekapital</w:t>
            </w:r>
          </w:p>
          <w:p w14:paraId="7FE1B5D1" w14:textId="77777777" w:rsidR="00960E01" w:rsidRDefault="00821CB5">
            <w:pPr>
              <w:pStyle w:val="P68B1DB1-TableParagraph17"/>
              <w:spacing w:before="108"/>
              <w:ind w:left="85"/>
              <w:jc w:val="both"/>
            </w:pPr>
            <w:r>
              <w:t>Artikel 61 i forordning (EU) nr. 575/2013</w:t>
            </w:r>
          </w:p>
          <w:p w14:paraId="7FE1B5D2" w14:textId="77777777" w:rsidR="00960E01" w:rsidRPr="00BA6295" w:rsidRDefault="00821CB5">
            <w:pPr>
              <w:pStyle w:val="P68B1DB1-TableParagraph17"/>
              <w:spacing w:before="108"/>
              <w:ind w:left="85"/>
              <w:jc w:val="both"/>
              <w:rPr>
                <w:b/>
                <w:bCs/>
              </w:rPr>
            </w:pPr>
            <w:r w:rsidRPr="00BA6295">
              <w:t>Samme definition som COREP (OF): C 01.00; 530; 010</w:t>
            </w:r>
          </w:p>
        </w:tc>
      </w:tr>
      <w:tr w:rsidR="00960E01"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960E01" w:rsidRDefault="00821CB5">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960E01" w:rsidRDefault="00821CB5">
            <w:pPr>
              <w:pStyle w:val="P68B1DB1-TableParagraph14"/>
              <w:spacing w:before="108"/>
              <w:ind w:left="85"/>
              <w:jc w:val="both"/>
              <w:rPr>
                <w:bCs/>
              </w:rPr>
            </w:pPr>
            <w:r>
              <w:t>Heraf: (del af) efterstillede forpligtelser, der indgår i kapitalgrundlaget</w:t>
            </w:r>
          </w:p>
          <w:p w14:paraId="7FE1B5D6" w14:textId="77777777" w:rsidR="00960E01" w:rsidRDefault="00821CB5">
            <w:pPr>
              <w:pStyle w:val="P68B1DB1-TableParagraph17"/>
              <w:spacing w:before="108"/>
              <w:ind w:left="85"/>
              <w:jc w:val="both"/>
              <w:rPr>
                <w:b/>
                <w:bCs/>
              </w:rPr>
            </w:pPr>
            <w:r>
              <w:t>Retlige instrumenter, der udgør (en del af) den hybride kernekapital.</w:t>
            </w:r>
          </w:p>
        </w:tc>
      </w:tr>
      <w:tr w:rsidR="00960E01" w:rsidRPr="00BA6295"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960E01" w:rsidRDefault="00821CB5">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960E01" w:rsidRDefault="00821CB5">
            <w:pPr>
              <w:pStyle w:val="P68B1DB1-TableParagraph14"/>
              <w:spacing w:before="108"/>
              <w:ind w:left="85"/>
              <w:jc w:val="both"/>
              <w:rPr>
                <w:bCs/>
              </w:rPr>
            </w:pPr>
            <w:r>
              <w:t>Supplerende kapital</w:t>
            </w:r>
          </w:p>
          <w:p w14:paraId="7FE1B5DA" w14:textId="77777777" w:rsidR="00960E01" w:rsidRDefault="00821CB5">
            <w:pPr>
              <w:pStyle w:val="P68B1DB1-TableParagraph17"/>
              <w:spacing w:before="108"/>
              <w:ind w:left="85"/>
              <w:jc w:val="both"/>
            </w:pPr>
            <w:r>
              <w:t>Artikel 71 i forordning (EU) nr. 575/2013</w:t>
            </w:r>
          </w:p>
          <w:p w14:paraId="7FE1B5DB" w14:textId="77777777" w:rsidR="00960E01" w:rsidRPr="00BA6295" w:rsidRDefault="00821CB5">
            <w:pPr>
              <w:pStyle w:val="P68B1DB1-TableParagraph17"/>
              <w:spacing w:before="108"/>
              <w:ind w:left="85"/>
              <w:jc w:val="both"/>
              <w:rPr>
                <w:b/>
                <w:bCs/>
              </w:rPr>
            </w:pPr>
            <w:r w:rsidRPr="00BA6295">
              <w:t>Samme definition som COREP (OF): C 01.00; 750; 010</w:t>
            </w:r>
          </w:p>
        </w:tc>
      </w:tr>
      <w:tr w:rsidR="00960E01"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960E01" w:rsidRDefault="00821CB5">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960E01" w:rsidRDefault="00821CB5">
            <w:pPr>
              <w:pStyle w:val="P68B1DB1-TableParagraph14"/>
              <w:spacing w:before="108"/>
              <w:ind w:left="85"/>
              <w:jc w:val="both"/>
              <w:rPr>
                <w:bCs/>
              </w:rPr>
            </w:pPr>
            <w:r>
              <w:t>Heraf: (del af) efterstillede forpligtelser, der indgår i kapitalgrundlaget</w:t>
            </w:r>
          </w:p>
          <w:p w14:paraId="7FE1B5DF" w14:textId="77777777" w:rsidR="00960E01" w:rsidRDefault="00821CB5">
            <w:pPr>
              <w:pStyle w:val="P68B1DB1-TableParagraph17"/>
              <w:spacing w:before="108"/>
              <w:ind w:left="85"/>
              <w:jc w:val="both"/>
              <w:rPr>
                <w:b/>
                <w:bCs/>
              </w:rPr>
            </w:pPr>
            <w:r>
              <w:t>Denne oversigt indeholder de retlige instrumenter, der udgør (en del af) det supplerende kapitalgrundlag.</w:t>
            </w:r>
          </w:p>
        </w:tc>
      </w:tr>
      <w:tr w:rsidR="00960E01"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960E01" w:rsidRDefault="00821CB5">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960E01" w:rsidRDefault="00821CB5">
            <w:pPr>
              <w:pStyle w:val="P68B1DB1-TableParagraph14"/>
              <w:spacing w:before="108"/>
              <w:ind w:left="85"/>
              <w:jc w:val="both"/>
              <w:rPr>
                <w:bCs/>
              </w:rPr>
            </w:pPr>
            <w:r>
              <w:t>Samlede forpligtelser &amp; kapitalgrundlag inkl. derivatforpligtelser</w:t>
            </w:r>
          </w:p>
          <w:p w14:paraId="7FE1B5E3" w14:textId="77777777" w:rsidR="00960E01" w:rsidRDefault="00821CB5">
            <w:pPr>
              <w:pStyle w:val="P68B1DB1-TableParagraph17"/>
              <w:spacing w:before="108"/>
              <w:ind w:left="85"/>
              <w:jc w:val="both"/>
              <w:rPr>
                <w:b/>
                <w:bCs/>
              </w:rPr>
            </w:pPr>
            <w:r>
              <w:t>Summen af alle forpligtelser indberettet i dette skema og det lovpligtige kapitalgrundlag. Beløbet fås ved sammenlægning af alle beløbene i ovenstående rækker. For derivater er den værdi, der skal anvendes, række 0334, "Summen af nettogældspositioner under hensyntagen til reglerne for tilsynsmæssig netting".</w:t>
            </w:r>
          </w:p>
        </w:tc>
      </w:tr>
      <w:tr w:rsidR="00960E01"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960E01" w:rsidRDefault="00821CB5">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960E01" w:rsidRDefault="00821CB5">
            <w:pPr>
              <w:pStyle w:val="P68B1DB1-TableParagraph14"/>
              <w:jc w:val="both"/>
              <w:rPr>
                <w:bCs/>
              </w:rPr>
            </w:pPr>
            <w:r>
              <w:t>Egenkapital i alt</w:t>
            </w:r>
          </w:p>
          <w:p w14:paraId="7FE1B604" w14:textId="77777777" w:rsidR="00960E01" w:rsidRDefault="00821CB5">
            <w:pPr>
              <w:pStyle w:val="P68B1DB1-Normal21"/>
              <w:spacing w:line="276" w:lineRule="auto"/>
              <w:jc w:val="both"/>
            </w:pPr>
            <w:r>
              <w:t>(FINREP F01.03-300-010) for den regnskabsmæssige værdi.</w:t>
            </w:r>
          </w:p>
          <w:p w14:paraId="7FE1B605" w14:textId="44D71F77" w:rsidR="00960E01" w:rsidRDefault="00821CB5">
            <w:pPr>
              <w:pStyle w:val="P68B1DB1-Normal21"/>
              <w:spacing w:line="276" w:lineRule="auto"/>
              <w:jc w:val="both"/>
            </w:pPr>
            <w:r>
              <w:t>Dette beløb svarer til balancens samlede egenkapital.</w:t>
            </w:r>
          </w:p>
          <w:p w14:paraId="7FE1B606" w14:textId="77777777" w:rsidR="00960E01" w:rsidRDefault="00960E01">
            <w:pPr>
              <w:pStyle w:val="TableParagraph"/>
              <w:jc w:val="both"/>
              <w:rPr>
                <w:rFonts w:ascii="Times New Roman" w:hAnsi="Times New Roman" w:cs="Times New Roman"/>
                <w:b/>
                <w:bCs/>
                <w:color w:val="000000" w:themeColor="text1"/>
                <w:sz w:val="20"/>
                <w:szCs w:val="20"/>
              </w:rPr>
            </w:pPr>
          </w:p>
        </w:tc>
      </w:tr>
    </w:tbl>
    <w:p w14:paraId="7FE1B60E" w14:textId="77777777" w:rsidR="00960E01" w:rsidRDefault="00960E01">
      <w:pPr>
        <w:rPr>
          <w:rFonts w:ascii="Times New Roman" w:hAnsi="Times New Roman" w:cs="Times New Roman"/>
        </w:rPr>
      </w:pPr>
    </w:p>
    <w:p w14:paraId="7FE1B60F" w14:textId="1DD0504B" w:rsidR="00960E01" w:rsidRDefault="00821CB5">
      <w:pPr>
        <w:pStyle w:val="P68B1DB1-Instructionsberschrift25"/>
        <w:numPr>
          <w:ilvl w:val="1"/>
          <w:numId w:val="49"/>
        </w:numPr>
        <w:ind w:left="357" w:hanging="357"/>
      </w:pPr>
      <w:bookmarkStart w:id="58" w:name="_Toc492542323"/>
      <w:bookmarkStart w:id="59" w:name="_Toc81454181"/>
      <w:bookmarkStart w:id="60" w:name="_Toc208244554"/>
      <w:r>
        <w:t>Z 03.01 — Krav til kapitalgrundlag — Kreditinstitutter (LIAB 2)</w:t>
      </w:r>
      <w:bookmarkEnd w:id="58"/>
      <w:bookmarkEnd w:id="59"/>
      <w:bookmarkEnd w:id="60"/>
    </w:p>
    <w:p w14:paraId="7FE1B610" w14:textId="77777777" w:rsidR="00960E01" w:rsidRDefault="00821CB5">
      <w:pPr>
        <w:pStyle w:val="Instructionsberschrift3"/>
      </w:pPr>
      <w:r>
        <w:t>Generelle bemærkninger</w:t>
      </w:r>
    </w:p>
    <w:p w14:paraId="7FE1B611" w14:textId="77777777" w:rsidR="00960E01" w:rsidRDefault="00821CB5">
      <w:pPr>
        <w:pStyle w:val="P68B1DB1-InstructionsText26"/>
        <w:numPr>
          <w:ilvl w:val="0"/>
          <w:numId w:val="232"/>
        </w:numPr>
        <w:spacing w:before="0"/>
      </w:pPr>
      <w:r>
        <w:t>Formået med dette skema er at indsamle oplysninger om kravene til kapitalgrundlag for en enhed eller en koncern.</w:t>
      </w:r>
    </w:p>
    <w:p w14:paraId="7FE1B612" w14:textId="77777777" w:rsidR="00960E01" w:rsidRDefault="00821CB5">
      <w:pPr>
        <w:pStyle w:val="P68B1DB1-InstructionsText26"/>
        <w:numPr>
          <w:ilvl w:val="0"/>
          <w:numId w:val="232"/>
        </w:numPr>
        <w:spacing w:before="0"/>
      </w:pPr>
      <w:r>
        <w:lastRenderedPageBreak/>
        <w:t>Alle indberettede oplysninger skal være i overensstemmelse med de krav til kapitalgrundlag, der gælder på referencedatoen for indberetningen.</w:t>
      </w:r>
    </w:p>
    <w:p w14:paraId="7FE1B613" w14:textId="1B7809D4" w:rsidR="00960E01" w:rsidRDefault="00821CB5">
      <w:pPr>
        <w:pStyle w:val="P68B1DB1-InstructionsText26"/>
        <w:numPr>
          <w:ilvl w:val="0"/>
          <w:numId w:val="232"/>
        </w:numPr>
        <w:spacing w:before="0"/>
      </w:pPr>
      <w:r>
        <w:t>Som en undtagelse skal oplysningerne om det samlede SREP-kapitalkrav (TSCR), der indberettes i dette skema, baseres på den seneste tilgængelige officielle SREP-afgørelse, der er meddelt indtil indberetningsdatoen for denne rapport fra den kompetente myndighed.</w:t>
      </w:r>
    </w:p>
    <w:p w14:paraId="7FE1B614" w14:textId="77777777" w:rsidR="00960E01" w:rsidRDefault="00821CB5">
      <w:pPr>
        <w:pStyle w:val="P68B1DB1-InstructionsText26"/>
        <w:numPr>
          <w:ilvl w:val="0"/>
          <w:numId w:val="232"/>
        </w:numPr>
        <w:spacing w:before="0"/>
      </w:pPr>
      <w:r>
        <w:t>Hvis disse datapunkter allerede er blevet indberettet af enheden i FINREP eller COREP for samme referencedato og rapporteringsomfang (se COREP/FINREP-referencerne i instrukserne), behøver den indberettende enhed ikke at indberette disse datapunkter for anden gang. Der skal kun indberettes data, f.eks. hvis den indberettende enhed er blevet fritaget fra finansielle eller tilsynsmæssige indberetningsforpligtelser, i hvilket tilfælde den eneste datakilde for afviklingsmyndighederne for disse datapunkter er denne indberetning.</w:t>
      </w:r>
    </w:p>
    <w:p w14:paraId="7FE1B615" w14:textId="77777777" w:rsidR="00960E01" w:rsidRDefault="00960E01">
      <w:pPr>
        <w:pStyle w:val="InstructionsText2"/>
        <w:numPr>
          <w:ilvl w:val="0"/>
          <w:numId w:val="0"/>
        </w:numPr>
        <w:spacing w:before="0"/>
        <w:ind w:left="1440"/>
        <w:rPr>
          <w:rFonts w:ascii="Times New Roman" w:hAnsi="Times New Roman" w:cs="Times New Roman"/>
          <w:sz w:val="20"/>
          <w:szCs w:val="20"/>
        </w:rPr>
      </w:pPr>
    </w:p>
    <w:p w14:paraId="7FE1B61B" w14:textId="77777777" w:rsidR="00960E01" w:rsidRDefault="00821CB5">
      <w:pPr>
        <w:pStyle w:val="Instructionsberschrift3"/>
      </w:pPr>
      <w:r>
        <w:t>Instrukser vedrørende specifikke positioner</w:t>
      </w:r>
    </w:p>
    <w:p w14:paraId="7FE1B61C" w14:textId="77777777" w:rsidR="00960E01" w:rsidRDefault="00960E01">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960E01"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960E01" w:rsidRDefault="00821CB5">
            <w:pPr>
              <w:pStyle w:val="P68B1DB1-TableParagraph13"/>
              <w:spacing w:before="66"/>
              <w:rPr>
                <w:rFonts w:eastAsia="Cambria"/>
              </w:rPr>
            </w:pPr>
            <w:r>
              <w:t>Rækker</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960E01" w:rsidRDefault="00821CB5">
            <w:pPr>
              <w:pStyle w:val="P68B1DB1-TableParagraph13"/>
              <w:spacing w:before="66"/>
              <w:ind w:right="1"/>
              <w:jc w:val="center"/>
              <w:rPr>
                <w:rFonts w:eastAsia="Cambria"/>
              </w:rPr>
            </w:pPr>
            <w:r>
              <w:t>Instrukser</w:t>
            </w:r>
          </w:p>
        </w:tc>
      </w:tr>
      <w:tr w:rsidR="00960E01"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960E01" w:rsidRDefault="00821CB5">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960E01" w:rsidRDefault="00821CB5">
            <w:pPr>
              <w:pStyle w:val="P68B1DB1-TableParagraph14"/>
              <w:spacing w:before="108"/>
              <w:rPr>
                <w:bCs/>
              </w:rPr>
            </w:pPr>
            <w:r>
              <w:t>Samlet risikoeksponering</w:t>
            </w:r>
          </w:p>
          <w:p w14:paraId="7FE1B622" w14:textId="77777777" w:rsidR="00960E01" w:rsidRDefault="00821CB5">
            <w:pPr>
              <w:pStyle w:val="P68B1DB1-TableParagraph17"/>
              <w:spacing w:before="108"/>
            </w:pPr>
            <w:r>
              <w:t>Beløbet, som er nævnt i Artikel 45, stk. 2, litra a), i direktiv 2014/59/EU, beregnet i henhold til artikel 92, stk. 3, i forordning (EU) nr. 575/2013.</w:t>
            </w:r>
          </w:p>
        </w:tc>
      </w:tr>
      <w:tr w:rsidR="00960E01"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960E01" w:rsidRDefault="00821CB5">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960E01" w:rsidRDefault="00821CB5">
            <w:pPr>
              <w:pStyle w:val="P68B1DB1-TableParagraph14"/>
              <w:spacing w:before="108"/>
              <w:jc w:val="both"/>
              <w:rPr>
                <w:bCs/>
              </w:rPr>
            </w:pPr>
            <w:r>
              <w:t>Samlet eksponeringsmål</w:t>
            </w:r>
          </w:p>
          <w:p w14:paraId="7FE1B626" w14:textId="77777777" w:rsidR="00960E01" w:rsidRDefault="00821CB5">
            <w:pPr>
              <w:pStyle w:val="P68B1DB1-TableParagraph17"/>
              <w:spacing w:before="108"/>
              <w:jc w:val="both"/>
              <w:rPr>
                <w:b/>
                <w:bCs/>
              </w:rPr>
            </w:pPr>
            <w:r>
              <w:t>Beløbet, der omtales i artikel 45, stk. 2, litra b), i direktiv 2014/59/EU, beregnet i overensstemmelse med artikel 429, stk. 4, og artikel 429a i forordning (EU) nr. 575/2013.</w:t>
            </w:r>
          </w:p>
        </w:tc>
      </w:tr>
      <w:tr w:rsidR="00960E01"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960E01" w:rsidRDefault="00821CB5">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960E01" w:rsidRDefault="00821CB5">
            <w:pPr>
              <w:pStyle w:val="P68B1DB1-TableParagraph14"/>
              <w:spacing w:before="108"/>
              <w:jc w:val="both"/>
              <w:rPr>
                <w:bCs/>
              </w:rPr>
            </w:pPr>
            <w:r>
              <w:t>Krav til startkapital og gearingsgrad</w:t>
            </w:r>
          </w:p>
        </w:tc>
      </w:tr>
      <w:tr w:rsidR="00960E01"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960E01" w:rsidRDefault="00821CB5">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960E01" w:rsidRDefault="00821CB5">
            <w:pPr>
              <w:pStyle w:val="P68B1DB1-TableParagraph14"/>
              <w:spacing w:before="108"/>
              <w:jc w:val="both"/>
              <w:rPr>
                <w:bCs/>
              </w:rPr>
            </w:pPr>
            <w:r>
              <w:t>Startkapital</w:t>
            </w:r>
          </w:p>
          <w:p w14:paraId="7FE1B62D" w14:textId="77777777" w:rsidR="00960E01" w:rsidRDefault="00821CB5">
            <w:pPr>
              <w:pStyle w:val="P68B1DB1-TableParagraph17"/>
              <w:spacing w:before="108"/>
              <w:jc w:val="both"/>
            </w:pPr>
            <w:r>
              <w:t>Beløbet, der er nævnt i artikel 12 i direktiv 2013/36/EU, artikel 93 i forordning (EU) nr. 575/2013.</w:t>
            </w:r>
          </w:p>
          <w:p w14:paraId="7FE1B62E" w14:textId="77777777" w:rsidR="00960E01" w:rsidRDefault="00821CB5">
            <w:pPr>
              <w:pStyle w:val="P68B1DB1-TableParagraph17"/>
              <w:spacing w:before="108"/>
              <w:jc w:val="both"/>
              <w:rPr>
                <w:b/>
                <w:bCs/>
              </w:rPr>
            </w:pPr>
            <w:r>
              <w:t>Den startkapital, der kræves som en betingelse for tilladelse til at påbegynde virksomhed som institut.</w:t>
            </w:r>
          </w:p>
        </w:tc>
      </w:tr>
      <w:tr w:rsidR="00960E01"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960E01" w:rsidRDefault="00821CB5">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960E01" w:rsidRDefault="00821CB5">
            <w:pPr>
              <w:pStyle w:val="P68B1DB1-TableParagraph14"/>
              <w:spacing w:before="108"/>
              <w:jc w:val="both"/>
              <w:rPr>
                <w:bCs/>
              </w:rPr>
            </w:pPr>
            <w:r>
              <w:t>Krav til gearingsgrad</w:t>
            </w:r>
          </w:p>
          <w:p w14:paraId="7FE1B632" w14:textId="77777777" w:rsidR="00960E01" w:rsidRDefault="00821CB5">
            <w:pPr>
              <w:pStyle w:val="P68B1DB1-TableParagraph13"/>
              <w:spacing w:before="108"/>
              <w:jc w:val="both"/>
            </w:pPr>
            <w:r>
              <w:t>Kravet til gearingsgradeni, udelukkende det krav, der er angivet i artikel 92, stk. 1a, i forordning (EU) nr. 575/2013, alt efter hvad der er relevant for enheden eller koncernen, udtrykt som en procentdel af det samlede eksponeringsmål. Hvis der ikke gælder nogen formelle krav, skal enheden ikke udfylde denne celle.</w:t>
            </w:r>
          </w:p>
        </w:tc>
      </w:tr>
      <w:tr w:rsidR="00960E01"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960E01" w:rsidRDefault="00821CB5">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960E01" w:rsidRDefault="00821CB5">
            <w:pPr>
              <w:pStyle w:val="P68B1DB1-TableParagraph14"/>
              <w:spacing w:before="108"/>
              <w:jc w:val="both"/>
              <w:rPr>
                <w:bCs/>
              </w:rPr>
            </w:pPr>
            <w:r>
              <w:t xml:space="preserve">Samlet SREP-kapitalkrav (TSCR) </w:t>
            </w:r>
          </w:p>
          <w:p w14:paraId="7FE1B636" w14:textId="77777777" w:rsidR="00960E01" w:rsidRDefault="00821CB5">
            <w:pPr>
              <w:pStyle w:val="P68B1DB1-TableParagraph13"/>
              <w:spacing w:before="108"/>
              <w:jc w:val="both"/>
            </w:pPr>
            <w:r>
              <w:t>COREP (OF): C 03.00; 130; 010</w:t>
            </w:r>
          </w:p>
          <w:p w14:paraId="7FE1B637" w14:textId="77777777" w:rsidR="00960E01" w:rsidRDefault="00821CB5">
            <w:pPr>
              <w:pStyle w:val="P68B1DB1-InstructionsText22"/>
              <w:ind w:firstLine="0"/>
            </w:pPr>
            <w:r>
              <w:t>Summen af i) og ii) som følger:</w:t>
            </w:r>
          </w:p>
          <w:p w14:paraId="7FE1B638" w14:textId="77777777" w:rsidR="00960E01" w:rsidRDefault="00821CB5">
            <w:pPr>
              <w:pStyle w:val="P68B1DB1-InstructionsText22"/>
              <w:numPr>
                <w:ilvl w:val="3"/>
                <w:numId w:val="49"/>
              </w:numPr>
            </w:pPr>
            <w:r>
              <w:t xml:space="preserve">den samlede kapitalprocent (8 %) som specificeret i artikel 92, stk. 1, litra c), i forordning (EU) nr. 575/2013 </w:t>
            </w:r>
          </w:p>
          <w:p w14:paraId="7FE1B639" w14:textId="77777777" w:rsidR="00960E01" w:rsidRDefault="00821CB5">
            <w:pPr>
              <w:pStyle w:val="P68B1DB1-InstructionsText22"/>
              <w:numPr>
                <w:ilvl w:val="3"/>
                <w:numId w:val="49"/>
              </w:numPr>
            </w:pPr>
            <w:r>
              <w:t xml:space="preserve">de yderligere krav til kapitalgrundlag (søjle 2-krav — P2R), beregnet i overensstemmelse med kriterierne i </w:t>
            </w:r>
            <w:r>
              <w:rPr>
                <w:i/>
              </w:rPr>
              <w:t xml:space="preserve">EBA's retningslinjer Guidelines on common procedures and methodologies for the supervisory review and evaluation process and supervisory stress testing </w:t>
            </w:r>
            <w:r>
              <w:t>(EBA SREP GL).</w:t>
            </w:r>
          </w:p>
          <w:p w14:paraId="7FE1B63A" w14:textId="77777777" w:rsidR="00960E01" w:rsidRDefault="00821CB5">
            <w:pPr>
              <w:pStyle w:val="P68B1DB1-InstructionsText22"/>
              <w:ind w:firstLine="0"/>
            </w:pPr>
            <w:r>
              <w:lastRenderedPageBreak/>
              <w:t>Denne post skal på indberetningsdatoen afspejle det samlede SREP-kapitalkrav (TSCR) som meddelt instituttet af den kompetente myndighed, dvs. med henblik på indberetning med ref. dato den 31. december i et givet år indberettes den P2R, der er gældende i det følgende år. TSCR er defineret i afsnit punkt 1.2 i EBA SREP GL.</w:t>
            </w:r>
          </w:p>
          <w:p w14:paraId="7FE1B63B" w14:textId="77777777" w:rsidR="00960E01" w:rsidRDefault="00821CB5">
            <w:pPr>
              <w:pStyle w:val="P68B1DB1-InstructionsText22"/>
              <w:ind w:firstLine="0"/>
            </w:pPr>
            <w:r>
              <w:t>Hvis en indberettende enhed er en afviklingsenhed, der ikke har været omfattet af et krav om yderligere kapitalgrundlag som omhandlet i artikel 104a i direktiv 2013/36/EU på konsolideret afviklingskoncernniveau, forventes den indberettede værdi for nr. ii) ovenfor at være resultatet af det skøn, der er omhandlet i artikel 1 i Kommissionens delegerede forordning (EU) 2021/1118, men som foretages foreløbigt af den indberettende enhed.</w:t>
            </w:r>
          </w:p>
          <w:p w14:paraId="7FE1B63C" w14:textId="77777777" w:rsidR="00960E01" w:rsidRDefault="00821CB5">
            <w:pPr>
              <w:pStyle w:val="P68B1DB1-TableParagraph13"/>
              <w:spacing w:before="108"/>
              <w:jc w:val="both"/>
              <w:rPr>
                <w:b/>
                <w:bCs/>
              </w:rPr>
            </w:pPr>
            <w:r>
              <w:t>Hvis den kompetente myndighed ikke har oplyst om nogen yderligere krav til kapitalgrundlag og paragraf ovenfor ikke gælder, er det kun nr. i), der skal indberettes.</w:t>
            </w:r>
          </w:p>
        </w:tc>
      </w:tr>
      <w:tr w:rsidR="00960E01"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960E01" w:rsidRDefault="00821CB5">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960E01" w:rsidRDefault="00821CB5">
            <w:pPr>
              <w:pStyle w:val="P68B1DB1-TableParagraph14"/>
              <w:spacing w:before="108"/>
              <w:jc w:val="both"/>
              <w:rPr>
                <w:bCs/>
              </w:rPr>
            </w:pPr>
            <w:r>
              <w:t>Kombineret bufferkrav</w:t>
            </w:r>
          </w:p>
          <w:p w14:paraId="7FE1B640" w14:textId="7A5205D6" w:rsidR="00960E01" w:rsidRDefault="00821CB5">
            <w:pPr>
              <w:pStyle w:val="P68B1DB1-TableParagraph13"/>
              <w:spacing w:before="108"/>
              <w:jc w:val="both"/>
            </w:pPr>
            <w:r>
              <w:t>COREP (OF): C 04.00; 740; 010).</w:t>
            </w:r>
          </w:p>
          <w:p w14:paraId="7FE1B641" w14:textId="77777777" w:rsidR="00960E01" w:rsidRDefault="00821CB5">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Kravet, der</w:t>
            </w:r>
            <w:r>
              <w:rPr>
                <w:rStyle w:val="InstructionsTabelleberschrift"/>
                <w:rFonts w:ascii="Times New Roman" w:hAnsi="Times New Roman"/>
                <w:b w:val="0"/>
                <w:color w:val="000000" w:themeColor="text1"/>
                <w:szCs w:val="20"/>
                <w:u w:val="none"/>
              </w:rPr>
              <w:t xml:space="preserve"> omtales</w:t>
            </w:r>
            <w:r>
              <w:rPr>
                <w:rFonts w:ascii="Times New Roman" w:eastAsia="Cambria" w:hAnsi="Times New Roman" w:cs="Times New Roman"/>
                <w:color w:val="000000" w:themeColor="text1"/>
                <w:sz w:val="20"/>
                <w:szCs w:val="20"/>
              </w:rPr>
              <w:t>i artikel 128, første afsnit, nr. 6) i direktiv 2013/36/EU.</w:t>
            </w:r>
          </w:p>
          <w:p w14:paraId="7FE1B642" w14:textId="37B6D097" w:rsidR="00960E01" w:rsidRDefault="00821CB5">
            <w:pPr>
              <w:pStyle w:val="P68B1DB1-TableParagraph13"/>
              <w:spacing w:before="108"/>
              <w:jc w:val="both"/>
            </w:pPr>
            <w:r>
              <w:t xml:space="preserve">Hvis afviklingsområdet afviger fra det tilsynsmæssige, følger skønnet af de elementer, der omfatter afviklingsenhedens kombinerede bufferkrav på konsolideret afviklingskoncernniveau, artikel 3, stk. 1, i Kommissionens delegerede forordning (EU) 2021/1118, men bør foretages foreløbigt af den indberettende enhed. </w:t>
            </w:r>
          </w:p>
        </w:tc>
      </w:tr>
      <w:tr w:rsidR="00960E01"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960E01" w:rsidRDefault="00821CB5">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960E01" w:rsidRDefault="00821CB5">
            <w:pPr>
              <w:pStyle w:val="P68B1DB1-TableParagraph14"/>
              <w:spacing w:before="108"/>
              <w:jc w:val="both"/>
              <w:rPr>
                <w:bCs/>
              </w:rPr>
            </w:pPr>
            <w:r>
              <w:t>Kapitalbevaringsbuffer</w:t>
            </w:r>
          </w:p>
          <w:p w14:paraId="7FE1B646" w14:textId="7B6CEF6B" w:rsidR="00960E01" w:rsidRDefault="00821CB5">
            <w:pPr>
              <w:pStyle w:val="P68B1DB1-TableParagraph13"/>
              <w:spacing w:before="108"/>
              <w:jc w:val="both"/>
            </w:pPr>
            <w:r>
              <w:t>COREP (OF): C 04.00; 750; 010).</w:t>
            </w:r>
          </w:p>
          <w:p w14:paraId="7FE1B647" w14:textId="77777777" w:rsidR="00960E01" w:rsidRDefault="00821CB5">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Kravet, der er omhandlet</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i artikel 128, nr. 1 og artikel 129, i direktiv 2013/36/EU.</w:t>
            </w:r>
          </w:p>
          <w:p w14:paraId="7FE1B648" w14:textId="77777777" w:rsidR="00960E01" w:rsidRDefault="00821CB5">
            <w:pPr>
              <w:pStyle w:val="P68B1DB1-TableParagraph13"/>
              <w:spacing w:before="108"/>
              <w:jc w:val="both"/>
              <w:rPr>
                <w:rFonts w:eastAsia="Cambria"/>
              </w:rPr>
            </w:pPr>
            <w:r>
              <w:t>Hvis afviklingsområdet afviger fra det tilsynsmæssige, er skønnet over dette bufferkrav for afviklingsenheden på konsolideret afviklingskoncernniveau i overensstemmelse med artikel 3, stk. 2, i Kommissionens delegerede forordning (EU) 2021/1118, men bør foretages foreløbigt af den indberettende enhed.</w:t>
            </w:r>
          </w:p>
        </w:tc>
      </w:tr>
      <w:tr w:rsidR="00960E01"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960E01" w:rsidRDefault="00821CB5">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960E01" w:rsidRDefault="00821CB5">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Bevaringsbuffer som følge af makroprudentiel eller systemisk risiko identificeret på medlemsstatsniveau</w:t>
            </w:r>
          </w:p>
          <w:p w14:paraId="7FE1B64C" w14:textId="77777777" w:rsidR="00960E01" w:rsidRDefault="00821CB5">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 760; 010).</w:t>
            </w:r>
          </w:p>
          <w:p w14:paraId="7FE1B64D" w14:textId="1D29CF6A" w:rsidR="00960E01" w:rsidRDefault="00821CB5">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Krav omhandlet i artikel</w:t>
            </w:r>
            <w:r>
              <w:rPr>
                <w:rStyle w:val="InstructionsTabelleberschrift"/>
                <w:rFonts w:ascii="Times New Roman" w:hAnsi="Times New Roman"/>
                <w:b w:val="0"/>
                <w:color w:val="000000" w:themeColor="text1"/>
                <w:szCs w:val="20"/>
                <w:u w:val="none"/>
              </w:rPr>
              <w:t xml:space="preserve"> 458, stk. 2, litra d), nr.</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vi), i forordning (EU) nr.</w:t>
            </w:r>
            <w:r>
              <w:rPr>
                <w:rStyle w:val="FootnoteReference"/>
                <w:rFonts w:cs="Times New Roman"/>
                <w:color w:val="000000" w:themeColor="text1"/>
              </w:rPr>
              <w:t xml:space="preserve"> 575/2013</w:t>
            </w:r>
          </w:p>
          <w:p w14:paraId="7FE1B64E" w14:textId="77777777" w:rsidR="00960E01" w:rsidRDefault="00821CB5">
            <w:pPr>
              <w:pStyle w:val="P68B1DB1-TableParagraph13"/>
              <w:spacing w:before="108"/>
              <w:jc w:val="both"/>
              <w:rPr>
                <w:rFonts w:eastAsia="Cambria"/>
              </w:rPr>
            </w:pPr>
            <w:r>
              <w:t>Hvis afviklingsområdet afviger fra det tilsynsmæssige område, svarer det indberettede beløb til den buffer, der finder anvendelse på afviklingskoncernens eksponeringer.</w:t>
            </w:r>
          </w:p>
        </w:tc>
      </w:tr>
      <w:tr w:rsidR="00960E01"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960E01" w:rsidRDefault="00821CB5">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960E01" w:rsidRDefault="00821CB5">
            <w:pPr>
              <w:pStyle w:val="P68B1DB1-TableParagraph14"/>
              <w:spacing w:before="108"/>
              <w:jc w:val="both"/>
              <w:rPr>
                <w:bCs/>
              </w:rPr>
            </w:pPr>
            <w:r>
              <w:t xml:space="preserve">Institutspecifik kontracyklisk kapitalbuffersats </w:t>
            </w:r>
          </w:p>
          <w:p w14:paraId="7FE1B652" w14:textId="77777777" w:rsidR="00960E01" w:rsidRDefault="00821CB5">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(se COREP (OF): C 04.00; 770; 010).</w:t>
            </w:r>
          </w:p>
          <w:p w14:paraId="7FE1B653" w14:textId="77777777" w:rsidR="00960E01" w:rsidRDefault="00821CB5">
            <w:pPr>
              <w:pStyle w:val="P68B1DB1-TableParagraph17"/>
              <w:spacing w:before="108"/>
              <w:jc w:val="both"/>
            </w:pPr>
            <w:r>
              <w:t>Kravet, der omtales i artikel 128, nr. 2), artikel 130 og artikel 135-140 i direktiv 2013/36/EU.</w:t>
            </w:r>
          </w:p>
          <w:p w14:paraId="7FE1B654" w14:textId="77777777" w:rsidR="00960E01" w:rsidRDefault="00821CB5">
            <w:pPr>
              <w:pStyle w:val="P68B1DB1-TableParagraph13"/>
              <w:spacing w:before="108"/>
              <w:jc w:val="both"/>
              <w:rPr>
                <w:rFonts w:eastAsia="Cambria"/>
              </w:rPr>
            </w:pPr>
            <w:r>
              <w:t>Hvis afviklingsområdet afviger fra det tilsynsmæssige, svarer det indberettede beløb til det bufferkrav, der finder anvendelse på afviklingskoncernens eksponeringer.</w:t>
            </w:r>
          </w:p>
        </w:tc>
      </w:tr>
      <w:tr w:rsidR="00960E01"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960E01" w:rsidRDefault="00821CB5">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960E01" w:rsidRDefault="00821CB5">
            <w:pPr>
              <w:pStyle w:val="P68B1DB1-TableParagraph14"/>
              <w:spacing w:before="108"/>
              <w:jc w:val="both"/>
              <w:rPr>
                <w:bCs/>
              </w:rPr>
            </w:pPr>
            <w:r>
              <w:t>Buffer for systemisk risiko</w:t>
            </w:r>
          </w:p>
          <w:p w14:paraId="7FE1B658" w14:textId="77777777" w:rsidR="00960E01" w:rsidRDefault="00821CB5">
            <w:pPr>
              <w:pStyle w:val="P68B1DB1-TableParagraph13"/>
              <w:spacing w:before="108"/>
              <w:jc w:val="both"/>
            </w:pPr>
            <w:r>
              <w:t>(se COREP (OF): C 04.00; 780; 010)</w:t>
            </w:r>
          </w:p>
          <w:p w14:paraId="7FE1B659" w14:textId="77777777" w:rsidR="00960E01" w:rsidRDefault="00821CB5">
            <w:pPr>
              <w:pStyle w:val="P68B1DB1-TableParagraph17"/>
              <w:spacing w:before="108"/>
              <w:jc w:val="both"/>
            </w:pPr>
            <w:r>
              <w:t>Kravet, der omtales i artikel 128, nr. 5), samt artikel 133 og 134 i direktiv 2013/36/EU</w:t>
            </w:r>
          </w:p>
          <w:p w14:paraId="7FE1B65A" w14:textId="77777777" w:rsidR="00960E01" w:rsidRDefault="00821CB5">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Hvis afviklingsområdet afviger fra det tilsynsmæssige, er skønnet over dette bufferkrav for afviklingsenheden på konsolideret afviklingskoncernniveau i overensstemmelse med artikel 3, stk. 5, i Kommissionens delegerede forordning (EU) 2021/1118,</w:t>
            </w:r>
            <w:r>
              <w:t xml:space="preserve"> </w:t>
            </w:r>
            <w:r>
              <w:rPr>
                <w:rFonts w:ascii="Times New Roman" w:hAnsi="Times New Roman" w:cs="Times New Roman"/>
                <w:color w:val="000000" w:themeColor="text1"/>
                <w:sz w:val="20"/>
                <w:szCs w:val="20"/>
              </w:rPr>
              <w:t>men bør foretages foreløbigt af den indberettende enhed</w:t>
            </w:r>
            <w:r>
              <w:t>.</w:t>
            </w:r>
          </w:p>
        </w:tc>
      </w:tr>
      <w:tr w:rsidR="00960E01"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960E01" w:rsidRDefault="00821CB5">
            <w:pPr>
              <w:pStyle w:val="P68B1DB1-TableParagraph13"/>
              <w:spacing w:before="106"/>
              <w:ind w:left="-1"/>
            </w:pPr>
            <w:r>
              <w:lastRenderedPageBreak/>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960E01" w:rsidRDefault="00821CB5">
            <w:pPr>
              <w:pStyle w:val="P68B1DB1-TableParagraph14"/>
              <w:spacing w:before="108"/>
              <w:jc w:val="both"/>
              <w:rPr>
                <w:bCs/>
              </w:rPr>
            </w:pPr>
            <w:r>
              <w:t>Buffer for globale systemisk vigtige institutter</w:t>
            </w:r>
          </w:p>
          <w:p w14:paraId="7FE1B65E" w14:textId="77777777" w:rsidR="00960E01" w:rsidRDefault="00821CB5">
            <w:pPr>
              <w:pStyle w:val="P68B1DB1-TableParagraph17"/>
              <w:spacing w:before="108"/>
              <w:jc w:val="both"/>
            </w:pPr>
            <w:r>
              <w:t>COREP (OF): C 04.00; 800; 010</w:t>
            </w:r>
          </w:p>
          <w:p w14:paraId="7FE1B65F" w14:textId="77777777" w:rsidR="00960E01" w:rsidRDefault="00821CB5">
            <w:pPr>
              <w:pStyle w:val="P68B1DB1-TableParagraph17"/>
              <w:spacing w:before="108"/>
              <w:jc w:val="both"/>
            </w:pPr>
            <w:r>
              <w:t>Er det krav, der er omhandlet i artikel 128, nr. 3), og artikel 131 i direktiv 2013/36/EU.</w:t>
            </w:r>
          </w:p>
          <w:p w14:paraId="7FE1B660" w14:textId="77777777" w:rsidR="00960E01" w:rsidRDefault="00821CB5">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Hvis afviklingsområdet afviger fra det tilsynsmæssige, er skønnet over dette bufferkrav for afviklingsenheden på konsolideret afviklingskoncernniveau i overensstemmelse med artikel 3, stk. 3, i Kommissionens delegerede forordning (EU) 2021/1118,</w:t>
            </w:r>
            <w:r>
              <w:t xml:space="preserve"> </w:t>
            </w:r>
            <w:r>
              <w:rPr>
                <w:rFonts w:ascii="Times New Roman" w:hAnsi="Times New Roman" w:cs="Times New Roman"/>
                <w:color w:val="000000" w:themeColor="text1"/>
                <w:sz w:val="20"/>
                <w:szCs w:val="20"/>
              </w:rPr>
              <w:t>men bør foretages foreløbigt af den indberettende enhed</w:t>
            </w:r>
            <w:r>
              <w:t>.</w:t>
            </w:r>
          </w:p>
        </w:tc>
      </w:tr>
      <w:tr w:rsidR="00960E01"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960E01" w:rsidRDefault="00821CB5">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960E01" w:rsidRDefault="00821CB5">
            <w:pPr>
              <w:pStyle w:val="P68B1DB1-TableParagraph13"/>
              <w:spacing w:before="108"/>
              <w:jc w:val="both"/>
            </w:pPr>
            <w:r>
              <w:rPr>
                <w:b/>
              </w:rPr>
              <w:t>Anden systemisk vigtig buffer for institutter,</w:t>
            </w:r>
            <w:r>
              <w:t xml:space="preserve">artikel 128, nr. (4), og artikel 131 i direktiv 2013/36/EU </w:t>
            </w:r>
          </w:p>
          <w:p w14:paraId="7FE1B665" w14:textId="77777777" w:rsidR="00960E01" w:rsidRDefault="00821CB5">
            <w:pPr>
              <w:pStyle w:val="P68B1DB1-TableParagraph13"/>
              <w:spacing w:before="108"/>
              <w:jc w:val="both"/>
            </w:pPr>
            <w:r>
              <w:t xml:space="preserve">COREP (OF): C 04.00; 810; 010 </w:t>
            </w:r>
          </w:p>
          <w:p w14:paraId="7FE1B666" w14:textId="77777777" w:rsidR="00960E01" w:rsidRDefault="00821CB5">
            <w:pPr>
              <w:pStyle w:val="P68B1DB1-TableParagraph13"/>
              <w:spacing w:before="108"/>
              <w:jc w:val="both"/>
              <w:rPr>
                <w:b/>
                <w:bCs/>
              </w:rPr>
            </w:pPr>
            <w:r>
              <w:t>Det indberettede beløb skal repræsentere det kapitalgrundlag, der er nødvendigt for at opfylde de respektive kapitalbufferkrav på indberetningsdatoen.</w:t>
            </w:r>
          </w:p>
        </w:tc>
      </w:tr>
      <w:tr w:rsidR="00960E01"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960E01" w:rsidRDefault="00821CB5">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960E01" w:rsidRDefault="00821CB5">
            <w:pPr>
              <w:pStyle w:val="P68B1DB1-TableParagraph14"/>
              <w:spacing w:before="108"/>
              <w:jc w:val="both"/>
              <w:rPr>
                <w:bCs/>
              </w:rPr>
            </w:pPr>
            <w:r>
              <w:t xml:space="preserve">Overordnet kapitalkrav (OCR) </w:t>
            </w:r>
          </w:p>
          <w:p w14:paraId="7FE1B66A" w14:textId="77777777" w:rsidR="00960E01" w:rsidRDefault="00821CB5">
            <w:pPr>
              <w:pStyle w:val="P68B1DB1-TableParagraph13"/>
              <w:spacing w:before="108"/>
              <w:jc w:val="both"/>
            </w:pPr>
            <w:r>
              <w:t xml:space="preserve">COREP (OF): C 03.00; 160; 010 </w:t>
            </w:r>
          </w:p>
          <w:p w14:paraId="7FE1B66B" w14:textId="77777777" w:rsidR="00960E01" w:rsidRDefault="00821CB5">
            <w:pPr>
              <w:pStyle w:val="P68B1DB1-TableParagraph13"/>
              <w:spacing w:before="108"/>
              <w:jc w:val="both"/>
            </w:pPr>
            <w:r>
              <w:t xml:space="preserve">Summen af i) og ii) som følger: </w:t>
            </w:r>
          </w:p>
          <w:p w14:paraId="7FE1B66C" w14:textId="77777777" w:rsidR="00960E01" w:rsidRDefault="00821CB5">
            <w:pPr>
              <w:pStyle w:val="P68B1DB1-TableParagraph13"/>
              <w:numPr>
                <w:ilvl w:val="3"/>
                <w:numId w:val="211"/>
              </w:numPr>
              <w:spacing w:before="108"/>
              <w:ind w:left="931" w:hanging="567"/>
              <w:jc w:val="both"/>
            </w:pPr>
            <w:r>
              <w:t xml:space="preserve">TSCR-andelen, jf. række 0300 </w:t>
            </w:r>
          </w:p>
          <w:p w14:paraId="7FE1B66D" w14:textId="77777777" w:rsidR="00960E01" w:rsidRDefault="00821CB5">
            <w:pPr>
              <w:pStyle w:val="P68B1DB1-TableParagraph13"/>
              <w:numPr>
                <w:ilvl w:val="3"/>
                <w:numId w:val="211"/>
              </w:numPr>
              <w:spacing w:before="108"/>
              <w:ind w:left="931" w:hanging="567"/>
              <w:jc w:val="both"/>
            </w:pPr>
            <w:r>
              <w:t xml:space="preserve">hvis det er påkrævet iht. lovgivningen, det kombinerede bufferkrav, jf. artikel 128, nr. 6), i direktiv 2013/36/EU. </w:t>
            </w:r>
          </w:p>
          <w:p w14:paraId="7FE1B66E" w14:textId="77777777" w:rsidR="00960E01" w:rsidRDefault="00821CB5">
            <w:pPr>
              <w:pStyle w:val="P68B1DB1-TableParagraph13"/>
              <w:spacing w:before="108"/>
              <w:jc w:val="both"/>
            </w:pPr>
            <w:r>
              <w:t xml:space="preserve">Denne post skal vis det overordnede kapitalkrav (OCR) som defineret i punkt 1.2 i EBA's SREP-retningslinjer. </w:t>
            </w:r>
          </w:p>
          <w:p w14:paraId="7FE1B66F" w14:textId="77777777" w:rsidR="00960E01" w:rsidRDefault="00821CB5">
            <w:pPr>
              <w:pStyle w:val="P68B1DB1-TableParagraph13"/>
              <w:spacing w:before="108"/>
              <w:jc w:val="both"/>
              <w:rPr>
                <w:b/>
                <w:bCs/>
              </w:rPr>
            </w:pPr>
            <w:r>
              <w:t>Hvis der ikke gælder bufferkrav, er det kun nr. i), der skal indberettes.</w:t>
            </w:r>
          </w:p>
        </w:tc>
      </w:tr>
    </w:tbl>
    <w:p w14:paraId="7FE1B712" w14:textId="77777777" w:rsidR="00960E01" w:rsidRDefault="00960E01">
      <w:pPr>
        <w:rPr>
          <w:rFonts w:ascii="Times New Roman" w:hAnsi="Times New Roman" w:cs="Times New Roman"/>
        </w:rPr>
      </w:pPr>
    </w:p>
    <w:p w14:paraId="7FE1B713" w14:textId="77777777" w:rsidR="00960E01" w:rsidRDefault="00960E01">
      <w:pPr>
        <w:rPr>
          <w:rFonts w:ascii="Times New Roman" w:hAnsi="Times New Roman" w:cs="Times New Roman"/>
        </w:rPr>
      </w:pPr>
    </w:p>
    <w:p w14:paraId="7FE1B714" w14:textId="77777777" w:rsidR="00960E01" w:rsidRDefault="00821CB5">
      <w:pPr>
        <w:pStyle w:val="P68B1DB1-Instructionsberschrift25"/>
        <w:numPr>
          <w:ilvl w:val="1"/>
          <w:numId w:val="49"/>
        </w:numPr>
        <w:ind w:left="357" w:hanging="357"/>
      </w:pPr>
      <w:bookmarkStart w:id="61" w:name="_Toc208244555"/>
      <w:r>
        <w:t>Z 03.02 — Krav til kapitalgrundlag — Investeringsselskaber (LIAB 3)</w:t>
      </w:r>
      <w:bookmarkEnd w:id="61"/>
    </w:p>
    <w:p w14:paraId="7FE1B715" w14:textId="77777777" w:rsidR="00960E01" w:rsidRDefault="00821CB5">
      <w:pPr>
        <w:pStyle w:val="Instructionsberschrift3"/>
      </w:pPr>
      <w:r>
        <w:t>Generelle bemærkninger</w:t>
      </w:r>
    </w:p>
    <w:p w14:paraId="7FE1B716" w14:textId="77777777" w:rsidR="00960E01" w:rsidRDefault="00821CB5">
      <w:pPr>
        <w:pStyle w:val="Instructionsberschrift3"/>
        <w:numPr>
          <w:ilvl w:val="4"/>
          <w:numId w:val="260"/>
        </w:numPr>
      </w:pPr>
      <w:r>
        <w:t>Formået med dette skema er at indsamle oplysninger om kravene til kapitalgrundlag for en enhed eller en koncern.</w:t>
      </w:r>
    </w:p>
    <w:p w14:paraId="7FE1B717" w14:textId="1213D388" w:rsidR="00960E01" w:rsidRDefault="00821CB5">
      <w:pPr>
        <w:pStyle w:val="Instructionsberschrift3"/>
        <w:numPr>
          <w:ilvl w:val="4"/>
          <w:numId w:val="260"/>
        </w:numPr>
      </w:pPr>
      <w:r>
        <w:t>Alle indberettede oplysninger skal være i overensstemmelse med de krav til kapitalgrundlag, der gælder på referencedatoen for indberetningen.</w:t>
      </w:r>
    </w:p>
    <w:p w14:paraId="666AF7EE" w14:textId="2B6DCE12" w:rsidR="00960E01" w:rsidRDefault="00821CB5">
      <w:pPr>
        <w:pStyle w:val="P68B1DB1-ListParagraph23"/>
        <w:numPr>
          <w:ilvl w:val="4"/>
          <w:numId w:val="260"/>
        </w:numPr>
      </w:pPr>
      <w:r>
        <w:t>Hvis disse datapunkter allerede er blevet indberettet af virksomheden i IFREP for samme referencedato og rapporteringsomfang (se IFREP-referencer i instrukserne), behøver den indberettende virksomhed ikke at indberette disse datapunkter for anden gang ved rapportering på konsolideret eller individuelt grundlag. Der skal kun indberettes data, f.eks. hvis den indberettende enhed er blevet fritaget fra finansielle eller tilsynsmæssige indberetningsforpligtelser, i hvilket tilfælde den eneste datakilde for afviklingsmyndighederne for disse datapunkter er denne indberetning.</w:t>
      </w:r>
    </w:p>
    <w:p w14:paraId="1DA6CBB2" w14:textId="77777777" w:rsidR="00960E01" w:rsidRDefault="00960E01">
      <w:pPr>
        <w:pStyle w:val="Instructionsberschrift3"/>
        <w:numPr>
          <w:ilvl w:val="4"/>
          <w:numId w:val="260"/>
        </w:numPr>
      </w:pPr>
    </w:p>
    <w:p w14:paraId="7FE1B718" w14:textId="4C8CE473" w:rsidR="00960E01" w:rsidRDefault="00960E01">
      <w:pPr>
        <w:pStyle w:val="InstructionsText2"/>
        <w:numPr>
          <w:ilvl w:val="0"/>
          <w:numId w:val="0"/>
        </w:numPr>
        <w:spacing w:before="0"/>
        <w:ind w:left="1440"/>
        <w:rPr>
          <w:rFonts w:ascii="Times New Roman" w:hAnsi="Times New Roman" w:cs="Times New Roman"/>
          <w:sz w:val="20"/>
          <w:szCs w:val="20"/>
        </w:rPr>
      </w:pPr>
    </w:p>
    <w:p w14:paraId="7FE1B719" w14:textId="77777777" w:rsidR="00960E01" w:rsidRDefault="00821CB5">
      <w:pPr>
        <w:pStyle w:val="Instructionsberschrift3"/>
      </w:pPr>
      <w:r>
        <w:t>Instrukser vedrørende specifikke positioner</w:t>
      </w:r>
    </w:p>
    <w:p w14:paraId="7FE1B71A" w14:textId="77777777" w:rsidR="00960E01" w:rsidRDefault="00960E01">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960E01"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960E01" w:rsidRDefault="00821CB5">
            <w:pPr>
              <w:pStyle w:val="P68B1DB1-TableParagraph13"/>
              <w:spacing w:before="66"/>
              <w:rPr>
                <w:rFonts w:eastAsia="Cambria"/>
              </w:rPr>
            </w:pPr>
            <w:r>
              <w:lastRenderedPageBreak/>
              <w:t>Rækker</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960E01" w:rsidRDefault="00821CB5">
            <w:pPr>
              <w:pStyle w:val="P68B1DB1-TableParagraph13"/>
              <w:spacing w:before="66"/>
              <w:ind w:right="1"/>
              <w:jc w:val="center"/>
              <w:rPr>
                <w:rFonts w:eastAsia="Cambria"/>
              </w:rPr>
            </w:pPr>
            <w:r>
              <w:t>Instrukser</w:t>
            </w:r>
          </w:p>
        </w:tc>
      </w:tr>
      <w:tr w:rsidR="00960E01"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960E01" w:rsidRDefault="00821CB5">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960E01" w:rsidRDefault="00821CB5">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Samlet kapitalgrundlagskrav </w:t>
            </w:r>
            <w:r>
              <w:rPr>
                <w:rStyle w:val="InstructionsTabelleberschrift"/>
                <w:rFonts w:ascii="Times New Roman" w:hAnsi="Times New Roman"/>
                <w:color w:val="000000" w:themeColor="text1"/>
                <w:szCs w:val="20"/>
              </w:rPr>
              <w:t>(IFREP I 02.01 r0130)</w:t>
            </w:r>
          </w:p>
          <w:p w14:paraId="29B1A135" w14:textId="77777777" w:rsidR="00960E01" w:rsidRDefault="00960E01">
            <w:pPr>
              <w:rPr>
                <w:rStyle w:val="InstructionsTabelleberschrift"/>
                <w:rFonts w:ascii="Times New Roman" w:hAnsi="Times New Roman"/>
                <w:color w:val="000000" w:themeColor="text1"/>
                <w:szCs w:val="20"/>
                <w:u w:val="none"/>
              </w:rPr>
            </w:pPr>
          </w:p>
          <w:p w14:paraId="4F8C79FA" w14:textId="210F9E6A" w:rsidR="00960E01" w:rsidRDefault="00821CB5">
            <w:pPr>
              <w:pStyle w:val="P68B1DB1-TableParagraph17"/>
              <w:spacing w:before="108"/>
            </w:pPr>
            <w:r>
              <w:t>Et investeringsselskabs samlede kapitalgrundlagskrav omfatter summen af dets kapitalgrundlagskrav, der finder anvendelse på referencedatoen, de yderligere kapitalgrundlagskrav som indberettet i række 0120 og vejledningen om yderligere kapitalgrundlagskrav som indberettet i række 0130.</w:t>
            </w:r>
          </w:p>
          <w:p w14:paraId="7FE1B721" w14:textId="77777777" w:rsidR="00960E01" w:rsidRDefault="00960E01">
            <w:pPr>
              <w:pStyle w:val="TableParagraph"/>
              <w:spacing w:before="108"/>
              <w:rPr>
                <w:rFonts w:ascii="Times New Roman" w:hAnsi="Times New Roman" w:cs="Times New Roman"/>
                <w:color w:val="000000" w:themeColor="text1"/>
                <w:sz w:val="20"/>
                <w:szCs w:val="20"/>
              </w:rPr>
            </w:pPr>
          </w:p>
        </w:tc>
      </w:tr>
      <w:tr w:rsidR="00960E01"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960E01" w:rsidRDefault="00821CB5">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960E01" w:rsidRDefault="00821CB5">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Kapitalgrundlagskrav ( </w:t>
            </w:r>
            <w:r>
              <w:rPr>
                <w:rStyle w:val="InstructionsTabelleberschrift"/>
                <w:rFonts w:ascii="Times New Roman" w:hAnsi="Times New Roman"/>
                <w:color w:val="000000" w:themeColor="text1"/>
                <w:szCs w:val="20"/>
              </w:rPr>
              <w:t>IFREP I 02.01 r0010)</w:t>
            </w:r>
          </w:p>
          <w:p w14:paraId="74086713" w14:textId="7F827C2E" w:rsidR="00960E01" w:rsidRDefault="00821CB5">
            <w:pPr>
              <w:pStyle w:val="P68B1DB1-TableParagraph17"/>
              <w:spacing w:before="108"/>
            </w:pPr>
            <w:r>
              <w:t>Artikel 11, stk. 1, i forordning (EU) 2019/2033.</w:t>
            </w:r>
          </w:p>
          <w:p w14:paraId="016729EC" w14:textId="77777777" w:rsidR="00960E01" w:rsidRDefault="00821CB5">
            <w:pPr>
              <w:pStyle w:val="P68B1DB1-TableParagraph17"/>
              <w:spacing w:before="108"/>
            </w:pPr>
            <w:r>
              <w:t>Beløbet er beløbet uden anvendelse af artikel 57, stk. 3, 4 eller 6, i forordning (EU) 2019/2033.</w:t>
            </w:r>
          </w:p>
          <w:p w14:paraId="7FE1B727" w14:textId="77777777" w:rsidR="00960E01" w:rsidRDefault="00960E01">
            <w:pPr>
              <w:pStyle w:val="TableParagraph"/>
              <w:spacing w:before="108"/>
              <w:jc w:val="both"/>
              <w:rPr>
                <w:rFonts w:ascii="Times New Roman" w:eastAsia="Cambria" w:hAnsi="Times New Roman" w:cs="Times New Roman"/>
                <w:color w:val="000000" w:themeColor="text1"/>
                <w:sz w:val="20"/>
                <w:szCs w:val="20"/>
              </w:rPr>
            </w:pPr>
          </w:p>
        </w:tc>
      </w:tr>
      <w:tr w:rsidR="00960E01"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960E01" w:rsidRDefault="00821CB5">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960E01" w:rsidRDefault="00821CB5">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Krav om yderligere kapitalgrundlag </w:t>
            </w:r>
            <w:r>
              <w:rPr>
                <w:rStyle w:val="InstructionsTabelleberschrift"/>
                <w:rFonts w:ascii="Times New Roman" w:hAnsi="Times New Roman"/>
                <w:color w:val="000000" w:themeColor="text1"/>
                <w:szCs w:val="20"/>
              </w:rPr>
              <w:t>(IFREP I 02.01 r0110)</w:t>
            </w:r>
          </w:p>
          <w:p w14:paraId="05BFD23E" w14:textId="06165C78" w:rsidR="00960E01" w:rsidRDefault="00821CB5">
            <w:pPr>
              <w:pStyle w:val="P68B1DB1-TableParagraph17"/>
              <w:spacing w:before="108"/>
              <w:jc w:val="both"/>
            </w:pPr>
            <w:r>
              <w:t>Artikel 40 i direktiv (EU) 2019/2034.</w:t>
            </w:r>
          </w:p>
          <w:p w14:paraId="2AF15530" w14:textId="77777777" w:rsidR="00960E01" w:rsidRDefault="00821CB5">
            <w:pPr>
              <w:pStyle w:val="P68B1DB1-TableParagraph13"/>
              <w:spacing w:before="108"/>
              <w:jc w:val="both"/>
            </w:pPr>
            <w:r>
              <w:t xml:space="preserve">Yderligere kapitalgrundlag, der kræves i henhold til SREP, </w:t>
            </w:r>
          </w:p>
          <w:p w14:paraId="7FE1B72E" w14:textId="77777777" w:rsidR="00960E01" w:rsidRDefault="00960E01">
            <w:pPr>
              <w:pStyle w:val="TableParagraph"/>
              <w:spacing w:before="108"/>
              <w:rPr>
                <w:rFonts w:ascii="Times New Roman" w:eastAsia="Cambria" w:hAnsi="Times New Roman" w:cs="Times New Roman"/>
                <w:color w:val="000000" w:themeColor="text1"/>
                <w:sz w:val="20"/>
                <w:szCs w:val="20"/>
              </w:rPr>
            </w:pPr>
          </w:p>
        </w:tc>
      </w:tr>
      <w:tr w:rsidR="00960E01"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960E01" w:rsidRDefault="00821CB5">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960E01" w:rsidRDefault="00821CB5">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Vejledning om yderligere kapitalgrundlag </w:t>
            </w:r>
            <w:r>
              <w:rPr>
                <w:rStyle w:val="InstructionsTabelleberschrift"/>
                <w:rFonts w:ascii="Times New Roman" w:hAnsi="Times New Roman"/>
                <w:color w:val="000000" w:themeColor="text1"/>
                <w:szCs w:val="20"/>
              </w:rPr>
              <w:t>(IFREP I 02.01 r0120)</w:t>
            </w:r>
          </w:p>
          <w:p w14:paraId="4094919F" w14:textId="67C4E4FA" w:rsidR="00960E01" w:rsidRDefault="00821CB5">
            <w:pPr>
              <w:pStyle w:val="P68B1DB1-TableParagraph17"/>
              <w:spacing w:before="108"/>
            </w:pPr>
            <w:r>
              <w:t>Artikel 41 i direktiv (EU) 2019/2034.</w:t>
            </w:r>
          </w:p>
          <w:p w14:paraId="1EA34579" w14:textId="77777777" w:rsidR="00960E01" w:rsidRDefault="00821CB5">
            <w:pPr>
              <w:pStyle w:val="P68B1DB1-TableParagraph17"/>
              <w:spacing w:before="108"/>
            </w:pPr>
            <w:r>
              <w:t>Vejledning om yderligere kapitalgrundlag, der kræves som yderligere kapitalgrundlag.</w:t>
            </w:r>
          </w:p>
          <w:p w14:paraId="7FE1B736" w14:textId="77777777" w:rsidR="00960E01" w:rsidRDefault="00960E01">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960E01" w:rsidRDefault="00960E01">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960E01" w:rsidRDefault="00960E01">
      <w:pPr>
        <w:pStyle w:val="Instructionsberschrift3"/>
        <w:numPr>
          <w:ilvl w:val="0"/>
          <w:numId w:val="0"/>
        </w:numPr>
        <w:ind w:left="720" w:hanging="432"/>
      </w:pPr>
    </w:p>
    <w:p w14:paraId="7FE1B742" w14:textId="77777777" w:rsidR="00960E01" w:rsidRDefault="00960E01">
      <w:pPr>
        <w:pStyle w:val="Instructionsberschrift3"/>
        <w:numPr>
          <w:ilvl w:val="0"/>
          <w:numId w:val="0"/>
        </w:numPr>
        <w:ind w:left="720" w:hanging="432"/>
      </w:pPr>
    </w:p>
    <w:p w14:paraId="7FE1B743" w14:textId="77777777" w:rsidR="00960E01" w:rsidRDefault="00960E01">
      <w:pPr>
        <w:pStyle w:val="Instructionsberschrift3"/>
        <w:numPr>
          <w:ilvl w:val="0"/>
          <w:numId w:val="0"/>
        </w:numPr>
        <w:ind w:left="720" w:hanging="432"/>
      </w:pPr>
    </w:p>
    <w:p w14:paraId="7FE1B744" w14:textId="49BA0C03" w:rsidR="00960E01" w:rsidRDefault="00960E01">
      <w:pPr>
        <w:rPr>
          <w:rFonts w:ascii="Times New Roman" w:hAnsi="Times New Roman" w:cs="Times New Roman"/>
          <w:color w:val="000000" w:themeColor="text1"/>
          <w:sz w:val="20"/>
          <w:szCs w:val="20"/>
        </w:rPr>
      </w:pPr>
    </w:p>
    <w:p w14:paraId="7FE1B745" w14:textId="016BA1E4" w:rsidR="00960E01" w:rsidRDefault="00821CB5">
      <w:pPr>
        <w:pStyle w:val="P68B1DB1-Instructionsberschrift25"/>
        <w:numPr>
          <w:ilvl w:val="1"/>
          <w:numId w:val="49"/>
        </w:numPr>
        <w:ind w:left="357" w:hanging="357"/>
      </w:pPr>
      <w:bookmarkStart w:id="62" w:name="_Toc492542324"/>
      <w:bookmarkStart w:id="63" w:name="_Toc81454182"/>
      <w:bookmarkStart w:id="64" w:name="_Toc208244556"/>
      <w:r>
        <w:t>Z 04.00 — Koncerninterne indbyrdes finansielle forbindelser (LIAB 4)</w:t>
      </w:r>
      <w:bookmarkEnd w:id="62"/>
      <w:bookmarkEnd w:id="63"/>
      <w:bookmarkEnd w:id="64"/>
    </w:p>
    <w:p w14:paraId="7FE1B746" w14:textId="77777777" w:rsidR="00960E01" w:rsidRDefault="00821CB5">
      <w:pPr>
        <w:pStyle w:val="Instructionsberschrift3"/>
      </w:pPr>
      <w:r>
        <w:t>Generelle bemærkninger</w:t>
      </w:r>
    </w:p>
    <w:p w14:paraId="7FE1B747" w14:textId="3BB98E0B" w:rsidR="00960E01" w:rsidRDefault="00821CB5">
      <w:pPr>
        <w:pStyle w:val="P68B1DB1-InstructionsText26"/>
        <w:numPr>
          <w:ilvl w:val="0"/>
          <w:numId w:val="232"/>
        </w:numPr>
        <w:spacing w:before="0"/>
      </w:pPr>
      <w:r>
        <w:t xml:space="preserve">I dette skema skal der gives oplysninger om koncerninterne forpligtelser, samt kapitalinstrumenter og garantier. </w:t>
      </w:r>
    </w:p>
    <w:p w14:paraId="7FE1B748" w14:textId="588B1EC0" w:rsidR="00960E01" w:rsidRDefault="00821CB5">
      <w:pPr>
        <w:pStyle w:val="P68B1DB1-InstructionsText26"/>
        <w:numPr>
          <w:ilvl w:val="0"/>
          <w:numId w:val="232"/>
        </w:numPr>
        <w:spacing w:before="0"/>
      </w:pPr>
      <w:r>
        <w:t>Alle indbyrdes finansielle forbindelser mellem relevante juridiske enheder, som indgår i de konsoliderede regnskaber, skal indberettes. De indberettede beløb skal sammenlægges, hvis de vedrører de samme modparter (både udsteder eller garanteret enhed, og kreditor, indehaver eller garantistiller) og den samme type forpligtelser, kapitalinstrumenter eller garantier.</w:t>
      </w:r>
    </w:p>
    <w:p w14:paraId="7FE1B749" w14:textId="77777777" w:rsidR="00960E01" w:rsidRDefault="00821CB5">
      <w:pPr>
        <w:pStyle w:val="P68B1DB1-InstructionsText26"/>
        <w:numPr>
          <w:ilvl w:val="0"/>
          <w:numId w:val="232"/>
        </w:numPr>
        <w:spacing w:before="0"/>
      </w:pPr>
      <w:r>
        <w:t>Kombinationen af værdier, der indberettes i kolonne 0020, 0040 og 0050 i dette skema, udgør en primær nøgle, som skal være unik for hver enkelt række i skemaet.</w:t>
      </w:r>
    </w:p>
    <w:p w14:paraId="7FE1B74A" w14:textId="77777777" w:rsidR="00960E01" w:rsidRDefault="00821CB5">
      <w:pPr>
        <w:pStyle w:val="P68B1DB1-Instructionsberschrift312"/>
      </w:pPr>
      <w:r>
        <w:t>Instrukser vedrørende specifikke positioner</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960E01"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960E01" w:rsidRDefault="00821CB5">
            <w:pPr>
              <w:pStyle w:val="P68B1DB1-TableParagraph13"/>
              <w:spacing w:before="66"/>
              <w:rPr>
                <w:rFonts w:eastAsia="Cambria"/>
              </w:rPr>
            </w:pPr>
            <w:r>
              <w:lastRenderedPageBreak/>
              <w:t>Kolonner</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960E01" w:rsidRDefault="00821CB5">
            <w:pPr>
              <w:pStyle w:val="P68B1DB1-TableParagraph13"/>
              <w:spacing w:before="66"/>
              <w:ind w:right="1"/>
              <w:jc w:val="center"/>
              <w:rPr>
                <w:rFonts w:eastAsia="Cambria"/>
              </w:rPr>
            </w:pPr>
            <w:r>
              <w:t>Instrukser</w:t>
            </w:r>
          </w:p>
        </w:tc>
      </w:tr>
      <w:tr w:rsidR="00960E01"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960E01" w:rsidRDefault="00821CB5">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960E01" w:rsidRDefault="00821CB5">
            <w:pPr>
              <w:pStyle w:val="P68B1DB1-TableParagraph14"/>
              <w:spacing w:before="108"/>
              <w:ind w:left="85"/>
              <w:jc w:val="both"/>
              <w:rPr>
                <w:bCs/>
              </w:rPr>
            </w:pPr>
            <w:r>
              <w:t>Udsteder eller garanteret enhed</w:t>
            </w:r>
          </w:p>
          <w:p w14:paraId="7FE1B750" w14:textId="77777777" w:rsidR="00960E01" w:rsidRDefault="00821CB5">
            <w:pPr>
              <w:pStyle w:val="P68B1DB1-TableParagraph17"/>
              <w:spacing w:before="108"/>
              <w:ind w:left="85"/>
              <w:jc w:val="both"/>
            </w:pPr>
            <w:r>
              <w:t>Juridisk enhed, der udsteder forpligtelserne eller kapitalinstrumentet eller er den garanterede enhed.</w:t>
            </w:r>
          </w:p>
        </w:tc>
      </w:tr>
      <w:tr w:rsidR="00960E01"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960E01" w:rsidRDefault="00821CB5">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960E01" w:rsidRDefault="00821CB5">
            <w:pPr>
              <w:pStyle w:val="P68B1DB1-TableParagraph14"/>
              <w:spacing w:before="108"/>
              <w:ind w:left="85"/>
              <w:jc w:val="both"/>
              <w:rPr>
                <w:bCs/>
              </w:rPr>
            </w:pPr>
            <w:r>
              <w:t xml:space="preserve">Enhedens navn </w:t>
            </w:r>
          </w:p>
          <w:p w14:paraId="7FE1B754" w14:textId="77777777" w:rsidR="00960E01" w:rsidRDefault="00821CB5">
            <w:pPr>
              <w:pStyle w:val="P68B1DB1-TableParagraph17"/>
              <w:spacing w:before="108"/>
              <w:ind w:left="85"/>
              <w:jc w:val="both"/>
            </w:pPr>
            <w:r>
              <w:t xml:space="preserve">Må ikke være det samme navn som det, der er angivet i kolonne 0030. </w:t>
            </w:r>
          </w:p>
        </w:tc>
      </w:tr>
      <w:tr w:rsidR="00960E01"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960E01" w:rsidRDefault="00821CB5">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64DFA55A" w:rsidR="00960E01" w:rsidRDefault="00821CB5">
            <w:pPr>
              <w:pStyle w:val="P68B1DB1-TableParagraph14"/>
              <w:spacing w:before="108"/>
              <w:ind w:left="85"/>
              <w:jc w:val="both"/>
              <w:rPr>
                <w:bCs/>
              </w:rPr>
            </w:pPr>
            <w:r>
              <w:t>Kode</w:t>
            </w:r>
          </w:p>
          <w:p w14:paraId="22E99FB3" w14:textId="77777777" w:rsidR="00960E01" w:rsidRDefault="00821CB5">
            <w:pPr>
              <w:pStyle w:val="P68B1DB1-TableParagraph17"/>
              <w:spacing w:before="108"/>
              <w:ind w:left="85"/>
              <w:jc w:val="both"/>
            </w:pPr>
            <w:r>
              <w:t xml:space="preserve">Udstederens eller garantimodtagerens kode. </w:t>
            </w:r>
          </w:p>
          <w:p w14:paraId="4BE5BA2E" w14:textId="5E7AE5A4" w:rsidR="00960E01" w:rsidRDefault="00821CB5">
            <w:pPr>
              <w:pStyle w:val="P68B1DB1-TableParagraph17"/>
              <w:spacing w:before="108"/>
              <w:ind w:left="85"/>
              <w:jc w:val="both"/>
            </w:pPr>
            <w:r>
              <w:t>For institutter med en identifikator for juridiske enheder (LEI), den 20-cifrede alfanumeriske LEI-kode</w:t>
            </w:r>
          </w:p>
          <w:p w14:paraId="7FE1B758" w14:textId="458CE8E3" w:rsidR="00960E01" w:rsidRDefault="00821CB5">
            <w:pPr>
              <w:pStyle w:val="P68B1DB1-TableParagraph17"/>
              <w:spacing w:before="108"/>
              <w:ind w:left="85"/>
              <w:jc w:val="both"/>
            </w:pPr>
            <w:r>
              <w:t>Hvis de ikke foreligger, anvendes MFI-koden eller en kode i henhold til en ensartet kodifikation, der gælder i Unionen.</w:t>
            </w:r>
          </w:p>
          <w:p w14:paraId="7FE1B759" w14:textId="77777777" w:rsidR="00960E01" w:rsidRDefault="00821CB5">
            <w:pPr>
              <w:pStyle w:val="P68B1DB1-TableParagraph17"/>
              <w:spacing w:before="108"/>
              <w:ind w:left="85"/>
              <w:jc w:val="both"/>
            </w:pPr>
            <w:r>
              <w:t>Koden skal være unik og skal anvendes konsekvent i alle skemaerne.</w:t>
            </w:r>
          </w:p>
          <w:p w14:paraId="7FE1B75A" w14:textId="77777777" w:rsidR="00960E01" w:rsidRDefault="00821CB5">
            <w:pPr>
              <w:pStyle w:val="P68B1DB1-TableParagraph17"/>
              <w:spacing w:before="108"/>
              <w:ind w:left="85"/>
              <w:jc w:val="both"/>
            </w:pPr>
            <w:r>
              <w:t>Koden må ikke være den samme som den, der er angivet i kolonne 0040.</w:t>
            </w:r>
          </w:p>
          <w:p w14:paraId="7FE1B75B" w14:textId="77777777" w:rsidR="00960E01" w:rsidRDefault="00960E01">
            <w:pPr>
              <w:pStyle w:val="TableParagraph"/>
              <w:spacing w:before="108"/>
              <w:ind w:left="85"/>
              <w:jc w:val="both"/>
              <w:rPr>
                <w:rFonts w:ascii="Times New Roman" w:eastAsia="Cambria" w:hAnsi="Times New Roman" w:cs="Times New Roman"/>
                <w:color w:val="000000" w:themeColor="text1"/>
                <w:sz w:val="20"/>
                <w:szCs w:val="20"/>
              </w:rPr>
            </w:pPr>
          </w:p>
        </w:tc>
      </w:tr>
      <w:tr w:rsidR="00960E01"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960E01" w:rsidRDefault="00821CB5">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960E01" w:rsidRDefault="00821CB5">
            <w:pPr>
              <w:pStyle w:val="P68B1DB1-TableParagraph14"/>
              <w:spacing w:before="108"/>
              <w:ind w:left="85"/>
              <w:jc w:val="both"/>
              <w:rPr>
                <w:bCs/>
              </w:rPr>
            </w:pPr>
            <w:r>
              <w:t>Kodetype</w:t>
            </w:r>
          </w:p>
          <w:p w14:paraId="7FE1B75F" w14:textId="2A2E5952" w:rsidR="00960E01" w:rsidRDefault="00821CB5">
            <w:pPr>
              <w:pStyle w:val="P68B1DB1-TableParagraph13"/>
              <w:spacing w:before="108"/>
              <w:ind w:left="85"/>
              <w:jc w:val="both"/>
              <w:rPr>
                <w:bCs/>
              </w:rPr>
            </w:pPr>
            <w:r>
              <w:t xml:space="preserve">Koden skal være den samme som indberettet i skema Z 01.01 (ORG 1). </w:t>
            </w:r>
          </w:p>
          <w:p w14:paraId="7FE1B761" w14:textId="635A8A91" w:rsidR="00960E01" w:rsidRDefault="00821CB5">
            <w:pPr>
              <w:pStyle w:val="P68B1DB1-TableParagraph13"/>
              <w:spacing w:before="108"/>
              <w:ind w:left="85"/>
              <w:jc w:val="both"/>
              <w:rPr>
                <w:bCs/>
              </w:rPr>
            </w:pPr>
            <w:r>
              <w:t>Vælges blandt følgende muligheder: "LEI-kode", "MFI-kode" eller "Identifikationstype, bortset fra LEI- eller MFI-kode.</w:t>
            </w:r>
          </w:p>
          <w:p w14:paraId="7FE1B762" w14:textId="77777777" w:rsidR="00960E01" w:rsidRDefault="00821CB5">
            <w:pPr>
              <w:pStyle w:val="P68B1DB1-TableParagraph13"/>
              <w:spacing w:before="108"/>
              <w:ind w:left="85"/>
              <w:jc w:val="both"/>
              <w:rPr>
                <w:b/>
                <w:bCs/>
              </w:rPr>
            </w:pPr>
            <w:r>
              <w:t>Til identifikation af enheder eller virksomheder, der er investeret i, anvendes kode- og typeparret konsekvent i skemaerne.</w:t>
            </w:r>
          </w:p>
        </w:tc>
      </w:tr>
      <w:tr w:rsidR="00960E01"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960E01" w:rsidRDefault="00821CB5">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960E01" w:rsidRDefault="00821CB5">
            <w:pPr>
              <w:pStyle w:val="P68B1DB1-TableParagraph14"/>
              <w:spacing w:before="108"/>
              <w:ind w:left="85"/>
              <w:jc w:val="both"/>
              <w:rPr>
                <w:bCs/>
              </w:rPr>
            </w:pPr>
            <w:r>
              <w:t>Kreditor, indehaver eller garantistiller</w:t>
            </w:r>
          </w:p>
          <w:p w14:paraId="7FE1B766" w14:textId="77777777" w:rsidR="00960E01" w:rsidRDefault="00821CB5">
            <w:pPr>
              <w:pStyle w:val="P68B1DB1-TableParagraph17"/>
              <w:spacing w:before="108"/>
              <w:ind w:left="85"/>
              <w:jc w:val="both"/>
            </w:pPr>
            <w:r>
              <w:t>Juridisk enhed, der er kreditor for forpligtelsen, besidder kapitalinstrumentet eller stiller garantien.</w:t>
            </w:r>
          </w:p>
        </w:tc>
      </w:tr>
      <w:tr w:rsidR="00960E01"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960E01" w:rsidRDefault="00821CB5">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960E01" w:rsidRDefault="00821CB5">
            <w:pPr>
              <w:pStyle w:val="P68B1DB1-TableParagraph14"/>
              <w:spacing w:before="108"/>
              <w:ind w:left="85"/>
              <w:jc w:val="both"/>
              <w:rPr>
                <w:bCs/>
              </w:rPr>
            </w:pPr>
            <w:r>
              <w:t xml:space="preserve">Enhedens navn </w:t>
            </w:r>
          </w:p>
          <w:p w14:paraId="7FE1B76A" w14:textId="77777777" w:rsidR="00960E01" w:rsidRDefault="00821CB5">
            <w:pPr>
              <w:pStyle w:val="P68B1DB1-TableParagraph17"/>
              <w:spacing w:before="108"/>
              <w:ind w:left="85"/>
              <w:jc w:val="both"/>
            </w:pPr>
            <w:r>
              <w:t xml:space="preserve">Må ikke være det samme navn som det, der er angivet i kolonne 0010. </w:t>
            </w:r>
          </w:p>
        </w:tc>
      </w:tr>
      <w:tr w:rsidR="00960E01"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960E01" w:rsidRDefault="00821CB5">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2D76607" w:rsidR="00960E01" w:rsidRDefault="00821CB5">
            <w:pPr>
              <w:pStyle w:val="P68B1DB1-TableParagraph14"/>
              <w:spacing w:before="108"/>
              <w:ind w:left="85"/>
              <w:jc w:val="both"/>
              <w:rPr>
                <w:bCs/>
              </w:rPr>
            </w:pPr>
            <w:r>
              <w:t>Kode</w:t>
            </w:r>
          </w:p>
          <w:p w14:paraId="07AEB6DE" w14:textId="77777777" w:rsidR="00960E01" w:rsidRDefault="00821CB5">
            <w:pPr>
              <w:pStyle w:val="P68B1DB1-TableParagraph17"/>
              <w:spacing w:before="108"/>
              <w:ind w:left="85"/>
              <w:jc w:val="both"/>
            </w:pPr>
            <w:r>
              <w:t xml:space="preserve">Kreditgiverens, indehaverens eller garantistillerens kode. </w:t>
            </w:r>
          </w:p>
          <w:p w14:paraId="706B20DB" w14:textId="77777777" w:rsidR="00960E01" w:rsidRDefault="00821CB5">
            <w:pPr>
              <w:pStyle w:val="P68B1DB1-TableParagraph17"/>
              <w:spacing w:before="108"/>
              <w:ind w:left="85"/>
              <w:jc w:val="both"/>
            </w:pPr>
            <w:r>
              <w:t>For institutter med en identifikator for juridiske enheder (LEI), den 20-cifrede alfanumeriske LEI-kode</w:t>
            </w:r>
          </w:p>
          <w:p w14:paraId="69DCA339" w14:textId="67781040" w:rsidR="00960E01" w:rsidRDefault="00821CB5">
            <w:pPr>
              <w:pStyle w:val="P68B1DB1-TableParagraph17"/>
              <w:spacing w:before="108"/>
              <w:ind w:left="85"/>
              <w:jc w:val="both"/>
            </w:pPr>
            <w:r>
              <w:t>Hvis de ikke foreligger, anvendes MFI-koden eller en kode i henhold til en ensartet kodifikation, der gælder i Unionen.</w:t>
            </w:r>
          </w:p>
          <w:p w14:paraId="7FE1B76F" w14:textId="02D6147D" w:rsidR="00960E01" w:rsidRDefault="00821CB5">
            <w:pPr>
              <w:pStyle w:val="P68B1DB1-TableParagraph17"/>
              <w:spacing w:before="108"/>
              <w:ind w:left="85"/>
              <w:jc w:val="both"/>
            </w:pPr>
            <w:r>
              <w:t>Koden skal være unik og skal anvendes konsekvent i alle skemaerne.</w:t>
            </w:r>
          </w:p>
          <w:p w14:paraId="1E86BFA0" w14:textId="77777777" w:rsidR="00960E01" w:rsidRDefault="00821CB5">
            <w:pPr>
              <w:pStyle w:val="P68B1DB1-TableParagraph17"/>
              <w:spacing w:before="108"/>
              <w:ind w:left="85"/>
              <w:jc w:val="both"/>
            </w:pPr>
            <w:r>
              <w:t>Må ikke være den samme kode som den, der er angivet i kolonne 0020.</w:t>
            </w:r>
          </w:p>
          <w:p w14:paraId="7FE1B770" w14:textId="276B100A" w:rsidR="00960E01" w:rsidRDefault="00821CB5">
            <w:pPr>
              <w:pStyle w:val="P68B1DB1-TableParagraph13"/>
              <w:spacing w:before="108"/>
              <w:ind w:left="85"/>
              <w:jc w:val="both"/>
              <w:rPr>
                <w:rFonts w:eastAsia="Cambria"/>
              </w:rPr>
            </w:pPr>
            <w:r>
              <w:t>Hvis kreditor, holder eller garantiydelseyderen er en koncernenhed, skal koden være de samme som den, der er angivet i skema Z 01.01 (ORG 1). Til identifikation af enheder eller virksomheder, der er investeret i, anvendes kode- og typeparret konsekvent i skemaerne.</w:t>
            </w:r>
          </w:p>
        </w:tc>
      </w:tr>
      <w:tr w:rsidR="00960E01"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960E01" w:rsidRDefault="00821CB5">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960E01" w:rsidRDefault="00821CB5">
            <w:pPr>
              <w:pStyle w:val="P68B1DB1-TableParagraph14"/>
              <w:spacing w:before="108"/>
              <w:ind w:left="85"/>
              <w:jc w:val="both"/>
              <w:rPr>
                <w:bCs/>
              </w:rPr>
            </w:pPr>
            <w:r>
              <w:t>Kodetype</w:t>
            </w:r>
          </w:p>
          <w:p w14:paraId="00DFF190" w14:textId="04144C55" w:rsidR="00960E01" w:rsidRDefault="00960E01">
            <w:pPr>
              <w:pStyle w:val="TableParagraph"/>
              <w:spacing w:before="108"/>
              <w:ind w:left="85"/>
              <w:jc w:val="both"/>
              <w:rPr>
                <w:rFonts w:ascii="Times New Roman" w:hAnsi="Times New Roman" w:cs="Times New Roman"/>
                <w:bCs/>
                <w:color w:val="000000" w:themeColor="text1"/>
                <w:sz w:val="20"/>
                <w:szCs w:val="20"/>
              </w:rPr>
            </w:pPr>
          </w:p>
          <w:p w14:paraId="1CBCA0DC" w14:textId="04764F45" w:rsidR="00960E01" w:rsidRDefault="00821CB5">
            <w:pPr>
              <w:pStyle w:val="P68B1DB1-TableParagraph13"/>
              <w:spacing w:before="108" w:line="276" w:lineRule="auto"/>
              <w:ind w:left="85"/>
              <w:jc w:val="both"/>
              <w:rPr>
                <w:color w:val="000000"/>
              </w:rPr>
            </w:pPr>
            <w:bookmarkStart w:id="65" w:name="_Hlk191377037"/>
            <w:r>
              <w:t>Vælges blandt følgende muligheder: "LEI-kode", "MFI-kode" eller "Identifikationstype, bortset fra LEI- eller MFI-kode".</w:t>
            </w:r>
            <w:bookmarkEnd w:id="65"/>
          </w:p>
          <w:p w14:paraId="072CFC22" w14:textId="7B94F65F" w:rsidR="00960E01" w:rsidRDefault="00821CB5">
            <w:pPr>
              <w:pStyle w:val="P68B1DB1-TableParagraph13"/>
              <w:spacing w:before="108" w:line="276" w:lineRule="auto"/>
              <w:ind w:left="85"/>
              <w:jc w:val="both"/>
              <w:rPr>
                <w:color w:val="000000"/>
              </w:rPr>
            </w:pPr>
            <w:r>
              <w:t>Kodetypen skal altid indberettes.</w:t>
            </w:r>
          </w:p>
          <w:p w14:paraId="63D16443" w14:textId="77777777" w:rsidR="00960E01" w:rsidRDefault="00821CB5">
            <w:pPr>
              <w:pStyle w:val="P68B1DB1-TableParagraph13"/>
              <w:spacing w:before="108" w:line="276" w:lineRule="auto"/>
              <w:ind w:left="85"/>
              <w:jc w:val="both"/>
              <w:rPr>
                <w:color w:val="000000"/>
              </w:rPr>
            </w:pPr>
            <w:r>
              <w:lastRenderedPageBreak/>
              <w:t>Hvis kreditgiveren, indehaveren eller garantistilleren ikke er en koncernenhed, skal kodetypen helst være LEI-koden.</w:t>
            </w:r>
          </w:p>
          <w:p w14:paraId="7FE1B777" w14:textId="69660BC3" w:rsidR="00960E01" w:rsidRDefault="00960E01">
            <w:pPr>
              <w:pStyle w:val="TableParagraph"/>
              <w:spacing w:before="108"/>
              <w:ind w:left="85"/>
              <w:jc w:val="both"/>
              <w:rPr>
                <w:rFonts w:ascii="Times New Roman" w:hAnsi="Times New Roman" w:cs="Times New Roman"/>
                <w:b/>
                <w:bCs/>
                <w:color w:val="000000" w:themeColor="text1"/>
                <w:sz w:val="20"/>
                <w:szCs w:val="20"/>
              </w:rPr>
            </w:pPr>
          </w:p>
        </w:tc>
      </w:tr>
      <w:tr w:rsidR="00960E01"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960E01" w:rsidRDefault="00821CB5">
            <w:pPr>
              <w:pStyle w:val="P68B1DB1-TableParagraph13"/>
              <w:spacing w:before="106"/>
              <w:ind w:left="-1"/>
            </w:pPr>
            <w:r>
              <w:lastRenderedPageBreak/>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960E01" w:rsidRDefault="00821CB5">
            <w:pPr>
              <w:pStyle w:val="P68B1DB1-TableParagraph14"/>
              <w:spacing w:before="108"/>
              <w:ind w:left="85"/>
              <w:jc w:val="both"/>
              <w:rPr>
                <w:bCs/>
              </w:rPr>
            </w:pPr>
            <w:r>
              <w:t>Indbyrdes finansielle forbindelser</w:t>
            </w:r>
          </w:p>
          <w:p w14:paraId="7FE1B77B" w14:textId="079D8C41" w:rsidR="00960E01" w:rsidRDefault="00821CB5">
            <w:pPr>
              <w:pStyle w:val="P68B1DB1-TableParagraph17"/>
              <w:spacing w:before="108"/>
              <w:ind w:left="85"/>
              <w:jc w:val="both"/>
            </w:pPr>
            <w:r>
              <w:t>Dette felt beskriver de indbyrdes finansielle forbindelser mellem de relevante juridiske enheder.</w:t>
            </w:r>
          </w:p>
        </w:tc>
      </w:tr>
      <w:tr w:rsidR="00960E01"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960E01" w:rsidRDefault="00821CB5">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4C720FCE" w:rsidR="00960E01" w:rsidRDefault="00765889">
            <w:pPr>
              <w:pStyle w:val="P68B1DB1-TableParagraph14"/>
              <w:spacing w:before="108"/>
              <w:ind w:left="85"/>
              <w:jc w:val="both"/>
              <w:rPr>
                <w:bCs/>
              </w:rPr>
            </w:pPr>
            <w:r>
              <w:t>Type</w:t>
            </w:r>
          </w:p>
          <w:p w14:paraId="7FE1B77F" w14:textId="77777777" w:rsidR="00960E01" w:rsidRDefault="00821CB5">
            <w:pPr>
              <w:pStyle w:val="P68B1DB1-TableParagraph17"/>
              <w:spacing w:before="108"/>
              <w:ind w:left="85"/>
              <w:jc w:val="both"/>
            </w:pPr>
            <w:r>
              <w:t>Vælg fra følgende liste:</w:t>
            </w:r>
          </w:p>
          <w:p w14:paraId="7FE1B780" w14:textId="77777777" w:rsidR="00960E01" w:rsidRDefault="00821CB5">
            <w:pPr>
              <w:pStyle w:val="P68B1DB1-TableParagraph24"/>
              <w:spacing w:before="108"/>
              <w:ind w:left="85"/>
              <w:jc w:val="both"/>
            </w:pPr>
            <w:r>
              <w:t>Koncerninterne forpligtelser</w:t>
            </w:r>
          </w:p>
          <w:p w14:paraId="7FE1B781" w14:textId="77777777" w:rsidR="00960E01" w:rsidRDefault="00960E01">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960E01" w:rsidRDefault="00821CB5">
            <w:pPr>
              <w:pStyle w:val="P68B1DB1-ListParagraph25"/>
              <w:numPr>
                <w:ilvl w:val="0"/>
                <w:numId w:val="54"/>
              </w:numPr>
              <w:autoSpaceDE w:val="0"/>
              <w:autoSpaceDN w:val="0"/>
              <w:adjustRightInd w:val="0"/>
              <w:ind w:left="539" w:hanging="454"/>
              <w:contextualSpacing/>
              <w:jc w:val="both"/>
            </w:pPr>
            <w:r>
              <w:t xml:space="preserve">Forpligtelser, der er udelukket fra bail-in </w:t>
            </w:r>
          </w:p>
          <w:p w14:paraId="7FE1B783" w14:textId="047CAF02" w:rsidR="00960E01" w:rsidRDefault="00821CB5">
            <w:pPr>
              <w:pStyle w:val="P68B1DB1-ListParagraph25"/>
              <w:autoSpaceDE w:val="0"/>
              <w:autoSpaceDN w:val="0"/>
              <w:adjustRightInd w:val="0"/>
              <w:ind w:left="539"/>
              <w:contextualSpacing/>
              <w:jc w:val="both"/>
            </w:pPr>
            <w:r>
              <w:t>Samme definition som Z 02.00 (LIAB 1), række 0100</w:t>
            </w:r>
          </w:p>
          <w:p w14:paraId="7FE1B784" w14:textId="77777777" w:rsidR="00960E01" w:rsidRDefault="00821CB5">
            <w:pPr>
              <w:pStyle w:val="P68B1DB1-ListParagraph25"/>
              <w:numPr>
                <w:ilvl w:val="0"/>
                <w:numId w:val="54"/>
              </w:numPr>
              <w:autoSpaceDE w:val="0"/>
              <w:autoSpaceDN w:val="0"/>
              <w:adjustRightInd w:val="0"/>
              <w:ind w:left="539" w:hanging="454"/>
              <w:contextualSpacing/>
              <w:jc w:val="both"/>
            </w:pPr>
            <w:r>
              <w:t>Indskud, udækkede, men foranstillede</w:t>
            </w:r>
          </w:p>
          <w:p w14:paraId="7FE1B785" w14:textId="69E9007C" w:rsidR="00960E01" w:rsidRDefault="00821CB5">
            <w:pPr>
              <w:pStyle w:val="P68B1DB1-ListParagraph25"/>
              <w:autoSpaceDE w:val="0"/>
              <w:autoSpaceDN w:val="0"/>
              <w:adjustRightInd w:val="0"/>
              <w:ind w:left="539"/>
              <w:jc w:val="both"/>
            </w:pPr>
            <w:r>
              <w:t>Samme definition som Z 02.00 (LIAB 1), række 0310</w:t>
            </w:r>
          </w:p>
          <w:p w14:paraId="7FE1B786" w14:textId="77777777" w:rsidR="00960E01" w:rsidRDefault="00821CB5">
            <w:pPr>
              <w:pStyle w:val="P68B1DB1-ListParagraph25"/>
              <w:numPr>
                <w:ilvl w:val="0"/>
                <w:numId w:val="54"/>
              </w:numPr>
              <w:autoSpaceDE w:val="0"/>
              <w:autoSpaceDN w:val="0"/>
              <w:adjustRightInd w:val="0"/>
              <w:ind w:left="539" w:hanging="454"/>
              <w:contextualSpacing/>
              <w:jc w:val="both"/>
            </w:pPr>
            <w:r>
              <w:t>Indskud, udækkede og ikke foranstillede</w:t>
            </w:r>
          </w:p>
          <w:p w14:paraId="7FE1B787" w14:textId="4FA7AC10" w:rsidR="00960E01" w:rsidRDefault="00821CB5">
            <w:pPr>
              <w:pStyle w:val="P68B1DB1-ListParagraph25"/>
              <w:autoSpaceDE w:val="0"/>
              <w:autoSpaceDN w:val="0"/>
              <w:adjustRightInd w:val="0"/>
              <w:ind w:left="539"/>
              <w:jc w:val="both"/>
            </w:pPr>
            <w:r>
              <w:t>Samme definition som Z 02.00 (LIAB 1), række 0320</w:t>
            </w:r>
          </w:p>
          <w:p w14:paraId="7FE1B788" w14:textId="77777777" w:rsidR="00960E01" w:rsidRDefault="00821CB5">
            <w:pPr>
              <w:pStyle w:val="P68B1DB1-ListParagraph25"/>
              <w:numPr>
                <w:ilvl w:val="0"/>
                <w:numId w:val="54"/>
              </w:numPr>
              <w:autoSpaceDE w:val="0"/>
              <w:autoSpaceDN w:val="0"/>
              <w:adjustRightInd w:val="0"/>
              <w:ind w:left="539" w:hanging="454"/>
              <w:contextualSpacing/>
              <w:jc w:val="both"/>
            </w:pPr>
            <w:r>
              <w:t>Forpligtelser hidrørende fra derivater ("close-out amounts")</w:t>
            </w:r>
          </w:p>
          <w:p w14:paraId="7FE1B789" w14:textId="5DAB7051" w:rsidR="00960E01" w:rsidRDefault="00821CB5">
            <w:pPr>
              <w:pStyle w:val="P68B1DB1-ListParagraph25"/>
              <w:autoSpaceDE w:val="0"/>
              <w:autoSpaceDN w:val="0"/>
              <w:adjustRightInd w:val="0"/>
              <w:ind w:left="539"/>
              <w:jc w:val="both"/>
            </w:pPr>
            <w:r>
              <w:t>Samme definition som Z 02.00 (LIAB 1), række 0330</w:t>
            </w:r>
          </w:p>
          <w:p w14:paraId="7FE1B78A" w14:textId="77777777" w:rsidR="00960E01" w:rsidRDefault="00821CB5">
            <w:pPr>
              <w:pStyle w:val="P68B1DB1-ListParagraph25"/>
              <w:numPr>
                <w:ilvl w:val="0"/>
                <w:numId w:val="54"/>
              </w:numPr>
              <w:autoSpaceDE w:val="0"/>
              <w:autoSpaceDN w:val="0"/>
              <w:adjustRightInd w:val="0"/>
              <w:ind w:left="539" w:hanging="454"/>
              <w:contextualSpacing/>
              <w:jc w:val="both"/>
            </w:pPr>
            <w:r>
              <w:t>Sikrede passiver, for hvilke der ikke er stillet sikkerhed</w:t>
            </w:r>
          </w:p>
          <w:p w14:paraId="7FE1B78B" w14:textId="5B0021F4" w:rsidR="00960E01" w:rsidRDefault="00821CB5">
            <w:pPr>
              <w:pStyle w:val="P68B1DB1-ListParagraph25"/>
              <w:autoSpaceDE w:val="0"/>
              <w:autoSpaceDN w:val="0"/>
              <w:adjustRightInd w:val="0"/>
              <w:ind w:left="539"/>
              <w:jc w:val="both"/>
            </w:pPr>
            <w:r>
              <w:t>Samme definition som Z 02.00 (LIAB 1), række 0340</w:t>
            </w:r>
          </w:p>
          <w:p w14:paraId="7FE1B78C" w14:textId="77777777" w:rsidR="00960E01" w:rsidRDefault="00821CB5">
            <w:pPr>
              <w:pStyle w:val="P68B1DB1-ListParagraph25"/>
              <w:numPr>
                <w:ilvl w:val="0"/>
                <w:numId w:val="54"/>
              </w:numPr>
              <w:autoSpaceDE w:val="0"/>
              <w:autoSpaceDN w:val="0"/>
              <w:adjustRightInd w:val="0"/>
              <w:ind w:left="539" w:hanging="454"/>
              <w:contextualSpacing/>
              <w:jc w:val="both"/>
            </w:pPr>
            <w:r>
              <w:t>Strukturerede værdipapirer</w:t>
            </w:r>
          </w:p>
          <w:p w14:paraId="7FE1B78D" w14:textId="7DF4D7F4" w:rsidR="00960E01" w:rsidRDefault="00821CB5">
            <w:pPr>
              <w:pStyle w:val="P68B1DB1-ListParagraph25"/>
              <w:autoSpaceDE w:val="0"/>
              <w:autoSpaceDN w:val="0"/>
              <w:adjustRightInd w:val="0"/>
              <w:ind w:left="539"/>
              <w:jc w:val="both"/>
            </w:pPr>
            <w:r>
              <w:t>Samme definition som Z 02.00 (LIAB 1), række 0350</w:t>
            </w:r>
          </w:p>
          <w:p w14:paraId="7FE1B78E" w14:textId="77777777" w:rsidR="00960E01" w:rsidRDefault="00821CB5">
            <w:pPr>
              <w:pStyle w:val="P68B1DB1-ListParagraph25"/>
              <w:numPr>
                <w:ilvl w:val="0"/>
                <w:numId w:val="54"/>
              </w:numPr>
              <w:autoSpaceDE w:val="0"/>
              <w:autoSpaceDN w:val="0"/>
              <w:adjustRightInd w:val="0"/>
              <w:ind w:left="539" w:hanging="454"/>
              <w:contextualSpacing/>
              <w:jc w:val="both"/>
            </w:pPr>
            <w:r>
              <w:t>Usikret seniorgæld</w:t>
            </w:r>
          </w:p>
          <w:p w14:paraId="7FE1B78F" w14:textId="67CE577E" w:rsidR="00960E01" w:rsidRDefault="00821CB5">
            <w:pPr>
              <w:pStyle w:val="P68B1DB1-ListParagraph25"/>
              <w:autoSpaceDE w:val="0"/>
              <w:autoSpaceDN w:val="0"/>
              <w:adjustRightInd w:val="0"/>
              <w:ind w:left="539"/>
              <w:jc w:val="both"/>
            </w:pPr>
            <w:r>
              <w:t>Samme definition som Z 02.00 (LIAB 1), række 0360</w:t>
            </w:r>
          </w:p>
          <w:p w14:paraId="7FE1B790" w14:textId="77777777" w:rsidR="00960E01" w:rsidRDefault="00821CB5">
            <w:pPr>
              <w:pStyle w:val="P68B1DB1-ListParagraph25"/>
              <w:numPr>
                <w:ilvl w:val="0"/>
                <w:numId w:val="54"/>
              </w:numPr>
              <w:autoSpaceDE w:val="0"/>
              <w:autoSpaceDN w:val="0"/>
              <w:adjustRightInd w:val="0"/>
              <w:ind w:left="539" w:hanging="454"/>
              <w:contextualSpacing/>
              <w:jc w:val="both"/>
            </w:pPr>
            <w:r>
              <w:t>Ikke-foranstillet seniorgæld</w:t>
            </w:r>
          </w:p>
          <w:p w14:paraId="7FE1B791" w14:textId="6BECB3BB" w:rsidR="00960E01" w:rsidRDefault="00821CB5">
            <w:pPr>
              <w:pStyle w:val="P68B1DB1-ListParagraph25"/>
              <w:autoSpaceDE w:val="0"/>
              <w:autoSpaceDN w:val="0"/>
              <w:adjustRightInd w:val="0"/>
              <w:ind w:left="539"/>
              <w:contextualSpacing/>
              <w:jc w:val="both"/>
            </w:pPr>
            <w:r>
              <w:t>Samme definition som Z 02.00 (LIAB 1), række 0365</w:t>
            </w:r>
          </w:p>
          <w:p w14:paraId="7FE1B792" w14:textId="77777777" w:rsidR="00960E01" w:rsidRDefault="00821CB5">
            <w:pPr>
              <w:pStyle w:val="P68B1DB1-ListParagraph25"/>
              <w:numPr>
                <w:ilvl w:val="0"/>
                <w:numId w:val="54"/>
              </w:numPr>
              <w:autoSpaceDE w:val="0"/>
              <w:autoSpaceDN w:val="0"/>
              <w:adjustRightInd w:val="0"/>
              <w:ind w:left="539" w:hanging="454"/>
              <w:contextualSpacing/>
              <w:jc w:val="both"/>
            </w:pPr>
            <w:r>
              <w:t>Efterstillet gæld</w:t>
            </w:r>
          </w:p>
          <w:p w14:paraId="7FE1B793" w14:textId="1719A947" w:rsidR="00960E01" w:rsidRDefault="00821CB5">
            <w:pPr>
              <w:pStyle w:val="P68B1DB1-ListParagraph25"/>
              <w:autoSpaceDE w:val="0"/>
              <w:autoSpaceDN w:val="0"/>
              <w:adjustRightInd w:val="0"/>
              <w:ind w:left="539"/>
              <w:jc w:val="both"/>
            </w:pPr>
            <w:r>
              <w:t>Samme definition som Z 02.00 (LIAB 1), række 0370</w:t>
            </w:r>
          </w:p>
          <w:p w14:paraId="7FE1B794" w14:textId="77777777" w:rsidR="00960E01" w:rsidRDefault="00821CB5">
            <w:pPr>
              <w:pStyle w:val="P68B1DB1-ListParagraph25"/>
              <w:numPr>
                <w:ilvl w:val="0"/>
                <w:numId w:val="54"/>
              </w:numPr>
              <w:autoSpaceDE w:val="0"/>
              <w:autoSpaceDN w:val="0"/>
              <w:adjustRightInd w:val="0"/>
              <w:ind w:left="539" w:hanging="454"/>
              <w:contextualSpacing/>
              <w:jc w:val="both"/>
            </w:pPr>
            <w:r>
              <w:t>Andre MREL-nedskrivningsrelevante passiver</w:t>
            </w:r>
          </w:p>
          <w:p w14:paraId="7FE1B795" w14:textId="18D60D2B" w:rsidR="00960E01" w:rsidRDefault="00821CB5">
            <w:pPr>
              <w:pStyle w:val="P68B1DB1-ListParagraph25"/>
              <w:autoSpaceDE w:val="0"/>
              <w:autoSpaceDN w:val="0"/>
              <w:adjustRightInd w:val="0"/>
              <w:ind w:left="539"/>
              <w:jc w:val="both"/>
            </w:pPr>
            <w:r>
              <w:t>Samme definition som Z 02.00 (LIAB 1), række 0380</w:t>
            </w:r>
          </w:p>
          <w:p w14:paraId="7FE1B796" w14:textId="77777777" w:rsidR="00960E01" w:rsidRDefault="00821CB5">
            <w:pPr>
              <w:pStyle w:val="P68B1DB1-ListParagraph25"/>
              <w:numPr>
                <w:ilvl w:val="0"/>
                <w:numId w:val="54"/>
              </w:numPr>
              <w:autoSpaceDE w:val="0"/>
              <w:autoSpaceDN w:val="0"/>
              <w:adjustRightInd w:val="0"/>
              <w:ind w:left="539" w:hanging="454"/>
              <w:contextualSpacing/>
              <w:jc w:val="both"/>
            </w:pPr>
            <w:r>
              <w:t>Ikke-finansielle forpligtelser</w:t>
            </w:r>
          </w:p>
          <w:p w14:paraId="7FE1B797" w14:textId="03D8AF00" w:rsidR="00960E01" w:rsidRDefault="00821CB5">
            <w:pPr>
              <w:pStyle w:val="P68B1DB1-ListParagraph25"/>
              <w:autoSpaceDE w:val="0"/>
              <w:autoSpaceDN w:val="0"/>
              <w:adjustRightInd w:val="0"/>
              <w:ind w:left="539"/>
              <w:jc w:val="both"/>
            </w:pPr>
            <w:r>
              <w:t>Samme definition som Z 02.00 (LIAB 1), række 0390</w:t>
            </w:r>
          </w:p>
          <w:p w14:paraId="7FE1B798" w14:textId="77777777" w:rsidR="00960E01" w:rsidRDefault="00821CB5">
            <w:pPr>
              <w:pStyle w:val="P68B1DB1-ListParagraph25"/>
              <w:numPr>
                <w:ilvl w:val="0"/>
                <w:numId w:val="54"/>
              </w:numPr>
              <w:autoSpaceDE w:val="0"/>
              <w:autoSpaceDN w:val="0"/>
              <w:adjustRightInd w:val="0"/>
              <w:ind w:left="539" w:hanging="454"/>
              <w:contextualSpacing/>
              <w:jc w:val="both"/>
            </w:pPr>
            <w:r>
              <w:t>Resterende forpligtelser</w:t>
            </w:r>
          </w:p>
          <w:p w14:paraId="7FE1B799" w14:textId="5E01E641" w:rsidR="00960E01" w:rsidRDefault="00821CB5">
            <w:pPr>
              <w:pStyle w:val="P68B1DB1-ListParagraph25"/>
              <w:autoSpaceDE w:val="0"/>
              <w:autoSpaceDN w:val="0"/>
              <w:adjustRightInd w:val="0"/>
              <w:ind w:left="539"/>
              <w:jc w:val="both"/>
            </w:pPr>
            <w:r>
              <w:t>Samme definition som Z 02.00 (LIAB 1), række 0400. Enhver forpligtelse, der ikke er omfattet af nogen af de foregående poster.</w:t>
            </w:r>
          </w:p>
          <w:p w14:paraId="7FE1B79A" w14:textId="77777777" w:rsidR="00960E01" w:rsidRDefault="00821CB5">
            <w:pPr>
              <w:pStyle w:val="P68B1DB1-ListParagraph25"/>
              <w:numPr>
                <w:ilvl w:val="0"/>
                <w:numId w:val="54"/>
              </w:numPr>
              <w:autoSpaceDE w:val="0"/>
              <w:autoSpaceDN w:val="0"/>
              <w:adjustRightInd w:val="0"/>
              <w:ind w:left="539" w:hanging="454"/>
              <w:contextualSpacing/>
              <w:jc w:val="both"/>
            </w:pPr>
            <w:r>
              <w:t>Supplerende kapital</w:t>
            </w:r>
          </w:p>
          <w:p w14:paraId="7FE1B79B" w14:textId="1DC09C8A" w:rsidR="00960E01" w:rsidRDefault="00821CB5">
            <w:pPr>
              <w:pStyle w:val="P68B1DB1-ListParagraph25"/>
              <w:autoSpaceDE w:val="0"/>
              <w:autoSpaceDN w:val="0"/>
              <w:adjustRightInd w:val="0"/>
              <w:ind w:left="539"/>
              <w:jc w:val="both"/>
            </w:pPr>
            <w:r>
              <w:t>Samme definition som Z 02.00 (LIAB 1), række 0530</w:t>
            </w:r>
          </w:p>
          <w:p w14:paraId="7FE1B79C" w14:textId="77777777" w:rsidR="00960E01" w:rsidRDefault="00821CB5">
            <w:pPr>
              <w:pStyle w:val="P68B1DB1-ListParagraph25"/>
              <w:numPr>
                <w:ilvl w:val="0"/>
                <w:numId w:val="54"/>
              </w:numPr>
              <w:autoSpaceDE w:val="0"/>
              <w:autoSpaceDN w:val="0"/>
              <w:adjustRightInd w:val="0"/>
              <w:ind w:left="539" w:hanging="454"/>
              <w:contextualSpacing/>
              <w:jc w:val="both"/>
            </w:pPr>
            <w:r>
              <w:t>Hybrid kernekapital</w:t>
            </w:r>
          </w:p>
          <w:p w14:paraId="7FE1B79D" w14:textId="5EB7A3D7" w:rsidR="00960E01" w:rsidRDefault="00821CB5">
            <w:pPr>
              <w:pStyle w:val="P68B1DB1-ListParagraph25"/>
              <w:autoSpaceDE w:val="0"/>
              <w:autoSpaceDN w:val="0"/>
              <w:adjustRightInd w:val="0"/>
              <w:ind w:left="539"/>
              <w:jc w:val="both"/>
            </w:pPr>
            <w:r>
              <w:t>Samme definition som Z 02.00 (LIAB 1), række 0520</w:t>
            </w:r>
          </w:p>
          <w:p w14:paraId="7FE1B79E" w14:textId="77777777" w:rsidR="00960E01" w:rsidRDefault="00821CB5">
            <w:pPr>
              <w:pStyle w:val="P68B1DB1-ListParagraph25"/>
              <w:numPr>
                <w:ilvl w:val="0"/>
                <w:numId w:val="54"/>
              </w:numPr>
              <w:autoSpaceDE w:val="0"/>
              <w:autoSpaceDN w:val="0"/>
              <w:adjustRightInd w:val="0"/>
              <w:ind w:left="539" w:hanging="454"/>
              <w:contextualSpacing/>
              <w:jc w:val="both"/>
            </w:pPr>
            <w:r>
              <w:t>Egentlig kernekapital</w:t>
            </w:r>
          </w:p>
          <w:p w14:paraId="7FE1B79F" w14:textId="3DF796DF" w:rsidR="00960E01" w:rsidRDefault="00821CB5">
            <w:pPr>
              <w:pStyle w:val="P68B1DB1-ListParagraph25"/>
              <w:autoSpaceDE w:val="0"/>
              <w:autoSpaceDN w:val="0"/>
              <w:adjustRightInd w:val="0"/>
              <w:ind w:left="539"/>
              <w:jc w:val="both"/>
            </w:pPr>
            <w:r>
              <w:t>Samme definition som Z 02.00 (LIAB 1), række 0510</w:t>
            </w:r>
          </w:p>
          <w:p w14:paraId="7FE1B7A0" w14:textId="77777777" w:rsidR="00960E01" w:rsidRDefault="00821CB5">
            <w:pPr>
              <w:pStyle w:val="P68B1DB1-TableParagraph24"/>
              <w:spacing w:before="108"/>
              <w:ind w:left="85"/>
              <w:jc w:val="both"/>
            </w:pPr>
            <w:r>
              <w:t>Koncerninterne garantier</w:t>
            </w:r>
          </w:p>
          <w:p w14:paraId="7FE1B7A1" w14:textId="426DD2CE" w:rsidR="00960E01" w:rsidRDefault="00821CB5">
            <w:pPr>
              <w:pStyle w:val="P68B1DB1-ListParagraph25"/>
              <w:numPr>
                <w:ilvl w:val="0"/>
                <w:numId w:val="55"/>
              </w:numPr>
              <w:autoSpaceDE w:val="0"/>
              <w:autoSpaceDN w:val="0"/>
              <w:adjustRightInd w:val="0"/>
              <w:ind w:left="539" w:hanging="454"/>
              <w:contextualSpacing/>
              <w:jc w:val="both"/>
            </w:pPr>
            <w:r>
              <w:t>Udstedelse af garantier</w:t>
            </w:r>
          </w:p>
          <w:p w14:paraId="7FE1B7A2" w14:textId="77777777" w:rsidR="00960E01" w:rsidRDefault="00821CB5">
            <w:pPr>
              <w:pStyle w:val="P68B1DB1-ListParagraph25"/>
              <w:autoSpaceDE w:val="0"/>
              <w:autoSpaceDN w:val="0"/>
              <w:adjustRightInd w:val="0"/>
              <w:ind w:left="539"/>
              <w:jc w:val="both"/>
            </w:pPr>
            <w:r>
              <w:t>Garantier for specifikke instrumenter/forpligtelser, der er udstedt</w:t>
            </w:r>
          </w:p>
          <w:p w14:paraId="7FE1B7A3" w14:textId="71CD6004" w:rsidR="00960E01" w:rsidRDefault="00821CB5">
            <w:pPr>
              <w:pStyle w:val="P68B1DB1-ListParagraph25"/>
              <w:numPr>
                <w:ilvl w:val="0"/>
                <w:numId w:val="55"/>
              </w:numPr>
              <w:autoSpaceDE w:val="0"/>
              <w:autoSpaceDN w:val="0"/>
              <w:adjustRightInd w:val="0"/>
              <w:ind w:left="539" w:hanging="454"/>
              <w:contextualSpacing/>
              <w:jc w:val="both"/>
            </w:pPr>
            <w:r>
              <w:t>Modpartsgarantier</w:t>
            </w:r>
          </w:p>
          <w:p w14:paraId="7FE1B7A4" w14:textId="77777777" w:rsidR="00960E01" w:rsidRDefault="00821CB5">
            <w:pPr>
              <w:pStyle w:val="P68B1DB1-ListParagraph25"/>
              <w:autoSpaceDE w:val="0"/>
              <w:autoSpaceDN w:val="0"/>
              <w:adjustRightInd w:val="0"/>
              <w:ind w:left="539"/>
              <w:jc w:val="both"/>
            </w:pPr>
            <w:r>
              <w:t>Garantier ydet til en af instituttets modparter</w:t>
            </w:r>
          </w:p>
          <w:p w14:paraId="7FE1B7A5" w14:textId="50A984E1" w:rsidR="00960E01" w:rsidRDefault="00821CB5">
            <w:pPr>
              <w:pStyle w:val="P68B1DB1-ListParagraph25"/>
              <w:numPr>
                <w:ilvl w:val="0"/>
                <w:numId w:val="55"/>
              </w:numPr>
              <w:autoSpaceDE w:val="0"/>
              <w:autoSpaceDN w:val="0"/>
              <w:adjustRightInd w:val="0"/>
              <w:ind w:left="539" w:hanging="454"/>
              <w:contextualSpacing/>
              <w:jc w:val="both"/>
            </w:pPr>
            <w:r>
              <w:t>Ubegrænsede garantier</w:t>
            </w:r>
          </w:p>
          <w:p w14:paraId="7FE1B7A6" w14:textId="77777777" w:rsidR="00960E01" w:rsidRDefault="00821CB5">
            <w:pPr>
              <w:pStyle w:val="P68B1DB1-ListParagraph25"/>
              <w:autoSpaceDE w:val="0"/>
              <w:autoSpaceDN w:val="0"/>
              <w:adjustRightInd w:val="0"/>
              <w:ind w:left="539"/>
              <w:jc w:val="both"/>
            </w:pPr>
            <w:r>
              <w:t xml:space="preserve">Generelle garantier uden en bestemt beløbsgrænse </w:t>
            </w:r>
          </w:p>
          <w:p w14:paraId="7FE1B7A7" w14:textId="391BAF8D" w:rsidR="00960E01" w:rsidRDefault="00821CB5">
            <w:pPr>
              <w:pStyle w:val="P68B1DB1-ListParagraph25"/>
              <w:numPr>
                <w:ilvl w:val="0"/>
                <w:numId w:val="55"/>
              </w:numPr>
              <w:autoSpaceDE w:val="0"/>
              <w:autoSpaceDN w:val="0"/>
              <w:adjustRightInd w:val="0"/>
              <w:ind w:left="539" w:hanging="454"/>
              <w:contextualSpacing/>
              <w:jc w:val="both"/>
            </w:pPr>
            <w:r>
              <w:t>Andre garantier</w:t>
            </w:r>
          </w:p>
          <w:p w14:paraId="7FE1B7A8" w14:textId="77777777" w:rsidR="00960E01" w:rsidRDefault="00821CB5">
            <w:pPr>
              <w:pStyle w:val="P68B1DB1-ListParagraph25"/>
              <w:autoSpaceDE w:val="0"/>
              <w:autoSpaceDN w:val="0"/>
              <w:adjustRightInd w:val="0"/>
              <w:ind w:left="539"/>
              <w:jc w:val="both"/>
            </w:pPr>
            <w:r>
              <w:t xml:space="preserve">Enhver form for garanti, der ikke er omfattet af ovenstående kategorier. </w:t>
            </w:r>
          </w:p>
        </w:tc>
      </w:tr>
      <w:tr w:rsidR="00960E01"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960E01" w:rsidRDefault="00821CB5">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960E01" w:rsidRDefault="00821CB5">
            <w:pPr>
              <w:pStyle w:val="P68B1DB1-TableParagraph14"/>
              <w:spacing w:before="108"/>
              <w:ind w:left="85"/>
              <w:jc w:val="both"/>
              <w:rPr>
                <w:bCs/>
              </w:rPr>
            </w:pPr>
            <w:r>
              <w:t>Udestående beløb</w:t>
            </w:r>
          </w:p>
          <w:p w14:paraId="7FE1B7AC" w14:textId="0BB5F57D" w:rsidR="00960E01" w:rsidRDefault="00821CB5">
            <w:pPr>
              <w:pStyle w:val="P68B1DB1-TableParagraph17"/>
              <w:spacing w:before="108"/>
              <w:ind w:left="85"/>
              <w:jc w:val="both"/>
            </w:pPr>
            <w:r>
              <w:t>For forpligtelser i kolonne 0050, det udestående beløb for de koncerninterne forpligtelser for forpligtelser hidrørende fra derivater, "close-out amounts" som defineret for skema Z 02.00 (LIAB 1), række 0333.</w:t>
            </w:r>
          </w:p>
          <w:p w14:paraId="7FE1B7AD" w14:textId="75442B42" w:rsidR="00960E01" w:rsidRDefault="00821CB5">
            <w:pPr>
              <w:pStyle w:val="P68B1DB1-TableParagraph17"/>
              <w:spacing w:before="108"/>
              <w:ind w:left="85"/>
              <w:jc w:val="both"/>
            </w:pPr>
            <w:r>
              <w:t xml:space="preserve">For garantier i kolonne 0050: det maksimale potentielle beløb for fremtidige betalinger under garantien </w:t>
            </w:r>
          </w:p>
        </w:tc>
      </w:tr>
      <w:tr w:rsidR="00960E01"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960E01" w:rsidRDefault="00821CB5">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960E01" w:rsidRDefault="00821CB5">
            <w:pPr>
              <w:pStyle w:val="P68B1DB1-TableParagraph14"/>
              <w:spacing w:before="108"/>
              <w:ind w:left="85"/>
              <w:jc w:val="both"/>
              <w:rPr>
                <w:bCs/>
              </w:rPr>
            </w:pPr>
            <w:r>
              <w:t>Heraf udstedt iht. 3.-landslovgivning</w:t>
            </w:r>
          </w:p>
          <w:p w14:paraId="7FE1B7B1" w14:textId="77777777" w:rsidR="00960E01" w:rsidRDefault="00821CB5">
            <w:pPr>
              <w:pStyle w:val="P68B1DB1-TableParagraph13"/>
              <w:spacing w:before="108"/>
              <w:ind w:left="85"/>
              <w:jc w:val="both"/>
              <w:rPr>
                <w:bCs/>
              </w:rPr>
            </w:pPr>
            <w:r>
              <w:t>Andelen i pengebeløb, af det udestående beløb, som er underlagt lovgivningen i et tredjeland.</w:t>
            </w:r>
          </w:p>
        </w:tc>
      </w:tr>
      <w:tr w:rsidR="00960E01"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960E01" w:rsidRDefault="00821CB5">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21D1EBA1" w:rsidR="00960E01" w:rsidRDefault="00821CB5">
            <w:pPr>
              <w:pStyle w:val="P68B1DB1-TableParagraph14"/>
              <w:spacing w:before="108"/>
              <w:ind w:left="85"/>
              <w:jc w:val="both"/>
              <w:rPr>
                <w:rFonts w:eastAsia="Cambria"/>
              </w:rPr>
            </w:pPr>
            <w:r>
              <w:t>heraf: MREL-nedskrivningsrelevante</w:t>
            </w:r>
          </w:p>
          <w:p w14:paraId="7FE1B7B5" w14:textId="77777777"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Det beløb, der udgøres af kapitalgrundlag og passiver, der er relevante med henblik på at opfylde kravet i artikel 45 i direktiv 2014/59/EU i overensstemmelse med artikel 45e eller 45f i nævnte direktiv, som er relevant.</w:t>
            </w:r>
            <w:r>
              <w:rPr>
                <w:rFonts w:ascii="Times New Roman" w:hAnsi="Times New Roman" w:cs="Times New Roman"/>
              </w:rPr>
              <w:t xml:space="preserve"> </w:t>
            </w:r>
            <w:r>
              <w:rPr>
                <w:rFonts w:ascii="Times New Roman" w:eastAsia="Cambria" w:hAnsi="Times New Roman" w:cs="Times New Roman"/>
                <w:color w:val="000000" w:themeColor="text1"/>
                <w:sz w:val="20"/>
                <w:szCs w:val="20"/>
              </w:rPr>
              <w:t>Kun kapitalgrundlag og passiver, der opfylder kriterierne i artikel 45b eller artikel 45f, stk. 2, i direktiv 2014/59/EU, alt efter hvad der er relevant, under hensyntagen til artikel 89, stk. 2, i direktivet om genopretning og afvikling af banker og artikel 55 i direktivet om genopretning og afvikling af banker, indberettes.</w:t>
            </w:r>
          </w:p>
        </w:tc>
      </w:tr>
    </w:tbl>
    <w:p w14:paraId="7FE1B7B7" w14:textId="77777777" w:rsidR="00960E01" w:rsidRDefault="00960E01">
      <w:pPr>
        <w:jc w:val="both"/>
        <w:rPr>
          <w:rFonts w:ascii="Times New Roman" w:hAnsi="Times New Roman" w:cs="Times New Roman"/>
          <w:color w:val="000000" w:themeColor="text1"/>
          <w:sz w:val="20"/>
          <w:szCs w:val="20"/>
        </w:rPr>
      </w:pPr>
    </w:p>
    <w:p w14:paraId="7FE1B7B8" w14:textId="548121DF" w:rsidR="00960E01" w:rsidRDefault="00821CB5">
      <w:pPr>
        <w:pStyle w:val="P68B1DB1-Instructionsberschrift25"/>
        <w:numPr>
          <w:ilvl w:val="1"/>
          <w:numId w:val="49"/>
        </w:numPr>
        <w:ind w:left="357" w:hanging="357"/>
      </w:pPr>
      <w:bookmarkStart w:id="66" w:name="_Toc492542325"/>
      <w:bookmarkStart w:id="67" w:name="_Toc81454183"/>
      <w:bookmarkStart w:id="68" w:name="_Toc208244557"/>
      <w:r>
        <w:t>Større modparter (LIAB 5/6)</w:t>
      </w:r>
      <w:bookmarkEnd w:id="66"/>
      <w:bookmarkEnd w:id="67"/>
      <w:bookmarkEnd w:id="68"/>
    </w:p>
    <w:p w14:paraId="7FE1B7B9" w14:textId="77777777" w:rsidR="00960E01" w:rsidRDefault="00821CB5">
      <w:pPr>
        <w:pStyle w:val="Instructionsberschrift3"/>
      </w:pPr>
      <w:r>
        <w:t>Generelle bemærkninger</w:t>
      </w:r>
    </w:p>
    <w:p w14:paraId="7FE1B7BA" w14:textId="77777777" w:rsidR="00960E01" w:rsidRDefault="00821CB5">
      <w:pPr>
        <w:pStyle w:val="P68B1DB1-InstructionsText26"/>
        <w:numPr>
          <w:ilvl w:val="0"/>
          <w:numId w:val="232"/>
        </w:numPr>
        <w:spacing w:before="0"/>
      </w:pPr>
      <w:r>
        <w:t>I disse skemaer gives der oplysninger om forpligtelser over for store modparter (Z 05.01) og ikke-balanceførte poster modtaget fra store modparter (Z 05.02). Hvad angår beløb tilhørende den samme modpart og den samme type forpligtelser eller ikke-balanceførte poster, indberettes disse samlet som aggregerede beløb.</w:t>
      </w:r>
    </w:p>
    <w:p w14:paraId="7FE1B7BB" w14:textId="77777777" w:rsidR="00960E01" w:rsidRDefault="00821CB5">
      <w:pPr>
        <w:pStyle w:val="P68B1DB1-InstructionsText26"/>
        <w:numPr>
          <w:ilvl w:val="0"/>
          <w:numId w:val="232"/>
        </w:numPr>
        <w:spacing w:before="0"/>
      </w:pPr>
      <w:r>
        <w:t>Forpligtelser og ikke-balanceførte poster, for hvilke modparten ikke kan identificeres, indberettes ikke i disse skemaer. Forpligtelser og ikke-balanceførte poster, for hvilke modparten er en enhed, der indgår i de konsoliderede regnskaber, indberettes ikke.</w:t>
      </w:r>
    </w:p>
    <w:p w14:paraId="7FE1B7BC" w14:textId="04BE316A" w:rsidR="00960E01" w:rsidRDefault="00960E01">
      <w:pPr>
        <w:pStyle w:val="InstructionsText2"/>
        <w:numPr>
          <w:ilvl w:val="0"/>
          <w:numId w:val="0"/>
        </w:numPr>
        <w:spacing w:before="0"/>
        <w:ind w:left="753" w:hanging="720"/>
        <w:rPr>
          <w:rFonts w:ascii="Times New Roman" w:hAnsi="Times New Roman" w:cs="Times New Roman"/>
          <w:sz w:val="20"/>
          <w:szCs w:val="20"/>
        </w:rPr>
      </w:pPr>
    </w:p>
    <w:p w14:paraId="7FE1B7BD" w14:textId="77777777" w:rsidR="00960E01" w:rsidRDefault="00821CB5">
      <w:pPr>
        <w:pStyle w:val="P68B1DB1-Instructionsberschrift25"/>
        <w:numPr>
          <w:ilvl w:val="1"/>
          <w:numId w:val="49"/>
        </w:numPr>
        <w:ind w:left="357" w:hanging="357"/>
      </w:pPr>
      <w:bookmarkStart w:id="69" w:name="_Toc208244558"/>
      <w:bookmarkStart w:id="70" w:name="_Toc81454184"/>
      <w:r>
        <w:t>Z 05.01 — Store modparter mht. forpligtelser (LIAB 5)</w:t>
      </w:r>
      <w:bookmarkEnd w:id="69"/>
    </w:p>
    <w:p w14:paraId="7FE1B7BE" w14:textId="0F7A6C34" w:rsidR="00960E01" w:rsidRDefault="00821CB5">
      <w:pPr>
        <w:pStyle w:val="P68B1DB1-body26"/>
      </w:pPr>
      <w:r>
        <w:t>Instrukser vedrørende specifikke positioner</w:t>
      </w:r>
      <w:bookmarkEnd w:id="70"/>
    </w:p>
    <w:p w14:paraId="7FE1B7BF" w14:textId="77777777" w:rsidR="00960E01" w:rsidRDefault="00821CB5">
      <w:pPr>
        <w:pStyle w:val="P68B1DB1-InstructionsText26"/>
        <w:numPr>
          <w:ilvl w:val="0"/>
          <w:numId w:val="232"/>
        </w:numPr>
        <w:spacing w:before="0"/>
      </w:pPr>
      <w:r>
        <w:t>Kombinationen af værdier, der indberettes i kolonne 0020 og 0060 i dette skema, udgør en primær nøgle, som skal være unik for hver enkelt række i skemaet.</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960E01"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960E01" w:rsidRDefault="00821CB5">
            <w:pPr>
              <w:pStyle w:val="P68B1DB1-TableParagraph13"/>
              <w:spacing w:before="66"/>
              <w:rPr>
                <w:rFonts w:eastAsia="Cambria"/>
              </w:rPr>
            </w:pPr>
            <w:r>
              <w:t>Kolonner</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960E01" w:rsidRDefault="00821CB5">
            <w:pPr>
              <w:pStyle w:val="P68B1DB1-TableParagraph13"/>
              <w:spacing w:before="66"/>
              <w:ind w:right="1"/>
              <w:jc w:val="center"/>
              <w:rPr>
                <w:rFonts w:eastAsia="Cambria"/>
              </w:rPr>
            </w:pPr>
            <w:r>
              <w:t>Instrukser</w:t>
            </w:r>
          </w:p>
        </w:tc>
      </w:tr>
      <w:tr w:rsidR="00960E01"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960E01" w:rsidRDefault="00821CB5">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960E01" w:rsidRDefault="00821CB5">
            <w:pPr>
              <w:pStyle w:val="P68B1DB1-TableParagraph14"/>
              <w:spacing w:before="108"/>
              <w:ind w:left="85"/>
              <w:jc w:val="both"/>
              <w:rPr>
                <w:bCs/>
              </w:rPr>
            </w:pPr>
            <w:r>
              <w:t>Modpart</w:t>
            </w:r>
          </w:p>
          <w:p w14:paraId="7FE1B7C5" w14:textId="77777777" w:rsidR="00960E01" w:rsidRDefault="00821CB5">
            <w:pPr>
              <w:pStyle w:val="P68B1DB1-TableParagraph17"/>
              <w:spacing w:before="108"/>
              <w:ind w:left="85"/>
              <w:jc w:val="both"/>
            </w:pPr>
            <w:r>
              <w:t xml:space="preserve">Oplysninger om den store modpart, i forhold til hvem forpligtelsen opstår </w:t>
            </w:r>
          </w:p>
          <w:p w14:paraId="7FE1B7C6" w14:textId="77777777" w:rsidR="00960E01" w:rsidRDefault="00821CB5">
            <w:pPr>
              <w:pStyle w:val="P68B1DB1-TableParagraph17"/>
              <w:spacing w:before="108"/>
              <w:ind w:left="85"/>
              <w:jc w:val="both"/>
            </w:pPr>
            <w:r>
              <w:t>Store modparter identificeres ved at sammenlægge de udestående beløb for alle forpligtelser for den enhed eller koncern, som skemaet indberettes for, over for hver enkelt modpart eller gruppe af indbyrdes forbundne kunder, ekskl. forpligtelser over for enheder, der indgår i de konsoliderede regnskaber.</w:t>
            </w:r>
          </w:p>
          <w:p w14:paraId="7FE1B7C7" w14:textId="77777777" w:rsidR="00960E01" w:rsidRDefault="00821CB5">
            <w:pPr>
              <w:pStyle w:val="P68B1DB1-TableParagraph17"/>
              <w:spacing w:before="108"/>
              <w:ind w:left="85"/>
              <w:jc w:val="both"/>
            </w:pPr>
            <w:r>
              <w:t>Derefter rangordnes de pågældende modparter og grupper af indbyrdes forbundne modparter efter samlet udestående beløb med henblik på at identificere de 10 største modparter, som der skal gives oplysninger om i dette skema.</w:t>
            </w:r>
          </w:p>
          <w:p w14:paraId="7FE1B7CB" w14:textId="1879B990" w:rsidR="00960E01" w:rsidRDefault="00821CB5">
            <w:pPr>
              <w:pStyle w:val="P68B1DB1-TableParagraph17"/>
              <w:spacing w:before="108"/>
              <w:ind w:left="85"/>
              <w:jc w:val="both"/>
              <w:rPr>
                <w:b/>
                <w:bCs/>
              </w:rPr>
            </w:pPr>
            <w:r>
              <w:lastRenderedPageBreak/>
              <w:t xml:space="preserve">Definitionen af "gruppe af indbyrdes forbundne modparter" er definitionen af "gruppe af indbyrdes forbundne kunder" i artikel 4, stk. 1, nr. 39), i forordning (EU) nr. 575/2013. </w:t>
            </w:r>
          </w:p>
        </w:tc>
      </w:tr>
      <w:tr w:rsidR="00960E01"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960E01" w:rsidRDefault="00821CB5">
            <w:pPr>
              <w:pStyle w:val="P68B1DB1-TableParagraph17"/>
              <w:spacing w:before="108"/>
              <w:ind w:left="85"/>
              <w:jc w:val="both"/>
            </w:pPr>
            <w:r>
              <w:lastRenderedPageBreak/>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960E01" w:rsidRDefault="00821CB5">
            <w:pPr>
              <w:pStyle w:val="P68B1DB1-TableParagraph14"/>
              <w:spacing w:before="108"/>
              <w:ind w:left="85"/>
              <w:jc w:val="both"/>
              <w:rPr>
                <w:bCs/>
              </w:rPr>
            </w:pPr>
            <w:r>
              <w:t>Enhedens navn</w:t>
            </w:r>
          </w:p>
          <w:p w14:paraId="7FE1B7CF" w14:textId="77777777" w:rsidR="00960E01" w:rsidRDefault="00821CB5">
            <w:pPr>
              <w:pStyle w:val="P68B1DB1-Normal18"/>
              <w:spacing w:before="108"/>
              <w:ind w:left="85"/>
              <w:jc w:val="both"/>
            </w:pPr>
            <w:r>
              <w:t>Navnet på den store modpart eller, hvis det er relevant, navnet på en gruppe af indbyrdes forbundne kunder.</w:t>
            </w:r>
          </w:p>
          <w:p w14:paraId="7FE1B7D0" w14:textId="77777777" w:rsidR="00960E01" w:rsidRDefault="00821CB5">
            <w:pPr>
              <w:pStyle w:val="P68B1DB1-TableParagraph17"/>
              <w:spacing w:before="108"/>
              <w:ind w:left="85"/>
              <w:jc w:val="both"/>
            </w:pPr>
            <w:r>
              <w:t>Navnet på en gruppe af indbyrdes forbundne kunder skal være navnet på moderselskabet eller, hvis gruppen af indbyrdes forbundne kunder ikke har et moderselskab, gruppens forretningsmæssige navn.</w:t>
            </w:r>
          </w:p>
        </w:tc>
      </w:tr>
      <w:tr w:rsidR="00960E01"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960E01" w:rsidRDefault="00821CB5">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4ED53604" w:rsidR="00960E01" w:rsidRDefault="00821CB5">
            <w:pPr>
              <w:pStyle w:val="P68B1DB1-TableParagraph14"/>
              <w:spacing w:before="108"/>
              <w:ind w:left="85"/>
              <w:jc w:val="both"/>
              <w:rPr>
                <w:bCs/>
              </w:rPr>
            </w:pPr>
            <w:r>
              <w:t>Kode</w:t>
            </w:r>
          </w:p>
          <w:p w14:paraId="188AB748" w14:textId="77777777" w:rsidR="00960E01" w:rsidRDefault="00821CB5">
            <w:pPr>
              <w:pStyle w:val="P68B1DB1-TableParagraph17"/>
              <w:spacing w:before="108"/>
            </w:pPr>
            <w:r>
              <w:t xml:space="preserve">Koden for den store modpart eller gruppen af indbyrdes forbundne kunder. </w:t>
            </w:r>
          </w:p>
          <w:p w14:paraId="0DD02B7A" w14:textId="4FE17D24" w:rsidR="00960E01" w:rsidRDefault="00821CB5">
            <w:pPr>
              <w:pStyle w:val="P68B1DB1-TableParagraph13"/>
              <w:spacing w:before="108"/>
              <w:rPr>
                <w:bCs/>
              </w:rPr>
            </w:pPr>
            <w:r>
              <w:t>For institutter med en identifikator for juridiske enheder (LEI), den 20-cifrede alfanumeriske LEI-kode</w:t>
            </w:r>
          </w:p>
          <w:p w14:paraId="7FE1B7D4" w14:textId="10D08A5A" w:rsidR="00960E01" w:rsidRDefault="00821CB5">
            <w:pPr>
              <w:pStyle w:val="P68B1DB1-TableParagraph13"/>
              <w:spacing w:before="108"/>
              <w:jc w:val="both"/>
              <w:rPr>
                <w:rFonts w:eastAsia="Cambria"/>
              </w:rPr>
            </w:pPr>
            <w:r>
              <w:t>Hvis de ikke foreligger, anvendes MFI-koden eller en kode i henhold til en ensartet kodifikation, der gælder i Unionen.</w:t>
            </w:r>
          </w:p>
          <w:p w14:paraId="7FE1B7D5" w14:textId="77777777" w:rsidR="00960E01" w:rsidRDefault="00821CB5">
            <w:pPr>
              <w:pStyle w:val="P68B1DB1-TableParagraph17"/>
              <w:spacing w:before="108"/>
              <w:ind w:left="85"/>
              <w:jc w:val="both"/>
            </w:pPr>
            <w:r>
              <w:t>Koden skal være unik og skal anvendes konsekvent i alle skemaerne.</w:t>
            </w:r>
          </w:p>
        </w:tc>
      </w:tr>
      <w:tr w:rsidR="00960E01"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960E01" w:rsidRDefault="00821CB5">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960E01" w:rsidRDefault="00821CB5">
            <w:pPr>
              <w:pStyle w:val="P68B1DB1-TableParagraph14"/>
              <w:spacing w:before="108"/>
              <w:ind w:left="85"/>
              <w:jc w:val="both"/>
              <w:rPr>
                <w:bCs/>
              </w:rPr>
            </w:pPr>
            <w:r>
              <w:t>Kodetype</w:t>
            </w:r>
          </w:p>
          <w:p w14:paraId="2BEBBD8E" w14:textId="55A001F3" w:rsidR="00960E01" w:rsidRDefault="00821CB5">
            <w:pPr>
              <w:pStyle w:val="P68B1DB1-TableParagraph13"/>
              <w:spacing w:before="108"/>
              <w:rPr>
                <w:bCs/>
              </w:rPr>
            </w:pPr>
            <w:r>
              <w:t>Vælges blandt følgende muligheder: "LEI-kode", "MFI-kode" eller "Identifikationstype, bortset fra LEI- eller MFI-kode".</w:t>
            </w:r>
          </w:p>
          <w:p w14:paraId="5CA49443" w14:textId="30D8A3AF" w:rsidR="00960E01" w:rsidRDefault="00821CB5">
            <w:pPr>
              <w:pStyle w:val="P68B1DB1-TableParagraph13"/>
              <w:spacing w:before="108" w:line="276" w:lineRule="auto"/>
              <w:ind w:left="85"/>
              <w:jc w:val="both"/>
              <w:rPr>
                <w:color w:val="000000"/>
              </w:rPr>
            </w:pPr>
            <w:r>
              <w:t>Identifikationen af enheder foretages på en ensartet måde på tværs af skemaerne.</w:t>
            </w:r>
          </w:p>
          <w:p w14:paraId="7FE1B7DA" w14:textId="4204707F" w:rsidR="00960E01" w:rsidRDefault="00960E01">
            <w:pPr>
              <w:pStyle w:val="TableParagraph"/>
              <w:spacing w:before="108"/>
              <w:rPr>
                <w:rFonts w:ascii="Times New Roman" w:hAnsi="Times New Roman" w:cs="Times New Roman"/>
                <w:color w:val="000000" w:themeColor="text1"/>
                <w:sz w:val="20"/>
                <w:szCs w:val="20"/>
              </w:rPr>
            </w:pPr>
          </w:p>
        </w:tc>
      </w:tr>
      <w:tr w:rsidR="00960E01"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960E01" w:rsidRDefault="00821CB5">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960E01" w:rsidRDefault="00821CB5">
            <w:pPr>
              <w:pStyle w:val="P68B1DB1-TableParagraph14"/>
              <w:spacing w:before="108"/>
              <w:ind w:left="85"/>
              <w:jc w:val="both"/>
              <w:rPr>
                <w:bCs/>
              </w:rPr>
            </w:pPr>
            <w:r>
              <w:t>Gruppe eller enkelt kunde</w:t>
            </w:r>
          </w:p>
          <w:p w14:paraId="4E4D0057" w14:textId="77777777" w:rsidR="00960E01" w:rsidRDefault="00821CB5">
            <w:pPr>
              <w:pStyle w:val="P68B1DB1-Normal18"/>
              <w:ind w:left="85"/>
            </w:pPr>
            <w:r>
              <w:t>Instituttet skal indberette:</w:t>
            </w:r>
          </w:p>
          <w:p w14:paraId="0242F822" w14:textId="5242FFA2" w:rsidR="00960E01" w:rsidRDefault="00821CB5">
            <w:pPr>
              <w:pStyle w:val="P68B1DB1-ListParagraph25"/>
              <w:numPr>
                <w:ilvl w:val="0"/>
                <w:numId w:val="297"/>
              </w:numPr>
            </w:pPr>
            <w:r>
              <w:t>Individuelle modparter</w:t>
            </w:r>
          </w:p>
          <w:p w14:paraId="7FE1B7DE" w14:textId="6F55D54C" w:rsidR="00960E01" w:rsidRDefault="00821CB5">
            <w:pPr>
              <w:pStyle w:val="P68B1DB1-ListParagraph25"/>
              <w:numPr>
                <w:ilvl w:val="0"/>
                <w:numId w:val="297"/>
              </w:numPr>
            </w:pPr>
            <w:r>
              <w:t>Grupper af indbyrdes forbundne kunder.</w:t>
            </w:r>
          </w:p>
        </w:tc>
      </w:tr>
      <w:tr w:rsidR="00960E01"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960E01" w:rsidRDefault="00821CB5">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960E01" w:rsidRDefault="00821CB5">
            <w:pPr>
              <w:pStyle w:val="P68B1DB1-TableParagraph14"/>
              <w:spacing w:before="108"/>
              <w:ind w:left="85"/>
              <w:jc w:val="both"/>
              <w:rPr>
                <w:bCs/>
              </w:rPr>
            </w:pPr>
            <w:r>
              <w:t>Land</w:t>
            </w:r>
          </w:p>
          <w:p w14:paraId="7FE1B7E2" w14:textId="77777777" w:rsidR="00960E01" w:rsidRDefault="00821CB5">
            <w:pPr>
              <w:pStyle w:val="P68B1DB1-Normal18"/>
              <w:spacing w:before="108"/>
              <w:ind w:left="85"/>
              <w:contextualSpacing/>
              <w:jc w:val="both"/>
            </w:pPr>
            <w:r>
              <w:t xml:space="preserve">Tobogstavskoden efter ISO 3166-1-standarden for det land, hvor modparten har sit hjemsted. Dette omfatter pseudo-ISO-koder for internationale organisationer, som findes i den seneste udgave af Eurostats "Balance of Payments Vademecum". </w:t>
            </w:r>
          </w:p>
          <w:p w14:paraId="7FE1B7E3" w14:textId="77777777" w:rsidR="00960E01" w:rsidRDefault="00821CB5">
            <w:pPr>
              <w:pStyle w:val="P68B1DB1-TableParagraph17"/>
              <w:spacing w:before="108"/>
              <w:ind w:left="85"/>
              <w:jc w:val="both"/>
            </w:pPr>
            <w:r>
              <w:t xml:space="preserve">Landet bestemmes vha. henvisning til modpartens vedtægtsmæssige hjemsted. For grupper af indbyrdes forbundne kunder det land, hvor moderselskabet har sit hjemsted. </w:t>
            </w:r>
          </w:p>
        </w:tc>
      </w:tr>
      <w:tr w:rsidR="00960E01"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960E01" w:rsidRDefault="00821CB5">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960E01" w:rsidRDefault="00821CB5">
            <w:pPr>
              <w:pStyle w:val="P68B1DB1-TableParagraph14"/>
              <w:spacing w:before="108"/>
              <w:ind w:left="85"/>
              <w:jc w:val="both"/>
              <w:rPr>
                <w:bCs/>
              </w:rPr>
            </w:pPr>
            <w:r>
              <w:t>Sektor</w:t>
            </w:r>
          </w:p>
          <w:p w14:paraId="7FE1B7E7" w14:textId="77777777" w:rsidR="00960E01" w:rsidRDefault="00821CB5">
            <w:pPr>
              <w:pStyle w:val="P68B1DB1-TableParagraph17"/>
              <w:spacing w:before="108"/>
              <w:ind w:left="85"/>
              <w:jc w:val="both"/>
            </w:pPr>
            <w:r>
              <w:t>Der skal tildeles én sektor til hver modpart på grundlag af FINREP's økonomiske sektorklasser (FINREP, bilag V, del 1, kapitel 6):</w:t>
            </w:r>
          </w:p>
          <w:p w14:paraId="7FE1B7E8" w14:textId="77777777" w:rsidR="00960E01" w:rsidRDefault="00821CB5">
            <w:pPr>
              <w:pStyle w:val="P68B1DB1-List127"/>
              <w:numPr>
                <w:ilvl w:val="0"/>
                <w:numId w:val="64"/>
              </w:numPr>
            </w:pPr>
            <w:r>
              <w:t>Centralbanker</w:t>
            </w:r>
          </w:p>
          <w:p w14:paraId="7FE1B7E9" w14:textId="77777777" w:rsidR="00960E01" w:rsidRDefault="00821CB5">
            <w:pPr>
              <w:pStyle w:val="P68B1DB1-List127"/>
              <w:numPr>
                <w:ilvl w:val="0"/>
                <w:numId w:val="64"/>
              </w:numPr>
            </w:pPr>
            <w:r>
              <w:t>Offentlig forvaltning og service</w:t>
            </w:r>
          </w:p>
          <w:p w14:paraId="7FE1B7EA" w14:textId="77777777" w:rsidR="00960E01" w:rsidRDefault="00821CB5">
            <w:pPr>
              <w:pStyle w:val="P68B1DB1-List127"/>
              <w:numPr>
                <w:ilvl w:val="0"/>
                <w:numId w:val="64"/>
              </w:numPr>
            </w:pPr>
            <w:r>
              <w:t xml:space="preserve">Kreditinstitutter: </w:t>
            </w:r>
          </w:p>
          <w:p w14:paraId="7FE1B7EB" w14:textId="77777777" w:rsidR="00960E01" w:rsidRDefault="00821CB5">
            <w:pPr>
              <w:pStyle w:val="P68B1DB1-List127"/>
              <w:numPr>
                <w:ilvl w:val="0"/>
                <w:numId w:val="64"/>
              </w:numPr>
            </w:pPr>
            <w:r>
              <w:t>Andre finansielle selskaber</w:t>
            </w:r>
          </w:p>
          <w:p w14:paraId="7FE1B7EC" w14:textId="77777777" w:rsidR="00960E01" w:rsidRDefault="00821CB5">
            <w:pPr>
              <w:pStyle w:val="P68B1DB1-List127"/>
              <w:numPr>
                <w:ilvl w:val="0"/>
                <w:numId w:val="64"/>
              </w:numPr>
            </w:pPr>
            <w:r>
              <w:t>Ikkefinansielle selskaber</w:t>
            </w:r>
          </w:p>
          <w:p w14:paraId="7FE1B7ED" w14:textId="77777777" w:rsidR="00960E01" w:rsidRDefault="00821CB5">
            <w:pPr>
              <w:pStyle w:val="P68B1DB1-List127"/>
              <w:numPr>
                <w:ilvl w:val="0"/>
                <w:numId w:val="64"/>
              </w:numPr>
            </w:pPr>
            <w:r>
              <w:t>Husholdninger</w:t>
            </w:r>
          </w:p>
          <w:p w14:paraId="7FE1B7EE" w14:textId="77777777" w:rsidR="00960E01" w:rsidRDefault="00821CB5">
            <w:pPr>
              <w:pStyle w:val="P68B1DB1-TableParagraph17"/>
              <w:spacing w:before="108"/>
              <w:ind w:left="85"/>
              <w:jc w:val="both"/>
            </w:pPr>
            <w:r>
              <w:t>For grupper af indbyrdes forbundne kunder indberettes ingen sektor.</w:t>
            </w:r>
          </w:p>
        </w:tc>
      </w:tr>
      <w:tr w:rsidR="00960E01"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960E01" w:rsidRDefault="00821CB5">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960E01" w:rsidRDefault="00821CB5">
            <w:pPr>
              <w:pStyle w:val="P68B1DB1-TableParagraph14"/>
              <w:spacing w:before="108"/>
              <w:ind w:left="85"/>
              <w:jc w:val="both"/>
              <w:rPr>
                <w:bCs/>
              </w:rPr>
            </w:pPr>
            <w:r>
              <w:t>Art</w:t>
            </w:r>
          </w:p>
          <w:p w14:paraId="7FE1B7F2" w14:textId="43CE2DD3" w:rsidR="00960E01" w:rsidRDefault="00821CB5">
            <w:pPr>
              <w:pStyle w:val="P68B1DB1-Normal18"/>
              <w:spacing w:before="108"/>
              <w:ind w:left="85"/>
              <w:jc w:val="both"/>
            </w:pPr>
            <w:r>
              <w:lastRenderedPageBreak/>
              <w:t>Forpligtelsestypen skal være en af de typer forpligtelser, der er anført i skema Z 02.00 — Udspecificering af forpligtelser (LIAB 1), nemlig:</w:t>
            </w:r>
          </w:p>
          <w:p w14:paraId="7FE1B7F3" w14:textId="4AE4B095" w:rsidR="00960E01" w:rsidRDefault="00821CB5">
            <w:pPr>
              <w:pStyle w:val="P68B1DB1-ListParagraph25"/>
              <w:numPr>
                <w:ilvl w:val="0"/>
                <w:numId w:val="298"/>
              </w:numPr>
              <w:spacing w:before="108"/>
              <w:jc w:val="both"/>
            </w:pPr>
            <w:r>
              <w:t>Forpligtelser, der er udelukket fra bail-in</w:t>
            </w:r>
          </w:p>
          <w:p w14:paraId="7FE1B7F4" w14:textId="4257143A" w:rsidR="00960E01" w:rsidRDefault="00821CB5">
            <w:pPr>
              <w:pStyle w:val="P68B1DB1-ListParagraph25"/>
              <w:numPr>
                <w:ilvl w:val="0"/>
                <w:numId w:val="298"/>
              </w:numPr>
              <w:spacing w:before="108"/>
              <w:jc w:val="both"/>
            </w:pPr>
            <w:r>
              <w:t>Indskud, udækkede, men foranstillede</w:t>
            </w:r>
          </w:p>
          <w:p w14:paraId="7FE1B7F5" w14:textId="21AFD595" w:rsidR="00960E01" w:rsidRDefault="00821CB5">
            <w:pPr>
              <w:pStyle w:val="P68B1DB1-ListParagraph25"/>
              <w:numPr>
                <w:ilvl w:val="0"/>
                <w:numId w:val="298"/>
              </w:numPr>
              <w:spacing w:before="108"/>
              <w:jc w:val="both"/>
            </w:pPr>
            <w:r>
              <w:t>Indskud, udækkede og ikke foranstillede</w:t>
            </w:r>
          </w:p>
          <w:p w14:paraId="7FE1B7F6" w14:textId="71A166CE" w:rsidR="00960E01" w:rsidRDefault="00821CB5">
            <w:pPr>
              <w:pStyle w:val="P68B1DB1-ListParagraph25"/>
              <w:numPr>
                <w:ilvl w:val="0"/>
                <w:numId w:val="298"/>
              </w:numPr>
              <w:spacing w:before="108"/>
              <w:jc w:val="both"/>
            </w:pPr>
            <w:r>
              <w:t>Forpligtelser hidrørende fra derivater</w:t>
            </w:r>
          </w:p>
          <w:p w14:paraId="7FE1B7F7" w14:textId="57F1D715" w:rsidR="00960E01" w:rsidRDefault="00821CB5">
            <w:pPr>
              <w:pStyle w:val="P68B1DB1-ListParagraph25"/>
              <w:numPr>
                <w:ilvl w:val="0"/>
                <w:numId w:val="298"/>
              </w:numPr>
              <w:spacing w:before="108"/>
              <w:jc w:val="both"/>
            </w:pPr>
            <w:r>
              <w:t>Sikrede passiver, for hvilke der ikke er stillet sikkerhed</w:t>
            </w:r>
          </w:p>
          <w:p w14:paraId="7FE1B7F8" w14:textId="73D53058" w:rsidR="00960E01" w:rsidRDefault="00821CB5">
            <w:pPr>
              <w:pStyle w:val="P68B1DB1-ListParagraph25"/>
              <w:numPr>
                <w:ilvl w:val="0"/>
                <w:numId w:val="298"/>
              </w:numPr>
              <w:spacing w:before="108"/>
              <w:jc w:val="both"/>
            </w:pPr>
            <w:r>
              <w:t>Strukturerede værdipapirer</w:t>
            </w:r>
          </w:p>
          <w:p w14:paraId="7FE1B7F9" w14:textId="54AC9980" w:rsidR="00960E01" w:rsidRDefault="00821CB5">
            <w:pPr>
              <w:pStyle w:val="P68B1DB1-ListParagraph25"/>
              <w:numPr>
                <w:ilvl w:val="0"/>
                <w:numId w:val="298"/>
              </w:numPr>
              <w:spacing w:before="108"/>
              <w:jc w:val="both"/>
            </w:pPr>
            <w:r>
              <w:t>Usikret seniorgæld</w:t>
            </w:r>
          </w:p>
          <w:p w14:paraId="7FE1B7FA" w14:textId="7C89B550" w:rsidR="00960E01" w:rsidRDefault="00821CB5">
            <w:pPr>
              <w:pStyle w:val="P68B1DB1-ListParagraph25"/>
              <w:numPr>
                <w:ilvl w:val="0"/>
                <w:numId w:val="298"/>
              </w:numPr>
              <w:spacing w:before="108"/>
              <w:jc w:val="both"/>
            </w:pPr>
            <w:r>
              <w:t>Ikke-foranstillet seniorgæld</w:t>
            </w:r>
          </w:p>
          <w:p w14:paraId="7FE1B7FB" w14:textId="49FDBAE5" w:rsidR="00960E01" w:rsidRDefault="00821CB5">
            <w:pPr>
              <w:pStyle w:val="P68B1DB1-ListParagraph25"/>
              <w:numPr>
                <w:ilvl w:val="0"/>
                <w:numId w:val="298"/>
              </w:numPr>
              <w:spacing w:before="108"/>
              <w:jc w:val="both"/>
            </w:pPr>
            <w:r>
              <w:t>Efterstillede forpligtelser (der ikke indgår i kapitalgrundlaget)</w:t>
            </w:r>
          </w:p>
          <w:p w14:paraId="7FE1B7FC" w14:textId="25F7AE59" w:rsidR="00960E01" w:rsidRDefault="00821CB5">
            <w:pPr>
              <w:pStyle w:val="P68B1DB1-ListParagraph25"/>
              <w:numPr>
                <w:ilvl w:val="0"/>
                <w:numId w:val="298"/>
              </w:numPr>
              <w:spacing w:before="108"/>
              <w:jc w:val="both"/>
            </w:pPr>
            <w:r>
              <w:t>Andre MREL-nedskrivningsrelevante passiver</w:t>
            </w:r>
          </w:p>
          <w:p w14:paraId="7FE1B7FD" w14:textId="29E846ED" w:rsidR="00960E01" w:rsidRDefault="00821CB5">
            <w:pPr>
              <w:pStyle w:val="P68B1DB1-ListParagraph25"/>
              <w:numPr>
                <w:ilvl w:val="0"/>
                <w:numId w:val="298"/>
              </w:numPr>
              <w:spacing w:before="108"/>
              <w:jc w:val="both"/>
            </w:pPr>
            <w:r>
              <w:t>Ikke-finansielle forpligtelser</w:t>
            </w:r>
          </w:p>
          <w:p w14:paraId="7FE1B7FE" w14:textId="4EF5CD96" w:rsidR="00960E01" w:rsidRDefault="00821CB5">
            <w:pPr>
              <w:pStyle w:val="P68B1DB1-ListParagraph25"/>
              <w:numPr>
                <w:ilvl w:val="0"/>
                <w:numId w:val="298"/>
              </w:numPr>
              <w:spacing w:before="108"/>
              <w:jc w:val="both"/>
            </w:pPr>
            <w:r>
              <w:t>Resterende forpligtelser</w:t>
            </w:r>
          </w:p>
          <w:p w14:paraId="7FE1B7FF" w14:textId="77777777" w:rsidR="00960E01" w:rsidRDefault="00821CB5">
            <w:pPr>
              <w:pStyle w:val="P68B1DB1-TableParagraph17"/>
              <w:spacing w:before="108"/>
              <w:ind w:left="85"/>
              <w:jc w:val="both"/>
            </w:pPr>
            <w:r>
              <w:t>Hvis forpligtelserne over for en stor modpart består af mere end én af ovennævnte typer, skal hver enkelt type forpligtelse indberettes i en separat række.</w:t>
            </w:r>
          </w:p>
        </w:tc>
      </w:tr>
      <w:tr w:rsidR="00960E01"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960E01" w:rsidRDefault="00821CB5">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960E01" w:rsidRDefault="00821CB5">
            <w:pPr>
              <w:pStyle w:val="P68B1DB1-TableParagraph14"/>
              <w:spacing w:before="108"/>
              <w:ind w:left="85"/>
              <w:jc w:val="both"/>
              <w:rPr>
                <w:bCs/>
              </w:rPr>
            </w:pPr>
            <w:r>
              <w:t>Beløb</w:t>
            </w:r>
          </w:p>
          <w:p w14:paraId="7FE1B803" w14:textId="46DCC504" w:rsidR="00960E01" w:rsidRDefault="00821CB5">
            <w:pPr>
              <w:pStyle w:val="P68B1DB1-TableParagraph17"/>
              <w:spacing w:before="108"/>
              <w:ind w:left="85"/>
              <w:jc w:val="both"/>
            </w:pPr>
            <w:r>
              <w:t>Beløbet skal være i overensstemmelse med definitionen på et "udestående beløb" som foreskrevet i skema Z 02.00 — Udspecificering af forpligtelser. Beløbet skal være i overensstemmelse med definitionen på et "udestående beløb" som foreskrevet i skema Z 02.00 — Udspecificering af forpligtelser. For forpligtelser hidrørende fra derivater indberettes "close-out amounts" som defineret for række 0333 i skema Z 02.00.</w:t>
            </w:r>
          </w:p>
        </w:tc>
      </w:tr>
    </w:tbl>
    <w:p w14:paraId="7FE1B805" w14:textId="77777777" w:rsidR="00960E01" w:rsidRDefault="00960E01">
      <w:pPr>
        <w:pStyle w:val="body"/>
        <w:rPr>
          <w:rFonts w:ascii="Times New Roman" w:hAnsi="Times New Roman" w:cs="Times New Roman"/>
          <w:color w:val="000000" w:themeColor="text1"/>
          <w:sz w:val="20"/>
          <w:szCs w:val="20"/>
        </w:rPr>
      </w:pPr>
    </w:p>
    <w:p w14:paraId="7FE1B806" w14:textId="1E7EF5E9" w:rsidR="00960E01" w:rsidRDefault="00821CB5">
      <w:pPr>
        <w:pStyle w:val="P68B1DB1-Instructionsberschrift25"/>
        <w:numPr>
          <w:ilvl w:val="1"/>
          <w:numId w:val="49"/>
        </w:numPr>
        <w:ind w:left="357" w:hanging="357"/>
      </w:pPr>
      <w:bookmarkStart w:id="71" w:name="_Toc208244559"/>
      <w:bookmarkStart w:id="72" w:name="_Toc81454185"/>
      <w:r>
        <w:t>Z 05.02 — Store ikke-balanceførte modparter (LIAB 6)</w:t>
      </w:r>
      <w:bookmarkEnd w:id="71"/>
    </w:p>
    <w:p w14:paraId="7FE1B807" w14:textId="77777777" w:rsidR="00960E01" w:rsidRDefault="00821CB5">
      <w:pPr>
        <w:pStyle w:val="P68B1DB1-body26"/>
      </w:pPr>
      <w:r>
        <w:t>Instrukser vedrørende specifikke positioner</w:t>
      </w:r>
      <w:bookmarkEnd w:id="72"/>
    </w:p>
    <w:p w14:paraId="7FE1B808" w14:textId="77777777" w:rsidR="00960E01" w:rsidRDefault="00821CB5">
      <w:pPr>
        <w:pStyle w:val="P68B1DB1-InstructionsText26"/>
        <w:numPr>
          <w:ilvl w:val="0"/>
          <w:numId w:val="232"/>
        </w:numPr>
        <w:spacing w:before="0"/>
      </w:pPr>
      <w:r>
        <w:t>Kombinationen af værdier, der indberettes i kolonne 0020 og 0060 i dette skema, udgør en primær nøgle, som skal være unik for hver enkelt række i skemaet.</w:t>
      </w:r>
    </w:p>
    <w:tbl>
      <w:tblPr>
        <w:tblW w:w="0" w:type="auto"/>
        <w:tblCellMar>
          <w:top w:w="57" w:type="dxa"/>
          <w:left w:w="57" w:type="dxa"/>
          <w:bottom w:w="57" w:type="dxa"/>
          <w:right w:w="0" w:type="dxa"/>
        </w:tblCellMar>
        <w:tblLook w:val="01E0" w:firstRow="1" w:lastRow="1" w:firstColumn="1" w:lastColumn="1" w:noHBand="0" w:noVBand="0"/>
      </w:tblPr>
      <w:tblGrid>
        <w:gridCol w:w="909"/>
        <w:gridCol w:w="8117"/>
      </w:tblGrid>
      <w:tr w:rsidR="00960E01"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960E01" w:rsidRDefault="00821CB5">
            <w:pPr>
              <w:pStyle w:val="P68B1DB1-TableParagraph17"/>
              <w:spacing w:before="108"/>
              <w:ind w:left="85"/>
              <w:jc w:val="both"/>
            </w:pPr>
            <w:r>
              <w:t>Kolonner</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960E01" w:rsidRDefault="00821CB5">
            <w:pPr>
              <w:pStyle w:val="P68B1DB1-TableParagraph17"/>
              <w:spacing w:before="108"/>
              <w:ind w:left="85" w:right="1"/>
              <w:jc w:val="both"/>
            </w:pPr>
            <w:r>
              <w:t>Instrukser</w:t>
            </w:r>
          </w:p>
        </w:tc>
      </w:tr>
      <w:tr w:rsidR="00960E01"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960E01" w:rsidRDefault="00821CB5">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960E01" w:rsidRDefault="00821CB5">
            <w:pPr>
              <w:pStyle w:val="P68B1DB1-TableParagraph14"/>
              <w:spacing w:before="108"/>
              <w:ind w:left="85"/>
              <w:jc w:val="both"/>
              <w:rPr>
                <w:bCs/>
              </w:rPr>
            </w:pPr>
            <w:r>
              <w:t>Modpart</w:t>
            </w:r>
          </w:p>
          <w:p w14:paraId="7FE1B80E" w14:textId="77777777" w:rsidR="00960E01" w:rsidRDefault="00821CB5">
            <w:pPr>
              <w:pStyle w:val="P68B1DB1-TableParagraph17"/>
              <w:spacing w:before="108"/>
              <w:ind w:left="85"/>
              <w:jc w:val="both"/>
            </w:pPr>
            <w:r>
              <w:t>Oplysninger om store ikke-balanceførte modparter</w:t>
            </w:r>
          </w:p>
          <w:p w14:paraId="7FE1B80F" w14:textId="77777777" w:rsidR="00960E01" w:rsidRDefault="00821CB5">
            <w:pPr>
              <w:pStyle w:val="P68B1DB1-TableParagraph17"/>
              <w:spacing w:before="108"/>
              <w:ind w:left="85"/>
              <w:jc w:val="both"/>
            </w:pPr>
            <w:r>
              <w:t>Store ikke-balanceførte modparter identificeres ved at sammenlægge den samlede nominelle værdi af forpligtelser og finansielle garantier (som defineret for FINREP, skema F 09) modtaget af den enhed eller de koncernenheder, som skemaet indberettes for, fra modparter eller en gruppe af indbyrdes forbundne kunder. Store ikke-balanceførte modparter må ikke omfatte enheder, der indgår i koncernens konsoliderede regnskaber. Derefter rangordnes de pågældende modparter og grupper af indbyrdes forbundne kunder efter samlet beløb med henblik på at identificere de 10 største ikke-balanceførte modparter, som der skal gives oplysninger om i dette skema.</w:t>
            </w:r>
          </w:p>
          <w:p w14:paraId="7FE1B810" w14:textId="0F5F36E1" w:rsidR="00960E01" w:rsidRDefault="00821CB5">
            <w:pPr>
              <w:pStyle w:val="P68B1DB1-Normal18"/>
              <w:spacing w:line="257" w:lineRule="auto"/>
              <w:ind w:left="25"/>
              <w:jc w:val="both"/>
            </w:pPr>
            <w:r>
              <w:t>Derivater må ikke indgå i den ovenfor beskrevne top 10-rangorden: indberet en særskilt liste over de 5 største ikkebalanceførte derivatmodparter her for at undgå, at Z 05.02-rapporten kun indeholder derivatbalancer.</w:t>
            </w:r>
          </w:p>
          <w:p w14:paraId="7FE1B812" w14:textId="5E923404" w:rsidR="00960E01" w:rsidRDefault="00960E01">
            <w:pPr>
              <w:pStyle w:val="TableParagraph"/>
              <w:spacing w:before="108"/>
              <w:jc w:val="both"/>
              <w:rPr>
                <w:rFonts w:ascii="Times New Roman" w:eastAsia="Cambria" w:hAnsi="Times New Roman" w:cs="Times New Roman"/>
                <w:color w:val="000000" w:themeColor="text1"/>
                <w:sz w:val="20"/>
                <w:szCs w:val="20"/>
              </w:rPr>
            </w:pPr>
          </w:p>
        </w:tc>
      </w:tr>
      <w:tr w:rsidR="00960E01"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960E01" w:rsidRDefault="00821CB5">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960E01" w:rsidRDefault="00821CB5">
            <w:pPr>
              <w:pStyle w:val="P68B1DB1-TableParagraph14"/>
              <w:spacing w:before="108"/>
              <w:ind w:left="85"/>
              <w:jc w:val="both"/>
              <w:rPr>
                <w:bCs/>
              </w:rPr>
            </w:pPr>
            <w:r>
              <w:t>Enhedens navn</w:t>
            </w:r>
          </w:p>
          <w:p w14:paraId="7FE1B816" w14:textId="77777777" w:rsidR="00960E01" w:rsidRDefault="00821CB5">
            <w:pPr>
              <w:pStyle w:val="P68B1DB1-Normal18"/>
              <w:spacing w:before="108"/>
              <w:ind w:left="85"/>
              <w:jc w:val="both"/>
            </w:pPr>
            <w:r>
              <w:t>Navnet på den store modpart eller, hvis det er relevant, navnet på en gruppe af indbyrdes forbundne kunder.</w:t>
            </w:r>
          </w:p>
          <w:p w14:paraId="7FE1B817" w14:textId="29E2618F" w:rsidR="00960E01" w:rsidRDefault="00821CB5">
            <w:pPr>
              <w:pStyle w:val="P68B1DB1-TableParagraph17"/>
              <w:spacing w:before="108"/>
              <w:ind w:left="85"/>
              <w:jc w:val="both"/>
            </w:pPr>
            <w:r>
              <w:t>Navnet på en gruppe af indbyrdes forbundne kunder skal være navnet på moderselskabet eller, hvis gruppen af indbyrdes forbundne kunder ikke har et moderselskab, gruppens forretningsmæssige navn.</w:t>
            </w:r>
          </w:p>
        </w:tc>
      </w:tr>
      <w:tr w:rsidR="00960E01"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960E01" w:rsidRDefault="00821CB5">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64860BAC" w:rsidR="00960E01" w:rsidRDefault="00821CB5">
            <w:pPr>
              <w:pStyle w:val="P68B1DB1-TableParagraph14"/>
              <w:spacing w:before="108"/>
              <w:ind w:left="85"/>
              <w:jc w:val="both"/>
              <w:rPr>
                <w:bCs/>
              </w:rPr>
            </w:pPr>
            <w:r>
              <w:t>Kode</w:t>
            </w:r>
          </w:p>
          <w:p w14:paraId="7FE1B81B" w14:textId="77777777" w:rsidR="00960E01" w:rsidRDefault="00821CB5">
            <w:pPr>
              <w:pStyle w:val="P68B1DB1-TableParagraph17"/>
              <w:spacing w:before="108"/>
              <w:ind w:left="85"/>
              <w:jc w:val="both"/>
            </w:pPr>
            <w:r>
              <w:t>Koden for den store modpart eller gruppen af indbyrdes forbundne kunder. For institutter er koden den 20-cifrede, alfanumeriske LEI-kode. For andre enheder er koden den 20-cifrede, alfanumeriske LEI-kode eller, hvis denne ikke foreligger, en kode fastsat i henhold til ensartet kodificering i Unionen eller, hvis en sådan ikke foreligger, en national kode.</w:t>
            </w:r>
          </w:p>
          <w:p w14:paraId="7FE1B81C" w14:textId="6CC57833" w:rsidR="00960E01" w:rsidRDefault="00821CB5">
            <w:pPr>
              <w:pStyle w:val="P68B1DB1-TableParagraph17"/>
              <w:spacing w:before="108"/>
              <w:ind w:left="85"/>
              <w:jc w:val="both"/>
            </w:pPr>
            <w:r>
              <w:t>Koden skal være unik og skal anvendes konsekvent i alle skemaerne.</w:t>
            </w:r>
          </w:p>
        </w:tc>
      </w:tr>
      <w:tr w:rsidR="00960E01"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960E01" w:rsidRDefault="00821CB5">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960E01" w:rsidRDefault="00821CB5">
            <w:pPr>
              <w:pStyle w:val="P68B1DB1-TableParagraph14"/>
              <w:spacing w:before="108"/>
              <w:ind w:left="85"/>
              <w:jc w:val="both"/>
              <w:rPr>
                <w:bCs/>
              </w:rPr>
            </w:pPr>
            <w:r>
              <w:t>Kodetype</w:t>
            </w:r>
          </w:p>
          <w:p w14:paraId="7FE1B821" w14:textId="6020ACA4" w:rsidR="00960E01" w:rsidRDefault="00821CB5">
            <w:pPr>
              <w:pStyle w:val="P68B1DB1-TableParagraph13"/>
              <w:spacing w:before="108"/>
            </w:pPr>
            <w:r>
              <w:t>Vælges blandt følgende muligheder: "LEI-kode", "MFI-kode" eller "Identifikationstype, bortset fra LEI- eller MFI-kode".</w:t>
            </w:r>
          </w:p>
          <w:p w14:paraId="7FE1B822" w14:textId="77777777" w:rsidR="00960E01" w:rsidRDefault="00821CB5">
            <w:pPr>
              <w:pStyle w:val="P68B1DB1-TableParagraph13"/>
              <w:spacing w:before="108"/>
              <w:ind w:left="85"/>
              <w:jc w:val="both"/>
              <w:rPr>
                <w:b/>
                <w:bCs/>
              </w:rPr>
            </w:pPr>
            <w:r>
              <w:t>Identifikationen af enheder foretages på en ensartet måde på tværs af skemaerne.</w:t>
            </w:r>
          </w:p>
        </w:tc>
      </w:tr>
      <w:tr w:rsidR="00960E01"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960E01" w:rsidRDefault="00821CB5">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960E01" w:rsidRDefault="00821CB5">
            <w:pPr>
              <w:pStyle w:val="P68B1DB1-TableParagraph14"/>
              <w:spacing w:before="108"/>
              <w:ind w:left="85"/>
              <w:jc w:val="both"/>
              <w:rPr>
                <w:bCs/>
              </w:rPr>
            </w:pPr>
            <w:r>
              <w:t>Gruppe eller enkelt kunde</w:t>
            </w:r>
          </w:p>
          <w:p w14:paraId="2E0A09DE" w14:textId="77777777" w:rsidR="00960E01" w:rsidRDefault="00821CB5">
            <w:pPr>
              <w:pStyle w:val="P68B1DB1-Normal18"/>
              <w:ind w:left="85"/>
            </w:pPr>
            <w:r>
              <w:t>Instituttet skal indberette:</w:t>
            </w:r>
          </w:p>
          <w:p w14:paraId="52295733" w14:textId="77777777" w:rsidR="00960E01" w:rsidRDefault="00821CB5">
            <w:pPr>
              <w:pStyle w:val="P68B1DB1-ListParagraph25"/>
              <w:numPr>
                <w:ilvl w:val="0"/>
                <w:numId w:val="297"/>
              </w:numPr>
            </w:pPr>
            <w:r>
              <w:t>Individuelle modparter</w:t>
            </w:r>
          </w:p>
          <w:p w14:paraId="7FE1B826" w14:textId="76B98F2C" w:rsidR="00960E01" w:rsidRDefault="00821CB5">
            <w:pPr>
              <w:pStyle w:val="P68B1DB1-TableParagraph17"/>
              <w:numPr>
                <w:ilvl w:val="0"/>
                <w:numId w:val="297"/>
              </w:numPr>
              <w:spacing w:before="108"/>
              <w:jc w:val="both"/>
            </w:pPr>
            <w:r>
              <w:t>Grupper af indbyrdes forbundne kunder.</w:t>
            </w:r>
          </w:p>
        </w:tc>
      </w:tr>
      <w:tr w:rsidR="00960E01"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960E01" w:rsidRDefault="00821CB5">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960E01" w:rsidRDefault="00821CB5">
            <w:pPr>
              <w:pStyle w:val="P68B1DB1-TableParagraph14"/>
              <w:spacing w:before="108"/>
              <w:ind w:left="85"/>
              <w:jc w:val="both"/>
              <w:rPr>
                <w:bCs/>
              </w:rPr>
            </w:pPr>
            <w:r>
              <w:t>Land</w:t>
            </w:r>
          </w:p>
          <w:p w14:paraId="7FE1B82A" w14:textId="77777777" w:rsidR="00960E01" w:rsidRDefault="00821CB5">
            <w:pPr>
              <w:pStyle w:val="P68B1DB1-Normal18"/>
              <w:spacing w:before="108"/>
              <w:ind w:left="85"/>
              <w:contextualSpacing/>
              <w:jc w:val="both"/>
            </w:pPr>
            <w:r>
              <w:t xml:space="preserve">Tobogstavskoden efter ISO 3166-1-standarden for det land, hvor modparten har sit hjemsted. Dette omfatter pseudo-ISO-koder for internationale organisationer, som findes i den seneste udgave af Eurostats "Balance of Payments Vademecum". </w:t>
            </w:r>
          </w:p>
          <w:p w14:paraId="7FE1B82B" w14:textId="47B683FE" w:rsidR="00960E01" w:rsidRDefault="00821CB5">
            <w:pPr>
              <w:pStyle w:val="P68B1DB1-TableParagraph17"/>
              <w:spacing w:before="108"/>
              <w:ind w:left="85"/>
              <w:jc w:val="both"/>
            </w:pPr>
            <w:r>
              <w:t>Landet bestemmes vha. henvisning til modpartens vedtægtsmæssige hjemsted. For grupper af indbyrdes forbundne kunder det land, hvor moderselskabet har sit hjemsted.</w:t>
            </w:r>
          </w:p>
        </w:tc>
      </w:tr>
      <w:tr w:rsidR="00960E01"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960E01" w:rsidRDefault="00821CB5">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960E01" w:rsidRDefault="00821CB5">
            <w:pPr>
              <w:pStyle w:val="P68B1DB1-TableParagraph14"/>
              <w:spacing w:before="108"/>
              <w:ind w:left="85"/>
              <w:jc w:val="both"/>
              <w:rPr>
                <w:bCs/>
              </w:rPr>
            </w:pPr>
            <w:r>
              <w:t>Sektor</w:t>
            </w:r>
          </w:p>
          <w:p w14:paraId="7FE1B82F" w14:textId="77777777" w:rsidR="00960E01" w:rsidRDefault="00821CB5">
            <w:pPr>
              <w:pStyle w:val="P68B1DB1-TableParagraph17"/>
              <w:spacing w:before="108"/>
              <w:ind w:left="85"/>
              <w:jc w:val="both"/>
            </w:pPr>
            <w:r>
              <w:t>Der skal tildeles én sektor til hver modpart på grundlag af FINREP's økonomiske sektorklasser (FINREP, bilag V, del 1, kapitel 6):</w:t>
            </w:r>
          </w:p>
          <w:p w14:paraId="7FE1B830" w14:textId="77777777" w:rsidR="00960E01" w:rsidRDefault="00821CB5">
            <w:pPr>
              <w:pStyle w:val="P68B1DB1-List127"/>
              <w:numPr>
                <w:ilvl w:val="0"/>
                <w:numId w:val="64"/>
              </w:numPr>
            </w:pPr>
            <w:r>
              <w:t>Centralbanker</w:t>
            </w:r>
          </w:p>
          <w:p w14:paraId="7FE1B831" w14:textId="77777777" w:rsidR="00960E01" w:rsidRDefault="00821CB5">
            <w:pPr>
              <w:pStyle w:val="P68B1DB1-List127"/>
              <w:numPr>
                <w:ilvl w:val="0"/>
                <w:numId w:val="64"/>
              </w:numPr>
            </w:pPr>
            <w:r>
              <w:t>Offentlig forvaltning og service</w:t>
            </w:r>
          </w:p>
          <w:p w14:paraId="7FE1B832" w14:textId="77777777" w:rsidR="00960E01" w:rsidRDefault="00821CB5">
            <w:pPr>
              <w:pStyle w:val="P68B1DB1-List127"/>
              <w:numPr>
                <w:ilvl w:val="0"/>
                <w:numId w:val="64"/>
              </w:numPr>
            </w:pPr>
            <w:r>
              <w:t xml:space="preserve">Kreditinstitutter: </w:t>
            </w:r>
          </w:p>
          <w:p w14:paraId="7FE1B833" w14:textId="77777777" w:rsidR="00960E01" w:rsidRDefault="00821CB5">
            <w:pPr>
              <w:pStyle w:val="P68B1DB1-List127"/>
              <w:numPr>
                <w:ilvl w:val="0"/>
                <w:numId w:val="64"/>
              </w:numPr>
            </w:pPr>
            <w:r>
              <w:t>Andre finansielle selskaber</w:t>
            </w:r>
          </w:p>
          <w:p w14:paraId="7FE1B834" w14:textId="77777777" w:rsidR="00960E01" w:rsidRDefault="00821CB5">
            <w:pPr>
              <w:pStyle w:val="P68B1DB1-List127"/>
              <w:numPr>
                <w:ilvl w:val="0"/>
                <w:numId w:val="64"/>
              </w:numPr>
            </w:pPr>
            <w:r>
              <w:t>Ikkefinansielle selskaber</w:t>
            </w:r>
          </w:p>
          <w:p w14:paraId="7FE1B835" w14:textId="77777777" w:rsidR="00960E01" w:rsidRDefault="00821CB5">
            <w:pPr>
              <w:pStyle w:val="P68B1DB1-List127"/>
              <w:numPr>
                <w:ilvl w:val="0"/>
                <w:numId w:val="64"/>
              </w:numPr>
            </w:pPr>
            <w:r>
              <w:t>Husholdninger</w:t>
            </w:r>
          </w:p>
          <w:p w14:paraId="7FE1B836" w14:textId="3FF28E9A" w:rsidR="00960E01" w:rsidRDefault="00821CB5">
            <w:pPr>
              <w:pStyle w:val="P68B1DB1-TableParagraph17"/>
              <w:spacing w:before="108"/>
              <w:ind w:left="85"/>
              <w:jc w:val="both"/>
            </w:pPr>
            <w:r>
              <w:t>For grupper af indbyrdes forbundne kunder indberettes ingen sektor.</w:t>
            </w:r>
          </w:p>
        </w:tc>
      </w:tr>
      <w:tr w:rsidR="00960E01"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960E01" w:rsidRDefault="00821CB5">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960E01" w:rsidRDefault="00821CB5">
            <w:pPr>
              <w:pStyle w:val="P68B1DB1-TableParagraph14"/>
              <w:spacing w:before="108"/>
              <w:ind w:left="85"/>
              <w:jc w:val="both"/>
              <w:rPr>
                <w:bCs/>
              </w:rPr>
            </w:pPr>
            <w:r>
              <w:t>Art</w:t>
            </w:r>
          </w:p>
          <w:p w14:paraId="7FE1B83A" w14:textId="77777777" w:rsidR="00960E01" w:rsidRDefault="00821CB5">
            <w:pPr>
              <w:pStyle w:val="P68B1DB1-TableParagraph17"/>
              <w:spacing w:before="108"/>
              <w:ind w:left="85"/>
              <w:jc w:val="both"/>
            </w:pPr>
            <w:r>
              <w:t>Typen af ikke-balanceført eksponering angives som en af følgende som defineret i FINREP, skema F 09.02:</w:t>
            </w:r>
          </w:p>
          <w:p w14:paraId="7FE1B83B" w14:textId="57556FED" w:rsidR="00960E01" w:rsidRDefault="00821CB5">
            <w:pPr>
              <w:pStyle w:val="P68B1DB1-TableParagraph17"/>
              <w:numPr>
                <w:ilvl w:val="0"/>
                <w:numId w:val="299"/>
              </w:numPr>
              <w:spacing w:before="108"/>
              <w:jc w:val="both"/>
            </w:pPr>
            <w:r>
              <w:t>Modtagne låneforpligtelser</w:t>
            </w:r>
          </w:p>
          <w:p w14:paraId="7FE1B83C" w14:textId="03B3C9F7" w:rsidR="00960E01" w:rsidRDefault="00821CB5">
            <w:pPr>
              <w:pStyle w:val="P68B1DB1-TableParagraph17"/>
              <w:numPr>
                <w:ilvl w:val="0"/>
                <w:numId w:val="299"/>
              </w:numPr>
              <w:spacing w:before="108"/>
              <w:jc w:val="both"/>
            </w:pPr>
            <w:r>
              <w:t>Modtagne finansielle garantier</w:t>
            </w:r>
          </w:p>
          <w:p w14:paraId="7FE1B83D" w14:textId="2357CDAB" w:rsidR="00960E01" w:rsidRDefault="00821CB5">
            <w:pPr>
              <w:pStyle w:val="P68B1DB1-TableParagraph17"/>
              <w:numPr>
                <w:ilvl w:val="0"/>
                <w:numId w:val="299"/>
              </w:numPr>
              <w:spacing w:before="108"/>
              <w:jc w:val="both"/>
            </w:pPr>
            <w:r>
              <w:lastRenderedPageBreak/>
              <w:t>Andre modtagne forpligtelser</w:t>
            </w:r>
          </w:p>
          <w:p w14:paraId="7FE1B83E" w14:textId="7A79D0CA" w:rsidR="00960E01" w:rsidRDefault="00821CB5">
            <w:pPr>
              <w:pStyle w:val="P68B1DB1-TableParagraph17"/>
              <w:numPr>
                <w:ilvl w:val="0"/>
                <w:numId w:val="299"/>
              </w:numPr>
              <w:spacing w:before="108"/>
              <w:jc w:val="both"/>
            </w:pPr>
            <w:r>
              <w:t>Derivater</w:t>
            </w:r>
          </w:p>
          <w:p w14:paraId="7FE1B83F" w14:textId="77777777" w:rsidR="00960E01" w:rsidRDefault="00821CB5">
            <w:pPr>
              <w:pStyle w:val="P68B1DB1-TableParagraph17"/>
              <w:spacing w:before="108"/>
              <w:ind w:left="85"/>
              <w:jc w:val="both"/>
            </w:pPr>
            <w:r>
              <w:t>Hvis de ikke-balanceførte poster, der er modtaget fra en stor modpart, består af mere end én af ovennævnte typer, skal hver enkelt type ikke-balanceført post indberettes i en separat række.</w:t>
            </w:r>
          </w:p>
        </w:tc>
      </w:tr>
      <w:tr w:rsidR="00960E01"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960E01" w:rsidRDefault="00821CB5">
            <w:pPr>
              <w:pStyle w:val="P68B1DB1-TableParagraph17"/>
              <w:spacing w:before="108"/>
              <w:ind w:left="85"/>
              <w:jc w:val="both"/>
            </w:pPr>
            <w:r>
              <w:lastRenderedPageBreak/>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960E01" w:rsidRDefault="00821CB5">
            <w:pPr>
              <w:pStyle w:val="P68B1DB1-TableParagraph14"/>
              <w:spacing w:before="108"/>
              <w:ind w:left="85"/>
              <w:jc w:val="both"/>
              <w:rPr>
                <w:bCs/>
              </w:rPr>
            </w:pPr>
            <w:r>
              <w:t xml:space="preserve">Beløb </w:t>
            </w:r>
          </w:p>
          <w:p w14:paraId="7FE1B843" w14:textId="7853FDD0" w:rsidR="00960E01" w:rsidRDefault="00821CB5">
            <w:pPr>
              <w:pStyle w:val="P68B1DB1-TableParagraph17"/>
              <w:spacing w:before="108"/>
              <w:ind w:left="85"/>
              <w:jc w:val="both"/>
              <w:rPr>
                <w:bCs/>
              </w:rPr>
            </w:pPr>
            <w:r>
              <w:t>Beløbet skal svare til definitionen af et "udestående beløb" som foreskrevet i FINREP F 09.02. Beløbet skal være i overensstemmelse med definitionen på et "udestående beløb" som foreskrevet i skema Z 02.00 — Udspecificering af forpligtelser. For forpligtelser hidrørende fra derivater indberettes "close-out amounts" som defineret for række 0333 i skema Z 02.00.</w:t>
            </w:r>
          </w:p>
        </w:tc>
      </w:tr>
    </w:tbl>
    <w:p w14:paraId="7FE1B845" w14:textId="77777777" w:rsidR="00960E01" w:rsidRDefault="00960E01">
      <w:pPr>
        <w:rPr>
          <w:rFonts w:ascii="Times New Roman" w:hAnsi="Times New Roman" w:cs="Times New Roman"/>
          <w:color w:val="000000" w:themeColor="text1"/>
          <w:sz w:val="20"/>
          <w:szCs w:val="20"/>
        </w:rPr>
      </w:pPr>
    </w:p>
    <w:p w14:paraId="7FE1B846" w14:textId="77777777" w:rsidR="00960E01" w:rsidRDefault="00960E01">
      <w:pPr>
        <w:rPr>
          <w:rFonts w:ascii="Times New Roman" w:eastAsia="MS Mincho" w:hAnsi="Times New Roman" w:cs="Times New Roman"/>
          <w:color w:val="000000" w:themeColor="text1"/>
          <w:sz w:val="20"/>
          <w:szCs w:val="20"/>
        </w:rPr>
      </w:pPr>
    </w:p>
    <w:p w14:paraId="7FE1B849" w14:textId="664E1390" w:rsidR="00960E01" w:rsidRDefault="00821CB5">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56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Indskydergarantiordning (DIS)</w:t>
      </w:r>
      <w:bookmarkEnd w:id="95"/>
      <w:bookmarkEnd w:id="96"/>
      <w:bookmarkEnd w:id="97"/>
      <w:bookmarkEnd w:id="98"/>
      <w:bookmarkEnd w:id="99"/>
    </w:p>
    <w:p w14:paraId="7FE1B84A" w14:textId="77777777" w:rsidR="00960E01" w:rsidRDefault="00821CB5">
      <w:pPr>
        <w:pStyle w:val="Instructionsberschrift3"/>
      </w:pPr>
      <w:r>
        <w:t>Generelle bemærkninger</w:t>
      </w:r>
    </w:p>
    <w:p w14:paraId="7FE1B84B" w14:textId="77777777" w:rsidR="00960E01" w:rsidRDefault="00821CB5">
      <w:pPr>
        <w:pStyle w:val="P68B1DB1-InstructionsText26"/>
        <w:numPr>
          <w:ilvl w:val="0"/>
          <w:numId w:val="71"/>
        </w:numPr>
        <w:spacing w:before="0"/>
        <w:ind w:left="714" w:hanging="357"/>
      </w:pPr>
      <w:r>
        <w:t>Dette skema giver et overblik over indskudsforsikring inden for en koncern og de indskudsgarantiordninger, som kreditinstitutter, der er relevante juridiske enheder, er medlem af.</w:t>
      </w:r>
    </w:p>
    <w:p w14:paraId="7FE1B84C" w14:textId="77777777" w:rsidR="00960E01" w:rsidRDefault="00821CB5">
      <w:pPr>
        <w:pStyle w:val="P68B1DB1-InstructionsText26"/>
        <w:numPr>
          <w:ilvl w:val="0"/>
          <w:numId w:val="71"/>
        </w:numPr>
        <w:spacing w:before="0"/>
        <w:ind w:left="714" w:hanging="357"/>
      </w:pPr>
      <w:r>
        <w:t>Hvert enkelt kreditinstitut, der tilhører koncernen, skal indberettes i en separat række.</w:t>
      </w:r>
    </w:p>
    <w:p w14:paraId="7FE1B84D" w14:textId="77777777" w:rsidR="00960E01" w:rsidRDefault="00821CB5">
      <w:pPr>
        <w:pStyle w:val="Instructionsberschrift3"/>
        <w:numPr>
          <w:ilvl w:val="0"/>
          <w:numId w:val="0"/>
        </w:numPr>
        <w:ind w:left="720"/>
      </w:pPr>
      <w:r>
        <w:t>Instrukser vedrørende specifikke positioner</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60E01"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960E01" w:rsidRDefault="00821CB5">
            <w:pPr>
              <w:pStyle w:val="P68B1DB1-TableParagraph17"/>
              <w:spacing w:before="108"/>
              <w:ind w:left="85"/>
              <w:jc w:val="both"/>
            </w:pPr>
            <w:r>
              <w:t>Kolonner</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960E01" w:rsidRDefault="00821CB5">
            <w:pPr>
              <w:pStyle w:val="P68B1DB1-TableParagraph17"/>
              <w:spacing w:before="108"/>
              <w:ind w:left="85" w:right="1"/>
              <w:jc w:val="both"/>
            </w:pPr>
            <w:r>
              <w:t>Instrukser</w:t>
            </w:r>
          </w:p>
        </w:tc>
      </w:tr>
      <w:tr w:rsidR="00960E01"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960E01" w:rsidRDefault="00821CB5">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960E01" w:rsidRDefault="00821CB5">
            <w:pPr>
              <w:pStyle w:val="P68B1DB1-TableParagraph14"/>
              <w:spacing w:before="108"/>
              <w:ind w:left="85"/>
              <w:jc w:val="both"/>
              <w:rPr>
                <w:rFonts w:eastAsia="Cambria"/>
              </w:rPr>
            </w:pPr>
            <w:r>
              <w:t>Juridisk enhed</w:t>
            </w:r>
          </w:p>
        </w:tc>
      </w:tr>
      <w:tr w:rsidR="00960E01"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960E01" w:rsidRDefault="00821CB5">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960E01" w:rsidRDefault="00821CB5">
            <w:pPr>
              <w:pStyle w:val="P68B1DB1-TableParagraph14"/>
              <w:spacing w:before="108"/>
              <w:ind w:left="85"/>
              <w:jc w:val="both"/>
              <w:rPr>
                <w:bCs/>
              </w:rPr>
            </w:pPr>
            <w:r>
              <w:t>Enhedens navn</w:t>
            </w:r>
          </w:p>
          <w:p w14:paraId="7FE1B856" w14:textId="16A1B5FB" w:rsidR="00960E01" w:rsidRDefault="00821CB5">
            <w:pPr>
              <w:pStyle w:val="P68B1DB1-TableParagraph17"/>
              <w:spacing w:before="108"/>
              <w:ind w:left="85"/>
              <w:jc w:val="both"/>
            </w:pPr>
            <w:r>
              <w:t xml:space="preserve">Enhedens navn som indberettet i Z 01.01 — Juridiske enheder (ORG 1). </w:t>
            </w:r>
          </w:p>
        </w:tc>
      </w:tr>
      <w:tr w:rsidR="00960E01"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960E01" w:rsidRDefault="00821CB5">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057AA59F" w:rsidR="00960E01" w:rsidRDefault="00821CB5">
            <w:pPr>
              <w:pStyle w:val="P68B1DB1-TableParagraph14"/>
              <w:spacing w:before="108"/>
              <w:ind w:left="85"/>
              <w:jc w:val="both"/>
              <w:rPr>
                <w:bCs/>
              </w:rPr>
            </w:pPr>
            <w:r>
              <w:t xml:space="preserve">Kode </w:t>
            </w:r>
          </w:p>
          <w:p w14:paraId="7FE1B85A" w14:textId="532EB445" w:rsidR="00960E01" w:rsidRDefault="00821CB5">
            <w:pPr>
              <w:pStyle w:val="P68B1DB1-TableParagraph17"/>
              <w:spacing w:before="108"/>
              <w:ind w:left="85"/>
              <w:jc w:val="both"/>
            </w:pPr>
            <w:r>
              <w:t>Enhedens kode som indberettet i Z 01.01 — Juridiske enheder (ORG 1).</w:t>
            </w:r>
          </w:p>
          <w:p w14:paraId="7FE1B85B" w14:textId="77777777" w:rsidR="00960E01" w:rsidRDefault="00821CB5">
            <w:pPr>
              <w:pStyle w:val="P68B1DB1-TableParagraph17"/>
              <w:spacing w:before="108"/>
              <w:ind w:left="85"/>
              <w:jc w:val="both"/>
            </w:pPr>
            <w:r>
              <w:t>Dette er en rækkeidentifikator, som skal være unik for hver enkelt række i skemaet.</w:t>
            </w:r>
          </w:p>
        </w:tc>
      </w:tr>
      <w:tr w:rsidR="00960E01"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960E01" w:rsidRDefault="00821CB5">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960E01" w:rsidRDefault="00821CB5">
            <w:pPr>
              <w:pStyle w:val="P68B1DB1-TableParagraph14"/>
              <w:spacing w:before="108"/>
              <w:ind w:left="85"/>
              <w:jc w:val="both"/>
              <w:rPr>
                <w:bCs/>
              </w:rPr>
            </w:pPr>
            <w:r>
              <w:t>Medlemskab af indskudsgarantiordning</w:t>
            </w:r>
          </w:p>
        </w:tc>
      </w:tr>
      <w:tr w:rsidR="00960E01"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960E01" w:rsidRDefault="00821CB5">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960E01" w:rsidRDefault="00821CB5">
            <w:pPr>
              <w:pStyle w:val="P68B1DB1-TableParagraph14"/>
              <w:spacing w:before="108"/>
              <w:ind w:left="85"/>
              <w:jc w:val="both"/>
              <w:rPr>
                <w:bCs/>
              </w:rPr>
            </w:pPr>
            <w:r>
              <w:t>SQI</w:t>
            </w:r>
          </w:p>
          <w:p w14:paraId="7FE1B862" w14:textId="41C69940" w:rsidR="00960E01" w:rsidRDefault="00821CB5">
            <w:pPr>
              <w:pStyle w:val="P68B1DB1-TableParagraph17"/>
              <w:spacing w:before="108"/>
              <w:ind w:left="85"/>
              <w:jc w:val="both"/>
            </w:pPr>
            <w:r>
              <w:t>Artikel 4, stk. 3, i direktiv 2014/49/EU</w:t>
            </w:r>
          </w:p>
          <w:p w14:paraId="7FE1B863" w14:textId="77777777" w:rsidR="00960E01" w:rsidRDefault="00821CB5">
            <w:pPr>
              <w:pStyle w:val="P68B1DB1-TableParagraph17"/>
              <w:spacing w:before="108"/>
              <w:ind w:left="85"/>
              <w:jc w:val="both"/>
            </w:pPr>
            <w:r>
              <w:t>Navnet på den officielt anerkendte indskudsgarantiordning, som enheden er medlem af i medfør af direktiv 2014/49/EU. Dette skal være indskudsgarantiordningen i den medlemsstat, hvor enheden har sit hjemsted, uden at medtage andre indskudsgarantiordninger som — i andre medlemsstater — kunne give supplerende beskyttelse ("top up") til enhedens kunder i en filial i den pågældende medlemsstat. Hvis et institut er medlem af en institutsikringsordning, der også er officielt anerkendt som en indskudsgarantiordning i henhold til artikel 4, stk. 2, i direktiv 2014/49/EU, skal navnet på indskudsgarantiordningen være identisk med navnet på institutsikringsordningen i række 050.</w:t>
            </w:r>
          </w:p>
          <w:p w14:paraId="7FE1B864" w14:textId="77777777" w:rsidR="00960E01" w:rsidRDefault="00821CB5">
            <w:pPr>
              <w:pStyle w:val="P68B1DB1-TableParagraph17"/>
              <w:spacing w:before="108"/>
              <w:ind w:left="85"/>
              <w:jc w:val="both"/>
            </w:pPr>
            <w:r>
              <w:t>Indskudsgarantiordningen skal vælges for hvert land, hvor enheden har hjemsted, blandt følgende:</w:t>
            </w:r>
          </w:p>
          <w:p w14:paraId="7FE1B865" w14:textId="77777777" w:rsidR="00960E01" w:rsidRDefault="00821CB5">
            <w:pPr>
              <w:pStyle w:val="P68B1DB1-TableParagraph28"/>
              <w:spacing w:before="108"/>
              <w:ind w:left="85"/>
              <w:jc w:val="both"/>
            </w:pPr>
            <w:r>
              <w:t>For Østrig</w:t>
            </w:r>
          </w:p>
          <w:p w14:paraId="7FE1B866" w14:textId="7AF21273" w:rsidR="00960E01" w:rsidRPr="001B654F" w:rsidRDefault="00821CB5">
            <w:pPr>
              <w:pStyle w:val="P68B1DB1-TableParagraph17"/>
              <w:numPr>
                <w:ilvl w:val="0"/>
                <w:numId w:val="70"/>
              </w:numPr>
              <w:spacing w:before="108"/>
              <w:jc w:val="both"/>
            </w:pPr>
            <w:r w:rsidRPr="001B654F">
              <w:t xml:space="preserve">"Einlatoricherung ØSTRIA Ges.m.b.H." </w:t>
            </w:r>
          </w:p>
          <w:p w14:paraId="7FE1B867" w14:textId="77777777" w:rsidR="00960E01" w:rsidRDefault="00821CB5">
            <w:pPr>
              <w:pStyle w:val="P68B1DB1-TableParagraph17"/>
              <w:numPr>
                <w:ilvl w:val="0"/>
                <w:numId w:val="70"/>
              </w:numPr>
              <w:spacing w:before="108"/>
              <w:jc w:val="both"/>
            </w:pPr>
            <w:r>
              <w:lastRenderedPageBreak/>
              <w:t>"Sparkassen-Haftungs GmbH"</w:t>
            </w:r>
          </w:p>
          <w:p w14:paraId="7FE1B868" w14:textId="77777777" w:rsidR="00960E01" w:rsidRDefault="00821CB5">
            <w:pPr>
              <w:pStyle w:val="P68B1DB1-TableParagraph17"/>
              <w:numPr>
                <w:ilvl w:val="0"/>
                <w:numId w:val="70"/>
              </w:numPr>
              <w:spacing w:before="108"/>
              <w:jc w:val="both"/>
            </w:pPr>
            <w:r>
              <w:t>"Österreichische Raiffeisen-Sicherungseinrichtung eGen"</w:t>
            </w:r>
          </w:p>
          <w:p w14:paraId="7FE1B869" w14:textId="77777777" w:rsidR="00960E01" w:rsidRDefault="00821CB5">
            <w:pPr>
              <w:pStyle w:val="P68B1DB1-TableParagraph28"/>
              <w:spacing w:before="108"/>
              <w:ind w:left="85"/>
              <w:jc w:val="both"/>
            </w:pPr>
            <w:r>
              <w:t>Belgien</w:t>
            </w:r>
          </w:p>
          <w:p w14:paraId="7FE1B86A" w14:textId="77777777" w:rsidR="00960E01" w:rsidRDefault="00821CB5">
            <w:pPr>
              <w:pStyle w:val="P68B1DB1-TableParagraph17"/>
              <w:numPr>
                <w:ilvl w:val="0"/>
                <w:numId w:val="70"/>
              </w:numPr>
              <w:spacing w:before="108"/>
              <w:jc w:val="both"/>
            </w:pPr>
            <w:r>
              <w:t>"Garantiefonds voor financiële diensten/Fonds de garantie pour les services financiers"</w:t>
            </w:r>
          </w:p>
          <w:p w14:paraId="7FE1B86B" w14:textId="77777777" w:rsidR="00960E01" w:rsidRDefault="00821CB5">
            <w:pPr>
              <w:pStyle w:val="P68B1DB1-TableParagraph28"/>
              <w:spacing w:before="108"/>
              <w:ind w:left="85"/>
              <w:jc w:val="both"/>
            </w:pPr>
            <w:r>
              <w:t>Bulgarien</w:t>
            </w:r>
          </w:p>
          <w:p w14:paraId="7FE1B86C" w14:textId="33BABCB1" w:rsidR="00960E01" w:rsidRDefault="00821CB5">
            <w:pPr>
              <w:pStyle w:val="P68B1DB1-TableParagraph17"/>
              <w:numPr>
                <w:ilvl w:val="0"/>
                <w:numId w:val="70"/>
              </w:numPr>
              <w:spacing w:before="108"/>
              <w:jc w:val="both"/>
            </w:pPr>
            <w:r>
              <w:t>"Фонд за гарантиране на влоговете в банките"</w:t>
            </w:r>
          </w:p>
          <w:p w14:paraId="7FE1B86D" w14:textId="77777777" w:rsidR="00960E01" w:rsidRDefault="00821CB5">
            <w:pPr>
              <w:pStyle w:val="P68B1DB1-TableParagraph28"/>
              <w:spacing w:before="108"/>
              <w:ind w:left="85"/>
              <w:jc w:val="both"/>
            </w:pPr>
            <w:r>
              <w:t>Kroatien</w:t>
            </w:r>
          </w:p>
          <w:p w14:paraId="7FE1B86E" w14:textId="77777777" w:rsidR="00960E01" w:rsidRPr="001B654F" w:rsidRDefault="00821CB5">
            <w:pPr>
              <w:pStyle w:val="P68B1DB1-TableParagraph17"/>
              <w:numPr>
                <w:ilvl w:val="0"/>
                <w:numId w:val="70"/>
              </w:numPr>
              <w:spacing w:before="108"/>
              <w:jc w:val="both"/>
            </w:pPr>
            <w:r w:rsidRPr="001B654F">
              <w:t>"Hrvatska agencija za osiguranje depozita"</w:t>
            </w:r>
          </w:p>
          <w:p w14:paraId="7FE1B86F" w14:textId="77777777" w:rsidR="00960E01" w:rsidRDefault="00821CB5">
            <w:pPr>
              <w:pStyle w:val="P68B1DB1-TableParagraph28"/>
              <w:spacing w:before="108"/>
              <w:ind w:left="85"/>
              <w:jc w:val="both"/>
            </w:pPr>
            <w:r>
              <w:t>Cypern</w:t>
            </w:r>
          </w:p>
          <w:p w14:paraId="7FE1B870" w14:textId="77777777" w:rsidR="00960E01" w:rsidRDefault="00821CB5">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960E01" w:rsidRDefault="00821CB5">
            <w:pPr>
              <w:pStyle w:val="P68B1DB1-TableParagraph28"/>
              <w:spacing w:before="108"/>
              <w:ind w:left="85"/>
              <w:jc w:val="both"/>
            </w:pPr>
            <w:r>
              <w:t>Tjekkisk</w:t>
            </w:r>
          </w:p>
          <w:p w14:paraId="7FE1B872" w14:textId="77777777" w:rsidR="00960E01" w:rsidRDefault="00821CB5">
            <w:pPr>
              <w:pStyle w:val="P68B1DB1-TableParagraph17"/>
              <w:numPr>
                <w:ilvl w:val="0"/>
                <w:numId w:val="70"/>
              </w:numPr>
              <w:spacing w:before="108"/>
              <w:jc w:val="both"/>
            </w:pPr>
            <w:r>
              <w:t>"Garanční systém finančního trhu"</w:t>
            </w:r>
          </w:p>
          <w:p w14:paraId="7FE1B873" w14:textId="77777777" w:rsidR="00960E01" w:rsidRDefault="00821CB5">
            <w:pPr>
              <w:pStyle w:val="P68B1DB1-TableParagraph28"/>
              <w:spacing w:before="108"/>
              <w:ind w:left="85"/>
              <w:jc w:val="both"/>
            </w:pPr>
            <w:r>
              <w:t>Danmark</w:t>
            </w:r>
          </w:p>
          <w:p w14:paraId="7FE1B874" w14:textId="77777777" w:rsidR="00960E01" w:rsidRDefault="00821CB5">
            <w:pPr>
              <w:pStyle w:val="P68B1DB1-TableParagraph17"/>
              <w:numPr>
                <w:ilvl w:val="0"/>
                <w:numId w:val="70"/>
              </w:numPr>
              <w:spacing w:before="108"/>
              <w:jc w:val="both"/>
            </w:pPr>
            <w:r>
              <w:t>"Garantiformuen"</w:t>
            </w:r>
          </w:p>
          <w:p w14:paraId="7FE1B875" w14:textId="77777777" w:rsidR="00960E01" w:rsidRDefault="00821CB5">
            <w:pPr>
              <w:pStyle w:val="P68B1DB1-TableParagraph28"/>
              <w:spacing w:before="108"/>
              <w:ind w:left="85"/>
              <w:jc w:val="both"/>
            </w:pPr>
            <w:r>
              <w:t xml:space="preserve">Estland </w:t>
            </w:r>
          </w:p>
          <w:p w14:paraId="7FE1B876" w14:textId="77777777" w:rsidR="00960E01" w:rsidRDefault="00821CB5">
            <w:pPr>
              <w:pStyle w:val="P68B1DB1-TableParagraph17"/>
              <w:numPr>
                <w:ilvl w:val="0"/>
                <w:numId w:val="70"/>
              </w:numPr>
              <w:spacing w:before="108"/>
              <w:jc w:val="both"/>
            </w:pPr>
            <w:r>
              <w:t>"Tagastisfond"</w:t>
            </w:r>
          </w:p>
          <w:p w14:paraId="7FE1B877" w14:textId="77777777" w:rsidR="00960E01" w:rsidRDefault="00821CB5">
            <w:pPr>
              <w:pStyle w:val="P68B1DB1-TableParagraph28"/>
              <w:spacing w:before="108"/>
              <w:ind w:left="85"/>
              <w:jc w:val="both"/>
            </w:pPr>
            <w:r>
              <w:t xml:space="preserve">Finland </w:t>
            </w:r>
          </w:p>
          <w:p w14:paraId="7FE1B878" w14:textId="77777777" w:rsidR="00960E01" w:rsidRDefault="00821CB5">
            <w:pPr>
              <w:pStyle w:val="P68B1DB1-TableParagraph17"/>
              <w:numPr>
                <w:ilvl w:val="0"/>
                <w:numId w:val="70"/>
              </w:numPr>
              <w:spacing w:before="108"/>
              <w:jc w:val="both"/>
            </w:pPr>
            <w:r>
              <w:t>"Talletussuojarahasto"</w:t>
            </w:r>
          </w:p>
          <w:p w14:paraId="7FE1B879" w14:textId="77777777" w:rsidR="00960E01" w:rsidRDefault="00821CB5">
            <w:pPr>
              <w:pStyle w:val="P68B1DB1-TableParagraph28"/>
              <w:spacing w:before="108"/>
              <w:ind w:left="85"/>
              <w:jc w:val="both"/>
            </w:pPr>
            <w:r>
              <w:t>Frankrig</w:t>
            </w:r>
          </w:p>
          <w:p w14:paraId="7FE1B87A" w14:textId="77777777" w:rsidR="00960E01" w:rsidRDefault="00821CB5">
            <w:pPr>
              <w:pStyle w:val="P68B1DB1-TableParagraph17"/>
              <w:numPr>
                <w:ilvl w:val="0"/>
                <w:numId w:val="70"/>
              </w:numPr>
              <w:spacing w:before="108"/>
              <w:jc w:val="both"/>
            </w:pPr>
            <w:r>
              <w:t>"Fonds de Garantie des Dépôts et de Résolution"</w:t>
            </w:r>
          </w:p>
          <w:p w14:paraId="7FE1B87B" w14:textId="77777777" w:rsidR="00960E01" w:rsidRDefault="00821CB5">
            <w:pPr>
              <w:pStyle w:val="P68B1DB1-TableParagraph28"/>
              <w:spacing w:before="108"/>
              <w:ind w:left="85"/>
              <w:jc w:val="both"/>
            </w:pPr>
            <w:r>
              <w:t xml:space="preserve">Tyskland </w:t>
            </w:r>
          </w:p>
          <w:p w14:paraId="7FE1B87C" w14:textId="77777777" w:rsidR="00960E01" w:rsidRDefault="00821CB5">
            <w:pPr>
              <w:pStyle w:val="P68B1DB1-TableParagraph17"/>
              <w:numPr>
                <w:ilvl w:val="0"/>
                <w:numId w:val="70"/>
              </w:numPr>
              <w:spacing w:before="108"/>
              <w:jc w:val="both"/>
            </w:pPr>
            <w:r>
              <w:t>"Entschädigungseinrichtung deutscher Banken GmbH"</w:t>
            </w:r>
          </w:p>
          <w:p w14:paraId="7FE1B87D" w14:textId="77777777" w:rsidR="00960E01" w:rsidRDefault="00821CB5">
            <w:pPr>
              <w:pStyle w:val="P68B1DB1-TableParagraph17"/>
              <w:numPr>
                <w:ilvl w:val="0"/>
                <w:numId w:val="70"/>
              </w:numPr>
              <w:spacing w:before="108"/>
              <w:jc w:val="both"/>
            </w:pPr>
            <w:r>
              <w:t>"Entschädigungseinrichtung des Bundesverbandes Öffentlicher Banken Deutschlands GmbH"</w:t>
            </w:r>
          </w:p>
          <w:p w14:paraId="7FE1B87E" w14:textId="77777777" w:rsidR="00960E01" w:rsidRDefault="00821CB5">
            <w:pPr>
              <w:pStyle w:val="P68B1DB1-TableParagraph17"/>
              <w:numPr>
                <w:ilvl w:val="0"/>
                <w:numId w:val="70"/>
              </w:numPr>
              <w:spacing w:before="108"/>
              <w:jc w:val="both"/>
            </w:pPr>
            <w:r>
              <w:t>"Sicherungseinrichtung des Deutschen Sparkassen- und Giroverbandes (DSGV-Haftungsverbund)"</w:t>
            </w:r>
          </w:p>
          <w:p w14:paraId="7FE1B87F" w14:textId="77777777" w:rsidR="00960E01" w:rsidRDefault="00821CB5">
            <w:pPr>
              <w:pStyle w:val="P68B1DB1-TableParagraph17"/>
              <w:numPr>
                <w:ilvl w:val="0"/>
                <w:numId w:val="70"/>
              </w:numPr>
              <w:spacing w:before="108"/>
              <w:jc w:val="both"/>
            </w:pPr>
            <w:r>
              <w:t>"BVR Institutssicherung GmbH"</w:t>
            </w:r>
          </w:p>
          <w:p w14:paraId="7FE1B882" w14:textId="77777777" w:rsidR="00960E01" w:rsidRDefault="00821CB5">
            <w:pPr>
              <w:pStyle w:val="P68B1DB1-TableParagraph28"/>
              <w:spacing w:before="108"/>
              <w:ind w:left="85"/>
              <w:jc w:val="both"/>
            </w:pPr>
            <w:r>
              <w:t xml:space="preserve">Grækenland </w:t>
            </w:r>
          </w:p>
          <w:p w14:paraId="7FE1B883" w14:textId="77777777" w:rsidR="00960E01" w:rsidRDefault="00821CB5">
            <w:pPr>
              <w:pStyle w:val="P68B1DB1-TableParagraph17"/>
              <w:numPr>
                <w:ilvl w:val="0"/>
                <w:numId w:val="70"/>
              </w:numPr>
              <w:spacing w:before="108"/>
              <w:jc w:val="both"/>
            </w:pPr>
            <w:r>
              <w:t>"Ταμείο Εγγύησης Καταθέσεων και Επενδύσεων"</w:t>
            </w:r>
          </w:p>
          <w:p w14:paraId="7FE1B884" w14:textId="77777777" w:rsidR="00960E01" w:rsidRDefault="00821CB5">
            <w:pPr>
              <w:pStyle w:val="P68B1DB1-TableParagraph28"/>
              <w:spacing w:before="108"/>
              <w:ind w:left="85"/>
              <w:jc w:val="both"/>
            </w:pPr>
            <w:r>
              <w:t xml:space="preserve">Ungarn </w:t>
            </w:r>
          </w:p>
          <w:p w14:paraId="7FE1B885" w14:textId="77777777" w:rsidR="00960E01" w:rsidRDefault="00821CB5">
            <w:pPr>
              <w:pStyle w:val="P68B1DB1-TableParagraph17"/>
              <w:numPr>
                <w:ilvl w:val="0"/>
                <w:numId w:val="70"/>
              </w:numPr>
              <w:spacing w:before="108"/>
              <w:jc w:val="both"/>
            </w:pPr>
            <w:r>
              <w:t>"Országos Betétbiztosítási Alap"</w:t>
            </w:r>
          </w:p>
          <w:p w14:paraId="7FE1B886" w14:textId="77777777" w:rsidR="00960E01" w:rsidRDefault="00821CB5">
            <w:pPr>
              <w:pStyle w:val="P68B1DB1-TableParagraph28"/>
              <w:spacing w:before="108"/>
              <w:ind w:left="85"/>
              <w:jc w:val="both"/>
            </w:pPr>
            <w:r>
              <w:t>Island</w:t>
            </w:r>
          </w:p>
          <w:p w14:paraId="7FE1B887" w14:textId="44E06D46" w:rsidR="00960E01" w:rsidRDefault="00821CB5">
            <w:pPr>
              <w:pStyle w:val="P68B1DB1-TableParagraph17"/>
              <w:numPr>
                <w:ilvl w:val="0"/>
                <w:numId w:val="70"/>
              </w:numPr>
              <w:spacing w:before="108"/>
              <w:jc w:val="both"/>
            </w:pPr>
            <w:r>
              <w:t>"Tryggingarsjóður vegna fjármálafyrirtækja"</w:t>
            </w:r>
          </w:p>
          <w:p w14:paraId="7FE1B888" w14:textId="77777777" w:rsidR="00960E01" w:rsidRDefault="00821CB5">
            <w:pPr>
              <w:pStyle w:val="P68B1DB1-TableParagraph28"/>
              <w:spacing w:before="108"/>
              <w:ind w:left="85"/>
              <w:jc w:val="both"/>
            </w:pPr>
            <w:r>
              <w:t>Irland</w:t>
            </w:r>
          </w:p>
          <w:p w14:paraId="7FE1B889" w14:textId="77777777" w:rsidR="00960E01" w:rsidRDefault="00821CB5">
            <w:pPr>
              <w:pStyle w:val="P68B1DB1-TableParagraph17"/>
              <w:numPr>
                <w:ilvl w:val="0"/>
                <w:numId w:val="70"/>
              </w:numPr>
              <w:spacing w:before="108"/>
              <w:jc w:val="both"/>
            </w:pPr>
            <w:r>
              <w:t>"Irish Deposit Protection Scheme"</w:t>
            </w:r>
          </w:p>
          <w:p w14:paraId="7FE1B88A" w14:textId="77777777" w:rsidR="00960E01" w:rsidRDefault="00821CB5">
            <w:pPr>
              <w:pStyle w:val="P68B1DB1-TableParagraph28"/>
              <w:spacing w:before="108"/>
              <w:ind w:left="85"/>
              <w:jc w:val="both"/>
            </w:pPr>
            <w:r>
              <w:t xml:space="preserve">Italien </w:t>
            </w:r>
          </w:p>
          <w:p w14:paraId="7FE1B88B" w14:textId="77777777" w:rsidR="00960E01" w:rsidRPr="001B654F" w:rsidRDefault="00821CB5">
            <w:pPr>
              <w:pStyle w:val="P68B1DB1-TableParagraph17"/>
              <w:numPr>
                <w:ilvl w:val="0"/>
                <w:numId w:val="70"/>
              </w:numPr>
              <w:spacing w:before="108"/>
              <w:jc w:val="both"/>
            </w:pPr>
            <w:r w:rsidRPr="001B654F">
              <w:t>"Fondo Interbancario di Tutela dei Depositi"</w:t>
            </w:r>
          </w:p>
          <w:p w14:paraId="7FE1B88C" w14:textId="77777777" w:rsidR="00960E01" w:rsidRPr="001B654F" w:rsidRDefault="00821CB5">
            <w:pPr>
              <w:pStyle w:val="P68B1DB1-TableParagraph17"/>
              <w:numPr>
                <w:ilvl w:val="0"/>
                <w:numId w:val="70"/>
              </w:numPr>
              <w:spacing w:before="108"/>
              <w:jc w:val="both"/>
            </w:pPr>
            <w:r w:rsidRPr="001B654F">
              <w:t>"Fondo di Garanzia dei Depositanti del Credito Cooperativo"</w:t>
            </w:r>
          </w:p>
          <w:p w14:paraId="7FE1B88D" w14:textId="77777777" w:rsidR="00960E01" w:rsidRDefault="00821CB5">
            <w:pPr>
              <w:pStyle w:val="P68B1DB1-TableParagraph28"/>
              <w:spacing w:before="108"/>
              <w:ind w:left="85"/>
              <w:jc w:val="both"/>
            </w:pPr>
            <w:r>
              <w:t>Letland</w:t>
            </w:r>
          </w:p>
          <w:p w14:paraId="7FE1B88E" w14:textId="77777777" w:rsidR="00960E01" w:rsidRDefault="00821CB5">
            <w:pPr>
              <w:pStyle w:val="P68B1DB1-TableParagraph17"/>
              <w:numPr>
                <w:ilvl w:val="0"/>
                <w:numId w:val="70"/>
              </w:numPr>
              <w:spacing w:before="108"/>
              <w:jc w:val="both"/>
            </w:pPr>
            <w:r>
              <w:t>"Latvijas Noguldījumu garantiju fonds"</w:t>
            </w:r>
          </w:p>
          <w:p w14:paraId="7FE1B88F" w14:textId="77777777" w:rsidR="00960E01" w:rsidRDefault="00821CB5">
            <w:pPr>
              <w:pStyle w:val="P68B1DB1-TableParagraph28"/>
              <w:spacing w:before="108"/>
              <w:ind w:left="85"/>
              <w:jc w:val="both"/>
            </w:pPr>
            <w:r>
              <w:lastRenderedPageBreak/>
              <w:t xml:space="preserve">Liechtenstein </w:t>
            </w:r>
          </w:p>
          <w:p w14:paraId="7FE1B890" w14:textId="77777777" w:rsidR="00960E01" w:rsidRDefault="00821CB5">
            <w:pPr>
              <w:pStyle w:val="P68B1DB1-TableParagraph17"/>
              <w:numPr>
                <w:ilvl w:val="0"/>
                <w:numId w:val="70"/>
              </w:numPr>
              <w:spacing w:before="108"/>
              <w:jc w:val="both"/>
            </w:pPr>
            <w:r>
              <w:t>"Einlagensicherungs- und Anlegerentschädigungs-Stiftung SV"</w:t>
            </w:r>
          </w:p>
          <w:p w14:paraId="7FE1B891" w14:textId="77777777" w:rsidR="00960E01" w:rsidRDefault="00821CB5">
            <w:pPr>
              <w:pStyle w:val="P68B1DB1-TableParagraph28"/>
              <w:spacing w:before="108"/>
              <w:ind w:left="85"/>
              <w:jc w:val="both"/>
            </w:pPr>
            <w:r>
              <w:t>Litauen</w:t>
            </w:r>
          </w:p>
          <w:p w14:paraId="7FE1B892" w14:textId="77777777" w:rsidR="00960E01" w:rsidRDefault="00821CB5">
            <w:pPr>
              <w:pStyle w:val="P68B1DB1-TableParagraph17"/>
              <w:numPr>
                <w:ilvl w:val="0"/>
                <w:numId w:val="70"/>
              </w:numPr>
              <w:spacing w:before="108"/>
              <w:jc w:val="both"/>
            </w:pPr>
            <w:r>
              <w:t>"Indėlių ir investicijų draudimas"</w:t>
            </w:r>
          </w:p>
          <w:p w14:paraId="7FE1B893" w14:textId="77777777" w:rsidR="00960E01" w:rsidRDefault="00821CB5">
            <w:pPr>
              <w:pStyle w:val="P68B1DB1-TableParagraph28"/>
              <w:spacing w:before="108"/>
              <w:ind w:left="85"/>
              <w:jc w:val="both"/>
            </w:pPr>
            <w:r>
              <w:t>Luxembourg</w:t>
            </w:r>
          </w:p>
          <w:p w14:paraId="7FE1B894" w14:textId="59F3019A" w:rsidR="00960E01" w:rsidRDefault="00821CB5">
            <w:pPr>
              <w:pStyle w:val="P68B1DB1-TableParagraph17"/>
              <w:numPr>
                <w:ilvl w:val="0"/>
                <w:numId w:val="70"/>
              </w:numPr>
              <w:spacing w:before="108"/>
              <w:jc w:val="both"/>
            </w:pPr>
            <w:r>
              <w:t>"Fonds de garantie des Dépôts Luxembourg"</w:t>
            </w:r>
          </w:p>
          <w:p w14:paraId="7FE1B895" w14:textId="77777777" w:rsidR="00960E01" w:rsidRDefault="00821CB5">
            <w:pPr>
              <w:pStyle w:val="P68B1DB1-TableParagraph28"/>
              <w:spacing w:before="108"/>
              <w:ind w:left="85"/>
              <w:jc w:val="both"/>
            </w:pPr>
            <w:r>
              <w:t>Μalta</w:t>
            </w:r>
          </w:p>
          <w:p w14:paraId="7FE1B896" w14:textId="77777777" w:rsidR="00960E01" w:rsidRDefault="00821CB5">
            <w:pPr>
              <w:pStyle w:val="P68B1DB1-TableParagraph17"/>
              <w:numPr>
                <w:ilvl w:val="0"/>
                <w:numId w:val="70"/>
              </w:numPr>
              <w:spacing w:before="108"/>
              <w:jc w:val="both"/>
            </w:pPr>
            <w:r>
              <w:t>"Depositor Compensation Scheme"</w:t>
            </w:r>
          </w:p>
          <w:p w14:paraId="7FE1B897" w14:textId="77777777" w:rsidR="00960E01" w:rsidRDefault="00821CB5">
            <w:pPr>
              <w:pStyle w:val="P68B1DB1-TableParagraph28"/>
              <w:spacing w:before="108"/>
              <w:ind w:left="85"/>
              <w:jc w:val="both"/>
            </w:pPr>
            <w:r>
              <w:t xml:space="preserve">Nederlandene </w:t>
            </w:r>
          </w:p>
          <w:p w14:paraId="7FE1B898" w14:textId="77777777" w:rsidR="00960E01" w:rsidRDefault="00821CB5">
            <w:pPr>
              <w:pStyle w:val="P68B1DB1-TableParagraph17"/>
              <w:numPr>
                <w:ilvl w:val="0"/>
                <w:numId w:val="70"/>
              </w:numPr>
              <w:spacing w:before="108"/>
              <w:jc w:val="both"/>
            </w:pPr>
            <w:r>
              <w:t>"De Nederlandsche Bank, Depositogarantiestelsel"</w:t>
            </w:r>
          </w:p>
          <w:p w14:paraId="7FE1B899" w14:textId="77777777" w:rsidR="00960E01" w:rsidRDefault="00821CB5">
            <w:pPr>
              <w:pStyle w:val="P68B1DB1-TableParagraph28"/>
              <w:spacing w:before="108"/>
              <w:ind w:left="85"/>
              <w:jc w:val="both"/>
            </w:pPr>
            <w:r>
              <w:t>Norge</w:t>
            </w:r>
          </w:p>
          <w:p w14:paraId="7FE1B89A" w14:textId="77777777" w:rsidR="00960E01" w:rsidRDefault="00821CB5">
            <w:pPr>
              <w:pStyle w:val="P68B1DB1-TableParagraph17"/>
              <w:numPr>
                <w:ilvl w:val="0"/>
                <w:numId w:val="70"/>
              </w:numPr>
              <w:spacing w:before="108"/>
              <w:jc w:val="both"/>
            </w:pPr>
            <w:r>
              <w:t>"Bankenes sikringsfond"</w:t>
            </w:r>
          </w:p>
          <w:p w14:paraId="7FE1B89B" w14:textId="77777777" w:rsidR="00960E01" w:rsidRDefault="00821CB5">
            <w:pPr>
              <w:pStyle w:val="P68B1DB1-TableParagraph28"/>
              <w:spacing w:before="108"/>
              <w:ind w:left="85"/>
              <w:jc w:val="both"/>
            </w:pPr>
            <w:r>
              <w:t>Polen</w:t>
            </w:r>
          </w:p>
          <w:p w14:paraId="7FE1B89C" w14:textId="77777777" w:rsidR="00960E01" w:rsidRDefault="00821CB5">
            <w:pPr>
              <w:pStyle w:val="P68B1DB1-TableParagraph17"/>
              <w:numPr>
                <w:ilvl w:val="0"/>
                <w:numId w:val="70"/>
              </w:numPr>
              <w:spacing w:before="108"/>
              <w:jc w:val="both"/>
            </w:pPr>
            <w:r>
              <w:t>"Bankowy Fundusz Gwarancyjny"</w:t>
            </w:r>
          </w:p>
          <w:p w14:paraId="7FE1B89D" w14:textId="77777777" w:rsidR="00960E01" w:rsidRDefault="00821CB5">
            <w:pPr>
              <w:pStyle w:val="P68B1DB1-TableParagraph28"/>
              <w:spacing w:before="108"/>
              <w:ind w:left="85"/>
              <w:jc w:val="both"/>
            </w:pPr>
            <w:r>
              <w:t>Portugal</w:t>
            </w:r>
          </w:p>
          <w:p w14:paraId="7FE1B89E" w14:textId="77777777" w:rsidR="00960E01" w:rsidRDefault="00821CB5">
            <w:pPr>
              <w:pStyle w:val="P68B1DB1-TableParagraph17"/>
              <w:numPr>
                <w:ilvl w:val="0"/>
                <w:numId w:val="70"/>
              </w:numPr>
              <w:spacing w:before="108"/>
              <w:jc w:val="both"/>
            </w:pPr>
            <w:r>
              <w:t>"Fundo de Garantia de Depósitos"</w:t>
            </w:r>
          </w:p>
          <w:p w14:paraId="7FE1B89F" w14:textId="77777777" w:rsidR="00960E01" w:rsidRPr="001B654F" w:rsidRDefault="00821CB5">
            <w:pPr>
              <w:pStyle w:val="P68B1DB1-TableParagraph17"/>
              <w:numPr>
                <w:ilvl w:val="0"/>
                <w:numId w:val="70"/>
              </w:numPr>
              <w:spacing w:before="108"/>
              <w:jc w:val="both"/>
            </w:pPr>
            <w:r w:rsidRPr="001B654F">
              <w:t>"Fundo de Garantia do Crédito Agrícola Mútuo"</w:t>
            </w:r>
          </w:p>
          <w:p w14:paraId="7FE1B8A0" w14:textId="77777777" w:rsidR="00960E01" w:rsidRDefault="00821CB5">
            <w:pPr>
              <w:pStyle w:val="P68B1DB1-TableParagraph28"/>
              <w:spacing w:before="108"/>
              <w:ind w:left="85"/>
              <w:jc w:val="both"/>
            </w:pPr>
            <w:r>
              <w:t>Rumænien</w:t>
            </w:r>
          </w:p>
          <w:p w14:paraId="7FE1B8A1" w14:textId="77777777" w:rsidR="00960E01" w:rsidRDefault="00821CB5">
            <w:pPr>
              <w:pStyle w:val="P68B1DB1-TableParagraph17"/>
              <w:numPr>
                <w:ilvl w:val="0"/>
                <w:numId w:val="70"/>
              </w:numPr>
              <w:spacing w:before="108"/>
              <w:jc w:val="both"/>
            </w:pPr>
            <w:r>
              <w:t>"Fondul de Garantare a Depozitelor in Sistemul Bancar"</w:t>
            </w:r>
          </w:p>
          <w:p w14:paraId="7FE1B8A2" w14:textId="77777777" w:rsidR="00960E01" w:rsidRDefault="00821CB5">
            <w:pPr>
              <w:pStyle w:val="P68B1DB1-TableParagraph28"/>
              <w:spacing w:before="108"/>
              <w:ind w:left="85"/>
              <w:jc w:val="both"/>
            </w:pPr>
            <w:r>
              <w:t>Slovakiet</w:t>
            </w:r>
          </w:p>
          <w:p w14:paraId="7FE1B8A3" w14:textId="77777777" w:rsidR="00960E01" w:rsidRDefault="00821CB5">
            <w:pPr>
              <w:pStyle w:val="P68B1DB1-TableParagraph17"/>
              <w:numPr>
                <w:ilvl w:val="0"/>
                <w:numId w:val="70"/>
              </w:numPr>
              <w:spacing w:before="108"/>
              <w:jc w:val="both"/>
            </w:pPr>
            <w:r>
              <w:t>"Fond ochrany vkladov"</w:t>
            </w:r>
          </w:p>
          <w:p w14:paraId="7FE1B8A4" w14:textId="77777777" w:rsidR="00960E01" w:rsidRDefault="00821CB5">
            <w:pPr>
              <w:pStyle w:val="P68B1DB1-TableParagraph28"/>
              <w:spacing w:before="108"/>
              <w:ind w:left="85"/>
              <w:jc w:val="both"/>
            </w:pPr>
            <w:r>
              <w:t xml:space="preserve">Slovenien </w:t>
            </w:r>
          </w:p>
          <w:p w14:paraId="7FE1B8A5" w14:textId="77777777" w:rsidR="00960E01" w:rsidRDefault="00821CB5">
            <w:pPr>
              <w:pStyle w:val="P68B1DB1-TableParagraph17"/>
              <w:numPr>
                <w:ilvl w:val="0"/>
                <w:numId w:val="70"/>
              </w:numPr>
              <w:spacing w:before="108"/>
              <w:jc w:val="both"/>
            </w:pPr>
            <w:r>
              <w:t>"Banka Slovenije"</w:t>
            </w:r>
          </w:p>
          <w:p w14:paraId="7FE1B8A6" w14:textId="77777777" w:rsidR="00960E01" w:rsidRDefault="00821CB5">
            <w:pPr>
              <w:pStyle w:val="P68B1DB1-TableParagraph28"/>
              <w:spacing w:before="108"/>
              <w:ind w:left="85"/>
              <w:jc w:val="both"/>
            </w:pPr>
            <w:r>
              <w:t>Spanien</w:t>
            </w:r>
          </w:p>
          <w:p w14:paraId="7FE1B8A7" w14:textId="77777777" w:rsidR="00960E01" w:rsidRDefault="00821CB5">
            <w:pPr>
              <w:pStyle w:val="P68B1DB1-TableParagraph17"/>
              <w:numPr>
                <w:ilvl w:val="0"/>
                <w:numId w:val="70"/>
              </w:numPr>
              <w:spacing w:before="108"/>
              <w:jc w:val="both"/>
            </w:pPr>
            <w:r>
              <w:t>"Fondo de Garantía de Depósitos de Entidades de Crédito"</w:t>
            </w:r>
          </w:p>
          <w:p w14:paraId="7FE1B8A8" w14:textId="77777777" w:rsidR="00960E01" w:rsidRDefault="00821CB5">
            <w:pPr>
              <w:pStyle w:val="P68B1DB1-TableParagraph28"/>
              <w:spacing w:before="108"/>
              <w:ind w:left="85"/>
              <w:jc w:val="both"/>
            </w:pPr>
            <w:r>
              <w:t>Sverige</w:t>
            </w:r>
          </w:p>
          <w:p w14:paraId="7FE1B8A9" w14:textId="77777777" w:rsidR="00960E01" w:rsidRDefault="00821CB5">
            <w:pPr>
              <w:pStyle w:val="P68B1DB1-TableParagraph17"/>
              <w:numPr>
                <w:ilvl w:val="0"/>
                <w:numId w:val="70"/>
              </w:numPr>
              <w:spacing w:before="108"/>
              <w:jc w:val="both"/>
            </w:pPr>
            <w:r>
              <w:t>"Riksgälden"</w:t>
            </w:r>
          </w:p>
          <w:p w14:paraId="7FE1B8AC" w14:textId="77777777" w:rsidR="00960E01" w:rsidRDefault="00960E01">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960E01" w:rsidRDefault="00821CB5">
            <w:pPr>
              <w:pStyle w:val="P68B1DB1-TableParagraph17"/>
              <w:spacing w:before="108"/>
              <w:ind w:left="85"/>
              <w:jc w:val="both"/>
            </w:pPr>
            <w:r>
              <w:t>Hvis den officielt anerkendte indskudsgarantiordning, som enheden er medlem af, ikke figurerer på listen ovenfor, angives "Andet".</w:t>
            </w:r>
          </w:p>
        </w:tc>
      </w:tr>
      <w:tr w:rsidR="00960E01"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960E01" w:rsidRDefault="00821CB5">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960E01" w:rsidRDefault="00821CB5">
            <w:pPr>
              <w:pStyle w:val="P68B1DB1-TableParagraph14"/>
              <w:spacing w:before="108"/>
              <w:ind w:left="85"/>
              <w:jc w:val="both"/>
              <w:rPr>
                <w:bCs/>
              </w:rPr>
            </w:pPr>
            <w:r>
              <w:t>Dækkede indskud</w:t>
            </w:r>
          </w:p>
          <w:p w14:paraId="7FE1B8B1" w14:textId="77777777" w:rsidR="00960E01" w:rsidRDefault="00821CB5">
            <w:pPr>
              <w:pStyle w:val="P68B1DB1-TableParagraph17"/>
              <w:spacing w:before="108"/>
              <w:ind w:left="85"/>
            </w:pPr>
            <w:r>
              <w:t>Artikel 2, stk. 1, nr. 5), og artikel 6, stk. 2, i direktiv 2014/49/EU</w:t>
            </w:r>
          </w:p>
          <w:p w14:paraId="7FE1B8B2" w14:textId="77777777" w:rsidR="00960E01" w:rsidRDefault="00821CB5">
            <w:pPr>
              <w:pStyle w:val="P68B1DB1-TableParagraph17"/>
              <w:spacing w:before="108"/>
              <w:ind w:left="85"/>
              <w:jc w:val="both"/>
            </w:pPr>
            <w:r>
              <w:t>De samlede dækkede indskud som defineret i artikel 2, stk. 1, nr. 5), sammenholdt med artikel 6 i direktiv 2014/49/EU, som dækket af indskudsgarantiordningen i række 00030, ekskl. midlertidigt høje balancer som defineret i samme direktivs artikel 6, stk. 2.</w:t>
            </w:r>
          </w:p>
        </w:tc>
      </w:tr>
      <w:tr w:rsidR="00960E01"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960E01" w:rsidRDefault="00821CB5">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960E01" w:rsidRDefault="00821CB5">
            <w:pPr>
              <w:pStyle w:val="P68B1DB1-TableParagraph14"/>
              <w:spacing w:before="108"/>
              <w:ind w:left="85"/>
              <w:jc w:val="both"/>
              <w:rPr>
                <w:bCs/>
              </w:rPr>
            </w:pPr>
            <w:r>
              <w:t>Institutsikringsordning</w:t>
            </w:r>
          </w:p>
          <w:p w14:paraId="7FE1B8B6" w14:textId="77777777" w:rsidR="00960E01" w:rsidRDefault="00821CB5">
            <w:pPr>
              <w:pStyle w:val="P68B1DB1-TableParagraph17"/>
              <w:spacing w:before="108"/>
              <w:ind w:left="85"/>
            </w:pPr>
            <w:r>
              <w:t>Artikel 113, stk. 7, i forordning (EU) nr. 575/2013</w:t>
            </w:r>
          </w:p>
          <w:p w14:paraId="7FE1B8B7" w14:textId="77777777" w:rsidR="00960E01" w:rsidRDefault="00821CB5">
            <w:pPr>
              <w:pStyle w:val="P68B1DB1-TableParagraph17"/>
              <w:spacing w:before="108"/>
              <w:ind w:left="85"/>
              <w:jc w:val="both"/>
            </w:pPr>
            <w:r>
              <w:t xml:space="preserve">Navnet på den institutsikringsordning, jf. artikel 113, stk. 7, i forordning (EU) nr. 575/2013, som enheden er medlem af. Der angives ikke noget, hvis enheden ikke er medlem af en institutsikringsordning. Hvis enheden er medlem af en institutsikringsordning, der også er officielt anerkendt som en indskudsgarantiordning i henhold til artikel 4, stk. 2, i direktiv 2014/49/EU, </w:t>
            </w:r>
            <w:r>
              <w:lastRenderedPageBreak/>
              <w:t>skal navnet på institutsikringsordningen være identisk med navnet på indskudsgarantiordningen i række 030.</w:t>
            </w:r>
          </w:p>
          <w:p w14:paraId="7FE1B8B8" w14:textId="77777777" w:rsidR="00960E01" w:rsidRDefault="00960E01">
            <w:pPr>
              <w:pStyle w:val="TableParagraph"/>
              <w:spacing w:before="108"/>
              <w:ind w:left="85"/>
              <w:jc w:val="both"/>
              <w:rPr>
                <w:rFonts w:ascii="Times New Roman" w:eastAsia="Cambria" w:hAnsi="Times New Roman" w:cs="Times New Roman"/>
                <w:color w:val="000000" w:themeColor="text1"/>
                <w:sz w:val="20"/>
                <w:szCs w:val="20"/>
              </w:rPr>
            </w:pPr>
          </w:p>
        </w:tc>
      </w:tr>
      <w:tr w:rsidR="00960E01"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960E01" w:rsidRDefault="00821CB5">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960E01" w:rsidRDefault="00821CB5">
            <w:pPr>
              <w:pStyle w:val="P68B1DB1-TableParagraph14"/>
              <w:spacing w:before="108"/>
              <w:ind w:left="85"/>
              <w:jc w:val="both"/>
              <w:rPr>
                <w:bCs/>
              </w:rPr>
            </w:pPr>
            <w:r>
              <w:t>Supplerende beskyttelse iht. aftalemæssig ordning</w:t>
            </w:r>
          </w:p>
          <w:p w14:paraId="7FE1B8BC" w14:textId="77777777" w:rsidR="00960E01" w:rsidRDefault="00821CB5">
            <w:pPr>
              <w:pStyle w:val="P68B1DB1-TableParagraph17"/>
              <w:spacing w:before="108"/>
              <w:ind w:left="85"/>
            </w:pPr>
            <w:r>
              <w:t>Artikel 1, stk. 3, litra a), i direktiv 2014/49/EU</w:t>
            </w:r>
          </w:p>
          <w:p w14:paraId="7FE1B8BD" w14:textId="77777777" w:rsidR="00960E01" w:rsidRDefault="00821CB5">
            <w:pPr>
              <w:pStyle w:val="P68B1DB1-TableParagraph17"/>
              <w:spacing w:before="108"/>
              <w:ind w:left="85"/>
              <w:jc w:val="both"/>
            </w:pPr>
            <w:r>
              <w:t>Indskud, der er dækket af en aftalemæssig ordning hos enheden.</w:t>
            </w:r>
          </w:p>
        </w:tc>
      </w:tr>
    </w:tbl>
    <w:p w14:paraId="7FE1B8BF" w14:textId="77777777" w:rsidR="00960E01" w:rsidRDefault="00960E01">
      <w:pPr>
        <w:rPr>
          <w:rFonts w:ascii="Times New Roman" w:hAnsi="Times New Roman" w:cs="Times New Roman"/>
          <w:b/>
          <w:color w:val="000000" w:themeColor="text1"/>
          <w:sz w:val="20"/>
          <w:szCs w:val="20"/>
          <w:u w:val="single"/>
        </w:rPr>
      </w:pPr>
    </w:p>
    <w:p w14:paraId="7FE1B8C0" w14:textId="77777777" w:rsidR="00960E01" w:rsidRDefault="00821CB5">
      <w:pPr>
        <w:pStyle w:val="P68B1DB1-Instructionsberschrift25"/>
        <w:numPr>
          <w:ilvl w:val="1"/>
          <w:numId w:val="49"/>
        </w:numPr>
        <w:ind w:left="357" w:hanging="357"/>
      </w:pPr>
      <w:bookmarkStart w:id="100" w:name="_Toc492542327"/>
      <w:bookmarkStart w:id="101" w:name="_Toc81454186"/>
      <w:bookmarkStart w:id="102" w:name="_Toc208244561"/>
      <w:r>
        <w:t>Kritiske funktioner og centrale forretningsområder</w:t>
      </w:r>
      <w:bookmarkEnd w:id="100"/>
      <w:bookmarkEnd w:id="101"/>
      <w:bookmarkEnd w:id="102"/>
    </w:p>
    <w:p w14:paraId="7FE1B8C2" w14:textId="77777777" w:rsidR="00960E01" w:rsidRDefault="00821CB5">
      <w:pPr>
        <w:pStyle w:val="Instructionsberschrift3"/>
      </w:pPr>
      <w:bookmarkStart w:id="103" w:name="_Toc189492773"/>
      <w:bookmarkStart w:id="104" w:name="_Toc192249050"/>
      <w:bookmarkEnd w:id="103"/>
      <w:bookmarkEnd w:id="104"/>
      <w:r>
        <w:t>Generelle bemærkninger</w:t>
      </w:r>
    </w:p>
    <w:p w14:paraId="7FE1B8C3" w14:textId="249305A0" w:rsidR="00960E01" w:rsidRDefault="00821CB5">
      <w:pPr>
        <w:pStyle w:val="P68B1DB1-InstructionsText26"/>
        <w:numPr>
          <w:ilvl w:val="0"/>
          <w:numId w:val="232"/>
        </w:numPr>
        <w:spacing w:before="0"/>
      </w:pPr>
      <w:r>
        <w:t>I de fire skemaer i denne del gives der nøgledata og kvalitative vurderinger af virkningerne, substituerbarheden og kritikaliteten af økonomiske funktioner, som koncernen udfører, suppleret med en oversigt over de pågældende kritiske funktioner pr. centralt forretningsområde og juridisk enhed og en oversigt over centralt forretningsområder pr. juridisk enhed.</w:t>
      </w:r>
    </w:p>
    <w:p w14:paraId="7FE1B8C4" w14:textId="77777777" w:rsidR="00960E01" w:rsidRDefault="00821CB5">
      <w:pPr>
        <w:pStyle w:val="P68B1DB1-InstructionsText26"/>
        <w:numPr>
          <w:ilvl w:val="0"/>
          <w:numId w:val="232"/>
        </w:numPr>
        <w:spacing w:before="0"/>
      </w:pPr>
      <w:r>
        <w:t>Mere specifikt vedrører skemaerne følgende emner:</w:t>
      </w:r>
    </w:p>
    <w:p w14:paraId="7FE1B8C5" w14:textId="0233F295" w:rsidR="00960E01" w:rsidRDefault="00821CB5">
      <w:pPr>
        <w:pStyle w:val="P68B1DB1-InstructionsText26"/>
        <w:numPr>
          <w:ilvl w:val="0"/>
          <w:numId w:val="153"/>
        </w:numPr>
        <w:spacing w:before="0"/>
      </w:pPr>
      <w:r>
        <w:t>Skema Z 07.01 — Kritikalitetsvurdering af økonomiske funktioner (FUNC 1) indeholder resultaterne af den kritiske vurdering af de økonomiske funktioner, der udføres af koncernen, baseret på kvantitative og kvalitative indikatorer, de ikke-kritiske og kritiske funktioner, der udføres. Der forventes en særskilt skabelon fra koncernen for hver medlemsstat, hvor koncernen er aktiv. Følgende kategorier af økonomiske funktioner er blevet udpeget til rapportering:</w:t>
      </w:r>
    </w:p>
    <w:p w14:paraId="7FE1B8C6" w14:textId="43527C6F" w:rsidR="00960E01" w:rsidRDefault="00821CB5">
      <w:pPr>
        <w:pStyle w:val="P68B1DB1-InstructionsText26"/>
        <w:numPr>
          <w:ilvl w:val="1"/>
          <w:numId w:val="153"/>
        </w:numPr>
        <w:spacing w:before="0"/>
      </w:pPr>
      <w:r>
        <w:t>Z 07.01.1 Indskud</w:t>
      </w:r>
    </w:p>
    <w:p w14:paraId="7FE1B8C7" w14:textId="46AB6183" w:rsidR="00960E01" w:rsidRDefault="00821CB5">
      <w:pPr>
        <w:pStyle w:val="P68B1DB1-InstructionsText26"/>
        <w:numPr>
          <w:ilvl w:val="1"/>
          <w:numId w:val="153"/>
        </w:numPr>
        <w:spacing w:before="0"/>
      </w:pPr>
      <w:r>
        <w:t>Z 07.01.2 Lån</w:t>
      </w:r>
    </w:p>
    <w:p w14:paraId="7FE1B8C8" w14:textId="284FDD0B" w:rsidR="00960E01" w:rsidRDefault="00821CB5">
      <w:pPr>
        <w:pStyle w:val="P68B1DB1-InstructionsText26"/>
        <w:numPr>
          <w:ilvl w:val="1"/>
          <w:numId w:val="153"/>
        </w:numPr>
        <w:spacing w:before="0"/>
      </w:pPr>
      <w:r>
        <w:t>Z 07.01.3 Betalings-, kontant-, afviklings-, clearing- og kundeservice</w:t>
      </w:r>
    </w:p>
    <w:p w14:paraId="7FE1B8C9" w14:textId="12E4110D" w:rsidR="00960E01" w:rsidRDefault="00821CB5">
      <w:pPr>
        <w:pStyle w:val="P68B1DB1-InstructionsText26"/>
        <w:numPr>
          <w:ilvl w:val="1"/>
          <w:numId w:val="153"/>
        </w:numPr>
        <w:spacing w:before="0"/>
      </w:pPr>
      <w:r>
        <w:t>Z 07.01.4 Kapitalmarkeder</w:t>
      </w:r>
    </w:p>
    <w:p w14:paraId="7FE1B8CA" w14:textId="02162CC7" w:rsidR="00960E01" w:rsidRDefault="00821CB5">
      <w:pPr>
        <w:pStyle w:val="P68B1DB1-InstructionsText26"/>
        <w:numPr>
          <w:ilvl w:val="1"/>
          <w:numId w:val="153"/>
        </w:numPr>
        <w:spacing w:before="0"/>
      </w:pPr>
      <w:r>
        <w:t>Z 07.01.5 Engrosfinansiering</w:t>
      </w:r>
    </w:p>
    <w:p w14:paraId="7FE1B8CB" w14:textId="006771C1" w:rsidR="00960E01" w:rsidRDefault="00821CB5">
      <w:pPr>
        <w:pStyle w:val="P68B1DB1-InstructionsText26"/>
        <w:numPr>
          <w:ilvl w:val="0"/>
          <w:numId w:val="153"/>
        </w:numPr>
        <w:spacing w:before="0"/>
      </w:pPr>
      <w:r>
        <w:t>Skema Z 07.02 — Oversigt over økonomiske funktioner til juridiske enheder (FUNC 2) kortlægger de økonomiske funktioner, vurderet i Z 07.01, med juridiske enheder eller internationale filialer som identificeret i Z 01.01.</w:t>
      </w:r>
    </w:p>
    <w:p w14:paraId="7FE1B8CC" w14:textId="0C5FD434" w:rsidR="00960E01" w:rsidRDefault="00821CB5">
      <w:pPr>
        <w:pStyle w:val="P68B1DB1-InstructionsText26"/>
        <w:numPr>
          <w:ilvl w:val="0"/>
          <w:numId w:val="153"/>
        </w:numPr>
        <w:spacing w:before="0"/>
      </w:pPr>
      <w:r>
        <w:t>Skema Z 07.03 — Oversigt over centrale forretningsområder pr. juridisk enhed (FUNC 3) indeholder en udtømmende liste over de centrale forretningsområder og deres fordeling på juridiske enheder.</w:t>
      </w:r>
    </w:p>
    <w:p w14:paraId="7FE1B8CD" w14:textId="780FA7AD" w:rsidR="00960E01" w:rsidRDefault="00821CB5">
      <w:pPr>
        <w:pStyle w:val="P68B1DB1-InstructionsText26"/>
        <w:numPr>
          <w:ilvl w:val="0"/>
          <w:numId w:val="153"/>
        </w:numPr>
        <w:spacing w:before="0"/>
      </w:pPr>
      <w:r>
        <w:t xml:space="preserve">Skema Z 07.04 — Oversigt over økonomiske funktioner pr. centralt forretningsområde (FUNC 4) viser de identificerede økonomiske funktioners fordeling på forretningsområder. </w:t>
      </w:r>
    </w:p>
    <w:p w14:paraId="7FE1B8CE" w14:textId="0BA07F41" w:rsidR="00960E01" w:rsidRDefault="00821CB5">
      <w:pPr>
        <w:pStyle w:val="P68B1DB1-InstructionsText26"/>
        <w:numPr>
          <w:ilvl w:val="0"/>
          <w:numId w:val="232"/>
        </w:numPr>
        <w:spacing w:before="0"/>
      </w:pPr>
      <w:r>
        <w:t xml:space="preserve">Ved kritiske funktioner forstås, jf. artikel 2, stk. 1, nr. 35), i direktiv 2014/59/EU, aktiviteter, ydelser eller transaktioner, hvis ophør i en eller flere medlemsstater kan forventes at føre til forstyrrelser i ydelser, der er af afgørende betydning for realøkonomien, eller til forstyrrelse af den finansielle stabilitet som følge af et instituts eller en koncerns størrelse, markedsandel, eksterne og interne forbundethed, kompleksitet eller grænseoverskridende aktiviteter, navnlig med hensyn til muligheden for at erstatte de pågældende aktiviteter, ydelser eller transaktioner (substituerbarhed). </w:t>
      </w:r>
    </w:p>
    <w:p w14:paraId="7FE1B8D0" w14:textId="77777777" w:rsidR="00960E01" w:rsidRDefault="00821CB5">
      <w:pPr>
        <w:pStyle w:val="P68B1DB1-InstructionsText26"/>
        <w:numPr>
          <w:ilvl w:val="0"/>
          <w:numId w:val="232"/>
        </w:numPr>
        <w:spacing w:before="0"/>
      </w:pPr>
      <w:r>
        <w:lastRenderedPageBreak/>
        <w:t>I henhold til artikel 6, stk. 1, i Kommissionens forordning (EU) 2016/778 anses</w:t>
      </w:r>
      <w:r>
        <w:footnoteReference w:id="18"/>
      </w:r>
      <w:r>
        <w:t>en funktion for kritisk, hvis den opfylder begge følgende kriterier:</w:t>
      </w:r>
    </w:p>
    <w:p w14:paraId="7FE1B8D1" w14:textId="77777777" w:rsidR="00960E01" w:rsidRDefault="00821CB5">
      <w:pPr>
        <w:pStyle w:val="P68B1DB1-Normal3"/>
        <w:numPr>
          <w:ilvl w:val="0"/>
          <w:numId w:val="56"/>
        </w:numPr>
        <w:spacing w:line="276" w:lineRule="auto"/>
        <w:contextualSpacing/>
        <w:jc w:val="both"/>
      </w:pPr>
      <w:r>
        <w:t>funktionen ydes af instituttet til tredjeparter, som ikke er tilknyttet instituttet eller koncernen, samt</w:t>
      </w:r>
    </w:p>
    <w:p w14:paraId="7FE1B8D2" w14:textId="77777777" w:rsidR="00960E01" w:rsidRDefault="00821CB5">
      <w:pPr>
        <w:pStyle w:val="P68B1DB1-Normal3"/>
        <w:numPr>
          <w:ilvl w:val="0"/>
          <w:numId w:val="56"/>
        </w:numPr>
        <w:spacing w:line="276" w:lineRule="auto"/>
        <w:contextualSpacing/>
        <w:jc w:val="both"/>
        <w:rPr>
          <w:i/>
        </w:rPr>
      </w:pPr>
      <w:r>
        <w:t>en pludselig forstyrrelse ville sandsynligvis have væsentlige negative virkninger for tredjepart, føre til afsmitning eller underminere markedsaktørernes generelle tillid på grund af funktionens systemiske relevans for tredjepart og den systemiske relevans af, at instituttet eller koncernen udfører funktionen.</w:t>
      </w:r>
    </w:p>
    <w:p w14:paraId="7FE1B8D3" w14:textId="6B4413EC" w:rsidR="00960E01" w:rsidRDefault="00821CB5">
      <w:pPr>
        <w:pStyle w:val="P68B1DB1-InstructionsText26"/>
        <w:numPr>
          <w:ilvl w:val="0"/>
          <w:numId w:val="232"/>
        </w:numPr>
        <w:spacing w:before="0"/>
      </w:pPr>
      <w:r>
        <w:t>I henhold til artikel 2, stk. 1, nr. 36), i direktiv 2014/59/EU forstås ved "centrale forretningsområder" forretningsområder og hertil knyttede ydelser, der repræsenterer væsentlige kilder til indtægter, fortjeneste eller franchiseværdi for et institut eller en koncern, som et institut er en del af.</w:t>
      </w:r>
    </w:p>
    <w:p w14:paraId="7FE1B8D4" w14:textId="77777777" w:rsidR="00960E01" w:rsidRDefault="00821CB5">
      <w:pPr>
        <w:pStyle w:val="P68B1DB1-InstructionsText26"/>
        <w:numPr>
          <w:ilvl w:val="0"/>
          <w:numId w:val="232"/>
        </w:numPr>
        <w:spacing w:before="0"/>
      </w:pPr>
      <w:r>
        <w:t>I dette skema forstås ved økonomiske funktioner de funktioner, der er angivet i tabellen nedenfor.</w:t>
      </w:r>
    </w:p>
    <w:p w14:paraId="7FE1B8D5" w14:textId="77777777" w:rsidR="00960E01" w:rsidRDefault="00821CB5">
      <w:pPr>
        <w:pStyle w:val="P68B1DB1-InstructionsText26"/>
        <w:numPr>
          <w:ilvl w:val="0"/>
          <w:numId w:val="232"/>
        </w:numPr>
        <w:spacing w:before="0"/>
      </w:pPr>
      <w:r>
        <w:t>For hver kategori af økonomiske funktioner er det muligt at vælge "Andet", hvis funktionen ikke er omfattet af andre af de foruddefinerede funktioner.</w:t>
      </w:r>
    </w:p>
    <w:p w14:paraId="7FE1B8D6" w14:textId="77777777" w:rsidR="00960E01" w:rsidRDefault="00821CB5">
      <w:pPr>
        <w:pStyle w:val="P68B1DB1-InstructionsText26"/>
        <w:numPr>
          <w:ilvl w:val="0"/>
          <w:numId w:val="232"/>
        </w:numPr>
        <w:spacing w:before="0"/>
      </w:pPr>
      <w:r>
        <w:t>Modparter nævnt i række 0010-0070 samt række 0080-0150 defineres på samme måde som modpartssektorer, jf. FINREP, bilag V, del 1, kapitel 6. Ved "SMV'er" forstås små og mellemstore virksomheder som defineret i FINREP, bilag V, del 1, punkt 5, litra i).</w:t>
      </w:r>
    </w:p>
    <w:p w14:paraId="7FE1B8D7" w14:textId="4FEDF533" w:rsidR="00960E01" w:rsidRDefault="00821CB5">
      <w:pPr>
        <w:pStyle w:val="P68B1DB1-InstructionsText229"/>
        <w:numPr>
          <w:ilvl w:val="0"/>
          <w:numId w:val="0"/>
        </w:numPr>
        <w:rPr>
          <w:sz w:val="20"/>
          <w:szCs w:val="20"/>
        </w:rPr>
      </w:pPr>
      <w:r>
        <w:rPr>
          <w:sz w:val="20"/>
          <w:szCs w:val="20"/>
        </w:rPr>
        <w:t>Der forventes en særskilt fane for hver kategori af økonomiske funktioner.</w:t>
      </w:r>
      <w:r>
        <w:t xml:space="preserve"> </w:t>
      </w:r>
    </w:p>
    <w:p w14:paraId="072982A7" w14:textId="0688FD4A" w:rsidR="00960E01" w:rsidRDefault="00821CB5">
      <w:pPr>
        <w:spacing w:after="200" w:line="276" w:lineRule="auto"/>
      </w:pPr>
      <w:r>
        <w:br w:type="page"/>
      </w:r>
    </w:p>
    <w:p w14:paraId="7FE1B95D" w14:textId="634EB818" w:rsidR="00960E01" w:rsidRDefault="00960E01">
      <w:pPr>
        <w:pStyle w:val="InstructionsText2"/>
        <w:numPr>
          <w:ilvl w:val="0"/>
          <w:numId w:val="0"/>
        </w:numPr>
        <w:rPr>
          <w:rFonts w:ascii="Times New Roman" w:hAnsi="Times New Roman" w:cs="Times New Roman"/>
          <w:color w:val="000000" w:themeColor="text1"/>
        </w:rPr>
      </w:pPr>
    </w:p>
    <w:p w14:paraId="7FE1B95E" w14:textId="77777777" w:rsidR="00960E01" w:rsidRDefault="00821CB5">
      <w:pPr>
        <w:pStyle w:val="P68B1DB1-Instructionsberschrift25"/>
        <w:numPr>
          <w:ilvl w:val="1"/>
          <w:numId w:val="49"/>
        </w:numPr>
        <w:ind w:left="357" w:hanging="357"/>
      </w:pPr>
      <w:bookmarkStart w:id="105" w:name="_Toc208244562"/>
      <w:r>
        <w:t>Z 07.01 — Kritikalitetsvurdering af økonomiske funktioner (FUNC 1)</w:t>
      </w:r>
      <w:bookmarkEnd w:id="105"/>
    </w:p>
    <w:p w14:paraId="7FE1B960" w14:textId="7174EDC4" w:rsidR="00960E01" w:rsidRDefault="00821CB5">
      <w:pPr>
        <w:pStyle w:val="P68B1DB1-Instructionsberschrift25"/>
      </w:pPr>
      <w:r>
        <w:t xml:space="preserve"> </w:t>
      </w:r>
      <w:bookmarkStart w:id="106" w:name="_Toc172723210"/>
      <w:bookmarkEnd w:id="106"/>
    </w:p>
    <w:p w14:paraId="7FE1B961" w14:textId="77777777" w:rsidR="00960E01" w:rsidRDefault="00821CB5">
      <w:pPr>
        <w:pStyle w:val="P68B1DB1-body30"/>
      </w:pPr>
      <w:bookmarkStart w:id="107" w:name="_Toc164263845"/>
      <w:r>
        <w:t>Instrukser vedrørende specifikke positioner</w:t>
      </w:r>
      <w:bookmarkEnd w:id="107"/>
    </w:p>
    <w:p w14:paraId="7FE1B963" w14:textId="77777777" w:rsidR="00960E01" w:rsidRDefault="00821CB5">
      <w:pPr>
        <w:pStyle w:val="P68B1DB1-InstructionsText26"/>
        <w:numPr>
          <w:ilvl w:val="0"/>
          <w:numId w:val="232"/>
        </w:numPr>
        <w:spacing w:before="0"/>
      </w:pPr>
      <w:r>
        <w:t>Dette skema skal indberettes én gang for hver medlemsstat (identificeret som "land"), hvor koncernen er aktiv. I alle tilfælde (uanset indgangsstedet) aggregeres filialer i rapporten for det land, hvor de leverer tjenesteydelser.</w:t>
      </w:r>
    </w:p>
    <w:p w14:paraId="7FE1B964" w14:textId="77777777" w:rsidR="00960E01" w:rsidRDefault="00821CB5">
      <w:pPr>
        <w:pStyle w:val="P68B1DB1-InstructionsText26"/>
        <w:numPr>
          <w:ilvl w:val="0"/>
          <w:numId w:val="232"/>
        </w:numPr>
        <w:spacing w:before="0"/>
      </w:pPr>
      <w:r>
        <w:t>Det dækker alle økonomiske funktioner udført i den pågældende medlemsstat af en hvilken som helst af koncernens enheder, uanset om denne funktion er en kritisk funktion eller ej.</w:t>
      </w:r>
    </w:p>
    <w:p w14:paraId="7FE1B965" w14:textId="2359C381" w:rsidR="00960E01" w:rsidRDefault="00821CB5">
      <w:pPr>
        <w:pStyle w:val="P68B1DB1-InstructionsText26"/>
        <w:numPr>
          <w:ilvl w:val="0"/>
          <w:numId w:val="232"/>
        </w:numPr>
      </w:pPr>
      <w:r>
        <w:t>Regional rapportering (kun hvis relevant)</w:t>
      </w:r>
    </w:p>
    <w:p w14:paraId="7FE1B966" w14:textId="226CA454" w:rsidR="00960E01" w:rsidRDefault="00821CB5">
      <w:pPr>
        <w:pStyle w:val="P68B1DB1-InstructionsText26"/>
        <w:numPr>
          <w:ilvl w:val="0"/>
          <w:numId w:val="0"/>
        </w:numPr>
        <w:ind w:left="1440"/>
      </w:pPr>
      <w:r>
        <w:t>Angiv regionen til orientering på regionsniveau. Angiv regionens navn i fri tekst ved hjælp af følgende konvention:</w:t>
      </w:r>
    </w:p>
    <w:p w14:paraId="7FE1B967" w14:textId="5BD4C7F8" w:rsidR="00960E01" w:rsidRDefault="00821CB5">
      <w:pPr>
        <w:pStyle w:val="P68B1DB1-InstructionsText26"/>
        <w:numPr>
          <w:ilvl w:val="0"/>
          <w:numId w:val="0"/>
        </w:numPr>
        <w:ind w:left="1440" w:firstLine="18"/>
      </w:pPr>
      <w:r>
        <w:t>Medlemsstat — regionens navn. For medlemsstaternes navn anvendes den respektive forkortelse med to bogstaver. For regionens navn anvendes koden eller koderne i NUTS 2021-nomenklaturen.</w:t>
      </w:r>
    </w:p>
    <w:p w14:paraId="7FE1B968" w14:textId="77777777" w:rsidR="00960E01" w:rsidRDefault="00960E01">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60E01"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960E01" w:rsidRDefault="00821CB5">
            <w:pPr>
              <w:pStyle w:val="P68B1DB1-TableParagraph17"/>
              <w:spacing w:before="108"/>
              <w:ind w:left="85"/>
              <w:jc w:val="both"/>
            </w:pPr>
            <w:r>
              <w:t>Rækker</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960E01" w:rsidRDefault="00821CB5">
            <w:pPr>
              <w:pStyle w:val="P68B1DB1-TableParagraph17"/>
              <w:spacing w:before="108"/>
              <w:ind w:left="85" w:right="1"/>
              <w:jc w:val="both"/>
            </w:pPr>
            <w:r>
              <w:t>Økonomisk funktion</w:t>
            </w:r>
          </w:p>
        </w:tc>
      </w:tr>
      <w:tr w:rsidR="00960E01" w:rsidRPr="001B654F" w14:paraId="7FE1B970" w14:textId="77777777">
        <w:tc>
          <w:tcPr>
            <w:tcW w:w="9083" w:type="dxa"/>
            <w:gridSpan w:val="2"/>
            <w:tcBorders>
              <w:top w:val="single" w:sz="4" w:space="0" w:color="1A171C"/>
              <w:left w:val="nil"/>
              <w:bottom w:val="single" w:sz="4" w:space="0" w:color="1A171C"/>
            </w:tcBorders>
          </w:tcPr>
          <w:p w14:paraId="7FE1B96C" w14:textId="0D085442" w:rsidR="00960E01" w:rsidRDefault="00821CB5">
            <w:pPr>
              <w:pStyle w:val="P68B1DB1-TableParagraph16"/>
              <w:spacing w:before="108"/>
              <w:ind w:left="85"/>
              <w:jc w:val="both"/>
              <w:rPr>
                <w:b/>
                <w:bCs/>
                <w:color w:val="000000" w:themeColor="text1"/>
                <w:sz w:val="20"/>
                <w:szCs w:val="20"/>
              </w:rPr>
            </w:pPr>
            <w:r>
              <w:t>Z 07.01.1 FUNC 1 DEP</w:t>
            </w:r>
          </w:p>
          <w:p w14:paraId="7FE1B96D" w14:textId="77777777" w:rsidR="00960E01" w:rsidRDefault="00821CB5">
            <w:pPr>
              <w:pStyle w:val="P68B1DB1-TableParagraph17"/>
              <w:spacing w:before="108"/>
              <w:ind w:left="85"/>
            </w:pPr>
            <w:r>
              <w:t xml:space="preserve">Ved indskud forstås modtagelse af indskud fra ikke-finansielle formidlere. Det omfatter ikke låntagning fra andre finansielle formidlere (behandles særskilt under "engrosfinansiering"). </w:t>
            </w:r>
          </w:p>
          <w:p w14:paraId="7FE1B96E" w14:textId="77777777" w:rsidR="00960E01" w:rsidRDefault="00821CB5">
            <w:pPr>
              <w:pStyle w:val="P68B1DB1-TableParagraph17"/>
              <w:spacing w:before="108"/>
              <w:ind w:left="85"/>
            </w:pPr>
            <w:r>
              <w:t>Indskud omfatter: anfordringskonti/dag til dag-indskud, ii) tidsindskud og iii) indskud med opsigelsesvarsel — genkøbsaftaler er ikke omfattet.</w:t>
            </w:r>
          </w:p>
          <w:p w14:paraId="7FE1B96F" w14:textId="77777777" w:rsidR="00960E01" w:rsidRPr="001B654F" w:rsidRDefault="00821CB5">
            <w:pPr>
              <w:pStyle w:val="P68B1DB1-TableParagraph13"/>
              <w:spacing w:before="108"/>
              <w:ind w:left="85"/>
              <w:rPr>
                <w:rFonts w:eastAsia="Cambria"/>
              </w:rPr>
            </w:pPr>
            <w:r w:rsidRPr="001B654F">
              <w:t>Referencer: FSB's Guidance on Identification of Critical Functions and Critical Shared Services (2013), s. 14; Del 2, punkt 9.1, 9.2 og 9.3, i bilag II til forordning (EU) 2021/379.</w:t>
            </w:r>
          </w:p>
        </w:tc>
      </w:tr>
      <w:tr w:rsidR="00960E01"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960E01" w:rsidRDefault="00821CB5">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960E01" w:rsidRDefault="00821CB5">
            <w:pPr>
              <w:pStyle w:val="P68B1DB1-TableParagraph14"/>
              <w:spacing w:before="108"/>
              <w:ind w:left="85"/>
              <w:jc w:val="both"/>
              <w:rPr>
                <w:rFonts w:eastAsia="Cambria"/>
              </w:rPr>
            </w:pPr>
            <w:r>
              <w:t>Husholdninger</w:t>
            </w:r>
          </w:p>
        </w:tc>
      </w:tr>
      <w:tr w:rsidR="00960E01"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960E01" w:rsidRDefault="00821CB5">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960E01" w:rsidRDefault="00821CB5">
            <w:pPr>
              <w:pStyle w:val="P68B1DB1-TableParagraph14"/>
              <w:spacing w:before="108"/>
              <w:ind w:left="85"/>
              <w:jc w:val="both"/>
              <w:rPr>
                <w:rFonts w:eastAsia="Cambria"/>
              </w:rPr>
            </w:pPr>
            <w:r>
              <w:t>Ikke-finansielle selskaber (SMV'er)</w:t>
            </w:r>
          </w:p>
        </w:tc>
      </w:tr>
      <w:tr w:rsidR="00960E01"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960E01" w:rsidRDefault="00821CB5">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960E01" w:rsidRDefault="00821CB5">
            <w:pPr>
              <w:pStyle w:val="P68B1DB1-TableParagraph14"/>
              <w:spacing w:before="108"/>
              <w:ind w:left="85"/>
              <w:jc w:val="both"/>
              <w:rPr>
                <w:rFonts w:eastAsia="Cambria"/>
              </w:rPr>
            </w:pPr>
            <w:r>
              <w:t>Ikke-finansielle selskaber (ikke-SMV'er)</w:t>
            </w:r>
          </w:p>
        </w:tc>
      </w:tr>
      <w:tr w:rsidR="00960E01"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960E01" w:rsidRDefault="00821CB5">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960E01" w:rsidRDefault="00821CB5">
            <w:pPr>
              <w:pStyle w:val="P68B1DB1-TableParagraph14"/>
              <w:spacing w:before="108"/>
              <w:ind w:left="85"/>
              <w:jc w:val="both"/>
              <w:rPr>
                <w:rFonts w:eastAsia="Cambria"/>
              </w:rPr>
            </w:pPr>
            <w:r>
              <w:t>Offentlig forvaltning og service</w:t>
            </w:r>
          </w:p>
        </w:tc>
      </w:tr>
      <w:tr w:rsidR="00960E01"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960E01" w:rsidRDefault="00821CB5">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960E01" w:rsidRDefault="00821CB5">
            <w:pPr>
              <w:pStyle w:val="P68B1DB1-TableParagraph14"/>
              <w:spacing w:before="108"/>
              <w:ind w:left="85"/>
              <w:jc w:val="both"/>
              <w:rPr>
                <w:rFonts w:eastAsia="Cambria"/>
              </w:rPr>
            </w:pPr>
            <w:r>
              <w:t>Andre sektorer/modparter (1), (2) og (3)</w:t>
            </w:r>
          </w:p>
        </w:tc>
      </w:tr>
      <w:tr w:rsidR="00960E01" w:rsidRPr="001B654F" w14:paraId="7FE1B983" w14:textId="77777777">
        <w:tc>
          <w:tcPr>
            <w:tcW w:w="9083" w:type="dxa"/>
            <w:gridSpan w:val="2"/>
            <w:tcBorders>
              <w:top w:val="single" w:sz="4" w:space="0" w:color="1A171C"/>
              <w:left w:val="nil"/>
              <w:bottom w:val="single" w:sz="4" w:space="0" w:color="1A171C"/>
            </w:tcBorders>
          </w:tcPr>
          <w:p w14:paraId="7FE1B980" w14:textId="13950F51" w:rsidR="00960E01" w:rsidRDefault="00821CB5">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960E01" w:rsidRDefault="00821CB5">
            <w:pPr>
              <w:pStyle w:val="P68B1DB1-TableParagraph17"/>
              <w:spacing w:before="108"/>
              <w:ind w:left="85"/>
            </w:pPr>
            <w:r>
              <w:t>Ved udlån forstås tilrådighedsstillelse af midler til ikke-finansielle modparter, såsom erhvervskunder og detailkunder. Udlån til finansielle modparter er en særskilt aktivitet og vurderes under "engrosfinansiering". Lån omfatter gældsinstrumenter, som besiddes af instituttet, men omfatter ikke gældsinstrumenter, der er værdipapirer, uanset deres regnskabsmæssige klassificering (f.eks. "hold-til-udløb" eller "disponibel for salg").</w:t>
            </w:r>
          </w:p>
          <w:p w14:paraId="7FE1B982" w14:textId="77777777" w:rsidR="00960E01" w:rsidRPr="001B654F" w:rsidRDefault="00821CB5">
            <w:pPr>
              <w:pStyle w:val="P68B1DB1-TableParagraph13"/>
              <w:spacing w:before="108"/>
              <w:ind w:left="85"/>
              <w:rPr>
                <w:rFonts w:eastAsia="Cambria"/>
              </w:rPr>
            </w:pPr>
            <w:r w:rsidRPr="001B654F">
              <w:t>Referencer: FSB's Guidance on Identification of Critical Functions and Critical Shared Services (2013), s. 17; Del 2, punkt 2, i bilag II til forordning (EU) 2021/379.</w:t>
            </w:r>
          </w:p>
        </w:tc>
      </w:tr>
      <w:tr w:rsidR="00960E01"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960E01" w:rsidRDefault="00821CB5">
            <w:pPr>
              <w:pStyle w:val="P68B1DB1-TableParagraph17"/>
              <w:spacing w:before="108"/>
              <w:ind w:left="85"/>
              <w:jc w:val="both"/>
            </w:pPr>
            <w:r>
              <w:t>0080</w:t>
            </w:r>
          </w:p>
        </w:tc>
        <w:tc>
          <w:tcPr>
            <w:tcW w:w="7892" w:type="dxa"/>
            <w:tcBorders>
              <w:top w:val="single" w:sz="4" w:space="0" w:color="1A171C"/>
              <w:left w:val="single" w:sz="4" w:space="0" w:color="1A171C"/>
              <w:bottom w:val="single" w:sz="4" w:space="0" w:color="1A171C"/>
              <w:right w:val="nil"/>
            </w:tcBorders>
          </w:tcPr>
          <w:p w14:paraId="7FE1B985" w14:textId="77777777" w:rsidR="00960E01" w:rsidRDefault="00821CB5">
            <w:pPr>
              <w:pStyle w:val="P68B1DB1-TableParagraph14"/>
              <w:spacing w:before="108"/>
              <w:ind w:left="85"/>
              <w:jc w:val="both"/>
              <w:rPr>
                <w:bCs/>
              </w:rPr>
            </w:pPr>
            <w:r>
              <w:t>Husholdninger — udlån til boligkøb</w:t>
            </w:r>
          </w:p>
          <w:p w14:paraId="7FE1B986" w14:textId="77777777" w:rsidR="00960E01" w:rsidRDefault="00821CB5">
            <w:pPr>
              <w:pStyle w:val="P68B1DB1-TableParagraph17"/>
              <w:spacing w:before="108"/>
              <w:ind w:left="85"/>
            </w:pPr>
            <w:r>
              <w:lastRenderedPageBreak/>
              <w:t>Sikrede lån ydet til husholdninger med fast ejendom som sikkerhed</w:t>
            </w:r>
          </w:p>
        </w:tc>
      </w:tr>
      <w:tr w:rsidR="00960E01"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960E01" w:rsidRDefault="00821CB5">
            <w:pPr>
              <w:pStyle w:val="P68B1DB1-TableParagraph17"/>
              <w:spacing w:before="108"/>
              <w:ind w:left="85"/>
              <w:jc w:val="both"/>
            </w:pPr>
            <w:r>
              <w:lastRenderedPageBreak/>
              <w:t>0090</w:t>
            </w:r>
          </w:p>
        </w:tc>
        <w:tc>
          <w:tcPr>
            <w:tcW w:w="7892" w:type="dxa"/>
            <w:tcBorders>
              <w:top w:val="single" w:sz="4" w:space="0" w:color="1A171C"/>
              <w:left w:val="single" w:sz="4" w:space="0" w:color="1A171C"/>
              <w:bottom w:val="single" w:sz="4" w:space="0" w:color="1A171C"/>
              <w:right w:val="nil"/>
            </w:tcBorders>
          </w:tcPr>
          <w:p w14:paraId="7FE1B989" w14:textId="77777777" w:rsidR="00960E01" w:rsidRDefault="00821CB5">
            <w:pPr>
              <w:pStyle w:val="P68B1DB1-TableParagraph14"/>
              <w:spacing w:before="108"/>
              <w:ind w:left="85"/>
              <w:jc w:val="both"/>
              <w:rPr>
                <w:bCs/>
              </w:rPr>
            </w:pPr>
            <w:r>
              <w:t>Husholdninger — andre udlån</w:t>
            </w:r>
          </w:p>
        </w:tc>
      </w:tr>
      <w:tr w:rsidR="00960E01"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960E01" w:rsidRDefault="00821CB5">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960E01" w:rsidRDefault="00821CB5">
            <w:pPr>
              <w:pStyle w:val="P68B1DB1-TableParagraph14"/>
              <w:spacing w:before="108"/>
              <w:ind w:left="85"/>
              <w:jc w:val="both"/>
              <w:rPr>
                <w:bCs/>
              </w:rPr>
            </w:pPr>
            <w:r>
              <w:t>Ikke-finansielle selskaber — SMV'er</w:t>
            </w:r>
          </w:p>
        </w:tc>
      </w:tr>
      <w:tr w:rsidR="00960E01"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960E01" w:rsidRDefault="00821CB5">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960E01" w:rsidRDefault="00821CB5">
            <w:pPr>
              <w:pStyle w:val="P68B1DB1-TableParagraph14"/>
              <w:spacing w:before="108"/>
              <w:ind w:left="85"/>
              <w:jc w:val="both"/>
              <w:rPr>
                <w:bCs/>
              </w:rPr>
            </w:pPr>
            <w:r>
              <w:t>Ikke-finansielle selskaber — ikke-SMV'er</w:t>
            </w:r>
          </w:p>
        </w:tc>
      </w:tr>
      <w:tr w:rsidR="00960E01"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960E01" w:rsidRDefault="00821CB5">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960E01" w:rsidRDefault="00821CB5">
            <w:pPr>
              <w:pStyle w:val="P68B1DB1-TableParagraph14"/>
              <w:spacing w:before="108"/>
              <w:ind w:left="85"/>
              <w:jc w:val="both"/>
              <w:rPr>
                <w:bCs/>
              </w:rPr>
            </w:pPr>
            <w:r>
              <w:t>Offentlig forvaltning og service</w:t>
            </w:r>
          </w:p>
        </w:tc>
      </w:tr>
      <w:tr w:rsidR="00960E01"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960E01" w:rsidRDefault="00821CB5">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960E01" w:rsidRDefault="00821CB5">
            <w:pPr>
              <w:pStyle w:val="P68B1DB1-TableParagraph14"/>
              <w:spacing w:before="108"/>
              <w:ind w:left="85"/>
              <w:jc w:val="both"/>
              <w:rPr>
                <w:rFonts w:eastAsia="Cambria"/>
              </w:rPr>
            </w:pPr>
            <w:r>
              <w:t>Andre sektorer/modparter (1), (2) og (3)</w:t>
            </w:r>
          </w:p>
        </w:tc>
      </w:tr>
      <w:tr w:rsidR="00960E01" w14:paraId="7FE1B99C" w14:textId="77777777">
        <w:tc>
          <w:tcPr>
            <w:tcW w:w="9083" w:type="dxa"/>
            <w:gridSpan w:val="2"/>
            <w:tcBorders>
              <w:top w:val="single" w:sz="4" w:space="0" w:color="1A171C"/>
              <w:left w:val="nil"/>
              <w:bottom w:val="single" w:sz="4" w:space="0" w:color="1A171C"/>
            </w:tcBorders>
          </w:tcPr>
          <w:p w14:paraId="7FE1B997" w14:textId="4D3079F6" w:rsidR="00960E01" w:rsidRPr="001B654F" w:rsidRDefault="00821CB5">
            <w:pPr>
              <w:pStyle w:val="TableParagraph"/>
              <w:spacing w:before="108"/>
              <w:ind w:left="85"/>
              <w:jc w:val="both"/>
              <w:rPr>
                <w:rFonts w:ascii="Times New Roman" w:eastAsia="Cambria" w:hAnsi="Times New Roman" w:cs="Times New Roman"/>
                <w:color w:val="000000" w:themeColor="text1"/>
                <w:sz w:val="20"/>
                <w:szCs w:val="20"/>
              </w:rPr>
            </w:pPr>
            <w:r w:rsidRPr="001B654F">
              <w:rPr>
                <w:rFonts w:ascii="Times New Roman" w:hAnsi="Times New Roman" w:cs="Times New Roman"/>
              </w:rPr>
              <w:t xml:space="preserve">Z 07.01.3 FUNC 1 </w:t>
            </w:r>
            <w:r w:rsidR="0034370D">
              <w:rPr>
                <w:rFonts w:ascii="Times New Roman" w:hAnsi="Times New Roman" w:cs="Times New Roman"/>
              </w:rPr>
              <w:t>PAY</w:t>
            </w:r>
            <w:r w:rsidRPr="001B654F">
              <w:rPr>
                <w:rFonts w:ascii="Times New Roman" w:eastAsia="Cambria" w:hAnsi="Times New Roman" w:cs="Times New Roman"/>
                <w:color w:val="000000" w:themeColor="text1"/>
                <w:sz w:val="20"/>
                <w:szCs w:val="20"/>
              </w:rPr>
              <w:t xml:space="preserve"> </w:t>
            </w:r>
          </w:p>
          <w:p w14:paraId="7FE1B998" w14:textId="77777777" w:rsidR="00960E01" w:rsidRPr="001B654F" w:rsidRDefault="00821CB5">
            <w:pPr>
              <w:pStyle w:val="P68B1DB1-TableParagraph13"/>
              <w:spacing w:before="108"/>
              <w:ind w:left="85"/>
              <w:jc w:val="both"/>
              <w:rPr>
                <w:rFonts w:eastAsia="Cambria"/>
              </w:rPr>
            </w:pPr>
            <w:r w:rsidRPr="001B654F">
              <w:t>Ref.: FSB's Guidance on Identification of Critical Functions and Critical Shared Services (2013), s. 20.</w:t>
            </w:r>
          </w:p>
          <w:p w14:paraId="7FE1B999" w14:textId="77777777" w:rsidR="00960E01" w:rsidRDefault="00821CB5">
            <w:pPr>
              <w:pStyle w:val="P68B1DB1-TableParagraph13"/>
              <w:spacing w:before="108"/>
              <w:ind w:left="85"/>
              <w:jc w:val="both"/>
              <w:rPr>
                <w:rFonts w:eastAsia="Cambria"/>
              </w:rPr>
            </w:pPr>
            <w:r>
              <w:t>De økonomiske funktioner, der hører ind under denne overskrift, er tilrådighedsstillelse af betalinger, kontanter, afvikling, clearing og deponeringstjenester fra et kreditinstituts side, som formidler mellem egne kunder eller som formidler mellem en kunde og en eller flere relevante finansielle markedsinfrastrukturer (FMI'er), eller tilvejebringelse af (indirekte) adgang til FMI'er for andre banker. I tråd med FSB's Guidance on Identification of Critical Functions and Critical Shared Services er betalings-, clearing- og afregningsfunktionen begrænset til tjenester, som bankerne tilbyder deres kunder. Denne kategori omfatter ikke tjenester leveret af (rene) FMI-udbydere. I dette skema omfatter FMI'er betalingssystemer, værdipapirafviklingssystemer, værdipapircentraler og centrale modparter (men ikke transaktionsregistre).</w:t>
            </w:r>
          </w:p>
          <w:p w14:paraId="7FE1B99A" w14:textId="77777777"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"Betalingstjeneste","betalingstransaktion" og "betalingssystem" har samme betydning som defineret i artikel 4, henholdsvis nr. 3), 5) og 7), i direktiv 2015/2366 om betalingstjenester i det indre marked</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960E01" w:rsidRDefault="00960E01">
            <w:pPr>
              <w:pStyle w:val="TableParagraph"/>
              <w:spacing w:before="108"/>
              <w:ind w:left="85"/>
              <w:jc w:val="both"/>
              <w:rPr>
                <w:rFonts w:ascii="Times New Roman" w:eastAsia="Cambria" w:hAnsi="Times New Roman" w:cs="Times New Roman"/>
                <w:color w:val="000000" w:themeColor="text1"/>
                <w:sz w:val="20"/>
                <w:szCs w:val="20"/>
              </w:rPr>
            </w:pPr>
          </w:p>
        </w:tc>
      </w:tr>
      <w:tr w:rsidR="00960E01"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960E01" w:rsidRDefault="00821CB5">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960E01" w:rsidRDefault="00821CB5">
            <w:pPr>
              <w:pStyle w:val="P68B1DB1-TableParagraph14"/>
              <w:spacing w:before="108"/>
              <w:ind w:left="85"/>
              <w:jc w:val="both"/>
              <w:rPr>
                <w:bCs/>
              </w:rPr>
            </w:pPr>
            <w:r>
              <w:t>Betalingstjenester til MFI'er</w:t>
            </w:r>
          </w:p>
          <w:p w14:paraId="7FE1B99F" w14:textId="77777777" w:rsidR="00960E01" w:rsidRDefault="00821CB5">
            <w:pPr>
              <w:pStyle w:val="P68B1DB1-TableParagraph17"/>
              <w:spacing w:before="108"/>
              <w:ind w:left="85"/>
              <w:jc w:val="both"/>
            </w:pPr>
            <w:r>
              <w:t>Denne række omfatter betalingstjenester, der tilbydes til monetære finansielle institutioner (MFI'er), med eller uden anvendelse af eksterne betalingssystemer. Dette inkluderer også (betalinger i tilknytning til) korrespondentbankydelser. MFI'er omfatter alle institutionelle enheder, der indgår i følgende delsektorer: i) centralbank pengeinstitutter med undtagelse af centralbanken og iii) pengemarkedsforeninger.</w:t>
            </w:r>
          </w:p>
        </w:tc>
      </w:tr>
      <w:tr w:rsidR="00960E01"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960E01" w:rsidRDefault="00821CB5">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960E01" w:rsidRDefault="00821CB5">
            <w:pPr>
              <w:pStyle w:val="P68B1DB1-TableParagraph14"/>
              <w:spacing w:before="108"/>
              <w:ind w:left="85"/>
              <w:jc w:val="both"/>
              <w:rPr>
                <w:bCs/>
              </w:rPr>
            </w:pPr>
            <w:r>
              <w:t>Betalingstjenester til ikke-MFI'er</w:t>
            </w:r>
          </w:p>
          <w:p w14:paraId="7FE1B9A3" w14:textId="77777777" w:rsidR="00960E01" w:rsidRDefault="00821CB5">
            <w:pPr>
              <w:pStyle w:val="P68B1DB1-TableParagraph17"/>
              <w:spacing w:before="108"/>
              <w:ind w:left="85"/>
            </w:pPr>
            <w:r>
              <w:t>Betalingstjenester, der tilbydes til kunder, med eller uden anvendelse af eksterne betalingssystemer. Dette omfatter udelukkende fysiske eller juridiske personer, der ikke tilhører MFI-sektoren. Betalingstjenesteudbydere er heller ikke omfattet af "ikke-MFI'er"-sektoren.</w:t>
            </w:r>
          </w:p>
          <w:p w14:paraId="7FE1B9A4" w14:textId="77777777" w:rsidR="00960E01" w:rsidRDefault="00821CB5">
            <w:pPr>
              <w:pStyle w:val="P68B1DB1-TableParagraph17"/>
              <w:spacing w:before="108"/>
              <w:ind w:left="85"/>
            </w:pPr>
            <w:r>
              <w:t>Funktionen er yderligere opdelt i 3 underfunktioner:</w:t>
            </w:r>
          </w:p>
          <w:p w14:paraId="7FE1B9A5" w14:textId="77777777" w:rsidR="00960E01" w:rsidRDefault="00821CB5">
            <w:pPr>
              <w:pStyle w:val="P68B1DB1-TableParagraph17"/>
              <w:spacing w:before="108"/>
              <w:ind w:left="85"/>
            </w:pPr>
            <w:r>
              <w:t>(1) Husholdninger</w:t>
            </w:r>
          </w:p>
          <w:p w14:paraId="7FE1B9A6" w14:textId="77777777" w:rsidR="00960E01" w:rsidRDefault="00821CB5">
            <w:pPr>
              <w:pStyle w:val="P68B1DB1-TableParagraph17"/>
              <w:spacing w:before="108"/>
              <w:ind w:left="85"/>
            </w:pPr>
            <w:r>
              <w:t>(2) Ikke-finansielle selskaber — SMV'er</w:t>
            </w:r>
          </w:p>
          <w:p w14:paraId="7FE1B9A7" w14:textId="77777777" w:rsidR="00960E01" w:rsidRDefault="00821CB5">
            <w:pPr>
              <w:pStyle w:val="P68B1DB1-TableParagraph17"/>
              <w:spacing w:before="108"/>
              <w:ind w:left="85"/>
            </w:pPr>
            <w:r>
              <w:t>(3) Ikke-finansielle selskaber — ikke-SMV'er</w:t>
            </w:r>
          </w:p>
        </w:tc>
      </w:tr>
      <w:tr w:rsidR="00960E01"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960E01" w:rsidRDefault="00821CB5">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960E01" w:rsidRDefault="00821CB5">
            <w:pPr>
              <w:pStyle w:val="P68B1DB1-TableParagraph14"/>
              <w:spacing w:before="108"/>
              <w:ind w:left="85"/>
              <w:jc w:val="both"/>
              <w:rPr>
                <w:bCs/>
              </w:rPr>
            </w:pPr>
            <w:r>
              <w:t>Kontanttjenester</w:t>
            </w:r>
          </w:p>
          <w:p w14:paraId="7FE1B9AB" w14:textId="77777777" w:rsidR="00960E01" w:rsidRDefault="00821CB5">
            <w:pPr>
              <w:pStyle w:val="P68B1DB1-TableParagraph17"/>
              <w:spacing w:before="108"/>
              <w:ind w:left="85"/>
            </w:pPr>
            <w:r>
              <w:t xml:space="preserve">Levering af kontanttjenester til kunder (både enkeltpersoner og virksomheder, kun ikke-MFI'er). Disse tjenester vedrører hævning i kontantautomater og ved skranken i filialer og omfatter ikke andre kontanttjenester (såsom pengetransport for store detailbutikker). Hævning af kontanter med check og ved skranken i filialer ved brug af en blanket (hvor kort vil kunne bruges som ID) </w:t>
            </w:r>
            <w:r>
              <w:lastRenderedPageBreak/>
              <w:t>er omfattet.</w:t>
            </w:r>
          </w:p>
        </w:tc>
      </w:tr>
      <w:tr w:rsidR="00960E01"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960E01" w:rsidRDefault="00821CB5">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960E01" w:rsidRDefault="00821CB5">
            <w:pPr>
              <w:pStyle w:val="P68B1DB1-TableParagraph14"/>
              <w:spacing w:before="108"/>
              <w:ind w:left="85"/>
              <w:jc w:val="both"/>
              <w:rPr>
                <w:bCs/>
              </w:rPr>
            </w:pPr>
            <w:r>
              <w:t>Værdipapirafviklingstjenester</w:t>
            </w:r>
          </w:p>
          <w:p w14:paraId="7FE1B9AF" w14:textId="77777777" w:rsidR="00960E01" w:rsidRDefault="00821CB5">
            <w:pPr>
              <w:pStyle w:val="P68B1DB1-TableParagraph17"/>
              <w:spacing w:before="108"/>
              <w:ind w:left="85"/>
            </w:pPr>
            <w:r>
              <w:t>Tjenester, der tilbydes til kunderne til bekræftelse, clearing og afvikling af værdipapirtransaktioner, med eller uden brug af værdipapirafviklingssystemer. Ved "afvikling" forstås afslutning af en værdipapirtransaktion, uanset hvor den gennemføres, med det formål at opfylde parternes forpligtelser vedrørende den pågældende transaktion ved at overføre kontanter og/eller værdipapirer.</w:t>
            </w:r>
          </w:p>
        </w:tc>
      </w:tr>
      <w:tr w:rsidR="00960E01"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960E01" w:rsidRDefault="00821CB5">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960E01" w:rsidRDefault="00821CB5">
            <w:pPr>
              <w:pStyle w:val="P68B1DB1-TableParagraph14"/>
              <w:spacing w:before="108"/>
              <w:ind w:left="85"/>
              <w:jc w:val="both"/>
              <w:rPr>
                <w:bCs/>
              </w:rPr>
            </w:pPr>
            <w:r>
              <w:t>CCP-clearingtjenester</w:t>
            </w:r>
          </w:p>
          <w:p w14:paraId="7FE1B9B3" w14:textId="77777777" w:rsidR="00960E01" w:rsidRDefault="00821CB5">
            <w:pPr>
              <w:pStyle w:val="P68B1DB1-TableParagraph17"/>
              <w:spacing w:before="108"/>
              <w:ind w:left="85"/>
            </w:pPr>
            <w:r>
              <w:t>Værdipapirer og derivatclearingtjenester til kunder. Dette omfatter også tilvejebringelse af indirekte adgang til en central modpart (CCP).</w:t>
            </w:r>
          </w:p>
        </w:tc>
      </w:tr>
      <w:tr w:rsidR="00960E01"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960E01" w:rsidRDefault="00821CB5">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960E01" w:rsidRDefault="00821CB5">
            <w:pPr>
              <w:pStyle w:val="P68B1DB1-TableParagraph14"/>
              <w:spacing w:before="108"/>
              <w:ind w:left="85"/>
              <w:jc w:val="both"/>
              <w:rPr>
                <w:bCs/>
              </w:rPr>
            </w:pPr>
            <w:r>
              <w:t>Deponeringstjenester</w:t>
            </w:r>
          </w:p>
          <w:p w14:paraId="7FE1B9B7" w14:textId="77777777" w:rsidR="00960E01" w:rsidRDefault="00821CB5">
            <w:pPr>
              <w:pStyle w:val="P68B1DB1-TableParagraph17"/>
              <w:spacing w:before="108"/>
              <w:ind w:left="85"/>
            </w:pPr>
            <w:r>
              <w:t>Opbevaring og forvaltning af finansielle instrumenter for kunder samt tjenester vedrørende formueforvaltning, som f.eks. forvaltning af kontanter og sikkerhedsstillelse.</w:t>
            </w:r>
          </w:p>
        </w:tc>
      </w:tr>
      <w:tr w:rsidR="00960E01"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960E01" w:rsidRDefault="00821CB5">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960E01" w:rsidRDefault="00821CB5">
            <w:pPr>
              <w:pStyle w:val="P68B1DB1-TableParagraph14"/>
              <w:spacing w:before="108"/>
              <w:ind w:left="85"/>
              <w:jc w:val="both"/>
              <w:rPr>
                <w:rFonts w:eastAsia="Cambria"/>
              </w:rPr>
            </w:pPr>
            <w:r>
              <w:t>Andre tjenester/aktiviteter/funktioner (1), (2) og (3)</w:t>
            </w:r>
          </w:p>
        </w:tc>
      </w:tr>
      <w:tr w:rsidR="00960E01" w14:paraId="7FE1B9BE" w14:textId="77777777">
        <w:tc>
          <w:tcPr>
            <w:tcW w:w="9083" w:type="dxa"/>
            <w:gridSpan w:val="2"/>
            <w:tcBorders>
              <w:top w:val="single" w:sz="4" w:space="0" w:color="1A171C"/>
              <w:left w:val="nil"/>
              <w:bottom w:val="single" w:sz="4" w:space="0" w:color="1A171C"/>
            </w:tcBorders>
          </w:tcPr>
          <w:p w14:paraId="7FE1B9BC" w14:textId="4228BCAA" w:rsidR="00960E01" w:rsidRDefault="00821CB5">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960E01" w:rsidRDefault="00821CB5">
            <w:pPr>
              <w:pStyle w:val="P68B1DB1-TableParagraph17"/>
              <w:spacing w:before="108"/>
              <w:ind w:left="85"/>
              <w:jc w:val="both"/>
            </w:pPr>
            <w:r>
              <w:t xml:space="preserve">Ved kapitalmarkedsaktiviteter forstås udstedelse og handel med værdipapirer, dermed beslægtede rådgivningstjenester samt tjenester i forbindelse hermed, såsom mæglertjenester og market making. </w:t>
            </w:r>
          </w:p>
        </w:tc>
      </w:tr>
      <w:tr w:rsidR="00960E01"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960E01" w:rsidRDefault="00821CB5">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960E01" w:rsidRDefault="00821CB5">
            <w:pPr>
              <w:pStyle w:val="P68B1DB1-TableParagraph14"/>
              <w:spacing w:before="108"/>
              <w:ind w:left="85"/>
              <w:jc w:val="both"/>
              <w:rPr>
                <w:bCs/>
              </w:rPr>
            </w:pPr>
            <w:r>
              <w:t>Derivater, der besiddes med handel for øje (OTC)</w:t>
            </w:r>
          </w:p>
          <w:p w14:paraId="7FE1B9C1" w14:textId="2FDAA405" w:rsidR="00960E01" w:rsidRDefault="00821CB5">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Artikel 2, stk. 5 og 7, i forordning (EF) nr.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960E01" w:rsidRDefault="00821CB5">
            <w:pPr>
              <w:pStyle w:val="P68B1DB1-TableParagraph17"/>
              <w:spacing w:before="108"/>
              <w:ind w:left="85"/>
            </w:pPr>
            <w:r>
              <w:t>Ved et derivat eller en derivataftale forstås et finansielt instrument som fastsat i afsnit C, punkt 4-10, i bilag I til direktiv 2014/65/EU som gennemført ved artikel 38 og 39 i forordning (EF) nr. 1287/2006.</w:t>
            </w:r>
          </w:p>
          <w:p w14:paraId="7FE1B9C3" w14:textId="583C566B" w:rsidR="00960E01" w:rsidRDefault="00821CB5">
            <w:pPr>
              <w:pStyle w:val="P68B1DB1-TableParagraph17"/>
              <w:spacing w:before="108"/>
              <w:ind w:left="85"/>
            </w:pPr>
            <w:r>
              <w:t>Ved et OTC-derivat eller en OTC-derivataftale forstås en derivataftale, hvis gennemførelse ikke finder sted på et reguleret marked som defineret i artikel 4, stk. 1, nr. 21), i direktiv 2014/65/EF eller på et tredjelandsmarked, der anses for at svare til et reguleret marked i henhold til artikel 2a i forordning (EU) nr. 648/2012.</w:t>
            </w:r>
          </w:p>
          <w:p w14:paraId="7FE1B9C4" w14:textId="77777777" w:rsidR="00960E01" w:rsidRDefault="00821CB5">
            <w:pPr>
              <w:pStyle w:val="P68B1DB1-TableParagraph17"/>
              <w:spacing w:before="108"/>
              <w:ind w:left="85"/>
            </w:pPr>
            <w:r>
              <w:t xml:space="preserve">Det indberettede beløb må kun omfatte derivater, der handles på OTC-markedet. </w:t>
            </w:r>
          </w:p>
        </w:tc>
      </w:tr>
      <w:tr w:rsidR="00960E01"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960E01" w:rsidRDefault="00821CB5">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960E01" w:rsidRDefault="00821CB5">
            <w:pPr>
              <w:pStyle w:val="P68B1DB1-TableParagraph14"/>
              <w:spacing w:before="108"/>
              <w:ind w:left="85"/>
              <w:jc w:val="both"/>
              <w:rPr>
                <w:bCs/>
              </w:rPr>
            </w:pPr>
            <w:r>
              <w:t>Derivater, der besiddes med handel for øje (ikke-OTC)</w:t>
            </w:r>
          </w:p>
          <w:p w14:paraId="7FE1B9C8" w14:textId="77777777" w:rsidR="00960E01" w:rsidRDefault="00821CB5">
            <w:pPr>
              <w:pStyle w:val="P68B1DB1-TableParagraph17"/>
              <w:spacing w:before="108"/>
              <w:ind w:left="85"/>
            </w:pPr>
            <w:r>
              <w:t xml:space="preserve">Alle derivater, der besiddes med handel for øje, bortset fra OTC-derivater, der besiddes med handel for øje. </w:t>
            </w:r>
          </w:p>
        </w:tc>
      </w:tr>
      <w:tr w:rsidR="00960E01"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960E01" w:rsidRDefault="00821CB5">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960E01" w:rsidRDefault="00821CB5">
            <w:pPr>
              <w:pStyle w:val="P68B1DB1-TableParagraph14"/>
              <w:spacing w:before="108"/>
              <w:ind w:left="85"/>
              <w:jc w:val="both"/>
              <w:rPr>
                <w:bCs/>
              </w:rPr>
            </w:pPr>
            <w:r>
              <w:t>Sekundære markeder/handel:</w:t>
            </w:r>
          </w:p>
          <w:p w14:paraId="7FE1B9CC" w14:textId="77777777" w:rsidR="00960E01" w:rsidRDefault="00821CB5">
            <w:pPr>
              <w:pStyle w:val="P68B1DB1-TableParagraph17"/>
              <w:spacing w:before="108"/>
              <w:ind w:left="85"/>
            </w:pPr>
            <w:r>
              <w:t>Det sekundære marked er der, hvor investorer køber og sælger værdipapirer. Denne funktion knytter sig til den samlede handelsportefølje (dvs. egenkapital, corporate credit, sovereign credit).</w:t>
            </w:r>
          </w:p>
          <w:p w14:paraId="7FE1B9CD" w14:textId="77777777" w:rsidR="00960E01" w:rsidRDefault="00821CB5">
            <w:pPr>
              <w:pStyle w:val="P68B1DB1-TableParagraph17"/>
              <w:spacing w:before="108"/>
              <w:ind w:left="85"/>
            </w:pPr>
            <w:r>
              <w:t>Det indberettede beløb skal omfatte værdien af værdipapirer målt som det samlede beløb af værdipapirer, der besiddes med handel for øje. Værdipapirer indberettes til dagsværdien på indberetningsdatoen.</w:t>
            </w:r>
          </w:p>
          <w:p w14:paraId="7FE1B9CE" w14:textId="77777777" w:rsidR="00960E01" w:rsidRDefault="00821CB5">
            <w:pPr>
              <w:pStyle w:val="P68B1DB1-TableParagraph17"/>
              <w:spacing w:before="108"/>
              <w:ind w:left="85"/>
            </w:pPr>
            <w:r>
              <w:t>Beløbet må ikke omfatte lån, derivater eller ikke-omsættelige aktiver (f.eks. tilgodehavender).</w:t>
            </w:r>
          </w:p>
        </w:tc>
      </w:tr>
      <w:tr w:rsidR="00960E01"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960E01" w:rsidRDefault="00821CB5">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960E01" w:rsidRDefault="00821CB5">
            <w:pPr>
              <w:pStyle w:val="P68B1DB1-TableParagraph14"/>
              <w:spacing w:before="108"/>
              <w:ind w:left="85"/>
              <w:jc w:val="both"/>
              <w:rPr>
                <w:bCs/>
              </w:rPr>
            </w:pPr>
            <w:r>
              <w:t>Primære markeder/underwriting</w:t>
            </w:r>
          </w:p>
          <w:p w14:paraId="7FE1B9D2" w14:textId="77777777" w:rsidR="00960E01" w:rsidRDefault="00821CB5">
            <w:pPr>
              <w:pStyle w:val="P68B1DB1-TableParagraph17"/>
              <w:spacing w:before="108"/>
              <w:ind w:left="85"/>
            </w:pPr>
            <w:r>
              <w:lastRenderedPageBreak/>
              <w:t>Ved primære markeder forstås markeder, hvor virksomheder, regeringer og andre grupper udsteder nye værdipapirer på en børs med henblik på at skaffe finansiering gennem gældsbaserede eller egenkapitalbaserede værdipapirer (som f.eks. almindelige aktier og præferenceaktiver, virksomhedsobligationer, gældsbeviser, skatkammerbeviser og statsobligationer). Primære markeder faciliteres af garantikonsortier.</w:t>
            </w:r>
          </w:p>
        </w:tc>
      </w:tr>
      <w:tr w:rsidR="00960E01"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960E01" w:rsidRDefault="00821CB5">
            <w:pPr>
              <w:pStyle w:val="P68B1DB1-TableParagraph17"/>
              <w:spacing w:before="108"/>
              <w:ind w:left="85"/>
              <w:jc w:val="both"/>
            </w:pPr>
            <w:r>
              <w:lastRenderedPageBreak/>
              <w:t>0290-0310</w:t>
            </w:r>
          </w:p>
        </w:tc>
        <w:tc>
          <w:tcPr>
            <w:tcW w:w="7892" w:type="dxa"/>
            <w:tcBorders>
              <w:top w:val="single" w:sz="4" w:space="0" w:color="1A171C"/>
              <w:left w:val="single" w:sz="4" w:space="0" w:color="1A171C"/>
              <w:bottom w:val="single" w:sz="4" w:space="0" w:color="1A171C"/>
              <w:right w:val="nil"/>
            </w:tcBorders>
          </w:tcPr>
          <w:p w14:paraId="7FE1B9D5" w14:textId="77777777" w:rsidR="00960E01" w:rsidRDefault="00821CB5">
            <w:pPr>
              <w:pStyle w:val="P68B1DB1-TableParagraph14"/>
              <w:spacing w:before="108"/>
              <w:ind w:left="85"/>
              <w:jc w:val="both"/>
              <w:rPr>
                <w:rFonts w:eastAsia="Cambria"/>
              </w:rPr>
            </w:pPr>
            <w:r>
              <w:t>Andre tjenester/aktiviteter/funktioner (1), (2) og (3)</w:t>
            </w:r>
          </w:p>
        </w:tc>
      </w:tr>
      <w:tr w:rsidR="00960E01" w14:paraId="7FE1B9D9" w14:textId="77777777">
        <w:tc>
          <w:tcPr>
            <w:tcW w:w="9083" w:type="dxa"/>
            <w:gridSpan w:val="2"/>
            <w:tcBorders>
              <w:top w:val="single" w:sz="4" w:space="0" w:color="1A171C"/>
              <w:left w:val="nil"/>
              <w:bottom w:val="single" w:sz="4" w:space="0" w:color="1A171C"/>
            </w:tcBorders>
          </w:tcPr>
          <w:p w14:paraId="7FE1B9D7" w14:textId="1DCC31B9" w:rsidR="00960E01" w:rsidRDefault="00821CB5">
            <w:pPr>
              <w:pStyle w:val="P68B1DB1-TableParagraph16"/>
              <w:spacing w:before="108"/>
              <w:ind w:left="85"/>
              <w:jc w:val="both"/>
              <w:rPr>
                <w:b/>
                <w:bCs/>
                <w:color w:val="000000" w:themeColor="text1"/>
                <w:sz w:val="20"/>
                <w:szCs w:val="20"/>
              </w:rPr>
            </w:pPr>
            <w:r>
              <w:t>Z 07.01.5 FUNC 1 WF</w:t>
            </w:r>
          </w:p>
          <w:p w14:paraId="7FE1B9D8" w14:textId="77777777" w:rsidR="00960E01" w:rsidRDefault="00821CB5">
            <w:pPr>
              <w:pStyle w:val="P68B1DB1-TableParagraph17"/>
              <w:spacing w:before="108"/>
              <w:ind w:left="85"/>
              <w:jc w:val="both"/>
            </w:pPr>
            <w:r>
              <w:t>Udlåns- og indlånsaktiviteter på engrosmarkeder til og fra finansielle modparter (kreditinstitutter og andre finansielle selskaber).</w:t>
            </w:r>
          </w:p>
        </w:tc>
      </w:tr>
      <w:tr w:rsidR="00960E01"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960E01" w:rsidRDefault="00821CB5">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960E01" w:rsidRDefault="00821CB5">
            <w:pPr>
              <w:pStyle w:val="P68B1DB1-TableParagraph14"/>
              <w:spacing w:before="108"/>
              <w:ind w:left="85"/>
              <w:jc w:val="both"/>
              <w:rPr>
                <w:bCs/>
              </w:rPr>
            </w:pPr>
            <w:r>
              <w:t>Låntagning</w:t>
            </w:r>
          </w:p>
          <w:p w14:paraId="7FE1B9DC" w14:textId="77777777" w:rsidR="00960E01" w:rsidRDefault="00821CB5">
            <w:pPr>
              <w:pStyle w:val="P68B1DB1-TableParagraph17"/>
              <w:spacing w:before="108"/>
              <w:ind w:left="85"/>
            </w:pPr>
            <w:r>
              <w:t>Låntagning på engrosmarkeder fra finansielle modparter (herunder gennem genkøbsaftaler, interbanklåntagning, gældsbreve, indlånsbeviser, pengemarkedsforeninger, kreditlinjer, gældsbreve med sikkerhed i konkrete aktiver og fiduciary deposits).</w:t>
            </w:r>
          </w:p>
        </w:tc>
      </w:tr>
      <w:tr w:rsidR="00960E01"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960E01" w:rsidRDefault="00821CB5">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960E01" w:rsidRDefault="00821CB5">
            <w:pPr>
              <w:pStyle w:val="P68B1DB1-TableParagraph14"/>
              <w:spacing w:before="108"/>
              <w:ind w:left="85"/>
              <w:jc w:val="both"/>
              <w:rPr>
                <w:bCs/>
              </w:rPr>
            </w:pPr>
            <w:r>
              <w:t>Derivater (aktiver)</w:t>
            </w:r>
          </w:p>
          <w:p w14:paraId="7FE1B9E0" w14:textId="77777777" w:rsidR="00960E01" w:rsidRDefault="00821CB5">
            <w:pPr>
              <w:pStyle w:val="P68B1DB1-TableParagraph17"/>
              <w:spacing w:before="108"/>
              <w:ind w:left="85"/>
            </w:pPr>
            <w:r>
              <w:t>Alle derivater med finansielle modparter, som holdes på aktivsiden i balancen. I modsætning til under "Kapitalmarkeder" omfatter derivater under "Engrosfinansiering" alle derivataftaler med finansielle modparter (ikke begrænset til højfrekvenshandel).</w:t>
            </w:r>
          </w:p>
        </w:tc>
      </w:tr>
      <w:tr w:rsidR="00960E01"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960E01" w:rsidRDefault="00821CB5">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960E01" w:rsidRDefault="00821CB5">
            <w:pPr>
              <w:pStyle w:val="P68B1DB1-TableParagraph14"/>
              <w:spacing w:before="108"/>
              <w:ind w:left="85"/>
              <w:jc w:val="both"/>
              <w:rPr>
                <w:bCs/>
              </w:rPr>
            </w:pPr>
            <w:r>
              <w:t>Långivning</w:t>
            </w:r>
          </w:p>
          <w:p w14:paraId="7FE1B9E4" w14:textId="77777777" w:rsidR="00960E01" w:rsidRDefault="00821CB5">
            <w:pPr>
              <w:pStyle w:val="P68B1DB1-TableParagraph17"/>
              <w:spacing w:before="108"/>
              <w:ind w:left="85"/>
            </w:pPr>
            <w:r>
              <w:t>Udlån på engrosmarkeder til finansielle modparter (herunder gennem omvendte repolån, gældsbreve, indlånsbeviser, pengemarkedsforeninger, kreditlinjer, gældsbreve med sikkerhed i konkrete aktiver og fiduciary deposits).</w:t>
            </w:r>
          </w:p>
        </w:tc>
      </w:tr>
      <w:tr w:rsidR="00960E01"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960E01" w:rsidRDefault="00821CB5">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960E01" w:rsidRDefault="00821CB5">
            <w:pPr>
              <w:pStyle w:val="P68B1DB1-TableParagraph14"/>
              <w:spacing w:before="108"/>
              <w:ind w:left="85"/>
              <w:jc w:val="both"/>
              <w:rPr>
                <w:bCs/>
              </w:rPr>
            </w:pPr>
            <w:r>
              <w:t>Derivater (forpligtelser)</w:t>
            </w:r>
          </w:p>
          <w:p w14:paraId="7FE1B9E8" w14:textId="77777777" w:rsidR="00960E01" w:rsidRDefault="00821CB5">
            <w:pPr>
              <w:pStyle w:val="P68B1DB1-TableParagraph17"/>
              <w:spacing w:before="108"/>
              <w:ind w:left="85"/>
              <w:jc w:val="both"/>
            </w:pPr>
            <w:r>
              <w:t xml:space="preserve">Alle derivater med finansielle modparter, som holdes på passivsiden i balancen. </w:t>
            </w:r>
          </w:p>
        </w:tc>
      </w:tr>
      <w:tr w:rsidR="00960E01"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960E01" w:rsidRDefault="00821CB5">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960E01" w:rsidRDefault="00821CB5">
            <w:pPr>
              <w:pStyle w:val="P68B1DB1-TableParagraph14"/>
              <w:spacing w:before="108"/>
              <w:ind w:left="85"/>
              <w:jc w:val="both"/>
              <w:rPr>
                <w:bCs/>
              </w:rPr>
            </w:pPr>
            <w:r>
              <w:t>Andre typer produkter (1), (2) og (3)</w:t>
            </w:r>
          </w:p>
          <w:p w14:paraId="7FE1B9EC" w14:textId="77777777" w:rsidR="00960E01" w:rsidRDefault="00821CB5">
            <w:pPr>
              <w:pStyle w:val="P68B1DB1-TableParagraph17"/>
              <w:spacing w:before="108"/>
              <w:ind w:left="85"/>
            </w:pPr>
            <w:r>
              <w:t>Enhver funktion af den økonomiske funktion "Engrosfinansiering", som ikke er omfattet af ovenstående.</w:t>
            </w:r>
          </w:p>
        </w:tc>
      </w:tr>
    </w:tbl>
    <w:p w14:paraId="7FE1B9EE" w14:textId="77777777" w:rsidR="00960E01" w:rsidRDefault="00960E01">
      <w:pPr>
        <w:pStyle w:val="InstructionsText2"/>
        <w:numPr>
          <w:ilvl w:val="0"/>
          <w:numId w:val="0"/>
        </w:numPr>
        <w:ind w:left="1440" w:firstLine="18"/>
        <w:rPr>
          <w:rFonts w:ascii="Times New Roman" w:hAnsi="Times New Roman" w:cs="Times New Roman"/>
          <w:sz w:val="20"/>
          <w:szCs w:val="20"/>
        </w:rPr>
      </w:pPr>
    </w:p>
    <w:p w14:paraId="7FE1B9EF" w14:textId="3D9C3A6F" w:rsidR="00960E01" w:rsidRDefault="00821CB5">
      <w:pPr>
        <w:pStyle w:val="P68B1DB1-Instructionsberschrift25"/>
        <w:numPr>
          <w:ilvl w:val="1"/>
          <w:numId w:val="49"/>
        </w:numPr>
        <w:ind w:left="357" w:hanging="357"/>
      </w:pPr>
      <w:bookmarkStart w:id="108" w:name="_Toc208244563"/>
      <w:r>
        <w:t>Z 07.01.1 FUNC 1 DEP</w:t>
      </w:r>
      <w:bookmarkEnd w:id="108"/>
    </w:p>
    <w:p w14:paraId="7FE1B9F9" w14:textId="77777777" w:rsidR="00960E01" w:rsidRDefault="00960E01">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60E01"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960E01" w:rsidRDefault="00821CB5">
            <w:pPr>
              <w:pStyle w:val="P68B1DB1-TableParagraph17"/>
              <w:spacing w:before="108"/>
              <w:ind w:left="85"/>
              <w:jc w:val="both"/>
            </w:pPr>
            <w:r>
              <w:t>Kolonner</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960E01" w:rsidRDefault="00821CB5">
            <w:pPr>
              <w:pStyle w:val="P68B1DB1-TableParagraph17"/>
              <w:spacing w:before="108"/>
              <w:ind w:left="85" w:right="1"/>
              <w:jc w:val="both"/>
            </w:pPr>
            <w:r>
              <w:t>Instrukser</w:t>
            </w:r>
          </w:p>
        </w:tc>
      </w:tr>
      <w:tr w:rsidR="00960E01"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960E01" w:rsidRDefault="00821CB5">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960E01" w:rsidRDefault="00821CB5">
            <w:pPr>
              <w:pStyle w:val="P68B1DB1-TableParagraph14"/>
              <w:spacing w:before="108"/>
              <w:ind w:left="85"/>
              <w:jc w:val="both"/>
              <w:rPr>
                <w:bCs/>
              </w:rPr>
            </w:pPr>
            <w:r>
              <w:t>Beskrivelse af økonomisk funktion</w:t>
            </w:r>
          </w:p>
          <w:p w14:paraId="7FE1B9FF" w14:textId="2DF858EE" w:rsidR="00960E01" w:rsidRDefault="00821CB5">
            <w:pPr>
              <w:pStyle w:val="P68B1DB1-TableParagraph17"/>
              <w:spacing w:before="108"/>
              <w:ind w:left="85"/>
            </w:pPr>
            <w:r>
              <w:t xml:space="preserve">Hvis den økonomiske funktion er af typen "Andet" (funktioner i r0050 til r0070), skal der gives en beskrivelse af denne funktion. </w:t>
            </w:r>
          </w:p>
        </w:tc>
      </w:tr>
      <w:tr w:rsidR="00960E01"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960E01" w:rsidRDefault="00821CB5">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960E01" w:rsidRDefault="00821CB5">
            <w:pPr>
              <w:pStyle w:val="P68B1DB1-TableParagraph14"/>
              <w:spacing w:before="108"/>
              <w:ind w:left="85"/>
              <w:jc w:val="both"/>
              <w:rPr>
                <w:bCs/>
              </w:rPr>
            </w:pPr>
            <w:r>
              <w:t xml:space="preserve">Markedsandel </w:t>
            </w:r>
          </w:p>
          <w:p w14:paraId="7FE1BA03" w14:textId="2B787841" w:rsidR="00960E01" w:rsidRDefault="00821CB5">
            <w:pPr>
              <w:pStyle w:val="P68B1DB1-TableParagraph17"/>
              <w:spacing w:before="108"/>
              <w:ind w:left="85"/>
            </w:pPr>
            <w:r>
              <w:t>Skøn over instituttets eller koncernens markedsandel for så vidt angår den økonomiske funktion i det pågældende land eller geografiske område. En procentdel af det samlede marked (Værdien på kontoer).</w:t>
            </w:r>
          </w:p>
        </w:tc>
      </w:tr>
      <w:tr w:rsidR="00960E01"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960E01" w:rsidRDefault="00821CB5">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960E01" w:rsidRDefault="00821CB5">
            <w:pPr>
              <w:pStyle w:val="P68B1DB1-TableParagraph14"/>
              <w:spacing w:before="108"/>
              <w:jc w:val="both"/>
              <w:rPr>
                <w:bCs/>
              </w:rPr>
            </w:pPr>
            <w:r>
              <w:t>Regnskabsmæssig værdi</w:t>
            </w:r>
          </w:p>
          <w:p w14:paraId="7FE1BA07" w14:textId="77777777" w:rsidR="00960E01" w:rsidRDefault="00821CB5">
            <w:pPr>
              <w:pStyle w:val="P68B1DB1-TableParagraph17"/>
              <w:spacing w:before="108"/>
            </w:pPr>
            <w:r>
              <w:lastRenderedPageBreak/>
              <w:t>Balanceværdi (inkl. påløbne renter) af indskud</w:t>
            </w:r>
          </w:p>
          <w:p w14:paraId="7FE1BA08" w14:textId="77777777" w:rsidR="00960E01" w:rsidRDefault="00821CB5">
            <w:pPr>
              <w:pStyle w:val="P68B1DB1-TableParagraph17"/>
              <w:spacing w:before="108"/>
            </w:pPr>
            <w:r>
              <w:t>Referencer: FINREP, bilag III og IV, skema F 08.01, og bilag V, del 2, punkt 97.</w:t>
            </w:r>
          </w:p>
        </w:tc>
      </w:tr>
      <w:tr w:rsidR="00960E01"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960E01" w:rsidRDefault="00821CB5">
            <w:pPr>
              <w:pStyle w:val="P68B1DB1-TableParagraph17"/>
              <w:spacing w:before="108"/>
              <w:ind w:left="85"/>
              <w:jc w:val="both"/>
            </w:pPr>
            <w:r>
              <w:lastRenderedPageBreak/>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960E01" w:rsidRDefault="00821CB5">
            <w:pPr>
              <w:pStyle w:val="P68B1DB1-TableParagraph14"/>
              <w:spacing w:before="108"/>
              <w:jc w:val="both"/>
              <w:rPr>
                <w:bCs/>
              </w:rPr>
            </w:pPr>
            <w:bookmarkStart w:id="109" w:name="_Hlk162030772"/>
            <w:r>
              <w:t>Heraf uforsikrede</w:t>
            </w:r>
          </w:p>
          <w:p w14:paraId="7FE1BA0C" w14:textId="464500AA" w:rsidR="00960E01" w:rsidRDefault="00821CB5">
            <w:pPr>
              <w:pStyle w:val="P68B1DB1-TableParagraph13"/>
              <w:spacing w:before="108"/>
              <w:rPr>
                <w:rFonts w:eastAsia="Cambria"/>
              </w:rPr>
            </w:pPr>
            <w:r>
              <w:t>Regnskabsmæssig værdi (inklusive påløbne renter) af indskud, der er modtaget med en saldo på over 100 000,00 EUR</w:t>
            </w:r>
            <w:bookmarkEnd w:id="109"/>
            <w:r>
              <w:t>. Kun beløb på over 100 EUR skal indberettes her.</w:t>
            </w:r>
          </w:p>
        </w:tc>
      </w:tr>
      <w:tr w:rsidR="00960E01"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960E01" w:rsidRDefault="00821CB5">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960E01" w:rsidRDefault="00821CB5">
            <w:pPr>
              <w:pStyle w:val="P68B1DB1-TableParagraph14"/>
              <w:spacing w:before="108"/>
              <w:ind w:left="85"/>
              <w:jc w:val="both"/>
              <w:rPr>
                <w:bCs/>
              </w:rPr>
            </w:pPr>
            <w:bookmarkStart w:id="110" w:name="_Hlk162030782"/>
            <w:r>
              <w:t>Heraf tilbagevendende</w:t>
            </w:r>
          </w:p>
          <w:p w14:paraId="7FE1BA12" w14:textId="14AEAE5C" w:rsidR="00960E01" w:rsidRDefault="00821CB5">
            <w:pPr>
              <w:pStyle w:val="P68B1DB1-TableParagraph13"/>
              <w:spacing w:before="108"/>
              <w:ind w:left="85"/>
              <w:jc w:val="both"/>
            </w:pPr>
            <w:bookmarkStart w:id="111" w:name="_Hlk170377814"/>
            <w:bookmarkStart w:id="112" w:name="_Hlk162030851"/>
            <w:r>
              <w:t xml:space="preserve">Regnskabsmæssig værdi (herunder påløbne renter) af modtagne indskud på en tilbagevendende indlånskonto.  Tilbagevendende indlånskonti er indskudskonti, hvor kontoen er blevet debiteret eller krediteret mindst 5 månedlige transaktioner i gennemsnit i løbet af de 6 måneder, der går forud for skæringsdatoen, bortset fra årlige gebyrer, andre afgifter og rentebetalinger i forbindelse med kontoen. </w:t>
            </w:r>
            <w:bookmarkEnd w:id="111"/>
          </w:p>
          <w:bookmarkEnd w:id="110"/>
          <w:bookmarkEnd w:id="112"/>
          <w:p w14:paraId="7FE1BA13" w14:textId="0C63C868" w:rsidR="00960E01" w:rsidRDefault="00960E01">
            <w:pPr>
              <w:pStyle w:val="TableParagraph"/>
              <w:spacing w:before="108"/>
              <w:ind w:left="85"/>
              <w:jc w:val="both"/>
              <w:rPr>
                <w:rFonts w:ascii="Times New Roman" w:hAnsi="Times New Roman" w:cs="Times New Roman"/>
                <w:color w:val="000000" w:themeColor="text1"/>
                <w:sz w:val="20"/>
                <w:szCs w:val="20"/>
              </w:rPr>
            </w:pPr>
          </w:p>
        </w:tc>
      </w:tr>
      <w:tr w:rsidR="00960E01"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960E01" w:rsidRDefault="00821CB5">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960E01" w:rsidRDefault="00821CB5">
            <w:pPr>
              <w:pStyle w:val="P68B1DB1-TableParagraph14"/>
              <w:spacing w:before="108"/>
              <w:ind w:left="85"/>
              <w:jc w:val="both"/>
              <w:rPr>
                <w:bCs/>
              </w:rPr>
            </w:pPr>
            <w:r>
              <w:t>Antal kunder</w:t>
            </w:r>
          </w:p>
          <w:p w14:paraId="7FE1BA17" w14:textId="77777777" w:rsidR="00960E01" w:rsidRDefault="00821CB5">
            <w:pPr>
              <w:pStyle w:val="P68B1DB1-TableParagraph13"/>
              <w:spacing w:before="108"/>
              <w:ind w:left="85"/>
              <w:jc w:val="both"/>
            </w:pPr>
            <w:r>
              <w:t>Samlet antal kunder, der har deponeret de værdier, der er indberettet i c0030 "værdi på konti". En kunde til mere end ét indskudsprodukt/én konto medregnes kun én gang.</w:t>
            </w:r>
          </w:p>
        </w:tc>
      </w:tr>
      <w:tr w:rsidR="00960E01"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960E01" w:rsidRDefault="00821CB5">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960E01" w:rsidRDefault="00821CB5">
            <w:pPr>
              <w:pStyle w:val="P68B1DB1-TableParagraph14"/>
              <w:spacing w:before="108"/>
              <w:ind w:left="85"/>
              <w:jc w:val="both"/>
              <w:rPr>
                <w:bCs/>
              </w:rPr>
            </w:pPr>
            <w:r>
              <w:t>Antal konti</w:t>
            </w:r>
          </w:p>
          <w:p w14:paraId="7FE1BA1B" w14:textId="77777777" w:rsidR="00960E01" w:rsidRDefault="00821CB5">
            <w:pPr>
              <w:pStyle w:val="P68B1DB1-TableParagraph13"/>
              <w:spacing w:before="108"/>
              <w:ind w:left="85"/>
              <w:jc w:val="both"/>
            </w:pPr>
            <w:r>
              <w:t>Samlet antal anfordringskonti/indlån på anfordring, tidsindskud og</w:t>
            </w:r>
          </w:p>
          <w:p w14:paraId="7FE1BA1C" w14:textId="36D44222" w:rsidR="00960E01" w:rsidRDefault="00821CB5">
            <w:pPr>
              <w:pStyle w:val="P68B1DB1-TableParagraph13"/>
              <w:spacing w:before="108"/>
              <w:ind w:left="85"/>
              <w:jc w:val="both"/>
            </w:pPr>
            <w:r>
              <w:t>indlån med opsigelsesvarsel. Fælles konti medregnes kun én gang. 25.</w:t>
            </w:r>
          </w:p>
          <w:p w14:paraId="7FE1BA1D" w14:textId="07F9DB1C" w:rsidR="00960E01" w:rsidRDefault="00821CB5">
            <w:pPr>
              <w:pStyle w:val="P68B1DB1-TableParagraph13"/>
              <w:spacing w:before="108"/>
              <w:ind w:left="85"/>
              <w:jc w:val="both"/>
            </w:pPr>
            <w:r>
              <w:t>det samlede antal konti i denne kolonne svarer til den værdi, der er indberettet i c0030</w:t>
            </w:r>
          </w:p>
          <w:p w14:paraId="7FE1BA1E" w14:textId="77777777" w:rsidR="00960E01" w:rsidRDefault="00821CB5">
            <w:pPr>
              <w:pStyle w:val="P68B1DB1-TableParagraph13"/>
              <w:spacing w:before="108"/>
              <w:ind w:left="85"/>
              <w:jc w:val="both"/>
              <w:rPr>
                <w:b/>
                <w:bCs/>
              </w:rPr>
            </w:pPr>
            <w:r>
              <w:t>"regnskabsmæssig værdi".</w:t>
            </w:r>
          </w:p>
        </w:tc>
      </w:tr>
      <w:tr w:rsidR="00960E01"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960E01" w:rsidRDefault="00821CB5">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960E01" w:rsidRDefault="00821CB5">
            <w:pPr>
              <w:pStyle w:val="P68B1DB1-TableParagraph14"/>
              <w:spacing w:before="108"/>
              <w:ind w:left="85"/>
              <w:jc w:val="both"/>
              <w:rPr>
                <w:bCs/>
              </w:rPr>
            </w:pPr>
            <w:r>
              <w:t>Heraf tilbagevendende</w:t>
            </w:r>
          </w:p>
          <w:p w14:paraId="7FE1BA22" w14:textId="00C60993" w:rsidR="00960E01" w:rsidRDefault="00821CB5">
            <w:pPr>
              <w:pStyle w:val="P68B1DB1-TableParagraph13"/>
              <w:spacing w:before="108"/>
              <w:ind w:left="85"/>
              <w:jc w:val="both"/>
            </w:pPr>
            <w:r>
              <w:t>Samlet antal løbende konti som defineret i c0036</w:t>
            </w:r>
          </w:p>
        </w:tc>
      </w:tr>
      <w:tr w:rsidR="00960E01"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960E01" w:rsidRDefault="00821CB5">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960E01" w:rsidRDefault="00821CB5">
            <w:pPr>
              <w:pStyle w:val="P68B1DB1-TableParagraph14"/>
              <w:spacing w:before="108"/>
              <w:ind w:left="85"/>
              <w:jc w:val="both"/>
              <w:rPr>
                <w:bCs/>
              </w:rPr>
            </w:pPr>
            <w:r>
              <w:t>Grænseoverskridende værdi</w:t>
            </w:r>
          </w:p>
          <w:p w14:paraId="7FE1BA26" w14:textId="77777777" w:rsidR="00960E01" w:rsidRDefault="00821CB5">
            <w:pPr>
              <w:pStyle w:val="P68B1DB1-TableParagraph13"/>
              <w:spacing w:before="108"/>
              <w:ind w:left="85"/>
              <w:jc w:val="both"/>
            </w:pPr>
            <w:r>
              <w:t>Regnskabsværdi for ikke-residenter (udenlandske personer). Indenlandske personer omfatter: i)</w:t>
            </w:r>
          </w:p>
          <w:p w14:paraId="7FE1BA27" w14:textId="77777777" w:rsidR="00960E01" w:rsidRDefault="00821CB5">
            <w:pPr>
              <w:pStyle w:val="P68B1DB1-TableParagraph13"/>
              <w:spacing w:before="108"/>
              <w:ind w:left="85"/>
              <w:jc w:val="both"/>
            </w:pPr>
            <w:r>
              <w:t>personer, der har deres primære økonomiske interesse (økonomiske aktiviteter i mindst et år,</w:t>
            </w:r>
          </w:p>
          <w:p w14:paraId="7FE1BA28" w14:textId="77777777" w:rsidR="00960E01" w:rsidRDefault="00821CB5">
            <w:pPr>
              <w:pStyle w:val="P68B1DB1-TableParagraph13"/>
              <w:spacing w:before="108"/>
              <w:ind w:left="85"/>
              <w:jc w:val="both"/>
            </w:pPr>
            <w:r>
              <w:t>ejerskab af fysiske aktiver betragtes som tilstrækkeligt bevis) i det land, hvor</w:t>
            </w:r>
          </w:p>
          <w:p w14:paraId="7FE1BA29" w14:textId="77777777" w:rsidR="00960E01" w:rsidRDefault="00821CB5">
            <w:pPr>
              <w:pStyle w:val="P68B1DB1-TableParagraph13"/>
              <w:spacing w:before="108"/>
              <w:ind w:left="85"/>
              <w:jc w:val="both"/>
            </w:pPr>
            <w:r>
              <w:t>regnskabsaflæggende virksomhed og ii) udenlandske filialer af den regnskabsaflæggende virksomheds kunder.</w:t>
            </w:r>
          </w:p>
          <w:p w14:paraId="7FE1BA2A" w14:textId="77777777" w:rsidR="00960E01" w:rsidRDefault="00821CB5">
            <w:pPr>
              <w:pStyle w:val="P68B1DB1-TableParagraph13"/>
              <w:spacing w:before="108"/>
              <w:ind w:left="85"/>
              <w:jc w:val="both"/>
              <w:rPr>
                <w:b/>
                <w:bCs/>
              </w:rPr>
            </w:pPr>
            <w:r>
              <w:t xml:space="preserve">Ref.: </w:t>
            </w:r>
          </w:p>
        </w:tc>
      </w:tr>
      <w:tr w:rsidR="00960E01"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960E01" w:rsidRDefault="00821CB5">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960E01" w:rsidRDefault="00821CB5">
            <w:pPr>
              <w:pStyle w:val="P68B1DB1-TableParagraph14"/>
              <w:spacing w:before="108"/>
              <w:jc w:val="both"/>
              <w:rPr>
                <w:bCs/>
              </w:rPr>
            </w:pPr>
            <w:r>
              <w:t>Konsekvens- og substituerbarhedsanalyser</w:t>
            </w:r>
          </w:p>
          <w:p w14:paraId="7FE1BA2E" w14:textId="2C85C98D" w:rsidR="00960E01" w:rsidRDefault="00821CB5">
            <w:pPr>
              <w:pStyle w:val="P68B1DB1-Normal31"/>
              <w:spacing w:line="276" w:lineRule="auto"/>
              <w:jc w:val="both"/>
            </w:pPr>
            <w:r>
              <w:t>Vurderingskriterierne for indvirkningen på tredjeparter skal omfatte følgende elementer i overensstemmelse med Kommissionens delegerede forordning (EU) 2016/778:</w:t>
            </w:r>
          </w:p>
          <w:p w14:paraId="7FE1BA2F" w14:textId="77777777" w:rsidR="00960E01" w:rsidRDefault="00821CB5">
            <w:pPr>
              <w:pStyle w:val="P68B1DB1-ListParagraph32"/>
              <w:numPr>
                <w:ilvl w:val="0"/>
                <w:numId w:val="131"/>
              </w:numPr>
              <w:spacing w:line="276" w:lineRule="auto"/>
              <w:rPr>
                <w:b/>
                <w:bCs/>
              </w:rPr>
            </w:pPr>
            <w:r>
              <w:rPr>
                <w:b/>
              </w:rPr>
              <w:t>arten og omfanget af aktiviteten, den</w:t>
            </w:r>
            <w:r>
              <w:t xml:space="preserve"> globale, nationale eller regionale rækkevidde samt omfanget og antallet af transaktioner; antallet af kunder og modparter; antallet af kunder, for hvilke instituttet er den eneste eller primære bankforretningspartner</w:t>
            </w:r>
          </w:p>
          <w:p w14:paraId="7FE1BA30" w14:textId="77777777" w:rsidR="00960E01" w:rsidRDefault="00821CB5">
            <w:pPr>
              <w:pStyle w:val="P68B1DB1-ListParagraph32"/>
              <w:numPr>
                <w:ilvl w:val="0"/>
                <w:numId w:val="131"/>
              </w:numPr>
              <w:spacing w:line="276" w:lineRule="auto"/>
              <w:rPr>
                <w:b/>
                <w:bCs/>
              </w:rPr>
            </w:pPr>
            <w:r>
              <w:rPr>
                <w:b/>
              </w:rPr>
              <w:t>relevansen af instituttet på</w:t>
            </w:r>
            <w:r>
              <w:t xml:space="preserve">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A31" w14:textId="77777777" w:rsidR="00960E01" w:rsidRDefault="00821CB5">
            <w:pPr>
              <w:pStyle w:val="P68B1DB1-ListParagraph32"/>
              <w:numPr>
                <w:ilvl w:val="0"/>
                <w:numId w:val="131"/>
              </w:numPr>
              <w:spacing w:line="276" w:lineRule="auto"/>
              <w:rPr>
                <w:b/>
                <w:bCs/>
              </w:rPr>
            </w:pPr>
            <w:r>
              <w:rPr>
                <w:b/>
              </w:rPr>
              <w:lastRenderedPageBreak/>
              <w:t>Relevansen af instituttet kan vurderes på grundlag</w:t>
            </w:r>
            <w:r>
              <w:t xml:space="preserve"> af markedsandelen, den indbyrdes forbundethed, kompleksiteten og grænseoverskridende aktiviteter </w:t>
            </w:r>
          </w:p>
          <w:p w14:paraId="7FE1BA32" w14:textId="77777777" w:rsidR="00960E01" w:rsidRDefault="00821CB5">
            <w:pPr>
              <w:pStyle w:val="P68B1DB1-ListParagraph32"/>
              <w:numPr>
                <w:ilvl w:val="0"/>
                <w:numId w:val="131"/>
              </w:numPr>
              <w:spacing w:line="276" w:lineRule="auto"/>
              <w:rPr>
                <w:b/>
                <w:bCs/>
              </w:rPr>
            </w:pPr>
            <w:r>
              <w:rPr>
                <w:b/>
              </w:rPr>
              <w:t>den mulige forstyrrelse af funktionen for markeder, infrastrukturer, kunder og offentlige tjenester</w:t>
            </w:r>
            <w:r>
              <w:t>. Den mulige forstyrrelse af funktionen for markeder, infrastrukturer, kunder og offentlige tjenester.Vurderingen kan bl.a. omfatte indvirkningen på likviditeten på de berørte markeder, virkningen og omfanget af forstyrrelsen for kundeaktiviteter og kortfristede likviditetsbehov; mærkbarheden for modparter, kunder og offentligheden; kundereaktionernes kapacitet og hastighed; relevansen for andre markeders funktion: indvirkningen på et andet markeds likviditet, transaktioner og struktur; indvirkningen på andre modparter i forbindelse med de vigtigste kunder og funktionens relationer til andre ydelser.</w:t>
            </w:r>
          </w:p>
          <w:p w14:paraId="7FE1BA33" w14:textId="77777777" w:rsidR="00960E01" w:rsidRDefault="00960E01">
            <w:pPr>
              <w:pStyle w:val="TableParagraph"/>
              <w:spacing w:before="108"/>
              <w:ind w:left="85"/>
              <w:jc w:val="both"/>
              <w:rPr>
                <w:rFonts w:ascii="Times New Roman" w:hAnsi="Times New Roman" w:cs="Times New Roman"/>
                <w:b/>
                <w:bCs/>
                <w:color w:val="000000" w:themeColor="text1"/>
                <w:sz w:val="20"/>
                <w:szCs w:val="20"/>
              </w:rPr>
            </w:pPr>
          </w:p>
        </w:tc>
      </w:tr>
      <w:tr w:rsidR="00960E01"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960E01" w:rsidRDefault="00821CB5">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57C3AADB" w:rsidR="00960E01" w:rsidRDefault="00821CB5">
            <w:pPr>
              <w:pStyle w:val="P68B1DB1-TableParagraph14"/>
              <w:spacing w:before="108"/>
              <w:ind w:left="85"/>
              <w:jc w:val="both"/>
              <w:rPr>
                <w:bCs/>
              </w:rPr>
            </w:pPr>
            <w:r>
              <w:t xml:space="preserve">Natur og </w:t>
            </w:r>
            <w:r w:rsidR="001E1500">
              <w:t>Omfang</w:t>
            </w:r>
            <w:r>
              <w:t xml:space="preserve"> </w:t>
            </w:r>
          </w:p>
          <w:p w14:paraId="7FE1BA37" w14:textId="77777777" w:rsidR="00960E01" w:rsidRDefault="00821CB5">
            <w:pPr>
              <w:pStyle w:val="P68B1DB1-TableParagraph33"/>
              <w:spacing w:before="108"/>
              <w:ind w:left="85"/>
              <w:jc w:val="both"/>
              <w:rPr>
                <w:rFonts w:cs="Times New Roman"/>
                <w:b/>
                <w:bCs/>
                <w:color w:val="000000" w:themeColor="text1"/>
              </w:rPr>
            </w:pPr>
            <w:r>
              <w:t>Den globale, nationale eller regionale rækkevidde, omfanget og antallet af transaktioner antallet af kunder og modparter; antallet af kunder, for hvilke instituttet er den eneste eller primære bankforretningspartner</w:t>
            </w:r>
          </w:p>
        </w:tc>
      </w:tr>
      <w:tr w:rsidR="00960E01"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960E01" w:rsidRDefault="00821CB5">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960E01" w:rsidRDefault="00821CB5">
            <w:pPr>
              <w:pStyle w:val="P68B1DB1-TableParagraph14"/>
              <w:spacing w:before="108"/>
              <w:ind w:left="85"/>
              <w:jc w:val="both"/>
              <w:rPr>
                <w:bCs/>
              </w:rPr>
            </w:pPr>
            <w:r>
              <w:t>Størrelsesindikator 1</w:t>
            </w:r>
          </w:p>
          <w:p w14:paraId="7FE1BA3B" w14:textId="0CA29815"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A3C" w14:textId="77777777" w:rsidR="00960E01" w:rsidRDefault="00821CB5">
            <w:pPr>
              <w:pStyle w:val="P68B1DB1-ListParagraph32"/>
              <w:numPr>
                <w:ilvl w:val="0"/>
                <w:numId w:val="130"/>
              </w:numPr>
              <w:spacing w:line="276" w:lineRule="auto"/>
            </w:pPr>
            <w:r>
              <w:t xml:space="preserve">Ekspertvurdering af størrelsen af </w:t>
            </w:r>
            <w:r>
              <w:rPr>
                <w:b/>
              </w:rPr>
              <w:t>regnskabsværdien</w:t>
            </w:r>
            <w:r>
              <w:t xml:space="preserve"> (c0030) set fra et </w:t>
            </w:r>
            <w:r>
              <w:rPr>
                <w:b/>
              </w:rPr>
              <w:t>EU-perspektiv</w:t>
            </w:r>
            <w:r>
              <w:t xml:space="preserve"> </w:t>
            </w:r>
            <w:r>
              <w:rPr>
                <w:i/>
              </w:rPr>
              <w:t>[et niveau højere end det relevante marked. Når det relevante marked er regionalt, betyder det, at størrelse 1 = nationalt når det er nationalt, er størrelse 1 = EU når det er EU, størrelse 1 = globalt]</w:t>
            </w:r>
            <w:r>
              <w:t>:</w:t>
            </w:r>
          </w:p>
          <w:p w14:paraId="7FE1BA3D" w14:textId="77777777" w:rsidR="00960E01" w:rsidRDefault="00821CB5">
            <w:pPr>
              <w:pStyle w:val="P68B1DB1-ListParagraph32"/>
              <w:numPr>
                <w:ilvl w:val="1"/>
                <w:numId w:val="129"/>
              </w:numPr>
              <w:spacing w:line="276" w:lineRule="auto"/>
            </w:pPr>
            <w:r>
              <w:t xml:space="preserve">Hvor stor mener du set ud fra et EU-perspektiv, at den samlede værdi af konti hos din institution er? </w:t>
            </w:r>
          </w:p>
          <w:p w14:paraId="7FE1BA3E" w14:textId="77777777" w:rsidR="00960E01" w:rsidRDefault="00960E01">
            <w:pPr>
              <w:pStyle w:val="TableParagraph"/>
              <w:spacing w:before="108"/>
              <w:ind w:left="85"/>
              <w:jc w:val="both"/>
              <w:rPr>
                <w:rFonts w:ascii="Times New Roman" w:hAnsi="Times New Roman" w:cs="Times New Roman"/>
                <w:b/>
                <w:bCs/>
                <w:color w:val="000000" w:themeColor="text1"/>
                <w:sz w:val="20"/>
                <w:szCs w:val="20"/>
              </w:rPr>
            </w:pPr>
          </w:p>
        </w:tc>
      </w:tr>
      <w:tr w:rsidR="00960E01"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960E01" w:rsidRDefault="00821CB5">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960E01" w:rsidRDefault="00821CB5">
            <w:pPr>
              <w:pStyle w:val="P68B1DB1-TableParagraph14"/>
              <w:spacing w:before="108"/>
              <w:ind w:left="85"/>
              <w:jc w:val="both"/>
              <w:rPr>
                <w:bCs/>
              </w:rPr>
            </w:pPr>
            <w:r>
              <w:t>Størrelsesindikator 2</w:t>
            </w:r>
          </w:p>
          <w:p w14:paraId="3B32AD4C"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A42" w14:textId="7FE1DE6A" w:rsidR="00960E01" w:rsidRDefault="00960E01">
            <w:pPr>
              <w:spacing w:line="276" w:lineRule="auto"/>
              <w:jc w:val="both"/>
              <w:rPr>
                <w:rFonts w:ascii="Times New Roman" w:eastAsia="Times New Roman" w:hAnsi="Times New Roman" w:cs="Times New Roman"/>
                <w:sz w:val="20"/>
                <w:szCs w:val="20"/>
              </w:rPr>
            </w:pPr>
          </w:p>
          <w:p w14:paraId="7FE1BA43" w14:textId="77777777" w:rsidR="00960E01" w:rsidRDefault="00821CB5">
            <w:pPr>
              <w:pStyle w:val="P68B1DB1-ListParagraph32"/>
              <w:numPr>
                <w:ilvl w:val="0"/>
                <w:numId w:val="124"/>
              </w:numPr>
              <w:spacing w:line="276" w:lineRule="auto"/>
            </w:pPr>
            <w:r>
              <w:t xml:space="preserve">Ekspertvurdering af </w:t>
            </w:r>
            <w:r>
              <w:rPr>
                <w:b/>
              </w:rPr>
              <w:t>antallet</w:t>
            </w:r>
            <w:r>
              <w:t xml:space="preserve"> af kunder (c0040) ud fra et </w:t>
            </w:r>
            <w:r>
              <w:rPr>
                <w:b/>
              </w:rPr>
              <w:t>nationalt</w:t>
            </w:r>
            <w:r>
              <w:t xml:space="preserve"> perspektiv [</w:t>
            </w:r>
            <w:r>
              <w:rPr>
                <w:i/>
              </w:rPr>
              <w:t>på det relevante marked</w:t>
            </w:r>
            <w:r>
              <w:t>]:</w:t>
            </w:r>
          </w:p>
          <w:p w14:paraId="7FE1BA44" w14:textId="77777777" w:rsidR="00960E01" w:rsidRDefault="00821CB5">
            <w:pPr>
              <w:pStyle w:val="P68B1DB1-ListParagraph32"/>
              <w:numPr>
                <w:ilvl w:val="1"/>
                <w:numId w:val="122"/>
              </w:numPr>
              <w:spacing w:line="276" w:lineRule="auto"/>
            </w:pPr>
            <w:r>
              <w:t>Hvor stort anslås instituttets samlede antal kunder ud fra et nationalt perspektiv?</w:t>
            </w:r>
          </w:p>
          <w:p w14:paraId="7FE1BA45" w14:textId="77777777" w:rsidR="00960E01" w:rsidRDefault="00960E01">
            <w:pPr>
              <w:pStyle w:val="TableParagraph"/>
              <w:spacing w:before="108"/>
              <w:ind w:left="85"/>
              <w:jc w:val="both"/>
              <w:rPr>
                <w:rFonts w:ascii="Times New Roman" w:hAnsi="Times New Roman" w:cs="Times New Roman"/>
                <w:b/>
                <w:bCs/>
                <w:color w:val="000000" w:themeColor="text1"/>
                <w:sz w:val="20"/>
                <w:szCs w:val="20"/>
              </w:rPr>
            </w:pPr>
          </w:p>
        </w:tc>
      </w:tr>
      <w:tr w:rsidR="00960E01"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960E01" w:rsidRDefault="00821CB5">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960E01" w:rsidRDefault="00821CB5">
            <w:pPr>
              <w:pStyle w:val="P68B1DB1-TableParagraph14"/>
              <w:spacing w:before="108"/>
              <w:ind w:left="85"/>
              <w:jc w:val="both"/>
              <w:rPr>
                <w:bCs/>
              </w:rPr>
            </w:pPr>
            <w:r>
              <w:t>Grænseoverskridende indikator</w:t>
            </w:r>
          </w:p>
          <w:p w14:paraId="7FE1BA49" w14:textId="77777777" w:rsidR="00960E01" w:rsidRDefault="00821CB5">
            <w:pPr>
              <w:pStyle w:val="P68B1DB1-Normal31"/>
              <w:spacing w:line="276" w:lineRule="auto"/>
              <w:jc w:val="both"/>
            </w:pPr>
            <w:r>
              <w:t>Vurdere grænseoverskridende aktiviteters relative betydning for de forskellige økonomiske funktioner.</w:t>
            </w:r>
          </w:p>
          <w:p w14:paraId="7FE1BA4A" w14:textId="77777777" w:rsidR="00960E01" w:rsidRDefault="00821CB5">
            <w:pPr>
              <w:pStyle w:val="P68B1DB1-Normal31"/>
              <w:spacing w:line="276" w:lineRule="auto"/>
              <w:jc w:val="both"/>
            </w:pPr>
            <w:r>
              <w:lastRenderedPageBreak/>
              <w:t xml:space="preserve">Det er ikke nødvendigt at vurdere dette i tilfælde af rapporter, hvor det relevante marked anses for at være regionalt. </w:t>
            </w:r>
          </w:p>
          <w:p w14:paraId="7FE1BA4B" w14:textId="77777777" w:rsidR="00960E01" w:rsidRDefault="00821CB5">
            <w:pPr>
              <w:pStyle w:val="P68B1DB1-ListParagraph32"/>
              <w:numPr>
                <w:ilvl w:val="0"/>
                <w:numId w:val="118"/>
              </w:numPr>
              <w:rPr>
                <w:i/>
                <w:iCs/>
              </w:rPr>
            </w:pPr>
            <w:r>
              <w:t xml:space="preserve">Antal EU-lande, hvor det skønnes, at den indberettende enhed har en national markedsandel på over 2 %. Betænkning: </w:t>
            </w:r>
          </w:p>
          <w:p w14:paraId="7FE1BA4C" w14:textId="380A40CA" w:rsidR="00960E01" w:rsidRDefault="00821CB5">
            <w:pPr>
              <w:pStyle w:val="P68B1DB1-ListParagraph32"/>
              <w:numPr>
                <w:ilvl w:val="1"/>
                <w:numId w:val="118"/>
              </w:numPr>
              <w:rPr>
                <w:i/>
                <w:iCs/>
              </w:rPr>
            </w:pPr>
            <w:r>
              <w:t xml:space="preserve">≤ 1 land </w:t>
            </w:r>
          </w:p>
          <w:p w14:paraId="7FE1BA4D" w14:textId="152EAA32" w:rsidR="00960E01" w:rsidRDefault="00821CB5">
            <w:pPr>
              <w:pStyle w:val="P68B1DB1-ListParagraph32"/>
              <w:numPr>
                <w:ilvl w:val="1"/>
                <w:numId w:val="118"/>
              </w:numPr>
              <w:rPr>
                <w:i/>
                <w:iCs/>
              </w:rPr>
            </w:pPr>
            <w:r>
              <w:t xml:space="preserve">2-3 lande </w:t>
            </w:r>
          </w:p>
          <w:p w14:paraId="7FE1BA4E" w14:textId="5E1FD2A4" w:rsidR="00960E01" w:rsidRDefault="00821CB5">
            <w:pPr>
              <w:pStyle w:val="P68B1DB1-ListParagraph32"/>
              <w:numPr>
                <w:ilvl w:val="1"/>
                <w:numId w:val="118"/>
              </w:numPr>
              <w:rPr>
                <w:i/>
                <w:iCs/>
              </w:rPr>
            </w:pPr>
            <w:r>
              <w:t xml:space="preserve">4-5 lande </w:t>
            </w:r>
          </w:p>
          <w:p w14:paraId="7FE1BA4F" w14:textId="744AB982" w:rsidR="00960E01" w:rsidRDefault="00821CB5">
            <w:pPr>
              <w:pStyle w:val="P68B1DB1-ListParagraph32"/>
              <w:numPr>
                <w:ilvl w:val="1"/>
                <w:numId w:val="118"/>
              </w:numPr>
              <w:rPr>
                <w:i/>
                <w:iCs/>
              </w:rPr>
            </w:pPr>
            <w:r>
              <w:t>&gt; 5 lande.</w:t>
            </w:r>
          </w:p>
          <w:p w14:paraId="7FE1BA50" w14:textId="77777777" w:rsidR="00960E01" w:rsidRDefault="00960E01">
            <w:pPr>
              <w:pStyle w:val="TableParagraph"/>
              <w:spacing w:before="108"/>
              <w:jc w:val="both"/>
              <w:rPr>
                <w:rFonts w:ascii="Times New Roman" w:hAnsi="Times New Roman" w:cs="Times New Roman"/>
                <w:b/>
                <w:bCs/>
                <w:color w:val="000000" w:themeColor="text1"/>
                <w:sz w:val="20"/>
                <w:szCs w:val="20"/>
              </w:rPr>
            </w:pPr>
          </w:p>
        </w:tc>
      </w:tr>
      <w:tr w:rsidR="00960E01"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960E01" w:rsidRDefault="00821CB5">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960E01" w:rsidRDefault="00821CB5">
            <w:pPr>
              <w:pStyle w:val="P68B1DB1-TableParagraph14"/>
              <w:spacing w:before="108"/>
              <w:ind w:left="85"/>
              <w:jc w:val="both"/>
              <w:rPr>
                <w:bCs/>
              </w:rPr>
            </w:pPr>
            <w:r>
              <w:t xml:space="preserve">Relevans — </w:t>
            </w:r>
          </w:p>
          <w:p w14:paraId="7FE1BA54" w14:textId="77777777" w:rsidR="00960E01" w:rsidRDefault="00821CB5">
            <w:pPr>
              <w:pStyle w:val="P68B1DB1-TableParagraph33"/>
              <w:spacing w:before="108"/>
              <w:ind w:left="85"/>
              <w:jc w:val="both"/>
            </w:pPr>
            <w:r>
              <w:t>På et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A55" w14:textId="77777777" w:rsidR="00960E01" w:rsidRDefault="00821CB5">
            <w:pPr>
              <w:pStyle w:val="P68B1DB1-TableParagraph14"/>
              <w:spacing w:before="108"/>
              <w:ind w:left="85"/>
              <w:jc w:val="both"/>
              <w:rPr>
                <w:bCs/>
              </w:rPr>
            </w:pPr>
            <w:r>
              <w:t>Markedsandel</w:t>
            </w:r>
          </w:p>
          <w:p w14:paraId="7FE1BA56" w14:textId="77777777" w:rsidR="00960E01" w:rsidRDefault="00821CB5">
            <w:pPr>
              <w:pStyle w:val="P68B1DB1-Normal31"/>
              <w:spacing w:line="276" w:lineRule="auto"/>
              <w:jc w:val="both"/>
            </w:pPr>
            <w:r>
              <w:t xml:space="preserve">Vurdere, hvor vigtig den indberettende enheds markedsandel er i forhold til det nationale marked eller et andet relevant marked som angivet i skemaet. Denne vurdering udtrykkes kvalitativt som </w:t>
            </w:r>
          </w:p>
          <w:p w14:paraId="7FE1BA57" w14:textId="4FBBC6A6" w:rsidR="00960E01" w:rsidRDefault="00821CB5">
            <w:pPr>
              <w:pStyle w:val="P68B1DB1-ListParagraph32"/>
              <w:numPr>
                <w:ilvl w:val="0"/>
                <w:numId w:val="276"/>
              </w:numPr>
              <w:spacing w:line="276" w:lineRule="auto"/>
              <w:jc w:val="both"/>
            </w:pPr>
            <w:r>
              <w:t>Høj, hvis markedsandelen er stor</w:t>
            </w:r>
          </w:p>
          <w:p w14:paraId="7FE1BA58" w14:textId="71C0B34E" w:rsidR="00960E01" w:rsidRDefault="00821CB5">
            <w:pPr>
              <w:pStyle w:val="P68B1DB1-ListParagraph32"/>
              <w:numPr>
                <w:ilvl w:val="0"/>
                <w:numId w:val="276"/>
              </w:numPr>
              <w:spacing w:line="276" w:lineRule="auto"/>
              <w:jc w:val="both"/>
            </w:pPr>
            <w:r>
              <w:t>Middelhøj, hvis markedsandelen er mellemhøj</w:t>
            </w:r>
          </w:p>
          <w:p w14:paraId="7FE1BA59" w14:textId="08ABB1D9" w:rsidR="00960E01" w:rsidRDefault="00821CB5">
            <w:pPr>
              <w:pStyle w:val="P68B1DB1-ListParagraph32"/>
              <w:numPr>
                <w:ilvl w:val="0"/>
                <w:numId w:val="276"/>
              </w:numPr>
              <w:spacing w:line="276" w:lineRule="auto"/>
              <w:jc w:val="both"/>
            </w:pPr>
            <w:r>
              <w:t xml:space="preserve">Mellemlav, hvis markedsandelen er lille, eller </w:t>
            </w:r>
          </w:p>
          <w:p w14:paraId="7FE1BA5A" w14:textId="3DD284B5" w:rsidR="00960E01" w:rsidRDefault="00821CB5">
            <w:pPr>
              <w:pStyle w:val="P68B1DB1-ListParagraph32"/>
              <w:numPr>
                <w:ilvl w:val="0"/>
                <w:numId w:val="276"/>
              </w:numPr>
              <w:spacing w:line="276" w:lineRule="auto"/>
              <w:jc w:val="both"/>
            </w:pPr>
            <w:r>
              <w:t xml:space="preserve">Lav, hvis markedsandelen er ubetydelig. </w:t>
            </w:r>
          </w:p>
          <w:p w14:paraId="7FE1BA5B" w14:textId="77777777" w:rsidR="00960E01" w:rsidRDefault="00821CB5">
            <w:pPr>
              <w:pStyle w:val="P68B1DB1-Normal31"/>
              <w:spacing w:line="276" w:lineRule="auto"/>
              <w:jc w:val="both"/>
            </w:pPr>
            <w:r>
              <w:t xml:space="preserve">Denne vurdering tager hensyn til markedsstrukturen i den indberettende enheds land (eller et andet relevant marked) og de markedsandele, der er indberettet delvist. </w:t>
            </w:r>
          </w:p>
          <w:p w14:paraId="7FE1BA5C" w14:textId="77777777" w:rsidR="00960E01" w:rsidRDefault="00821CB5">
            <w:pPr>
              <w:pStyle w:val="P68B1DB1-Normal31"/>
              <w:spacing w:line="276" w:lineRule="auto"/>
              <w:jc w:val="both"/>
            </w:pPr>
            <w:r>
              <w:t>2.Kvantitative data:</w:t>
            </w:r>
          </w:p>
          <w:p w14:paraId="7FE1BA5D" w14:textId="77777777" w:rsidR="00960E01" w:rsidRDefault="00821CB5">
            <w:pPr>
              <w:pStyle w:val="P68B1DB1-ListParagraph32"/>
              <w:numPr>
                <w:ilvl w:val="0"/>
                <w:numId w:val="117"/>
              </w:numPr>
              <w:spacing w:line="276" w:lineRule="auto"/>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A5E" w14:textId="77777777" w:rsidR="00960E01" w:rsidRDefault="00960E01">
            <w:pPr>
              <w:spacing w:line="276" w:lineRule="auto"/>
              <w:jc w:val="both"/>
              <w:rPr>
                <w:rFonts w:ascii="Times New Roman" w:eastAsia="Times New Roman" w:hAnsi="Times New Roman" w:cs="Times New Roman"/>
                <w:sz w:val="20"/>
                <w:szCs w:val="20"/>
              </w:rPr>
            </w:pPr>
          </w:p>
          <w:p w14:paraId="7FE1BA5F" w14:textId="77777777" w:rsidR="00960E01" w:rsidRDefault="00960E01">
            <w:pPr>
              <w:pStyle w:val="TableParagraph"/>
              <w:spacing w:before="108"/>
              <w:ind w:left="85"/>
              <w:jc w:val="both"/>
              <w:rPr>
                <w:rFonts w:ascii="Times New Roman" w:hAnsi="Times New Roman" w:cs="Times New Roman"/>
                <w:b/>
                <w:bCs/>
                <w:color w:val="000000" w:themeColor="text1"/>
                <w:sz w:val="20"/>
                <w:szCs w:val="20"/>
              </w:rPr>
            </w:pPr>
          </w:p>
        </w:tc>
      </w:tr>
      <w:tr w:rsidR="00960E01"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960E01" w:rsidRDefault="00821CB5">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960E01" w:rsidRDefault="00821CB5">
            <w:pPr>
              <w:pStyle w:val="P68B1DB1-TableParagraph14"/>
              <w:spacing w:before="108"/>
              <w:ind w:left="85"/>
              <w:jc w:val="both"/>
              <w:rPr>
                <w:bCs/>
              </w:rPr>
            </w:pPr>
            <w:r>
              <w:t>Markedsstruktur — markedskoncentration</w:t>
            </w:r>
          </w:p>
          <w:p w14:paraId="7FE1BA63" w14:textId="77777777" w:rsidR="00960E01" w:rsidRDefault="00821CB5">
            <w:pPr>
              <w:pStyle w:val="P68B1DB1-Normal31"/>
              <w:jc w:val="both"/>
            </w:pPr>
            <w:r>
              <w:t xml:space="preserve">Markedskoncentrationen, målt ud fra antallet af konkurrenter, der i øjeblikket klarer sig </w:t>
            </w:r>
          </w:p>
          <w:p w14:paraId="7FE1BA64" w14:textId="77777777" w:rsidR="00960E01" w:rsidRDefault="00821CB5">
            <w:pPr>
              <w:pStyle w:val="P68B1DB1-Normal31"/>
              <w:jc w:val="both"/>
            </w:pPr>
            <w:r>
              <w:t xml:space="preserve">lignende økonomiske funktioner og/eller udbud af lignende tjenester på lige vilkår (dvs. til en </w:t>
            </w:r>
          </w:p>
          <w:p w14:paraId="7FE1BA65" w14:textId="77777777" w:rsidR="00960E01" w:rsidRDefault="00821CB5">
            <w:pPr>
              <w:pStyle w:val="P68B1DB1-Normal31"/>
              <w:jc w:val="both"/>
            </w:pPr>
            <w:r>
              <w:t xml:space="preserve">sammenligneligt omfang og kvalitet og til sammenlignelige omkostninger), der potentielt overtager </w:t>
            </w:r>
          </w:p>
          <w:p w14:paraId="7FE1BA66" w14:textId="77777777" w:rsidR="00960E01" w:rsidRDefault="00821CB5">
            <w:pPr>
              <w:pStyle w:val="P68B1DB1-Normal31"/>
              <w:jc w:val="both"/>
            </w:pPr>
            <w:r>
              <w:t xml:space="preserve">(en del af) den indberettende enheds kunder og/eller forretninger inden for en rimelig tidsramme. </w:t>
            </w:r>
          </w:p>
          <w:p w14:paraId="7FE1BA67" w14:textId="77777777" w:rsidR="00960E01" w:rsidRDefault="00821CB5">
            <w:pPr>
              <w:pStyle w:val="P68B1DB1-Normal31"/>
              <w:jc w:val="both"/>
            </w:pPr>
            <w:r>
              <w:t xml:space="preserve">Dette skal indberettes i undergrupper, som er de samme for hver underfunktion. </w:t>
            </w:r>
          </w:p>
          <w:p w14:paraId="7FE1BA68" w14:textId="5B483BC6" w:rsidR="00960E01" w:rsidRDefault="00821CB5">
            <w:pPr>
              <w:pStyle w:val="P68B1DB1-ListParagraph32"/>
              <w:numPr>
                <w:ilvl w:val="0"/>
                <w:numId w:val="277"/>
              </w:numPr>
              <w:jc w:val="both"/>
            </w:pPr>
            <w:bookmarkStart w:id="113" w:name="_Hlk194417513"/>
            <w:r>
              <w:t xml:space="preserve">&gt; 20 konkurrenter </w:t>
            </w:r>
          </w:p>
          <w:p w14:paraId="7FE1BA69" w14:textId="7D2A0C84" w:rsidR="00960E01" w:rsidRDefault="00821CB5">
            <w:pPr>
              <w:pStyle w:val="P68B1DB1-ListParagraph32"/>
              <w:numPr>
                <w:ilvl w:val="0"/>
                <w:numId w:val="277"/>
              </w:numPr>
              <w:jc w:val="both"/>
            </w:pPr>
            <w:r>
              <w:t xml:space="preserve">11-20 konkurrenter </w:t>
            </w:r>
          </w:p>
          <w:p w14:paraId="7FE1BA6A" w14:textId="5EF3634F" w:rsidR="00960E01" w:rsidRDefault="00821CB5">
            <w:pPr>
              <w:pStyle w:val="P68B1DB1-ListParagraph32"/>
              <w:numPr>
                <w:ilvl w:val="0"/>
                <w:numId w:val="277"/>
              </w:numPr>
              <w:jc w:val="both"/>
            </w:pPr>
            <w:r>
              <w:t xml:space="preserve">5-10 konkurrenter </w:t>
            </w:r>
          </w:p>
          <w:p w14:paraId="7FE1BA6B" w14:textId="087E8142" w:rsidR="00960E01" w:rsidRDefault="007A4721">
            <w:pPr>
              <w:pStyle w:val="P68B1DB1-ListParagraph32"/>
              <w:numPr>
                <w:ilvl w:val="0"/>
                <w:numId w:val="277"/>
              </w:numPr>
              <w:jc w:val="both"/>
              <w:rPr>
                <w:b/>
                <w:bCs/>
                <w:color w:val="000000" w:themeColor="text1"/>
              </w:rPr>
            </w:pPr>
            <w:r>
              <w:t xml:space="preserve">&lt; </w:t>
            </w:r>
            <w:r w:rsidR="00821CB5">
              <w:t>5</w:t>
            </w:r>
            <w:bookmarkEnd w:id="113"/>
            <w:r w:rsidR="00821CB5">
              <w:t xml:space="preserve"> konkurrenter</w:t>
            </w:r>
          </w:p>
          <w:p w14:paraId="7FE1BA6C" w14:textId="77777777" w:rsidR="00960E01" w:rsidRDefault="00821CB5">
            <w:pPr>
              <w:pStyle w:val="P68B1DB1-Normal34"/>
              <w:ind w:left="360"/>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A6D" w14:textId="77777777" w:rsidR="00960E01" w:rsidRDefault="00960E01">
            <w:pPr>
              <w:jc w:val="both"/>
              <w:rPr>
                <w:rFonts w:ascii="Times New Roman" w:hAnsi="Times New Roman"/>
                <w:b/>
                <w:bCs/>
                <w:color w:val="000000" w:themeColor="text1"/>
                <w:sz w:val="20"/>
                <w:szCs w:val="20"/>
              </w:rPr>
            </w:pPr>
          </w:p>
        </w:tc>
      </w:tr>
      <w:tr w:rsidR="00960E01"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960E01" w:rsidRDefault="00821CB5">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960E01" w:rsidRDefault="00821CB5">
            <w:pPr>
              <w:pStyle w:val="P68B1DB1-TableParagraph14"/>
              <w:spacing w:before="108"/>
              <w:ind w:left="85"/>
              <w:jc w:val="both"/>
              <w:rPr>
                <w:bCs/>
              </w:rPr>
            </w:pPr>
            <w:r>
              <w:t>Tidspunkt — forventet substitutionstid</w:t>
            </w:r>
          </w:p>
          <w:p w14:paraId="7FE1BA71" w14:textId="77777777" w:rsidR="00960E01" w:rsidRDefault="00821CB5">
            <w:pPr>
              <w:pStyle w:val="P68B1DB1-Normal31"/>
              <w:jc w:val="both"/>
            </w:pPr>
            <w:r>
              <w:t>Anslå den tid, der er nødvendig for rapporteringens økonomiske funktion</w:t>
            </w:r>
          </w:p>
          <w:p w14:paraId="7FE1BA72" w14:textId="77777777" w:rsidR="00960E01" w:rsidRDefault="00821CB5">
            <w:pPr>
              <w:pStyle w:val="P68B1DB1-Normal31"/>
              <w:jc w:val="both"/>
            </w:pPr>
            <w:r>
              <w:t xml:space="preserve">enhed, der skal absorberes af markedet i en krisesituation. Dette omfatter: </w:t>
            </w:r>
          </w:p>
          <w:p w14:paraId="7FE1BA73" w14:textId="77777777" w:rsidR="00960E01" w:rsidRDefault="00821CB5">
            <w:pPr>
              <w:pStyle w:val="P68B1DB1-ListParagraph32"/>
              <w:numPr>
                <w:ilvl w:val="0"/>
                <w:numId w:val="274"/>
              </w:numPr>
              <w:jc w:val="both"/>
            </w:pPr>
            <w:r>
              <w:t xml:space="preserve">den forventede tid, som en eller flere konkurrenter har brug for til at gennemføre de retlige og tekniske skridt til at overtage funktionen samt  </w:t>
            </w:r>
          </w:p>
          <w:p w14:paraId="7FE1BA74" w14:textId="77777777" w:rsidR="00960E01" w:rsidRDefault="00821CB5">
            <w:pPr>
              <w:pStyle w:val="P68B1DB1-ListParagraph32"/>
              <w:numPr>
                <w:ilvl w:val="0"/>
                <w:numId w:val="274"/>
              </w:numPr>
              <w:jc w:val="both"/>
            </w:pPr>
            <w:r>
              <w:t xml:space="preserve">den tid, som brugerne af tjenesten har brug for til at flytte til en anden tjenesteudbyder. </w:t>
            </w:r>
          </w:p>
          <w:p w14:paraId="7FE1BA75" w14:textId="77777777" w:rsidR="00960E01" w:rsidRDefault="00960E01">
            <w:pPr>
              <w:jc w:val="both"/>
              <w:rPr>
                <w:rFonts w:ascii="Times New Roman" w:eastAsia="Times New Roman" w:hAnsi="Times New Roman" w:cs="Times New Roman"/>
                <w:sz w:val="20"/>
                <w:szCs w:val="20"/>
              </w:rPr>
            </w:pPr>
          </w:p>
          <w:p w14:paraId="7FE1BA76" w14:textId="77777777" w:rsidR="00960E01" w:rsidRDefault="00821CB5">
            <w:pPr>
              <w:pStyle w:val="P68B1DB1-Normal31"/>
              <w:jc w:val="both"/>
            </w:pPr>
            <w:r>
              <w:lastRenderedPageBreak/>
              <w:t xml:space="preserve">For så vidt angår indskud vedrører det primært alternative udbyderes finansielle, operationelle og tekniske kapacitet til at tilbyde indlånstjenester til den indberettende banks kunder og ikke overførsel af indskud til en anden udbyder som følge af en myndigheds handling eller modtagelse af kompensation fra indskudsgarantiordningen. </w:t>
            </w:r>
          </w:p>
          <w:p w14:paraId="7FE1BA77" w14:textId="77777777" w:rsidR="00960E01" w:rsidRDefault="00960E01">
            <w:pPr>
              <w:jc w:val="both"/>
              <w:rPr>
                <w:rFonts w:ascii="Times New Roman" w:eastAsia="Times New Roman" w:hAnsi="Times New Roman" w:cs="Times New Roman"/>
                <w:sz w:val="20"/>
                <w:szCs w:val="20"/>
              </w:rPr>
            </w:pPr>
          </w:p>
          <w:p w14:paraId="7FE1BA78" w14:textId="77777777" w:rsidR="00960E01" w:rsidRDefault="00821CB5">
            <w:pPr>
              <w:pStyle w:val="P68B1DB1-Normal31"/>
              <w:jc w:val="both"/>
            </w:pPr>
            <w:r>
              <w:t>Som reference for førstnævnte give et skøn over den tid, det vil tage den indberettende enhed at absorbere i sin egen virksomhed (en del af) den tjenesteydelse, der leveres af et andet institut, til en rimelig pris i en krisesituation. Indberet det anslåede tidspunkt for substitution i de undergrupper, der er angivet i skemaet:</w:t>
            </w:r>
          </w:p>
          <w:p w14:paraId="7FE1BA79" w14:textId="77777777" w:rsidR="00960E01" w:rsidRDefault="00960E01">
            <w:pPr>
              <w:jc w:val="both"/>
              <w:rPr>
                <w:rFonts w:ascii="Times New Roman" w:hAnsi="Times New Roman" w:cs="Times New Roman"/>
                <w:color w:val="000000" w:themeColor="text1"/>
                <w:sz w:val="20"/>
                <w:szCs w:val="20"/>
              </w:rPr>
            </w:pPr>
          </w:p>
          <w:p w14:paraId="7FE1BA7A" w14:textId="77777777" w:rsidR="00960E01" w:rsidRDefault="00821CB5">
            <w:pPr>
              <w:pStyle w:val="P68B1DB1-Normal31"/>
              <w:jc w:val="both"/>
            </w:pPr>
            <w:bookmarkStart w:id="114" w:name="_Hlk194476514"/>
            <w:r>
              <w:t xml:space="preserve">Undergrupper: </w:t>
            </w:r>
          </w:p>
          <w:p w14:paraId="7FE1BA7B" w14:textId="4DFB40C4" w:rsidR="00960E01" w:rsidRDefault="00D0705D">
            <w:pPr>
              <w:pStyle w:val="P68B1DB1-ListParagraph32"/>
              <w:numPr>
                <w:ilvl w:val="0"/>
                <w:numId w:val="280"/>
              </w:numPr>
              <w:jc w:val="both"/>
            </w:pPr>
            <w:r>
              <w:t xml:space="preserve">&lt; </w:t>
            </w:r>
            <w:r w:rsidR="00821CB5">
              <w:t xml:space="preserve">1 uge </w:t>
            </w:r>
          </w:p>
          <w:p w14:paraId="7FE1BA7C" w14:textId="6818EF73" w:rsidR="00960E01" w:rsidRDefault="00821CB5">
            <w:pPr>
              <w:pStyle w:val="P68B1DB1-ListParagraph32"/>
              <w:numPr>
                <w:ilvl w:val="0"/>
                <w:numId w:val="280"/>
              </w:numPr>
              <w:jc w:val="both"/>
            </w:pPr>
            <w:r>
              <w:t xml:space="preserve">1 uger — 1 måned </w:t>
            </w:r>
          </w:p>
          <w:p w14:paraId="7FE1BA7D" w14:textId="05597976" w:rsidR="00960E01" w:rsidRDefault="00821CB5">
            <w:pPr>
              <w:pStyle w:val="P68B1DB1-ListParagraph32"/>
              <w:numPr>
                <w:ilvl w:val="0"/>
                <w:numId w:val="280"/>
              </w:numPr>
              <w:jc w:val="both"/>
            </w:pPr>
            <w:r>
              <w:t xml:space="preserve">&gt; 1 måned-6 måneder </w:t>
            </w:r>
          </w:p>
          <w:p w14:paraId="7FE1BA7E" w14:textId="0D41F489" w:rsidR="00960E01" w:rsidRDefault="00821CB5">
            <w:pPr>
              <w:pStyle w:val="P68B1DB1-ListParagraph32"/>
              <w:numPr>
                <w:ilvl w:val="0"/>
                <w:numId w:val="280"/>
              </w:numPr>
              <w:jc w:val="both"/>
            </w:pPr>
            <w:r>
              <w:t xml:space="preserve">&gt; 6 måneder  </w:t>
            </w:r>
          </w:p>
          <w:bookmarkEnd w:id="114"/>
          <w:p w14:paraId="7FE1BA7F" w14:textId="77777777" w:rsidR="00960E01" w:rsidRDefault="00960E01">
            <w:pPr>
              <w:jc w:val="both"/>
              <w:rPr>
                <w:rFonts w:ascii="Times New Roman" w:eastAsia="Times New Roman" w:hAnsi="Times New Roman" w:cs="Times New Roman"/>
                <w:sz w:val="20"/>
                <w:szCs w:val="20"/>
              </w:rPr>
            </w:pPr>
          </w:p>
          <w:p w14:paraId="7FE1BA80" w14:textId="77777777" w:rsidR="00960E01" w:rsidRDefault="00960E01">
            <w:pPr>
              <w:jc w:val="both"/>
              <w:rPr>
                <w:rFonts w:ascii="Times New Roman" w:hAnsi="Times New Roman" w:cs="Times New Roman"/>
                <w:color w:val="000000" w:themeColor="text1"/>
                <w:sz w:val="20"/>
                <w:szCs w:val="20"/>
              </w:rPr>
            </w:pPr>
          </w:p>
        </w:tc>
      </w:tr>
      <w:tr w:rsidR="00960E01"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960E01" w:rsidRDefault="00821CB5">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960E01" w:rsidRDefault="00821CB5">
            <w:pPr>
              <w:pStyle w:val="P68B1DB1-TableParagraph14"/>
              <w:spacing w:before="108"/>
              <w:ind w:left="85"/>
              <w:jc w:val="both"/>
              <w:rPr>
                <w:bCs/>
              </w:rPr>
            </w:pPr>
            <w:r>
              <w:t>Substitutionsevne</w:t>
            </w:r>
          </w:p>
        </w:tc>
      </w:tr>
      <w:tr w:rsidR="00960E01"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960E01" w:rsidRDefault="00821CB5">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960E01" w:rsidRDefault="00821CB5">
            <w:pPr>
              <w:pStyle w:val="P68B1DB1-Normal35"/>
              <w:jc w:val="both"/>
              <w:rPr>
                <w:bCs/>
              </w:rPr>
            </w:pPr>
            <w:r>
              <w:t>Juridiske hindringer for adgang eller udvidelse</w:t>
            </w:r>
          </w:p>
          <w:p w14:paraId="7FE1BA87" w14:textId="77777777" w:rsidR="00960E01" w:rsidRDefault="00960E01">
            <w:pPr>
              <w:jc w:val="both"/>
              <w:rPr>
                <w:rFonts w:ascii="Times New Roman" w:eastAsia="Times New Roman" w:hAnsi="Times New Roman" w:cs="Times New Roman"/>
                <w:b/>
                <w:bCs/>
                <w:color w:val="000000" w:themeColor="text1"/>
                <w:sz w:val="20"/>
                <w:szCs w:val="20"/>
              </w:rPr>
            </w:pPr>
          </w:p>
          <w:p w14:paraId="7FE1BA88" w14:textId="77777777" w:rsidR="00960E01" w:rsidRDefault="00821CB5">
            <w:pPr>
              <w:pStyle w:val="P68B1DB1-Normal36"/>
              <w:jc w:val="both"/>
            </w:pPr>
            <w:r>
              <w:t xml:space="preserve">Juridiske hindringer for, at konkurrenter kan tilbyde tjenesten. Lovkrav til udøvelse af virksomhed som kreditinstitut (f.eks. banklicenser eller kapitalkrav) skal ikke betragtes som uoverstigelige hindringer, når alternative udbydere er til stede. Denne indikator skal indberettes i undergrupper, som er de samme for hver underfunktion: </w:t>
            </w:r>
          </w:p>
          <w:p w14:paraId="7FE1BA89" w14:textId="4702A48A" w:rsidR="00960E01" w:rsidRDefault="00821CB5">
            <w:pPr>
              <w:pStyle w:val="P68B1DB1-ListParagraph37"/>
              <w:numPr>
                <w:ilvl w:val="0"/>
                <w:numId w:val="275"/>
              </w:numPr>
              <w:jc w:val="both"/>
            </w:pPr>
            <w:r>
              <w:t xml:space="preserve">ingen større hindringer </w:t>
            </w:r>
          </w:p>
          <w:p w14:paraId="7FE1BA8A" w14:textId="10C89312" w:rsidR="00960E01" w:rsidRDefault="00821CB5">
            <w:pPr>
              <w:pStyle w:val="P68B1DB1-ListParagraph37"/>
              <w:numPr>
                <w:ilvl w:val="0"/>
                <w:numId w:val="275"/>
              </w:numPr>
              <w:jc w:val="both"/>
            </w:pPr>
            <w:r>
              <w:t xml:space="preserve">visse hindringer </w:t>
            </w:r>
          </w:p>
          <w:p w14:paraId="7FE1BA8B" w14:textId="4451FB21" w:rsidR="00960E01" w:rsidRDefault="00821CB5">
            <w:pPr>
              <w:pStyle w:val="P68B1DB1-ListParagraph37"/>
              <w:numPr>
                <w:ilvl w:val="0"/>
                <w:numId w:val="275"/>
              </w:numPr>
              <w:jc w:val="both"/>
            </w:pPr>
            <w:r>
              <w:t xml:space="preserve">væsentlige (men overvindelige) barrierer </w:t>
            </w:r>
          </w:p>
          <w:p w14:paraId="7FE1BA8D" w14:textId="48C5B820" w:rsidR="00960E01" w:rsidRDefault="00821CB5">
            <w:pPr>
              <w:pStyle w:val="P68B1DB1-ListParagraph37"/>
              <w:numPr>
                <w:ilvl w:val="0"/>
                <w:numId w:val="275"/>
              </w:numPr>
              <w:jc w:val="both"/>
              <w:rPr>
                <w:b/>
                <w:bCs/>
              </w:rPr>
            </w:pPr>
            <w:r>
              <w:t>kritiske (svære at overvinde) barrierer.</w:t>
            </w:r>
          </w:p>
        </w:tc>
      </w:tr>
      <w:tr w:rsidR="00960E01"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960E01" w:rsidRDefault="00821CB5">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960E01" w:rsidRDefault="00821CB5">
            <w:pPr>
              <w:pStyle w:val="P68B1DB1-Normal35"/>
              <w:jc w:val="both"/>
              <w:rPr>
                <w:bCs/>
              </w:rPr>
            </w:pPr>
            <w:r>
              <w:t>Driftsmæssige krav til adgang eller udvidelse</w:t>
            </w:r>
          </w:p>
          <w:p w14:paraId="7FE1BA91" w14:textId="77777777" w:rsidR="00960E01" w:rsidRDefault="00960E01">
            <w:pPr>
              <w:jc w:val="both"/>
              <w:rPr>
                <w:rFonts w:ascii="Times New Roman" w:eastAsia="Times New Roman" w:hAnsi="Times New Roman" w:cs="Times New Roman"/>
                <w:b/>
                <w:bCs/>
                <w:color w:val="000000" w:themeColor="text1"/>
                <w:sz w:val="20"/>
                <w:szCs w:val="20"/>
              </w:rPr>
            </w:pPr>
          </w:p>
          <w:p w14:paraId="7FE1BA92" w14:textId="77777777" w:rsidR="00960E01" w:rsidRDefault="00821CB5">
            <w:pPr>
              <w:pStyle w:val="P68B1DB1-Normal36"/>
              <w:jc w:val="both"/>
            </w:pPr>
            <w:r>
              <w:t xml:space="preserve">Organisatoriske, tekniske og infrastrukturelle krav til konkurrenterne om at tilbyde tjenesten. Udbud af tjenester i forbindelse med (under) funktionen kræver, at udbyderne investerer i (ny eller yderligere) infrastruktur eller ændrer deres organisationer. Vurdere markedets evne til at absorbere den pågældende virksomhed, f.eks. med hensyn til kapitalkrav. Ved långivning tages der hensyn til de tilknyttede risikovægtede aktiver (indberettet i Q.17). </w:t>
            </w:r>
          </w:p>
          <w:p w14:paraId="7FE1BA93" w14:textId="77777777" w:rsidR="00960E01" w:rsidRDefault="00821CB5">
            <w:pPr>
              <w:pStyle w:val="P68B1DB1-Normal36"/>
              <w:jc w:val="both"/>
            </w:pPr>
            <w:r>
              <w:t xml:space="preserve">Denne indikator skal indberettes i undergrupper, som er de samme for hver underfunktion: </w:t>
            </w:r>
          </w:p>
          <w:p w14:paraId="7FE1BA94" w14:textId="2E9A8492" w:rsidR="00960E01" w:rsidRDefault="00821CB5">
            <w:pPr>
              <w:pStyle w:val="P68B1DB1-ListParagraph37"/>
              <w:numPr>
                <w:ilvl w:val="0"/>
                <w:numId w:val="278"/>
              </w:numPr>
              <w:jc w:val="both"/>
            </w:pPr>
            <w:r>
              <w:t xml:space="preserve">ingen væsentlige krav </w:t>
            </w:r>
          </w:p>
          <w:p w14:paraId="7FE1BA95" w14:textId="2C17AA9E" w:rsidR="00960E01" w:rsidRDefault="00821CB5">
            <w:pPr>
              <w:pStyle w:val="P68B1DB1-ListParagraph37"/>
              <w:numPr>
                <w:ilvl w:val="0"/>
                <w:numId w:val="278"/>
              </w:numPr>
              <w:jc w:val="both"/>
            </w:pPr>
            <w:r>
              <w:t xml:space="preserve">visse krav </w:t>
            </w:r>
          </w:p>
          <w:p w14:paraId="7FE1BA96" w14:textId="3197B4B5" w:rsidR="00960E01" w:rsidRDefault="00821CB5">
            <w:pPr>
              <w:pStyle w:val="P68B1DB1-ListParagraph37"/>
              <w:numPr>
                <w:ilvl w:val="0"/>
                <w:numId w:val="278"/>
              </w:numPr>
              <w:jc w:val="both"/>
            </w:pPr>
            <w:r>
              <w:t xml:space="preserve">væsentlige (men overvindelige) krav </w:t>
            </w:r>
          </w:p>
          <w:p w14:paraId="7FE1BA97" w14:textId="64928FFB" w:rsidR="00960E01" w:rsidRDefault="00821CB5">
            <w:pPr>
              <w:pStyle w:val="P68B1DB1-ListParagraph37"/>
              <w:numPr>
                <w:ilvl w:val="0"/>
                <w:numId w:val="278"/>
              </w:numPr>
              <w:jc w:val="both"/>
            </w:pPr>
            <w:r>
              <w:t>kritiske (vanskelige at opfylde) krav.</w:t>
            </w:r>
          </w:p>
          <w:p w14:paraId="7FE1BA9D" w14:textId="77777777" w:rsidR="00960E01" w:rsidRDefault="00960E01">
            <w:pPr>
              <w:pStyle w:val="ListParagraph"/>
              <w:jc w:val="both"/>
              <w:rPr>
                <w:rFonts w:ascii="Times New Roman" w:hAnsi="Times New Roman"/>
                <w:b/>
                <w:bCs/>
                <w:color w:val="000000" w:themeColor="text1"/>
                <w:sz w:val="20"/>
                <w:szCs w:val="20"/>
              </w:rPr>
            </w:pPr>
          </w:p>
        </w:tc>
      </w:tr>
      <w:tr w:rsidR="00960E01"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960E01" w:rsidRDefault="00821CB5">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960E01" w:rsidRDefault="00821CB5">
            <w:pPr>
              <w:pStyle w:val="P68B1DB1-TableParagraph14"/>
              <w:spacing w:before="108"/>
              <w:jc w:val="both"/>
              <w:rPr>
                <w:bCs/>
              </w:rPr>
            </w:pPr>
            <w:r>
              <w:t>Onboardingkapacitet — Antal ansøgninger fra nye kunder over 1 arbejdsdage (antal konti)</w:t>
            </w:r>
          </w:p>
          <w:p w14:paraId="7FE1BAA4" w14:textId="404DC9AB" w:rsidR="00960E01" w:rsidRDefault="00821CB5">
            <w:pPr>
              <w:pStyle w:val="P68B1DB1-TableParagraph13"/>
              <w:spacing w:before="108"/>
              <w:jc w:val="both"/>
            </w:pPr>
            <w:r>
              <w:t>Institutterne anmodes om at indgive det højeste antal ansøgninger, hvis instituttet har valideret anmodningen om en banktjeneste.</w:t>
            </w:r>
          </w:p>
          <w:p w14:paraId="1312271B" w14:textId="5ECEF0C0" w:rsidR="00960E01" w:rsidRDefault="00821CB5">
            <w:pPr>
              <w:pStyle w:val="P68B1DB1-TableParagraph13"/>
              <w:spacing w:before="108"/>
              <w:jc w:val="both"/>
            </w:pPr>
            <w:r>
              <w:t>Onboardingkapaciteten udtrykt i antal nye konti er over 1 arbejdsdage.</w:t>
            </w:r>
          </w:p>
          <w:p w14:paraId="7FE1BAA8" w14:textId="06166E4A" w:rsidR="00960E01" w:rsidRDefault="00821CB5">
            <w:pPr>
              <w:pStyle w:val="P68B1DB1-TableParagraph13"/>
              <w:spacing w:before="108"/>
              <w:jc w:val="both"/>
              <w:rPr>
                <w:b/>
                <w:bCs/>
              </w:rPr>
            </w:pPr>
            <w:r>
              <w:t>Institutterne forventes at tage hensyn til tidsrammen for onboarding af nye kunder, da en ny kunde har ansøgt om en banktjeneste.</w:t>
            </w:r>
          </w:p>
        </w:tc>
      </w:tr>
      <w:tr w:rsidR="00960E01"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960E01" w:rsidRDefault="00821CB5">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960E01" w:rsidRDefault="00821CB5">
            <w:pPr>
              <w:pStyle w:val="P68B1DB1-TableParagraph14"/>
              <w:spacing w:before="108"/>
              <w:jc w:val="both"/>
              <w:rPr>
                <w:bCs/>
              </w:rPr>
            </w:pPr>
            <w:r>
              <w:t>Kritikalitetsvurdering</w:t>
            </w:r>
          </w:p>
        </w:tc>
      </w:tr>
      <w:tr w:rsidR="00960E01"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960E01" w:rsidRDefault="00821CB5">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960E01" w:rsidRDefault="00821CB5">
            <w:pPr>
              <w:pStyle w:val="P68B1DB1-TableParagraph14"/>
              <w:spacing w:before="108"/>
              <w:jc w:val="both"/>
              <w:rPr>
                <w:bCs/>
              </w:rPr>
            </w:pPr>
            <w:r>
              <w:t xml:space="preserve">Indvirkning på markedet </w:t>
            </w:r>
          </w:p>
          <w:p w14:paraId="7FE1BAAF" w14:textId="77777777" w:rsidR="00960E01" w:rsidRDefault="00821CB5">
            <w:pPr>
              <w:pStyle w:val="P68B1DB1-TableParagraph13"/>
              <w:spacing w:before="108"/>
              <w:jc w:val="both"/>
            </w:pPr>
            <w:r>
              <w:lastRenderedPageBreak/>
              <w:t>Anslået virkning af en pludselig afbrydelse af funktionen for tredjepart, finansielle markeder og realøkonomien, under hensyntagen til instituttets størrelse, markedsandel, eksterne og interne forbundethed, kompleksitet og grænseoverskridende aktiviteter.</w:t>
            </w:r>
          </w:p>
          <w:p w14:paraId="7FE1BAB0" w14:textId="765F6584" w:rsidR="00960E01" w:rsidRDefault="00821CB5">
            <w:pPr>
              <w:pStyle w:val="P68B1DB1-TableParagraph13"/>
              <w:spacing w:before="108"/>
              <w:jc w:val="both"/>
            </w:pPr>
            <w:r>
              <w:t>Denne vurdering udtrykkes kvalitativt som "høj", "mellemhøj", "mellemlav" eller lav.</w:t>
            </w:r>
          </w:p>
          <w:p w14:paraId="7FE1BAB1" w14:textId="14727254" w:rsidR="00960E01" w:rsidRDefault="00821CB5">
            <w:pPr>
              <w:pStyle w:val="P68B1DB1-TableParagraph13"/>
              <w:spacing w:before="108"/>
              <w:jc w:val="both"/>
              <w:rPr>
                <w:b/>
                <w:bCs/>
              </w:rPr>
            </w:pPr>
            <w:r>
              <w:t>"Høj" vælges, hvis afbrydelsen har stor indvirkning på det nationale marked, "MH", hvis indvirkningen er betydelig, "Medium-Low", hvis indvirkningen er væsentlig, men begrænset, og "Lav" hvis indvirkningen er lav.</w:t>
            </w:r>
          </w:p>
        </w:tc>
      </w:tr>
      <w:tr w:rsidR="00960E01"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960E01" w:rsidRDefault="00821CB5">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960E01" w:rsidRDefault="00821CB5">
            <w:pPr>
              <w:pStyle w:val="P68B1DB1-TableParagraph14"/>
              <w:spacing w:before="108"/>
              <w:jc w:val="both"/>
              <w:rPr>
                <w:bCs/>
              </w:rPr>
            </w:pPr>
            <w:r>
              <w:t>Substituerbarhed</w:t>
            </w:r>
          </w:p>
          <w:p w14:paraId="7FE1BAB5" w14:textId="77777777" w:rsidR="00960E01" w:rsidRDefault="00821CB5">
            <w:pPr>
              <w:pStyle w:val="P68B1DB1-TableParagraph13"/>
              <w:spacing w:before="108"/>
              <w:jc w:val="both"/>
            </w:pPr>
            <w:r>
              <w:t>Artikel 6, stk. 3, i delegeret forordning (EU) 2016/778.</w:t>
            </w:r>
          </w:p>
          <w:p w14:paraId="7FE1BAB6" w14:textId="77777777" w:rsidR="00960E01" w:rsidRDefault="00821CB5">
            <w:pPr>
              <w:pStyle w:val="P68B1DB1-TableParagraph13"/>
              <w:spacing w:before="108"/>
              <w:jc w:val="both"/>
            </w:pPr>
            <w:r>
              <w:t>En funktion anses for substituerbar, hvis den kan erstattes på en acceptabel måde og inden for en rimelig tidsfrist, så man derved undgår systemiske problemer for realøkonomien og de finansielle markeder. Der skal tages hensyn til følgende:</w:t>
            </w:r>
          </w:p>
          <w:p w14:paraId="7FE1BAB7" w14:textId="77777777" w:rsidR="00960E01" w:rsidRDefault="00821CB5">
            <w:pPr>
              <w:pStyle w:val="P68B1DB1-TableParagraph13"/>
              <w:spacing w:before="108"/>
              <w:jc w:val="both"/>
            </w:pPr>
            <w:r>
              <w:t xml:space="preserve">(a) strukturen på markedet for denne funktion og alternative leverandørers disponibilitet </w:t>
            </w:r>
          </w:p>
          <w:p w14:paraId="7FE1BAB8" w14:textId="77777777" w:rsidR="00960E01" w:rsidRDefault="00821CB5">
            <w:pPr>
              <w:pStyle w:val="P68B1DB1-TableParagraph13"/>
              <w:spacing w:before="108"/>
              <w:jc w:val="both"/>
            </w:pPr>
            <w:r>
              <w:t xml:space="preserve">(b) andre leverandørers evne med hensyn til kapacitet, kravene vedrørende udførelse af den pågældende funktion og potentielle hindringer for adgang eller ekspansion </w:t>
            </w:r>
          </w:p>
          <w:p w14:paraId="7FE1BAB9" w14:textId="77777777" w:rsidR="00960E01" w:rsidRDefault="00821CB5">
            <w:pPr>
              <w:pStyle w:val="P68B1DB1-TableParagraph13"/>
              <w:spacing w:before="108"/>
              <w:jc w:val="both"/>
            </w:pPr>
            <w:r>
              <w:t xml:space="preserve">(c) andre leverandørers incitament til at påtage sig disse aktiviteter </w:t>
            </w:r>
          </w:p>
          <w:p w14:paraId="7FE1BABA" w14:textId="77777777" w:rsidR="00960E01" w:rsidRDefault="00821CB5">
            <w:pPr>
              <w:pStyle w:val="P68B1DB1-TableParagraph13"/>
              <w:spacing w:before="108"/>
              <w:jc w:val="both"/>
            </w:pPr>
            <w:r>
              <w:t>(d) den tid, som brugerne af tjenesten har behov for til at flytte over til den nye tjenesteyder, og omkostningerne ved at flytte, den tid, der er behov for, til at andre konkurrenter kan overtage funktionerne, og hvorvidt denne tid er passende til at forhindre betydelige forstyrrelser afhængigt af den pågældende tjeneste.</w:t>
            </w:r>
          </w:p>
          <w:p w14:paraId="7FE1BABB" w14:textId="48F2EE45" w:rsidR="00960E01" w:rsidRDefault="00821CB5">
            <w:pPr>
              <w:pStyle w:val="P68B1DB1-TableParagraph13"/>
              <w:spacing w:before="108"/>
              <w:jc w:val="both"/>
            </w:pPr>
            <w:r>
              <w:t xml:space="preserve">Give en samlet vurdering af den forventede grad af substituerbarhed for hver funktion under hensyntagen til de forskellige dimensioner, der tidligere er blevet vurderet (markedsandel, markedskoncentration, substitutionstid, juridiske hindringer og operationelle krav til adgang eller ekspansion). Denne vurdering udtrykkes kvalitativt som "høj", "mellemhøj", "mellemlav" eller lav. </w:t>
            </w:r>
          </w:p>
          <w:p w14:paraId="7FE1BABC" w14:textId="47D04A62" w:rsidR="00960E01" w:rsidRDefault="00821CB5">
            <w:pPr>
              <w:pStyle w:val="P68B1DB1-TableParagraph13"/>
              <w:spacing w:before="108"/>
              <w:jc w:val="both"/>
            </w:pPr>
            <w:r>
              <w:t>"High" vælges, hvis en funktion nemt kan udføres af en anden bank under sammenlignelige betingelser inden for en rimelig tidsramme</w:t>
            </w:r>
          </w:p>
          <w:p w14:paraId="7FE1BABD" w14:textId="7FFD9091" w:rsidR="00960E01" w:rsidRDefault="00821CB5">
            <w:pPr>
              <w:pStyle w:val="P68B1DB1-TableParagraph13"/>
              <w:spacing w:before="108"/>
              <w:jc w:val="both"/>
            </w:pPr>
            <w:r>
              <w:t xml:space="preserve">"L", hvis en funktion ikke nemt eller hurtigt kan erstattes </w:t>
            </w:r>
          </w:p>
          <w:p w14:paraId="7FE1BABE" w14:textId="29287980" w:rsidR="00960E01" w:rsidRDefault="00821CB5">
            <w:pPr>
              <w:pStyle w:val="P68B1DB1-TableParagraph13"/>
              <w:spacing w:before="108"/>
              <w:jc w:val="both"/>
            </w:pPr>
            <w:r>
              <w:t>"Medium-High" og "Medium-Low" for mellemliggende tilfælde under hensyntagen til diverse dimensioner (bl.a. markedsandel, markedskoncentration, substitutionstid samt juridiske hindringer for og operationelle krav vedrørende adgang eller ekspansion).</w:t>
            </w:r>
          </w:p>
        </w:tc>
      </w:tr>
      <w:tr w:rsidR="00960E01"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960E01" w:rsidRDefault="00821CB5">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960E01" w:rsidRDefault="00821CB5">
            <w:pPr>
              <w:pStyle w:val="P68B1DB1-TableParagraph14"/>
              <w:spacing w:before="108"/>
              <w:jc w:val="both"/>
              <w:rPr>
                <w:bCs/>
              </w:rPr>
            </w:pPr>
            <w:r>
              <w:t>Kritisk funktion</w:t>
            </w:r>
          </w:p>
          <w:p w14:paraId="7FE1BAC2" w14:textId="77777777" w:rsidR="00960E01" w:rsidRDefault="00821CB5">
            <w:pPr>
              <w:pStyle w:val="P68B1DB1-TableParagraph13"/>
              <w:spacing w:before="108"/>
              <w:jc w:val="both"/>
            </w:pPr>
            <w:r>
              <w:t>I denne kolonne angives det, under hensyntagen til den indflydelses- og erstatningsanalyse, som institutionen har foretaget, hvorvidt den økonomiske funktion anses for at være kritisk på markedet for det pågældende land.</w:t>
            </w:r>
          </w:p>
          <w:p w14:paraId="7FE1BAC3" w14:textId="77777777" w:rsidR="00960E01" w:rsidRDefault="00821CB5">
            <w:pPr>
              <w:pStyle w:val="P68B1DB1-TableParagraph13"/>
              <w:spacing w:before="108"/>
              <w:jc w:val="both"/>
            </w:pPr>
            <w:r>
              <w:t>Angiv "Ja" eller "Nej"</w:t>
            </w:r>
          </w:p>
        </w:tc>
      </w:tr>
      <w:tr w:rsidR="00960E01"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960E01" w:rsidRDefault="00821CB5">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960E01" w:rsidRDefault="00821CB5">
            <w:pPr>
              <w:pStyle w:val="P68B1DB1-TableParagraph14"/>
              <w:spacing w:before="108"/>
              <w:jc w:val="both"/>
              <w:rPr>
                <w:bCs/>
              </w:rPr>
            </w:pPr>
            <w:r>
              <w:t>Gruppens bemærkninger</w:t>
            </w:r>
          </w:p>
          <w:p w14:paraId="7FE1BAC7" w14:textId="77777777" w:rsidR="00960E01" w:rsidRDefault="00821CB5">
            <w:pPr>
              <w:pStyle w:val="P68B1DB1-TableParagraph13"/>
              <w:spacing w:before="108"/>
              <w:jc w:val="both"/>
            </w:pPr>
            <w:r>
              <w:t>Dette felt gør det muligt for den regnskabsaflæggende virksomhed at redegøre for eventuelle antagelser, der er anvendt til at vurdere den kritiske karakter af den eller de indberettede funktioner.</w:t>
            </w:r>
          </w:p>
        </w:tc>
      </w:tr>
    </w:tbl>
    <w:p w14:paraId="7FE1BAC9" w14:textId="77777777" w:rsidR="00960E01" w:rsidRDefault="00960E01">
      <w:pPr>
        <w:rPr>
          <w:rFonts w:ascii="Times New Roman" w:hAnsi="Times New Roman" w:cs="Times New Roman"/>
          <w:color w:val="000000" w:themeColor="text1"/>
          <w:sz w:val="20"/>
          <w:szCs w:val="20"/>
        </w:rPr>
      </w:pPr>
    </w:p>
    <w:p w14:paraId="7FE1BACA" w14:textId="77777777" w:rsidR="00960E01" w:rsidRDefault="00960E01">
      <w:pPr>
        <w:rPr>
          <w:rFonts w:ascii="Times New Roman" w:hAnsi="Times New Roman" w:cs="Times New Roman"/>
          <w:color w:val="000000" w:themeColor="text1"/>
          <w:sz w:val="20"/>
          <w:szCs w:val="20"/>
        </w:rPr>
      </w:pPr>
    </w:p>
    <w:p w14:paraId="7FE1BACB" w14:textId="48446B8B" w:rsidR="00960E01" w:rsidRDefault="00821CB5">
      <w:pPr>
        <w:pStyle w:val="P68B1DB1-Instructionsberschrift25"/>
        <w:numPr>
          <w:ilvl w:val="1"/>
          <w:numId w:val="49"/>
        </w:numPr>
        <w:ind w:left="357" w:hanging="357"/>
      </w:pPr>
      <w:bookmarkStart w:id="115" w:name="_Toc208244564"/>
      <w:r>
        <w:t>Z 07.01.2 FUNC 1 LEN</w:t>
      </w:r>
      <w:bookmarkEnd w:id="115"/>
    </w:p>
    <w:p w14:paraId="7FE1BAD5" w14:textId="77777777" w:rsidR="00960E01" w:rsidRDefault="00960E01">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60E01"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960E01" w:rsidRDefault="00821CB5">
            <w:pPr>
              <w:pStyle w:val="P68B1DB1-TableParagraph17"/>
              <w:spacing w:before="108"/>
              <w:ind w:left="85"/>
              <w:jc w:val="both"/>
            </w:pPr>
            <w:bookmarkStart w:id="116" w:name="_Hlk162013303"/>
            <w:r>
              <w:lastRenderedPageBreak/>
              <w:t>Kolonner</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960E01" w:rsidRDefault="00821CB5">
            <w:pPr>
              <w:pStyle w:val="P68B1DB1-TableParagraph17"/>
              <w:spacing w:before="108"/>
              <w:ind w:left="85" w:right="1"/>
              <w:jc w:val="both"/>
            </w:pPr>
            <w:r>
              <w:t>Instrukser</w:t>
            </w:r>
          </w:p>
        </w:tc>
      </w:tr>
      <w:tr w:rsidR="00960E01"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960E01" w:rsidRDefault="00821CB5">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960E01" w:rsidRDefault="00821CB5">
            <w:pPr>
              <w:pStyle w:val="P68B1DB1-TableParagraph14"/>
              <w:spacing w:before="108"/>
              <w:ind w:left="85"/>
              <w:jc w:val="both"/>
              <w:rPr>
                <w:bCs/>
              </w:rPr>
            </w:pPr>
            <w:r>
              <w:t>Beskrivelse af økonomisk funktion</w:t>
            </w:r>
          </w:p>
          <w:p w14:paraId="7FE1BADB" w14:textId="0F1FA007" w:rsidR="00960E01" w:rsidRDefault="00821CB5">
            <w:pPr>
              <w:pStyle w:val="P68B1DB1-TableParagraph17"/>
              <w:spacing w:before="108"/>
              <w:ind w:left="85"/>
            </w:pPr>
            <w:r>
              <w:t xml:space="preserve">Hvis den økonomiske funktion er af typen "Andet" (Z 07.01.2 FUNC 1 LEN r0130 til r0150), skal der gives en beskrivelse af denne funktion. </w:t>
            </w:r>
          </w:p>
        </w:tc>
      </w:tr>
      <w:tr w:rsidR="00960E01"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960E01" w:rsidRDefault="00821CB5">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960E01" w:rsidRDefault="00821CB5">
            <w:pPr>
              <w:pStyle w:val="P68B1DB1-TableParagraph14"/>
              <w:spacing w:before="108"/>
              <w:ind w:left="85"/>
              <w:jc w:val="both"/>
              <w:rPr>
                <w:bCs/>
              </w:rPr>
            </w:pPr>
            <w:r>
              <w:t xml:space="preserve">Markedsandel </w:t>
            </w:r>
          </w:p>
          <w:p w14:paraId="7FE1BADF" w14:textId="4B4AE08B" w:rsidR="00960E01" w:rsidRDefault="00821CB5">
            <w:pPr>
              <w:pStyle w:val="P68B1DB1-TableParagraph17"/>
              <w:spacing w:before="108"/>
              <w:ind w:left="85"/>
            </w:pPr>
            <w:r>
              <w:t>Skøn over instituttets eller koncernens markedsandel for så vidt angår den økonomiske funktion i det pågældende land eller geografiske område. En procentdel af det samlede marked (pengebeløb).</w:t>
            </w:r>
          </w:p>
        </w:tc>
      </w:tr>
      <w:tr w:rsidR="00960E01"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960E01" w:rsidRDefault="00821CB5">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960E01" w:rsidRDefault="00821CB5">
            <w:pPr>
              <w:pStyle w:val="P68B1DB1-TableParagraph14"/>
              <w:spacing w:before="108"/>
              <w:rPr>
                <w:bCs/>
              </w:rPr>
            </w:pPr>
            <w:r>
              <w:t>Udestående værdi</w:t>
            </w:r>
          </w:p>
          <w:p w14:paraId="7FE1BAE3" w14:textId="77777777" w:rsidR="00960E01" w:rsidRDefault="00821CB5">
            <w:pPr>
              <w:pStyle w:val="P68B1DB1-TableParagraph17"/>
              <w:spacing w:before="108"/>
            </w:pPr>
            <w:r>
              <w:t>Bruttobalanceværdien af ikke-værdiforringede og værdiforringede lån og forskud (inkl. påløbne renter).</w:t>
            </w:r>
          </w:p>
          <w:p w14:paraId="7FE1BAE4" w14:textId="77777777" w:rsidR="00960E01" w:rsidRDefault="00821CB5">
            <w:pPr>
              <w:pStyle w:val="P68B1DB1-TableParagraph17"/>
              <w:spacing w:before="108"/>
            </w:pPr>
            <w:r>
              <w:t>renter). Udlånsbeholdningen bruges som proxy for forventede fremtidige udlån.</w:t>
            </w:r>
          </w:p>
        </w:tc>
      </w:tr>
      <w:tr w:rsidR="00960E01"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960E01" w:rsidRDefault="00821CB5">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960E01" w:rsidRDefault="00821CB5">
            <w:pPr>
              <w:pStyle w:val="P68B1DB1-TableParagraph14"/>
              <w:spacing w:before="108"/>
              <w:rPr>
                <w:bCs/>
              </w:rPr>
            </w:pPr>
            <w:r>
              <w:t>Antal kunder</w:t>
            </w:r>
          </w:p>
          <w:p w14:paraId="7FE1BAE8" w14:textId="77777777" w:rsidR="00960E01" w:rsidRDefault="00821CB5">
            <w:pPr>
              <w:pStyle w:val="P68B1DB1-TableParagraph17"/>
              <w:spacing w:before="108"/>
            </w:pPr>
            <w:r>
              <w:t>Samlet antal kunder, som fik oplyst de værdier, der er indberettet i c0030 "værdi</w:t>
            </w:r>
          </w:p>
          <w:p w14:paraId="7FE1BAE9" w14:textId="77777777" w:rsidR="00960E01" w:rsidRDefault="00821CB5">
            <w:pPr>
              <w:pStyle w:val="P68B1DB1-TableParagraph17"/>
              <w:spacing w:before="108"/>
            </w:pPr>
            <w:r>
              <w:t>udestående ". En kunde til flere låneprodukter/konti medregnes kun én gang.</w:t>
            </w:r>
          </w:p>
          <w:p w14:paraId="7FE1BAEA" w14:textId="77777777" w:rsidR="00960E01" w:rsidRDefault="00821CB5">
            <w:pPr>
              <w:pStyle w:val="P68B1DB1-TableParagraph17"/>
              <w:spacing w:before="108"/>
            </w:pPr>
            <w:r>
              <w:t>kun én gang.</w:t>
            </w:r>
          </w:p>
        </w:tc>
      </w:tr>
      <w:tr w:rsidR="00960E01"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960E01" w:rsidRDefault="00821CB5">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960E01" w:rsidRDefault="00821CB5">
            <w:pPr>
              <w:pStyle w:val="P68B1DB1-TableParagraph14"/>
              <w:spacing w:before="108"/>
              <w:ind w:left="85"/>
              <w:jc w:val="both"/>
              <w:rPr>
                <w:bCs/>
              </w:rPr>
            </w:pPr>
            <w:r>
              <w:t>Udestående værdi — grænseoverskridende værdi</w:t>
            </w:r>
          </w:p>
          <w:p w14:paraId="7FE1BAF3" w14:textId="5BF86183" w:rsidR="00960E01" w:rsidRDefault="00821CB5">
            <w:pPr>
              <w:pStyle w:val="P68B1DB1-TableParagraph13"/>
              <w:spacing w:before="108"/>
              <w:ind w:left="85"/>
              <w:jc w:val="both"/>
            </w:pPr>
            <w:r>
              <w:t>Udestående værdi (c0030) af lån til ikkeresidenter, se Indskud (c0060) "Grænseoverskridende</w:t>
            </w:r>
          </w:p>
          <w:p w14:paraId="7FE1BAF4" w14:textId="77777777" w:rsidR="00960E01" w:rsidRDefault="00821CB5">
            <w:pPr>
              <w:pStyle w:val="P68B1DB1-TableParagraph13"/>
              <w:spacing w:before="108"/>
              <w:ind w:left="85"/>
              <w:jc w:val="both"/>
              <w:rPr>
                <w:b/>
                <w:bCs/>
              </w:rPr>
            </w:pPr>
            <w:r>
              <w:t>værdi ".</w:t>
            </w:r>
          </w:p>
        </w:tc>
      </w:tr>
      <w:bookmarkEnd w:id="116"/>
      <w:tr w:rsidR="00960E01"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960E01" w:rsidRDefault="00821CB5">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960E01" w:rsidRDefault="00821CB5">
            <w:pPr>
              <w:pStyle w:val="P68B1DB1-TableParagraph14"/>
              <w:spacing w:before="108"/>
              <w:jc w:val="both"/>
              <w:rPr>
                <w:bCs/>
              </w:rPr>
            </w:pPr>
            <w:r>
              <w:t>Konsekvens- og substituerbarhedsanalyser</w:t>
            </w:r>
          </w:p>
          <w:p w14:paraId="7FE1BAFB" w14:textId="77777777" w:rsidR="00960E01" w:rsidRDefault="00821CB5">
            <w:pPr>
              <w:pStyle w:val="P68B1DB1-TableParagraph13"/>
              <w:spacing w:before="108"/>
            </w:pPr>
            <w:r>
              <w:t>Vurderingskriterierne for indvirkningen på tredjeparter skal omfatte følgende elementer i overensstemmelse med Kommissionens delegerede forordning (EU) 2016/778 om kritiske funktioner:</w:t>
            </w:r>
          </w:p>
          <w:p w14:paraId="7FE1BAFC" w14:textId="77777777" w:rsidR="00960E01" w:rsidRDefault="00821CB5">
            <w:pPr>
              <w:pStyle w:val="P68B1DB1-ListParagraph38"/>
              <w:numPr>
                <w:ilvl w:val="0"/>
                <w:numId w:val="131"/>
              </w:numPr>
              <w:spacing w:line="276" w:lineRule="auto"/>
            </w:pPr>
            <w:r>
              <w:t>arten og omfanget af aktiviteten, den globale, nationale eller regionale rækkevidde samt omfanget og antallet af transaktioner; antallet af kunder og modparter; antallet af kunder, for hvilke instituttet er den eneste eller primære bankforretningspartner</w:t>
            </w:r>
          </w:p>
          <w:p w14:paraId="7FE1BAFD" w14:textId="77777777" w:rsidR="00960E01" w:rsidRDefault="00821CB5">
            <w:pPr>
              <w:pStyle w:val="P68B1DB1-ListParagraph38"/>
              <w:numPr>
                <w:ilvl w:val="0"/>
                <w:numId w:val="131"/>
              </w:numPr>
              <w:spacing w:line="276" w:lineRule="auto"/>
            </w:pPr>
            <w:r>
              <w:t>relevansen af instituttet på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AFE" w14:textId="77777777" w:rsidR="00960E01" w:rsidRDefault="00821CB5">
            <w:pPr>
              <w:pStyle w:val="P68B1DB1-ListParagraph38"/>
              <w:numPr>
                <w:ilvl w:val="0"/>
                <w:numId w:val="131"/>
              </w:numPr>
              <w:spacing w:line="276" w:lineRule="auto"/>
            </w:pPr>
            <w:r>
              <w:t xml:space="preserve">Relevansen af instituttet kan vurderes på grundlag af markedsandelen, den indbyrdes forbundethed, kompleksiteten og grænseoverskridende aktiviteter </w:t>
            </w:r>
          </w:p>
          <w:p w14:paraId="7FE1BAFF" w14:textId="77777777" w:rsidR="00960E01" w:rsidRDefault="00821CB5">
            <w:pPr>
              <w:pStyle w:val="P68B1DB1-ListParagraph38"/>
              <w:numPr>
                <w:ilvl w:val="0"/>
                <w:numId w:val="131"/>
              </w:numPr>
              <w:spacing w:line="276" w:lineRule="auto"/>
            </w:pPr>
            <w:r>
              <w:t>den mulige forstyrrelse af funktionen for markeder, infrastrukturer, kunder og offentlige tjenester. Den mulige forstyrrelse af funktionen for markeder, infrastrukturer, kunder og offentlige tjenester.Vurderingen kan bl.a. omfatte indvirkningen på likviditeten på de berørte markeder, virkningen og omfanget af forstyrrelsen for kundeaktiviteter og kortfristede likviditetsbehov; mærkbarheden for modparter, kunder og offentligheden; kundereaktionernes kapacitet og hastighed; relevansen for andre markeders funktion: indvirkningen på et andet markeds likviditet, transaktioner og struktur; indvirkningen på andre modparter i forbindelse med de vigtigste kunder og funktionens relationer til andre ydelser.</w:t>
            </w:r>
          </w:p>
          <w:p w14:paraId="7FE1BB00"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960E01" w:rsidRDefault="00821CB5">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5FA3B417" w:rsidR="00960E01" w:rsidRDefault="00821CB5">
            <w:pPr>
              <w:pStyle w:val="P68B1DB1-TableParagraph14"/>
              <w:spacing w:before="108"/>
              <w:jc w:val="both"/>
              <w:rPr>
                <w:bCs/>
              </w:rPr>
            </w:pPr>
            <w:r>
              <w:t xml:space="preserve">Natur og </w:t>
            </w:r>
            <w:r w:rsidR="00F01961">
              <w:t>Omfang</w:t>
            </w:r>
            <w:r>
              <w:t xml:space="preserve"> </w:t>
            </w:r>
          </w:p>
          <w:p w14:paraId="7FE1BB04" w14:textId="77777777" w:rsidR="00960E01" w:rsidRDefault="00821CB5">
            <w:pPr>
              <w:pStyle w:val="P68B1DB1-TableParagraph13"/>
              <w:spacing w:before="108"/>
              <w:jc w:val="both"/>
            </w:pPr>
            <w:r>
              <w:lastRenderedPageBreak/>
              <w:t>Den globale, nationale eller regionale rækkevidde, omfanget og antallet af transaktioner antallet af kunder og modparter; antallet af kunder, for hvilke instituttet er den eneste eller primære bankforretningspartner</w:t>
            </w:r>
          </w:p>
        </w:tc>
      </w:tr>
      <w:tr w:rsidR="00960E01"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960E01" w:rsidRDefault="00821CB5">
            <w:pPr>
              <w:pStyle w:val="P68B1DB1-TableParagraph17"/>
              <w:spacing w:before="108"/>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960E01" w:rsidRDefault="00821CB5">
            <w:pPr>
              <w:pStyle w:val="P68B1DB1-TableParagraph14"/>
              <w:spacing w:before="108"/>
              <w:jc w:val="both"/>
              <w:rPr>
                <w:bCs/>
              </w:rPr>
            </w:pPr>
            <w:r>
              <w:t>Størrelsesindikator 1</w:t>
            </w:r>
          </w:p>
          <w:p w14:paraId="50B226E0"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B08" w14:textId="658E0B92" w:rsidR="00960E01" w:rsidRDefault="00960E01">
            <w:pPr>
              <w:pStyle w:val="TableParagraph"/>
              <w:spacing w:before="108"/>
              <w:rPr>
                <w:rFonts w:ascii="Times New Roman" w:hAnsi="Times New Roman" w:cs="Times New Roman"/>
                <w:color w:val="000000" w:themeColor="text1"/>
                <w:sz w:val="20"/>
                <w:szCs w:val="20"/>
              </w:rPr>
            </w:pPr>
          </w:p>
          <w:p w14:paraId="7FE1BB09" w14:textId="199C9DE7" w:rsidR="00960E01" w:rsidRDefault="00821CB5">
            <w:pPr>
              <w:pStyle w:val="P68B1DB1-ListParagraph32"/>
              <w:numPr>
                <w:ilvl w:val="0"/>
                <w:numId w:val="130"/>
              </w:numPr>
              <w:spacing w:line="276" w:lineRule="auto"/>
            </w:pPr>
            <w:r>
              <w:t xml:space="preserve">Ekspertvurdering af størrelsen af udestående lån (c0030) set ud fra et EU-perspektiv </w:t>
            </w:r>
            <w:r>
              <w:rPr>
                <w:i/>
              </w:rPr>
              <w:t>[et niveau højere end det relevante marked].</w:t>
            </w:r>
            <w:r>
              <w:t xml:space="preserve"> Ved vurderingen af denne størrelsesindikator tages der også hensyn til de potentielle fremtidige udlånsstrømme. Du kan bruge den eksisterende udlånsbeholdning som indikator for fremtidige udlånsstrømme, hvis du mener, at tidligere aktiviteter nøjagtigt afspejler den planlagte udlånsaktivitet på kort til mellemlang sigt. </w:t>
            </w:r>
          </w:p>
          <w:p w14:paraId="7FE1BB0A" w14:textId="77777777" w:rsidR="00960E01" w:rsidRDefault="00821CB5">
            <w:pPr>
              <w:pStyle w:val="P68B1DB1-ListParagraph32"/>
              <w:numPr>
                <w:ilvl w:val="1"/>
                <w:numId w:val="127"/>
              </w:numPr>
              <w:spacing w:line="276" w:lineRule="auto"/>
            </w:pPr>
            <w:r>
              <w:t>Hvor stor er værdien af udestående og forpligtede lån set ud fra et EU-perspektiv som indikator for fremtidige udlånsstrømme?</w:t>
            </w:r>
          </w:p>
          <w:p w14:paraId="7FE1BB0B"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960E01" w:rsidRDefault="00821CB5">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960E01" w:rsidRDefault="00821CB5">
            <w:pPr>
              <w:pStyle w:val="P68B1DB1-TableParagraph14"/>
              <w:spacing w:before="108"/>
              <w:jc w:val="both"/>
              <w:rPr>
                <w:bCs/>
              </w:rPr>
            </w:pPr>
            <w:r>
              <w:t>Størrelsesindikator 2</w:t>
            </w:r>
          </w:p>
          <w:p w14:paraId="68B7FEDE"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B0F" w14:textId="40E27EAB" w:rsidR="00960E01" w:rsidRDefault="00960E01">
            <w:pPr>
              <w:pStyle w:val="TableParagraph"/>
              <w:spacing w:before="108"/>
              <w:rPr>
                <w:rFonts w:ascii="Times New Roman" w:hAnsi="Times New Roman" w:cs="Times New Roman"/>
                <w:color w:val="000000" w:themeColor="text1"/>
                <w:sz w:val="20"/>
                <w:szCs w:val="20"/>
              </w:rPr>
            </w:pPr>
          </w:p>
          <w:p w14:paraId="7FE1BB10" w14:textId="4C225025" w:rsidR="00960E01" w:rsidRDefault="00821CB5">
            <w:pPr>
              <w:pStyle w:val="P68B1DB1-ListParagraph32"/>
              <w:numPr>
                <w:ilvl w:val="0"/>
                <w:numId w:val="121"/>
              </w:numPr>
              <w:spacing w:line="276" w:lineRule="auto"/>
            </w:pPr>
            <w:r>
              <w:t xml:space="preserve">Ekspertvurdering af </w:t>
            </w:r>
            <w:r>
              <w:rPr>
                <w:b/>
              </w:rPr>
              <w:t>antallet</w:t>
            </w:r>
            <w:r>
              <w:t xml:space="preserve"> af kunder (c0040) ud fra et </w:t>
            </w:r>
            <w:r>
              <w:rPr>
                <w:b/>
              </w:rPr>
              <w:t>nationalt</w:t>
            </w:r>
            <w:r>
              <w:t xml:space="preserve"> perspektiv </w:t>
            </w:r>
            <w:r>
              <w:rPr>
                <w:i/>
              </w:rPr>
              <w:t>[på det relevante marked]</w:t>
            </w:r>
            <w:r>
              <w:t>:</w:t>
            </w:r>
          </w:p>
          <w:p w14:paraId="7FE1BB11" w14:textId="77777777" w:rsidR="00960E01" w:rsidRDefault="00821CB5">
            <w:pPr>
              <w:pStyle w:val="P68B1DB1-ListParagraph32"/>
              <w:numPr>
                <w:ilvl w:val="1"/>
                <w:numId w:val="121"/>
              </w:numPr>
              <w:spacing w:line="276" w:lineRule="auto"/>
            </w:pPr>
            <w:r>
              <w:t>Hvor stort anslås instituttets samlede antal kunder ud fra et nationalt perspektiv?</w:t>
            </w:r>
          </w:p>
          <w:p w14:paraId="7FE1BB17" w14:textId="77777777" w:rsidR="00960E01" w:rsidRDefault="00960E01">
            <w:pPr>
              <w:rPr>
                <w:rFonts w:ascii="Times New Roman" w:hAnsi="Times New Roman"/>
                <w:color w:val="000000" w:themeColor="text1"/>
                <w:sz w:val="20"/>
                <w:szCs w:val="20"/>
              </w:rPr>
            </w:pPr>
          </w:p>
        </w:tc>
      </w:tr>
      <w:tr w:rsidR="00960E01"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960E01" w:rsidRDefault="00821CB5">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960E01" w:rsidRDefault="00821CB5">
            <w:pPr>
              <w:pStyle w:val="P68B1DB1-TableParagraph14"/>
              <w:spacing w:before="108"/>
              <w:jc w:val="both"/>
              <w:rPr>
                <w:bCs/>
              </w:rPr>
            </w:pPr>
            <w:r>
              <w:t>Grænseoverskridende indikator</w:t>
            </w:r>
          </w:p>
          <w:p w14:paraId="7FE1BB1B" w14:textId="77777777" w:rsidR="00960E01" w:rsidRDefault="00821CB5">
            <w:pPr>
              <w:pStyle w:val="P68B1DB1-TableParagraph13"/>
              <w:spacing w:before="108"/>
            </w:pPr>
            <w:r>
              <w:t>Vurdere grænseoverskridende aktiviteters relative betydning for de forskellige økonomiske funktioner.</w:t>
            </w:r>
          </w:p>
          <w:p w14:paraId="7FE1BB1C" w14:textId="77777777" w:rsidR="00960E01" w:rsidRDefault="00821CB5">
            <w:pPr>
              <w:pStyle w:val="P68B1DB1-TableParagraph13"/>
              <w:spacing w:before="108"/>
            </w:pPr>
            <w:r>
              <w:t xml:space="preserve">Det er ikke nødvendigt at vurdere dette i tilfælde af rapporter, hvor det relevante marked anses for at være regionalt. </w:t>
            </w:r>
          </w:p>
          <w:p w14:paraId="7FE1BB1D" w14:textId="77777777" w:rsidR="00960E01" w:rsidRDefault="00821CB5">
            <w:pPr>
              <w:pStyle w:val="P68B1DB1-TableParagraph33"/>
              <w:spacing w:before="108"/>
              <w:jc w:val="both"/>
            </w:pPr>
            <w:r>
              <w:t xml:space="preserve">Antal EU-lande, hvor den indberettende enhed har en markedsandel på over 2 % (udtrykt i værdien af udestående lån). Betænkning: </w:t>
            </w:r>
          </w:p>
          <w:p w14:paraId="7FE1BB1E" w14:textId="1382E45D" w:rsidR="00960E01" w:rsidRDefault="00821CB5">
            <w:pPr>
              <w:pStyle w:val="P68B1DB1-TableParagraph33"/>
              <w:numPr>
                <w:ilvl w:val="0"/>
                <w:numId w:val="282"/>
              </w:numPr>
              <w:spacing w:before="108"/>
              <w:jc w:val="both"/>
            </w:pPr>
            <w:r>
              <w:t xml:space="preserve">≤ 1 land </w:t>
            </w:r>
          </w:p>
          <w:p w14:paraId="7FE1BB1F" w14:textId="1384F453" w:rsidR="00960E01" w:rsidRDefault="00821CB5">
            <w:pPr>
              <w:pStyle w:val="P68B1DB1-TableParagraph33"/>
              <w:numPr>
                <w:ilvl w:val="0"/>
                <w:numId w:val="282"/>
              </w:numPr>
              <w:spacing w:before="108"/>
              <w:jc w:val="both"/>
            </w:pPr>
            <w:r>
              <w:t xml:space="preserve">2-3 lande </w:t>
            </w:r>
          </w:p>
          <w:p w14:paraId="7FE1BB20" w14:textId="2782B087" w:rsidR="00960E01" w:rsidRDefault="00821CB5">
            <w:pPr>
              <w:pStyle w:val="P68B1DB1-TableParagraph33"/>
              <w:numPr>
                <w:ilvl w:val="0"/>
                <w:numId w:val="282"/>
              </w:numPr>
              <w:spacing w:before="108"/>
              <w:jc w:val="both"/>
            </w:pPr>
            <w:r>
              <w:t xml:space="preserve">4-5 lande </w:t>
            </w:r>
          </w:p>
          <w:p w14:paraId="7FE1BB21" w14:textId="6E7B19E5" w:rsidR="00960E01" w:rsidRDefault="00821CB5">
            <w:pPr>
              <w:pStyle w:val="P68B1DB1-TableParagraph33"/>
              <w:numPr>
                <w:ilvl w:val="0"/>
                <w:numId w:val="282"/>
              </w:numPr>
              <w:spacing w:before="108"/>
              <w:jc w:val="both"/>
              <w:rPr>
                <w:rFonts w:cs="Times New Roman"/>
                <w:color w:val="000000" w:themeColor="text1"/>
              </w:rPr>
            </w:pPr>
            <w:r>
              <w:t>&gt; 5 lande</w:t>
            </w:r>
          </w:p>
        </w:tc>
      </w:tr>
      <w:tr w:rsidR="00960E01"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960E01" w:rsidRDefault="00821CB5">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960E01" w:rsidRDefault="00821CB5">
            <w:pPr>
              <w:pStyle w:val="P68B1DB1-TableParagraph13"/>
              <w:spacing w:before="108"/>
              <w:jc w:val="both"/>
            </w:pPr>
            <w:r>
              <w:rPr>
                <w:b/>
              </w:rPr>
              <w:t xml:space="preserve">Relevans </w:t>
            </w:r>
            <w:r>
              <w:t xml:space="preserve">— </w:t>
            </w:r>
          </w:p>
          <w:p w14:paraId="7FE1BB25" w14:textId="77777777" w:rsidR="00960E01" w:rsidRDefault="00821CB5">
            <w:pPr>
              <w:pStyle w:val="P68B1DB1-TableParagraph13"/>
              <w:spacing w:before="108"/>
              <w:jc w:val="both"/>
            </w:pPr>
            <w:r>
              <w:lastRenderedPageBreak/>
              <w:t>På et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B26" w14:textId="77777777" w:rsidR="00960E01" w:rsidRDefault="00821CB5">
            <w:pPr>
              <w:pStyle w:val="P68B1DB1-TableParagraph14"/>
              <w:spacing w:before="108"/>
              <w:jc w:val="both"/>
              <w:rPr>
                <w:bCs/>
              </w:rPr>
            </w:pPr>
            <w:r>
              <w:t>Markedsandel</w:t>
            </w:r>
          </w:p>
          <w:p w14:paraId="4A7FDA65" w14:textId="77777777" w:rsidR="00960E01" w:rsidRDefault="00821CB5">
            <w:pPr>
              <w:pStyle w:val="P68B1DB1-Normal31"/>
              <w:spacing w:line="276" w:lineRule="auto"/>
              <w:jc w:val="both"/>
            </w:pPr>
            <w:r>
              <w:t xml:space="preserve">Vurdere, hvor vigtig den indberettende enheds markedsandel er i forhold til det nationale marked eller et andet relevant marked som angivet i skemaet. Denne vurdering udtrykkes kvalitativt som </w:t>
            </w:r>
          </w:p>
          <w:p w14:paraId="25EA33C7" w14:textId="77777777" w:rsidR="00960E01" w:rsidRDefault="00821CB5">
            <w:pPr>
              <w:pStyle w:val="P68B1DB1-ListParagraph32"/>
              <w:numPr>
                <w:ilvl w:val="0"/>
                <w:numId w:val="276"/>
              </w:numPr>
              <w:spacing w:line="276" w:lineRule="auto"/>
              <w:jc w:val="both"/>
            </w:pPr>
            <w:r>
              <w:t>Høj, hvis markedsandelen er stor</w:t>
            </w:r>
          </w:p>
          <w:p w14:paraId="24D12007" w14:textId="77777777" w:rsidR="00960E01" w:rsidRDefault="00821CB5">
            <w:pPr>
              <w:pStyle w:val="P68B1DB1-ListParagraph32"/>
              <w:numPr>
                <w:ilvl w:val="0"/>
                <w:numId w:val="276"/>
              </w:numPr>
              <w:spacing w:line="276" w:lineRule="auto"/>
              <w:jc w:val="both"/>
            </w:pPr>
            <w:r>
              <w:t>Middelhøj, hvis markedsandelen er mellemhøj</w:t>
            </w:r>
          </w:p>
          <w:p w14:paraId="05C67201" w14:textId="77777777" w:rsidR="00960E01" w:rsidRDefault="00821CB5">
            <w:pPr>
              <w:pStyle w:val="P68B1DB1-ListParagraph32"/>
              <w:numPr>
                <w:ilvl w:val="0"/>
                <w:numId w:val="276"/>
              </w:numPr>
              <w:spacing w:line="276" w:lineRule="auto"/>
              <w:jc w:val="both"/>
            </w:pPr>
            <w:r>
              <w:t xml:space="preserve">Mellemlav, hvis markedsandelen er lille, eller </w:t>
            </w:r>
          </w:p>
          <w:p w14:paraId="29105274" w14:textId="77777777" w:rsidR="00960E01" w:rsidRDefault="00821CB5">
            <w:pPr>
              <w:pStyle w:val="P68B1DB1-ListParagraph32"/>
              <w:numPr>
                <w:ilvl w:val="0"/>
                <w:numId w:val="276"/>
              </w:numPr>
              <w:spacing w:line="276" w:lineRule="auto"/>
              <w:jc w:val="both"/>
            </w:pPr>
            <w:r>
              <w:t xml:space="preserve">Lav, hvis markedsandelen er ubetydelig. </w:t>
            </w:r>
          </w:p>
          <w:p w14:paraId="7FE1BB2B" w14:textId="586F4387" w:rsidR="00960E01" w:rsidRDefault="00960E01">
            <w:pPr>
              <w:pStyle w:val="ListParagraph"/>
              <w:spacing w:line="276" w:lineRule="auto"/>
              <w:jc w:val="both"/>
              <w:rPr>
                <w:rFonts w:ascii="Times New Roman" w:eastAsiaTheme="minorHAnsi" w:hAnsi="Times New Roman"/>
                <w:color w:val="000000" w:themeColor="text1"/>
                <w:sz w:val="20"/>
                <w:szCs w:val="20"/>
              </w:rPr>
            </w:pPr>
          </w:p>
          <w:p w14:paraId="7FE1BB2C" w14:textId="77777777" w:rsidR="00960E01" w:rsidRDefault="00821CB5">
            <w:pPr>
              <w:pStyle w:val="P68B1DB1-TableParagraph13"/>
              <w:spacing w:before="108"/>
            </w:pPr>
            <w:r>
              <w:t xml:space="preserve">Denne vurdering tager hensyn til markedsstrukturen i den indberettende enheds land (eller et andet relevant marked) og de markedsandele, der er indberettet delvist. </w:t>
            </w:r>
          </w:p>
          <w:p w14:paraId="7FE1BB2D" w14:textId="77777777" w:rsidR="00960E01" w:rsidRDefault="00821CB5">
            <w:pPr>
              <w:pStyle w:val="P68B1DB1-TableParagraph13"/>
              <w:spacing w:before="108"/>
            </w:pPr>
            <w:r>
              <w:t>2.Kvantitative data:</w:t>
            </w:r>
          </w:p>
          <w:p w14:paraId="7FE1BB2E" w14:textId="77777777" w:rsidR="00960E01" w:rsidRDefault="00821CB5">
            <w:pPr>
              <w:pStyle w:val="P68B1DB1-ListParagraph32"/>
              <w:numPr>
                <w:ilvl w:val="0"/>
                <w:numId w:val="117"/>
              </w:numPr>
              <w:spacing w:line="276" w:lineRule="auto"/>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B2F" w14:textId="77777777" w:rsidR="00960E01" w:rsidRDefault="00960E01">
            <w:pPr>
              <w:pStyle w:val="TableParagraph"/>
              <w:spacing w:before="108"/>
              <w:rPr>
                <w:rFonts w:ascii="Times New Roman" w:hAnsi="Times New Roman" w:cs="Times New Roman"/>
                <w:color w:val="000000" w:themeColor="text1"/>
                <w:sz w:val="20"/>
                <w:szCs w:val="20"/>
              </w:rPr>
            </w:pPr>
          </w:p>
          <w:p w14:paraId="7FE1BB30"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960E01" w:rsidRDefault="00821CB5">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960E01" w:rsidRDefault="00821CB5">
            <w:pPr>
              <w:pStyle w:val="P68B1DB1-TableParagraph14"/>
              <w:spacing w:before="108"/>
              <w:jc w:val="both"/>
              <w:rPr>
                <w:bCs/>
              </w:rPr>
            </w:pPr>
            <w:r>
              <w:t>Markedsstruktur — markedskoncentration</w:t>
            </w:r>
          </w:p>
          <w:p w14:paraId="7FE1BB34" w14:textId="77777777" w:rsidR="00960E01" w:rsidRDefault="00821CB5">
            <w:pPr>
              <w:pStyle w:val="P68B1DB1-TableParagraph13"/>
              <w:spacing w:before="108"/>
            </w:pPr>
            <w:r>
              <w:t xml:space="preserve">Markedskoncentrationen, målt ud fra antallet af konkurrenter, der i øjeblikket klarer sig </w:t>
            </w:r>
          </w:p>
          <w:p w14:paraId="7FE1BB35" w14:textId="77777777" w:rsidR="00960E01" w:rsidRDefault="00821CB5">
            <w:pPr>
              <w:pStyle w:val="P68B1DB1-TableParagraph13"/>
              <w:spacing w:before="108"/>
            </w:pPr>
            <w:r>
              <w:t xml:space="preserve">lignende økonomiske funktioner og/eller udbud af lignende tjenester på lige vilkår (dvs. til en </w:t>
            </w:r>
          </w:p>
          <w:p w14:paraId="7FE1BB36" w14:textId="77777777" w:rsidR="00960E01" w:rsidRDefault="00821CB5">
            <w:pPr>
              <w:pStyle w:val="P68B1DB1-TableParagraph13"/>
              <w:spacing w:before="108"/>
            </w:pPr>
            <w:r>
              <w:t xml:space="preserve">sammenligneligt omfang og kvalitet og til sammenlignelige omkostninger), der potentielt overtager </w:t>
            </w:r>
          </w:p>
          <w:p w14:paraId="7FE1BB37" w14:textId="77777777" w:rsidR="00960E01" w:rsidRDefault="00821CB5">
            <w:pPr>
              <w:pStyle w:val="P68B1DB1-TableParagraph13"/>
              <w:spacing w:before="108"/>
            </w:pPr>
            <w:r>
              <w:t xml:space="preserve">(en del af) den indberettende enheds kunder og/eller forretninger inden for en rimelig tidsramme. </w:t>
            </w:r>
          </w:p>
          <w:p w14:paraId="7FE1BB38" w14:textId="77777777" w:rsidR="00960E01" w:rsidRDefault="00821CB5">
            <w:pPr>
              <w:pStyle w:val="P68B1DB1-TableParagraph13"/>
              <w:spacing w:before="108"/>
            </w:pPr>
            <w:r>
              <w:t xml:space="preserve">Dette skal indberettes i undergrupper, som er de samme for hver underfunktion. </w:t>
            </w:r>
          </w:p>
          <w:p w14:paraId="6E06F623" w14:textId="77777777" w:rsidR="00960E01" w:rsidRDefault="00821CB5">
            <w:pPr>
              <w:pStyle w:val="P68B1DB1-ListParagraph32"/>
              <w:numPr>
                <w:ilvl w:val="0"/>
                <w:numId w:val="277"/>
              </w:numPr>
              <w:jc w:val="both"/>
            </w:pPr>
            <w:r>
              <w:t xml:space="preserve">&gt; 20 konkurrenter </w:t>
            </w:r>
          </w:p>
          <w:p w14:paraId="1C1D9521" w14:textId="77777777" w:rsidR="00960E01" w:rsidRDefault="00821CB5">
            <w:pPr>
              <w:pStyle w:val="P68B1DB1-ListParagraph32"/>
              <w:numPr>
                <w:ilvl w:val="0"/>
                <w:numId w:val="277"/>
              </w:numPr>
              <w:jc w:val="both"/>
            </w:pPr>
            <w:r>
              <w:t xml:space="preserve">11-20 konkurrenter </w:t>
            </w:r>
          </w:p>
          <w:p w14:paraId="35EEC292" w14:textId="77777777" w:rsidR="00960E01" w:rsidRDefault="00821CB5">
            <w:pPr>
              <w:pStyle w:val="P68B1DB1-ListParagraph32"/>
              <w:numPr>
                <w:ilvl w:val="0"/>
                <w:numId w:val="277"/>
              </w:numPr>
              <w:jc w:val="both"/>
            </w:pPr>
            <w:r>
              <w:t xml:space="preserve">5-10 konkurrenter </w:t>
            </w:r>
          </w:p>
          <w:p w14:paraId="23AB1BA1" w14:textId="2640CFAB" w:rsidR="00960E01" w:rsidRDefault="00C37465">
            <w:pPr>
              <w:pStyle w:val="P68B1DB1-ListParagraph32"/>
              <w:numPr>
                <w:ilvl w:val="0"/>
                <w:numId w:val="277"/>
              </w:numPr>
              <w:jc w:val="both"/>
              <w:rPr>
                <w:b/>
                <w:bCs/>
                <w:color w:val="000000" w:themeColor="text1"/>
              </w:rPr>
            </w:pPr>
            <w:r>
              <w:t xml:space="preserve">&lt; </w:t>
            </w:r>
            <w:r w:rsidR="00821CB5">
              <w:t>5 konkurrenter</w:t>
            </w:r>
          </w:p>
          <w:p w14:paraId="7FE1BB3C" w14:textId="356BF98D" w:rsidR="00960E01" w:rsidRDefault="00960E01">
            <w:pPr>
              <w:jc w:val="both"/>
              <w:rPr>
                <w:rFonts w:ascii="Times New Roman" w:hAnsi="Times New Roman"/>
                <w:color w:val="000000" w:themeColor="text1"/>
                <w:sz w:val="20"/>
                <w:szCs w:val="20"/>
              </w:rPr>
            </w:pPr>
          </w:p>
        </w:tc>
      </w:tr>
      <w:tr w:rsidR="00960E01"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960E01" w:rsidRDefault="00821CB5">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960E01" w:rsidRDefault="00821CB5">
            <w:pPr>
              <w:pStyle w:val="P68B1DB1-TableParagraph14"/>
              <w:spacing w:before="108"/>
              <w:jc w:val="both"/>
              <w:rPr>
                <w:bCs/>
              </w:rPr>
            </w:pPr>
            <w:r>
              <w:t>Tidspunkt — forventet substitutionstid</w:t>
            </w:r>
          </w:p>
          <w:p w14:paraId="7FE1BB40" w14:textId="77777777" w:rsidR="00960E01" w:rsidRDefault="00821CB5">
            <w:pPr>
              <w:pStyle w:val="P68B1DB1-TableParagraph13"/>
              <w:spacing w:before="108"/>
            </w:pPr>
            <w:r>
              <w:t>Anslå den tid, der er nødvendig for rapporteringens økonomiske funktion</w:t>
            </w:r>
          </w:p>
          <w:p w14:paraId="7FE1BB41" w14:textId="77777777" w:rsidR="00960E01" w:rsidRDefault="00821CB5">
            <w:pPr>
              <w:pStyle w:val="P68B1DB1-TableParagraph13"/>
              <w:spacing w:before="108"/>
            </w:pPr>
            <w:r>
              <w:t xml:space="preserve">enhed, der skal absorberes af markedet i en krisesituation. Dette omfatter: </w:t>
            </w:r>
          </w:p>
          <w:p w14:paraId="7FE1BB42" w14:textId="77777777" w:rsidR="00960E01" w:rsidRDefault="00821CB5">
            <w:pPr>
              <w:pStyle w:val="P68B1DB1-ListParagraph38"/>
              <w:numPr>
                <w:ilvl w:val="0"/>
                <w:numId w:val="274"/>
              </w:numPr>
              <w:jc w:val="both"/>
            </w:pPr>
            <w:r>
              <w:t xml:space="preserve">den forventede tid, som en eller flere konkurrenter har brug for til at gennemføre de retlige og tekniske skridt til at overtage funktionen samt  </w:t>
            </w:r>
          </w:p>
          <w:p w14:paraId="7FE1BB43" w14:textId="77777777" w:rsidR="00960E01" w:rsidRDefault="00821CB5">
            <w:pPr>
              <w:pStyle w:val="P68B1DB1-ListParagraph38"/>
              <w:numPr>
                <w:ilvl w:val="0"/>
                <w:numId w:val="274"/>
              </w:numPr>
              <w:jc w:val="both"/>
            </w:pPr>
            <w:r>
              <w:t xml:space="preserve">den tid, som brugerne af tjenesten har brug for til at flytte til en anden tjenesteudbyder. </w:t>
            </w:r>
          </w:p>
          <w:p w14:paraId="7FE1BB44" w14:textId="77777777" w:rsidR="00960E01" w:rsidRDefault="00960E01">
            <w:pPr>
              <w:pStyle w:val="TableParagraph"/>
              <w:spacing w:before="108"/>
              <w:rPr>
                <w:rFonts w:ascii="Times New Roman" w:hAnsi="Times New Roman" w:cs="Times New Roman"/>
                <w:color w:val="000000" w:themeColor="text1"/>
                <w:sz w:val="20"/>
                <w:szCs w:val="20"/>
              </w:rPr>
            </w:pPr>
          </w:p>
          <w:p w14:paraId="7FE1BB45" w14:textId="77777777" w:rsidR="00960E01" w:rsidRDefault="00821CB5">
            <w:pPr>
              <w:pStyle w:val="P68B1DB1-TableParagraph13"/>
              <w:spacing w:before="108"/>
            </w:pPr>
            <w:r>
              <w:t xml:space="preserve">For udlån henviser dette f.eks. ikke til afvikling af den udestående portefølje eller overførsel af denne portefølje til en potentiel køber, men snarere til husholdningernes virksomheders og regeringers mulighed for at opnå lignende lån fra andre udbydere. </w:t>
            </w:r>
          </w:p>
          <w:p w14:paraId="7FE1BB46" w14:textId="77777777" w:rsidR="00960E01" w:rsidRDefault="00960E01">
            <w:pPr>
              <w:pStyle w:val="TableParagraph"/>
              <w:spacing w:before="108"/>
              <w:rPr>
                <w:rFonts w:ascii="Times New Roman" w:hAnsi="Times New Roman" w:cs="Times New Roman"/>
                <w:color w:val="000000" w:themeColor="text1"/>
                <w:sz w:val="20"/>
                <w:szCs w:val="20"/>
              </w:rPr>
            </w:pPr>
          </w:p>
          <w:p w14:paraId="7FE1BB47" w14:textId="77777777" w:rsidR="00960E01" w:rsidRDefault="00821CB5">
            <w:pPr>
              <w:pStyle w:val="P68B1DB1-TableParagraph13"/>
              <w:spacing w:before="108"/>
            </w:pPr>
            <w:r>
              <w:t xml:space="preserve">Som reference for førstnævnte give et skøn over den tid, det vil tage den indberettende enhed at absorbere i sin egen virksomhed (en del af) den tjenesteydelse, der leveres af et andet institut, til en rimelig pris i en krisesituation. Indberet det anslåede tidspunkt for substitution i de undergrupper, </w:t>
            </w:r>
            <w:r>
              <w:lastRenderedPageBreak/>
              <w:t>der er angivet i skemaet:</w:t>
            </w:r>
          </w:p>
          <w:p w14:paraId="7FE1BB48" w14:textId="77777777" w:rsidR="00960E01" w:rsidRDefault="00960E01">
            <w:pPr>
              <w:pStyle w:val="TableParagraph"/>
              <w:spacing w:before="108"/>
              <w:rPr>
                <w:rFonts w:ascii="Times New Roman" w:hAnsi="Times New Roman" w:cs="Times New Roman"/>
                <w:color w:val="000000" w:themeColor="text1"/>
                <w:sz w:val="20"/>
                <w:szCs w:val="20"/>
              </w:rPr>
            </w:pPr>
          </w:p>
        </w:tc>
      </w:tr>
      <w:tr w:rsidR="00960E01"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960E01" w:rsidRDefault="00821CB5">
            <w:pPr>
              <w:pStyle w:val="P68B1DB1-TableParagraph17"/>
              <w:spacing w:before="108"/>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960E01" w:rsidRDefault="00821CB5">
            <w:pPr>
              <w:pStyle w:val="P68B1DB1-TableParagraph14"/>
              <w:spacing w:before="108"/>
              <w:jc w:val="both"/>
              <w:rPr>
                <w:bCs/>
              </w:rPr>
            </w:pPr>
            <w:r>
              <w:t>Substitutionsevne</w:t>
            </w:r>
          </w:p>
        </w:tc>
      </w:tr>
      <w:tr w:rsidR="00960E01"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960E01" w:rsidRDefault="00821CB5">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960E01" w:rsidRDefault="00821CB5">
            <w:pPr>
              <w:pStyle w:val="P68B1DB1-TableParagraph14"/>
              <w:spacing w:before="108"/>
              <w:rPr>
                <w:bCs/>
              </w:rPr>
            </w:pPr>
            <w:r>
              <w:t>Juridiske hindringer for adgang eller udvidelse</w:t>
            </w:r>
          </w:p>
          <w:p w14:paraId="7FE1BB4F" w14:textId="77777777" w:rsidR="00960E01" w:rsidRDefault="00960E01">
            <w:pPr>
              <w:pStyle w:val="TableParagraph"/>
              <w:spacing w:before="108"/>
              <w:rPr>
                <w:rFonts w:ascii="Times New Roman" w:hAnsi="Times New Roman" w:cs="Times New Roman"/>
                <w:color w:val="000000" w:themeColor="text1"/>
                <w:sz w:val="20"/>
                <w:szCs w:val="20"/>
              </w:rPr>
            </w:pPr>
          </w:p>
          <w:p w14:paraId="7FE1BB50" w14:textId="77777777" w:rsidR="00960E01" w:rsidRDefault="00821CB5">
            <w:pPr>
              <w:pStyle w:val="P68B1DB1-TableParagraph13"/>
              <w:spacing w:before="108"/>
            </w:pPr>
            <w:r>
              <w:t xml:space="preserve">Juridiske hindringer for, at konkurrenter kan tilbyde tjenesten. Lovkrav til udøvelse af virksomhed som kreditinstitut (f.eks. banklicenser eller kapitalkrav) skal ikke betragtes som uoverstigelige hindringer, når alternative udbydere er til stede. Denne indikator skal indberettes i undergrupper, som er de samme for hver underfunktion: </w:t>
            </w:r>
          </w:p>
          <w:p w14:paraId="7FE1BB51" w14:textId="068F91A0" w:rsidR="00960E01" w:rsidRDefault="00821CB5">
            <w:pPr>
              <w:pStyle w:val="P68B1DB1-ListParagraph39"/>
              <w:numPr>
                <w:ilvl w:val="0"/>
                <w:numId w:val="275"/>
              </w:numPr>
              <w:jc w:val="both"/>
            </w:pPr>
            <w:r>
              <w:t xml:space="preserve">ingen større hindringer </w:t>
            </w:r>
          </w:p>
          <w:p w14:paraId="7FE1BB52" w14:textId="6D8354EB" w:rsidR="00960E01" w:rsidRDefault="00821CB5">
            <w:pPr>
              <w:pStyle w:val="P68B1DB1-ListParagraph39"/>
              <w:numPr>
                <w:ilvl w:val="0"/>
                <w:numId w:val="275"/>
              </w:numPr>
              <w:jc w:val="both"/>
            </w:pPr>
            <w:r>
              <w:t xml:space="preserve">visse hindringer </w:t>
            </w:r>
          </w:p>
          <w:p w14:paraId="7FE1BB53" w14:textId="1BC21AC5" w:rsidR="00960E01" w:rsidRDefault="00821CB5">
            <w:pPr>
              <w:pStyle w:val="P68B1DB1-ListParagraph39"/>
              <w:numPr>
                <w:ilvl w:val="0"/>
                <w:numId w:val="275"/>
              </w:numPr>
              <w:jc w:val="both"/>
            </w:pPr>
            <w:r>
              <w:t xml:space="preserve">væsentlige (men overvindelige) barrierer </w:t>
            </w:r>
          </w:p>
          <w:p w14:paraId="7FE1BB55" w14:textId="539429F5" w:rsidR="00960E01" w:rsidRDefault="00821CB5">
            <w:pPr>
              <w:pStyle w:val="P68B1DB1-ListParagraph8"/>
              <w:numPr>
                <w:ilvl w:val="0"/>
                <w:numId w:val="275"/>
              </w:numPr>
              <w:jc w:val="both"/>
            </w:pPr>
            <w:r>
              <w:t>kritiske (svære at overvinde) barrierer.</w:t>
            </w:r>
          </w:p>
        </w:tc>
      </w:tr>
      <w:tr w:rsidR="00960E01"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960E01" w:rsidRDefault="00821CB5">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960E01" w:rsidRDefault="00821CB5">
            <w:pPr>
              <w:pStyle w:val="P68B1DB1-TableParagraph14"/>
              <w:spacing w:before="108"/>
              <w:rPr>
                <w:bCs/>
              </w:rPr>
            </w:pPr>
            <w:r>
              <w:t>Driftsmæssige krav til adgang eller udvidelse</w:t>
            </w:r>
          </w:p>
          <w:p w14:paraId="7FE1BB59" w14:textId="77777777" w:rsidR="00960E01" w:rsidRDefault="00960E01">
            <w:pPr>
              <w:pStyle w:val="TableParagraph"/>
              <w:spacing w:before="108"/>
              <w:rPr>
                <w:rFonts w:ascii="Times New Roman" w:hAnsi="Times New Roman" w:cs="Times New Roman"/>
                <w:color w:val="000000" w:themeColor="text1"/>
                <w:sz w:val="20"/>
                <w:szCs w:val="20"/>
              </w:rPr>
            </w:pPr>
          </w:p>
          <w:p w14:paraId="7FE1BB5A" w14:textId="7291B555" w:rsidR="00960E01" w:rsidRDefault="00821CB5">
            <w:pPr>
              <w:pStyle w:val="P68B1DB1-TableParagraph13"/>
              <w:spacing w:before="108"/>
            </w:pPr>
            <w:r>
              <w:t xml:space="preserve">Organisatoriske, tekniske og infrastrukturelle krav til konkurrenterne om at tilbyde tjenesten. Udbud af tjenester i forbindelse med (under) funktionen kræver, at udbyderne investerer i (ny eller yderligere) infrastruktur eller ændrer deres organisationer. Vurdere markedets evne til at absorbere den pågældende virksomhed. </w:t>
            </w:r>
          </w:p>
          <w:p w14:paraId="7FE1BB5B" w14:textId="77777777" w:rsidR="00960E01" w:rsidRDefault="00821CB5">
            <w:pPr>
              <w:pStyle w:val="P68B1DB1-TableParagraph13"/>
              <w:spacing w:before="108"/>
            </w:pPr>
            <w:r>
              <w:t xml:space="preserve">Denne indikator skal indberettes i undergrupper, som er de samme for hver underfunktion: </w:t>
            </w:r>
          </w:p>
          <w:p w14:paraId="7FE1BB5C" w14:textId="7C8E68F5" w:rsidR="00960E01" w:rsidRDefault="00821CB5">
            <w:pPr>
              <w:pStyle w:val="P68B1DB1-ListParagraph39"/>
              <w:numPr>
                <w:ilvl w:val="0"/>
                <w:numId w:val="278"/>
              </w:numPr>
              <w:jc w:val="both"/>
            </w:pPr>
            <w:r>
              <w:t xml:space="preserve">ingen væsentlige krav </w:t>
            </w:r>
          </w:p>
          <w:p w14:paraId="7FE1BB5D" w14:textId="227F4B1C" w:rsidR="00960E01" w:rsidRDefault="00821CB5">
            <w:pPr>
              <w:pStyle w:val="P68B1DB1-ListParagraph39"/>
              <w:numPr>
                <w:ilvl w:val="0"/>
                <w:numId w:val="278"/>
              </w:numPr>
              <w:jc w:val="both"/>
            </w:pPr>
            <w:r>
              <w:t xml:space="preserve">visse krav </w:t>
            </w:r>
          </w:p>
          <w:p w14:paraId="7FE1BB5E" w14:textId="11C740DB" w:rsidR="00960E01" w:rsidRDefault="00821CB5">
            <w:pPr>
              <w:pStyle w:val="P68B1DB1-ListParagraph39"/>
              <w:numPr>
                <w:ilvl w:val="0"/>
                <w:numId w:val="278"/>
              </w:numPr>
              <w:jc w:val="both"/>
            </w:pPr>
            <w:r>
              <w:t xml:space="preserve">væsentlige (men overvindelige) krav </w:t>
            </w:r>
          </w:p>
          <w:p w14:paraId="7FE1BB5F" w14:textId="701458A3" w:rsidR="00960E01" w:rsidRDefault="00821CB5">
            <w:pPr>
              <w:pStyle w:val="P68B1DB1-ListParagraph39"/>
              <w:numPr>
                <w:ilvl w:val="0"/>
                <w:numId w:val="278"/>
              </w:numPr>
              <w:jc w:val="both"/>
            </w:pPr>
            <w:r>
              <w:t>kritiske (vanskelige at opfylde) krav.</w:t>
            </w:r>
          </w:p>
          <w:p w14:paraId="7FE1BB64" w14:textId="7064EEB7" w:rsidR="00960E01" w:rsidRDefault="00821CB5">
            <w:pPr>
              <w:pStyle w:val="P68B1DB1-TableParagraph40"/>
              <w:spacing w:before="108"/>
              <w:ind w:left="720"/>
              <w:jc w:val="both"/>
              <w:rPr>
                <w:color w:val="000000" w:themeColor="text1"/>
              </w:rPr>
            </w:pPr>
            <w:r>
              <w:t xml:space="preserve"> </w:t>
            </w:r>
          </w:p>
        </w:tc>
      </w:tr>
      <w:tr w:rsidR="00960E01"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960E01" w:rsidRDefault="00821CB5">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960E01" w:rsidRDefault="00821CB5">
            <w:pPr>
              <w:pStyle w:val="P68B1DB1-TableParagraph14"/>
              <w:spacing w:before="108"/>
              <w:rPr>
                <w:bCs/>
              </w:rPr>
            </w:pPr>
            <w:r>
              <w:t>Kritikalitetsvurdering</w:t>
            </w:r>
          </w:p>
        </w:tc>
      </w:tr>
      <w:tr w:rsidR="00960E01"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960E01" w:rsidRDefault="00821CB5">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960E01" w:rsidRDefault="00821CB5">
            <w:pPr>
              <w:pStyle w:val="P68B1DB1-TableParagraph14"/>
              <w:spacing w:before="108"/>
              <w:rPr>
                <w:bCs/>
              </w:rPr>
            </w:pPr>
            <w:r>
              <w:t xml:space="preserve">Indvirkning på markedet </w:t>
            </w:r>
          </w:p>
          <w:p w14:paraId="7FE1BB6B" w14:textId="77777777" w:rsidR="00960E01" w:rsidRDefault="00821CB5">
            <w:pPr>
              <w:pStyle w:val="P68B1DB1-TableParagraph13"/>
              <w:spacing w:before="108"/>
            </w:pPr>
            <w:r>
              <w:t>Anslået virkning af en pludselig afbrydelse af funktionen for tredjepart, finansielle markeder og realøkonomien, under hensyntagen til instituttets størrelse, markedsandel, eksterne og interne forbundethed, kompleksitet og grænseoverskridende aktiviteter.</w:t>
            </w:r>
          </w:p>
          <w:p w14:paraId="7FE1BB6C" w14:textId="3006E0F1" w:rsidR="00960E01" w:rsidRDefault="00821CB5">
            <w:pPr>
              <w:pStyle w:val="P68B1DB1-TableParagraph13"/>
              <w:spacing w:before="108"/>
            </w:pPr>
            <w:r>
              <w:t>Denne vurdering udtrykkes kvalitativt som "høj", "mellemhøj", "mellemlav" eller lav.</w:t>
            </w:r>
          </w:p>
          <w:p w14:paraId="7FE1BB6D" w14:textId="091B1AD9" w:rsidR="00960E01" w:rsidRDefault="00821CB5">
            <w:pPr>
              <w:pStyle w:val="P68B1DB1-TableParagraph13"/>
              <w:spacing w:before="108"/>
            </w:pPr>
            <w:r>
              <w:t>"Høj" vælges, hvis afbrydelsen har stor indvirkning på det nationale marked, "MH", hvis indvirkningen er betydelig, "Medium-Low", hvis indvirkningen er væsentlig, men begrænset, og "Lav" hvis indvirkningen er lav.</w:t>
            </w:r>
          </w:p>
        </w:tc>
      </w:tr>
      <w:tr w:rsidR="00960E01"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960E01" w:rsidRDefault="00821CB5">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960E01" w:rsidRDefault="00821CB5">
            <w:pPr>
              <w:pStyle w:val="P68B1DB1-TableParagraph14"/>
              <w:spacing w:before="108"/>
              <w:rPr>
                <w:bCs/>
              </w:rPr>
            </w:pPr>
            <w:r>
              <w:t>Substituerbarhed</w:t>
            </w:r>
          </w:p>
          <w:p w14:paraId="7FE1BB71" w14:textId="77777777" w:rsidR="00960E01" w:rsidRDefault="00821CB5">
            <w:pPr>
              <w:pStyle w:val="P68B1DB1-TableParagraph13"/>
              <w:spacing w:before="108"/>
            </w:pPr>
            <w:r>
              <w:t>Artikel 6, stk. 3, i delegeret forordning (EU) 2016/778.</w:t>
            </w:r>
          </w:p>
          <w:p w14:paraId="7FE1BB72" w14:textId="77777777" w:rsidR="00960E01" w:rsidRDefault="00821CB5">
            <w:pPr>
              <w:pStyle w:val="P68B1DB1-TableParagraph13"/>
              <w:spacing w:before="108"/>
            </w:pPr>
            <w:r>
              <w:t>En funktion anses for substituerbar, hvis den kan erstattes på en acceptabel måde og inden for en rimelig tidsfrist, så man derved undgår systemiske problemer for realøkonomien og de finansielle markeder. Der skal tages hensyn til følgende:</w:t>
            </w:r>
          </w:p>
          <w:p w14:paraId="7FE1BB73" w14:textId="77777777" w:rsidR="00960E01" w:rsidRDefault="00821CB5">
            <w:pPr>
              <w:pStyle w:val="P68B1DB1-TableParagraph13"/>
              <w:spacing w:before="108"/>
            </w:pPr>
            <w:r>
              <w:t xml:space="preserve">(a) strukturen på markedet for denne funktion og alternative leverandørers disponibilitet </w:t>
            </w:r>
          </w:p>
          <w:p w14:paraId="7FE1BB74" w14:textId="77777777" w:rsidR="00960E01" w:rsidRDefault="00821CB5">
            <w:pPr>
              <w:pStyle w:val="P68B1DB1-TableParagraph13"/>
              <w:spacing w:before="108"/>
            </w:pPr>
            <w:r>
              <w:t xml:space="preserve">(b) andre leverandørers evne med hensyn til kapacitet, kravene vedrørende udførelse af den pågældende funktion og potentielle hindringer for adgang eller ekspansion </w:t>
            </w:r>
          </w:p>
          <w:p w14:paraId="7FE1BB75" w14:textId="77777777" w:rsidR="00960E01" w:rsidRDefault="00821CB5">
            <w:pPr>
              <w:pStyle w:val="P68B1DB1-TableParagraph13"/>
              <w:spacing w:before="108"/>
            </w:pPr>
            <w:r>
              <w:t xml:space="preserve">(c) andre leverandørers incitament til at påtage sig disse aktiviteter </w:t>
            </w:r>
          </w:p>
          <w:p w14:paraId="7FE1BB76" w14:textId="77777777" w:rsidR="00960E01" w:rsidRDefault="00821CB5">
            <w:pPr>
              <w:pStyle w:val="P68B1DB1-TableParagraph13"/>
              <w:spacing w:before="108"/>
            </w:pPr>
            <w:r>
              <w:lastRenderedPageBreak/>
              <w:t>(d) den tid, som brugerne af tjenesten har behov for til at flytte over til den nye tjenesteyder, og omkostningerne ved at flytte, den tid, der er behov for, til at andre konkurrenter kan overtage funktionerne, og hvorvidt denne tid er passende til at forhindre betydelige forstyrrelser afhængigt af den pågældende tjeneste.</w:t>
            </w:r>
          </w:p>
          <w:p w14:paraId="7FE1BB77" w14:textId="34C328B6" w:rsidR="00960E01" w:rsidRDefault="00821CB5">
            <w:pPr>
              <w:pStyle w:val="P68B1DB1-TableParagraph13"/>
              <w:spacing w:before="108"/>
            </w:pPr>
            <w:r>
              <w:t xml:space="preserve">Give en samlet vurdering af den forventede grad af substituerbarhed for hver funktion under hensyntagen til de forskellige dimensioner, der tidligere er blevet vurderet (markedsandel, markedskoncentration, substitutionstid, juridiske hindringer og operationelle krav til adgang eller ekspansion). Denne vurdering udtrykkes kvalitativt som "høj", "mellemhøj", "mellemlav" eller lav. </w:t>
            </w:r>
          </w:p>
          <w:p w14:paraId="7FE1BB78" w14:textId="70240340" w:rsidR="00960E01" w:rsidRDefault="00821CB5">
            <w:pPr>
              <w:pStyle w:val="P68B1DB1-TableParagraph13"/>
              <w:spacing w:before="108"/>
            </w:pPr>
            <w:r>
              <w:t>"High" vælges, hvis en funktion nemt kan udføres af en anden bank under sammenlignelige betingelser inden for en rimelig tidsramme</w:t>
            </w:r>
          </w:p>
          <w:p w14:paraId="7FE1BB79" w14:textId="3DFD8C4F" w:rsidR="00960E01" w:rsidRDefault="00821CB5">
            <w:pPr>
              <w:pStyle w:val="P68B1DB1-TableParagraph13"/>
              <w:spacing w:before="108"/>
            </w:pPr>
            <w:r>
              <w:t xml:space="preserve">"Lav", hvis en funktion ikke nemt eller hurtigt kan erstattes </w:t>
            </w:r>
          </w:p>
          <w:p w14:paraId="7FE1BB7A" w14:textId="4DB7815A" w:rsidR="00960E01" w:rsidRDefault="00821CB5">
            <w:pPr>
              <w:pStyle w:val="P68B1DB1-TableParagraph13"/>
              <w:spacing w:before="108"/>
            </w:pPr>
            <w:r>
              <w:t>"Medium High" og "Medium Low" for mellemliggende tilfælde under hensyntagen til diverse dimensioner (bl.a. markedsandel, markedskoncentration, substitutionstid samt juridiske hindringer for og operationelle krav vedrørende adgang eller ekspansion).</w:t>
            </w:r>
          </w:p>
        </w:tc>
      </w:tr>
      <w:tr w:rsidR="00960E01"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960E01" w:rsidRDefault="00821CB5">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960E01" w:rsidRDefault="00821CB5">
            <w:pPr>
              <w:pStyle w:val="P68B1DB1-TableParagraph14"/>
              <w:spacing w:before="108"/>
              <w:rPr>
                <w:bCs/>
              </w:rPr>
            </w:pPr>
            <w:r>
              <w:t>Kritisk funktion</w:t>
            </w:r>
          </w:p>
          <w:p w14:paraId="7FE1BB7E" w14:textId="77777777" w:rsidR="00960E01" w:rsidRDefault="00821CB5">
            <w:pPr>
              <w:pStyle w:val="P68B1DB1-TableParagraph13"/>
              <w:spacing w:before="108"/>
            </w:pPr>
            <w:r>
              <w:t>I denne kolonne angives det, under hensyntagen til den indflydelses- og erstatningsanalyse, som institutionen har foretaget, hvorvidt den økonomiske funktion anses for at være kritisk på markedet for det pågældende land.</w:t>
            </w:r>
          </w:p>
          <w:p w14:paraId="7FE1BB7F" w14:textId="77777777" w:rsidR="00960E01" w:rsidRDefault="00821CB5">
            <w:pPr>
              <w:pStyle w:val="P68B1DB1-TableParagraph13"/>
              <w:spacing w:before="108"/>
            </w:pPr>
            <w:r>
              <w:t>Angiv "Ja" eller "Nej"</w:t>
            </w:r>
          </w:p>
        </w:tc>
      </w:tr>
      <w:tr w:rsidR="00960E01"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960E01" w:rsidRDefault="00821CB5">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960E01" w:rsidRDefault="00821CB5">
            <w:pPr>
              <w:pStyle w:val="P68B1DB1-TableParagraph14"/>
              <w:spacing w:before="108"/>
              <w:rPr>
                <w:bCs/>
              </w:rPr>
            </w:pPr>
            <w:r>
              <w:t>Gruppens bemærkninger</w:t>
            </w:r>
          </w:p>
          <w:p w14:paraId="7FE1BB83" w14:textId="77777777" w:rsidR="00960E01" w:rsidRDefault="00821CB5">
            <w:pPr>
              <w:pStyle w:val="P68B1DB1-TableParagraph13"/>
              <w:spacing w:before="108"/>
            </w:pPr>
            <w:r>
              <w:t>Dette felt gør det muligt for den regnskabsaflæggende virksomhed at redegøre for eventuelle antagelser, der er anvendt til at vurdere den kritiske karakter af den eller de indberettede funktioner.</w:t>
            </w:r>
          </w:p>
        </w:tc>
      </w:tr>
    </w:tbl>
    <w:p w14:paraId="7FE1BB85" w14:textId="77777777" w:rsidR="00960E01" w:rsidRDefault="00960E01">
      <w:pPr>
        <w:rPr>
          <w:rFonts w:ascii="Times New Roman" w:hAnsi="Times New Roman" w:cs="Times New Roman"/>
          <w:color w:val="000000" w:themeColor="text1"/>
          <w:sz w:val="20"/>
          <w:szCs w:val="20"/>
        </w:rPr>
      </w:pPr>
    </w:p>
    <w:p w14:paraId="7FE1BB86" w14:textId="1F6B8985" w:rsidR="00960E01" w:rsidRDefault="00821CB5">
      <w:pPr>
        <w:pStyle w:val="P68B1DB1-Instructionsberschrift25"/>
        <w:numPr>
          <w:ilvl w:val="1"/>
          <w:numId w:val="49"/>
        </w:numPr>
        <w:ind w:left="357" w:hanging="357"/>
      </w:pPr>
      <w:bookmarkStart w:id="117" w:name="_Toc208244565"/>
      <w:r>
        <w:t xml:space="preserve">Z 07.01.3 FUNC 1 </w:t>
      </w:r>
      <w:r w:rsidR="00644061">
        <w:t>PAY</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60E01"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960E01" w:rsidRDefault="00821CB5">
            <w:pPr>
              <w:pStyle w:val="P68B1DB1-TableParagraph17"/>
              <w:spacing w:before="108"/>
              <w:ind w:left="85"/>
              <w:jc w:val="both"/>
            </w:pPr>
            <w:r>
              <w:t>Kolonner</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960E01" w:rsidRDefault="00821CB5">
            <w:pPr>
              <w:pStyle w:val="P68B1DB1-TableParagraph17"/>
              <w:spacing w:before="108"/>
              <w:ind w:left="85" w:right="1"/>
              <w:jc w:val="both"/>
            </w:pPr>
            <w:r>
              <w:t>Instrukser</w:t>
            </w:r>
          </w:p>
        </w:tc>
      </w:tr>
      <w:tr w:rsidR="00960E01"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960E01" w:rsidRDefault="00821CB5">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960E01" w:rsidRDefault="00821CB5">
            <w:pPr>
              <w:pStyle w:val="P68B1DB1-TableParagraph14"/>
              <w:spacing w:before="108"/>
              <w:ind w:left="85"/>
              <w:jc w:val="both"/>
              <w:rPr>
                <w:bCs/>
              </w:rPr>
            </w:pPr>
            <w:r>
              <w:t>Beskrivelse af økonomisk funktion</w:t>
            </w:r>
          </w:p>
          <w:p w14:paraId="7FE1BB94" w14:textId="56901CA7" w:rsidR="00960E01" w:rsidRDefault="00821CB5">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Hvis den økonomiske funktion er af typen "Andet" (</w:t>
            </w:r>
            <w:r>
              <w:t>Z 07.01.3 FUNC 1 PAY r0220 til r0240)</w:t>
            </w:r>
            <w:r>
              <w:rPr>
                <w:rFonts w:ascii="Times New Roman" w:eastAsia="Cambria" w:hAnsi="Times New Roman" w:cs="Times New Roman"/>
                <w:color w:val="000000" w:themeColor="text1"/>
                <w:sz w:val="20"/>
                <w:szCs w:val="20"/>
              </w:rPr>
              <w:t xml:space="preserve">, skal der gives en beskrivelse af denne funktion. </w:t>
            </w:r>
          </w:p>
        </w:tc>
      </w:tr>
      <w:tr w:rsidR="00960E01"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960E01" w:rsidRDefault="00821CB5">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960E01" w:rsidRDefault="00821CB5">
            <w:pPr>
              <w:pStyle w:val="P68B1DB1-TableParagraph14"/>
              <w:spacing w:before="108"/>
              <w:ind w:left="85"/>
              <w:jc w:val="both"/>
              <w:rPr>
                <w:bCs/>
              </w:rPr>
            </w:pPr>
            <w:r>
              <w:t xml:space="preserve">Markedsandel </w:t>
            </w:r>
          </w:p>
          <w:p w14:paraId="7FE1BB98" w14:textId="71A825FB" w:rsidR="00960E01" w:rsidRDefault="00821CB5">
            <w:pPr>
              <w:pStyle w:val="P68B1DB1-TableParagraph17"/>
              <w:spacing w:before="108"/>
              <w:ind w:left="85"/>
            </w:pPr>
            <w:r>
              <w:t>Skøn over instituttets eller koncernens markedsandel for så vidt angår den økonomiske funktion i det pågældende land eller geografiske område. En procentdel af det samlede marked (pengebeløb). Dette svarer til værdien af transaktioner for betalingstjenester til MFI'er og ikke-MFI'er, værdien af åbne positioner for CCP-clearingtjenester og værdien af aktiver, der deponeres for Custody tjenester.</w:t>
            </w:r>
          </w:p>
        </w:tc>
      </w:tr>
      <w:tr w:rsidR="00960E01"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960E01" w:rsidRDefault="00821CB5">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960E01" w:rsidRDefault="00821CB5">
            <w:pPr>
              <w:pStyle w:val="P68B1DB1-TableParagraph14"/>
              <w:spacing w:before="108"/>
              <w:rPr>
                <w:bCs/>
              </w:rPr>
            </w:pPr>
            <w:r>
              <w:t>Værdi af transaktioner</w:t>
            </w:r>
          </w:p>
          <w:p w14:paraId="7FE1BB9C" w14:textId="77777777" w:rsidR="00960E01" w:rsidRDefault="00821CB5">
            <w:pPr>
              <w:pStyle w:val="P68B1DB1-TableParagraph17"/>
              <w:spacing w:before="108"/>
            </w:pPr>
            <w:r>
              <w:t>Som hovedregel indberettes gennemsnittet af de daglige transaktioner i løbet af året. Er dette ikke tilgængeligt, kan der indberettes et gennemsnit for en kortere periode (f.eks. et par måneder).</w:t>
            </w:r>
          </w:p>
          <w:p w14:paraId="7FE1BB9D" w14:textId="32F9B039" w:rsidR="00960E01" w:rsidRDefault="00821CB5">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Betalingstjenester (funktion ID 3.1 og 3.2): Værdien af sendte transaktioner</w:t>
            </w:r>
            <w:r>
              <w:t xml:space="preserve"> </w:t>
            </w:r>
            <w:r>
              <w:rPr>
                <w:rFonts w:ascii="Times New Roman" w:eastAsia="Cambria" w:hAnsi="Times New Roman" w:cs="Times New Roman"/>
                <w:color w:val="000000" w:themeColor="text1"/>
                <w:sz w:val="20"/>
                <w:szCs w:val="20"/>
              </w:rPr>
              <w:t>Baggrundsdokumentation: Direktiv (EU) 2015/2366 om betalingstjenester i det indre marked, artikel 4, stk. 5, Den Europæiske Centralbanks forordning (EU) 2020/2011 om ændring af forordning (EU) nr. 1409/2013 om betalingsstatistik (ECB/2020/59)</w:t>
            </w:r>
          </w:p>
          <w:p w14:paraId="7FE1BB9E" w14:textId="77777777" w:rsidR="00960E01" w:rsidRDefault="00821CB5">
            <w:pPr>
              <w:pStyle w:val="P68B1DB1-TableParagraph17"/>
              <w:spacing w:before="108"/>
            </w:pPr>
            <w:r>
              <w:lastRenderedPageBreak/>
              <w:t>Kontanttjenester (function ID 3.3): Værdi af pengeautomattransaktioner i indberetningens pengeautomater</w:t>
            </w:r>
          </w:p>
          <w:p w14:paraId="7FE1BB9F" w14:textId="34BA0294" w:rsidR="00960E01" w:rsidRDefault="00821CB5">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institut som defineret i Den Europæiske Centralbanks forordning (EU) nr. 1409/2013 om betalingsstatistik ( ECB/2013/43), tabel 5a, samt OTC-kontanter</w:t>
            </w:r>
          </w:p>
          <w:p w14:paraId="7FE1BBA0" w14:textId="0D8555C2" w:rsidR="00960E01" w:rsidRDefault="00821CB5">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tilbagetrækninger i den indberettende enheds filialer som defineret i tabellen</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ECB/2014/15</w:t>
            </w:r>
          </w:p>
          <w:p w14:paraId="7FE1BBA1" w14:textId="77777777" w:rsidR="00960E01" w:rsidRDefault="00821CB5">
            <w:pPr>
              <w:pStyle w:val="P68B1DB1-TableParagraph17"/>
              <w:spacing w:before="108"/>
            </w:pPr>
            <w:r>
              <w:t>Værdipapirafviklingstjenester (function ID 3.4): Værdi af behandlede værdipapiroverførsler</w:t>
            </w:r>
          </w:p>
          <w:p w14:paraId="7FE1BBA2" w14:textId="77777777" w:rsidR="00960E01" w:rsidRDefault="00821CB5">
            <w:pPr>
              <w:pStyle w:val="P68B1DB1-TableParagraph17"/>
              <w:spacing w:before="108"/>
            </w:pPr>
            <w:r>
              <w:t>på kunders vegne Dette omfatter transaktioner, der afvikles med en værdipapirafvikling.</w:t>
            </w:r>
          </w:p>
          <w:p w14:paraId="7FE1BBA3" w14:textId="77777777" w:rsidR="00960E01" w:rsidRDefault="00821CB5">
            <w:pPr>
              <w:pStyle w:val="P68B1DB1-TableParagraph17"/>
              <w:spacing w:before="108"/>
            </w:pPr>
            <w:r>
              <w:t>system eller afvikling internt af de indberettende enheder og "uden betaling"</w:t>
            </w:r>
          </w:p>
          <w:p w14:paraId="7FE1BBA4" w14:textId="77777777" w:rsidR="00960E01" w:rsidRDefault="00821CB5">
            <w:pPr>
              <w:pStyle w:val="P68B1DB1-TableParagraph17"/>
              <w:spacing w:before="108"/>
            </w:pPr>
            <w:r>
              <w:t>transaktioner. Indberet kun værdien af de sendte transaktioner.</w:t>
            </w:r>
          </w:p>
        </w:tc>
      </w:tr>
      <w:tr w:rsidR="00960E01"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960E01" w:rsidRDefault="00821CB5">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960E01" w:rsidRDefault="00821CB5">
            <w:pPr>
              <w:pStyle w:val="P68B1DB1-TableParagraph14"/>
              <w:spacing w:before="108"/>
              <w:rPr>
                <w:bCs/>
              </w:rPr>
            </w:pPr>
            <w:r>
              <w:t>Værdi af transaktioner, heraf tilbagevendende</w:t>
            </w:r>
          </w:p>
          <w:p w14:paraId="7FE1BBA8" w14:textId="484D97FA" w:rsidR="00960E01" w:rsidRDefault="00821CB5">
            <w:pPr>
              <w:pStyle w:val="P68B1DB1-TableParagraph17"/>
              <w:spacing w:before="108"/>
            </w:pPr>
            <w:r>
              <w:t>Værdi af transaktioner som indberettet i (c0030), som foretages via en tilbagevendende betalingskonto.  Tilbagevendende betalingstjenestekonti er konti for betalingstjenester, hvor kontoen er blevet debiteret eller krediteret mindst 5 månedlige transaktioner i gennemsnit i løbet af de 6 måneder, der går forud for skæringsdatoen, bortset fra årlige gebyrer, andre afgifter og rentebetalinger i forbindelse med kontoen.</w:t>
            </w:r>
            <w:r>
              <w:tab/>
            </w:r>
            <w:r>
              <w:tab/>
            </w:r>
            <w:r>
              <w:tab/>
            </w:r>
            <w:r>
              <w:tab/>
            </w:r>
            <w:r>
              <w:tab/>
            </w:r>
            <w:r>
              <w:tab/>
            </w:r>
            <w:r>
              <w:tab/>
            </w:r>
            <w:r>
              <w:tab/>
            </w:r>
          </w:p>
        </w:tc>
      </w:tr>
      <w:tr w:rsidR="00960E01"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960E01" w:rsidRDefault="00821CB5">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960E01" w:rsidRDefault="00821CB5">
            <w:pPr>
              <w:pStyle w:val="P68B1DB1-Normal42"/>
              <w:rPr>
                <w:bCs/>
              </w:rPr>
            </w:pPr>
            <w:r>
              <w:t>Værdien af åbne positioner</w:t>
            </w:r>
          </w:p>
          <w:p w14:paraId="7FE1BBAC" w14:textId="77777777" w:rsidR="00960E01" w:rsidRDefault="00821CB5">
            <w:pPr>
              <w:pStyle w:val="P68B1DB1-TableParagraph17"/>
              <w:spacing w:before="108"/>
              <w:jc w:val="both"/>
            </w:pPr>
            <w:r>
              <w:t>Kun indberetning for funktion ID 3.5 "CCP-clearingydelser": de positioner (eksponering), som</w:t>
            </w:r>
          </w:p>
          <w:p w14:paraId="7FE1BBAD" w14:textId="77777777" w:rsidR="00960E01" w:rsidRDefault="00821CB5">
            <w:pPr>
              <w:pStyle w:val="P68B1DB1-TableParagraph17"/>
              <w:spacing w:before="108"/>
              <w:jc w:val="both"/>
            </w:pPr>
            <w:r>
              <w:t>CCP'er, som instituttet er medlem af, indgår sammen med instituttet på dets vegne</w:t>
            </w:r>
          </w:p>
          <w:p w14:paraId="7FE1BBAE" w14:textId="63CC2224" w:rsidR="00960E01" w:rsidRDefault="00821CB5">
            <w:pPr>
              <w:pStyle w:val="P68B1DB1-TableParagraph17"/>
              <w:spacing w:before="108"/>
              <w:jc w:val="both"/>
            </w:pPr>
            <w:r>
              <w:t>kunder. Angiv den gennemsnitlige daglige værdi af åbne positioner i relation til kundeaktiviteter hos CCP'er.</w:t>
            </w:r>
          </w:p>
          <w:p w14:paraId="7FE1BBAF" w14:textId="77777777" w:rsidR="00960E01" w:rsidRDefault="00821CB5">
            <w:pPr>
              <w:pStyle w:val="P68B1DB1-TableParagraph17"/>
              <w:spacing w:before="108"/>
              <w:jc w:val="both"/>
            </w:pPr>
            <w:r>
              <w:t>CCP'er. Er denne ikke tilgængelig, kan der indberettes gennemsnit for en kortere periode (f.eks. et par måneder).</w:t>
            </w:r>
          </w:p>
          <w:p w14:paraId="7FE1BBB0" w14:textId="77777777" w:rsidR="00960E01" w:rsidRDefault="00821CB5">
            <w:pPr>
              <w:pStyle w:val="P68B1DB1-TableParagraph17"/>
              <w:spacing w:before="108"/>
              <w:jc w:val="both"/>
            </w:pPr>
            <w:r>
              <w:t>eller åbne positioner ved årets udgang.</w:t>
            </w:r>
          </w:p>
        </w:tc>
      </w:tr>
      <w:tr w:rsidR="00960E01"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960E01" w:rsidRDefault="00821CB5">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960E01" w:rsidRDefault="00821CB5">
            <w:pPr>
              <w:pStyle w:val="P68B1DB1-Normal42"/>
              <w:rPr>
                <w:bCs/>
              </w:rPr>
            </w:pPr>
            <w:r>
              <w:t>Værdi af aktiver i depot</w:t>
            </w:r>
          </w:p>
          <w:p w14:paraId="7FE1BBB4" w14:textId="77777777" w:rsidR="00960E01" w:rsidRDefault="00821CB5">
            <w:pPr>
              <w:pStyle w:val="P68B1DB1-TableParagraph13"/>
              <w:spacing w:before="108"/>
              <w:jc w:val="both"/>
            </w:pPr>
            <w:r>
              <w:t>Kun indberetning for funktion ID 3.6 "Custody services": mængden af aktiver under varetagelse</w:t>
            </w:r>
          </w:p>
          <w:p w14:paraId="7FE1BBB5" w14:textId="77777777" w:rsidR="00960E01" w:rsidRDefault="00821CB5">
            <w:pPr>
              <w:pStyle w:val="P68B1DB1-TableParagraph13"/>
              <w:spacing w:before="108"/>
              <w:jc w:val="both"/>
            </w:pPr>
            <w:r>
              <w:t>ved anvendelse af dagsværdi. Andre opgørelsesgrundlag, herunder den nominelle værdi, kan anvendes, hvis dagsværdien ikke er tilgængelig.</w:t>
            </w:r>
          </w:p>
          <w:p w14:paraId="7FE1BBB6" w14:textId="77777777" w:rsidR="00960E01" w:rsidRDefault="00821CB5">
            <w:pPr>
              <w:pStyle w:val="P68B1DB1-TableParagraph13"/>
              <w:spacing w:before="108"/>
              <w:jc w:val="both"/>
            </w:pPr>
            <w:r>
              <w:t>værdien er ikke tilgængelig. I de tilfælde, hvor instituttet leverer tjenesteydelser til enheder</w:t>
            </w:r>
          </w:p>
          <w:p w14:paraId="7FE1BBB7" w14:textId="77777777" w:rsidR="00960E01" w:rsidRDefault="00821CB5">
            <w:pPr>
              <w:pStyle w:val="P68B1DB1-TableParagraph13"/>
              <w:spacing w:before="108"/>
              <w:jc w:val="both"/>
            </w:pPr>
            <w:r>
              <w:t>f.eks. institutter for kollektiv investering eller pensionskasser, kan de pågældende aktiver</w:t>
            </w:r>
          </w:p>
          <w:p w14:paraId="7FE1BBB8" w14:textId="77777777" w:rsidR="00960E01" w:rsidRDefault="00821CB5">
            <w:pPr>
              <w:pStyle w:val="P68B1DB1-TableParagraph13"/>
              <w:spacing w:before="108"/>
              <w:jc w:val="both"/>
            </w:pPr>
            <w:r>
              <w:t>opføres til den værdi, som disse enheder bogfører aktiverne til i deres egen balance.</w:t>
            </w:r>
          </w:p>
          <w:p w14:paraId="7FE1BBB9" w14:textId="77777777" w:rsidR="00960E01" w:rsidRDefault="00821CB5">
            <w:pPr>
              <w:pStyle w:val="P68B1DB1-TableParagraph13"/>
              <w:spacing w:before="108"/>
              <w:jc w:val="both"/>
              <w:rPr>
                <w:b/>
                <w:bCs/>
              </w:rPr>
            </w:pPr>
            <w:r>
              <w:t>De indberettede beløb skal omfatte eventuelle påløbne renter.</w:t>
            </w:r>
          </w:p>
        </w:tc>
      </w:tr>
      <w:tr w:rsidR="00960E01"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960E01" w:rsidRDefault="00821CB5">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960E01" w:rsidRDefault="00821CB5">
            <w:pPr>
              <w:pStyle w:val="P68B1DB1-TableParagraph14"/>
              <w:spacing w:before="108"/>
              <w:ind w:left="85"/>
              <w:jc w:val="both"/>
              <w:rPr>
                <w:bCs/>
              </w:rPr>
            </w:pPr>
            <w:r>
              <w:t>Grænseoverskridende værdi</w:t>
            </w:r>
          </w:p>
          <w:p w14:paraId="7FE1BBBD" w14:textId="77777777" w:rsidR="00960E01" w:rsidRDefault="00821CB5">
            <w:pPr>
              <w:pStyle w:val="P68B1DB1-TableParagraph13"/>
              <w:spacing w:before="108"/>
              <w:ind w:left="85"/>
              <w:jc w:val="both"/>
            </w:pPr>
            <w:r>
              <w:t>I tilfælde af sendte transaktioner er grænseoverskridende transaktioner for at undgå dobbelttælling</w:t>
            </w:r>
          </w:p>
          <w:p w14:paraId="7FE1BBBE" w14:textId="77777777" w:rsidR="00960E01" w:rsidRDefault="00821CB5">
            <w:pPr>
              <w:pStyle w:val="P68B1DB1-TableParagraph13"/>
              <w:spacing w:before="108"/>
              <w:ind w:left="85"/>
              <w:jc w:val="both"/>
              <w:rPr>
                <w:b/>
                <w:bCs/>
              </w:rPr>
            </w:pPr>
            <w:r>
              <w:t>medregnes i det land, hvor transaktionen har sin oprindelse.</w:t>
            </w:r>
          </w:p>
        </w:tc>
      </w:tr>
      <w:tr w:rsidR="00960E01"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960E01" w:rsidRDefault="00821CB5">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960E01" w:rsidRDefault="00821CB5">
            <w:pPr>
              <w:pStyle w:val="P68B1DB1-Normal42"/>
              <w:rPr>
                <w:bCs/>
              </w:rPr>
            </w:pPr>
            <w:r>
              <w:t>Antal transaktioner</w:t>
            </w:r>
          </w:p>
          <w:p w14:paraId="7FE1BBC2" w14:textId="18871174" w:rsidR="00960E01" w:rsidRDefault="00821CB5">
            <w:pPr>
              <w:pStyle w:val="P68B1DB1-TableParagraph16"/>
              <w:spacing w:before="108"/>
              <w:jc w:val="both"/>
            </w:pPr>
            <w:r>
              <w:t xml:space="preserve">Som hovedregel skal det gennemsnitlige antal daglige transaktioner i løbet af året, der svarer til de værdier, der indberettes under funktion ID 3.1-3.4, række 0160-0190, kolonne 0030, indberettes. Er dette ikke tilgængeligt, kan der indberettes gennemsnit for en kortere periode (f.eks. et par måneder). Der skal specifikt for hver af disse funktioner anvendes følgende værdier: </w:t>
            </w:r>
          </w:p>
          <w:p w14:paraId="7FE1BBC3" w14:textId="77777777" w:rsidR="00960E01" w:rsidRDefault="00821CB5">
            <w:pPr>
              <w:pStyle w:val="P68B1DB1-TableParagraph16"/>
              <w:spacing w:before="108"/>
              <w:jc w:val="both"/>
            </w:pPr>
            <w:r>
              <w:t xml:space="preserve">Betalingstjenester (ID 3.1-3.2): Antal sendte transaktioner. Baggrundsdokumentation: EU-direktiv om betalingstjenester i det indre marked (2015/2366), artikel 4, stk. 5, ECB-forordning om betalingsstatistik (ECB/2013/43). </w:t>
            </w:r>
          </w:p>
          <w:p w14:paraId="7FE1BBC4" w14:textId="176A1AD0" w:rsidR="00960E01" w:rsidRDefault="00821CB5">
            <w:pPr>
              <w:pStyle w:val="P68B1DB1-TableParagraph16"/>
              <w:spacing w:before="108"/>
              <w:jc w:val="both"/>
            </w:pPr>
            <w:r>
              <w:t xml:space="preserve">Kontanttjenester (ID 3.3): Antallet af kontantautomat-transaktioner efter betydningen i ECB/2021/16, tabel 5a, samt over-the-counter-kontanthævninger efter betydningen i ECB/2014/15, tabel 4. </w:t>
            </w:r>
          </w:p>
          <w:p w14:paraId="7FE1BBC5" w14:textId="77777777" w:rsidR="00960E01" w:rsidRDefault="00821CB5">
            <w:pPr>
              <w:pStyle w:val="P68B1DB1-TableParagraph16"/>
              <w:spacing w:before="108"/>
              <w:jc w:val="both"/>
              <w:rPr>
                <w:b/>
                <w:bCs/>
                <w:color w:val="000000" w:themeColor="text1"/>
                <w:sz w:val="20"/>
                <w:szCs w:val="20"/>
              </w:rPr>
            </w:pPr>
            <w:r>
              <w:t>Værdipapirafviklingstjenester (ID 3.4): Antallet af værdipapiroverførselstransaktioner håndteret på vegne af kunder. Dette omfatter transaktioner afviklet vha. et værdipapirafviklingssystem eller afviklet internt af de indberettende entiteter samt "free-of-payment"-transaktioner.</w:t>
            </w:r>
          </w:p>
        </w:tc>
      </w:tr>
      <w:tr w:rsidR="00960E01"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960E01" w:rsidRDefault="00821CB5">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960E01" w:rsidRDefault="00821CB5">
            <w:pPr>
              <w:pStyle w:val="P68B1DB1-TableParagraph14"/>
              <w:spacing w:before="108"/>
              <w:ind w:left="85"/>
              <w:jc w:val="both"/>
              <w:rPr>
                <w:bCs/>
              </w:rPr>
            </w:pPr>
            <w:r>
              <w:t>Antal kunder</w:t>
            </w:r>
          </w:p>
          <w:p w14:paraId="7FE1BBC9" w14:textId="5C934B58" w:rsidR="00960E01" w:rsidRDefault="00821CB5">
            <w:pPr>
              <w:pStyle w:val="P68B1DB1-TableParagraph13"/>
              <w:spacing w:before="108"/>
              <w:ind w:left="85"/>
              <w:jc w:val="both"/>
            </w:pPr>
            <w:r>
              <w:t>Antal (residente og ikke-residente) kunder, som tjenesteydelsen leveres til. Hvis en kunde anvender en tjenesteydelse inden for en underfunktion mere end én gang, medregnes kunden kun én gang.</w:t>
            </w:r>
          </w:p>
        </w:tc>
      </w:tr>
      <w:tr w:rsidR="00960E01"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960E01" w:rsidRDefault="00821CB5">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960E01" w:rsidRDefault="00821CB5">
            <w:pPr>
              <w:pStyle w:val="P68B1DB1-TableParagraph14"/>
              <w:spacing w:before="108"/>
              <w:jc w:val="both"/>
              <w:rPr>
                <w:bCs/>
              </w:rPr>
            </w:pPr>
            <w:r>
              <w:t>Konsekvens- og substituerbarhedsanalyser</w:t>
            </w:r>
          </w:p>
          <w:p w14:paraId="7FE1BBD0" w14:textId="77777777" w:rsidR="00960E01" w:rsidRDefault="00821CB5">
            <w:pPr>
              <w:pStyle w:val="P68B1DB1-TableParagraph13"/>
              <w:spacing w:before="108"/>
              <w:jc w:val="both"/>
            </w:pPr>
            <w:r>
              <w:t>Vurderingskriterierne for indvirkningen på tredjeparter skal omfatte følgende elementer i overensstemmelse med Kommissionens delegerede forordning (EU) 2016/778 om kritiske funktioner:</w:t>
            </w:r>
          </w:p>
          <w:p w14:paraId="7FE1BBD1" w14:textId="77777777" w:rsidR="00960E01" w:rsidRDefault="00821CB5">
            <w:pPr>
              <w:pStyle w:val="P68B1DB1-ListParagraph38"/>
              <w:numPr>
                <w:ilvl w:val="0"/>
                <w:numId w:val="131"/>
              </w:numPr>
              <w:spacing w:line="276" w:lineRule="auto"/>
            </w:pPr>
            <w:r>
              <w:t>arten og omfanget af aktiviteten, den globale, nationale eller regionale rækkevidde samt omfanget og antallet af transaktioner; antallet af kunder og modparter; antallet af kunder, for hvilke instituttet er den eneste eller primære bankforretningspartner</w:t>
            </w:r>
          </w:p>
          <w:p w14:paraId="7FE1BBD2" w14:textId="77777777" w:rsidR="00960E01" w:rsidRDefault="00821CB5">
            <w:pPr>
              <w:pStyle w:val="P68B1DB1-ListParagraph38"/>
              <w:numPr>
                <w:ilvl w:val="0"/>
                <w:numId w:val="131"/>
              </w:numPr>
              <w:spacing w:line="276" w:lineRule="auto"/>
            </w:pPr>
            <w:r>
              <w:t>relevansen af instituttet på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BD3" w14:textId="77777777" w:rsidR="00960E01" w:rsidRDefault="00821CB5">
            <w:pPr>
              <w:pStyle w:val="P68B1DB1-ListParagraph38"/>
              <w:numPr>
                <w:ilvl w:val="0"/>
                <w:numId w:val="131"/>
              </w:numPr>
              <w:spacing w:line="276" w:lineRule="auto"/>
            </w:pPr>
            <w:r>
              <w:t xml:space="preserve">Relevansen af instituttet kan vurderes på grundlag af markedsandelen, den indbyrdes forbundethed, kompleksiteten og grænseoverskridende aktiviteter </w:t>
            </w:r>
          </w:p>
          <w:p w14:paraId="7FE1BBD4" w14:textId="77777777" w:rsidR="00960E01" w:rsidRDefault="00821CB5">
            <w:pPr>
              <w:pStyle w:val="P68B1DB1-ListParagraph38"/>
              <w:numPr>
                <w:ilvl w:val="0"/>
                <w:numId w:val="131"/>
              </w:numPr>
              <w:spacing w:line="276" w:lineRule="auto"/>
            </w:pPr>
            <w:r>
              <w:t>den mulige forstyrrelse af funktionen for markeder, infrastrukturer, kunder og offentlige tjenester. Den mulige forstyrrelse af funktionen for markeder, infrastrukturer, kunder og offentlige tjenester.Vurderingen kan bl.a. omfatte indvirkningen på likviditeten på de berørte markeder, virkningen og omfanget af forstyrrelsen for kundeaktiviteter og kortfristede likviditetsbehov; mærkbarheden for modparter, kunder og offentligheden; kundereaktionernes kapacitet og hastighed; relevansen for andre markeders funktion: indvirkningen på et andet markeds likviditet, transaktioner og struktur; indvirkningen på andre modparter i forbindelse med de vigtigste kunder og funktionens relationer til andre ydelser.</w:t>
            </w:r>
          </w:p>
          <w:p w14:paraId="7FE1BBD5"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960E01" w:rsidRDefault="00821CB5">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02CFEE36" w:rsidR="00960E01" w:rsidRDefault="00821CB5">
            <w:pPr>
              <w:pStyle w:val="P68B1DB1-TableParagraph14"/>
              <w:spacing w:before="108"/>
              <w:jc w:val="both"/>
              <w:rPr>
                <w:bCs/>
              </w:rPr>
            </w:pPr>
            <w:r>
              <w:t xml:space="preserve">Natur og </w:t>
            </w:r>
            <w:r w:rsidR="009D3041">
              <w:t>Omfang</w:t>
            </w:r>
            <w:r>
              <w:t xml:space="preserve"> </w:t>
            </w:r>
          </w:p>
          <w:p w14:paraId="7FE1BBD9" w14:textId="77777777" w:rsidR="00960E01" w:rsidRDefault="00821CB5">
            <w:pPr>
              <w:pStyle w:val="P68B1DB1-TableParagraph13"/>
              <w:spacing w:before="108"/>
              <w:jc w:val="both"/>
            </w:pPr>
            <w:r>
              <w:t xml:space="preserve">Den globale, nationale eller regionale rækkevidde, omfanget og antallet af transaktioner antallet af kunder og modparter; antallet af kunder, for hvilke instituttet er den eneste eller primære </w:t>
            </w:r>
            <w:r>
              <w:lastRenderedPageBreak/>
              <w:t>bankforretningspartner</w:t>
            </w:r>
          </w:p>
        </w:tc>
      </w:tr>
      <w:tr w:rsidR="00960E01"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960E01" w:rsidRDefault="00821CB5">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960E01" w:rsidRDefault="00821CB5">
            <w:pPr>
              <w:pStyle w:val="P68B1DB1-TableParagraph14"/>
              <w:spacing w:before="108"/>
              <w:jc w:val="both"/>
              <w:rPr>
                <w:bCs/>
              </w:rPr>
            </w:pPr>
            <w:r>
              <w:t>Størrelsesindikator 1</w:t>
            </w:r>
          </w:p>
          <w:p w14:paraId="0D530995"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BDD" w14:textId="31D8226E" w:rsidR="00960E01" w:rsidRDefault="00960E01">
            <w:pPr>
              <w:pStyle w:val="TableParagraph"/>
              <w:spacing w:before="108"/>
              <w:jc w:val="both"/>
              <w:rPr>
                <w:rFonts w:ascii="Times New Roman" w:hAnsi="Times New Roman" w:cs="Times New Roman"/>
                <w:color w:val="000000" w:themeColor="text1"/>
                <w:sz w:val="20"/>
                <w:szCs w:val="20"/>
              </w:rPr>
            </w:pPr>
          </w:p>
          <w:p w14:paraId="7FE1BBDE" w14:textId="19F9153D" w:rsidR="00960E01" w:rsidRDefault="00821CB5">
            <w:pPr>
              <w:pStyle w:val="P68B1DB1-ListParagraph32"/>
              <w:numPr>
                <w:ilvl w:val="0"/>
                <w:numId w:val="300"/>
              </w:numPr>
              <w:spacing w:line="276" w:lineRule="auto"/>
            </w:pPr>
            <w:r>
              <w:t xml:space="preserve">Ekspertvurdering af transaktionernes størrelse </w:t>
            </w:r>
            <w:r>
              <w:rPr>
                <w:b/>
              </w:rPr>
              <w:t>(</w:t>
            </w:r>
            <w:r>
              <w:t xml:space="preserve"> c0030 for funktion ID 3.1, 3.2, 3.3 og 3.4) åbne positioner (c0050 for ID 3.5) eller samlede aktiver i depot (c0060 for ID 3.6) set fra et </w:t>
            </w:r>
            <w:r>
              <w:rPr>
                <w:b/>
              </w:rPr>
              <w:t>EU-perspektiv</w:t>
            </w:r>
            <w:r>
              <w:t xml:space="preserve"> [</w:t>
            </w:r>
            <w:r>
              <w:rPr>
                <w:i/>
              </w:rPr>
              <w:t>et niveau højere end det relevante marked]</w:t>
            </w:r>
            <w:r>
              <w:t xml:space="preserve">: </w:t>
            </w:r>
          </w:p>
          <w:p w14:paraId="7FE1BBDF" w14:textId="77777777" w:rsidR="00960E01" w:rsidRDefault="00821CB5">
            <w:pPr>
              <w:pStyle w:val="P68B1DB1-ListParagraph32"/>
              <w:numPr>
                <w:ilvl w:val="0"/>
                <w:numId w:val="126"/>
              </w:numPr>
              <w:spacing w:line="276" w:lineRule="auto"/>
            </w:pPr>
            <w:r>
              <w:t xml:space="preserve">Hvor stor mener du set ud fra et EU-perspektiv, at værdien af transaktioner, der behandles af din bank, </w:t>
            </w:r>
            <w:r>
              <w:rPr>
                <w:i/>
              </w:rPr>
              <w:t>eller</w:t>
            </w:r>
            <w:r>
              <w:t xml:space="preserve"> din banks åbne positioner hos CCP'er </w:t>
            </w:r>
            <w:r>
              <w:rPr>
                <w:i/>
              </w:rPr>
              <w:t>eller</w:t>
            </w:r>
            <w:r>
              <w:t xml:space="preserve"> de samlede aktiver, som din institution opbevarer i depot for sine kunder, er?</w:t>
            </w:r>
          </w:p>
        </w:tc>
      </w:tr>
      <w:tr w:rsidR="00960E01"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960E01" w:rsidRDefault="00821CB5">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960E01" w:rsidRDefault="00821CB5">
            <w:pPr>
              <w:pStyle w:val="P68B1DB1-TableParagraph14"/>
              <w:spacing w:before="108"/>
              <w:jc w:val="both"/>
              <w:rPr>
                <w:bCs/>
              </w:rPr>
            </w:pPr>
            <w:r>
              <w:t>Størrelsesindikator 2</w:t>
            </w:r>
          </w:p>
          <w:p w14:paraId="7D6A05E9"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BE3" w14:textId="27BCCC99" w:rsidR="00960E01" w:rsidRDefault="00821CB5">
            <w:pPr>
              <w:pStyle w:val="P68B1DB1-TableParagraph13"/>
              <w:spacing w:before="108"/>
              <w:jc w:val="both"/>
            </w:pPr>
            <w:r>
              <w:t xml:space="preserve"> </w:t>
            </w:r>
          </w:p>
          <w:p w14:paraId="7FE1BBE4" w14:textId="0FB26117" w:rsidR="00960E01" w:rsidRDefault="00821CB5">
            <w:pPr>
              <w:pStyle w:val="P68B1DB1-ListParagraph32"/>
              <w:numPr>
                <w:ilvl w:val="0"/>
                <w:numId w:val="120"/>
              </w:numPr>
              <w:spacing w:line="276" w:lineRule="auto"/>
            </w:pPr>
            <w:r>
              <w:t xml:space="preserve">Ekspertvurdering af </w:t>
            </w:r>
            <w:r>
              <w:rPr>
                <w:b/>
              </w:rPr>
              <w:t>antallet</w:t>
            </w:r>
            <w:r>
              <w:t xml:space="preserve"> af transaktioner (c0100 for funktion ID 3.1, 3.2, 3.3 og 3.4) eller antal kunder (c0110 for ID 3.5 og 3.6) set ud fra et </w:t>
            </w:r>
            <w:r>
              <w:rPr>
                <w:b/>
              </w:rPr>
              <w:t>nationalt</w:t>
            </w:r>
            <w:r>
              <w:t xml:space="preserve"> perspektiv [</w:t>
            </w:r>
            <w:r>
              <w:rPr>
                <w:i/>
              </w:rPr>
              <w:t>på det relevante marked</w:t>
            </w:r>
            <w:r>
              <w:t>]:</w:t>
            </w:r>
          </w:p>
          <w:p w14:paraId="7FE1BBE5" w14:textId="77777777" w:rsidR="00960E01" w:rsidRDefault="00821CB5">
            <w:pPr>
              <w:pStyle w:val="P68B1DB1-ListParagraph32"/>
              <w:numPr>
                <w:ilvl w:val="1"/>
                <w:numId w:val="124"/>
              </w:numPr>
              <w:spacing w:line="276" w:lineRule="auto"/>
            </w:pPr>
            <w:r>
              <w:t>Hvor stort er det anslåede samlede antal transaktioner</w:t>
            </w:r>
            <w:r>
              <w:rPr>
                <w:i/>
              </w:rPr>
              <w:t xml:space="preserve"> eller</w:t>
            </w:r>
            <w:r>
              <w:t xml:space="preserve"> det anslåede antal kunder i din institution set ud fra et nationalt perspektiv?</w:t>
            </w:r>
          </w:p>
          <w:p w14:paraId="7FE1BBE6" w14:textId="77777777" w:rsidR="00960E01" w:rsidRDefault="00960E01">
            <w:pPr>
              <w:spacing w:line="276" w:lineRule="auto"/>
              <w:rPr>
                <w:rFonts w:ascii="Times New Roman" w:hAnsi="Times New Roman"/>
                <w:color w:val="000000" w:themeColor="text1"/>
                <w:sz w:val="20"/>
                <w:szCs w:val="20"/>
              </w:rPr>
            </w:pPr>
          </w:p>
        </w:tc>
      </w:tr>
      <w:tr w:rsidR="00960E01"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960E01" w:rsidRDefault="00821CB5">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960E01" w:rsidRDefault="00821CB5">
            <w:pPr>
              <w:pStyle w:val="P68B1DB1-TableParagraph14"/>
              <w:spacing w:before="108"/>
              <w:jc w:val="both"/>
              <w:rPr>
                <w:bCs/>
              </w:rPr>
            </w:pPr>
            <w:r>
              <w:t>Grænseoverskridende indikator</w:t>
            </w:r>
          </w:p>
          <w:p w14:paraId="7FE1BBEA" w14:textId="77777777" w:rsidR="00960E01" w:rsidRDefault="00821CB5">
            <w:pPr>
              <w:pStyle w:val="P68B1DB1-TableParagraph13"/>
              <w:spacing w:before="108"/>
              <w:jc w:val="both"/>
            </w:pPr>
            <w:r>
              <w:t>Vurdere grænseoverskridende aktiviteters relative betydning for de forskellige økonomiske funktioner.</w:t>
            </w:r>
          </w:p>
          <w:p w14:paraId="7FE1BBEB" w14:textId="77777777" w:rsidR="00960E01" w:rsidRDefault="00821CB5">
            <w:pPr>
              <w:pStyle w:val="P68B1DB1-TableParagraph13"/>
              <w:spacing w:before="108"/>
              <w:jc w:val="both"/>
            </w:pPr>
            <w:r>
              <w:t xml:space="preserve">Det er ikke nødvendigt at vurdere dette i tilfælde af rapporter, hvor det relevante marked anses for at være regionalt. </w:t>
            </w:r>
          </w:p>
          <w:p w14:paraId="31893031" w14:textId="17F40C8B" w:rsidR="00960E01" w:rsidRDefault="00821CB5">
            <w:pPr>
              <w:pStyle w:val="P68B1DB1-TableParagraph33"/>
              <w:spacing w:before="108"/>
              <w:jc w:val="both"/>
            </w:pPr>
            <w:r>
              <w:t xml:space="preserve">Antal EU-lande, hvor den indberettende enhed har en markedsandel på over 2 % (udtrykt i værdien af betalingstransaktioner, værdipapir- eller kontanttransaktioner eller åbne kundepositioner hos CCP'er eller samlede aktiver i depot). Betænkning: </w:t>
            </w:r>
          </w:p>
          <w:p w14:paraId="58BCAA6E" w14:textId="090336B0" w:rsidR="00960E01" w:rsidRDefault="00821CB5">
            <w:pPr>
              <w:pStyle w:val="P68B1DB1-TableParagraph33"/>
              <w:numPr>
                <w:ilvl w:val="0"/>
                <w:numId w:val="282"/>
              </w:numPr>
              <w:spacing w:before="108"/>
              <w:jc w:val="both"/>
            </w:pPr>
            <w:r>
              <w:t xml:space="preserve">≤ 1 land </w:t>
            </w:r>
          </w:p>
          <w:p w14:paraId="5B55A7F9" w14:textId="6B3C23F3" w:rsidR="00960E01" w:rsidRDefault="00821CB5">
            <w:pPr>
              <w:pStyle w:val="P68B1DB1-TableParagraph33"/>
              <w:numPr>
                <w:ilvl w:val="0"/>
                <w:numId w:val="282"/>
              </w:numPr>
              <w:spacing w:before="108"/>
              <w:jc w:val="both"/>
            </w:pPr>
            <w:r>
              <w:t>2-3 lande</w:t>
            </w:r>
          </w:p>
          <w:p w14:paraId="6A334CED" w14:textId="15F946E0" w:rsidR="00960E01" w:rsidRDefault="00821CB5">
            <w:pPr>
              <w:pStyle w:val="P68B1DB1-TableParagraph33"/>
              <w:numPr>
                <w:ilvl w:val="0"/>
                <w:numId w:val="282"/>
              </w:numPr>
              <w:spacing w:before="108"/>
              <w:jc w:val="both"/>
            </w:pPr>
            <w:r>
              <w:t xml:space="preserve">4-5 lande </w:t>
            </w:r>
          </w:p>
          <w:p w14:paraId="4D1B0AB8" w14:textId="03F4FDF2" w:rsidR="00960E01" w:rsidRDefault="00821CB5">
            <w:pPr>
              <w:pStyle w:val="P68B1DB1-TableParagraph33"/>
              <w:numPr>
                <w:ilvl w:val="0"/>
                <w:numId w:val="282"/>
              </w:numPr>
              <w:spacing w:before="108"/>
              <w:jc w:val="both"/>
            </w:pPr>
            <w:r>
              <w:t xml:space="preserve">&gt; 5 lande </w:t>
            </w:r>
          </w:p>
          <w:p w14:paraId="7FE1BBED" w14:textId="6A2A41A1" w:rsidR="00960E01" w:rsidRDefault="00821CB5">
            <w:pPr>
              <w:pStyle w:val="P68B1DB1-TableParagraph33"/>
              <w:spacing w:before="108"/>
              <w:jc w:val="both"/>
              <w:rPr>
                <w:rFonts w:cs="Times New Roman"/>
                <w:color w:val="000000" w:themeColor="text1"/>
              </w:rPr>
            </w:pPr>
            <w:r>
              <w:t xml:space="preserve"> </w:t>
            </w:r>
          </w:p>
        </w:tc>
      </w:tr>
      <w:tr w:rsidR="00960E01"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960E01" w:rsidRDefault="00821CB5">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960E01" w:rsidRDefault="00821CB5">
            <w:pPr>
              <w:pStyle w:val="P68B1DB1-TableParagraph14"/>
              <w:spacing w:before="108"/>
              <w:jc w:val="both"/>
              <w:rPr>
                <w:bCs/>
              </w:rPr>
            </w:pPr>
            <w:r>
              <w:t xml:space="preserve">Relevans — </w:t>
            </w:r>
          </w:p>
          <w:p w14:paraId="7FE1BBF1" w14:textId="77777777" w:rsidR="00960E01" w:rsidRDefault="00821CB5">
            <w:pPr>
              <w:pStyle w:val="P68B1DB1-TableParagraph13"/>
              <w:spacing w:before="108"/>
              <w:jc w:val="both"/>
            </w:pPr>
            <w:r>
              <w:lastRenderedPageBreak/>
              <w:t>På et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BF2" w14:textId="77777777" w:rsidR="00960E01" w:rsidRDefault="00821CB5">
            <w:pPr>
              <w:pStyle w:val="P68B1DB1-TableParagraph14"/>
              <w:spacing w:before="108"/>
              <w:jc w:val="both"/>
              <w:rPr>
                <w:bCs/>
              </w:rPr>
            </w:pPr>
            <w:r>
              <w:t>Markedsandel</w:t>
            </w:r>
          </w:p>
          <w:p w14:paraId="30AC503F" w14:textId="77777777" w:rsidR="00960E01" w:rsidRDefault="00821CB5">
            <w:pPr>
              <w:pStyle w:val="P68B1DB1-Normal31"/>
              <w:spacing w:line="276" w:lineRule="auto"/>
              <w:jc w:val="both"/>
            </w:pPr>
            <w:r>
              <w:t xml:space="preserve">Vurdere, hvor vigtig den indberettende enheds markedsandel er i forhold til det nationale marked eller et andet relevant marked som angivet i skemaet. Denne vurdering udtrykkes kvalitativt som </w:t>
            </w:r>
          </w:p>
          <w:p w14:paraId="5D8F45F8" w14:textId="77777777" w:rsidR="00960E01" w:rsidRDefault="00821CB5">
            <w:pPr>
              <w:pStyle w:val="P68B1DB1-ListParagraph32"/>
              <w:numPr>
                <w:ilvl w:val="0"/>
                <w:numId w:val="276"/>
              </w:numPr>
              <w:spacing w:line="276" w:lineRule="auto"/>
              <w:jc w:val="both"/>
            </w:pPr>
            <w:r>
              <w:t>Høj, hvis markedsandelen er stor</w:t>
            </w:r>
          </w:p>
          <w:p w14:paraId="5C7C2710" w14:textId="77777777" w:rsidR="00960E01" w:rsidRDefault="00821CB5">
            <w:pPr>
              <w:pStyle w:val="P68B1DB1-ListParagraph32"/>
              <w:numPr>
                <w:ilvl w:val="0"/>
                <w:numId w:val="276"/>
              </w:numPr>
              <w:spacing w:line="276" w:lineRule="auto"/>
              <w:jc w:val="both"/>
            </w:pPr>
            <w:r>
              <w:t>Middelhøj, hvis markedsandelen er mellemhøj</w:t>
            </w:r>
          </w:p>
          <w:p w14:paraId="21F38734" w14:textId="77777777" w:rsidR="00960E01" w:rsidRDefault="00821CB5">
            <w:pPr>
              <w:pStyle w:val="P68B1DB1-ListParagraph32"/>
              <w:numPr>
                <w:ilvl w:val="0"/>
                <w:numId w:val="276"/>
              </w:numPr>
              <w:spacing w:line="276" w:lineRule="auto"/>
              <w:jc w:val="both"/>
            </w:pPr>
            <w:r>
              <w:t xml:space="preserve">Mellemlav, hvis markedsandelen er lille, eller </w:t>
            </w:r>
          </w:p>
          <w:p w14:paraId="16968912" w14:textId="77777777" w:rsidR="00960E01" w:rsidRDefault="00821CB5">
            <w:pPr>
              <w:pStyle w:val="P68B1DB1-ListParagraph32"/>
              <w:numPr>
                <w:ilvl w:val="0"/>
                <w:numId w:val="276"/>
              </w:numPr>
              <w:spacing w:line="276" w:lineRule="auto"/>
              <w:jc w:val="both"/>
            </w:pPr>
            <w:r>
              <w:t xml:space="preserve">Lav, hvis markedsandelen er ubetydelig. </w:t>
            </w:r>
          </w:p>
          <w:p w14:paraId="7FE1BBF7" w14:textId="3931B1D9" w:rsidR="00960E01" w:rsidRDefault="00960E01">
            <w:pPr>
              <w:pStyle w:val="ListParagraph"/>
              <w:spacing w:line="276" w:lineRule="auto"/>
              <w:jc w:val="both"/>
              <w:rPr>
                <w:rFonts w:ascii="Times New Roman" w:eastAsiaTheme="minorHAnsi" w:hAnsi="Times New Roman"/>
                <w:color w:val="000000" w:themeColor="text1"/>
                <w:sz w:val="20"/>
                <w:szCs w:val="20"/>
              </w:rPr>
            </w:pPr>
          </w:p>
          <w:p w14:paraId="7FE1BBF8" w14:textId="77777777" w:rsidR="00960E01" w:rsidRDefault="00821CB5">
            <w:pPr>
              <w:pStyle w:val="P68B1DB1-TableParagraph13"/>
              <w:spacing w:before="108"/>
              <w:jc w:val="both"/>
            </w:pPr>
            <w:r>
              <w:t xml:space="preserve">Denne vurdering tager hensyn til markedsstrukturen i den indberettende enheds land (eller et andet relevant marked) og de markedsandele, der er indberettet delvist. </w:t>
            </w:r>
          </w:p>
          <w:p w14:paraId="7FE1BBF9" w14:textId="77777777" w:rsidR="00960E01" w:rsidRDefault="00821CB5">
            <w:pPr>
              <w:pStyle w:val="P68B1DB1-TableParagraph13"/>
              <w:spacing w:before="108"/>
              <w:jc w:val="both"/>
            </w:pPr>
            <w:r>
              <w:t>2.Kvantitative data:</w:t>
            </w:r>
          </w:p>
          <w:p w14:paraId="7FE1BBFA" w14:textId="77777777" w:rsidR="00960E01" w:rsidRDefault="00821CB5">
            <w:pPr>
              <w:pStyle w:val="P68B1DB1-ListParagraph32"/>
              <w:numPr>
                <w:ilvl w:val="0"/>
                <w:numId w:val="117"/>
              </w:numPr>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BFB"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BFC"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960E01" w:rsidRDefault="00821CB5">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960E01" w:rsidRDefault="00821CB5">
            <w:pPr>
              <w:pStyle w:val="P68B1DB1-TableParagraph14"/>
              <w:spacing w:before="108"/>
              <w:jc w:val="both"/>
              <w:rPr>
                <w:bCs/>
              </w:rPr>
            </w:pPr>
            <w:r>
              <w:t>Markedsstruktur — markedskoncentration</w:t>
            </w:r>
          </w:p>
          <w:p w14:paraId="7FE1BC00" w14:textId="77777777" w:rsidR="00960E01" w:rsidRDefault="00821CB5">
            <w:pPr>
              <w:pStyle w:val="P68B1DB1-TableParagraph13"/>
              <w:spacing w:before="108"/>
              <w:jc w:val="both"/>
            </w:pPr>
            <w:r>
              <w:t xml:space="preserve">Markedskoncentrationen, målt ud fra antallet af konkurrenter, der i øjeblikket klarer sig </w:t>
            </w:r>
          </w:p>
          <w:p w14:paraId="7FE1BC01" w14:textId="77777777" w:rsidR="00960E01" w:rsidRDefault="00821CB5">
            <w:pPr>
              <w:pStyle w:val="P68B1DB1-TableParagraph13"/>
              <w:spacing w:before="108"/>
              <w:jc w:val="both"/>
            </w:pPr>
            <w:r>
              <w:t xml:space="preserve">lignende økonomiske funktioner og/eller udbud af lignende tjenester på lige vilkår (dvs. til en </w:t>
            </w:r>
          </w:p>
          <w:p w14:paraId="7FE1BC02" w14:textId="77777777" w:rsidR="00960E01" w:rsidRDefault="00821CB5">
            <w:pPr>
              <w:pStyle w:val="P68B1DB1-TableParagraph13"/>
              <w:spacing w:before="108"/>
              <w:jc w:val="both"/>
            </w:pPr>
            <w:r>
              <w:t xml:space="preserve">sammenligneligt omfang og kvalitet og til sammenlignelige omkostninger), der potentielt overtager </w:t>
            </w:r>
          </w:p>
          <w:p w14:paraId="7FE1BC03" w14:textId="77777777" w:rsidR="00960E01" w:rsidRDefault="00821CB5">
            <w:pPr>
              <w:pStyle w:val="P68B1DB1-TableParagraph13"/>
              <w:spacing w:before="108"/>
              <w:jc w:val="both"/>
            </w:pPr>
            <w:r>
              <w:t xml:space="preserve">(en del af) den indberettende enheds kunder og/eller forretninger inden for en rimelig tidsramme. </w:t>
            </w:r>
          </w:p>
          <w:p w14:paraId="7FE1BC04" w14:textId="77777777" w:rsidR="00960E01" w:rsidRDefault="00821CB5">
            <w:pPr>
              <w:pStyle w:val="P68B1DB1-TableParagraph13"/>
              <w:spacing w:before="108"/>
              <w:jc w:val="both"/>
            </w:pPr>
            <w:r>
              <w:t xml:space="preserve">Dette skal indberettes i undergrupper, som er de samme for hver underfunktion. </w:t>
            </w:r>
          </w:p>
          <w:p w14:paraId="4C2F14CB" w14:textId="77777777" w:rsidR="00960E01" w:rsidRDefault="00821CB5">
            <w:pPr>
              <w:pStyle w:val="P68B1DB1-ListParagraph32"/>
              <w:numPr>
                <w:ilvl w:val="0"/>
                <w:numId w:val="277"/>
              </w:numPr>
              <w:jc w:val="both"/>
            </w:pPr>
            <w:r>
              <w:t xml:space="preserve">&gt; 20 konkurrenter </w:t>
            </w:r>
          </w:p>
          <w:p w14:paraId="453D853E" w14:textId="77777777" w:rsidR="00960E01" w:rsidRDefault="00821CB5">
            <w:pPr>
              <w:pStyle w:val="P68B1DB1-ListParagraph32"/>
              <w:numPr>
                <w:ilvl w:val="0"/>
                <w:numId w:val="277"/>
              </w:numPr>
              <w:jc w:val="both"/>
            </w:pPr>
            <w:r>
              <w:t xml:space="preserve">11-20 konkurrenter </w:t>
            </w:r>
          </w:p>
          <w:p w14:paraId="642D6421" w14:textId="77777777" w:rsidR="00960E01" w:rsidRDefault="00821CB5">
            <w:pPr>
              <w:pStyle w:val="P68B1DB1-ListParagraph32"/>
              <w:numPr>
                <w:ilvl w:val="0"/>
                <w:numId w:val="277"/>
              </w:numPr>
              <w:jc w:val="both"/>
            </w:pPr>
            <w:r>
              <w:t xml:space="preserve">5-10 konkurrenter </w:t>
            </w:r>
          </w:p>
          <w:p w14:paraId="3C672034" w14:textId="7DF23DDE" w:rsidR="00960E01" w:rsidRDefault="00D23505">
            <w:pPr>
              <w:pStyle w:val="P68B1DB1-ListParagraph32"/>
              <w:numPr>
                <w:ilvl w:val="0"/>
                <w:numId w:val="277"/>
              </w:numPr>
              <w:jc w:val="both"/>
              <w:rPr>
                <w:b/>
                <w:bCs/>
                <w:color w:val="000000" w:themeColor="text1"/>
              </w:rPr>
            </w:pPr>
            <w:r>
              <w:t xml:space="preserve">&lt; </w:t>
            </w:r>
            <w:r w:rsidR="00821CB5">
              <w:t>5 konkurrenter</w:t>
            </w:r>
          </w:p>
          <w:p w14:paraId="7FE1BC08" w14:textId="3B09659F" w:rsidR="00960E01" w:rsidRDefault="00960E01">
            <w:pPr>
              <w:jc w:val="both"/>
              <w:rPr>
                <w:rFonts w:ascii="Times New Roman" w:hAnsi="Times New Roman"/>
                <w:color w:val="000000" w:themeColor="text1"/>
                <w:sz w:val="20"/>
                <w:szCs w:val="20"/>
              </w:rPr>
            </w:pPr>
          </w:p>
        </w:tc>
      </w:tr>
      <w:tr w:rsidR="00960E01"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960E01" w:rsidRDefault="00821CB5">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960E01" w:rsidRDefault="00821CB5">
            <w:pPr>
              <w:pStyle w:val="P68B1DB1-TableParagraph14"/>
              <w:spacing w:before="108"/>
              <w:jc w:val="both"/>
              <w:rPr>
                <w:bCs/>
              </w:rPr>
            </w:pPr>
            <w:r>
              <w:t>Tidspunkt — forventet substitutionstid</w:t>
            </w:r>
          </w:p>
          <w:p w14:paraId="7FE1BC0C" w14:textId="77777777" w:rsidR="00960E01" w:rsidRDefault="00821CB5">
            <w:pPr>
              <w:pStyle w:val="P68B1DB1-TableParagraph13"/>
              <w:spacing w:before="108"/>
              <w:jc w:val="both"/>
            </w:pPr>
            <w:r>
              <w:t>Anslå den tid, der er nødvendig for rapporteringens økonomiske funktion</w:t>
            </w:r>
          </w:p>
          <w:p w14:paraId="7FE1BC0D" w14:textId="77777777" w:rsidR="00960E01" w:rsidRDefault="00821CB5">
            <w:pPr>
              <w:pStyle w:val="P68B1DB1-TableParagraph13"/>
              <w:spacing w:before="108"/>
              <w:jc w:val="both"/>
            </w:pPr>
            <w:r>
              <w:t xml:space="preserve">enhed, der skal absorberes af markedet i en krisesituation. Dette omfatter: </w:t>
            </w:r>
          </w:p>
          <w:p w14:paraId="7FE1BC0E" w14:textId="77777777" w:rsidR="00960E01" w:rsidRDefault="00821CB5">
            <w:pPr>
              <w:pStyle w:val="P68B1DB1-ListParagraph38"/>
              <w:numPr>
                <w:ilvl w:val="0"/>
                <w:numId w:val="274"/>
              </w:numPr>
              <w:jc w:val="both"/>
            </w:pPr>
            <w:r>
              <w:t xml:space="preserve">den forventede tid, som en eller flere konkurrenter har brug for til at gennemføre de retlige og tekniske skridt til at overtage funktionen samt  </w:t>
            </w:r>
          </w:p>
          <w:p w14:paraId="7FE1BC0F" w14:textId="77777777" w:rsidR="00960E01" w:rsidRDefault="00821CB5">
            <w:pPr>
              <w:pStyle w:val="P68B1DB1-ListParagraph38"/>
              <w:numPr>
                <w:ilvl w:val="0"/>
                <w:numId w:val="274"/>
              </w:numPr>
              <w:jc w:val="both"/>
            </w:pPr>
            <w:r>
              <w:t xml:space="preserve">den tid, som brugerne af tjenesten har brug for til at flytte til en anden tjenesteudbyder. </w:t>
            </w:r>
          </w:p>
          <w:p w14:paraId="7FE1BC10"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11" w14:textId="77777777" w:rsidR="00960E01" w:rsidRDefault="00821CB5">
            <w:pPr>
              <w:pStyle w:val="P68B1DB1-TableParagraph13"/>
              <w:spacing w:before="108"/>
              <w:jc w:val="both"/>
            </w:pPr>
            <w:r>
              <w:t>Som reference for førstnævnte give et skøn over den tid, det vil tage den indberettende enhed at absorbere i sin egen virksomhed (en del af) den tjenesteydelse, der leveres af et andet institut, til en rimelig pris i en krisesituation. Indberet det anslåede tidspunkt for substitution i de undergrupper, der er angivet i skemaet:</w:t>
            </w:r>
          </w:p>
          <w:p w14:paraId="7FE1BC12" w14:textId="77777777" w:rsidR="00960E01" w:rsidRDefault="00960E01">
            <w:pPr>
              <w:jc w:val="both"/>
              <w:rPr>
                <w:rFonts w:ascii="Times New Roman" w:eastAsia="Times New Roman" w:hAnsi="Times New Roman" w:cs="Times New Roman"/>
                <w:sz w:val="20"/>
                <w:szCs w:val="20"/>
              </w:rPr>
            </w:pPr>
          </w:p>
          <w:p w14:paraId="7FE1BC13" w14:textId="77777777" w:rsidR="00960E01" w:rsidRDefault="00821CB5">
            <w:pPr>
              <w:pStyle w:val="P68B1DB1-Normal31"/>
              <w:jc w:val="both"/>
            </w:pPr>
            <w:bookmarkStart w:id="118" w:name="_Hlk194476081"/>
            <w:r>
              <w:t xml:space="preserve">Undergrupper: </w:t>
            </w:r>
          </w:p>
          <w:p w14:paraId="7FE1BC14" w14:textId="162CAE6D" w:rsidR="00960E01" w:rsidRDefault="00F56521">
            <w:pPr>
              <w:pStyle w:val="P68B1DB1-ListParagraph32"/>
              <w:numPr>
                <w:ilvl w:val="0"/>
                <w:numId w:val="284"/>
              </w:numPr>
              <w:jc w:val="both"/>
            </w:pPr>
            <w:r>
              <w:t xml:space="preserve">&lt; </w:t>
            </w:r>
            <w:r w:rsidR="00821CB5">
              <w:t xml:space="preserve">1 dag </w:t>
            </w:r>
          </w:p>
          <w:p w14:paraId="7FE1BC15" w14:textId="15883A0D" w:rsidR="00960E01" w:rsidRDefault="00821CB5">
            <w:pPr>
              <w:pStyle w:val="P68B1DB1-ListParagraph32"/>
              <w:numPr>
                <w:ilvl w:val="0"/>
                <w:numId w:val="284"/>
              </w:numPr>
              <w:jc w:val="both"/>
            </w:pPr>
            <w:r>
              <w:t xml:space="preserve">1-2 days </w:t>
            </w:r>
          </w:p>
          <w:p w14:paraId="7FE1BC16" w14:textId="0B950876" w:rsidR="00960E01" w:rsidRDefault="00821CB5">
            <w:pPr>
              <w:pStyle w:val="P68B1DB1-ListParagraph32"/>
              <w:numPr>
                <w:ilvl w:val="0"/>
                <w:numId w:val="284"/>
              </w:numPr>
              <w:jc w:val="both"/>
            </w:pPr>
            <w:r>
              <w:t xml:space="preserve">&gt; 2 dage ≤ 1 uge </w:t>
            </w:r>
          </w:p>
          <w:p w14:paraId="7FE1BC17" w14:textId="0973D87D" w:rsidR="00960E01" w:rsidRDefault="00821CB5">
            <w:pPr>
              <w:pStyle w:val="P68B1DB1-ListParagraph32"/>
              <w:numPr>
                <w:ilvl w:val="0"/>
                <w:numId w:val="284"/>
              </w:numPr>
              <w:jc w:val="both"/>
            </w:pPr>
            <w:r>
              <w:lastRenderedPageBreak/>
              <w:t xml:space="preserve">&gt; 1 uge </w:t>
            </w:r>
          </w:p>
          <w:bookmarkEnd w:id="118"/>
          <w:p w14:paraId="7FE1BC18"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960E01" w:rsidRDefault="00821CB5">
            <w:pPr>
              <w:pStyle w:val="P68B1DB1-TableParagraph17"/>
              <w:spacing w:before="108"/>
              <w:jc w:val="both"/>
            </w:pPr>
            <w:r>
              <w:lastRenderedPageBreak/>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960E01" w:rsidRDefault="00821CB5">
            <w:pPr>
              <w:pStyle w:val="P68B1DB1-TableParagraph14"/>
              <w:spacing w:before="108"/>
              <w:jc w:val="both"/>
              <w:rPr>
                <w:bCs/>
              </w:rPr>
            </w:pPr>
            <w:r>
              <w:t>Substitutionsevne</w:t>
            </w:r>
          </w:p>
        </w:tc>
      </w:tr>
      <w:tr w:rsidR="00960E01"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960E01" w:rsidRDefault="00821CB5">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960E01" w:rsidRDefault="00821CB5">
            <w:pPr>
              <w:pStyle w:val="P68B1DB1-TableParagraph14"/>
              <w:spacing w:before="108"/>
              <w:jc w:val="both"/>
              <w:rPr>
                <w:bCs/>
              </w:rPr>
            </w:pPr>
            <w:r>
              <w:t>Juridiske hindringer for adgang eller udvidelse</w:t>
            </w:r>
          </w:p>
          <w:p w14:paraId="7FE1BC1F"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20" w14:textId="77777777" w:rsidR="00960E01" w:rsidRDefault="00821CB5">
            <w:pPr>
              <w:pStyle w:val="P68B1DB1-TableParagraph13"/>
              <w:spacing w:before="108"/>
              <w:jc w:val="both"/>
            </w:pPr>
            <w:r>
              <w:t xml:space="preserve">Juridiske hindringer for, at konkurrenter kan tilbyde tjenesten. Lovkrav til udøvelse af virksomhed som kreditinstitut (f.eks. banklicenser eller kapitalkrav) skal ikke betragtes som uoverstigelige hindringer, når alternative udbydere er til stede. Denne indikator skal indberettes i undergrupper, som er de samme for hver underfunktion: </w:t>
            </w:r>
          </w:p>
          <w:p w14:paraId="7FE1BC21" w14:textId="474C67C3" w:rsidR="00960E01" w:rsidRDefault="00821CB5">
            <w:pPr>
              <w:pStyle w:val="P68B1DB1-ListParagraph39"/>
              <w:numPr>
                <w:ilvl w:val="0"/>
                <w:numId w:val="275"/>
              </w:numPr>
              <w:jc w:val="both"/>
            </w:pPr>
            <w:r>
              <w:t xml:space="preserve">ingen større hindringer </w:t>
            </w:r>
          </w:p>
          <w:p w14:paraId="7FE1BC22" w14:textId="2597009C" w:rsidR="00960E01" w:rsidRDefault="00821CB5">
            <w:pPr>
              <w:pStyle w:val="P68B1DB1-ListParagraph39"/>
              <w:numPr>
                <w:ilvl w:val="0"/>
                <w:numId w:val="275"/>
              </w:numPr>
              <w:jc w:val="both"/>
            </w:pPr>
            <w:r>
              <w:t xml:space="preserve">visse hindringer </w:t>
            </w:r>
          </w:p>
          <w:p w14:paraId="7FE1BC23" w14:textId="78601E46" w:rsidR="00960E01" w:rsidRDefault="00821CB5">
            <w:pPr>
              <w:pStyle w:val="P68B1DB1-ListParagraph39"/>
              <w:numPr>
                <w:ilvl w:val="0"/>
                <w:numId w:val="275"/>
              </w:numPr>
              <w:jc w:val="both"/>
            </w:pPr>
            <w:r>
              <w:t xml:space="preserve">væsentlige (men overvindelige) barrierer </w:t>
            </w:r>
          </w:p>
          <w:p w14:paraId="7FE1BC25" w14:textId="12D666ED" w:rsidR="00960E01" w:rsidRDefault="00821CB5">
            <w:pPr>
              <w:pStyle w:val="P68B1DB1-ListParagraph8"/>
              <w:numPr>
                <w:ilvl w:val="0"/>
                <w:numId w:val="275"/>
              </w:numPr>
              <w:jc w:val="both"/>
            </w:pPr>
            <w:r>
              <w:t>kritiske (svære at overvinde) barrierer.</w:t>
            </w:r>
          </w:p>
        </w:tc>
      </w:tr>
      <w:tr w:rsidR="00960E01"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960E01" w:rsidRDefault="00821CB5">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960E01" w:rsidRDefault="00821CB5">
            <w:pPr>
              <w:pStyle w:val="P68B1DB1-TableParagraph14"/>
              <w:spacing w:before="108"/>
              <w:jc w:val="both"/>
              <w:rPr>
                <w:bCs/>
              </w:rPr>
            </w:pPr>
            <w:r>
              <w:t>Driftsmæssige krav til adgang eller udvidelse</w:t>
            </w:r>
          </w:p>
          <w:p w14:paraId="7FE1BC29"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2A" w14:textId="46374DD1" w:rsidR="00960E01" w:rsidRDefault="00821CB5">
            <w:pPr>
              <w:pStyle w:val="P68B1DB1-TableParagraph13"/>
              <w:spacing w:before="108"/>
              <w:jc w:val="both"/>
            </w:pPr>
            <w:r>
              <w:t xml:space="preserve">Organisatoriske, tekniske og infrastrukturelle krav til konkurrenterne om at tilbyde tjenesten. Udbud af tjenester i forbindelse med (under) funktionen kræver, at udbyderne investerer i (ny eller yderligere) infrastruktur eller ændrer deres organisationer. Vurdere markedets evne til at absorbere den pågældende virksomhed, f.eks. med hensyn til kapitalkrav. </w:t>
            </w:r>
          </w:p>
          <w:p w14:paraId="7FE1BC2B" w14:textId="77777777" w:rsidR="00960E01" w:rsidRDefault="00821CB5">
            <w:pPr>
              <w:pStyle w:val="P68B1DB1-TableParagraph13"/>
              <w:spacing w:before="108"/>
              <w:jc w:val="both"/>
            </w:pPr>
            <w:r>
              <w:t xml:space="preserve">Denne indikator skal indberettes i undergrupper, som er de samme for hver underfunktion: </w:t>
            </w:r>
          </w:p>
          <w:p w14:paraId="7FE1BC2C" w14:textId="59F4E6B2" w:rsidR="00960E01" w:rsidRDefault="00821CB5">
            <w:pPr>
              <w:pStyle w:val="P68B1DB1-ListParagraph39"/>
              <w:numPr>
                <w:ilvl w:val="0"/>
                <w:numId w:val="278"/>
              </w:numPr>
              <w:jc w:val="both"/>
            </w:pPr>
            <w:r>
              <w:t xml:space="preserve">ingen væsentlige krav </w:t>
            </w:r>
          </w:p>
          <w:p w14:paraId="7FE1BC2D" w14:textId="17A47EF8" w:rsidR="00960E01" w:rsidRDefault="00821CB5">
            <w:pPr>
              <w:pStyle w:val="P68B1DB1-ListParagraph39"/>
              <w:numPr>
                <w:ilvl w:val="0"/>
                <w:numId w:val="278"/>
              </w:numPr>
              <w:jc w:val="both"/>
            </w:pPr>
            <w:r>
              <w:t xml:space="preserve">visse krav </w:t>
            </w:r>
          </w:p>
          <w:p w14:paraId="7FE1BC2E" w14:textId="6B2B459E" w:rsidR="00960E01" w:rsidRDefault="00821CB5">
            <w:pPr>
              <w:pStyle w:val="P68B1DB1-ListParagraph39"/>
              <w:numPr>
                <w:ilvl w:val="0"/>
                <w:numId w:val="278"/>
              </w:numPr>
              <w:jc w:val="both"/>
            </w:pPr>
            <w:r>
              <w:t xml:space="preserve">væsentlige (men overvindelige) krav </w:t>
            </w:r>
          </w:p>
          <w:p w14:paraId="7FE1BC2F" w14:textId="79851C7C" w:rsidR="00960E01" w:rsidRDefault="00821CB5">
            <w:pPr>
              <w:pStyle w:val="P68B1DB1-ListParagraph39"/>
              <w:numPr>
                <w:ilvl w:val="0"/>
                <w:numId w:val="278"/>
              </w:numPr>
              <w:jc w:val="both"/>
            </w:pPr>
            <w:r>
              <w:t>kritiske (vanskelige at opfylde) krav.</w:t>
            </w:r>
          </w:p>
          <w:p w14:paraId="7FE1BC30"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960E01" w:rsidRDefault="00821CB5">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960E01" w:rsidRDefault="00821CB5">
            <w:pPr>
              <w:pStyle w:val="P68B1DB1-TableParagraph14"/>
              <w:spacing w:before="108"/>
              <w:jc w:val="both"/>
              <w:rPr>
                <w:bCs/>
              </w:rPr>
            </w:pPr>
            <w:r>
              <w:t>Indstigningskapacitet</w:t>
            </w:r>
          </w:p>
        </w:tc>
      </w:tr>
      <w:tr w:rsidR="00960E01"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960E01" w:rsidRDefault="00821CB5">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960E01" w:rsidRDefault="00821CB5">
            <w:pPr>
              <w:pStyle w:val="P68B1DB1-TableParagraph14"/>
              <w:spacing w:before="108"/>
              <w:rPr>
                <w:bCs/>
              </w:rPr>
            </w:pPr>
            <w:r>
              <w:t>Onboardingkapacitet — Antal ansøgninger fra nye kunder 1 arbejdsdag (antal)</w:t>
            </w:r>
          </w:p>
          <w:p w14:paraId="2BBAFCB8" w14:textId="77777777" w:rsidR="00960E01" w:rsidRDefault="00821CB5">
            <w:pPr>
              <w:pStyle w:val="P68B1DB1-TableParagraph13"/>
              <w:spacing w:before="108"/>
            </w:pPr>
            <w:r>
              <w:t>Institutterne anmodes om at indgive det højeste antal ansøgninger, hvis instituttet har valideret anmodningen om en banktjeneste.</w:t>
            </w:r>
          </w:p>
          <w:p w14:paraId="3F7DDDEF"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5AB7F16A" w14:textId="77777777" w:rsidR="00960E01" w:rsidRDefault="00821CB5">
            <w:pPr>
              <w:pStyle w:val="P68B1DB1-TableParagraph13"/>
              <w:spacing w:before="108"/>
              <w:jc w:val="both"/>
              <w:rPr>
                <w:b/>
                <w:bCs/>
              </w:rPr>
            </w:pPr>
            <w:r>
              <w:t xml:space="preserve">Onboardingkapaciteten for betalingstjenester til MFI'er, betalingstjenester til ikke-MFI'er og kontanttjenester udtrykt i antal nye konti udtrykkes over 1 arbejdsdag. </w:t>
            </w:r>
          </w:p>
          <w:p w14:paraId="10BCF6A2" w14:textId="77777777" w:rsidR="00960E01" w:rsidRDefault="00821CB5">
            <w:pPr>
              <w:pStyle w:val="P68B1DB1-TableParagraph13"/>
              <w:spacing w:before="108"/>
              <w:jc w:val="both"/>
              <w:rPr>
                <w:b/>
                <w:bCs/>
              </w:rPr>
            </w:pPr>
            <w:r>
              <w:t>Institutterne forventes at tage hensyn til tidsrammen for onboarding af nye kunder, da en ny kunde har ansøgt om en banktjeneste.</w:t>
            </w:r>
          </w:p>
          <w:p w14:paraId="54138520" w14:textId="77777777" w:rsidR="00960E01" w:rsidRDefault="00960E01">
            <w:pPr>
              <w:pStyle w:val="TableParagraph"/>
              <w:spacing w:before="108"/>
              <w:rPr>
                <w:rFonts w:ascii="Times New Roman" w:hAnsi="Times New Roman" w:cs="Times New Roman"/>
                <w:b/>
                <w:bCs/>
                <w:color w:val="000000" w:themeColor="text1"/>
                <w:sz w:val="20"/>
                <w:szCs w:val="20"/>
              </w:rPr>
            </w:pPr>
          </w:p>
        </w:tc>
      </w:tr>
      <w:tr w:rsidR="00960E01"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960E01" w:rsidRDefault="00821CB5">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960E01" w:rsidRDefault="00821CB5">
            <w:pPr>
              <w:pStyle w:val="P68B1DB1-TableParagraph14"/>
              <w:spacing w:before="108"/>
              <w:rPr>
                <w:bCs/>
              </w:rPr>
            </w:pPr>
            <w:r>
              <w:t>Onboardingkapacitet — Antal ansøgninger fra nye kunder over 7 arbejdsdage (antal)</w:t>
            </w:r>
          </w:p>
          <w:p w14:paraId="6C6045B8" w14:textId="77777777" w:rsidR="00960E01" w:rsidRDefault="00821CB5">
            <w:pPr>
              <w:pStyle w:val="P68B1DB1-TableParagraph13"/>
              <w:spacing w:before="108"/>
            </w:pPr>
            <w:r>
              <w:t>Institutterne anmodes om at indgive det højeste antal ansøgninger, hvis instituttet har valideret anmodningen om en banktjeneste.</w:t>
            </w:r>
          </w:p>
          <w:p w14:paraId="59CBAFC9" w14:textId="77777777" w:rsidR="00960E01" w:rsidRDefault="00821CB5">
            <w:pPr>
              <w:pStyle w:val="P68B1DB1-TableParagraph13"/>
              <w:spacing w:before="108"/>
              <w:jc w:val="both"/>
            </w:pPr>
            <w:r>
              <w:t>Onboardingkapaciteten for værdipapirafviklingstjenester, CCP-clearingydelser og Custody tjenesteydelser udtrykt i antal nye konti udtrykkes over 7 arbejdsdage.</w:t>
            </w:r>
          </w:p>
          <w:p w14:paraId="7623A7E1" w14:textId="77777777" w:rsidR="00960E01" w:rsidRDefault="00821CB5">
            <w:pPr>
              <w:pStyle w:val="P68B1DB1-TableParagraph13"/>
              <w:spacing w:before="108"/>
              <w:jc w:val="both"/>
              <w:rPr>
                <w:b/>
                <w:bCs/>
              </w:rPr>
            </w:pPr>
            <w:r>
              <w:t>Institutterne forventes at tage hensyn til tidsrammen for onboarding af nye kunder, da en ny kunde har ansøgt om en banktjeneste.</w:t>
            </w:r>
          </w:p>
          <w:p w14:paraId="6541ECB8" w14:textId="7269F4A9" w:rsidR="00960E01" w:rsidRDefault="00960E01">
            <w:pPr>
              <w:pStyle w:val="TableParagraph"/>
              <w:spacing w:before="108"/>
              <w:rPr>
                <w:rFonts w:ascii="Times New Roman" w:hAnsi="Times New Roman" w:cs="Times New Roman"/>
                <w:b/>
                <w:bCs/>
                <w:color w:val="000000" w:themeColor="text1"/>
                <w:sz w:val="20"/>
                <w:szCs w:val="20"/>
              </w:rPr>
            </w:pPr>
          </w:p>
        </w:tc>
      </w:tr>
      <w:tr w:rsidR="00960E01"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960E01" w:rsidRDefault="00821CB5">
            <w:pPr>
              <w:pStyle w:val="P68B1DB1-TableParagraph17"/>
              <w:spacing w:before="108"/>
              <w:jc w:val="both"/>
            </w:pPr>
            <w:r>
              <w:lastRenderedPageBreak/>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960E01" w:rsidRDefault="00821CB5">
            <w:pPr>
              <w:pStyle w:val="P68B1DB1-TableParagraph14"/>
              <w:spacing w:before="108"/>
              <w:rPr>
                <w:bCs/>
              </w:rPr>
            </w:pPr>
            <w:r>
              <w:t>Kritikalitetsvurdering</w:t>
            </w:r>
          </w:p>
        </w:tc>
      </w:tr>
      <w:tr w:rsidR="00960E01"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960E01" w:rsidRDefault="00821CB5">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960E01" w:rsidRDefault="00821CB5">
            <w:pPr>
              <w:pStyle w:val="P68B1DB1-TableParagraph13"/>
              <w:spacing w:before="108"/>
            </w:pPr>
            <w:r>
              <w:t xml:space="preserve">Indvirkning på markedet </w:t>
            </w:r>
          </w:p>
          <w:p w14:paraId="7FE1BC42" w14:textId="77777777" w:rsidR="00960E01" w:rsidRDefault="00821CB5">
            <w:pPr>
              <w:pStyle w:val="P68B1DB1-TableParagraph13"/>
              <w:spacing w:before="108"/>
            </w:pPr>
            <w:r>
              <w:t>Anslået virkning af en pludselig afbrydelse af funktionen for tredjepart, finansielle markeder og realøkonomien, under hensyntagen til instituttets størrelse, markedsandel, eksterne og interne forbundethed, kompleksitet og grænseoverskridende aktiviteter.</w:t>
            </w:r>
          </w:p>
          <w:p w14:paraId="7FE1BC43" w14:textId="46266FB9" w:rsidR="00960E01" w:rsidRDefault="00821CB5">
            <w:pPr>
              <w:pStyle w:val="P68B1DB1-TableParagraph13"/>
              <w:spacing w:before="108"/>
            </w:pPr>
            <w:r>
              <w:t>Denne vurdering udtrykkes kvalitativt som "høj", "mellemhøj", "mellemlav" eller lav.</w:t>
            </w:r>
          </w:p>
          <w:p w14:paraId="7FE1BC44" w14:textId="7CCB4614" w:rsidR="00960E01" w:rsidRDefault="00821CB5">
            <w:pPr>
              <w:pStyle w:val="P68B1DB1-TableParagraph13"/>
              <w:spacing w:before="108"/>
            </w:pPr>
            <w:r>
              <w:t>"Høj" vælges, hvis afbrydelsen har stor indvirkning på det nationale marked, "MH", hvis indvirkningen er betydelig, "Medium-Low", hvis indvirkningen er væsentlig, men begrænset, og "Lav" hvis indvirkningen er lav.</w:t>
            </w:r>
          </w:p>
        </w:tc>
      </w:tr>
      <w:tr w:rsidR="00960E01"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960E01" w:rsidRDefault="00821CB5">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960E01" w:rsidRDefault="00821CB5">
            <w:pPr>
              <w:pStyle w:val="P68B1DB1-TableParagraph14"/>
              <w:spacing w:before="108"/>
              <w:rPr>
                <w:bCs/>
              </w:rPr>
            </w:pPr>
            <w:r>
              <w:t>Substituerbarhed</w:t>
            </w:r>
          </w:p>
          <w:p w14:paraId="7FE1BC48" w14:textId="77777777" w:rsidR="00960E01" w:rsidRDefault="00821CB5">
            <w:pPr>
              <w:pStyle w:val="P68B1DB1-TableParagraph13"/>
              <w:spacing w:before="108"/>
            </w:pPr>
            <w:r>
              <w:t>Artikel 6, stk. 3, i delegeret forordning (EU) 2016/778.</w:t>
            </w:r>
          </w:p>
          <w:p w14:paraId="7FE1BC49" w14:textId="77777777" w:rsidR="00960E01" w:rsidRDefault="00821CB5">
            <w:pPr>
              <w:pStyle w:val="P68B1DB1-TableParagraph13"/>
              <w:spacing w:before="108"/>
            </w:pPr>
            <w:r>
              <w:t>En funktion anses for substituerbar, hvis den kan erstattes på en acceptabel måde og inden for en rimelig tidsfrist, så man derved undgår systemiske problemer for realøkonomien og de finansielle markeder. Der skal tages hensyn til følgende:</w:t>
            </w:r>
          </w:p>
          <w:p w14:paraId="7FE1BC4A" w14:textId="77777777" w:rsidR="00960E01" w:rsidRDefault="00821CB5">
            <w:pPr>
              <w:pStyle w:val="P68B1DB1-TableParagraph13"/>
              <w:spacing w:before="108"/>
            </w:pPr>
            <w:r>
              <w:t xml:space="preserve">(a) strukturen på markedet for denne funktion og alternative leverandørers disponibilitet </w:t>
            </w:r>
          </w:p>
          <w:p w14:paraId="7FE1BC4B" w14:textId="77777777" w:rsidR="00960E01" w:rsidRDefault="00821CB5">
            <w:pPr>
              <w:pStyle w:val="P68B1DB1-TableParagraph13"/>
              <w:spacing w:before="108"/>
            </w:pPr>
            <w:r>
              <w:t xml:space="preserve">(b) andre leverandørers evne med hensyn til kapacitet, kravene vedrørende udførelse af den pågældende funktion og potentielle hindringer for adgang eller ekspansion </w:t>
            </w:r>
          </w:p>
          <w:p w14:paraId="7FE1BC4C" w14:textId="77777777" w:rsidR="00960E01" w:rsidRDefault="00821CB5">
            <w:pPr>
              <w:pStyle w:val="P68B1DB1-TableParagraph13"/>
              <w:spacing w:before="108"/>
            </w:pPr>
            <w:r>
              <w:t xml:space="preserve">(c) andre leverandørers incitament til at påtage sig disse aktiviteter </w:t>
            </w:r>
          </w:p>
          <w:p w14:paraId="7FE1BC4D" w14:textId="77777777" w:rsidR="00960E01" w:rsidRDefault="00821CB5">
            <w:pPr>
              <w:pStyle w:val="P68B1DB1-TableParagraph13"/>
              <w:spacing w:before="108"/>
            </w:pPr>
            <w:r>
              <w:t>(d) den tid, som brugerne af tjenesten har behov for til at flytte over til den nye tjenesteyder, og omkostningerne ved at flytte, den tid, der er behov for, til at andre konkurrenter kan overtage funktionerne, og hvorvidt denne tid er passende til at forhindre betydelige forstyrrelser afhængigt af den pågældende tjeneste.</w:t>
            </w:r>
          </w:p>
          <w:p w14:paraId="7FE1BC4E" w14:textId="5259F9E9" w:rsidR="00960E01" w:rsidRDefault="00821CB5">
            <w:pPr>
              <w:pStyle w:val="P68B1DB1-TableParagraph13"/>
              <w:spacing w:before="108"/>
            </w:pPr>
            <w:r>
              <w:t xml:space="preserve">Give en samlet vurdering af den forventede grad af substituerbarhed for hver funktion under hensyntagen til de forskellige dimensioner, der tidligere er blevet vurderet (markedsandel, markedskoncentration, substitutionstid, juridiske hindringer og operationelle krav til adgang eller ekspansion). Denne vurdering udtrykkes kvalitativt som "høj", "mellemhøj", "mellemlav" eller lav. </w:t>
            </w:r>
          </w:p>
          <w:p w14:paraId="7FE1BC4F" w14:textId="2848C2C9" w:rsidR="00960E01" w:rsidRDefault="00821CB5">
            <w:pPr>
              <w:pStyle w:val="P68B1DB1-TableParagraph13"/>
              <w:spacing w:before="108"/>
            </w:pPr>
            <w:r>
              <w:t>"Høj" vælges, hvis en funktion nemt kan udføres af en anden bank under sammenlignelige betingelser inden for en rimelig tidsramme</w:t>
            </w:r>
          </w:p>
          <w:p w14:paraId="7FE1BC50" w14:textId="60D54ED6" w:rsidR="00960E01" w:rsidRDefault="00821CB5">
            <w:pPr>
              <w:pStyle w:val="P68B1DB1-TableParagraph13"/>
              <w:spacing w:before="108"/>
            </w:pPr>
            <w:r>
              <w:t xml:space="preserve">"Lav", hvis en funktion ikke nemt eller hurtigt kan erstattes </w:t>
            </w:r>
          </w:p>
          <w:p w14:paraId="7FE1BC51" w14:textId="0F9A1660" w:rsidR="00960E01" w:rsidRDefault="00821CB5">
            <w:pPr>
              <w:pStyle w:val="P68B1DB1-TableParagraph13"/>
              <w:spacing w:before="108"/>
            </w:pPr>
            <w:r>
              <w:t>"Medium High" og "Medium Low" for mellemliggende tilfælde under hensyntagen til diverse dimensioner (bl.a. markedsandel, markedskoncentration, substitutionstid samt juridiske hindringer for og operationelle krav vedrørende adgang eller ekspansion).</w:t>
            </w:r>
          </w:p>
        </w:tc>
      </w:tr>
      <w:tr w:rsidR="00960E01"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960E01" w:rsidRDefault="00821CB5">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960E01" w:rsidRDefault="00821CB5">
            <w:pPr>
              <w:pStyle w:val="P68B1DB1-TableParagraph14"/>
              <w:spacing w:before="108"/>
              <w:rPr>
                <w:bCs/>
              </w:rPr>
            </w:pPr>
            <w:r>
              <w:t>Kritisk funktion</w:t>
            </w:r>
          </w:p>
          <w:p w14:paraId="7FE1BC55" w14:textId="77777777" w:rsidR="00960E01" w:rsidRDefault="00821CB5">
            <w:pPr>
              <w:pStyle w:val="P68B1DB1-TableParagraph13"/>
              <w:spacing w:before="108"/>
            </w:pPr>
            <w:r>
              <w:t>I denne kolonne angives det, under hensyntagen til den indflydelses- og erstatningsanalyse, som institutionen har foretaget, hvorvidt den økonomiske funktion anses for at være kritisk på markedet for det pågældende land.</w:t>
            </w:r>
          </w:p>
          <w:p w14:paraId="7FE1BC56" w14:textId="77777777" w:rsidR="00960E01" w:rsidRDefault="00821CB5">
            <w:pPr>
              <w:pStyle w:val="P68B1DB1-TableParagraph13"/>
              <w:spacing w:before="108"/>
            </w:pPr>
            <w:r>
              <w:t>Angiv "Ja" eller "Nej"</w:t>
            </w:r>
          </w:p>
        </w:tc>
      </w:tr>
      <w:tr w:rsidR="00960E01"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960E01" w:rsidRDefault="00821CB5">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960E01" w:rsidRDefault="00821CB5">
            <w:pPr>
              <w:pStyle w:val="P68B1DB1-TableParagraph14"/>
              <w:spacing w:before="108"/>
              <w:rPr>
                <w:bCs/>
              </w:rPr>
            </w:pPr>
            <w:r>
              <w:t>Gruppens bemærkninger</w:t>
            </w:r>
          </w:p>
          <w:p w14:paraId="7FE1BC5A" w14:textId="77777777" w:rsidR="00960E01" w:rsidRDefault="00821CB5">
            <w:pPr>
              <w:pStyle w:val="P68B1DB1-TableParagraph13"/>
              <w:spacing w:before="108"/>
            </w:pPr>
            <w:r>
              <w:t>Dette felt gør det muligt for den regnskabsaflæggende virksomhed at redegøre for eventuelle antagelser, der er anvendt til at vurdere den kritiske karakter af den eller de indberettede funktioner.</w:t>
            </w:r>
          </w:p>
        </w:tc>
      </w:tr>
    </w:tbl>
    <w:p w14:paraId="7FE1BC5C" w14:textId="77777777" w:rsidR="00960E01" w:rsidRDefault="00960E01">
      <w:pPr>
        <w:pStyle w:val="Instructionsberschrift2"/>
        <w:rPr>
          <w:rFonts w:ascii="Times New Roman" w:hAnsi="Times New Roman" w:cs="Times New Roman"/>
        </w:rPr>
      </w:pPr>
    </w:p>
    <w:p w14:paraId="7FE1BC5D" w14:textId="5C971E12" w:rsidR="00960E01" w:rsidRDefault="00821CB5">
      <w:pPr>
        <w:pStyle w:val="P68B1DB1-Instructionsberschrift25"/>
      </w:pPr>
      <w:bookmarkStart w:id="119" w:name="_Toc208244566"/>
      <w:r>
        <w:t>II.13</w:t>
      </w:r>
      <w:r>
        <w:tab/>
        <w:t>Z 07.01.4 FUNC 1 CM</w:t>
      </w:r>
      <w:bookmarkEnd w:id="119"/>
    </w:p>
    <w:p w14:paraId="7FE1BC65" w14:textId="77777777" w:rsidR="00960E01" w:rsidRDefault="00960E01">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60E01"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960E01" w:rsidRDefault="00821CB5">
            <w:pPr>
              <w:pStyle w:val="P68B1DB1-TableParagraph17"/>
              <w:spacing w:before="108"/>
              <w:ind w:left="85"/>
              <w:jc w:val="both"/>
            </w:pPr>
            <w:r>
              <w:t>Kolonner</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960E01" w:rsidRDefault="00821CB5">
            <w:pPr>
              <w:pStyle w:val="P68B1DB1-TableParagraph17"/>
              <w:spacing w:before="108"/>
              <w:ind w:left="85" w:right="1"/>
              <w:jc w:val="both"/>
            </w:pPr>
            <w:r>
              <w:t>Instrukser</w:t>
            </w:r>
          </w:p>
        </w:tc>
      </w:tr>
      <w:tr w:rsidR="00960E01"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960E01" w:rsidRDefault="00821CB5">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960E01" w:rsidRDefault="00821CB5">
            <w:pPr>
              <w:pStyle w:val="P68B1DB1-TableParagraph14"/>
              <w:spacing w:before="108"/>
              <w:ind w:left="85"/>
              <w:jc w:val="both"/>
              <w:rPr>
                <w:bCs/>
              </w:rPr>
            </w:pPr>
            <w:r>
              <w:t>Beskrivelse af økonomisk funktion</w:t>
            </w:r>
          </w:p>
          <w:p w14:paraId="7FE1BC6B" w14:textId="673475F1" w:rsidR="00960E01" w:rsidRDefault="00821CB5">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Hvis den økonomiske funktion er af typen "Andet" (</w:t>
            </w:r>
            <w:r>
              <w:t xml:space="preserve">Z 07.01.4 FUNC 1 CM </w:t>
            </w:r>
            <w:r>
              <w:rPr>
                <w:rFonts w:ascii="Times New Roman" w:eastAsia="Cambria" w:hAnsi="Times New Roman" w:cs="Times New Roman"/>
                <w:color w:val="000000" w:themeColor="text1"/>
                <w:sz w:val="20"/>
                <w:szCs w:val="20"/>
              </w:rPr>
              <w:t xml:space="preserve">r0290 til r0310), skal der gives en beskrivelse af denne funktion. </w:t>
            </w:r>
          </w:p>
        </w:tc>
      </w:tr>
      <w:tr w:rsidR="00960E01"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960E01" w:rsidRDefault="00821CB5">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960E01" w:rsidRDefault="00821CB5">
            <w:pPr>
              <w:pStyle w:val="P68B1DB1-TableParagraph14"/>
              <w:spacing w:before="108"/>
              <w:ind w:left="85"/>
              <w:jc w:val="both"/>
              <w:rPr>
                <w:bCs/>
              </w:rPr>
            </w:pPr>
            <w:r>
              <w:t xml:space="preserve">Markedsandel </w:t>
            </w:r>
          </w:p>
          <w:p w14:paraId="7FE1BC6F" w14:textId="629D801B" w:rsidR="00960E01" w:rsidRDefault="00821CB5">
            <w:pPr>
              <w:pStyle w:val="P68B1DB1-TableParagraph17"/>
              <w:spacing w:before="108"/>
              <w:ind w:left="85"/>
            </w:pPr>
            <w:r>
              <w:t>Skøn over instituttets eller koncernens markedsandel for så vidt angår den økonomiske funktion i det pågældende land eller geografiske område. En procentdel af det samlede marked udtrykt i den notionelle værdi for derivater den regnskabsmæssige værdi for sekundære markeder og gebyrindtægter for primære markeder.</w:t>
            </w:r>
          </w:p>
        </w:tc>
      </w:tr>
      <w:tr w:rsidR="00960E01"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960E01" w:rsidRDefault="00821CB5">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960E01" w:rsidRDefault="00821CB5">
            <w:pPr>
              <w:pStyle w:val="P68B1DB1-TableParagraph14"/>
              <w:spacing w:before="108"/>
              <w:rPr>
                <w:bCs/>
              </w:rPr>
            </w:pPr>
            <w:r>
              <w:t>Notionel værdi</w:t>
            </w:r>
          </w:p>
          <w:p w14:paraId="7FE1BC73" w14:textId="77777777" w:rsidR="00960E01" w:rsidRDefault="00821CB5">
            <w:pPr>
              <w:pStyle w:val="P68B1DB1-TableParagraph17"/>
              <w:spacing w:before="108"/>
            </w:pPr>
            <w:r>
              <w:t xml:space="preserve">den nominelle bruttoværdi af alle transaktioner, der er gennemført, men endnu ikke afviklet på referencedatoen. </w:t>
            </w:r>
          </w:p>
          <w:p w14:paraId="7FE1BC74" w14:textId="77777777" w:rsidR="00960E01" w:rsidRDefault="00821CB5">
            <w:pPr>
              <w:pStyle w:val="P68B1DB1-TableParagraph17"/>
              <w:spacing w:before="108"/>
            </w:pPr>
            <w:r>
              <w:t>Referencer: FINREP, bilag V, del 2, punkt 133, mht. definitionen; for dataene FINREP, bilag III, IV og V:</w:t>
            </w:r>
          </w:p>
          <w:p w14:paraId="7FE1BC75" w14:textId="77777777" w:rsidR="00960E01" w:rsidRDefault="00821CB5">
            <w:pPr>
              <w:pStyle w:val="P68B1DB1-TableParagraph17"/>
              <w:spacing w:before="108"/>
            </w:pPr>
            <w:r>
              <w:t>— Derivater i alt (4.1-4.2): Skema F 10.00, kolonne 030, række 290.</w:t>
            </w:r>
          </w:p>
          <w:p w14:paraId="7FE1BC76" w14:textId="77777777" w:rsidR="00960E01" w:rsidRDefault="00821CB5">
            <w:pPr>
              <w:pStyle w:val="P68B1DB1-TableParagraph17"/>
              <w:spacing w:before="108"/>
            </w:pPr>
            <w:r>
              <w:t>— Derivater — OTC (4.1): Skema F 10.00, kolonne 030, række 300 + 310 + 320.</w:t>
            </w:r>
          </w:p>
        </w:tc>
      </w:tr>
      <w:tr w:rsidR="00960E01"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960E01" w:rsidRDefault="00821CB5">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960E01" w:rsidRDefault="00821CB5">
            <w:pPr>
              <w:pStyle w:val="P68B1DB1-TableParagraph14"/>
              <w:spacing w:before="108"/>
              <w:rPr>
                <w:bCs/>
              </w:rPr>
            </w:pPr>
            <w:r>
              <w:t>Regnskabsmæssig værdi</w:t>
            </w:r>
          </w:p>
          <w:p w14:paraId="7FE1BC7A" w14:textId="77777777" w:rsidR="00960E01" w:rsidRDefault="00821CB5">
            <w:pPr>
              <w:pStyle w:val="P68B1DB1-TableParagraph17"/>
              <w:spacing w:before="108"/>
            </w:pPr>
            <w:r>
              <w:t>Balanceværdiaktiver — den balanceværdi, der balanceføres på aktivsiden inkl. påløbne renter [FINREP: Bilag V, del 1, punkt 27] for egenkapitalinstrumenter og gældsværdipapirer [FINREP: Bilag V, del 1, punkt 31] klassificeret som "Besiddes med handel for øje" [FINREP: Bilag V, del 1, punkt 15, litra a), og punkt 16, litra a)].</w:t>
            </w:r>
          </w:p>
          <w:p w14:paraId="7FE1BC7B" w14:textId="77777777" w:rsidR="00960E01" w:rsidRDefault="00821CB5">
            <w:pPr>
              <w:pStyle w:val="P68B1DB1-TableParagraph17"/>
              <w:spacing w:before="108"/>
            </w:pPr>
            <w:r>
              <w:t>Ref.: FINREP: Bilag III, skema F 04.01, kolonne 010, række 010 + 060 + 120.</w:t>
            </w:r>
          </w:p>
        </w:tc>
      </w:tr>
      <w:tr w:rsidR="00960E01"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960E01" w:rsidRDefault="00821CB5">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960E01" w:rsidRDefault="00821CB5">
            <w:pPr>
              <w:pStyle w:val="P68B1DB1-TableParagraph14"/>
              <w:spacing w:before="108"/>
              <w:jc w:val="both"/>
              <w:rPr>
                <w:bCs/>
              </w:rPr>
            </w:pPr>
            <w:r>
              <w:t>Gebyrindtægter</w:t>
            </w:r>
          </w:p>
          <w:p w14:paraId="7FE1BC7F" w14:textId="77777777" w:rsidR="00960E01" w:rsidRDefault="00821CB5">
            <w:pPr>
              <w:pStyle w:val="P68B1DB1-TableParagraph13"/>
              <w:spacing w:before="108"/>
              <w:jc w:val="both"/>
            </w:pPr>
            <w:r>
              <w:t>Gebyrer og provisioner modtaget for deltagelse i indgåelsen eller udstedelsen af værdipapirer, som instituttet ikke har leveret eller udstedt.</w:t>
            </w:r>
          </w:p>
          <w:p w14:paraId="7FE1BC80" w14:textId="77777777" w:rsidR="00960E01" w:rsidRDefault="00821CB5">
            <w:pPr>
              <w:pStyle w:val="P68B1DB1-TableParagraph13"/>
              <w:spacing w:before="108"/>
              <w:jc w:val="both"/>
            </w:pPr>
            <w:r>
              <w:t>Ref.: FINREP: Bilag III, IV, skema F 22.01, kolonne 010, række 030 + 180.</w:t>
            </w:r>
          </w:p>
        </w:tc>
      </w:tr>
      <w:tr w:rsidR="00960E01"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960E01" w:rsidRDefault="00821CB5">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960E01" w:rsidRDefault="00821CB5">
            <w:pPr>
              <w:pStyle w:val="P68B1DB1-TableParagraph14"/>
              <w:spacing w:before="108"/>
              <w:jc w:val="both"/>
              <w:rPr>
                <w:bCs/>
              </w:rPr>
            </w:pPr>
            <w:r>
              <w:t>Grænseoverskridende værdi</w:t>
            </w:r>
          </w:p>
          <w:p w14:paraId="7FE1BC84" w14:textId="4F4878AE" w:rsidR="00960E01" w:rsidRDefault="00821CB5">
            <w:pPr>
              <w:pStyle w:val="P68B1DB1-TableParagraph13"/>
              <w:spacing w:before="108"/>
              <w:jc w:val="both"/>
            </w:pPr>
            <w:r>
              <w:t xml:space="preserve">Derivater: det notionelle beløb, der er udestående uden for hjemlandet eller det relevante land. </w:t>
            </w:r>
          </w:p>
          <w:p w14:paraId="7FE1BC85" w14:textId="77777777" w:rsidR="00960E01" w:rsidRDefault="00821CB5">
            <w:pPr>
              <w:pStyle w:val="P68B1DB1-TableParagraph13"/>
              <w:spacing w:before="108"/>
              <w:jc w:val="both"/>
            </w:pPr>
            <w:r>
              <w:t>Sekundære markeder: regnskabsmæssig bruttoværdi uden for hjemlandet eller det relevante land. Baggrundsreference: FINREP Bilag III, tabel 20.04, kolonne 011, række 040 + 080, alle lande undtagen hjemlandet eller det relevante land.</w:t>
            </w:r>
          </w:p>
          <w:p w14:paraId="7FE1BC86" w14:textId="68837303" w:rsidR="00960E01" w:rsidRDefault="00821CB5">
            <w:pPr>
              <w:pStyle w:val="P68B1DB1-TableParagraph13"/>
              <w:spacing w:before="108"/>
              <w:jc w:val="both"/>
            </w:pPr>
            <w:r>
              <w:t>Primære markeder: gebyrindtægter, der genereres uden for hjemlandet eller det relevante land.</w:t>
            </w:r>
          </w:p>
        </w:tc>
      </w:tr>
      <w:tr w:rsidR="00960E01"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960E01" w:rsidRDefault="00821CB5">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960E01" w:rsidRDefault="00821CB5">
            <w:pPr>
              <w:pStyle w:val="P68B1DB1-TableParagraph14"/>
              <w:spacing w:before="108"/>
              <w:jc w:val="both"/>
              <w:rPr>
                <w:bCs/>
              </w:rPr>
            </w:pPr>
            <w:r>
              <w:t>Antal modparter eller transaktioner.</w:t>
            </w:r>
          </w:p>
          <w:p w14:paraId="7FE1BC8A" w14:textId="77777777" w:rsidR="00960E01" w:rsidRDefault="00821CB5">
            <w:pPr>
              <w:pStyle w:val="P68B1DB1-TableParagraph13"/>
              <w:spacing w:before="108"/>
              <w:jc w:val="both"/>
              <w:rPr>
                <w:b/>
                <w:bCs/>
              </w:rPr>
            </w:pPr>
            <w:r>
              <w:t>For derivater og sekundære markeder det samlede antal modparter. For primære markeder, det samlede antal garanterede transaktioner.</w:t>
            </w:r>
          </w:p>
        </w:tc>
      </w:tr>
      <w:tr w:rsidR="00960E01"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960E01" w:rsidRDefault="00821CB5">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960E01" w:rsidRDefault="00821CB5">
            <w:pPr>
              <w:pStyle w:val="P68B1DB1-TableParagraph14"/>
              <w:spacing w:before="108"/>
              <w:jc w:val="both"/>
              <w:rPr>
                <w:bCs/>
              </w:rPr>
            </w:pPr>
            <w:r>
              <w:t>Konsekvens- og substituerbarhedsanalyser</w:t>
            </w:r>
          </w:p>
          <w:p w14:paraId="7FE1BC8E" w14:textId="77777777" w:rsidR="00960E01" w:rsidRDefault="00821CB5">
            <w:pPr>
              <w:pStyle w:val="P68B1DB1-TableParagraph13"/>
              <w:spacing w:before="108"/>
              <w:jc w:val="both"/>
            </w:pPr>
            <w:r>
              <w:t xml:space="preserve">Vurderingskriterierne for indvirkningen på tredjeparter skal omfatte følgende elementer i overensstemmelse med Kommissionens delegerede forordning (EU) 2016/778 om kritiske </w:t>
            </w:r>
            <w:r>
              <w:lastRenderedPageBreak/>
              <w:t>funktioner:</w:t>
            </w:r>
          </w:p>
          <w:p w14:paraId="7FE1BC8F" w14:textId="77777777" w:rsidR="00960E01" w:rsidRDefault="00821CB5">
            <w:pPr>
              <w:pStyle w:val="P68B1DB1-ListParagraph38"/>
              <w:numPr>
                <w:ilvl w:val="0"/>
                <w:numId w:val="131"/>
              </w:numPr>
              <w:spacing w:line="276" w:lineRule="auto"/>
            </w:pPr>
            <w:r>
              <w:t>arten og omfanget af aktiviteten, den globale, nationale eller regionale rækkevidde samt omfanget og antallet af transaktioner; antallet af kunder og modparter; antallet af kunder, for hvilke instituttet er den eneste eller primære bankforretningspartner</w:t>
            </w:r>
          </w:p>
          <w:p w14:paraId="7FE1BC90" w14:textId="77777777" w:rsidR="00960E01" w:rsidRDefault="00821CB5">
            <w:pPr>
              <w:pStyle w:val="P68B1DB1-ListParagraph38"/>
              <w:numPr>
                <w:ilvl w:val="0"/>
                <w:numId w:val="131"/>
              </w:numPr>
              <w:spacing w:line="276" w:lineRule="auto"/>
            </w:pPr>
            <w:r>
              <w:t>relevansen af instituttet på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C91" w14:textId="77777777" w:rsidR="00960E01" w:rsidRDefault="00821CB5">
            <w:pPr>
              <w:pStyle w:val="P68B1DB1-ListParagraph38"/>
              <w:numPr>
                <w:ilvl w:val="0"/>
                <w:numId w:val="131"/>
              </w:numPr>
              <w:spacing w:line="276" w:lineRule="auto"/>
            </w:pPr>
            <w:r>
              <w:t xml:space="preserve">Relevansen af instituttet kan vurderes på grundlag af markedsandelen, den indbyrdes forbundethed, kompleksiteten og grænseoverskridende aktiviteter </w:t>
            </w:r>
          </w:p>
          <w:p w14:paraId="7FE1BC92" w14:textId="77777777" w:rsidR="00960E01" w:rsidRDefault="00821CB5">
            <w:pPr>
              <w:pStyle w:val="P68B1DB1-ListParagraph38"/>
              <w:numPr>
                <w:ilvl w:val="0"/>
                <w:numId w:val="131"/>
              </w:numPr>
              <w:spacing w:line="276" w:lineRule="auto"/>
            </w:pPr>
            <w:r>
              <w:t>den mulige forstyrrelse af funktionen for markeder, infrastrukturer, kunder og offentlige tjenester. Den mulige forstyrrelse af funktionen for markeder, infrastrukturer, kunder og offentlige tjenester.Vurderingen kan bl.a. omfatte indvirkningen på likviditeten på de berørte markeder, virkningen og omfanget af forstyrrelsen for kundeaktiviteter og kortfristede likviditetsbehov; mærkbarheden for modparter, kunder og offentligheden; kundereaktionernes kapacitet og hastighed; relevansen for andre markeders funktion: indvirkningen på et andet markeds likviditet, transaktioner og struktur; indvirkningen på andre modparter i forbindelse med de vigtigste kunder og funktionens relationer til andre ydelser.</w:t>
            </w:r>
          </w:p>
          <w:p w14:paraId="7FE1BC93"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960E01" w:rsidRDefault="00821CB5">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09F25234" w:rsidR="00960E01" w:rsidRDefault="00821CB5">
            <w:pPr>
              <w:pStyle w:val="P68B1DB1-TableParagraph14"/>
              <w:spacing w:before="108"/>
              <w:jc w:val="both"/>
              <w:rPr>
                <w:bCs/>
              </w:rPr>
            </w:pPr>
            <w:r>
              <w:t xml:space="preserve">Natur og </w:t>
            </w:r>
            <w:r w:rsidR="001E1500">
              <w:t xml:space="preserve">Omfang </w:t>
            </w:r>
          </w:p>
          <w:p w14:paraId="7FE1BC97" w14:textId="77777777" w:rsidR="00960E01" w:rsidRDefault="00821CB5">
            <w:pPr>
              <w:pStyle w:val="P68B1DB1-TableParagraph13"/>
              <w:spacing w:before="108"/>
              <w:jc w:val="both"/>
            </w:pPr>
            <w:r>
              <w:t>Den globale, nationale eller regionale rækkevidde, omfanget og antallet af transaktioner antallet af kunder og modparter; antallet af kunder, for hvilke instituttet er den eneste eller primære bankforretningspartner</w:t>
            </w:r>
          </w:p>
        </w:tc>
      </w:tr>
      <w:tr w:rsidR="00960E01"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960E01" w:rsidRDefault="00821CB5">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960E01" w:rsidRDefault="00821CB5">
            <w:pPr>
              <w:pStyle w:val="P68B1DB1-TableParagraph14"/>
              <w:spacing w:before="108"/>
              <w:jc w:val="both"/>
              <w:rPr>
                <w:bCs/>
              </w:rPr>
            </w:pPr>
            <w:r>
              <w:t>Størrelsesindikator 1</w:t>
            </w:r>
          </w:p>
          <w:p w14:paraId="4965F0DF"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C9B" w14:textId="478A7B58" w:rsidR="00960E01" w:rsidRDefault="00821CB5">
            <w:pPr>
              <w:pStyle w:val="P68B1DB1-TableParagraph13"/>
              <w:spacing w:before="108"/>
              <w:jc w:val="both"/>
            </w:pPr>
            <w:r>
              <w:t xml:space="preserve"> </w:t>
            </w:r>
          </w:p>
          <w:p w14:paraId="7FE1BC9C" w14:textId="3823487E" w:rsidR="00960E01" w:rsidRDefault="00821CB5">
            <w:pPr>
              <w:pStyle w:val="P68B1DB1-ListParagraph32"/>
              <w:numPr>
                <w:ilvl w:val="0"/>
                <w:numId w:val="126"/>
              </w:numPr>
              <w:spacing w:line="276" w:lineRule="auto"/>
            </w:pPr>
            <w:r>
              <w:t xml:space="preserve">Ekspertvurdering af størrelsen af </w:t>
            </w:r>
            <w:r>
              <w:rPr>
                <w:b/>
              </w:rPr>
              <w:t>værdien</w:t>
            </w:r>
            <w:r>
              <w:t xml:space="preserve"> af det udestående notionelle beløb (c0030 for funktion ID 4.1 og 4.2) regnskabsmæssig værdi (c0040 for ID 4.3) eller gebyrindtægter (c0050 for ID 4.4) set ud fra et </w:t>
            </w:r>
            <w:r>
              <w:rPr>
                <w:b/>
              </w:rPr>
              <w:t>globalt</w:t>
            </w:r>
            <w:r>
              <w:t xml:space="preserve"> perspektiv [</w:t>
            </w:r>
            <w:r>
              <w:rPr>
                <w:i/>
              </w:rPr>
              <w:t>et niveau højere end det relevante marked. Hvis det relevante marked er globalt, bliver størrelse 1 overflødig og behøver ikke indberettes]</w:t>
            </w:r>
            <w:r>
              <w:t>:</w:t>
            </w:r>
          </w:p>
          <w:p w14:paraId="7FE1BC9D" w14:textId="77777777" w:rsidR="00960E01" w:rsidRDefault="00821CB5">
            <w:pPr>
              <w:pStyle w:val="P68B1DB1-TableParagraph33"/>
              <w:spacing w:before="108"/>
              <w:jc w:val="both"/>
              <w:rPr>
                <w:rFonts w:cs="Times New Roman"/>
                <w:color w:val="000000" w:themeColor="text1"/>
              </w:rPr>
            </w:pPr>
            <w:r>
              <w:t>Hvor stor mener du set ud fra et globalt perspektiv, at det samlede nominelle beløb, der er udestående, regnskabsmæssig værdi eller gebyrindtægter, er?</w:t>
            </w:r>
          </w:p>
        </w:tc>
      </w:tr>
      <w:tr w:rsidR="00960E01"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960E01" w:rsidRDefault="00821CB5">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960E01" w:rsidRDefault="00821CB5">
            <w:pPr>
              <w:pStyle w:val="P68B1DB1-TableParagraph14"/>
              <w:spacing w:before="108"/>
              <w:jc w:val="both"/>
              <w:rPr>
                <w:bCs/>
              </w:rPr>
            </w:pPr>
            <w:r>
              <w:t>Størrelsesindikator 2</w:t>
            </w:r>
          </w:p>
          <w:p w14:paraId="419C7762"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CA1" w14:textId="7FB998B3" w:rsidR="00960E01" w:rsidRDefault="00821CB5">
            <w:pPr>
              <w:pStyle w:val="P68B1DB1-TableParagraph13"/>
              <w:spacing w:before="108"/>
              <w:jc w:val="both"/>
            </w:pPr>
            <w:r>
              <w:lastRenderedPageBreak/>
              <w:t xml:space="preserve"> </w:t>
            </w:r>
          </w:p>
          <w:p w14:paraId="3C42A32E" w14:textId="77777777" w:rsidR="00960E01" w:rsidRDefault="00821CB5">
            <w:pPr>
              <w:pStyle w:val="P68B1DB1-ListParagraph32"/>
              <w:numPr>
                <w:ilvl w:val="0"/>
                <w:numId w:val="124"/>
              </w:numPr>
              <w:spacing w:line="276" w:lineRule="auto"/>
            </w:pPr>
            <w:r>
              <w:t xml:space="preserve">Ekspertvurdering af størrelsen af antallet af modparter (c0090 for funktion ID 4,1, 4.2, 4.3) eller </w:t>
            </w:r>
            <w:r>
              <w:rPr>
                <w:b/>
              </w:rPr>
              <w:t>antallet</w:t>
            </w:r>
            <w:r>
              <w:t xml:space="preserve"> af garanterede transaktioner (c0100 for ID 4.4) set ud fra et </w:t>
            </w:r>
            <w:r>
              <w:rPr>
                <w:b/>
              </w:rPr>
              <w:t>nationalt</w:t>
            </w:r>
            <w:r>
              <w:t xml:space="preserve"> perspektiv [</w:t>
            </w:r>
            <w:r>
              <w:rPr>
                <w:i/>
              </w:rPr>
              <w:t>på det relevante markeds niveau</w:t>
            </w:r>
            <w:r>
              <w:t>]:</w:t>
            </w:r>
          </w:p>
          <w:p w14:paraId="7FE1BCA3" w14:textId="77777777" w:rsidR="00960E01" w:rsidRDefault="00821CB5">
            <w:pPr>
              <w:pStyle w:val="P68B1DB1-ListParagraph32"/>
              <w:numPr>
                <w:ilvl w:val="1"/>
                <w:numId w:val="124"/>
              </w:numPr>
              <w:spacing w:line="276" w:lineRule="auto"/>
            </w:pPr>
            <w:r>
              <w:t>Hvor stort er det anslåede antal modparter</w:t>
            </w:r>
            <w:r>
              <w:rPr>
                <w:i/>
              </w:rPr>
              <w:t xml:space="preserve"> eller</w:t>
            </w:r>
            <w:r>
              <w:t xml:space="preserve"> garanterede transaktioner fra dit instituts side set ud fra et nationalt perspektiv?</w:t>
            </w:r>
          </w:p>
          <w:p w14:paraId="7FE1BCA4"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960E01" w:rsidRDefault="00821CB5">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960E01" w:rsidRDefault="00821CB5">
            <w:pPr>
              <w:pStyle w:val="P68B1DB1-TableParagraph14"/>
              <w:spacing w:before="108"/>
              <w:jc w:val="both"/>
              <w:rPr>
                <w:bCs/>
              </w:rPr>
            </w:pPr>
            <w:r>
              <w:t>Grænseoverskridende indikator</w:t>
            </w:r>
          </w:p>
          <w:p w14:paraId="7FE1BCA8" w14:textId="77777777" w:rsidR="00960E01" w:rsidRDefault="00821CB5">
            <w:pPr>
              <w:pStyle w:val="P68B1DB1-TableParagraph13"/>
              <w:spacing w:before="108"/>
              <w:jc w:val="both"/>
            </w:pPr>
            <w:r>
              <w:t>Vurdere grænseoverskridende aktiviteters relative betydning for de forskellige økonomiske funktioner.</w:t>
            </w:r>
          </w:p>
          <w:p w14:paraId="7FE1BCA9" w14:textId="77777777" w:rsidR="00960E01" w:rsidRDefault="00821CB5">
            <w:pPr>
              <w:pStyle w:val="P68B1DB1-TableParagraph13"/>
              <w:spacing w:before="108"/>
              <w:jc w:val="both"/>
            </w:pPr>
            <w:r>
              <w:t xml:space="preserve">Det er ikke nødvendigt at vurdere dette i tilfælde af rapporter, hvor det relevante marked anses for at være regionalt. </w:t>
            </w:r>
          </w:p>
          <w:p w14:paraId="7FE1BCAA" w14:textId="77777777" w:rsidR="00960E01" w:rsidRDefault="00821CB5">
            <w:pPr>
              <w:pStyle w:val="P68B1DB1-ListParagraph32"/>
              <w:numPr>
                <w:ilvl w:val="0"/>
                <w:numId w:val="118"/>
              </w:numPr>
              <w:rPr>
                <w:i/>
                <w:iCs/>
              </w:rPr>
            </w:pPr>
            <w:r>
              <w:t xml:space="preserve">Andel af den regnskabsaflæggende virksomheds aktiviteter på tværs af jurisdiktioner som procentdel af den samlede værdi, udtrykt i notionelle beløb (derivater), regnskabsmæssig værdi (sekundære markeder), gebyrindtægter fra udenlandske kunder (primære markeder). Betænkning: </w:t>
            </w:r>
          </w:p>
          <w:p w14:paraId="7FE1BCAB" w14:textId="616E9FE9" w:rsidR="00960E01" w:rsidRDefault="00895FA4">
            <w:pPr>
              <w:pStyle w:val="P68B1DB1-ListParagraph32"/>
              <w:numPr>
                <w:ilvl w:val="1"/>
                <w:numId w:val="118"/>
              </w:numPr>
              <w:rPr>
                <w:i/>
                <w:iCs/>
              </w:rPr>
            </w:pPr>
            <w:bookmarkStart w:id="120" w:name="_Hlk194476322"/>
            <w:r>
              <w:t xml:space="preserve">&lt; </w:t>
            </w:r>
            <w:r w:rsidR="00821CB5">
              <w:t xml:space="preserve">5 % </w:t>
            </w:r>
          </w:p>
          <w:p w14:paraId="7FE1BCAC" w14:textId="35A9186D" w:rsidR="00960E01" w:rsidRDefault="00821CB5">
            <w:pPr>
              <w:pStyle w:val="P68B1DB1-ListParagraph32"/>
              <w:numPr>
                <w:ilvl w:val="1"/>
                <w:numId w:val="118"/>
              </w:numPr>
              <w:rPr>
                <w:i/>
                <w:iCs/>
              </w:rPr>
            </w:pPr>
            <w:r>
              <w:t xml:space="preserve">5-15 % </w:t>
            </w:r>
          </w:p>
          <w:p w14:paraId="7FE1BCAD" w14:textId="54C07240" w:rsidR="00960E01" w:rsidRDefault="00821CB5">
            <w:pPr>
              <w:pStyle w:val="P68B1DB1-ListParagraph32"/>
              <w:numPr>
                <w:ilvl w:val="1"/>
                <w:numId w:val="118"/>
              </w:numPr>
              <w:rPr>
                <w:i/>
                <w:iCs/>
              </w:rPr>
            </w:pPr>
            <w:r>
              <w:t xml:space="preserve">16-25 %, </w:t>
            </w:r>
          </w:p>
          <w:p w14:paraId="7FE1BCAE" w14:textId="34AC2F5B" w:rsidR="00960E01" w:rsidRDefault="00821CB5">
            <w:pPr>
              <w:pStyle w:val="P68B1DB1-ListParagraph32"/>
              <w:numPr>
                <w:ilvl w:val="1"/>
                <w:numId w:val="118"/>
              </w:numPr>
              <w:rPr>
                <w:i/>
                <w:iCs/>
              </w:rPr>
            </w:pPr>
            <w:r>
              <w:t xml:space="preserve">&gt; 25 %. </w:t>
            </w:r>
          </w:p>
          <w:bookmarkEnd w:id="120"/>
          <w:p w14:paraId="7FE1BCAF"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960E01" w:rsidRDefault="00821CB5">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960E01" w:rsidRDefault="00821CB5">
            <w:pPr>
              <w:pStyle w:val="P68B1DB1-TableParagraph14"/>
              <w:spacing w:before="108"/>
              <w:jc w:val="both"/>
              <w:rPr>
                <w:bCs/>
              </w:rPr>
            </w:pPr>
            <w:r>
              <w:t xml:space="preserve">Relevans — </w:t>
            </w:r>
          </w:p>
          <w:p w14:paraId="7FE1BCB3" w14:textId="77777777" w:rsidR="00960E01" w:rsidRDefault="00821CB5">
            <w:pPr>
              <w:pStyle w:val="P68B1DB1-TableParagraph13"/>
              <w:spacing w:before="108"/>
              <w:jc w:val="both"/>
            </w:pPr>
            <w:r>
              <w:t>På et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CB4" w14:textId="77777777" w:rsidR="00960E01" w:rsidRDefault="00821CB5">
            <w:pPr>
              <w:pStyle w:val="P68B1DB1-TableParagraph14"/>
              <w:spacing w:before="108"/>
              <w:jc w:val="both"/>
              <w:rPr>
                <w:bCs/>
              </w:rPr>
            </w:pPr>
            <w:r>
              <w:t>Markedsandel</w:t>
            </w:r>
          </w:p>
          <w:p w14:paraId="7FE1BCB5" w14:textId="77777777" w:rsidR="00960E01" w:rsidRDefault="00821CB5">
            <w:pPr>
              <w:pStyle w:val="P68B1DB1-TableParagraph13"/>
              <w:spacing w:before="108"/>
              <w:jc w:val="both"/>
            </w:pPr>
            <w:r>
              <w:t xml:space="preserve">Vurdere, hvor vigtig den indberettende enheds markedsandel er i forhold til det nationale marked eller et andet relevant marked som angivet i skemaet. Denne vurdering udtrykkes kvalitativt som </w:t>
            </w:r>
          </w:p>
          <w:p w14:paraId="7FE1BCB6" w14:textId="3D988DC8" w:rsidR="00960E01" w:rsidRDefault="00821CB5">
            <w:pPr>
              <w:pStyle w:val="P68B1DB1-ListParagraph38"/>
              <w:numPr>
                <w:ilvl w:val="0"/>
                <w:numId w:val="276"/>
              </w:numPr>
              <w:spacing w:line="276" w:lineRule="auto"/>
              <w:jc w:val="both"/>
            </w:pPr>
            <w:r>
              <w:t>Høj, hvis markedsandelen er stor</w:t>
            </w:r>
          </w:p>
          <w:p w14:paraId="7FE1BCB7" w14:textId="2084195C" w:rsidR="00960E01" w:rsidRDefault="00821CB5">
            <w:pPr>
              <w:pStyle w:val="P68B1DB1-ListParagraph38"/>
              <w:numPr>
                <w:ilvl w:val="0"/>
                <w:numId w:val="276"/>
              </w:numPr>
              <w:spacing w:line="276" w:lineRule="auto"/>
              <w:jc w:val="both"/>
            </w:pPr>
            <w:r>
              <w:t>Middelhøj, hvis markedsandelen er mellemhøj</w:t>
            </w:r>
          </w:p>
          <w:p w14:paraId="7FE1BCB8" w14:textId="06CDA0E3" w:rsidR="00960E01" w:rsidRDefault="00821CB5">
            <w:pPr>
              <w:pStyle w:val="P68B1DB1-ListParagraph38"/>
              <w:numPr>
                <w:ilvl w:val="0"/>
                <w:numId w:val="276"/>
              </w:numPr>
              <w:spacing w:line="276" w:lineRule="auto"/>
              <w:jc w:val="both"/>
            </w:pPr>
            <w:r>
              <w:t xml:space="preserve">Middel lav, hvis markedsandelen er lille, eller </w:t>
            </w:r>
          </w:p>
          <w:p w14:paraId="7FE1BCB9" w14:textId="19A1DC5D" w:rsidR="00960E01" w:rsidRDefault="00821CB5">
            <w:pPr>
              <w:pStyle w:val="P68B1DB1-ListParagraph38"/>
              <w:numPr>
                <w:ilvl w:val="0"/>
                <w:numId w:val="276"/>
              </w:numPr>
              <w:spacing w:line="276" w:lineRule="auto"/>
              <w:jc w:val="both"/>
            </w:pPr>
            <w:r>
              <w:t xml:space="preserve">Lav ", hvis markedsandelen er ubetydelig. </w:t>
            </w:r>
          </w:p>
          <w:p w14:paraId="7FE1BCBA" w14:textId="77777777" w:rsidR="00960E01" w:rsidRDefault="00821CB5">
            <w:pPr>
              <w:pStyle w:val="P68B1DB1-TableParagraph13"/>
              <w:spacing w:before="108"/>
              <w:jc w:val="both"/>
            </w:pPr>
            <w:r>
              <w:t xml:space="preserve">Denne vurdering tager hensyn til markedsstrukturen i den indberettende enheds land (eller et andet relevant marked) og de markedsandele, der er indberettet delvist. </w:t>
            </w:r>
          </w:p>
          <w:p w14:paraId="7FE1BCBB" w14:textId="77777777" w:rsidR="00960E01" w:rsidRDefault="00821CB5">
            <w:pPr>
              <w:pStyle w:val="P68B1DB1-TableParagraph13"/>
              <w:spacing w:before="108"/>
              <w:jc w:val="both"/>
            </w:pPr>
            <w:r>
              <w:t>2.Kvantitative data:</w:t>
            </w:r>
          </w:p>
          <w:p w14:paraId="7FE1BCBC" w14:textId="77777777" w:rsidR="00960E01" w:rsidRDefault="00821CB5">
            <w:pPr>
              <w:pStyle w:val="P68B1DB1-ListParagraph32"/>
              <w:numPr>
                <w:ilvl w:val="0"/>
                <w:numId w:val="117"/>
              </w:numPr>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CBD"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BE"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960E01" w:rsidRDefault="00821CB5">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960E01" w:rsidRDefault="00821CB5">
            <w:pPr>
              <w:pStyle w:val="P68B1DB1-TableParagraph14"/>
              <w:spacing w:before="108"/>
              <w:jc w:val="both"/>
              <w:rPr>
                <w:bCs/>
              </w:rPr>
            </w:pPr>
            <w:r>
              <w:t>Markedsstruktur — markedskoncentration</w:t>
            </w:r>
          </w:p>
          <w:p w14:paraId="7FE1BCC2" w14:textId="77777777" w:rsidR="00960E01" w:rsidRDefault="00821CB5">
            <w:pPr>
              <w:pStyle w:val="P68B1DB1-TableParagraph13"/>
              <w:spacing w:before="108"/>
              <w:jc w:val="both"/>
            </w:pPr>
            <w:r>
              <w:t xml:space="preserve">Markedskoncentrationen, målt ud fra antallet af konkurrenter, der i øjeblikket klarer sig </w:t>
            </w:r>
          </w:p>
          <w:p w14:paraId="7FE1BCC3" w14:textId="77777777" w:rsidR="00960E01" w:rsidRDefault="00821CB5">
            <w:pPr>
              <w:pStyle w:val="P68B1DB1-TableParagraph13"/>
              <w:spacing w:before="108"/>
              <w:jc w:val="both"/>
            </w:pPr>
            <w:r>
              <w:t xml:space="preserve">lignende økonomiske funktioner og/eller udbud af lignende tjenester på lige vilkår (dvs. til en </w:t>
            </w:r>
          </w:p>
          <w:p w14:paraId="7FE1BCC4" w14:textId="77777777" w:rsidR="00960E01" w:rsidRDefault="00821CB5">
            <w:pPr>
              <w:pStyle w:val="P68B1DB1-TableParagraph13"/>
              <w:spacing w:before="108"/>
              <w:jc w:val="both"/>
            </w:pPr>
            <w:r>
              <w:t xml:space="preserve">sammenligneligt omfang og kvalitet og til sammenlignelige omkostninger), der potentielt overtager </w:t>
            </w:r>
          </w:p>
          <w:p w14:paraId="7FE1BCC5" w14:textId="77777777" w:rsidR="00960E01" w:rsidRDefault="00821CB5">
            <w:pPr>
              <w:pStyle w:val="P68B1DB1-TableParagraph13"/>
              <w:spacing w:before="108"/>
              <w:jc w:val="both"/>
            </w:pPr>
            <w:r>
              <w:lastRenderedPageBreak/>
              <w:t xml:space="preserve">(en del af) den indberettende enheds kunder og/eller forretninger inden for en rimelig tidsramme. </w:t>
            </w:r>
          </w:p>
          <w:p w14:paraId="7FE1BCC6" w14:textId="77777777" w:rsidR="00960E01" w:rsidRDefault="00821CB5">
            <w:pPr>
              <w:pStyle w:val="P68B1DB1-TableParagraph13"/>
              <w:spacing w:before="108"/>
              <w:jc w:val="both"/>
            </w:pPr>
            <w:r>
              <w:t xml:space="preserve">Dette skal indberettes i undergrupper, som er de samme for hver underfunktion. </w:t>
            </w:r>
          </w:p>
          <w:p w14:paraId="6E6D19F8" w14:textId="77777777" w:rsidR="00960E01" w:rsidRDefault="00821CB5">
            <w:pPr>
              <w:pStyle w:val="P68B1DB1-ListParagraph32"/>
              <w:numPr>
                <w:ilvl w:val="0"/>
                <w:numId w:val="277"/>
              </w:numPr>
              <w:jc w:val="both"/>
            </w:pPr>
            <w:r>
              <w:t xml:space="preserve">&gt; 20 konkurrenter </w:t>
            </w:r>
          </w:p>
          <w:p w14:paraId="6A8A3C5F" w14:textId="77777777" w:rsidR="00960E01" w:rsidRDefault="00821CB5">
            <w:pPr>
              <w:pStyle w:val="P68B1DB1-ListParagraph32"/>
              <w:numPr>
                <w:ilvl w:val="0"/>
                <w:numId w:val="277"/>
              </w:numPr>
              <w:jc w:val="both"/>
            </w:pPr>
            <w:r>
              <w:t xml:space="preserve">11-20 konkurrenter </w:t>
            </w:r>
          </w:p>
          <w:p w14:paraId="543AFD53" w14:textId="77777777" w:rsidR="00960E01" w:rsidRDefault="00821CB5">
            <w:pPr>
              <w:pStyle w:val="P68B1DB1-ListParagraph32"/>
              <w:numPr>
                <w:ilvl w:val="0"/>
                <w:numId w:val="277"/>
              </w:numPr>
              <w:jc w:val="both"/>
            </w:pPr>
            <w:r>
              <w:t xml:space="preserve">5-10 konkurrenter </w:t>
            </w:r>
          </w:p>
          <w:p w14:paraId="761539CF" w14:textId="6BD9BD8B" w:rsidR="00960E01" w:rsidRDefault="009570EA">
            <w:pPr>
              <w:pStyle w:val="P68B1DB1-ListParagraph32"/>
              <w:numPr>
                <w:ilvl w:val="0"/>
                <w:numId w:val="277"/>
              </w:numPr>
              <w:jc w:val="both"/>
              <w:rPr>
                <w:b/>
                <w:bCs/>
                <w:color w:val="000000" w:themeColor="text1"/>
              </w:rPr>
            </w:pPr>
            <w:r>
              <w:t>&lt;</w:t>
            </w:r>
            <w:r w:rsidR="002D0858">
              <w:t xml:space="preserve"> </w:t>
            </w:r>
            <w:r w:rsidR="00821CB5">
              <w:t>5 konkurrenter</w:t>
            </w:r>
          </w:p>
          <w:p w14:paraId="7FE1BCCA" w14:textId="06EC2320" w:rsidR="00960E01" w:rsidRDefault="00960E01">
            <w:pPr>
              <w:jc w:val="both"/>
              <w:rPr>
                <w:rFonts w:ascii="Times New Roman" w:hAnsi="Times New Roman"/>
                <w:color w:val="000000" w:themeColor="text1"/>
                <w:sz w:val="20"/>
                <w:szCs w:val="20"/>
              </w:rPr>
            </w:pPr>
          </w:p>
        </w:tc>
      </w:tr>
      <w:tr w:rsidR="00960E01"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960E01" w:rsidRDefault="00821CB5">
            <w:pPr>
              <w:pStyle w:val="P68B1DB1-TableParagraph17"/>
              <w:spacing w:before="108"/>
              <w:ind w:left="85"/>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960E01" w:rsidRDefault="00821CB5">
            <w:pPr>
              <w:pStyle w:val="P68B1DB1-TableParagraph14"/>
              <w:spacing w:before="108"/>
              <w:jc w:val="both"/>
              <w:rPr>
                <w:bCs/>
              </w:rPr>
            </w:pPr>
            <w:r>
              <w:t>Tidspunkt — forventet substitutionstid</w:t>
            </w:r>
          </w:p>
          <w:p w14:paraId="7FE1BCCE" w14:textId="77777777" w:rsidR="00960E01" w:rsidRDefault="00821CB5">
            <w:pPr>
              <w:pStyle w:val="P68B1DB1-TableParagraph13"/>
              <w:spacing w:before="108"/>
              <w:jc w:val="both"/>
            </w:pPr>
            <w:r>
              <w:t>Anslå den tid, der er nødvendig for rapporteringens økonomiske funktion</w:t>
            </w:r>
          </w:p>
          <w:p w14:paraId="7FE1BCCF" w14:textId="77777777" w:rsidR="00960E01" w:rsidRDefault="00821CB5">
            <w:pPr>
              <w:pStyle w:val="P68B1DB1-TableParagraph13"/>
              <w:spacing w:before="108"/>
              <w:jc w:val="both"/>
            </w:pPr>
            <w:r>
              <w:t xml:space="preserve">enhed, der skal absorberes af markedet i en krisesituation. Dette omfatter: </w:t>
            </w:r>
          </w:p>
          <w:p w14:paraId="7FE1BCD0" w14:textId="77777777" w:rsidR="00960E01" w:rsidRDefault="00821CB5">
            <w:pPr>
              <w:pStyle w:val="P68B1DB1-ListParagraph38"/>
              <w:numPr>
                <w:ilvl w:val="0"/>
                <w:numId w:val="274"/>
              </w:numPr>
              <w:jc w:val="both"/>
            </w:pPr>
            <w:r>
              <w:t xml:space="preserve">den forventede tid, som en eller flere konkurrenter har brug for til at gennemføre de retlige og tekniske skridt til at overtage funktionen samt  </w:t>
            </w:r>
          </w:p>
          <w:p w14:paraId="7FE1BCD1" w14:textId="77777777" w:rsidR="00960E01" w:rsidRDefault="00821CB5">
            <w:pPr>
              <w:pStyle w:val="P68B1DB1-ListParagraph38"/>
              <w:numPr>
                <w:ilvl w:val="0"/>
                <w:numId w:val="274"/>
              </w:numPr>
              <w:jc w:val="both"/>
            </w:pPr>
            <w:r>
              <w:t xml:space="preserve">den tid, som brugerne af tjenesten har brug for til at flytte til en anden tjenesteudbyder. </w:t>
            </w:r>
          </w:p>
          <w:p w14:paraId="7FE1BCD2"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D3" w14:textId="77777777" w:rsidR="00960E01" w:rsidRDefault="00821CB5">
            <w:pPr>
              <w:pStyle w:val="P68B1DB1-TableParagraph13"/>
              <w:spacing w:before="108"/>
              <w:jc w:val="both"/>
            </w:pPr>
            <w:r>
              <w:t>Som reference for førstnævnte give et skøn over den tid, det vil tage den indberettende enhed at absorbere i sin egen virksomhed (en del af) den tjenesteydelse, der leveres af et andet institut, til en rimelig pris i en krisesituation. Indberet det anslåede tidspunkt for substitution i de undergrupper, der er angivet i skemaet:</w:t>
            </w:r>
          </w:p>
          <w:p w14:paraId="7FE1BCD4" w14:textId="77777777" w:rsidR="00960E01" w:rsidRDefault="00821CB5">
            <w:pPr>
              <w:pStyle w:val="P68B1DB1-Normal31"/>
              <w:jc w:val="both"/>
            </w:pPr>
            <w:r>
              <w:t xml:space="preserve">Undergrupper: </w:t>
            </w:r>
          </w:p>
          <w:p w14:paraId="7FE1BCD5" w14:textId="2034A69E" w:rsidR="00960E01" w:rsidRDefault="00CF5FE7">
            <w:pPr>
              <w:pStyle w:val="P68B1DB1-ListParagraph32"/>
              <w:numPr>
                <w:ilvl w:val="0"/>
                <w:numId w:val="286"/>
              </w:numPr>
              <w:jc w:val="both"/>
            </w:pPr>
            <w:r>
              <w:t xml:space="preserve">&lt; </w:t>
            </w:r>
            <w:r w:rsidR="00821CB5">
              <w:t xml:space="preserve">1 uge </w:t>
            </w:r>
          </w:p>
          <w:p w14:paraId="7FE1BCD6" w14:textId="712CDEEF" w:rsidR="00960E01" w:rsidRDefault="00821CB5">
            <w:pPr>
              <w:pStyle w:val="P68B1DB1-ListParagraph32"/>
              <w:numPr>
                <w:ilvl w:val="0"/>
                <w:numId w:val="286"/>
              </w:numPr>
              <w:jc w:val="both"/>
            </w:pPr>
            <w:r>
              <w:t xml:space="preserve">1 uger — 1 måned </w:t>
            </w:r>
          </w:p>
          <w:p w14:paraId="7FE1BCD7" w14:textId="5ECCCD1B" w:rsidR="00960E01" w:rsidRDefault="00821CB5">
            <w:pPr>
              <w:pStyle w:val="P68B1DB1-ListParagraph32"/>
              <w:numPr>
                <w:ilvl w:val="0"/>
                <w:numId w:val="286"/>
              </w:numPr>
              <w:jc w:val="both"/>
            </w:pPr>
            <w:r>
              <w:t xml:space="preserve">&gt; 1 måned-6 måneder </w:t>
            </w:r>
          </w:p>
          <w:p w14:paraId="7FE1BCD8" w14:textId="66817B18" w:rsidR="00960E01" w:rsidRDefault="00821CB5">
            <w:pPr>
              <w:pStyle w:val="P68B1DB1-ListParagraph32"/>
              <w:numPr>
                <w:ilvl w:val="0"/>
                <w:numId w:val="286"/>
              </w:numPr>
              <w:jc w:val="both"/>
            </w:pPr>
            <w:r>
              <w:t xml:space="preserve">&gt; 6 måneder  </w:t>
            </w:r>
          </w:p>
          <w:p w14:paraId="7FE1BCD9"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960E01" w:rsidRDefault="00821CB5">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960E01" w:rsidRDefault="00821CB5">
            <w:pPr>
              <w:pStyle w:val="P68B1DB1-TableParagraph14"/>
              <w:spacing w:before="108"/>
              <w:jc w:val="both"/>
              <w:rPr>
                <w:bCs/>
              </w:rPr>
            </w:pPr>
            <w:r>
              <w:t>Substitutionsevne</w:t>
            </w:r>
          </w:p>
        </w:tc>
      </w:tr>
      <w:tr w:rsidR="00960E01"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960E01" w:rsidRDefault="00821CB5">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960E01" w:rsidRDefault="00821CB5">
            <w:pPr>
              <w:pStyle w:val="P68B1DB1-TableParagraph14"/>
              <w:spacing w:before="108"/>
              <w:jc w:val="both"/>
              <w:rPr>
                <w:bCs/>
              </w:rPr>
            </w:pPr>
            <w:r>
              <w:t>Juridiske hindringer for adgang eller udvidelse</w:t>
            </w:r>
          </w:p>
          <w:p w14:paraId="7FE1BCE0"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E1" w14:textId="77777777" w:rsidR="00960E01" w:rsidRDefault="00821CB5">
            <w:pPr>
              <w:pStyle w:val="P68B1DB1-TableParagraph13"/>
              <w:spacing w:before="108"/>
              <w:jc w:val="both"/>
            </w:pPr>
            <w:r>
              <w:t xml:space="preserve">Juridiske hindringer for, at konkurrenter kan tilbyde tjenesten. Lovkrav til udøvelse af virksomhed som kreditinstitut (f.eks. banklicenser eller kapitalkrav) skal ikke betragtes som uoverstigelige hindringer, når alternative udbydere er til stede. Denne indikator skal indberettes i undergrupper, som er de samme for hver underfunktion: </w:t>
            </w:r>
          </w:p>
          <w:p w14:paraId="7FE1BCE2" w14:textId="67FD7AF2" w:rsidR="00960E01" w:rsidRDefault="00821CB5">
            <w:pPr>
              <w:pStyle w:val="P68B1DB1-ListParagraph39"/>
              <w:numPr>
                <w:ilvl w:val="0"/>
                <w:numId w:val="275"/>
              </w:numPr>
              <w:jc w:val="both"/>
            </w:pPr>
            <w:r>
              <w:t xml:space="preserve">ingen større hindringer </w:t>
            </w:r>
          </w:p>
          <w:p w14:paraId="7FE1BCE3" w14:textId="6C8F8F76" w:rsidR="00960E01" w:rsidRDefault="00821CB5">
            <w:pPr>
              <w:pStyle w:val="P68B1DB1-ListParagraph39"/>
              <w:numPr>
                <w:ilvl w:val="0"/>
                <w:numId w:val="275"/>
              </w:numPr>
              <w:jc w:val="both"/>
            </w:pPr>
            <w:r>
              <w:t xml:space="preserve">visse hindringer </w:t>
            </w:r>
          </w:p>
          <w:p w14:paraId="7FE1BCE4" w14:textId="389397E1" w:rsidR="00960E01" w:rsidRDefault="00821CB5">
            <w:pPr>
              <w:pStyle w:val="P68B1DB1-ListParagraph39"/>
              <w:numPr>
                <w:ilvl w:val="0"/>
                <w:numId w:val="275"/>
              </w:numPr>
              <w:jc w:val="both"/>
            </w:pPr>
            <w:r>
              <w:t xml:space="preserve">væsentlige (men overvindelige) barrierer </w:t>
            </w:r>
          </w:p>
          <w:p w14:paraId="7FE1BCE6" w14:textId="5882E7D2" w:rsidR="00960E01" w:rsidRDefault="00821CB5">
            <w:pPr>
              <w:pStyle w:val="P68B1DB1-ListParagraph8"/>
              <w:numPr>
                <w:ilvl w:val="0"/>
                <w:numId w:val="275"/>
              </w:numPr>
              <w:jc w:val="both"/>
            </w:pPr>
            <w:r>
              <w:t>kritiske (svære at overvinde) barrierer.</w:t>
            </w:r>
          </w:p>
        </w:tc>
      </w:tr>
      <w:tr w:rsidR="00960E01"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960E01" w:rsidRDefault="00821CB5">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960E01" w:rsidRDefault="00821CB5">
            <w:pPr>
              <w:pStyle w:val="P68B1DB1-TableParagraph14"/>
              <w:spacing w:before="108"/>
              <w:jc w:val="both"/>
              <w:rPr>
                <w:bCs/>
              </w:rPr>
            </w:pPr>
            <w:r>
              <w:t>Driftsmæssige krav til adgang eller udvidelse</w:t>
            </w:r>
          </w:p>
          <w:p w14:paraId="7FE1BCEA" w14:textId="77777777" w:rsidR="00960E01" w:rsidRDefault="00960E01">
            <w:pPr>
              <w:pStyle w:val="TableParagraph"/>
              <w:spacing w:before="108"/>
              <w:jc w:val="both"/>
              <w:rPr>
                <w:rFonts w:ascii="Times New Roman" w:hAnsi="Times New Roman" w:cs="Times New Roman"/>
                <w:color w:val="000000" w:themeColor="text1"/>
                <w:sz w:val="20"/>
                <w:szCs w:val="20"/>
              </w:rPr>
            </w:pPr>
          </w:p>
          <w:p w14:paraId="7FE1BCEB" w14:textId="31044453" w:rsidR="00960E01" w:rsidRDefault="00821CB5">
            <w:pPr>
              <w:pStyle w:val="P68B1DB1-TableParagraph13"/>
              <w:spacing w:before="108"/>
              <w:jc w:val="both"/>
            </w:pPr>
            <w:r>
              <w:t xml:space="preserve">Organisatoriske, tekniske og infrastrukturelle krav til konkurrenterne om at tilbyde tjenesten. Udbud af tjenester i forbindelse med (under) funktionen kræver, at udbyderne investerer i (ny eller yderligere) infrastruktur eller ændrer deres organisationer. Vurdere markedets evne til at absorbere den pågældende virksomhed, f.eks. med hensyn til kapitalkrav. </w:t>
            </w:r>
          </w:p>
          <w:p w14:paraId="7FE1BCEC" w14:textId="77777777" w:rsidR="00960E01" w:rsidRDefault="00821CB5">
            <w:pPr>
              <w:pStyle w:val="P68B1DB1-TableParagraph13"/>
              <w:spacing w:before="108"/>
              <w:jc w:val="both"/>
            </w:pPr>
            <w:r>
              <w:t xml:space="preserve">Denne indikator skal indberettes i undergrupper, som er de samme for hver underfunktion: </w:t>
            </w:r>
          </w:p>
          <w:p w14:paraId="7FE1BCED" w14:textId="5283E021" w:rsidR="00960E01" w:rsidRDefault="00821CB5">
            <w:pPr>
              <w:pStyle w:val="P68B1DB1-ListParagraph39"/>
              <w:numPr>
                <w:ilvl w:val="0"/>
                <w:numId w:val="278"/>
              </w:numPr>
              <w:jc w:val="both"/>
            </w:pPr>
            <w:r>
              <w:t xml:space="preserve">ingen væsentlige krav </w:t>
            </w:r>
          </w:p>
          <w:p w14:paraId="7FE1BCEE" w14:textId="5ADAB5CD" w:rsidR="00960E01" w:rsidRDefault="00821CB5">
            <w:pPr>
              <w:pStyle w:val="P68B1DB1-ListParagraph39"/>
              <w:numPr>
                <w:ilvl w:val="0"/>
                <w:numId w:val="278"/>
              </w:numPr>
              <w:jc w:val="both"/>
            </w:pPr>
            <w:r>
              <w:t xml:space="preserve">visse krav </w:t>
            </w:r>
          </w:p>
          <w:p w14:paraId="7FE1BCEF" w14:textId="579CC165" w:rsidR="00960E01" w:rsidRDefault="00821CB5">
            <w:pPr>
              <w:pStyle w:val="P68B1DB1-ListParagraph39"/>
              <w:numPr>
                <w:ilvl w:val="0"/>
                <w:numId w:val="278"/>
              </w:numPr>
              <w:jc w:val="both"/>
            </w:pPr>
            <w:r>
              <w:t xml:space="preserve">væsentlige (men overvindelige) krav </w:t>
            </w:r>
          </w:p>
          <w:p w14:paraId="7FE1BCF0" w14:textId="5F9F9690" w:rsidR="00960E01" w:rsidRDefault="00821CB5">
            <w:pPr>
              <w:pStyle w:val="P68B1DB1-ListParagraph39"/>
              <w:numPr>
                <w:ilvl w:val="0"/>
                <w:numId w:val="278"/>
              </w:numPr>
              <w:jc w:val="both"/>
            </w:pPr>
            <w:r>
              <w:t>kritiske (vanskelige at opfylde) krav.</w:t>
            </w:r>
          </w:p>
          <w:p w14:paraId="7FE1BCF1" w14:textId="77777777" w:rsidR="00960E01" w:rsidRDefault="00960E01">
            <w:pPr>
              <w:pStyle w:val="TableParagraph"/>
              <w:spacing w:before="108"/>
              <w:jc w:val="both"/>
              <w:rPr>
                <w:rFonts w:ascii="Times New Roman" w:hAnsi="Times New Roman" w:cs="Times New Roman"/>
                <w:color w:val="000000" w:themeColor="text1"/>
                <w:sz w:val="20"/>
                <w:szCs w:val="20"/>
              </w:rPr>
            </w:pPr>
          </w:p>
        </w:tc>
      </w:tr>
      <w:tr w:rsidR="00960E01"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960E01" w:rsidRDefault="00821CB5">
            <w:pPr>
              <w:pStyle w:val="P68B1DB1-TableParagraph17"/>
              <w:spacing w:before="108"/>
              <w:ind w:left="85"/>
              <w:jc w:val="both"/>
            </w:pPr>
            <w:r>
              <w:lastRenderedPageBreak/>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960E01" w:rsidRDefault="00821CB5">
            <w:pPr>
              <w:pStyle w:val="P68B1DB1-TableParagraph14"/>
              <w:spacing w:before="108"/>
              <w:jc w:val="both"/>
              <w:rPr>
                <w:bCs/>
              </w:rPr>
            </w:pPr>
            <w:r>
              <w:t>Kritikalitetsvurdering</w:t>
            </w:r>
          </w:p>
        </w:tc>
      </w:tr>
      <w:tr w:rsidR="00960E01"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960E01" w:rsidRDefault="00821CB5">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960E01" w:rsidRDefault="00821CB5">
            <w:pPr>
              <w:pStyle w:val="P68B1DB1-TableParagraph14"/>
              <w:spacing w:before="108"/>
              <w:jc w:val="both"/>
              <w:rPr>
                <w:bCs/>
              </w:rPr>
            </w:pPr>
            <w:r>
              <w:t xml:space="preserve">Indvirkning på markedet </w:t>
            </w:r>
          </w:p>
          <w:p w14:paraId="7FE1BCF8" w14:textId="77777777" w:rsidR="00960E01" w:rsidRDefault="00821CB5">
            <w:pPr>
              <w:pStyle w:val="P68B1DB1-TableParagraph13"/>
              <w:spacing w:before="108"/>
              <w:jc w:val="both"/>
            </w:pPr>
            <w:r>
              <w:t>Anslået virkning af en pludselig afbrydelse af funktionen for tredjepart, finansielle markeder og realøkonomien, under hensyntagen til instituttets størrelse, markedsandel, eksterne og interne forbundethed, kompleksitet og grænseoverskridende aktiviteter.</w:t>
            </w:r>
          </w:p>
          <w:p w14:paraId="7FE1BCF9" w14:textId="22534111" w:rsidR="00960E01" w:rsidRDefault="00821CB5">
            <w:pPr>
              <w:pStyle w:val="P68B1DB1-TableParagraph13"/>
              <w:spacing w:before="108"/>
              <w:jc w:val="both"/>
            </w:pPr>
            <w:r>
              <w:t>Denne vurdering udtrykkes kvalitativt som "høj", "mellemhøj", "mellemlav" eller lav.</w:t>
            </w:r>
          </w:p>
          <w:p w14:paraId="7FE1BCFA" w14:textId="60C791C3" w:rsidR="00960E01" w:rsidRDefault="00821CB5">
            <w:pPr>
              <w:pStyle w:val="P68B1DB1-TableParagraph13"/>
              <w:spacing w:before="108"/>
              <w:jc w:val="both"/>
            </w:pPr>
            <w:r>
              <w:t>"Høj" vælges, hvis afbrydelsen har stor indvirkning på det nationale marked, "MH", hvis indvirkningen er betydelig, "Medium-Low", hvis indvirkningen er væsentlig, men begrænset, og "L", hvis indvirkningen er lille.</w:t>
            </w:r>
          </w:p>
        </w:tc>
      </w:tr>
      <w:tr w:rsidR="00960E01"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960E01" w:rsidRDefault="00821CB5">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960E01" w:rsidRDefault="00821CB5">
            <w:pPr>
              <w:pStyle w:val="P68B1DB1-TableParagraph14"/>
              <w:spacing w:before="108"/>
              <w:jc w:val="both"/>
              <w:rPr>
                <w:bCs/>
              </w:rPr>
            </w:pPr>
            <w:r>
              <w:t>Substituerbarhed</w:t>
            </w:r>
          </w:p>
          <w:p w14:paraId="7FE1BCFE" w14:textId="77777777" w:rsidR="00960E01" w:rsidRDefault="00821CB5">
            <w:pPr>
              <w:pStyle w:val="P68B1DB1-TableParagraph13"/>
              <w:spacing w:before="108"/>
              <w:jc w:val="both"/>
            </w:pPr>
            <w:r>
              <w:t>Artikel 6, stk. 3, i delegeret forordning (EU) 2016/778.</w:t>
            </w:r>
          </w:p>
          <w:p w14:paraId="7FE1BCFF" w14:textId="77777777" w:rsidR="00960E01" w:rsidRDefault="00821CB5">
            <w:pPr>
              <w:pStyle w:val="P68B1DB1-TableParagraph13"/>
              <w:spacing w:before="108"/>
              <w:jc w:val="both"/>
            </w:pPr>
            <w:r>
              <w:t>En funktion anses for substituerbar, hvis den kan erstattes på en acceptabel måde og inden for en rimelig tidsfrist, så man derved undgår systemiske problemer for realøkonomien og de finansielle markeder. Der skal tages hensyn til følgende:</w:t>
            </w:r>
          </w:p>
          <w:p w14:paraId="7FE1BD00" w14:textId="77777777" w:rsidR="00960E01" w:rsidRDefault="00821CB5">
            <w:pPr>
              <w:pStyle w:val="P68B1DB1-TableParagraph13"/>
              <w:spacing w:before="108"/>
              <w:jc w:val="both"/>
            </w:pPr>
            <w:r>
              <w:t xml:space="preserve">(a) strukturen på markedet for denne funktion og alternative leverandørers disponibilitet </w:t>
            </w:r>
          </w:p>
          <w:p w14:paraId="7FE1BD01" w14:textId="77777777" w:rsidR="00960E01" w:rsidRDefault="00821CB5">
            <w:pPr>
              <w:pStyle w:val="P68B1DB1-TableParagraph13"/>
              <w:spacing w:before="108"/>
              <w:jc w:val="both"/>
            </w:pPr>
            <w:r>
              <w:t xml:space="preserve">(b) andre leverandørers evne med hensyn til kapacitet, kravene vedrørende udførelse af den pågældende funktion og potentielle hindringer for adgang eller ekspansion </w:t>
            </w:r>
          </w:p>
          <w:p w14:paraId="7FE1BD02" w14:textId="77777777" w:rsidR="00960E01" w:rsidRDefault="00821CB5">
            <w:pPr>
              <w:pStyle w:val="P68B1DB1-TableParagraph13"/>
              <w:spacing w:before="108"/>
              <w:jc w:val="both"/>
            </w:pPr>
            <w:r>
              <w:t xml:space="preserve">(c) andre leverandørers incitament til at påtage sig disse aktiviteter </w:t>
            </w:r>
          </w:p>
          <w:p w14:paraId="7FE1BD03" w14:textId="77777777" w:rsidR="00960E01" w:rsidRDefault="00821CB5">
            <w:pPr>
              <w:pStyle w:val="P68B1DB1-TableParagraph13"/>
              <w:spacing w:before="108"/>
              <w:jc w:val="both"/>
            </w:pPr>
            <w:r>
              <w:t>(d) den tid, som brugerne af tjenesten har behov for til at flytte over til den nye tjenesteyder, og omkostningerne ved at flytte, den tid, der er behov for, til at andre konkurrenter kan overtage funktionerne, og hvorvidt denne tid er passende til at forhindre betydelige forstyrrelser afhængigt af den pågældende tjeneste.</w:t>
            </w:r>
          </w:p>
          <w:p w14:paraId="7FE1BD04" w14:textId="379B1AA4" w:rsidR="00960E01" w:rsidRDefault="00821CB5">
            <w:pPr>
              <w:pStyle w:val="P68B1DB1-TableParagraph13"/>
              <w:spacing w:before="108"/>
              <w:jc w:val="both"/>
            </w:pPr>
            <w:r>
              <w:t xml:space="preserve">Give en samlet vurdering af den forventede grad af substituerbarhed for hver funktion under hensyntagen til de forskellige dimensioner, der tidligere er blevet vurderet (markedsandel, markedskoncentration, substitutionstid, juridiske hindringer og operationelle krav til adgang eller ekspansion). Denne vurdering udtrykkes kvalitativt som "høj", "mellemhøj", "mellemlav" eller lav. </w:t>
            </w:r>
          </w:p>
          <w:p w14:paraId="7FE1BD05" w14:textId="3E0B0177" w:rsidR="00960E01" w:rsidRDefault="00821CB5">
            <w:pPr>
              <w:pStyle w:val="P68B1DB1-TableParagraph13"/>
              <w:spacing w:before="108"/>
              <w:jc w:val="both"/>
            </w:pPr>
            <w:r>
              <w:t>"Høj" vælges, hvis en funktion nemt kan udføres af en anden bank under sammenlignelige betingelser inden for en rimelig tidsramme</w:t>
            </w:r>
          </w:p>
          <w:p w14:paraId="7FE1BD06" w14:textId="5459DD51" w:rsidR="00960E01" w:rsidRDefault="00821CB5">
            <w:pPr>
              <w:pStyle w:val="P68B1DB1-TableParagraph13"/>
              <w:spacing w:before="108"/>
              <w:jc w:val="both"/>
            </w:pPr>
            <w:r>
              <w:t xml:space="preserve">"L", hvis en funktion ikke nemt eller hurtigt kan erstattes </w:t>
            </w:r>
          </w:p>
          <w:p w14:paraId="7FE1BD07" w14:textId="113A35A6" w:rsidR="00960E01" w:rsidRDefault="00821CB5">
            <w:pPr>
              <w:pStyle w:val="P68B1DB1-TableParagraph13"/>
              <w:spacing w:before="108"/>
              <w:jc w:val="both"/>
            </w:pPr>
            <w:r>
              <w:t>"Medium-High" og "Medium-Low" for mellemliggende tilfælde under hensyntagen til diverse dimensioner (bl.a. markedsandel, markedskoncentration, substitutionstid samt juridiske hindringer for og operationelle krav vedrørende adgang eller ekspansion).</w:t>
            </w:r>
          </w:p>
        </w:tc>
      </w:tr>
      <w:tr w:rsidR="00960E01"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960E01" w:rsidRDefault="00821CB5">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960E01" w:rsidRDefault="00821CB5">
            <w:pPr>
              <w:pStyle w:val="P68B1DB1-TableParagraph14"/>
              <w:spacing w:before="108"/>
              <w:jc w:val="both"/>
              <w:rPr>
                <w:bCs/>
              </w:rPr>
            </w:pPr>
            <w:r>
              <w:t>Kritisk funktion</w:t>
            </w:r>
          </w:p>
          <w:p w14:paraId="7FE1BD0B" w14:textId="77777777" w:rsidR="00960E01" w:rsidRDefault="00821CB5">
            <w:pPr>
              <w:pStyle w:val="P68B1DB1-TableParagraph13"/>
              <w:spacing w:before="108"/>
              <w:jc w:val="both"/>
            </w:pPr>
            <w:r>
              <w:t>I denne kolonne angives det, under hensyntagen til den indflydelses- og erstatningsanalyse, som institutionen har foretaget, hvorvidt den økonomiske funktion anses for at være kritisk på markedet for det pågældende land.</w:t>
            </w:r>
          </w:p>
          <w:p w14:paraId="7FE1BD0C" w14:textId="77777777" w:rsidR="00960E01" w:rsidRDefault="00821CB5">
            <w:pPr>
              <w:pStyle w:val="P68B1DB1-TableParagraph13"/>
              <w:spacing w:before="108"/>
              <w:jc w:val="both"/>
            </w:pPr>
            <w:r>
              <w:t>Angiv "Ja" eller "Nej"</w:t>
            </w:r>
          </w:p>
        </w:tc>
      </w:tr>
      <w:tr w:rsidR="00960E01"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960E01" w:rsidRDefault="00821CB5">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960E01" w:rsidRDefault="00821CB5">
            <w:pPr>
              <w:pStyle w:val="P68B1DB1-TableParagraph14"/>
              <w:spacing w:before="108"/>
              <w:jc w:val="both"/>
              <w:rPr>
                <w:bCs/>
              </w:rPr>
            </w:pPr>
            <w:r>
              <w:t>Gruppens bemærkninger</w:t>
            </w:r>
          </w:p>
          <w:p w14:paraId="7FE1BD10" w14:textId="77777777" w:rsidR="00960E01" w:rsidRDefault="00821CB5">
            <w:pPr>
              <w:pStyle w:val="P68B1DB1-TableParagraph13"/>
              <w:spacing w:before="108"/>
              <w:jc w:val="both"/>
            </w:pPr>
            <w:r>
              <w:t>Dette felt gør det muligt for den regnskabsaflæggende virksomhed at redegøre for eventuelle antagelser, der er anvendt til at vurdere den kritiske karakter af den eller de indberettede funktioner.</w:t>
            </w:r>
          </w:p>
        </w:tc>
      </w:tr>
    </w:tbl>
    <w:p w14:paraId="7FE1BD12" w14:textId="77777777" w:rsidR="00960E01" w:rsidRDefault="00960E01">
      <w:pPr>
        <w:rPr>
          <w:rFonts w:ascii="Times New Roman" w:hAnsi="Times New Roman" w:cs="Times New Roman"/>
          <w:color w:val="000000" w:themeColor="text1"/>
          <w:sz w:val="20"/>
          <w:szCs w:val="20"/>
        </w:rPr>
      </w:pPr>
    </w:p>
    <w:p w14:paraId="7FE1BD13" w14:textId="77777777" w:rsidR="00960E01" w:rsidRDefault="00960E01">
      <w:pPr>
        <w:rPr>
          <w:rFonts w:ascii="Times New Roman" w:hAnsi="Times New Roman" w:cs="Times New Roman"/>
          <w:color w:val="000000" w:themeColor="text1"/>
          <w:sz w:val="20"/>
          <w:szCs w:val="20"/>
        </w:rPr>
      </w:pPr>
    </w:p>
    <w:p w14:paraId="7FE1BD14" w14:textId="168C612B" w:rsidR="00960E01" w:rsidRDefault="00821CB5">
      <w:pPr>
        <w:pStyle w:val="P68B1DB1-Instructionsberschrift25"/>
      </w:pPr>
      <w:bookmarkStart w:id="121" w:name="_Toc208244567"/>
      <w:r>
        <w:lastRenderedPageBreak/>
        <w:t>II.13</w:t>
      </w:r>
      <w:r>
        <w:tab/>
        <w:t>Z 07.01.5 FUNC 1 WF</w:t>
      </w:r>
      <w:bookmarkEnd w:id="121"/>
    </w:p>
    <w:p w14:paraId="7FE1BD1C" w14:textId="77777777" w:rsidR="00960E01" w:rsidRDefault="00960E01">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960E01"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960E01" w:rsidRDefault="00821CB5">
            <w:pPr>
              <w:pStyle w:val="P68B1DB1-TableParagraph17"/>
              <w:spacing w:before="108"/>
              <w:ind w:left="85"/>
              <w:jc w:val="both"/>
            </w:pPr>
            <w:r>
              <w:t>Kolonner</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960E01" w:rsidRDefault="00821CB5">
            <w:pPr>
              <w:pStyle w:val="P68B1DB1-TableParagraph17"/>
              <w:spacing w:before="108"/>
              <w:ind w:left="85" w:right="1"/>
              <w:jc w:val="both"/>
            </w:pPr>
            <w:r>
              <w:t>Instrukser</w:t>
            </w:r>
          </w:p>
        </w:tc>
      </w:tr>
      <w:tr w:rsidR="00960E01"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960E01" w:rsidRDefault="00821CB5">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960E01" w:rsidRDefault="00821CB5">
            <w:pPr>
              <w:pStyle w:val="P68B1DB1-TableParagraph14"/>
              <w:spacing w:before="108"/>
              <w:ind w:left="85"/>
              <w:jc w:val="both"/>
              <w:rPr>
                <w:bCs/>
              </w:rPr>
            </w:pPr>
            <w:r>
              <w:t>Beskrivelse af økonomisk funktion</w:t>
            </w:r>
          </w:p>
          <w:p w14:paraId="7FE1BD22" w14:textId="3E7FC747" w:rsidR="00960E01" w:rsidRDefault="00821CB5">
            <w:pPr>
              <w:pStyle w:val="P68B1DB1-TableParagraph17"/>
              <w:spacing w:before="108"/>
              <w:ind w:left="85"/>
            </w:pPr>
            <w:r>
              <w:t xml:space="preserve">Hvis den økonomiske funktion er af typen "Andet" (Z 07.01.5 FUNC 1 WF r0360 til r0380), skal der gives en beskrivelse af denne funktion. </w:t>
            </w:r>
          </w:p>
        </w:tc>
      </w:tr>
      <w:tr w:rsidR="00960E01"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960E01" w:rsidRDefault="00821CB5">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960E01" w:rsidRDefault="00821CB5">
            <w:pPr>
              <w:pStyle w:val="P68B1DB1-TableParagraph14"/>
              <w:spacing w:before="108"/>
              <w:ind w:left="85"/>
              <w:jc w:val="both"/>
              <w:rPr>
                <w:bCs/>
              </w:rPr>
            </w:pPr>
            <w:r>
              <w:t xml:space="preserve">Markedsandel </w:t>
            </w:r>
          </w:p>
          <w:p w14:paraId="7FE1BD26" w14:textId="470CCD5A" w:rsidR="00960E01" w:rsidRDefault="00821CB5">
            <w:pPr>
              <w:pStyle w:val="P68B1DB1-TableParagraph17"/>
              <w:spacing w:before="108"/>
              <w:ind w:left="85"/>
            </w:pPr>
            <w:r>
              <w:t>Skøn over instituttets eller koncernens markedsandel for så vidt angår den økonomiske funktion i det pågældende land eller geografiske område. En procentdel af det samlede marked (bruttodragningsbeløb).</w:t>
            </w:r>
          </w:p>
        </w:tc>
      </w:tr>
      <w:tr w:rsidR="00960E01"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960E01" w:rsidRDefault="00821CB5">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960E01" w:rsidRDefault="00821CB5">
            <w:pPr>
              <w:pStyle w:val="P68B1DB1-Normal42"/>
              <w:rPr>
                <w:bCs/>
              </w:rPr>
            </w:pPr>
            <w:r>
              <w:t>Regnskabsmæssig bruttoværdi</w:t>
            </w:r>
          </w:p>
          <w:p w14:paraId="7FE1BD2A" w14:textId="77777777" w:rsidR="00960E01" w:rsidRDefault="00821CB5">
            <w:pPr>
              <w:pStyle w:val="P68B1DB1-TableParagraph17"/>
              <w:spacing w:before="108"/>
            </w:pPr>
            <w:r>
              <w:t xml:space="preserve">Brug bruttobalanceværdien som defineret i FINREP. </w:t>
            </w:r>
          </w:p>
          <w:p w14:paraId="7FE1BD2B" w14:textId="77777777" w:rsidR="00960E01" w:rsidRDefault="00821CB5">
            <w:pPr>
              <w:pStyle w:val="P68B1DB1-TableParagraph17"/>
              <w:spacing w:before="108"/>
            </w:pPr>
            <w:r>
              <w:t xml:space="preserve">Referencer: FINREP: Bilag V, del 1, punkt 34, FINREP: Bilag III, IV, skemaer: </w:t>
            </w:r>
          </w:p>
          <w:p w14:paraId="7FE1BD2C" w14:textId="77777777" w:rsidR="00960E01" w:rsidRDefault="00821CB5">
            <w:pPr>
              <w:pStyle w:val="P68B1DB1-TableParagraph17"/>
              <w:spacing w:before="108"/>
            </w:pPr>
            <w:r>
              <w:t>— Låntagning (5.1): Skema F 20.06, kolonne 010, række 100 + 110, alle lande.</w:t>
            </w:r>
          </w:p>
          <w:p w14:paraId="7FE1BD2D" w14:textId="77777777" w:rsidR="00960E01" w:rsidRDefault="00821CB5">
            <w:pPr>
              <w:pStyle w:val="P68B1DB1-TableParagraph17"/>
              <w:spacing w:before="108"/>
            </w:pPr>
            <w:r>
              <w:t>— Derivater (aktiver) (5.2): Skema F 20.04, kolonne 010, række 010, alle lande.</w:t>
            </w:r>
          </w:p>
          <w:p w14:paraId="7FE1BD2E" w14:textId="77777777" w:rsidR="00960E01" w:rsidRDefault="00821CB5">
            <w:pPr>
              <w:pStyle w:val="P68B1DB1-TableParagraph17"/>
              <w:spacing w:before="108"/>
            </w:pPr>
            <w:r>
              <w:t xml:space="preserve">— Udlån (5.3): Skema F 20.04, kolonne 010, række 170 + 180, alle lande. </w:t>
            </w:r>
          </w:p>
          <w:p w14:paraId="7FE1BD30" w14:textId="58CF223C" w:rsidR="00960E01" w:rsidRDefault="00821CB5">
            <w:pPr>
              <w:pStyle w:val="P68B1DB1-TableParagraph17"/>
              <w:spacing w:before="108"/>
            </w:pPr>
            <w:r>
              <w:t>— Derivater (forpligtelser) (5.4): Skema F 20.06, kolonne 010, række 010, alle lande.</w:t>
            </w:r>
          </w:p>
        </w:tc>
      </w:tr>
      <w:tr w:rsidR="00960E01"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960E01" w:rsidRDefault="00821CB5">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960E01" w:rsidRDefault="00821CB5">
            <w:pPr>
              <w:pStyle w:val="P68B1DB1-Normal42"/>
              <w:rPr>
                <w:bCs/>
              </w:rPr>
            </w:pPr>
            <w:r>
              <w:t>Antal modparter</w:t>
            </w:r>
          </w:p>
          <w:p w14:paraId="7FE1BD34" w14:textId="77777777" w:rsidR="00960E01" w:rsidRDefault="00821CB5">
            <w:pPr>
              <w:pStyle w:val="P68B1DB1-TableParagraph17"/>
              <w:spacing w:before="108"/>
            </w:pPr>
            <w:r>
              <w:t>Samlet antal modparter. Hvis en modpart har mere end én konto og/eller mere end én transaktion, medregnes denne modpart kun én gang.</w:t>
            </w:r>
          </w:p>
        </w:tc>
      </w:tr>
      <w:tr w:rsidR="00960E01"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960E01" w:rsidRDefault="00821CB5">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960E01" w:rsidRDefault="00821CB5">
            <w:pPr>
              <w:pStyle w:val="P68B1DB1-TableParagraph14"/>
              <w:spacing w:before="108"/>
              <w:jc w:val="both"/>
              <w:rPr>
                <w:bCs/>
              </w:rPr>
            </w:pPr>
            <w:r>
              <w:t>(Omvendte) genkøbsaftaler</w:t>
            </w:r>
          </w:p>
          <w:p w14:paraId="7FE1BD38" w14:textId="77777777" w:rsidR="00960E01" w:rsidRDefault="00821CB5">
            <w:pPr>
              <w:pStyle w:val="P68B1DB1-TableParagraph13"/>
              <w:spacing w:before="108"/>
              <w:jc w:val="both"/>
            </w:pPr>
            <w:r>
              <w:t>Indberet genkøbsaftaler i forbindelse med engroslån. Tilbagekøb</w:t>
            </w:r>
          </w:p>
          <w:p w14:paraId="7FE1BD39" w14:textId="77777777" w:rsidR="00960E01" w:rsidRDefault="00821CB5">
            <w:pPr>
              <w:pStyle w:val="P68B1DB1-TableParagraph13"/>
              <w:spacing w:before="108"/>
              <w:jc w:val="both"/>
            </w:pPr>
            <w:r>
              <w:t>ved aftaler forstås kontanter modtaget til gengæld for værdipapirer, der sælges til en given pris i henhold til en</w:t>
            </w:r>
          </w:p>
          <w:p w14:paraId="7FE1BD3A" w14:textId="77777777" w:rsidR="00960E01" w:rsidRDefault="00821CB5">
            <w:pPr>
              <w:pStyle w:val="P68B1DB1-TableParagraph13"/>
              <w:spacing w:before="108"/>
              <w:jc w:val="both"/>
            </w:pPr>
            <w:r>
              <w:t>fast forpligtelse til at tilbagekøbe de samme (eller lignende) værdipapirer til en fast pris på en</w:t>
            </w:r>
          </w:p>
          <w:p w14:paraId="7FE1BD3B" w14:textId="77777777" w:rsidR="00960E01" w:rsidRDefault="00821CB5">
            <w:pPr>
              <w:pStyle w:val="P68B1DB1-TableParagraph13"/>
              <w:spacing w:before="108"/>
              <w:jc w:val="both"/>
            </w:pPr>
            <w:r>
              <w:t xml:space="preserve">nærmere angivet fremtidig dato. </w:t>
            </w:r>
          </w:p>
          <w:p w14:paraId="7FE1BD3C" w14:textId="77777777" w:rsidR="00960E01" w:rsidRDefault="00821CB5">
            <w:pPr>
              <w:pStyle w:val="P68B1DB1-TableParagraph13"/>
              <w:spacing w:before="108"/>
              <w:jc w:val="both"/>
            </w:pPr>
            <w:r>
              <w:t>Indberet omvendte genkøbslån i forbindelse med engroslån. "Omvendte genkøbslån": finansiering ydet til gengæld for købte værdipapirer</w:t>
            </w:r>
          </w:p>
          <w:p w14:paraId="7FE1BD3D" w14:textId="77777777" w:rsidR="00960E01" w:rsidRDefault="00821CB5">
            <w:pPr>
              <w:pStyle w:val="P68B1DB1-TableParagraph13"/>
              <w:spacing w:before="108"/>
              <w:jc w:val="both"/>
            </w:pPr>
            <w:r>
              <w:t>i henhold til genkøbsaftaler eller lån i henhold til aftaler om værdipapirudlån.</w:t>
            </w:r>
          </w:p>
          <w:p w14:paraId="7FE1BD3E" w14:textId="77777777" w:rsidR="00960E01" w:rsidRDefault="00821CB5">
            <w:pPr>
              <w:pStyle w:val="P68B1DB1-TableParagraph13"/>
              <w:spacing w:before="108"/>
              <w:jc w:val="both"/>
            </w:pPr>
            <w:r>
              <w:t>Baggrundsdokumentation: Forordning (EF) nr. 2015/2365 om gennemsigtighed af værdipapirfinansiering</w:t>
            </w:r>
          </w:p>
          <w:p w14:paraId="7FE1BD3F" w14:textId="77777777" w:rsidR="00960E01" w:rsidRDefault="00821CB5">
            <w:pPr>
              <w:pStyle w:val="P68B1DB1-TableParagraph13"/>
              <w:spacing w:before="108"/>
              <w:jc w:val="both"/>
            </w:pPr>
            <w:r>
              <w:t>transaktioner og genanvendelse artikel 3 (9) FINREP: Bilag V. Del 2. Kapitel 5, stk. 85(e)</w:t>
            </w:r>
          </w:p>
          <w:p w14:paraId="7FE1BD40" w14:textId="77777777" w:rsidR="00960E01" w:rsidRDefault="00821CB5">
            <w:pPr>
              <w:pStyle w:val="P68B1DB1-TableParagraph13"/>
              <w:spacing w:before="108"/>
              <w:jc w:val="both"/>
            </w:pPr>
            <w:r>
              <w:t>og kapitel 14, punkt 183; FINREP Bilag III:</w:t>
            </w:r>
          </w:p>
          <w:p w14:paraId="7FE1BD41" w14:textId="77777777" w:rsidR="00960E01" w:rsidRDefault="00821CB5">
            <w:pPr>
              <w:pStyle w:val="P68B1DB1-TableParagraph13"/>
              <w:numPr>
                <w:ilvl w:val="0"/>
                <w:numId w:val="153"/>
              </w:numPr>
              <w:spacing w:before="108"/>
              <w:jc w:val="both"/>
            </w:pPr>
            <w:r>
              <w:t>Genkøbsaftaler: Tabel 08.01 kolonne 010 + 020 + 030 række 200 + 250.</w:t>
            </w:r>
          </w:p>
          <w:p w14:paraId="7FE1BD42" w14:textId="77777777" w:rsidR="00960E01" w:rsidRDefault="00821CB5">
            <w:pPr>
              <w:pStyle w:val="P68B1DB1-TableParagraph13"/>
              <w:numPr>
                <w:ilvl w:val="0"/>
                <w:numId w:val="153"/>
              </w:numPr>
              <w:spacing w:before="108"/>
              <w:jc w:val="both"/>
            </w:pPr>
            <w:r>
              <w:t>Omvendte genkøbsaftaler: Tabel 05.00, kolonne 030 + 040, række 050.</w:t>
            </w:r>
          </w:p>
        </w:tc>
      </w:tr>
      <w:tr w:rsidR="00960E01"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960E01" w:rsidRDefault="00821CB5">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960E01" w:rsidRDefault="00821CB5">
            <w:pPr>
              <w:pStyle w:val="P68B1DB1-TableParagraph14"/>
              <w:spacing w:before="108"/>
              <w:jc w:val="both"/>
              <w:rPr>
                <w:bCs/>
              </w:rPr>
            </w:pPr>
            <w:r>
              <w:t>Grænseoverskridende værdi</w:t>
            </w:r>
          </w:p>
          <w:p w14:paraId="7FE1BD46" w14:textId="77777777" w:rsidR="00960E01" w:rsidRDefault="00821CB5">
            <w:pPr>
              <w:pStyle w:val="P68B1DB1-TableParagraph13"/>
              <w:spacing w:before="108"/>
              <w:jc w:val="both"/>
            </w:pPr>
            <w:r>
              <w:t>Tilføj den regnskabsmæssige bruttoværdi for alle lande med undtagelse af hjemlandet eller det relevante land.</w:t>
            </w:r>
          </w:p>
        </w:tc>
      </w:tr>
      <w:tr w:rsidR="00960E01"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960E01" w:rsidRDefault="00821CB5">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960E01" w:rsidRDefault="00821CB5">
            <w:pPr>
              <w:pStyle w:val="P68B1DB1-Normal42"/>
              <w:rPr>
                <w:bCs/>
              </w:rPr>
            </w:pPr>
            <w:r>
              <w:t>Værdi i kreditinstitutter</w:t>
            </w:r>
          </w:p>
          <w:p w14:paraId="7FE1BD4A" w14:textId="77777777" w:rsidR="00960E01" w:rsidRDefault="00821CB5">
            <w:pPr>
              <w:pStyle w:val="P68B1DB1-TableParagraph13"/>
              <w:spacing w:before="108"/>
              <w:jc w:val="both"/>
            </w:pPr>
            <w:r>
              <w:t>Regnskabsmæssig bruttoværdi i kreditinstitutter. Sektordefinition i henhold til</w:t>
            </w:r>
          </w:p>
          <w:p w14:paraId="7FE1BD4B" w14:textId="77777777" w:rsidR="00960E01" w:rsidRDefault="00821CB5">
            <w:pPr>
              <w:pStyle w:val="P68B1DB1-TableParagraph13"/>
              <w:spacing w:before="108"/>
              <w:jc w:val="both"/>
            </w:pPr>
            <w:r>
              <w:t xml:space="preserve">FINREP (bilag V). </w:t>
            </w:r>
          </w:p>
          <w:p w14:paraId="7FE1BD4C" w14:textId="77777777" w:rsidR="00960E01" w:rsidRDefault="00821CB5">
            <w:pPr>
              <w:pStyle w:val="P68B1DB1-TableParagraph13"/>
              <w:spacing w:before="108"/>
              <w:jc w:val="both"/>
            </w:pPr>
            <w:r>
              <w:lastRenderedPageBreak/>
              <w:t>Baggrundsdokumentation: FINREP: Bilag III:</w:t>
            </w:r>
          </w:p>
          <w:p w14:paraId="7FE1BD4D" w14:textId="77777777" w:rsidR="00960E01" w:rsidRDefault="00821CB5">
            <w:pPr>
              <w:pStyle w:val="P68B1DB1-TableParagraph13"/>
              <w:numPr>
                <w:ilvl w:val="0"/>
                <w:numId w:val="153"/>
              </w:numPr>
              <w:spacing w:before="108"/>
              <w:jc w:val="both"/>
            </w:pPr>
            <w:r>
              <w:t>Låntagning: Tabel 20.06, kolonne 010, række 100, alle lande.</w:t>
            </w:r>
          </w:p>
          <w:p w14:paraId="7FE1BD4E" w14:textId="77777777" w:rsidR="00960E01" w:rsidRDefault="00821CB5">
            <w:pPr>
              <w:pStyle w:val="P68B1DB1-TableParagraph13"/>
              <w:numPr>
                <w:ilvl w:val="0"/>
                <w:numId w:val="153"/>
              </w:numPr>
              <w:spacing w:before="108"/>
              <w:jc w:val="both"/>
            </w:pPr>
            <w:r>
              <w:t>Derivater (aktiver): Tabell 20.04, kolonne 010, række 020, alle lande.</w:t>
            </w:r>
          </w:p>
          <w:p w14:paraId="7FE1BD4F" w14:textId="77777777" w:rsidR="00960E01" w:rsidRDefault="00821CB5">
            <w:pPr>
              <w:pStyle w:val="P68B1DB1-TableParagraph13"/>
              <w:numPr>
                <w:ilvl w:val="0"/>
                <w:numId w:val="153"/>
              </w:numPr>
              <w:spacing w:before="108"/>
              <w:jc w:val="both"/>
            </w:pPr>
            <w:r>
              <w:t>Långivning: Tabell 20.04, kolonne 010, række 170, alle lande.</w:t>
            </w:r>
          </w:p>
          <w:p w14:paraId="7FE1BD50" w14:textId="77777777" w:rsidR="00960E01" w:rsidRDefault="00821CB5">
            <w:pPr>
              <w:pStyle w:val="P68B1DB1-TableParagraph13"/>
              <w:numPr>
                <w:ilvl w:val="0"/>
                <w:numId w:val="153"/>
              </w:numPr>
              <w:spacing w:before="108"/>
              <w:jc w:val="both"/>
            </w:pPr>
            <w:r>
              <w:t>Derivatforpligtelser: Tabel 20.06, kolonne 010, række 020, alle lande.</w:t>
            </w:r>
          </w:p>
        </w:tc>
      </w:tr>
      <w:tr w:rsidR="00960E01"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960E01" w:rsidRDefault="00821CB5">
            <w:pPr>
              <w:pStyle w:val="P68B1DB1-TableParagraph17"/>
              <w:spacing w:before="108"/>
              <w:ind w:left="85"/>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960E01" w:rsidRDefault="00821CB5">
            <w:pPr>
              <w:pStyle w:val="P68B1DB1-Normal42"/>
              <w:rPr>
                <w:bCs/>
              </w:rPr>
            </w:pPr>
            <w:r>
              <w:t>Konsekvens- og substituerbarhedsanalyser</w:t>
            </w:r>
          </w:p>
          <w:p w14:paraId="7FE1BD54" w14:textId="77777777" w:rsidR="00960E01" w:rsidRDefault="00821CB5">
            <w:pPr>
              <w:pStyle w:val="P68B1DB1-Normal43"/>
            </w:pPr>
            <w:r>
              <w:t>Vurderingskriterierne for indvirkningen på tredjeparter skal omfatte følgende elementer i overensstemmelse med Kommissionens delegerede forordning (EU) 2016/778 om kritiske funktioner:</w:t>
            </w:r>
          </w:p>
          <w:p w14:paraId="7FE1BD55" w14:textId="77777777" w:rsidR="00960E01" w:rsidRDefault="00821CB5">
            <w:pPr>
              <w:pStyle w:val="P68B1DB1-ListParagraph38"/>
              <w:numPr>
                <w:ilvl w:val="0"/>
                <w:numId w:val="131"/>
              </w:numPr>
              <w:spacing w:line="276" w:lineRule="auto"/>
            </w:pPr>
            <w:r>
              <w:t>arten og omfanget af aktiviteten, den globale, nationale eller regionale rækkevidde samt omfanget og antallet af transaktioner; antallet af kunder og modparter; antallet af kunder, for hvilke instituttet er den eneste eller primære bankforretningspartner</w:t>
            </w:r>
          </w:p>
          <w:p w14:paraId="7FE1BD56" w14:textId="77777777" w:rsidR="00960E01" w:rsidRDefault="00821CB5">
            <w:pPr>
              <w:pStyle w:val="P68B1DB1-ListParagraph38"/>
              <w:numPr>
                <w:ilvl w:val="0"/>
                <w:numId w:val="131"/>
              </w:numPr>
              <w:spacing w:line="276" w:lineRule="auto"/>
            </w:pPr>
            <w:r>
              <w:t>relevansen af instituttet på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D57" w14:textId="77777777" w:rsidR="00960E01" w:rsidRDefault="00821CB5">
            <w:pPr>
              <w:pStyle w:val="P68B1DB1-ListParagraph38"/>
              <w:numPr>
                <w:ilvl w:val="0"/>
                <w:numId w:val="131"/>
              </w:numPr>
              <w:spacing w:line="276" w:lineRule="auto"/>
            </w:pPr>
            <w:r>
              <w:t xml:space="preserve">Relevansen af instituttet kan vurderes på grundlag af markedsandelen, den indbyrdes forbundethed, kompleksiteten og grænseoverskridende aktiviteter </w:t>
            </w:r>
          </w:p>
          <w:p w14:paraId="7FE1BD58" w14:textId="77777777" w:rsidR="00960E01" w:rsidRDefault="00821CB5">
            <w:pPr>
              <w:pStyle w:val="P68B1DB1-ListParagraph38"/>
              <w:numPr>
                <w:ilvl w:val="0"/>
                <w:numId w:val="131"/>
              </w:numPr>
              <w:spacing w:line="276" w:lineRule="auto"/>
            </w:pPr>
            <w:r>
              <w:t>den mulige forstyrrelse af funktionen for markeder, infrastrukturer, kunder og offentlige tjenester. Den mulige forstyrrelse af funktionen for markeder, infrastrukturer, kunder og offentlige tjenester.Vurderingen kan bl.a. omfatte indvirkningen på likviditeten på de berørte markeder, virkningen og omfanget af forstyrrelsen for kundeaktiviteter og kortfristede likviditetsbehov; mærkbarheden for modparter, kunder og offentligheden; kundereaktionernes kapacitet og hastighed; relevansen for andre markeders funktion: indvirkningen på et andet markeds likviditet, transaktioner og struktur; indvirkningen på andre modparter i forbindelse med de vigtigste kunder og funktionens relationer til andre ydelser.</w:t>
            </w:r>
          </w:p>
          <w:p w14:paraId="7FE1BD59" w14:textId="77777777" w:rsidR="00960E01" w:rsidRDefault="00960E01">
            <w:pPr>
              <w:rPr>
                <w:rFonts w:ascii="Times New Roman" w:eastAsiaTheme="minorHAnsi" w:hAnsi="Times New Roman" w:cs="Times New Roman"/>
                <w:color w:val="000000" w:themeColor="text1"/>
                <w:sz w:val="20"/>
                <w:szCs w:val="20"/>
              </w:rPr>
            </w:pPr>
          </w:p>
        </w:tc>
      </w:tr>
      <w:tr w:rsidR="00960E01"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960E01" w:rsidRDefault="00821CB5">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1B4972E9" w:rsidR="00960E01" w:rsidRDefault="00821CB5">
            <w:pPr>
              <w:pStyle w:val="P68B1DB1-Normal42"/>
              <w:rPr>
                <w:bCs/>
              </w:rPr>
            </w:pPr>
            <w:r>
              <w:t xml:space="preserve">Natur og </w:t>
            </w:r>
            <w:r w:rsidR="00895FA4">
              <w:t>Omfang</w:t>
            </w:r>
          </w:p>
          <w:p w14:paraId="7FE1BD5D" w14:textId="77777777" w:rsidR="00960E01" w:rsidRDefault="00821CB5">
            <w:pPr>
              <w:pStyle w:val="P68B1DB1-Normal43"/>
            </w:pPr>
            <w:r>
              <w:t>Den globale, nationale eller regionale rækkevidde, omfanget og antallet af transaktioner antallet af kunder og modparter; antallet af kunder, for hvilke instituttet er den eneste eller primære bankforretningspartner</w:t>
            </w:r>
          </w:p>
        </w:tc>
      </w:tr>
      <w:tr w:rsidR="00960E01"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960E01" w:rsidRDefault="00821CB5">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960E01" w:rsidRDefault="00821CB5">
            <w:pPr>
              <w:pStyle w:val="P68B1DB1-Normal42"/>
              <w:rPr>
                <w:bCs/>
              </w:rPr>
            </w:pPr>
            <w:r>
              <w:t>Størrelsesindikator 1</w:t>
            </w:r>
          </w:p>
          <w:p w14:paraId="611DAB08"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D61" w14:textId="0497CCAC" w:rsidR="00960E01" w:rsidRDefault="00821CB5">
            <w:pPr>
              <w:pStyle w:val="P68B1DB1-Normal43"/>
            </w:pPr>
            <w:r>
              <w:t xml:space="preserve"> </w:t>
            </w:r>
          </w:p>
          <w:p w14:paraId="7FE1BD62" w14:textId="77777777" w:rsidR="00960E01" w:rsidRDefault="00821CB5">
            <w:pPr>
              <w:pStyle w:val="P68B1DB1-ListParagraph32"/>
              <w:numPr>
                <w:ilvl w:val="0"/>
                <w:numId w:val="125"/>
              </w:numPr>
              <w:spacing w:line="276" w:lineRule="auto"/>
            </w:pPr>
            <w:r>
              <w:t xml:space="preserve">Ekspertvurdering af størrelsen af </w:t>
            </w:r>
            <w:r>
              <w:rPr>
                <w:b/>
              </w:rPr>
              <w:t>værdien</w:t>
            </w:r>
            <w:r>
              <w:t xml:space="preserve"> af det indberettende instituts regnskabsmæssige bruttoværdi (c0030) set ud fra et </w:t>
            </w:r>
            <w:r>
              <w:rPr>
                <w:b/>
              </w:rPr>
              <w:t>globalt</w:t>
            </w:r>
            <w:r>
              <w:t xml:space="preserve"> perspektiv [</w:t>
            </w:r>
            <w:r>
              <w:rPr>
                <w:i/>
              </w:rPr>
              <w:t>et niveau højere end det relevante marked. Hvis det relevante marked er globalt, bliver størrelse 1 overflødig og behøver ikke indberettes]</w:t>
            </w:r>
            <w:r>
              <w:t>:</w:t>
            </w:r>
          </w:p>
          <w:p w14:paraId="7FE1BD63" w14:textId="77777777" w:rsidR="00960E01" w:rsidRDefault="00821CB5">
            <w:pPr>
              <w:pStyle w:val="P68B1DB1-ListParagraph32"/>
              <w:numPr>
                <w:ilvl w:val="1"/>
                <w:numId w:val="125"/>
              </w:numPr>
              <w:spacing w:line="276" w:lineRule="auto"/>
            </w:pPr>
            <w:r>
              <w:t>Hvor stor er den indberettende enheds regnskabsmæssige bruttoværdi set ud fra et globalt perspektiv?</w:t>
            </w:r>
          </w:p>
          <w:p w14:paraId="7FE1BD64" w14:textId="77777777" w:rsidR="00960E01" w:rsidRDefault="00960E01">
            <w:pPr>
              <w:rPr>
                <w:rFonts w:ascii="Times New Roman" w:eastAsiaTheme="minorHAnsi" w:hAnsi="Times New Roman" w:cs="Times New Roman"/>
                <w:color w:val="000000" w:themeColor="text1"/>
                <w:sz w:val="20"/>
                <w:szCs w:val="20"/>
              </w:rPr>
            </w:pPr>
          </w:p>
        </w:tc>
      </w:tr>
      <w:tr w:rsidR="00960E01"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960E01" w:rsidRDefault="00821CB5">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960E01" w:rsidRDefault="00821CB5">
            <w:pPr>
              <w:pStyle w:val="P68B1DB1-Normal42"/>
              <w:rPr>
                <w:bCs/>
              </w:rPr>
            </w:pPr>
            <w:r>
              <w:t>Størrelsesindikator 2</w:t>
            </w:r>
          </w:p>
          <w:p w14:paraId="75C87AE7" w14:textId="77777777" w:rsidR="00960E01" w:rsidRDefault="00821CB5">
            <w:pPr>
              <w:pStyle w:val="P68B1DB1-Normal31"/>
              <w:spacing w:line="276" w:lineRule="auto"/>
              <w:jc w:val="both"/>
            </w:pPr>
            <w:r>
              <w:t xml:space="preserve">Vurdere, hvor vigtig banken er i disse aktiviteter. Denne vurdering udtrykkes kvalitativt som "høj", "mellemhøj", "mellemlav" eller "lav". Indberet "høj", hvis funktionens størrelse er stor, "mellemhøj", hvis den er middel, "mellemlav", hvis den er lille, og "lav", hvis den er ubetydelig. Anvende makroøkonomiske variabler såsom BNP, befolkning (for indlån, udlån, betalinger, kontanter, afvikling, clearing og forvaltning) eller markedsstørrelse (for kapitalmarkeder og engrosfinansiering) som benchmark for denne kvalitative vurdering. </w:t>
            </w:r>
          </w:p>
          <w:p w14:paraId="7FE1BD68" w14:textId="10683EF9" w:rsidR="00960E01" w:rsidRDefault="00821CB5">
            <w:pPr>
              <w:pStyle w:val="P68B1DB1-Normal43"/>
            </w:pPr>
            <w:r>
              <w:t xml:space="preserve"> </w:t>
            </w:r>
          </w:p>
          <w:p w14:paraId="7FE1BD69" w14:textId="77777777" w:rsidR="00960E01" w:rsidRDefault="00821CB5">
            <w:pPr>
              <w:pStyle w:val="P68B1DB1-ListParagraph32"/>
              <w:numPr>
                <w:ilvl w:val="0"/>
                <w:numId w:val="119"/>
              </w:numPr>
              <w:spacing w:line="276" w:lineRule="auto"/>
            </w:pPr>
            <w:r>
              <w:t xml:space="preserve">Ekspertvurdering af størrelsen af </w:t>
            </w:r>
            <w:r>
              <w:rPr>
                <w:b/>
              </w:rPr>
              <w:t>antallet</w:t>
            </w:r>
            <w:r>
              <w:t xml:space="preserve"> af modparter eller transaktioner (c0040) ud fra et </w:t>
            </w:r>
            <w:r>
              <w:rPr>
                <w:b/>
              </w:rPr>
              <w:t>nationalt</w:t>
            </w:r>
            <w:r>
              <w:t xml:space="preserve"> perspektiv [</w:t>
            </w:r>
            <w:r>
              <w:rPr>
                <w:i/>
              </w:rPr>
              <w:t>på det relevante markeds niveau</w:t>
            </w:r>
            <w:r>
              <w:t>]:</w:t>
            </w:r>
          </w:p>
          <w:p w14:paraId="7FE1BD6A" w14:textId="77777777" w:rsidR="00960E01" w:rsidRDefault="00821CB5">
            <w:pPr>
              <w:pStyle w:val="P68B1DB1-ListParagraph32"/>
              <w:numPr>
                <w:ilvl w:val="1"/>
                <w:numId w:val="119"/>
              </w:numPr>
              <w:spacing w:line="276" w:lineRule="auto"/>
            </w:pPr>
            <w:r>
              <w:t>Hvor stort er det anslåede antal modparter i jeres institutter set ud fra et nationalt perspektiv?</w:t>
            </w:r>
          </w:p>
          <w:p w14:paraId="7FE1BD6B" w14:textId="77777777" w:rsidR="00960E01" w:rsidRDefault="00960E01">
            <w:pPr>
              <w:rPr>
                <w:rFonts w:ascii="Times New Roman" w:eastAsiaTheme="minorHAnsi" w:hAnsi="Times New Roman" w:cs="Times New Roman"/>
                <w:color w:val="000000" w:themeColor="text1"/>
                <w:sz w:val="20"/>
                <w:szCs w:val="20"/>
              </w:rPr>
            </w:pPr>
          </w:p>
        </w:tc>
      </w:tr>
      <w:tr w:rsidR="00960E01"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960E01" w:rsidRDefault="00821CB5">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960E01" w:rsidRDefault="00821CB5">
            <w:pPr>
              <w:pStyle w:val="P68B1DB1-Normal42"/>
              <w:rPr>
                <w:bCs/>
              </w:rPr>
            </w:pPr>
            <w:r>
              <w:t>Grænseoverskridende indikator</w:t>
            </w:r>
          </w:p>
          <w:p w14:paraId="7FE1BD6F" w14:textId="77777777" w:rsidR="00960E01" w:rsidRDefault="00821CB5">
            <w:pPr>
              <w:pStyle w:val="P68B1DB1-Normal43"/>
            </w:pPr>
            <w:r>
              <w:t>Vurdere grænseoverskridende aktiviteters relative betydning for de forskellige økonomiske funktioner.</w:t>
            </w:r>
          </w:p>
          <w:p w14:paraId="7FE1BD70" w14:textId="77777777" w:rsidR="00960E01" w:rsidRDefault="00821CB5">
            <w:pPr>
              <w:pStyle w:val="P68B1DB1-Normal43"/>
            </w:pPr>
            <w:r>
              <w:t xml:space="preserve">Det er ikke nødvendigt at vurdere dette i tilfælde af rapporter, hvor det relevante marked anses for at være regionalt. </w:t>
            </w:r>
          </w:p>
          <w:p w14:paraId="482F1D03" w14:textId="77777777" w:rsidR="00960E01" w:rsidRDefault="00821CB5">
            <w:pPr>
              <w:pStyle w:val="P68B1DB1-ListParagraph32"/>
              <w:numPr>
                <w:ilvl w:val="0"/>
                <w:numId w:val="118"/>
              </w:numPr>
              <w:rPr>
                <w:i/>
                <w:iCs/>
              </w:rPr>
            </w:pPr>
            <w:r>
              <w:t>Andel af den indberettende enheds aktiviteter på tværs af jurisdiktioner i procent af den samlede værdi udtrykt i regnskabsmæssig bruttoværdi. Betænkning:</w:t>
            </w:r>
          </w:p>
          <w:p w14:paraId="7E6697A4" w14:textId="4449B508" w:rsidR="00960E01" w:rsidRDefault="00821CB5">
            <w:pPr>
              <w:pStyle w:val="P68B1DB1-ListParagraph32"/>
              <w:numPr>
                <w:ilvl w:val="1"/>
                <w:numId w:val="118"/>
              </w:numPr>
              <w:rPr>
                <w:i/>
                <w:iCs/>
              </w:rPr>
            </w:pPr>
            <w:r>
              <w:t xml:space="preserve"> </w:t>
            </w:r>
            <w:r w:rsidR="005B0C74">
              <w:t xml:space="preserve">&lt; </w:t>
            </w:r>
            <w:r>
              <w:t xml:space="preserve">5 % </w:t>
            </w:r>
          </w:p>
          <w:p w14:paraId="30B91FAF" w14:textId="5CD6C33D" w:rsidR="00960E01" w:rsidRDefault="00821CB5">
            <w:pPr>
              <w:pStyle w:val="P68B1DB1-ListParagraph32"/>
              <w:numPr>
                <w:ilvl w:val="1"/>
                <w:numId w:val="118"/>
              </w:numPr>
              <w:rPr>
                <w:i/>
                <w:iCs/>
              </w:rPr>
            </w:pPr>
            <w:r>
              <w:t xml:space="preserve">5-15 % </w:t>
            </w:r>
          </w:p>
          <w:p w14:paraId="50353685" w14:textId="2995AD20" w:rsidR="00960E01" w:rsidRDefault="00821CB5">
            <w:pPr>
              <w:pStyle w:val="P68B1DB1-ListParagraph32"/>
              <w:numPr>
                <w:ilvl w:val="1"/>
                <w:numId w:val="118"/>
              </w:numPr>
              <w:rPr>
                <w:i/>
                <w:iCs/>
              </w:rPr>
            </w:pPr>
            <w:r>
              <w:t xml:space="preserve">15-25 %, </w:t>
            </w:r>
          </w:p>
          <w:p w14:paraId="7FE1BD71" w14:textId="6E1F5AA5" w:rsidR="00960E01" w:rsidRDefault="00821CB5">
            <w:pPr>
              <w:pStyle w:val="P68B1DB1-ListParagraph32"/>
              <w:numPr>
                <w:ilvl w:val="1"/>
                <w:numId w:val="118"/>
              </w:numPr>
              <w:rPr>
                <w:i/>
                <w:iCs/>
              </w:rPr>
            </w:pPr>
            <w:r>
              <w:t>&gt; 25 %.</w:t>
            </w:r>
          </w:p>
          <w:p w14:paraId="7FE1BD72" w14:textId="77777777" w:rsidR="00960E01" w:rsidRDefault="00960E01">
            <w:pPr>
              <w:rPr>
                <w:rFonts w:ascii="Times New Roman" w:eastAsiaTheme="minorHAnsi" w:hAnsi="Times New Roman" w:cs="Times New Roman"/>
                <w:color w:val="000000" w:themeColor="text1"/>
                <w:sz w:val="20"/>
                <w:szCs w:val="20"/>
              </w:rPr>
            </w:pPr>
          </w:p>
        </w:tc>
      </w:tr>
      <w:tr w:rsidR="00960E01"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960E01" w:rsidRDefault="00821CB5">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960E01" w:rsidRDefault="00821CB5">
            <w:pPr>
              <w:pStyle w:val="P68B1DB1-Normal42"/>
              <w:rPr>
                <w:bCs/>
              </w:rPr>
            </w:pPr>
            <w:r>
              <w:t xml:space="preserve">Relevans — </w:t>
            </w:r>
          </w:p>
          <w:p w14:paraId="7FE1BD76" w14:textId="77777777" w:rsidR="00960E01" w:rsidRDefault="00821CB5">
            <w:pPr>
              <w:pStyle w:val="P68B1DB1-Normal43"/>
            </w:pPr>
            <w:r>
              <w:t>På lokalt, regionalt, nationalt eller europæisk niveau, alt efter hvad der er relevant for det pågældende marked. Relevansen af instituttet kan vurderes på grundlag af markedsandelen, den indbyrdes forbundethed, kompleksiteten og grænseoverskridende aktiviteter</w:t>
            </w:r>
          </w:p>
          <w:p w14:paraId="7FE1BD77" w14:textId="77777777" w:rsidR="00960E01" w:rsidRDefault="00821CB5">
            <w:pPr>
              <w:pStyle w:val="P68B1DB1-Normal42"/>
              <w:rPr>
                <w:bCs/>
              </w:rPr>
            </w:pPr>
            <w:r>
              <w:t>Markedsandel</w:t>
            </w:r>
          </w:p>
          <w:p w14:paraId="7FE1BD78" w14:textId="77777777" w:rsidR="00960E01" w:rsidRDefault="00821CB5">
            <w:pPr>
              <w:pStyle w:val="P68B1DB1-Normal43"/>
            </w:pPr>
            <w:r>
              <w:t xml:space="preserve">Vurdere, hvor vigtig den indberettende enheds markedsandel er i forhold til det nationale marked eller et andet relevant marked som angivet i skemaet. Denne vurdering udtrykkes kvalitativt som </w:t>
            </w:r>
          </w:p>
          <w:p w14:paraId="7FE1BD79" w14:textId="43E56AB8" w:rsidR="00960E01" w:rsidRDefault="00821CB5">
            <w:pPr>
              <w:pStyle w:val="P68B1DB1-ListParagraph38"/>
              <w:numPr>
                <w:ilvl w:val="0"/>
                <w:numId w:val="276"/>
              </w:numPr>
              <w:spacing w:line="276" w:lineRule="auto"/>
              <w:jc w:val="both"/>
            </w:pPr>
            <w:r>
              <w:t>Høj, hvis markedsandelen er stor</w:t>
            </w:r>
          </w:p>
          <w:p w14:paraId="7FE1BD7A" w14:textId="533BFB92" w:rsidR="00960E01" w:rsidRDefault="00821CB5">
            <w:pPr>
              <w:pStyle w:val="P68B1DB1-ListParagraph38"/>
              <w:numPr>
                <w:ilvl w:val="0"/>
                <w:numId w:val="276"/>
              </w:numPr>
              <w:spacing w:line="276" w:lineRule="auto"/>
              <w:jc w:val="both"/>
            </w:pPr>
            <w:r>
              <w:t>Middelhøj, hvis markedsandelen er mellemhøj</w:t>
            </w:r>
          </w:p>
          <w:p w14:paraId="7FE1BD7B" w14:textId="3F2EEB01" w:rsidR="00960E01" w:rsidRDefault="00821CB5">
            <w:pPr>
              <w:pStyle w:val="P68B1DB1-ListParagraph38"/>
              <w:numPr>
                <w:ilvl w:val="0"/>
                <w:numId w:val="276"/>
              </w:numPr>
              <w:spacing w:line="276" w:lineRule="auto"/>
              <w:jc w:val="both"/>
            </w:pPr>
            <w:r>
              <w:t xml:space="preserve">Middel lav, hvis markedsandelen er lille, eller </w:t>
            </w:r>
          </w:p>
          <w:p w14:paraId="7FE1BD7C" w14:textId="05FA4C79" w:rsidR="00960E01" w:rsidRDefault="00821CB5">
            <w:pPr>
              <w:pStyle w:val="P68B1DB1-ListParagraph38"/>
              <w:numPr>
                <w:ilvl w:val="0"/>
                <w:numId w:val="276"/>
              </w:numPr>
              <w:spacing w:line="276" w:lineRule="auto"/>
              <w:jc w:val="both"/>
            </w:pPr>
            <w:r>
              <w:t xml:space="preserve">Lav, hvis markedsandelen er ubetydelig. </w:t>
            </w:r>
          </w:p>
          <w:p w14:paraId="7FE1BD7D" w14:textId="77777777" w:rsidR="00960E01" w:rsidRDefault="00821CB5">
            <w:pPr>
              <w:pStyle w:val="P68B1DB1-Normal43"/>
            </w:pPr>
            <w:r>
              <w:t xml:space="preserve">Denne vurdering tager hensyn til markedsstrukturen i den indberettende enheds land (eller et andet relevant marked) og de markedsandele, der er indberettet delvist. </w:t>
            </w:r>
          </w:p>
          <w:p w14:paraId="7FE1BD7E" w14:textId="77777777" w:rsidR="00960E01" w:rsidRDefault="00821CB5">
            <w:pPr>
              <w:pStyle w:val="P68B1DB1-Normal43"/>
            </w:pPr>
            <w:r>
              <w:t>2.Kvantitative data:</w:t>
            </w:r>
          </w:p>
          <w:p w14:paraId="7FE1BD7F" w14:textId="77777777" w:rsidR="00960E01" w:rsidRDefault="00821CB5">
            <w:pPr>
              <w:pStyle w:val="P68B1DB1-ListParagraph32"/>
              <w:numPr>
                <w:ilvl w:val="0"/>
                <w:numId w:val="116"/>
              </w:numPr>
              <w:jc w:val="both"/>
              <w:rPr>
                <w:i/>
                <w:iCs/>
              </w:rPr>
            </w:pPr>
            <w:r>
              <w:t xml:space="preserve">Ekspertvurdering af størrelsen af den </w:t>
            </w:r>
            <w:r>
              <w:rPr>
                <w:b/>
              </w:rPr>
              <w:t xml:space="preserve">nationale </w:t>
            </w:r>
            <w:r>
              <w:t>markedsandel (rapporteret i c0020, undtagen i tilfælde, hvor rapporten er udarbejdet for et andet relevant markedsniveau, i hvilket tilfælde der forventes en vurdering af den relevante markedsandel).</w:t>
            </w:r>
          </w:p>
          <w:p w14:paraId="7FE1BD80" w14:textId="77777777" w:rsidR="00960E01" w:rsidRDefault="00960E01">
            <w:pPr>
              <w:rPr>
                <w:rFonts w:ascii="Times New Roman" w:eastAsiaTheme="minorHAnsi" w:hAnsi="Times New Roman" w:cs="Times New Roman"/>
                <w:color w:val="000000" w:themeColor="text1"/>
                <w:sz w:val="20"/>
                <w:szCs w:val="20"/>
              </w:rPr>
            </w:pPr>
          </w:p>
          <w:p w14:paraId="7FE1BD81" w14:textId="77777777" w:rsidR="00960E01" w:rsidRDefault="00960E01">
            <w:pPr>
              <w:rPr>
                <w:rFonts w:ascii="Times New Roman" w:eastAsiaTheme="minorHAnsi" w:hAnsi="Times New Roman" w:cs="Times New Roman"/>
                <w:color w:val="000000" w:themeColor="text1"/>
                <w:sz w:val="20"/>
                <w:szCs w:val="20"/>
              </w:rPr>
            </w:pPr>
          </w:p>
        </w:tc>
      </w:tr>
      <w:tr w:rsidR="00960E01"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960E01" w:rsidRDefault="00821CB5">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960E01" w:rsidRDefault="00821CB5">
            <w:pPr>
              <w:pStyle w:val="P68B1DB1-Normal42"/>
              <w:rPr>
                <w:bCs/>
              </w:rPr>
            </w:pPr>
            <w:r>
              <w:t>Markedsstruktur — markedskoncentration</w:t>
            </w:r>
          </w:p>
          <w:p w14:paraId="7FE1BD85" w14:textId="77777777" w:rsidR="00960E01" w:rsidRDefault="00821CB5">
            <w:pPr>
              <w:pStyle w:val="P68B1DB1-Normal43"/>
            </w:pPr>
            <w:r>
              <w:t xml:space="preserve">Markedskoncentrationen, målt ud fra antallet af konkurrenter, der i øjeblikket klarer sig </w:t>
            </w:r>
          </w:p>
          <w:p w14:paraId="7FE1BD86" w14:textId="77777777" w:rsidR="00960E01" w:rsidRDefault="00821CB5">
            <w:pPr>
              <w:pStyle w:val="P68B1DB1-Normal43"/>
            </w:pPr>
            <w:r>
              <w:t xml:space="preserve">lignende økonomiske funktioner og/eller udbud af lignende tjenester på lige vilkår (dvs. til en </w:t>
            </w:r>
          </w:p>
          <w:p w14:paraId="7FE1BD87" w14:textId="77777777" w:rsidR="00960E01" w:rsidRDefault="00821CB5">
            <w:pPr>
              <w:pStyle w:val="P68B1DB1-Normal43"/>
            </w:pPr>
            <w:r>
              <w:t xml:space="preserve">sammenligneligt omfang og kvalitet og til sammenlignelige omkostninger), der potentielt overtager </w:t>
            </w:r>
          </w:p>
          <w:p w14:paraId="7FE1BD88" w14:textId="77777777" w:rsidR="00960E01" w:rsidRDefault="00821CB5">
            <w:pPr>
              <w:pStyle w:val="P68B1DB1-Normal43"/>
            </w:pPr>
            <w:r>
              <w:t xml:space="preserve">(en del af) den indberettende enheds kunder og/eller forretninger inden for en rimelig tidsramme. </w:t>
            </w:r>
          </w:p>
          <w:p w14:paraId="7FE1BD89" w14:textId="77777777" w:rsidR="00960E01" w:rsidRDefault="00821CB5">
            <w:pPr>
              <w:pStyle w:val="P68B1DB1-Normal43"/>
            </w:pPr>
            <w:r>
              <w:t xml:space="preserve">Dette skal indberettes i undergrupper, som er de samme for hver underfunktion. </w:t>
            </w:r>
          </w:p>
          <w:p w14:paraId="5A8DDF15" w14:textId="77777777" w:rsidR="00960E01" w:rsidRDefault="00821CB5">
            <w:pPr>
              <w:pStyle w:val="P68B1DB1-ListParagraph32"/>
              <w:numPr>
                <w:ilvl w:val="0"/>
                <w:numId w:val="277"/>
              </w:numPr>
              <w:jc w:val="both"/>
            </w:pPr>
            <w:r>
              <w:t xml:space="preserve">&gt; 20 konkurrenter </w:t>
            </w:r>
          </w:p>
          <w:p w14:paraId="0FB3FECD" w14:textId="77777777" w:rsidR="00960E01" w:rsidRDefault="00821CB5">
            <w:pPr>
              <w:pStyle w:val="P68B1DB1-ListParagraph32"/>
              <w:numPr>
                <w:ilvl w:val="0"/>
                <w:numId w:val="277"/>
              </w:numPr>
              <w:jc w:val="both"/>
            </w:pPr>
            <w:r>
              <w:lastRenderedPageBreak/>
              <w:t xml:space="preserve">11-20 konkurrenter </w:t>
            </w:r>
          </w:p>
          <w:p w14:paraId="0742AD9B" w14:textId="77777777" w:rsidR="00960E01" w:rsidRDefault="00821CB5">
            <w:pPr>
              <w:pStyle w:val="P68B1DB1-ListParagraph32"/>
              <w:numPr>
                <w:ilvl w:val="0"/>
                <w:numId w:val="277"/>
              </w:numPr>
              <w:jc w:val="both"/>
            </w:pPr>
            <w:r>
              <w:t xml:space="preserve">5-10 konkurrenter </w:t>
            </w:r>
          </w:p>
          <w:p w14:paraId="240AD074" w14:textId="5AB2D4F0" w:rsidR="00960E01" w:rsidRDefault="00661443">
            <w:pPr>
              <w:pStyle w:val="P68B1DB1-ListParagraph32"/>
              <w:numPr>
                <w:ilvl w:val="0"/>
                <w:numId w:val="277"/>
              </w:numPr>
              <w:jc w:val="both"/>
              <w:rPr>
                <w:b/>
                <w:bCs/>
                <w:color w:val="000000" w:themeColor="text1"/>
              </w:rPr>
            </w:pPr>
            <w:r>
              <w:t xml:space="preserve">&lt; </w:t>
            </w:r>
            <w:r w:rsidR="00821CB5">
              <w:t>5 konkurrenter</w:t>
            </w:r>
          </w:p>
          <w:p w14:paraId="7FE1BD8D" w14:textId="2F17E01A" w:rsidR="00960E01" w:rsidRDefault="00960E01">
            <w:pPr>
              <w:jc w:val="both"/>
              <w:rPr>
                <w:rFonts w:ascii="Times New Roman" w:hAnsi="Times New Roman"/>
                <w:color w:val="000000" w:themeColor="text1"/>
                <w:sz w:val="20"/>
                <w:szCs w:val="20"/>
              </w:rPr>
            </w:pPr>
          </w:p>
        </w:tc>
      </w:tr>
      <w:tr w:rsidR="00960E01"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960E01" w:rsidRDefault="00821CB5">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960E01" w:rsidRDefault="00821CB5">
            <w:pPr>
              <w:pStyle w:val="P68B1DB1-Normal42"/>
              <w:rPr>
                <w:bCs/>
              </w:rPr>
            </w:pPr>
            <w:r>
              <w:t>Tidspunkt — forventet substitutionstid</w:t>
            </w:r>
          </w:p>
          <w:p w14:paraId="7FE1BD91" w14:textId="77777777" w:rsidR="00960E01" w:rsidRDefault="00821CB5">
            <w:pPr>
              <w:pStyle w:val="P68B1DB1-Normal43"/>
            </w:pPr>
            <w:r>
              <w:t>Anslå den tid, der er nødvendig for rapporteringens økonomiske funktion</w:t>
            </w:r>
          </w:p>
          <w:p w14:paraId="7FE1BD92" w14:textId="77777777" w:rsidR="00960E01" w:rsidRDefault="00821CB5">
            <w:pPr>
              <w:pStyle w:val="P68B1DB1-Normal43"/>
            </w:pPr>
            <w:r>
              <w:t xml:space="preserve">enhed, der skal absorberes af markedet i en krisesituation. Dette omfatter: </w:t>
            </w:r>
          </w:p>
          <w:p w14:paraId="7FE1BD93" w14:textId="77777777" w:rsidR="00960E01" w:rsidRDefault="00821CB5">
            <w:pPr>
              <w:pStyle w:val="P68B1DB1-ListParagraph38"/>
              <w:numPr>
                <w:ilvl w:val="0"/>
                <w:numId w:val="274"/>
              </w:numPr>
              <w:jc w:val="both"/>
            </w:pPr>
            <w:r>
              <w:t xml:space="preserve">den forventede tid, som en eller flere konkurrenter har brug for til at gennemføre de retlige og tekniske skridt til at overtage funktionen samt  </w:t>
            </w:r>
          </w:p>
          <w:p w14:paraId="7FE1BD94" w14:textId="77777777" w:rsidR="00960E01" w:rsidRDefault="00821CB5">
            <w:pPr>
              <w:pStyle w:val="P68B1DB1-ListParagraph38"/>
              <w:numPr>
                <w:ilvl w:val="0"/>
                <w:numId w:val="274"/>
              </w:numPr>
              <w:jc w:val="both"/>
            </w:pPr>
            <w:r>
              <w:t xml:space="preserve">den tid, som brugerne af tjenesten har brug for til at flytte til en anden tjenesteudbyder. </w:t>
            </w:r>
          </w:p>
          <w:p w14:paraId="7FE1BD95" w14:textId="77777777" w:rsidR="00960E01" w:rsidRDefault="00960E01">
            <w:pPr>
              <w:rPr>
                <w:rFonts w:ascii="Times New Roman" w:eastAsiaTheme="minorHAnsi" w:hAnsi="Times New Roman" w:cs="Times New Roman"/>
                <w:color w:val="000000" w:themeColor="text1"/>
                <w:sz w:val="20"/>
                <w:szCs w:val="20"/>
              </w:rPr>
            </w:pPr>
          </w:p>
          <w:p w14:paraId="7FE1BD96" w14:textId="77777777" w:rsidR="00960E01" w:rsidRDefault="00821CB5">
            <w:pPr>
              <w:pStyle w:val="P68B1DB1-Normal43"/>
            </w:pPr>
            <w:r>
              <w:t>Som reference for førstnævnte give et skøn over den tid, det vil tage den indberettende enhed at absorbere i sin egen virksomhed (en del af) den tjenesteydelse, der leveres af et andet institut, til en rimelig pris i en krisesituation. Indberet det anslåede tidspunkt for substitution i de undergrupper, der er angivet i skemaet:</w:t>
            </w:r>
          </w:p>
          <w:p w14:paraId="7FE1BD97" w14:textId="77777777" w:rsidR="00960E01" w:rsidRDefault="00821CB5">
            <w:pPr>
              <w:pStyle w:val="P68B1DB1-Normal31"/>
            </w:pPr>
            <w:r>
              <w:t xml:space="preserve">Undergrupper: </w:t>
            </w:r>
          </w:p>
          <w:p w14:paraId="7FE1BD98" w14:textId="077A9BD3" w:rsidR="00960E01" w:rsidRDefault="00821CB5">
            <w:pPr>
              <w:pStyle w:val="P68B1DB1-ListParagraph32"/>
              <w:numPr>
                <w:ilvl w:val="0"/>
                <w:numId w:val="287"/>
              </w:numPr>
            </w:pPr>
            <w:r>
              <w:t xml:space="preserve">≤ 1 dag </w:t>
            </w:r>
          </w:p>
          <w:p w14:paraId="7FE1BD99" w14:textId="07CCFE77" w:rsidR="00960E01" w:rsidRDefault="00821CB5">
            <w:pPr>
              <w:pStyle w:val="P68B1DB1-ListParagraph32"/>
              <w:numPr>
                <w:ilvl w:val="0"/>
                <w:numId w:val="287"/>
              </w:numPr>
            </w:pPr>
            <w:r>
              <w:t xml:space="preserve">1 dag-1 uge </w:t>
            </w:r>
          </w:p>
          <w:p w14:paraId="7FE1BD9A" w14:textId="47AC6C88" w:rsidR="00960E01" w:rsidRDefault="00821CB5">
            <w:pPr>
              <w:pStyle w:val="P68B1DB1-ListParagraph32"/>
              <w:numPr>
                <w:ilvl w:val="0"/>
                <w:numId w:val="287"/>
              </w:numPr>
            </w:pPr>
            <w:r>
              <w:t xml:space="preserve">&gt; 1 week- 1 måned </w:t>
            </w:r>
          </w:p>
          <w:p w14:paraId="7FE1BD9B" w14:textId="3CEE3934" w:rsidR="00960E01" w:rsidRDefault="00821CB5">
            <w:pPr>
              <w:pStyle w:val="P68B1DB1-ListParagraph32"/>
              <w:numPr>
                <w:ilvl w:val="0"/>
                <w:numId w:val="287"/>
              </w:numPr>
              <w:rPr>
                <w:color w:val="000000" w:themeColor="text1"/>
              </w:rPr>
            </w:pPr>
            <w:r>
              <w:t>&gt; 1 måned</w:t>
            </w:r>
          </w:p>
        </w:tc>
      </w:tr>
      <w:tr w:rsidR="00960E01"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960E01" w:rsidRDefault="00821CB5">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960E01" w:rsidRDefault="00821CB5">
            <w:pPr>
              <w:pStyle w:val="P68B1DB1-Normal42"/>
              <w:rPr>
                <w:bCs/>
              </w:rPr>
            </w:pPr>
            <w:r>
              <w:t>Substitutionsevne</w:t>
            </w:r>
          </w:p>
        </w:tc>
      </w:tr>
      <w:tr w:rsidR="00960E01"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960E01" w:rsidRDefault="00821CB5">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960E01" w:rsidRDefault="00821CB5">
            <w:pPr>
              <w:pStyle w:val="P68B1DB1-Normal42"/>
              <w:rPr>
                <w:bCs/>
              </w:rPr>
            </w:pPr>
            <w:r>
              <w:t>Juridiske hindringer for adgang eller udvidelse</w:t>
            </w:r>
          </w:p>
          <w:p w14:paraId="7FE1BDA2" w14:textId="77777777" w:rsidR="00960E01" w:rsidRDefault="00960E01">
            <w:pPr>
              <w:rPr>
                <w:rFonts w:ascii="Times New Roman" w:eastAsiaTheme="minorHAnsi" w:hAnsi="Times New Roman" w:cs="Times New Roman"/>
                <w:color w:val="000000" w:themeColor="text1"/>
                <w:sz w:val="20"/>
                <w:szCs w:val="20"/>
              </w:rPr>
            </w:pPr>
          </w:p>
          <w:p w14:paraId="7FE1BDA3" w14:textId="77777777" w:rsidR="00960E01" w:rsidRDefault="00821CB5">
            <w:pPr>
              <w:pStyle w:val="P68B1DB1-Normal43"/>
            </w:pPr>
            <w:r>
              <w:t xml:space="preserve">Juridiske hindringer for, at konkurrenter kan tilbyde tjenesten. Lovkrav til udøvelse af virksomhed som kreditinstitut (f.eks. banklicenser eller kapitalkrav) skal ikke betragtes som uoverstigelige hindringer, når alternative udbydere er til stede. Denne indikator skal indberettes i undergrupper, som er de samme for hver underfunktion: </w:t>
            </w:r>
          </w:p>
          <w:p w14:paraId="7FE1BDA4" w14:textId="5F64D555" w:rsidR="00960E01" w:rsidRDefault="00821CB5">
            <w:pPr>
              <w:pStyle w:val="P68B1DB1-ListParagraph39"/>
              <w:numPr>
                <w:ilvl w:val="0"/>
                <w:numId w:val="275"/>
              </w:numPr>
              <w:jc w:val="both"/>
            </w:pPr>
            <w:r>
              <w:t xml:space="preserve">ingen større hindringer </w:t>
            </w:r>
          </w:p>
          <w:p w14:paraId="7FE1BDA5" w14:textId="09B8D427" w:rsidR="00960E01" w:rsidRDefault="00821CB5">
            <w:pPr>
              <w:pStyle w:val="P68B1DB1-ListParagraph39"/>
              <w:numPr>
                <w:ilvl w:val="0"/>
                <w:numId w:val="275"/>
              </w:numPr>
              <w:jc w:val="both"/>
            </w:pPr>
            <w:r>
              <w:t xml:space="preserve">visse hindringer </w:t>
            </w:r>
          </w:p>
          <w:p w14:paraId="7FE1BDA6" w14:textId="14CFE055" w:rsidR="00960E01" w:rsidRDefault="00821CB5">
            <w:pPr>
              <w:pStyle w:val="P68B1DB1-ListParagraph39"/>
              <w:numPr>
                <w:ilvl w:val="0"/>
                <w:numId w:val="275"/>
              </w:numPr>
              <w:jc w:val="both"/>
            </w:pPr>
            <w:r>
              <w:t xml:space="preserve">væsentlige (men overvindelige) barrierer </w:t>
            </w:r>
          </w:p>
          <w:p w14:paraId="7FE1BDA8" w14:textId="2895BA0A" w:rsidR="00960E01" w:rsidRDefault="00821CB5">
            <w:pPr>
              <w:pStyle w:val="P68B1DB1-ListParagraph8"/>
              <w:numPr>
                <w:ilvl w:val="0"/>
                <w:numId w:val="275"/>
              </w:numPr>
              <w:jc w:val="both"/>
              <w:rPr>
                <w:rFonts w:eastAsiaTheme="minorHAnsi"/>
              </w:rPr>
            </w:pPr>
            <w:r>
              <w:t>kritiske (svære at overvinde) barrierer.</w:t>
            </w:r>
          </w:p>
        </w:tc>
      </w:tr>
      <w:tr w:rsidR="00960E01"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960E01" w:rsidRDefault="00821CB5">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960E01" w:rsidRDefault="00821CB5">
            <w:pPr>
              <w:pStyle w:val="P68B1DB1-Normal42"/>
              <w:rPr>
                <w:bCs/>
              </w:rPr>
            </w:pPr>
            <w:r>
              <w:t>Driftsmæssige krav til adgang eller udvidelse</w:t>
            </w:r>
          </w:p>
          <w:p w14:paraId="7FE1BDAC" w14:textId="77777777" w:rsidR="00960E01" w:rsidRDefault="00960E01">
            <w:pPr>
              <w:rPr>
                <w:rFonts w:ascii="Times New Roman" w:eastAsiaTheme="minorHAnsi" w:hAnsi="Times New Roman" w:cs="Times New Roman"/>
                <w:color w:val="000000" w:themeColor="text1"/>
                <w:sz w:val="20"/>
                <w:szCs w:val="20"/>
              </w:rPr>
            </w:pPr>
          </w:p>
          <w:p w14:paraId="7FE1BDAD" w14:textId="130EC7BC" w:rsidR="00960E01" w:rsidRDefault="00821CB5">
            <w:pPr>
              <w:pStyle w:val="P68B1DB1-Normal43"/>
            </w:pPr>
            <w:r>
              <w:t xml:space="preserve">Organisatoriske, tekniske og infrastrukturelle krav til konkurrenterne om at tilbyde tjenesten. Udbud af tjenester i forbindelse med (under) funktionen kræver, at udbyderne investerer i (ny eller yderligere) infrastruktur eller ændrer deres organisationer. Vurdere markedets evne til at absorbere den pågældende virksomhed, f.eks. med hensyn til kapitalkrav. </w:t>
            </w:r>
          </w:p>
          <w:p w14:paraId="7FE1BDAE" w14:textId="77777777" w:rsidR="00960E01" w:rsidRDefault="00821CB5">
            <w:pPr>
              <w:pStyle w:val="P68B1DB1-Normal43"/>
            </w:pPr>
            <w:r>
              <w:t xml:space="preserve">Denne indikator skal indberettes i undergrupper, som er de samme for hver underfunktion: </w:t>
            </w:r>
          </w:p>
          <w:p w14:paraId="7FE1BDAF" w14:textId="39113051" w:rsidR="00960E01" w:rsidRDefault="00821CB5">
            <w:pPr>
              <w:pStyle w:val="P68B1DB1-ListParagraph38"/>
              <w:numPr>
                <w:ilvl w:val="0"/>
                <w:numId w:val="278"/>
              </w:numPr>
              <w:jc w:val="both"/>
            </w:pPr>
            <w:r>
              <w:t xml:space="preserve">ingen væsentlige krav </w:t>
            </w:r>
          </w:p>
          <w:p w14:paraId="7FE1BDB0" w14:textId="63777608" w:rsidR="00960E01" w:rsidRDefault="00821CB5">
            <w:pPr>
              <w:pStyle w:val="P68B1DB1-ListParagraph38"/>
              <w:numPr>
                <w:ilvl w:val="0"/>
                <w:numId w:val="278"/>
              </w:numPr>
              <w:jc w:val="both"/>
            </w:pPr>
            <w:r>
              <w:t xml:space="preserve">visse krav </w:t>
            </w:r>
          </w:p>
          <w:p w14:paraId="7FE1BDB1" w14:textId="78F7EC3E" w:rsidR="00960E01" w:rsidRDefault="00821CB5">
            <w:pPr>
              <w:pStyle w:val="P68B1DB1-ListParagraph38"/>
              <w:numPr>
                <w:ilvl w:val="0"/>
                <w:numId w:val="278"/>
              </w:numPr>
              <w:jc w:val="both"/>
            </w:pPr>
            <w:r>
              <w:t xml:space="preserve">væsentlige (men overvindelige) krav </w:t>
            </w:r>
          </w:p>
          <w:p w14:paraId="7FE1BDB2" w14:textId="5A2EF079" w:rsidR="00960E01" w:rsidRDefault="00821CB5">
            <w:pPr>
              <w:pStyle w:val="P68B1DB1-ListParagraph38"/>
              <w:numPr>
                <w:ilvl w:val="0"/>
                <w:numId w:val="278"/>
              </w:numPr>
              <w:jc w:val="both"/>
            </w:pPr>
            <w:r>
              <w:t>kritiske (vanskelige at opfylde) krav.</w:t>
            </w:r>
          </w:p>
          <w:p w14:paraId="7FE1BDB3" w14:textId="77777777" w:rsidR="00960E01" w:rsidRDefault="00960E01">
            <w:pPr>
              <w:rPr>
                <w:rFonts w:ascii="Times New Roman" w:eastAsiaTheme="minorHAnsi" w:hAnsi="Times New Roman" w:cs="Times New Roman"/>
                <w:color w:val="000000" w:themeColor="text1"/>
                <w:sz w:val="20"/>
                <w:szCs w:val="20"/>
              </w:rPr>
            </w:pPr>
          </w:p>
        </w:tc>
      </w:tr>
      <w:tr w:rsidR="00960E01"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960E01" w:rsidRDefault="00821CB5">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960E01" w:rsidRDefault="00821CB5">
            <w:pPr>
              <w:pStyle w:val="P68B1DB1-Normal42"/>
              <w:rPr>
                <w:bCs/>
              </w:rPr>
            </w:pPr>
            <w:r>
              <w:t>Kritikalitetsvurdering</w:t>
            </w:r>
          </w:p>
        </w:tc>
      </w:tr>
      <w:tr w:rsidR="00960E01"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960E01" w:rsidRDefault="00821CB5">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960E01" w:rsidRDefault="00821CB5">
            <w:pPr>
              <w:pStyle w:val="P68B1DB1-Normal42"/>
              <w:rPr>
                <w:bCs/>
              </w:rPr>
            </w:pPr>
            <w:r>
              <w:t xml:space="preserve">Indvirkning på markedet </w:t>
            </w:r>
          </w:p>
          <w:p w14:paraId="7FE1BDBA" w14:textId="77777777" w:rsidR="00960E01" w:rsidRDefault="00821CB5">
            <w:pPr>
              <w:pStyle w:val="P68B1DB1-Normal43"/>
            </w:pPr>
            <w:r>
              <w:t>Anslået virkning af en pludselig afbrydelse af funktionen for tredjepart, finansielle markeder og realøkonomien, under hensyntagen til instituttets størrelse, markedsandel, eksterne og interne forbundethed, kompleksitet og grænseoverskridende aktiviteter.</w:t>
            </w:r>
          </w:p>
          <w:p w14:paraId="7FE1BDBB" w14:textId="26AC665D" w:rsidR="00960E01" w:rsidRDefault="00821CB5">
            <w:pPr>
              <w:pStyle w:val="P68B1DB1-Normal43"/>
            </w:pPr>
            <w:r>
              <w:t>Denne vurdering udtrykkes kvalitativt som "høj", "mellemhøj", "mellemlav" eller lav.</w:t>
            </w:r>
          </w:p>
          <w:p w14:paraId="7FE1BDBC" w14:textId="64D10370" w:rsidR="00960E01" w:rsidRDefault="00821CB5">
            <w:pPr>
              <w:pStyle w:val="P68B1DB1-Normal43"/>
            </w:pPr>
            <w:r>
              <w:lastRenderedPageBreak/>
              <w:t>"Høj" vælges, hvis afbrydelsen har stor indvirkning på det nationale marked, "MH", hvis indvirkningen er betydelig, "Medium-Low" hvis indvirkningen er væsentlig, men begrænset, og "Lav" hvis indvirkningen er lav.</w:t>
            </w:r>
          </w:p>
        </w:tc>
      </w:tr>
      <w:tr w:rsidR="00960E01"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960E01" w:rsidRDefault="00821CB5">
            <w:pPr>
              <w:pStyle w:val="P68B1DB1-TableParagraph17"/>
              <w:spacing w:before="108"/>
              <w:ind w:left="85"/>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960E01" w:rsidRDefault="00821CB5">
            <w:pPr>
              <w:pStyle w:val="P68B1DB1-Normal42"/>
              <w:rPr>
                <w:bCs/>
              </w:rPr>
            </w:pPr>
            <w:r>
              <w:t>Substituerbarhed</w:t>
            </w:r>
          </w:p>
          <w:p w14:paraId="7FE1BDC0" w14:textId="77777777" w:rsidR="00960E01" w:rsidRDefault="00821CB5">
            <w:pPr>
              <w:pStyle w:val="P68B1DB1-Normal43"/>
            </w:pPr>
            <w:r>
              <w:t>Artikel 6, stk. 3, i delegeret forordning (EU) 2016/778.</w:t>
            </w:r>
          </w:p>
          <w:p w14:paraId="7FE1BDC1" w14:textId="77777777" w:rsidR="00960E01" w:rsidRDefault="00821CB5">
            <w:pPr>
              <w:pStyle w:val="P68B1DB1-Normal43"/>
            </w:pPr>
            <w:r>
              <w:t>En funktion anses for substituerbar, hvis den kan erstattes på en acceptabel måde og inden for en rimelig tidsfrist, så man derved undgår systemiske problemer for realøkonomien og de finansielle markeder. Der skal tages hensyn til følgende:</w:t>
            </w:r>
          </w:p>
          <w:p w14:paraId="7FE1BDC2" w14:textId="77777777" w:rsidR="00960E01" w:rsidRDefault="00821CB5">
            <w:pPr>
              <w:pStyle w:val="P68B1DB1-Normal43"/>
            </w:pPr>
            <w:r>
              <w:t xml:space="preserve">(a) strukturen på markedet for denne funktion og alternative leverandørers disponibilitet </w:t>
            </w:r>
          </w:p>
          <w:p w14:paraId="7FE1BDC3" w14:textId="77777777" w:rsidR="00960E01" w:rsidRDefault="00821CB5">
            <w:pPr>
              <w:pStyle w:val="P68B1DB1-Normal43"/>
            </w:pPr>
            <w:r>
              <w:t xml:space="preserve">(b) andre leverandørers evne med hensyn til kapacitet, kravene vedrørende udførelse af den pågældende funktion og potentielle hindringer for adgang eller ekspansion </w:t>
            </w:r>
          </w:p>
          <w:p w14:paraId="7FE1BDC4" w14:textId="77777777" w:rsidR="00960E01" w:rsidRDefault="00821CB5">
            <w:pPr>
              <w:pStyle w:val="P68B1DB1-Normal43"/>
            </w:pPr>
            <w:r>
              <w:t xml:space="preserve">(c) andre leverandørers incitament til at påtage sig disse aktiviteter </w:t>
            </w:r>
          </w:p>
          <w:p w14:paraId="7FE1BDC5" w14:textId="77777777" w:rsidR="00960E01" w:rsidRDefault="00821CB5">
            <w:pPr>
              <w:pStyle w:val="P68B1DB1-Normal43"/>
            </w:pPr>
            <w:r>
              <w:t>(d) den tid, som brugerne af tjenesten har behov for til at flytte over til den nye tjenesteyder, og omkostningerne ved at flytte, den tid, der er behov for, til at andre konkurrenter kan overtage funktionerne, og hvorvidt denne tid er passende til at forhindre betydelige forstyrrelser afhængigt af den pågældende tjeneste.</w:t>
            </w:r>
          </w:p>
          <w:p w14:paraId="7FE1BDC6" w14:textId="024DAF4C" w:rsidR="00960E01" w:rsidRDefault="00821CB5">
            <w:pPr>
              <w:pStyle w:val="P68B1DB1-Normal3"/>
            </w:pPr>
            <w:r>
              <w:t xml:space="preserve">Give en samlet vurdering af den forventede grad af substituerbarhed for hver funktion under hensyntagen til de forskellige dimensioner, der tidligere er blevet vurderet (markedsandel, markedskoncentration, substitutionstid, juridiske hindringer og operationelle krav til adgang eller ekspansion). Denne vurdering udtrykkes kvalitativt som "høj", "mellemhøj", "mellemlav" eller lav. </w:t>
            </w:r>
          </w:p>
          <w:p w14:paraId="07F40115" w14:textId="77777777" w:rsidR="00960E01" w:rsidRDefault="00960E01">
            <w:pPr>
              <w:rPr>
                <w:rFonts w:ascii="Times New Roman" w:eastAsiaTheme="minorHAnsi" w:hAnsi="Times New Roman" w:cs="Times New Roman"/>
                <w:color w:val="000000" w:themeColor="text1"/>
                <w:sz w:val="20"/>
                <w:szCs w:val="20"/>
              </w:rPr>
            </w:pPr>
          </w:p>
          <w:p w14:paraId="7FE1BDC7" w14:textId="704E53DC" w:rsidR="00960E01" w:rsidRDefault="00821CB5">
            <w:pPr>
              <w:pStyle w:val="P68B1DB1-Normal43"/>
            </w:pPr>
            <w:r>
              <w:t>"Høj" vælges, hvis en funktion nemt kan udføres af en anden bank under sammenlignelige betingelser inden for en rimelig tidsramme</w:t>
            </w:r>
          </w:p>
          <w:p w14:paraId="7FE1BDC8" w14:textId="794A9FE4" w:rsidR="00960E01" w:rsidRDefault="00821CB5">
            <w:pPr>
              <w:pStyle w:val="P68B1DB1-Normal43"/>
            </w:pPr>
            <w:r>
              <w:t xml:space="preserve">"L", hvis en funktion ikke nemt eller hurtigt kan erstattes </w:t>
            </w:r>
          </w:p>
          <w:p w14:paraId="7FE1BDC9" w14:textId="02A9D6A2" w:rsidR="00960E01" w:rsidRDefault="00821CB5">
            <w:pPr>
              <w:pStyle w:val="P68B1DB1-Normal43"/>
            </w:pPr>
            <w:r>
              <w:t>"Medium-High" og "Medium-Low" for mellemliggende tilfælde under hensyntagen til diverse dimensioner (bl.a. markedsandel, markedskoncentration, substitutionstid samt juridiske hindringer for og operationelle krav vedrørende adgang eller ekspansion).</w:t>
            </w:r>
          </w:p>
        </w:tc>
      </w:tr>
      <w:tr w:rsidR="00960E01"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960E01" w:rsidRDefault="00821CB5">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960E01" w:rsidRDefault="00821CB5">
            <w:pPr>
              <w:pStyle w:val="P68B1DB1-Normal42"/>
              <w:rPr>
                <w:bCs/>
              </w:rPr>
            </w:pPr>
            <w:r>
              <w:t>Kritisk funktion</w:t>
            </w:r>
          </w:p>
          <w:p w14:paraId="7FE1BDCD" w14:textId="77777777" w:rsidR="00960E01" w:rsidRDefault="00821CB5">
            <w:pPr>
              <w:pStyle w:val="P68B1DB1-Normal43"/>
            </w:pPr>
            <w:r>
              <w:t>I denne kolonne angives det, under hensyntagen til den indflydelses- og erstatningsanalyse, som institutionen har udført, hvorvidt den økonomiske funktion anses for at være kritisk på markedet for det pågældende land.</w:t>
            </w:r>
          </w:p>
          <w:p w14:paraId="7FE1BDCE" w14:textId="77777777" w:rsidR="00960E01" w:rsidRDefault="00821CB5">
            <w:pPr>
              <w:pStyle w:val="P68B1DB1-Normal43"/>
            </w:pPr>
            <w:r>
              <w:t>Angiv "Ja" eller "Nej"</w:t>
            </w:r>
          </w:p>
        </w:tc>
      </w:tr>
      <w:tr w:rsidR="00960E01"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960E01" w:rsidRDefault="00821CB5">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960E01" w:rsidRDefault="00821CB5">
            <w:pPr>
              <w:pStyle w:val="P68B1DB1-Normal42"/>
              <w:rPr>
                <w:bCs/>
              </w:rPr>
            </w:pPr>
            <w:r>
              <w:t>Gruppens bemærkninger</w:t>
            </w:r>
          </w:p>
          <w:p w14:paraId="7FE1BDD2" w14:textId="77777777" w:rsidR="00960E01" w:rsidRDefault="00821CB5">
            <w:pPr>
              <w:pStyle w:val="P68B1DB1-Normal43"/>
            </w:pPr>
            <w:r>
              <w:t>Dette felt gør det muligt for den regnskabsaflæggende virksomhed at redegøre for eventuelle antagelser, der er anvendt til at vurdere den kritiske karakter af den eller de indberettede funktioner.</w:t>
            </w:r>
          </w:p>
        </w:tc>
      </w:tr>
    </w:tbl>
    <w:p w14:paraId="7FE1BDD4" w14:textId="77777777" w:rsidR="00960E01" w:rsidRDefault="00960E01">
      <w:pPr>
        <w:rPr>
          <w:rFonts w:ascii="Times New Roman" w:hAnsi="Times New Roman" w:cs="Times New Roman"/>
          <w:color w:val="000000" w:themeColor="text1"/>
          <w:sz w:val="20"/>
          <w:szCs w:val="20"/>
        </w:rPr>
      </w:pPr>
    </w:p>
    <w:p w14:paraId="7FE1BFB4" w14:textId="77777777" w:rsidR="00960E01" w:rsidRDefault="00960E01">
      <w:pPr>
        <w:rPr>
          <w:rFonts w:ascii="Times New Roman" w:hAnsi="Times New Roman" w:cs="Times New Roman"/>
        </w:rPr>
      </w:pPr>
    </w:p>
    <w:p w14:paraId="7FE1BFB5" w14:textId="432A2FAA" w:rsidR="00960E01" w:rsidRDefault="00821CB5">
      <w:pPr>
        <w:pStyle w:val="P68B1DB1-Instructionsberschrift25"/>
        <w:numPr>
          <w:ilvl w:val="1"/>
          <w:numId w:val="49"/>
        </w:numPr>
        <w:ind w:left="357" w:hanging="357"/>
      </w:pPr>
      <w:bookmarkStart w:id="122" w:name="_Toc208244568"/>
      <w:r>
        <w:t>Z 07.02 — Oversigt over økonomiske funktioner pr. juridisk enhed (FUNC 2)</w:t>
      </w:r>
      <w:bookmarkEnd w:id="122"/>
      <w:r>
        <w:t xml:space="preserve"> </w:t>
      </w:r>
    </w:p>
    <w:p w14:paraId="7FE1BFB6" w14:textId="77777777" w:rsidR="00960E01" w:rsidRDefault="00821CB5">
      <w:pPr>
        <w:pStyle w:val="P68B1DB1-Instructionsberschrift312"/>
        <w:rPr>
          <w:color w:val="auto"/>
        </w:rPr>
      </w:pPr>
      <w:r>
        <w:t>Instrukser</w:t>
      </w:r>
      <w:r>
        <w:rPr>
          <w:color w:val="auto"/>
        </w:rPr>
        <w:t xml:space="preserve"> vedrørende specifikke positioner</w:t>
      </w:r>
    </w:p>
    <w:p w14:paraId="7FE1BFB7" w14:textId="7A5F9014" w:rsidR="00960E01" w:rsidRDefault="00821CB5">
      <w:pPr>
        <w:pStyle w:val="P68B1DB1-InstructionsText26"/>
        <w:numPr>
          <w:ilvl w:val="0"/>
          <w:numId w:val="232"/>
        </w:numPr>
        <w:spacing w:before="0"/>
      </w:pPr>
      <w:r>
        <w:t>Dette skema skal indberettes for hele koncernen og under hensyntagen til de økonomiske funktioner, som koncernen leverer til økonomien.</w:t>
      </w:r>
    </w:p>
    <w:p w14:paraId="7FE1BFB8" w14:textId="77777777" w:rsidR="00960E01" w:rsidRDefault="00821CB5">
      <w:pPr>
        <w:pStyle w:val="P68B1DB1-InstructionsText26"/>
        <w:numPr>
          <w:ilvl w:val="0"/>
          <w:numId w:val="232"/>
        </w:numPr>
        <w:spacing w:before="0"/>
      </w:pPr>
      <w:r>
        <w:t>Kombinationen af værdier, der indberettes i kolonne 0010, 0020 og 0040 i dette skema, udgør en primær nøgle, som skal være unik for hver enkelt række i skemaet.</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60E01"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960E01" w:rsidRDefault="00821CB5">
            <w:pPr>
              <w:pStyle w:val="P68B1DB1-TableParagraph17"/>
              <w:spacing w:before="108"/>
              <w:ind w:left="85"/>
              <w:jc w:val="both"/>
            </w:pPr>
            <w:r>
              <w:t>Kolonner</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960E01" w:rsidRDefault="00821CB5">
            <w:pPr>
              <w:pStyle w:val="P68B1DB1-TableParagraph17"/>
              <w:spacing w:before="108"/>
              <w:ind w:left="85" w:right="1"/>
              <w:jc w:val="both"/>
            </w:pPr>
            <w:r>
              <w:t>Instrukser</w:t>
            </w:r>
          </w:p>
        </w:tc>
      </w:tr>
      <w:tr w:rsidR="00960E01"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960E01" w:rsidRDefault="00821CB5">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960E01" w:rsidRDefault="00821CB5">
            <w:pPr>
              <w:pStyle w:val="P68B1DB1-TableParagraph14"/>
              <w:spacing w:before="108"/>
              <w:ind w:left="85"/>
              <w:jc w:val="both"/>
              <w:rPr>
                <w:bCs/>
              </w:rPr>
            </w:pPr>
            <w:r>
              <w:t>Økonomisk funktion</w:t>
            </w:r>
          </w:p>
        </w:tc>
      </w:tr>
      <w:tr w:rsidR="00960E01"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960E01" w:rsidRDefault="00821CB5">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960E01" w:rsidRDefault="00821CB5">
            <w:pPr>
              <w:pStyle w:val="P68B1DB1-TableParagraph14"/>
              <w:spacing w:before="108"/>
              <w:ind w:left="85"/>
              <w:jc w:val="both"/>
              <w:rPr>
                <w:bCs/>
              </w:rPr>
            </w:pPr>
            <w:r>
              <w:t>Land</w:t>
            </w:r>
          </w:p>
          <w:p w14:paraId="7FE1BFC1" w14:textId="235DC4B1" w:rsidR="00960E01" w:rsidRDefault="00821CB5">
            <w:pPr>
              <w:pStyle w:val="P68B1DB1-TableParagraph17"/>
              <w:spacing w:before="108"/>
              <w:ind w:left="85"/>
            </w:pPr>
            <w:r>
              <w:lastRenderedPageBreak/>
              <w:t>Det land, hvor den økonomiske funktion leveres</w:t>
            </w:r>
          </w:p>
        </w:tc>
      </w:tr>
      <w:tr w:rsidR="00960E01"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960E01" w:rsidRDefault="00821CB5">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960E01" w:rsidRDefault="00821CB5">
            <w:pPr>
              <w:pStyle w:val="P68B1DB1-TableParagraph14"/>
              <w:spacing w:before="108"/>
              <w:ind w:left="85"/>
              <w:jc w:val="both"/>
              <w:rPr>
                <w:bCs/>
              </w:rPr>
            </w:pPr>
            <w:r>
              <w:t>ID</w:t>
            </w:r>
          </w:p>
          <w:p w14:paraId="7FE1BFC5" w14:textId="05F6B42D" w:rsidR="00960E01" w:rsidRDefault="00821CB5">
            <w:pPr>
              <w:pStyle w:val="P68B1DB1-TableParagraph17"/>
              <w:spacing w:before="108"/>
              <w:ind w:left="85"/>
            </w:pPr>
            <w:r>
              <w:t>ID for de økonomiske funktioner (jf. skema Z 07.01 (FUNC 1) i tilfælde af kritiske funktioner).</w:t>
            </w:r>
          </w:p>
        </w:tc>
      </w:tr>
      <w:tr w:rsidR="00960E01"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960E01" w:rsidRDefault="00821CB5">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960E01" w:rsidRDefault="00821CB5">
            <w:pPr>
              <w:pStyle w:val="P68B1DB1-TableParagraph14"/>
              <w:spacing w:before="108"/>
              <w:ind w:left="85"/>
              <w:jc w:val="both"/>
              <w:rPr>
                <w:bCs/>
              </w:rPr>
            </w:pPr>
            <w:r>
              <w:t>Juridisk enhed</w:t>
            </w:r>
          </w:p>
        </w:tc>
      </w:tr>
      <w:tr w:rsidR="00960E01"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960E01" w:rsidRDefault="00821CB5">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960E01" w:rsidRDefault="00821CB5">
            <w:pPr>
              <w:pStyle w:val="P68B1DB1-TableParagraph14"/>
              <w:spacing w:before="108"/>
              <w:ind w:left="85"/>
              <w:jc w:val="both"/>
              <w:rPr>
                <w:bCs/>
              </w:rPr>
            </w:pPr>
            <w:r>
              <w:t>Enhedens navn</w:t>
            </w:r>
          </w:p>
          <w:p w14:paraId="7FE1BFCD" w14:textId="375A6177" w:rsidR="00960E01" w:rsidRDefault="00821CB5">
            <w:pPr>
              <w:pStyle w:val="P68B1DB1-TableParagraph17"/>
              <w:spacing w:before="108"/>
              <w:ind w:left="85"/>
            </w:pPr>
            <w:r>
              <w:t>Navnet på den enhed, der udfører den økonomiske funktion, som indberettet i Z 01.01 (ORG 1).</w:t>
            </w:r>
          </w:p>
          <w:p w14:paraId="7FE1BFCE" w14:textId="2159DCA3" w:rsidR="00960E01" w:rsidRDefault="00821CB5">
            <w:pPr>
              <w:pStyle w:val="P68B1DB1-TableParagraph17"/>
              <w:spacing w:before="108"/>
              <w:ind w:left="85"/>
            </w:pPr>
            <w:r>
              <w:t>Hvis flere enheder udfører den samme økonomiske funktion i samme land, skal hver enkelt enhed indberettes i en separat række.</w:t>
            </w:r>
          </w:p>
        </w:tc>
      </w:tr>
      <w:tr w:rsidR="00960E01"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960E01" w:rsidRDefault="00821CB5">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199FDDA5" w:rsidR="00960E01" w:rsidRDefault="00821CB5">
            <w:pPr>
              <w:pStyle w:val="P68B1DB1-TableParagraph14"/>
              <w:spacing w:before="108"/>
              <w:ind w:left="85"/>
              <w:jc w:val="both"/>
              <w:rPr>
                <w:bCs/>
              </w:rPr>
            </w:pPr>
            <w:r>
              <w:t>Kode</w:t>
            </w:r>
          </w:p>
          <w:p w14:paraId="7FE1BFD2" w14:textId="77777777" w:rsidR="00960E01" w:rsidRDefault="00821CB5">
            <w:pPr>
              <w:pStyle w:val="P68B1DB1-TableParagraph17"/>
              <w:spacing w:before="108"/>
              <w:ind w:left="85"/>
            </w:pPr>
            <w:r>
              <w:t>Entydig identifikator for den juridiske enhed i kolonne 0020, som indberettet i skema Z 01.01 (ORG 1).</w:t>
            </w:r>
          </w:p>
          <w:p w14:paraId="7FE1BFD3" w14:textId="0AEAE2F2" w:rsidR="00960E01" w:rsidRDefault="00821CB5">
            <w:pPr>
              <w:pStyle w:val="P68B1DB1-TableParagraph17"/>
              <w:spacing w:before="108"/>
              <w:ind w:left="85"/>
            </w:pPr>
            <w:r>
              <w:t>Identifikationen af enheder foretages på en ensartet måde på tværs af skemaerne.</w:t>
            </w:r>
          </w:p>
        </w:tc>
      </w:tr>
      <w:tr w:rsidR="00960E01"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960E01" w:rsidRDefault="00821CB5">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960E01" w:rsidRDefault="00821CB5">
            <w:pPr>
              <w:pStyle w:val="P68B1DB1-TableParagraph14"/>
              <w:spacing w:before="108"/>
              <w:ind w:left="85"/>
              <w:jc w:val="both"/>
              <w:rPr>
                <w:bCs/>
              </w:rPr>
            </w:pPr>
            <w:r>
              <w:t>Kodetype</w:t>
            </w:r>
          </w:p>
          <w:p w14:paraId="29A7EF10" w14:textId="77777777" w:rsidR="00960E01" w:rsidRDefault="00821CB5">
            <w:pPr>
              <w:pStyle w:val="P68B1DB1-TableParagraph13"/>
              <w:spacing w:before="108"/>
            </w:pPr>
            <w:r>
              <w:t>Vælges blandt følgende muligheder: "LEI-kode", "MFI-kode" eller "Identifikationstype, bortset fra LEI- eller MFI-kode".</w:t>
            </w:r>
          </w:p>
          <w:p w14:paraId="7FE1BFDA" w14:textId="77777777" w:rsidR="00960E01" w:rsidRDefault="00821CB5">
            <w:pPr>
              <w:pStyle w:val="P68B1DB1-TableParagraph13"/>
              <w:spacing w:before="108"/>
              <w:ind w:left="85"/>
              <w:jc w:val="both"/>
              <w:rPr>
                <w:b/>
                <w:bCs/>
              </w:rPr>
            </w:pPr>
            <w:r>
              <w:t>Identifikationen af enheder foretages på en ensartet måde på tværs af skemaerne.</w:t>
            </w:r>
          </w:p>
        </w:tc>
      </w:tr>
      <w:tr w:rsidR="00960E01"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960E01" w:rsidRDefault="00821CB5">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960E01" w:rsidRDefault="00821CB5">
            <w:pPr>
              <w:pStyle w:val="P68B1DB1-TableParagraph14"/>
              <w:spacing w:before="108"/>
              <w:ind w:left="85"/>
              <w:jc w:val="both"/>
              <w:rPr>
                <w:bCs/>
              </w:rPr>
            </w:pPr>
            <w:r>
              <w:t>Pengebeløb</w:t>
            </w:r>
          </w:p>
          <w:p w14:paraId="7FE1BFDE" w14:textId="1157FFA9" w:rsidR="00960E01" w:rsidRDefault="00821CB5">
            <w:pPr>
              <w:pStyle w:val="P68B1DB1-TableParagraph17"/>
              <w:spacing w:before="108"/>
              <w:ind w:left="85"/>
            </w:pPr>
            <w:r>
              <w:t>Den juridiske enheds bidrag (i pengebeløb) til pengebeløbet, jf. skema Z 07.01 (FUNC 1):</w:t>
            </w:r>
          </w:p>
          <w:p w14:paraId="7FE1BFDF" w14:textId="77777777" w:rsidR="00960E01" w:rsidRDefault="00821CB5">
            <w:pPr>
              <w:pStyle w:val="P68B1DB1-TableParagraph17"/>
              <w:numPr>
                <w:ilvl w:val="0"/>
                <w:numId w:val="64"/>
              </w:numPr>
              <w:spacing w:before="108"/>
            </w:pPr>
            <w:r>
              <w:t>Indskud — Kontoværdi</w:t>
            </w:r>
          </w:p>
          <w:p w14:paraId="7FE1BFE0" w14:textId="77777777" w:rsidR="00960E01" w:rsidRDefault="00821CB5">
            <w:pPr>
              <w:pStyle w:val="P68B1DB1-TableParagraph17"/>
              <w:numPr>
                <w:ilvl w:val="0"/>
                <w:numId w:val="64"/>
              </w:numPr>
              <w:spacing w:before="108"/>
            </w:pPr>
            <w:r>
              <w:t>Udlån — Udestående værdi</w:t>
            </w:r>
          </w:p>
          <w:p w14:paraId="7FE1BFE1" w14:textId="77777777" w:rsidR="00960E01" w:rsidRDefault="00821CB5">
            <w:pPr>
              <w:pStyle w:val="P68B1DB1-TableParagraph17"/>
              <w:numPr>
                <w:ilvl w:val="0"/>
                <w:numId w:val="64"/>
              </w:numPr>
              <w:spacing w:before="108"/>
            </w:pPr>
            <w:r>
              <w:t>Betalinger — Værdien af transaktioner/åbne positioner/aktiver i depot (alt efter hvad der er relevant)</w:t>
            </w:r>
          </w:p>
          <w:p w14:paraId="7FE1BFE2" w14:textId="77777777" w:rsidR="00960E01" w:rsidRDefault="00821CB5">
            <w:pPr>
              <w:pStyle w:val="P68B1DB1-TableParagraph17"/>
              <w:numPr>
                <w:ilvl w:val="0"/>
                <w:numId w:val="64"/>
              </w:numPr>
              <w:spacing w:before="108"/>
            </w:pPr>
            <w:r>
              <w:t>Kapitalmarkeder — Notionelt beløb/Regnskabsmæssigt beløb/gebyrindtægter (alt efter hvad der er relevant)</w:t>
            </w:r>
          </w:p>
          <w:p w14:paraId="7FE1BFE3" w14:textId="77777777" w:rsidR="00960E01" w:rsidRDefault="00821CB5">
            <w:pPr>
              <w:pStyle w:val="P68B1DB1-TableParagraph17"/>
              <w:numPr>
                <w:ilvl w:val="0"/>
                <w:numId w:val="64"/>
              </w:numPr>
              <w:spacing w:before="108"/>
            </w:pPr>
            <w:r>
              <w:t>Engros-finansiering — Regnskabsmæssig bruttoværdi</w:t>
            </w:r>
          </w:p>
        </w:tc>
      </w:tr>
    </w:tbl>
    <w:p w14:paraId="7FE1BFE5" w14:textId="77777777" w:rsidR="00960E01" w:rsidRDefault="00960E01">
      <w:pPr>
        <w:rPr>
          <w:rFonts w:ascii="Times New Roman" w:hAnsi="Times New Roman" w:cs="Times New Roman"/>
          <w:color w:val="000000" w:themeColor="text1"/>
          <w:sz w:val="20"/>
          <w:szCs w:val="20"/>
        </w:rPr>
      </w:pPr>
    </w:p>
    <w:p w14:paraId="7FE1BFE6" w14:textId="30C6C61A" w:rsidR="00960E01" w:rsidRDefault="00821CB5">
      <w:pPr>
        <w:pStyle w:val="P68B1DB1-Instructionsberschrift25"/>
        <w:numPr>
          <w:ilvl w:val="1"/>
          <w:numId w:val="49"/>
        </w:numPr>
        <w:ind w:left="357" w:hanging="357"/>
      </w:pPr>
      <w:bookmarkStart w:id="123" w:name="_Toc208244569"/>
      <w:r>
        <w:t>Z 07.03 — Oversigt over centrale forretningsområder pr. juridisk enhed (FUNC 3)</w:t>
      </w:r>
      <w:bookmarkEnd w:id="123"/>
    </w:p>
    <w:p w14:paraId="7FE1BFE7" w14:textId="2A9EA2DA" w:rsidR="00960E01" w:rsidRDefault="00821CB5">
      <w:pPr>
        <w:pStyle w:val="P68B1DB1-Instructionsberschrift312"/>
        <w:rPr>
          <w:bCs/>
        </w:rPr>
      </w:pPr>
      <w:r>
        <w:t>Instrukser vedrørende specifikke positioner</w:t>
      </w:r>
    </w:p>
    <w:p w14:paraId="7FE1BFE8" w14:textId="22DA3D65" w:rsidR="00960E01" w:rsidRDefault="00821CB5">
      <w:pPr>
        <w:pStyle w:val="P68B1DB1-InstructionsText26"/>
        <w:numPr>
          <w:ilvl w:val="0"/>
          <w:numId w:val="232"/>
        </w:numPr>
        <w:spacing w:before="0"/>
      </w:pPr>
      <w:r>
        <w:t>Kombinationen af værdier, der indberettes i kolonne 0020 og 0050 i dette skema, udgør en primær nøgle, som skal være unik for hver enkelt række i skemaet.</w:t>
      </w:r>
    </w:p>
    <w:p w14:paraId="7FE1BFE9" w14:textId="29720803" w:rsidR="00960E01" w:rsidRDefault="00821CB5">
      <w:pPr>
        <w:pStyle w:val="P68B1DB1-InstructionsText26"/>
        <w:numPr>
          <w:ilvl w:val="0"/>
          <w:numId w:val="232"/>
        </w:numPr>
        <w:spacing w:before="0"/>
      </w:pPr>
      <w:r>
        <w:t xml:space="preserve">Kun de relevante forretningslinjer for relevante juridiske enheder skal indberettes i dette skema.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60E01"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960E01" w:rsidRDefault="00821CB5">
            <w:pPr>
              <w:pStyle w:val="P68B1DB1-TableParagraph17"/>
              <w:spacing w:before="108"/>
              <w:ind w:left="85"/>
              <w:jc w:val="both"/>
            </w:pPr>
            <w:r>
              <w:t>Kolonner</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960E01" w:rsidRDefault="00821CB5">
            <w:pPr>
              <w:pStyle w:val="P68B1DB1-TableParagraph17"/>
              <w:spacing w:before="108"/>
              <w:ind w:left="85" w:right="1"/>
              <w:jc w:val="both"/>
            </w:pPr>
            <w:r>
              <w:t>Instrukser</w:t>
            </w:r>
          </w:p>
        </w:tc>
      </w:tr>
      <w:tr w:rsidR="00960E01"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960E01" w:rsidRDefault="00821CB5">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960E01" w:rsidRDefault="00821CB5">
            <w:pPr>
              <w:pStyle w:val="P68B1DB1-TableParagraph14"/>
              <w:spacing w:before="108"/>
              <w:ind w:left="85"/>
              <w:jc w:val="both"/>
              <w:rPr>
                <w:bCs/>
              </w:rPr>
            </w:pPr>
            <w:r>
              <w:t>Centralt forretningsområde</w:t>
            </w:r>
          </w:p>
        </w:tc>
      </w:tr>
      <w:tr w:rsidR="00960E01"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960E01" w:rsidRDefault="00821CB5">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960E01" w:rsidRDefault="00821CB5">
            <w:pPr>
              <w:pStyle w:val="P68B1DB1-TableParagraph14"/>
              <w:spacing w:before="108"/>
              <w:ind w:left="85"/>
              <w:jc w:val="both"/>
              <w:rPr>
                <w:bCs/>
              </w:rPr>
            </w:pPr>
            <w:r>
              <w:t>Centralt forretningsområde</w:t>
            </w:r>
          </w:p>
          <w:p w14:paraId="7FE1BFF2" w14:textId="65133358" w:rsidR="00960E01" w:rsidRDefault="00821CB5">
            <w:pPr>
              <w:pStyle w:val="P68B1DB1-TableParagraph17"/>
              <w:spacing w:before="108"/>
              <w:ind w:left="85"/>
            </w:pPr>
            <w:r>
              <w:t>Centralt forretningsområde i henhold til artikel 2, stk. 1, nr. 36), og artikel 2, stk. 2, i direktiv 2014/59/EU.</w:t>
            </w:r>
          </w:p>
          <w:p w14:paraId="7FE1BFF3" w14:textId="77777777" w:rsidR="00960E01" w:rsidRDefault="00821CB5">
            <w:pPr>
              <w:pStyle w:val="P68B1DB1-TableParagraph17"/>
              <w:spacing w:before="108"/>
              <w:ind w:left="85"/>
            </w:pPr>
            <w:r>
              <w:lastRenderedPageBreak/>
              <w:t>Det centrale forretningsområde skal være et af nedenstående forretningsområder.</w:t>
            </w:r>
          </w:p>
          <w:p w14:paraId="7FE1BFF4" w14:textId="77777777" w:rsidR="00960E01" w:rsidRDefault="00821CB5">
            <w:pPr>
              <w:pStyle w:val="P68B1DB1-TableParagraph17"/>
              <w:numPr>
                <w:ilvl w:val="0"/>
                <w:numId w:val="139"/>
              </w:numPr>
              <w:spacing w:before="108"/>
              <w:rPr>
                <w:rFonts w:eastAsiaTheme="minorEastAsia"/>
              </w:rPr>
            </w:pPr>
            <w:r>
              <w:t xml:space="preserve">Detailbankvæsen </w:t>
            </w:r>
          </w:p>
          <w:p w14:paraId="7FE1BFF5" w14:textId="77777777" w:rsidR="00960E01" w:rsidRDefault="00821CB5">
            <w:pPr>
              <w:pStyle w:val="P68B1DB1-TableParagraph17"/>
              <w:numPr>
                <w:ilvl w:val="0"/>
                <w:numId w:val="139"/>
              </w:numPr>
              <w:spacing w:before="108"/>
            </w:pPr>
            <w:r>
              <w:t>Erhvervskunder</w:t>
            </w:r>
          </w:p>
          <w:p w14:paraId="7FE1BFF6" w14:textId="77777777" w:rsidR="00960E01" w:rsidRDefault="00821CB5">
            <w:pPr>
              <w:pStyle w:val="P68B1DB1-TableParagraph17"/>
              <w:numPr>
                <w:ilvl w:val="0"/>
                <w:numId w:val="139"/>
              </w:numPr>
              <w:spacing w:before="108"/>
            </w:pPr>
            <w:r>
              <w:t xml:space="preserve">Investeringsbankvirksomhed </w:t>
            </w:r>
          </w:p>
          <w:p w14:paraId="7FE1BFF7" w14:textId="77777777" w:rsidR="00960E01" w:rsidRDefault="00821CB5">
            <w:pPr>
              <w:pStyle w:val="P68B1DB1-TableParagraph17"/>
              <w:numPr>
                <w:ilvl w:val="0"/>
                <w:numId w:val="139"/>
              </w:numPr>
              <w:spacing w:before="108"/>
            </w:pPr>
            <w:r>
              <w:t>Forsikring</w:t>
            </w:r>
          </w:p>
          <w:p w14:paraId="7FE1BFF8" w14:textId="77777777" w:rsidR="00960E01" w:rsidRDefault="00821CB5">
            <w:pPr>
              <w:pStyle w:val="P68B1DB1-TableParagraph17"/>
              <w:numPr>
                <w:ilvl w:val="0"/>
                <w:numId w:val="139"/>
              </w:numPr>
              <w:spacing w:before="108"/>
            </w:pPr>
            <w:r>
              <w:t>Genforsikring</w:t>
            </w:r>
          </w:p>
          <w:p w14:paraId="7FE1BFF9" w14:textId="77777777" w:rsidR="00960E01" w:rsidRDefault="00821CB5">
            <w:pPr>
              <w:pStyle w:val="P68B1DB1-TableParagraph17"/>
              <w:numPr>
                <w:ilvl w:val="0"/>
                <w:numId w:val="139"/>
              </w:numPr>
              <w:spacing w:before="108"/>
            </w:pPr>
            <w:r>
              <w:t>Børsmæglervirksomhed på detailmarkedet</w:t>
            </w:r>
          </w:p>
          <w:p w14:paraId="7FE1BFFA" w14:textId="77777777" w:rsidR="00960E01" w:rsidRDefault="00821CB5">
            <w:pPr>
              <w:pStyle w:val="P68B1DB1-TableParagraph17"/>
              <w:numPr>
                <w:ilvl w:val="0"/>
                <w:numId w:val="139"/>
              </w:numPr>
              <w:spacing w:before="108"/>
            </w:pPr>
            <w:r>
              <w:t xml:space="preserve">Formueforvaltning </w:t>
            </w:r>
          </w:p>
          <w:p w14:paraId="7FE1BFFB" w14:textId="77777777" w:rsidR="00960E01" w:rsidRDefault="00821CB5">
            <w:pPr>
              <w:pStyle w:val="P68B1DB1-TableParagraph17"/>
              <w:numPr>
                <w:ilvl w:val="0"/>
                <w:numId w:val="139"/>
              </w:numPr>
              <w:spacing w:before="108"/>
            </w:pPr>
            <w:r>
              <w:t>Ejendomsmæglervirksomhed</w:t>
            </w:r>
          </w:p>
          <w:p w14:paraId="7FE1BFFC" w14:textId="77777777" w:rsidR="00960E01" w:rsidRDefault="00821CB5">
            <w:pPr>
              <w:pStyle w:val="P68B1DB1-TableParagraph17"/>
              <w:numPr>
                <w:ilvl w:val="0"/>
                <w:numId w:val="139"/>
              </w:numPr>
              <w:spacing w:before="108"/>
            </w:pPr>
            <w:r>
              <w:t xml:space="preserve">Regnskaber </w:t>
            </w:r>
          </w:p>
          <w:p w14:paraId="7FE1BFFD" w14:textId="77777777" w:rsidR="00960E01" w:rsidRDefault="00821CB5">
            <w:pPr>
              <w:pStyle w:val="P68B1DB1-TableParagraph17"/>
              <w:numPr>
                <w:ilvl w:val="0"/>
                <w:numId w:val="139"/>
              </w:numPr>
              <w:spacing w:before="108"/>
            </w:pPr>
            <w:r>
              <w:t>Andet</w:t>
            </w:r>
          </w:p>
          <w:p w14:paraId="7FE1BFFE" w14:textId="77777777" w:rsidR="00960E01" w:rsidRDefault="00960E01">
            <w:pPr>
              <w:pStyle w:val="TableParagraph"/>
              <w:spacing w:before="108"/>
              <w:ind w:left="85"/>
              <w:rPr>
                <w:rFonts w:ascii="Times New Roman" w:eastAsia="Cambria" w:hAnsi="Times New Roman" w:cs="Times New Roman"/>
                <w:color w:val="000000" w:themeColor="text1"/>
                <w:sz w:val="20"/>
                <w:szCs w:val="20"/>
              </w:rPr>
            </w:pPr>
          </w:p>
        </w:tc>
      </w:tr>
      <w:tr w:rsidR="00960E01"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960E01" w:rsidRDefault="00821CB5">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960E01" w:rsidRDefault="00821CB5">
            <w:pPr>
              <w:pStyle w:val="P68B1DB1-TableParagraph14"/>
              <w:spacing w:before="108"/>
              <w:ind w:left="85"/>
              <w:jc w:val="both"/>
              <w:rPr>
                <w:bCs/>
              </w:rPr>
            </w:pPr>
            <w:r>
              <w:t>Forretningsområde-ID</w:t>
            </w:r>
          </w:p>
          <w:p w14:paraId="7FE1C002" w14:textId="77777777" w:rsidR="00960E01" w:rsidRDefault="00821CB5">
            <w:pPr>
              <w:pStyle w:val="P68B1DB1-TableParagraph17"/>
              <w:spacing w:before="108"/>
              <w:ind w:left="85"/>
            </w:pPr>
            <w:r>
              <w:t>Unikt ID for det forretningsområde, der skal varetages af instituttet.</w:t>
            </w:r>
          </w:p>
        </w:tc>
      </w:tr>
      <w:tr w:rsidR="00960E01"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960E01" w:rsidRDefault="00821CB5">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960E01" w:rsidRDefault="00821CB5">
            <w:pPr>
              <w:pStyle w:val="P68B1DB1-TableParagraph14"/>
              <w:spacing w:before="108"/>
              <w:ind w:left="85"/>
              <w:jc w:val="both"/>
              <w:rPr>
                <w:bCs/>
              </w:rPr>
            </w:pPr>
            <w:r>
              <w:t>Beskrivelse</w:t>
            </w:r>
          </w:p>
          <w:p w14:paraId="7FE1C015" w14:textId="477A2340" w:rsidR="00960E01" w:rsidRDefault="00821CB5">
            <w:pPr>
              <w:pStyle w:val="P68B1DB1-TableParagraph17"/>
              <w:spacing w:before="108"/>
              <w:ind w:left="85"/>
            </w:pPr>
            <w:r>
              <w:t>Beskrivelse af forretningsområdet.</w:t>
            </w:r>
          </w:p>
        </w:tc>
      </w:tr>
      <w:tr w:rsidR="00960E01"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960E01" w:rsidRDefault="00821CB5">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960E01" w:rsidRDefault="00821CB5">
            <w:pPr>
              <w:pStyle w:val="P68B1DB1-TableParagraph14"/>
              <w:spacing w:before="108"/>
              <w:ind w:left="85"/>
              <w:jc w:val="both"/>
              <w:rPr>
                <w:bCs/>
              </w:rPr>
            </w:pPr>
            <w:r>
              <w:t>Enhedens navn</w:t>
            </w:r>
          </w:p>
          <w:p w14:paraId="7FE1C02D" w14:textId="45109CE8" w:rsidR="00960E01" w:rsidRDefault="00821CB5">
            <w:pPr>
              <w:pStyle w:val="P68B1DB1-TableParagraph17"/>
              <w:spacing w:before="108"/>
              <w:ind w:left="85"/>
            </w:pPr>
            <w:r>
              <w:t>Navnet på den enhed, der varetager forretningsområdet, som indberettet i Z 01.01 (ORG 1).</w:t>
            </w:r>
          </w:p>
        </w:tc>
      </w:tr>
      <w:tr w:rsidR="00960E01"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960E01" w:rsidRDefault="00821CB5">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2506D058" w:rsidR="00960E01" w:rsidRDefault="00821CB5">
            <w:pPr>
              <w:pStyle w:val="P68B1DB1-TableParagraph14"/>
              <w:spacing w:before="108"/>
              <w:ind w:left="85"/>
              <w:jc w:val="both"/>
              <w:rPr>
                <w:bCs/>
              </w:rPr>
            </w:pPr>
            <w:r>
              <w:t xml:space="preserve">Kode </w:t>
            </w:r>
          </w:p>
          <w:p w14:paraId="7FE1C031" w14:textId="77777777" w:rsidR="00960E01" w:rsidRDefault="00821CB5">
            <w:pPr>
              <w:pStyle w:val="P68B1DB1-TableParagraph17"/>
              <w:spacing w:before="108"/>
              <w:ind w:left="85"/>
            </w:pPr>
            <w:r>
              <w:t>Entydig identifikator for den juridiske enhed i kolonne 0020, som indberettet i skema Z 01.01 (ORG 1).</w:t>
            </w:r>
          </w:p>
          <w:p w14:paraId="7FE1C032" w14:textId="299C7D7B" w:rsidR="00960E01" w:rsidRDefault="00821CB5">
            <w:pPr>
              <w:pStyle w:val="P68B1DB1-TableParagraph17"/>
              <w:spacing w:before="108"/>
              <w:ind w:left="85"/>
            </w:pPr>
            <w:r>
              <w:t>Identifikationen af enheder foretages på en ensartet måde på tværs af skemaerne.</w:t>
            </w:r>
          </w:p>
        </w:tc>
      </w:tr>
      <w:tr w:rsidR="00960E01"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960E01" w:rsidRDefault="00821CB5">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960E01" w:rsidRDefault="00821CB5">
            <w:pPr>
              <w:pStyle w:val="P68B1DB1-TableParagraph14"/>
              <w:spacing w:before="108"/>
              <w:ind w:left="85"/>
              <w:jc w:val="both"/>
              <w:rPr>
                <w:bCs/>
              </w:rPr>
            </w:pPr>
            <w:r>
              <w:t>Kodetype</w:t>
            </w:r>
          </w:p>
          <w:p w14:paraId="4F36B5CB" w14:textId="0A20F8AD" w:rsidR="00960E01" w:rsidRDefault="00821CB5">
            <w:pPr>
              <w:pStyle w:val="P68B1DB1-TableParagraph13"/>
              <w:spacing w:before="108"/>
              <w:ind w:left="85"/>
              <w:jc w:val="both"/>
              <w:rPr>
                <w:bCs/>
              </w:rPr>
            </w:pPr>
            <w:r>
              <w:t>Vælges blandt følgende muligheder: "LEI-kode", "MFI-kode" eller "Identifikationstype, bortset fra LEI- eller MFI-kode".</w:t>
            </w:r>
          </w:p>
          <w:p w14:paraId="7FE1C039" w14:textId="5BB46896" w:rsidR="00960E01" w:rsidRDefault="00821CB5">
            <w:pPr>
              <w:pStyle w:val="P68B1DB1-TableParagraph13"/>
              <w:spacing w:before="108"/>
              <w:ind w:left="85"/>
              <w:jc w:val="both"/>
              <w:rPr>
                <w:b/>
                <w:bCs/>
              </w:rPr>
            </w:pPr>
            <w:r>
              <w:t xml:space="preserve">Identifikationen af enheder foretages på en ensartet måde på tværs af skemaerne. </w:t>
            </w:r>
          </w:p>
        </w:tc>
      </w:tr>
    </w:tbl>
    <w:p w14:paraId="7FE1C03B" w14:textId="7E256DE6" w:rsidR="00960E01" w:rsidRDefault="00821CB5">
      <w:pPr>
        <w:pStyle w:val="P68B1DB1-Instructionsberschrift25"/>
        <w:numPr>
          <w:ilvl w:val="1"/>
          <w:numId w:val="49"/>
        </w:numPr>
        <w:ind w:left="357" w:hanging="357"/>
      </w:pPr>
      <w:bookmarkStart w:id="124" w:name="_Toc208244570"/>
      <w:r>
        <w:t>Z 07.04 — Oversigt over økonomiske funktioner pr. centralt forretningsområde (FUNC 4)</w:t>
      </w:r>
      <w:bookmarkEnd w:id="124"/>
    </w:p>
    <w:p w14:paraId="7FE1C03C" w14:textId="77777777" w:rsidR="00960E01" w:rsidRDefault="00821CB5">
      <w:pPr>
        <w:pStyle w:val="P68B1DB1-Instructionsberschrift312"/>
        <w:rPr>
          <w:bCs/>
        </w:rPr>
      </w:pPr>
      <w:r>
        <w:t>Instrukser vedrørende specifikke positioner</w:t>
      </w:r>
    </w:p>
    <w:p w14:paraId="7FE1C03E" w14:textId="1250AC76" w:rsidR="00960E01" w:rsidRDefault="00821CB5">
      <w:pPr>
        <w:pStyle w:val="P68B1DB1-InstructionsText26"/>
        <w:numPr>
          <w:ilvl w:val="0"/>
          <w:numId w:val="0"/>
        </w:numPr>
        <w:spacing w:before="0"/>
        <w:ind w:left="1800"/>
      </w:pPr>
      <w:r>
        <w:t>Kombinationen af værdier, der indberettes i kolonne 0010, 0020 og 0040 i dette skema, udgør en primær nøgle, som skal være unik for hver enkelt række i skemaet.</w:t>
      </w:r>
    </w:p>
    <w:p w14:paraId="67939923" w14:textId="5A2745A8" w:rsidR="00960E01" w:rsidRDefault="00821CB5">
      <w:pPr>
        <w:pStyle w:val="CommentText"/>
        <w:rPr>
          <w:rFonts w:ascii="Times New Roman" w:hAnsi="Times New Roman" w:cs="Times New Roman"/>
        </w:rPr>
      </w:pPr>
      <w:r>
        <w:rPr>
          <w:rFonts w:ascii="Times New Roman" w:hAnsi="Times New Roman" w:cs="Times New Roman"/>
        </w:rPr>
        <w:t>Kun kritiske funktioner, jf.</w:t>
      </w:r>
      <w:r>
        <w:rPr>
          <w:i/>
        </w:rPr>
        <w:t xml:space="preserve"> Z 07.01.1 FUNC 1 DEP C0170 Z 07.01.2 FUNC 1 LEN, c0180; Z 07.01.3 FUNC 1 PAY, c0250; Z 07.01.4 FUNC 1 CM, c0210 Z 07.01.5 FUNC 1 WF, </w:t>
      </w:r>
      <w:r>
        <w:rPr>
          <w:rFonts w:ascii="Times New Roman" w:hAnsi="Times New Roman" w:cs="Times New Roman"/>
        </w:rPr>
        <w:t>c0180'erne, indberettes i dette skema.</w:t>
      </w:r>
    </w:p>
    <w:p w14:paraId="7FE1C040" w14:textId="77777777" w:rsidR="00960E01" w:rsidRDefault="00960E01">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960E01"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960E01" w:rsidRDefault="00821CB5">
            <w:pPr>
              <w:pStyle w:val="P68B1DB1-TableParagraph17"/>
              <w:spacing w:before="108"/>
              <w:ind w:left="85"/>
              <w:jc w:val="both"/>
            </w:pPr>
            <w:r>
              <w:t>Kolonner</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960E01" w:rsidRDefault="00821CB5">
            <w:pPr>
              <w:pStyle w:val="P68B1DB1-TableParagraph17"/>
              <w:spacing w:before="108"/>
              <w:ind w:left="85" w:right="1"/>
              <w:jc w:val="both"/>
            </w:pPr>
            <w:r>
              <w:t>Instrukser</w:t>
            </w:r>
          </w:p>
        </w:tc>
      </w:tr>
      <w:tr w:rsidR="00960E01"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960E01" w:rsidRDefault="00821CB5">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960E01" w:rsidRDefault="00821CB5">
            <w:pPr>
              <w:pStyle w:val="P68B1DB1-TableParagraph14"/>
              <w:spacing w:before="108"/>
              <w:ind w:left="85"/>
              <w:jc w:val="both"/>
              <w:rPr>
                <w:bCs/>
              </w:rPr>
            </w:pPr>
            <w:r>
              <w:t xml:space="preserve"> Kritisk funktion</w:t>
            </w:r>
          </w:p>
        </w:tc>
      </w:tr>
      <w:tr w:rsidR="00960E01"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960E01" w:rsidRDefault="00821CB5">
            <w:pPr>
              <w:pStyle w:val="P68B1DB1-TableParagraph13"/>
              <w:spacing w:before="108"/>
              <w:ind w:left="85"/>
              <w:rPr>
                <w:rFonts w:eastAsia="Cambria"/>
              </w:rPr>
            </w:pPr>
            <w:r>
              <w:lastRenderedPageBreak/>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960E01" w:rsidRDefault="00821CB5">
            <w:pPr>
              <w:pStyle w:val="P68B1DB1-TableParagraph14"/>
              <w:spacing w:before="108"/>
              <w:ind w:left="85"/>
              <w:jc w:val="both"/>
              <w:rPr>
                <w:bCs/>
              </w:rPr>
            </w:pPr>
            <w:r>
              <w:t>Land</w:t>
            </w:r>
          </w:p>
          <w:p w14:paraId="7FE1C049" w14:textId="77777777" w:rsidR="00960E01" w:rsidRDefault="00821CB5">
            <w:pPr>
              <w:pStyle w:val="P68B1DB1-TableParagraph17"/>
              <w:spacing w:before="108"/>
              <w:ind w:left="85"/>
            </w:pPr>
            <w:r>
              <w:t>Landet, for hvilket funktionen er kritisk, som indberettet i Z 07.01 (FUNC 1)</w:t>
            </w:r>
          </w:p>
        </w:tc>
      </w:tr>
      <w:tr w:rsidR="00960E01"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960E01" w:rsidRDefault="00821CB5">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960E01" w:rsidRDefault="00821CB5">
            <w:pPr>
              <w:pStyle w:val="P68B1DB1-TableParagraph14"/>
              <w:spacing w:before="108"/>
              <w:ind w:left="85"/>
              <w:jc w:val="both"/>
              <w:rPr>
                <w:bCs/>
              </w:rPr>
            </w:pPr>
            <w:r>
              <w:t>ID</w:t>
            </w:r>
          </w:p>
          <w:p w14:paraId="7FE1C04D" w14:textId="4D9D2A77" w:rsidR="00960E01" w:rsidRDefault="00821CB5">
            <w:pPr>
              <w:pStyle w:val="P68B1DB1-TableParagraph17"/>
              <w:spacing w:before="108"/>
              <w:ind w:left="85"/>
            </w:pPr>
            <w:r>
              <w:t>ID for de kritiske funktioner, der er omhandlet i skema Z 07.01 (FUNC 1)</w:t>
            </w:r>
          </w:p>
        </w:tc>
      </w:tr>
      <w:tr w:rsidR="00960E01"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960E01" w:rsidRDefault="00821CB5">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960E01" w:rsidRDefault="00821CB5">
            <w:pPr>
              <w:pStyle w:val="P68B1DB1-TableParagraph14"/>
              <w:spacing w:before="108"/>
              <w:ind w:left="85"/>
              <w:jc w:val="both"/>
              <w:rPr>
                <w:bCs/>
              </w:rPr>
            </w:pPr>
            <w:r>
              <w:t>Centralt forretningsområde</w:t>
            </w:r>
          </w:p>
        </w:tc>
      </w:tr>
      <w:tr w:rsidR="00960E01"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960E01" w:rsidRDefault="00821CB5">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960E01" w:rsidRDefault="00821CB5">
            <w:pPr>
              <w:pStyle w:val="P68B1DB1-TableParagraph14"/>
              <w:spacing w:before="108"/>
              <w:ind w:left="85"/>
              <w:jc w:val="both"/>
              <w:rPr>
                <w:bCs/>
              </w:rPr>
            </w:pPr>
            <w:r>
              <w:t>Centralt forretningsområde</w:t>
            </w:r>
          </w:p>
          <w:p w14:paraId="7FE1C056" w14:textId="77777777" w:rsidR="00960E01" w:rsidRDefault="00821CB5">
            <w:pPr>
              <w:pStyle w:val="P68B1DB1-TableParagraph17"/>
              <w:spacing w:before="108"/>
              <w:ind w:left="85"/>
            </w:pPr>
            <w:r>
              <w:t>Centralt forretningsområde i henhold til artikel 2, stk. 1, nr. 36), og artikel 2, stk. 2, i direktiv 2014/59/EU, som indberettet i skema Z 07.03 (FUNC 3).</w:t>
            </w:r>
          </w:p>
        </w:tc>
      </w:tr>
      <w:tr w:rsidR="00960E01"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960E01" w:rsidRDefault="00821CB5">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960E01" w:rsidRDefault="00821CB5">
            <w:pPr>
              <w:pStyle w:val="P68B1DB1-TableParagraph14"/>
              <w:spacing w:before="108"/>
              <w:ind w:left="85"/>
              <w:jc w:val="both"/>
              <w:rPr>
                <w:bCs/>
              </w:rPr>
            </w:pPr>
            <w:r>
              <w:t>Forretningsområde: Forretningsområde-ID</w:t>
            </w:r>
          </w:p>
          <w:p w14:paraId="7FE1C05A" w14:textId="77777777" w:rsidR="00960E01" w:rsidRDefault="00821CB5">
            <w:pPr>
              <w:pStyle w:val="P68B1DB1-TableParagraph17"/>
              <w:spacing w:before="108"/>
              <w:ind w:left="85"/>
            </w:pPr>
            <w:r>
              <w:t>Unikt ID for det forretningsområde, der skal varetages af instituttet; samme ID som indberettet i skema Z 07.03 (FUNC 3)</w:t>
            </w:r>
          </w:p>
        </w:tc>
      </w:tr>
    </w:tbl>
    <w:p w14:paraId="7FE1C222" w14:textId="77777777" w:rsidR="00960E01" w:rsidRDefault="00960E01">
      <w:pPr>
        <w:rPr>
          <w:rFonts w:ascii="Times New Roman" w:hAnsi="Times New Roman" w:cs="Times New Roman"/>
          <w:b/>
          <w:color w:val="000000" w:themeColor="text1"/>
          <w:sz w:val="20"/>
          <w:szCs w:val="20"/>
          <w:u w:val="single"/>
        </w:rPr>
      </w:pPr>
    </w:p>
    <w:p w14:paraId="7FE1C223" w14:textId="77777777" w:rsidR="00960E01" w:rsidRDefault="00821CB5">
      <w:pPr>
        <w:pStyle w:val="P68B1DB1-Instructionsberschrift244"/>
        <w:numPr>
          <w:ilvl w:val="1"/>
          <w:numId w:val="49"/>
        </w:numPr>
        <w:ind w:left="357" w:hanging="357"/>
      </w:pPr>
      <w:bookmarkStart w:id="125" w:name="_Toc208244571"/>
      <w:r>
        <w:t>Relevante tjenester</w:t>
      </w:r>
      <w:bookmarkEnd w:id="125"/>
    </w:p>
    <w:p w14:paraId="7FE1C224" w14:textId="70045BAA" w:rsidR="00960E01" w:rsidRDefault="00821CB5">
      <w:pPr>
        <w:pStyle w:val="P68B1DB1-Instructionsberschrift25"/>
        <w:numPr>
          <w:ilvl w:val="1"/>
          <w:numId w:val="49"/>
        </w:numPr>
        <w:ind w:left="357" w:hanging="357"/>
        <w:rPr>
          <w:rFonts w:eastAsia="Calibri"/>
        </w:rPr>
      </w:pPr>
      <w:bookmarkStart w:id="126" w:name="_Toc208244572"/>
      <w:r>
        <w:t>Z 08.01 — Relevante tjenester (SERV 1)</w:t>
      </w:r>
      <w:bookmarkEnd w:id="126"/>
      <w:r>
        <w:t xml:space="preserve"> </w:t>
      </w:r>
    </w:p>
    <w:p w14:paraId="7FE1C225" w14:textId="77777777" w:rsidR="00960E01" w:rsidRDefault="00821CB5">
      <w:pPr>
        <w:pStyle w:val="P68B1DB1-Normal45"/>
        <w:spacing w:line="276" w:lineRule="auto"/>
        <w:jc w:val="both"/>
      </w:pPr>
      <w:r>
        <w:t>II.8.1 Generelle instrukser</w:t>
      </w:r>
    </w:p>
    <w:p w14:paraId="7FE1C226" w14:textId="77777777" w:rsidR="00960E01" w:rsidRDefault="00960E01">
      <w:pPr>
        <w:spacing w:line="276" w:lineRule="auto"/>
        <w:jc w:val="both"/>
        <w:rPr>
          <w:rFonts w:ascii="Times New Roman" w:eastAsia="Calibri" w:hAnsi="Times New Roman" w:cs="Times New Roman"/>
          <w:sz w:val="20"/>
        </w:rPr>
      </w:pPr>
    </w:p>
    <w:p w14:paraId="7FE1C228" w14:textId="765604DB" w:rsidR="00960E01" w:rsidRDefault="00821CB5">
      <w:pPr>
        <w:pStyle w:val="P68B1DB1-Instructionsberschrift346"/>
        <w:numPr>
          <w:ilvl w:val="4"/>
          <w:numId w:val="49"/>
        </w:numPr>
        <w:ind w:left="928"/>
        <w:contextualSpacing/>
        <w:jc w:val="both"/>
        <w:rPr>
          <w:color w:val="auto"/>
        </w:rPr>
      </w:pPr>
      <w:r>
        <w:t xml:space="preserve">De oplysninger, der skal inkluderes i dette skema, skal indberettes én gang for hele koncernen og skal opregne </w:t>
      </w:r>
      <w:r>
        <w:rPr>
          <w:color w:val="auto"/>
        </w:rPr>
        <w:t xml:space="preserve">relevante </w:t>
      </w:r>
      <w:r>
        <w:t xml:space="preserve">tjenester modtaget af en hvilken som helst enhed i koncernen og knytter dem til de kritiske funktioner </w:t>
      </w:r>
      <w:r>
        <w:rPr>
          <w:color w:val="auto"/>
        </w:rPr>
        <w:t xml:space="preserve">og kernevirksomhedslinjer, </w:t>
      </w:r>
      <w:r>
        <w:t>der udføres</w:t>
      </w:r>
      <w:r>
        <w:rPr>
          <w:color w:val="auto"/>
        </w:rPr>
        <w:t xml:space="preserve"> </w:t>
      </w:r>
      <w:r>
        <w:t>af koncernen.</w:t>
      </w:r>
    </w:p>
    <w:p w14:paraId="7FE1C229" w14:textId="77777777" w:rsidR="00960E01" w:rsidRDefault="00821CB5">
      <w:pPr>
        <w:pStyle w:val="Instructionsberschrift3"/>
        <w:ind w:left="928"/>
        <w:contextualSpacing/>
        <w:jc w:val="both"/>
        <w:rPr>
          <w:rFonts w:eastAsia="MS Mincho"/>
          <w:color w:val="auto"/>
          <w:u w:val="none"/>
        </w:rPr>
      </w:pPr>
      <w:r>
        <w:rPr>
          <w:rFonts w:eastAsia="Calibri"/>
          <w:b/>
          <w:color w:val="auto"/>
          <w:u w:val="none"/>
        </w:rPr>
        <w:t>Relevante tjenester</w:t>
      </w:r>
      <w:r>
        <w:rPr>
          <w:rStyle w:val="FootnoteReference"/>
          <w:rFonts w:ascii="Times New Roman" w:eastAsia="Calibri" w:hAnsi="Times New Roman"/>
          <w:color w:val="auto"/>
          <w:sz w:val="20"/>
          <w:szCs w:val="20"/>
          <w:u w:val="none"/>
        </w:rPr>
        <w:footnoteReference w:id="22"/>
      </w:r>
      <w:r>
        <w:rPr>
          <w:rFonts w:eastAsia="Calibri"/>
          <w:color w:val="auto"/>
          <w:u w:val="none"/>
        </w:rPr>
        <w:t>: kritiske og væsentlige tjenester</w:t>
      </w:r>
    </w:p>
    <w:p w14:paraId="7FE1C22A" w14:textId="77777777" w:rsidR="00960E01" w:rsidRDefault="00821CB5">
      <w:pPr>
        <w:pStyle w:val="P68B1DB1-Instructionsberschrift347"/>
        <w:ind w:left="928"/>
        <w:contextualSpacing/>
        <w:jc w:val="both"/>
        <w:rPr>
          <w:rFonts w:eastAsia="MS Mincho"/>
        </w:rPr>
      </w:pPr>
      <w:r>
        <w:rPr>
          <w:rFonts w:eastAsia="Calibri"/>
          <w:b/>
        </w:rPr>
        <w:t>Kritiske tjenester</w:t>
      </w:r>
      <w:r>
        <w:footnoteReference w:id="23"/>
      </w:r>
      <w:r>
        <w:t>: tjenester, der udføres for koncernforretningsenheder eller enheder i), hvis diskontinuitet i alvorlig grad ville hindre eller forhindre udførelsen af en eller flere kritiske funktioner og (ii) som ikke kan leveres af en anden leverandør inden for en rimelig tidsramme i et sammenligneligt omfang for så vidt angår formål, kvalitet og omkostninger.</w:t>
      </w:r>
    </w:p>
    <w:p w14:paraId="7FE1C22B" w14:textId="77777777" w:rsidR="00960E01" w:rsidRDefault="00821CB5">
      <w:pPr>
        <w:pStyle w:val="Instructionsberschrift3"/>
        <w:ind w:left="928"/>
        <w:contextualSpacing/>
        <w:jc w:val="both"/>
        <w:rPr>
          <w:rFonts w:eastAsia="MS Mincho"/>
          <w:color w:val="auto"/>
          <w:u w:val="none"/>
        </w:rPr>
      </w:pPr>
      <w:r>
        <w:rPr>
          <w:b/>
          <w:u w:val="none"/>
        </w:rPr>
        <w:t>Væsentlige tjenester</w:t>
      </w:r>
      <w:r>
        <w:rPr>
          <w:u w:val="none"/>
        </w:rPr>
        <w:t>: Tjenester i tilknytning til centrale forretningsområder</w:t>
      </w:r>
      <w:r>
        <w:rPr>
          <w:u w:val="none"/>
        </w:rPr>
        <w:footnoteReference w:id="24"/>
      </w:r>
      <w:r>
        <w:rPr>
          <w:u w:val="none"/>
        </w:rPr>
        <w:t>, hvis kontinuitet er nødvendig for en effektiv gennemførelse af afviklingsstrategien og enhver efterfølgende omstrukturering, i) hvis afbrydelse i alvorlig grad ville hindre eller forhindre disse centrale forretningsområders resultater, og (ii) som ikke kan leveres af en anden leverandør inden for en rimelig tidsramme i et sammenligneligt omfang for så vidt angår formål, kvalitet og omkostninger.</w:t>
      </w:r>
      <w:r>
        <w:rPr>
          <w:rStyle w:val="FootnoteReference"/>
          <w:rFonts w:ascii="Times New Roman" w:eastAsia="Calibri" w:hAnsi="Times New Roman"/>
          <w:color w:val="auto"/>
          <w:sz w:val="20"/>
          <w:szCs w:val="20"/>
          <w:u w:val="none"/>
        </w:rPr>
        <w:footnoteReference w:id="25"/>
      </w:r>
    </w:p>
    <w:p w14:paraId="7FE1C22C" w14:textId="5D0544C9" w:rsidR="00960E01" w:rsidRDefault="00821CB5">
      <w:pPr>
        <w:pStyle w:val="P68B1DB1-Instructionsberschrift348"/>
        <w:numPr>
          <w:ilvl w:val="4"/>
          <w:numId w:val="49"/>
        </w:numPr>
        <w:ind w:left="928"/>
        <w:contextualSpacing/>
        <w:jc w:val="both"/>
        <w:rPr>
          <w:color w:val="auto"/>
        </w:rPr>
      </w:pPr>
      <w:r>
        <w:rPr>
          <w:color w:val="auto"/>
        </w:rPr>
        <w:t xml:space="preserve">I henhold til betragtning 8 i Kommissionens delegerede forordning (EU) 2016/778 vedrørende kritiske tjenester, der anvendes analogt til at dække væsentlige tjenester som defineret ovenfor, forstås ved relevante tjenester </w:t>
      </w:r>
      <w:r>
        <w:t xml:space="preserve">de underliggende transaktioner, aktiviteter og tjenester, der udføres for en (dedikeret tjeneste) eller flere forretningsenheder eller juridiske enheder (fælles tjenester) inden for koncernen, som er nødvendige for at levere en eller flere kritiske funktioner eller </w:t>
      </w:r>
      <w:r>
        <w:rPr>
          <w:color w:val="auto"/>
        </w:rPr>
        <w:t xml:space="preserve">centrale forretningsområder. Relevante </w:t>
      </w:r>
      <w:r>
        <w:t xml:space="preserve">tjenester kan </w:t>
      </w:r>
      <w:r>
        <w:rPr>
          <w:color w:val="auto"/>
        </w:rPr>
        <w:t xml:space="preserve">udføres af en forretningsenhed til en anden </w:t>
      </w:r>
      <w:r>
        <w:rPr>
          <w:color w:val="auto"/>
        </w:rPr>
        <w:lastRenderedPageBreak/>
        <w:t xml:space="preserve">forretningsenhed i samme juridiske enhed </w:t>
      </w:r>
      <w:r>
        <w:t>(intern</w:t>
      </w:r>
      <w:r>
        <w:rPr>
          <w:color w:val="auto"/>
        </w:rPr>
        <w:t>tjeneste),</w:t>
      </w:r>
      <w:r>
        <w:t xml:space="preserve"> af enheder inden for koncernen (</w:t>
      </w:r>
      <w:r>
        <w:rPr>
          <w:color w:val="auto"/>
        </w:rPr>
        <w:t xml:space="preserve">koncernintern </w:t>
      </w:r>
      <w:r>
        <w:t>tjeneste)</w:t>
      </w:r>
      <w:r>
        <w:rPr>
          <w:color w:val="auto"/>
        </w:rPr>
        <w:t>eller</w:t>
      </w:r>
      <w:r>
        <w:t xml:space="preserve"> outsources til en ekstern udbyder (ekstern tjeneste).</w:t>
      </w:r>
    </w:p>
    <w:p w14:paraId="7FE1C22D" w14:textId="2E2CBD58" w:rsidR="00960E01" w:rsidRDefault="00821CB5">
      <w:pPr>
        <w:pStyle w:val="P68B1DB1-Instructionsberschrift310"/>
        <w:numPr>
          <w:ilvl w:val="4"/>
          <w:numId w:val="49"/>
        </w:numPr>
        <w:ind w:left="928"/>
        <w:contextualSpacing/>
        <w:jc w:val="both"/>
        <w:rPr>
          <w:rFonts w:eastAsia="MS Mincho"/>
          <w:color w:val="auto"/>
        </w:rPr>
      </w:pPr>
      <w:r>
        <w:rPr>
          <w:rFonts w:eastAsia="MS Mincho"/>
        </w:rPr>
        <w:t>Ikke alle felter gælder for alle typer tjenester (fremhævet i instrukserne nedenfor). I så fald indberettes "IKKE ANVENDELSE" i den relevante celle.</w:t>
      </w:r>
      <w:r>
        <w:t xml:space="preserve"> </w:t>
      </w:r>
    </w:p>
    <w:p w14:paraId="7FE1C22E" w14:textId="0568A925" w:rsidR="00960E01" w:rsidRDefault="00821CB5">
      <w:pPr>
        <w:pStyle w:val="P68B1DB1-Instructionsberschrift346"/>
        <w:numPr>
          <w:ilvl w:val="4"/>
          <w:numId w:val="49"/>
        </w:numPr>
        <w:ind w:left="928"/>
        <w:contextualSpacing/>
        <w:jc w:val="both"/>
        <w:rPr>
          <w:color w:val="auto"/>
        </w:rPr>
      </w:pPr>
      <w:r>
        <w:t>Kombinationen af værdier, der indberettes i kolonne 0010</w:t>
      </w:r>
      <w:r>
        <w:rPr>
          <w:color w:val="auto"/>
        </w:rPr>
        <w:t>, 0020, 0040, 0060 og 0130</w:t>
      </w:r>
      <w:r>
        <w:t xml:space="preserve"> i dette skema, udgør en primær nøgle, som skal være unik for hver enkelt række i skemaet.</w:t>
      </w:r>
    </w:p>
    <w:p w14:paraId="7FE1C22F" w14:textId="77777777" w:rsidR="00960E01" w:rsidRDefault="00960E01">
      <w:pPr>
        <w:pStyle w:val="Instructionsberschrift3"/>
        <w:numPr>
          <w:ilvl w:val="0"/>
          <w:numId w:val="0"/>
        </w:numPr>
        <w:ind w:left="720"/>
      </w:pPr>
    </w:p>
    <w:p w14:paraId="7FE1C230" w14:textId="77777777" w:rsidR="00960E01" w:rsidRDefault="00821CB5">
      <w:pPr>
        <w:pStyle w:val="P68B1DB1-Instructionsberschrift312"/>
        <w:rPr>
          <w:bCs/>
        </w:rPr>
      </w:pPr>
      <w:r>
        <w:t>Instrukser vedrørende specifikke positioner</w:t>
      </w:r>
    </w:p>
    <w:p w14:paraId="7FE1C23F" w14:textId="77777777" w:rsidR="00960E01" w:rsidRDefault="00960E01">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960E01" w14:paraId="7FE1C242" w14:textId="77777777">
        <w:trPr>
          <w:trHeight w:val="808"/>
          <w:tblHeader/>
        </w:trPr>
        <w:tc>
          <w:tcPr>
            <w:tcW w:w="1129" w:type="dxa"/>
            <w:shd w:val="clear" w:color="auto" w:fill="E7E6E6"/>
          </w:tcPr>
          <w:p w14:paraId="7FE1C240" w14:textId="77777777" w:rsidR="00960E01" w:rsidRDefault="00821CB5">
            <w:pPr>
              <w:pStyle w:val="P68B1DB1-Normal49"/>
              <w:spacing w:before="120" w:after="120" w:line="276" w:lineRule="auto"/>
            </w:pPr>
            <w:r>
              <w:t>Kolonner</w:t>
            </w:r>
          </w:p>
        </w:tc>
        <w:tc>
          <w:tcPr>
            <w:tcW w:w="7938" w:type="dxa"/>
            <w:shd w:val="clear" w:color="auto" w:fill="E7E6E6"/>
          </w:tcPr>
          <w:p w14:paraId="7FE1C241" w14:textId="77777777" w:rsidR="00960E01" w:rsidRDefault="00821CB5">
            <w:pPr>
              <w:pStyle w:val="P68B1DB1-Normal49"/>
              <w:spacing w:before="120" w:after="120" w:line="276" w:lineRule="auto"/>
            </w:pPr>
            <w:r>
              <w:t>Instrukser</w:t>
            </w:r>
          </w:p>
        </w:tc>
      </w:tr>
      <w:tr w:rsidR="00960E01" w14:paraId="7FE1C247" w14:textId="77777777">
        <w:trPr>
          <w:trHeight w:val="450"/>
        </w:trPr>
        <w:tc>
          <w:tcPr>
            <w:tcW w:w="1129" w:type="dxa"/>
            <w:shd w:val="clear" w:color="auto" w:fill="FFFFFF" w:themeFill="background1"/>
          </w:tcPr>
          <w:p w14:paraId="7FE1C243" w14:textId="77777777" w:rsidR="00960E01" w:rsidRDefault="00821CB5">
            <w:pPr>
              <w:pStyle w:val="P68B1DB1-Normal50"/>
              <w:spacing w:before="120" w:after="120" w:line="276" w:lineRule="auto"/>
            </w:pPr>
            <w:r>
              <w:t>0005</w:t>
            </w:r>
          </w:p>
        </w:tc>
        <w:tc>
          <w:tcPr>
            <w:tcW w:w="7938" w:type="dxa"/>
            <w:shd w:val="clear" w:color="auto" w:fill="FFFFFF" w:themeFill="background1"/>
          </w:tcPr>
          <w:p w14:paraId="7FE1C244" w14:textId="77777777" w:rsidR="00960E01" w:rsidRDefault="00821CB5">
            <w:pPr>
              <w:pStyle w:val="P68B1DB1-Normal49"/>
              <w:spacing w:before="120" w:after="120" w:line="276" w:lineRule="auto"/>
              <w:rPr>
                <w:bCs/>
              </w:rPr>
            </w:pPr>
            <w:r>
              <w:t>Tjenesteidentifikator</w:t>
            </w:r>
          </w:p>
          <w:p w14:paraId="7FE1C245" w14:textId="77777777" w:rsidR="00960E01" w:rsidRDefault="00821CB5">
            <w:pPr>
              <w:pStyle w:val="P68B1DB1-Normal50"/>
              <w:spacing w:before="120" w:after="120" w:line="276" w:lineRule="auto"/>
              <w:rPr>
                <w:iCs/>
              </w:rPr>
            </w:pPr>
            <w:r>
              <w:t>Tjenesteidentifikatoren henviser til den tjeneste, der er indberettet under c0020.</w:t>
            </w:r>
          </w:p>
          <w:p w14:paraId="7FE1C246" w14:textId="77777777" w:rsidR="00960E01" w:rsidRDefault="00821CB5">
            <w:pPr>
              <w:pStyle w:val="P68B1DB1-Normal51"/>
              <w:spacing w:before="120" w:after="120" w:line="276" w:lineRule="auto"/>
            </w:pPr>
            <w:r>
              <w:t>Figur eller fritekst</w:t>
            </w:r>
          </w:p>
        </w:tc>
      </w:tr>
      <w:tr w:rsidR="00960E01" w14:paraId="7FE1C28C" w14:textId="77777777">
        <w:trPr>
          <w:trHeight w:val="463"/>
        </w:trPr>
        <w:tc>
          <w:tcPr>
            <w:tcW w:w="1129" w:type="dxa"/>
            <w:shd w:val="clear" w:color="auto" w:fill="FFFFFF" w:themeFill="background1"/>
          </w:tcPr>
          <w:p w14:paraId="7FE1C248" w14:textId="77777777" w:rsidR="00960E01" w:rsidRDefault="00821CB5">
            <w:pPr>
              <w:pStyle w:val="P68B1DB1-Normal50"/>
              <w:spacing w:before="120" w:after="120" w:line="276" w:lineRule="auto"/>
            </w:pPr>
            <w:r>
              <w:t>0010</w:t>
            </w:r>
          </w:p>
        </w:tc>
        <w:tc>
          <w:tcPr>
            <w:tcW w:w="7938" w:type="dxa"/>
            <w:shd w:val="clear" w:color="auto" w:fill="FFFFFF" w:themeFill="background1"/>
          </w:tcPr>
          <w:p w14:paraId="7FE1C249" w14:textId="77777777" w:rsidR="00960E01" w:rsidRDefault="00821CB5">
            <w:pPr>
              <w:pStyle w:val="P68B1DB1-Normal49"/>
              <w:autoSpaceDE w:val="0"/>
              <w:autoSpaceDN w:val="0"/>
              <w:adjustRightInd w:val="0"/>
              <w:rPr>
                <w:rFonts w:eastAsia="MS Mincho"/>
                <w:bCs/>
              </w:rPr>
            </w:pPr>
            <w:r>
              <w:t>Type tjeneste</w:t>
            </w:r>
          </w:p>
          <w:p w14:paraId="7FE1C24A" w14:textId="77777777" w:rsidR="00960E01" w:rsidRDefault="00821CB5">
            <w:pPr>
              <w:pStyle w:val="P68B1DB1-Normal52"/>
              <w:autoSpaceDE w:val="0"/>
              <w:autoSpaceDN w:val="0"/>
              <w:adjustRightInd w:val="0"/>
            </w:pPr>
            <w:r>
              <w:t xml:space="preserve">Som type tjeneste angives en af nedenstående typer af tjenester. </w:t>
            </w:r>
          </w:p>
          <w:p w14:paraId="7FE1C24B" w14:textId="77777777" w:rsidR="00960E01" w:rsidRDefault="00821CB5">
            <w:pPr>
              <w:pStyle w:val="P68B1DB1-Normal50"/>
              <w:spacing w:before="120" w:after="120" w:line="276" w:lineRule="auto"/>
            </w:pPr>
            <w:r>
              <w:t xml:space="preserve">Om muligt angives underkategorien (2-cifret identifikation). Hvis der ikke findes en underkategori, eller hvis der ikke er en underkategori, der præcist beskriver den tjeneste, der leveres af instituttet, indberettes hovedkategorien (1-cifret identifikation). </w:t>
            </w:r>
          </w:p>
          <w:p w14:paraId="5B37DFFD" w14:textId="2C2BBAE4" w:rsidR="00960E01" w:rsidRDefault="00821CB5">
            <w:pPr>
              <w:pStyle w:val="P68B1DB1-Normal52"/>
            </w:pPr>
            <w:r>
              <w:t xml:space="preserve">HR-support </w:t>
            </w:r>
          </w:p>
          <w:p w14:paraId="7DD533D5" w14:textId="73E47A6F" w:rsidR="00960E01" w:rsidRDefault="00821CB5">
            <w:pPr>
              <w:pStyle w:val="P68B1DB1-ListParagraph53"/>
              <w:numPr>
                <w:ilvl w:val="0"/>
                <w:numId w:val="288"/>
              </w:numPr>
              <w:autoSpaceDE w:val="0"/>
              <w:autoSpaceDN w:val="0"/>
              <w:adjustRightInd w:val="0"/>
              <w:ind w:left="1165"/>
            </w:pPr>
            <w:r>
              <w:t xml:space="preserve">Personaleadministration, herunder kontraktforvaltning og aflønning </w:t>
            </w:r>
          </w:p>
          <w:p w14:paraId="43AF548E" w14:textId="675245F6" w:rsidR="00960E01" w:rsidRDefault="00821CB5">
            <w:pPr>
              <w:pStyle w:val="P68B1DB1-ListParagraph53"/>
              <w:numPr>
                <w:ilvl w:val="0"/>
                <w:numId w:val="288"/>
              </w:numPr>
              <w:autoSpaceDE w:val="0"/>
              <w:autoSpaceDN w:val="0"/>
              <w:adjustRightInd w:val="0"/>
              <w:ind w:left="1165"/>
            </w:pPr>
            <w:r>
              <w:t>Intern kommunikation</w:t>
            </w:r>
          </w:p>
          <w:p w14:paraId="7FE1C250" w14:textId="1F903A05" w:rsidR="00960E01" w:rsidRDefault="00821CB5">
            <w:pPr>
              <w:pStyle w:val="P68B1DB1-ListParagraph53"/>
              <w:numPr>
                <w:ilvl w:val="0"/>
                <w:numId w:val="288"/>
              </w:numPr>
              <w:autoSpaceDE w:val="0"/>
              <w:autoSpaceDN w:val="0"/>
              <w:adjustRightInd w:val="0"/>
              <w:ind w:left="1165"/>
            </w:pPr>
            <w:r>
              <w:t>anden type hjælpetjeneste for menneskelige ressourcer</w:t>
            </w:r>
          </w:p>
          <w:p w14:paraId="7FE1C251" w14:textId="77777777" w:rsidR="00960E01" w:rsidRDefault="00960E01">
            <w:pPr>
              <w:autoSpaceDE w:val="0"/>
              <w:autoSpaceDN w:val="0"/>
              <w:adjustRightInd w:val="0"/>
              <w:ind w:left="708"/>
              <w:rPr>
                <w:rFonts w:ascii="Times New Roman" w:eastAsia="MS Mincho" w:hAnsi="Times New Roman" w:cs="Times New Roman"/>
                <w:sz w:val="20"/>
                <w:szCs w:val="20"/>
              </w:rPr>
            </w:pPr>
          </w:p>
          <w:p w14:paraId="7FE1C252" w14:textId="7A6979E5" w:rsidR="00960E01" w:rsidRDefault="00821CB5">
            <w:pPr>
              <w:pStyle w:val="P68B1DB1-Normal52"/>
              <w:autoSpaceDE w:val="0"/>
              <w:autoSpaceDN w:val="0"/>
              <w:adjustRightInd w:val="0"/>
            </w:pPr>
            <w:r>
              <w:t xml:space="preserve"> Informationsteknologi </w:t>
            </w:r>
          </w:p>
          <w:p w14:paraId="7FE1C253" w14:textId="3B762F9E" w:rsidR="00960E01" w:rsidRDefault="00821CB5">
            <w:pPr>
              <w:pStyle w:val="P68B1DB1-ListParagraph53"/>
              <w:numPr>
                <w:ilvl w:val="1"/>
                <w:numId w:val="290"/>
              </w:numPr>
              <w:autoSpaceDE w:val="0"/>
              <w:autoSpaceDN w:val="0"/>
              <w:adjustRightInd w:val="0"/>
              <w:ind w:left="1449"/>
            </w:pPr>
            <w:r>
              <w:t xml:space="preserve">IT- og kommunikationshardware </w:t>
            </w:r>
          </w:p>
          <w:p w14:paraId="7FE1C254" w14:textId="400D89C1" w:rsidR="00960E01" w:rsidRDefault="00821CB5">
            <w:pPr>
              <w:pStyle w:val="P68B1DB1-ListParagraph53"/>
              <w:numPr>
                <w:ilvl w:val="1"/>
                <w:numId w:val="290"/>
              </w:numPr>
              <w:autoSpaceDE w:val="0"/>
              <w:autoSpaceDN w:val="0"/>
              <w:adjustRightInd w:val="0"/>
              <w:ind w:left="1449"/>
            </w:pPr>
            <w:r>
              <w:t xml:space="preserve">Datalagring og -behandling </w:t>
            </w:r>
          </w:p>
          <w:p w14:paraId="7FE1C255" w14:textId="626A8448" w:rsidR="00960E01" w:rsidRDefault="00821CB5">
            <w:pPr>
              <w:pStyle w:val="P68B1DB1-ListParagraph53"/>
              <w:numPr>
                <w:ilvl w:val="1"/>
                <w:numId w:val="290"/>
              </w:numPr>
              <w:autoSpaceDE w:val="0"/>
              <w:autoSpaceDN w:val="0"/>
              <w:adjustRightInd w:val="0"/>
              <w:ind w:left="1449"/>
            </w:pPr>
            <w:r>
              <w:t xml:space="preserve">Anden IT-infrastruktur, arbejdsstationer, telekommunikation, servere, datacentre og dermed beslægtede tjenester </w:t>
            </w:r>
          </w:p>
          <w:p w14:paraId="7FE1C256" w14:textId="2B61AFD3" w:rsidR="00960E01" w:rsidRDefault="00821CB5">
            <w:pPr>
              <w:pStyle w:val="P68B1DB1-ListParagraph53"/>
              <w:numPr>
                <w:ilvl w:val="1"/>
                <w:numId w:val="290"/>
              </w:numPr>
              <w:autoSpaceDE w:val="0"/>
              <w:autoSpaceDN w:val="0"/>
              <w:adjustRightInd w:val="0"/>
              <w:ind w:left="1449"/>
            </w:pPr>
            <w:r>
              <w:t xml:space="preserve">Administration af softwarelicenser og applikationssoftware </w:t>
            </w:r>
          </w:p>
          <w:p w14:paraId="7FE1C257" w14:textId="5DA2FA2E" w:rsidR="00960E01" w:rsidRDefault="00821CB5">
            <w:pPr>
              <w:pStyle w:val="P68B1DB1-ListParagraph53"/>
              <w:numPr>
                <w:ilvl w:val="1"/>
                <w:numId w:val="290"/>
              </w:numPr>
              <w:autoSpaceDE w:val="0"/>
              <w:autoSpaceDN w:val="0"/>
              <w:adjustRightInd w:val="0"/>
              <w:ind w:left="1449"/>
            </w:pPr>
            <w:r>
              <w:t xml:space="preserve">Adgang til eksterne leverandører, navnlig data- og infrastrukturleverandører </w:t>
            </w:r>
          </w:p>
          <w:p w14:paraId="7FE1C258" w14:textId="5064B052" w:rsidR="00960E01" w:rsidRDefault="00821CB5">
            <w:pPr>
              <w:pStyle w:val="P68B1DB1-ListParagraph53"/>
              <w:numPr>
                <w:ilvl w:val="1"/>
                <w:numId w:val="290"/>
              </w:numPr>
              <w:autoSpaceDE w:val="0"/>
              <w:autoSpaceDN w:val="0"/>
              <w:adjustRightInd w:val="0"/>
              <w:ind w:left="1449"/>
            </w:pPr>
            <w:r>
              <w:t xml:space="preserve">Vedligeholdelse af programmer, herunder vedligeholdelse af softwareprogrammer og tilknyttede datastrømme </w:t>
            </w:r>
          </w:p>
          <w:p w14:paraId="7FE1C259" w14:textId="41CD0C0F" w:rsidR="00960E01" w:rsidRDefault="00821CB5">
            <w:pPr>
              <w:pStyle w:val="P68B1DB1-ListParagraph53"/>
              <w:numPr>
                <w:ilvl w:val="1"/>
                <w:numId w:val="290"/>
              </w:numPr>
              <w:autoSpaceDE w:val="0"/>
              <w:autoSpaceDN w:val="0"/>
              <w:adjustRightInd w:val="0"/>
              <w:ind w:left="1449"/>
            </w:pPr>
            <w:r>
              <w:t xml:space="preserve">Rapportgenerering, interne informationsstrømme og databaser </w:t>
            </w:r>
          </w:p>
          <w:p w14:paraId="7FE1C25A" w14:textId="72548638" w:rsidR="00960E01" w:rsidRDefault="00821CB5">
            <w:pPr>
              <w:pStyle w:val="P68B1DB1-ListParagraph53"/>
              <w:numPr>
                <w:ilvl w:val="1"/>
                <w:numId w:val="290"/>
              </w:numPr>
              <w:autoSpaceDE w:val="0"/>
              <w:autoSpaceDN w:val="0"/>
              <w:adjustRightInd w:val="0"/>
              <w:ind w:left="1449"/>
            </w:pPr>
            <w:r>
              <w:t xml:space="preserve">Brugersupport </w:t>
            </w:r>
          </w:p>
          <w:p w14:paraId="7FE1C25B" w14:textId="2FAE0C54" w:rsidR="00960E01" w:rsidRDefault="00821CB5">
            <w:pPr>
              <w:pStyle w:val="P68B1DB1-ListParagraph53"/>
              <w:numPr>
                <w:ilvl w:val="1"/>
                <w:numId w:val="290"/>
              </w:numPr>
              <w:autoSpaceDE w:val="0"/>
              <w:autoSpaceDN w:val="0"/>
              <w:adjustRightInd w:val="0"/>
              <w:ind w:left="1449"/>
            </w:pPr>
            <w:r>
              <w:t>Nød- og katastrofeberedskab</w:t>
            </w:r>
          </w:p>
          <w:p w14:paraId="7FE1C25C" w14:textId="431BC144" w:rsidR="00960E01" w:rsidRDefault="00821CB5">
            <w:pPr>
              <w:pStyle w:val="P68B1DB1-ListParagraph53"/>
              <w:numPr>
                <w:ilvl w:val="1"/>
                <w:numId w:val="290"/>
              </w:numPr>
              <w:autoSpaceDE w:val="0"/>
              <w:autoSpaceDN w:val="0"/>
              <w:adjustRightInd w:val="0"/>
              <w:ind w:left="1449"/>
            </w:pPr>
            <w:r>
              <w:t>Anden it-servicevirksomhed</w:t>
            </w:r>
          </w:p>
          <w:p w14:paraId="7FE1C25D" w14:textId="77777777" w:rsidR="00960E01" w:rsidRDefault="00960E01">
            <w:pPr>
              <w:autoSpaceDE w:val="0"/>
              <w:autoSpaceDN w:val="0"/>
              <w:adjustRightInd w:val="0"/>
              <w:rPr>
                <w:rFonts w:ascii="Times New Roman" w:eastAsia="MS Mincho" w:hAnsi="Times New Roman" w:cs="Times New Roman"/>
                <w:sz w:val="20"/>
                <w:szCs w:val="20"/>
              </w:rPr>
            </w:pPr>
          </w:p>
          <w:p w14:paraId="7FE1C25E" w14:textId="1AD223E0" w:rsidR="00960E01" w:rsidRDefault="00821CB5">
            <w:pPr>
              <w:pStyle w:val="P68B1DB1-Normal52"/>
              <w:autoSpaceDE w:val="0"/>
              <w:autoSpaceDN w:val="0"/>
              <w:adjustRightInd w:val="0"/>
            </w:pPr>
            <w:r>
              <w:t xml:space="preserve">Transaktionsbehandling, herunder juridiske transaktionsrelaterede spørgsmål, navnlig bekæmpelse af pengehvidvaskning </w:t>
            </w:r>
          </w:p>
          <w:p w14:paraId="7FE1C25F" w14:textId="77777777" w:rsidR="00960E01" w:rsidRDefault="00960E01">
            <w:pPr>
              <w:autoSpaceDE w:val="0"/>
              <w:autoSpaceDN w:val="0"/>
              <w:adjustRightInd w:val="0"/>
              <w:rPr>
                <w:rFonts w:ascii="Times New Roman" w:eastAsia="MS Mincho" w:hAnsi="Times New Roman" w:cs="Times New Roman"/>
                <w:sz w:val="20"/>
                <w:szCs w:val="20"/>
              </w:rPr>
            </w:pPr>
          </w:p>
          <w:p w14:paraId="7FE1C260" w14:textId="0AB6F782" w:rsidR="00960E01" w:rsidRDefault="00821CB5">
            <w:pPr>
              <w:pStyle w:val="P68B1DB1-Normal52"/>
              <w:autoSpaceDE w:val="0"/>
              <w:autoSpaceDN w:val="0"/>
              <w:adjustRightInd w:val="0"/>
            </w:pPr>
            <w:bookmarkStart w:id="127" w:name="_Hlk191374143"/>
            <w:r>
              <w:t>Fast ejendom og levering eller forvaltning af faciliteter og tilhørende faciliteter</w:t>
            </w:r>
            <w:bookmarkEnd w:id="127"/>
            <w:r>
              <w:t xml:space="preserve"> </w:t>
            </w:r>
          </w:p>
          <w:p w14:paraId="7FE1C261" w14:textId="62999FEF" w:rsidR="00960E01" w:rsidRDefault="00821CB5">
            <w:pPr>
              <w:pStyle w:val="P68B1DB1-ListParagraph53"/>
              <w:numPr>
                <w:ilvl w:val="0"/>
                <w:numId w:val="291"/>
              </w:numPr>
              <w:autoSpaceDE w:val="0"/>
              <w:autoSpaceDN w:val="0"/>
              <w:adjustRightInd w:val="0"/>
            </w:pPr>
            <w:r>
              <w:t xml:space="preserve">Kontorlokaler og oplagring </w:t>
            </w:r>
          </w:p>
          <w:p w14:paraId="7FE1C262" w14:textId="3A997023" w:rsidR="00960E01" w:rsidRDefault="00821CB5">
            <w:pPr>
              <w:pStyle w:val="P68B1DB1-ListParagraph53"/>
              <w:numPr>
                <w:ilvl w:val="0"/>
                <w:numId w:val="291"/>
              </w:numPr>
              <w:autoSpaceDE w:val="0"/>
              <w:autoSpaceDN w:val="0"/>
              <w:adjustRightInd w:val="0"/>
            </w:pPr>
            <w:r>
              <w:t xml:space="preserve">Intern facilitetsforvaltning </w:t>
            </w:r>
          </w:p>
          <w:p w14:paraId="7FE1C263" w14:textId="2B6FC02A" w:rsidR="00960E01" w:rsidRDefault="00821CB5">
            <w:pPr>
              <w:pStyle w:val="P68B1DB1-ListParagraph53"/>
              <w:numPr>
                <w:ilvl w:val="0"/>
                <w:numId w:val="291"/>
              </w:numPr>
              <w:autoSpaceDE w:val="0"/>
              <w:autoSpaceDN w:val="0"/>
              <w:adjustRightInd w:val="0"/>
            </w:pPr>
            <w:r>
              <w:t xml:space="preserve">Sikkerhed og adgangskontrol </w:t>
            </w:r>
          </w:p>
          <w:p w14:paraId="7FE1C264" w14:textId="792BCFBD" w:rsidR="00960E01" w:rsidRDefault="00821CB5">
            <w:pPr>
              <w:pStyle w:val="P68B1DB1-ListParagraph53"/>
              <w:numPr>
                <w:ilvl w:val="0"/>
                <w:numId w:val="291"/>
              </w:numPr>
              <w:autoSpaceDE w:val="0"/>
              <w:autoSpaceDN w:val="0"/>
              <w:adjustRightInd w:val="0"/>
            </w:pPr>
            <w:r>
              <w:t xml:space="preserve">Forvaltning af ejendomsportefølje </w:t>
            </w:r>
          </w:p>
          <w:p w14:paraId="7FE1C265" w14:textId="52ACD32B" w:rsidR="00960E01" w:rsidRDefault="00821CB5">
            <w:pPr>
              <w:pStyle w:val="P68B1DB1-ListParagraph53"/>
              <w:numPr>
                <w:ilvl w:val="0"/>
                <w:numId w:val="291"/>
              </w:numPr>
              <w:autoSpaceDE w:val="0"/>
              <w:autoSpaceDN w:val="0"/>
              <w:adjustRightInd w:val="0"/>
            </w:pPr>
            <w:r>
              <w:lastRenderedPageBreak/>
              <w:t>anden servicetype for levering eller forvaltning af fast ejendom og faciliteter og tilhørende faciliteter</w:t>
            </w:r>
          </w:p>
          <w:p w14:paraId="7FE1C266" w14:textId="77777777" w:rsidR="00960E01" w:rsidRDefault="00960E01">
            <w:pPr>
              <w:autoSpaceDE w:val="0"/>
              <w:autoSpaceDN w:val="0"/>
              <w:adjustRightInd w:val="0"/>
              <w:rPr>
                <w:rFonts w:ascii="Times New Roman" w:eastAsia="MS Mincho" w:hAnsi="Times New Roman" w:cs="Times New Roman"/>
                <w:sz w:val="20"/>
                <w:szCs w:val="20"/>
              </w:rPr>
            </w:pPr>
          </w:p>
          <w:p w14:paraId="7FE1C267" w14:textId="4B2E0CD6" w:rsidR="00960E01" w:rsidRDefault="00821CB5">
            <w:pPr>
              <w:pStyle w:val="P68B1DB1-Normal52"/>
              <w:autoSpaceDE w:val="0"/>
              <w:autoSpaceDN w:val="0"/>
              <w:adjustRightInd w:val="0"/>
            </w:pPr>
            <w:r>
              <w:t xml:space="preserve">Juridiske tjenester og compliancefunktioner </w:t>
            </w:r>
          </w:p>
          <w:p w14:paraId="7FE1C268" w14:textId="40AF3D04" w:rsidR="00960E01" w:rsidRDefault="00821CB5">
            <w:pPr>
              <w:pStyle w:val="P68B1DB1-ListParagraph53"/>
              <w:numPr>
                <w:ilvl w:val="0"/>
                <w:numId w:val="292"/>
              </w:numPr>
              <w:autoSpaceDE w:val="0"/>
              <w:autoSpaceDN w:val="0"/>
              <w:adjustRightInd w:val="0"/>
            </w:pPr>
            <w:r>
              <w:t xml:space="preserve">Juridisk støtte til virksomheder </w:t>
            </w:r>
          </w:p>
          <w:p w14:paraId="7FE1C269" w14:textId="1DC4A30A" w:rsidR="00960E01" w:rsidRDefault="00821CB5">
            <w:pPr>
              <w:pStyle w:val="P68B1DB1-ListParagraph53"/>
              <w:numPr>
                <w:ilvl w:val="0"/>
                <w:numId w:val="292"/>
              </w:numPr>
              <w:autoSpaceDE w:val="0"/>
              <w:autoSpaceDN w:val="0"/>
              <w:adjustRightInd w:val="0"/>
            </w:pPr>
            <w:r>
              <w:t xml:space="preserve">Forretnings- og transaktionsrelaterede juridiske tjenester </w:t>
            </w:r>
          </w:p>
          <w:p w14:paraId="7FE1C26A" w14:textId="1BAF6F48" w:rsidR="00960E01" w:rsidRDefault="00821CB5">
            <w:pPr>
              <w:pStyle w:val="P68B1DB1-ListParagraph53"/>
              <w:numPr>
                <w:ilvl w:val="0"/>
                <w:numId w:val="292"/>
              </w:numPr>
              <w:autoSpaceDE w:val="0"/>
              <w:autoSpaceDN w:val="0"/>
              <w:adjustRightInd w:val="0"/>
            </w:pPr>
            <w:r>
              <w:t xml:space="preserve">Compliancesupport </w:t>
            </w:r>
          </w:p>
          <w:p w14:paraId="7FE1C26B" w14:textId="344CDCEC" w:rsidR="00960E01" w:rsidRDefault="00821CB5">
            <w:pPr>
              <w:pStyle w:val="P68B1DB1-ListParagraph53"/>
              <w:numPr>
                <w:ilvl w:val="0"/>
                <w:numId w:val="292"/>
              </w:numPr>
              <w:autoSpaceDE w:val="0"/>
              <w:autoSpaceDN w:val="0"/>
              <w:adjustRightInd w:val="0"/>
            </w:pPr>
            <w:r>
              <w:t>andre juridiske tjenester og compliancefunktionstype</w:t>
            </w:r>
          </w:p>
          <w:p w14:paraId="7FE1C26C" w14:textId="77777777" w:rsidR="00960E01" w:rsidRDefault="00960E01">
            <w:pPr>
              <w:autoSpaceDE w:val="0"/>
              <w:autoSpaceDN w:val="0"/>
              <w:adjustRightInd w:val="0"/>
              <w:ind w:left="708"/>
              <w:rPr>
                <w:rFonts w:ascii="Times New Roman" w:eastAsia="MS Mincho" w:hAnsi="Times New Roman" w:cs="Times New Roman"/>
                <w:sz w:val="20"/>
                <w:szCs w:val="20"/>
              </w:rPr>
            </w:pPr>
          </w:p>
          <w:p w14:paraId="7FE1C26D" w14:textId="03C41351" w:rsidR="00960E01" w:rsidRDefault="00821CB5">
            <w:pPr>
              <w:pStyle w:val="P68B1DB1-Normal52"/>
              <w:autoSpaceDE w:val="0"/>
              <w:autoSpaceDN w:val="0"/>
              <w:adjustRightInd w:val="0"/>
            </w:pPr>
            <w:r>
              <w:t xml:space="preserve">Likviditetsrelaterede tjenester </w:t>
            </w:r>
          </w:p>
          <w:p w14:paraId="7FE1C26E" w14:textId="1425CC24" w:rsidR="00960E01" w:rsidRDefault="00821CB5">
            <w:pPr>
              <w:pStyle w:val="P68B1DB1-ListParagraph53"/>
              <w:numPr>
                <w:ilvl w:val="0"/>
                <w:numId w:val="293"/>
              </w:numPr>
              <w:autoSpaceDE w:val="0"/>
              <w:autoSpaceDN w:val="0"/>
              <w:adjustRightInd w:val="0"/>
            </w:pPr>
            <w:r>
              <w:t xml:space="preserve">Koordinering, administration og styring af likviditet </w:t>
            </w:r>
          </w:p>
          <w:p w14:paraId="7FE1C26F" w14:textId="09154006" w:rsidR="00960E01" w:rsidRDefault="00821CB5">
            <w:pPr>
              <w:pStyle w:val="P68B1DB1-ListParagraph53"/>
              <w:numPr>
                <w:ilvl w:val="0"/>
                <w:numId w:val="293"/>
              </w:numPr>
              <w:autoSpaceDE w:val="0"/>
              <w:autoSpaceDN w:val="0"/>
              <w:adjustRightInd w:val="0"/>
            </w:pPr>
            <w:r>
              <w:t xml:space="preserve">Koordination, administration og styring af refinansiering af enheder, herunder forvaltning af sikkerhedsstillelse </w:t>
            </w:r>
          </w:p>
          <w:p w14:paraId="7FE1C270" w14:textId="0F45C979" w:rsidR="00960E01" w:rsidRDefault="00821CB5">
            <w:pPr>
              <w:pStyle w:val="P68B1DB1-ListParagraph53"/>
              <w:numPr>
                <w:ilvl w:val="0"/>
                <w:numId w:val="293"/>
              </w:numPr>
              <w:autoSpaceDE w:val="0"/>
              <w:autoSpaceDN w:val="0"/>
              <w:adjustRightInd w:val="0"/>
            </w:pPr>
            <w:r>
              <w:t xml:space="preserve">Indberetningsfunktion, navnlig med hensyn til tilsynsretlige likviditetskrav </w:t>
            </w:r>
          </w:p>
          <w:p w14:paraId="7FE1C271" w14:textId="034EEFA4" w:rsidR="00960E01" w:rsidRDefault="00821CB5">
            <w:pPr>
              <w:pStyle w:val="P68B1DB1-ListParagraph53"/>
              <w:numPr>
                <w:ilvl w:val="0"/>
                <w:numId w:val="293"/>
              </w:numPr>
              <w:autoSpaceDE w:val="0"/>
              <w:autoSpaceDN w:val="0"/>
              <w:adjustRightInd w:val="0"/>
            </w:pPr>
            <w:r>
              <w:t xml:space="preserve">Koordination, administration og forvaltning af mellem- og langfristede finansieringsprogrammer samt refinansiering af koncernenheder </w:t>
            </w:r>
          </w:p>
          <w:p w14:paraId="7FE1C272" w14:textId="064C2167" w:rsidR="00960E01" w:rsidRDefault="00821CB5">
            <w:pPr>
              <w:pStyle w:val="P68B1DB1-ListParagraph53"/>
              <w:numPr>
                <w:ilvl w:val="0"/>
                <w:numId w:val="293"/>
              </w:numPr>
              <w:autoSpaceDE w:val="0"/>
              <w:autoSpaceDN w:val="0"/>
              <w:adjustRightInd w:val="0"/>
            </w:pPr>
            <w:r>
              <w:t>Koordination, administration og forvaltning af refinansiering, navnlig kortfristede udstedelser</w:t>
            </w:r>
          </w:p>
          <w:p w14:paraId="7FE1C273" w14:textId="31AA1016" w:rsidR="00960E01" w:rsidRDefault="00821CB5">
            <w:pPr>
              <w:pStyle w:val="P68B1DB1-ListParagraph53"/>
              <w:numPr>
                <w:ilvl w:val="0"/>
                <w:numId w:val="293"/>
              </w:numPr>
              <w:autoSpaceDE w:val="0"/>
              <w:autoSpaceDN w:val="0"/>
              <w:adjustRightInd w:val="0"/>
            </w:pPr>
            <w:r>
              <w:t>andre toldrelaterede tjenestetyper</w:t>
            </w:r>
          </w:p>
          <w:p w14:paraId="7FE1C274" w14:textId="77777777" w:rsidR="00960E01" w:rsidRDefault="00960E01">
            <w:pPr>
              <w:autoSpaceDE w:val="0"/>
              <w:autoSpaceDN w:val="0"/>
              <w:adjustRightInd w:val="0"/>
              <w:rPr>
                <w:rFonts w:ascii="Times New Roman" w:eastAsia="MS Mincho" w:hAnsi="Times New Roman" w:cs="Times New Roman"/>
                <w:sz w:val="20"/>
                <w:szCs w:val="20"/>
              </w:rPr>
            </w:pPr>
          </w:p>
          <w:p w14:paraId="7FE1C275" w14:textId="6437F825" w:rsidR="00960E01" w:rsidRDefault="00821CB5">
            <w:pPr>
              <w:pStyle w:val="P68B1DB1-Normal52"/>
              <w:autoSpaceDE w:val="0"/>
              <w:autoSpaceDN w:val="0"/>
              <w:adjustRightInd w:val="0"/>
            </w:pPr>
            <w:r>
              <w:t xml:space="preserve">Trading/forvaltning af aktiver </w:t>
            </w:r>
          </w:p>
          <w:p w14:paraId="7FE1C276" w14:textId="52377E11" w:rsidR="00960E01" w:rsidRDefault="00821CB5">
            <w:pPr>
              <w:pStyle w:val="P68B1DB1-ListParagraph53"/>
              <w:numPr>
                <w:ilvl w:val="0"/>
                <w:numId w:val="294"/>
              </w:numPr>
              <w:autoSpaceDE w:val="0"/>
              <w:autoSpaceDN w:val="0"/>
              <w:adjustRightInd w:val="0"/>
            </w:pPr>
            <w:r>
              <w:t xml:space="preserve">Transaktionsbehandling: Behandling af handler (trade capture), udformning, realisering, servicering af handelsprodukter </w:t>
            </w:r>
          </w:p>
          <w:p w14:paraId="7FE1C277" w14:textId="35EC336F" w:rsidR="00960E01" w:rsidRDefault="00821CB5">
            <w:pPr>
              <w:pStyle w:val="P68B1DB1-ListParagraph53"/>
              <w:numPr>
                <w:ilvl w:val="0"/>
                <w:numId w:val="294"/>
              </w:numPr>
              <w:autoSpaceDE w:val="0"/>
              <w:autoSpaceDN w:val="0"/>
              <w:adjustRightInd w:val="0"/>
            </w:pPr>
            <w:r>
              <w:t xml:space="preserve">Bekræftelse, afregning, betaling </w:t>
            </w:r>
          </w:p>
          <w:p w14:paraId="7FE1C278" w14:textId="417DFA52" w:rsidR="00960E01" w:rsidRDefault="00821CB5">
            <w:pPr>
              <w:pStyle w:val="P68B1DB1-ListParagraph53"/>
              <w:numPr>
                <w:ilvl w:val="0"/>
                <w:numId w:val="294"/>
              </w:numPr>
              <w:autoSpaceDE w:val="0"/>
              <w:autoSpaceDN w:val="0"/>
              <w:adjustRightInd w:val="0"/>
            </w:pPr>
            <w:r>
              <w:t xml:space="preserve">Positions- og modpartsforvaltning, for så vidt angår dataindberetning og forbindelser med modparter </w:t>
            </w:r>
          </w:p>
          <w:p w14:paraId="7FE1C279" w14:textId="18F90331" w:rsidR="00960E01" w:rsidRDefault="00821CB5">
            <w:pPr>
              <w:pStyle w:val="P68B1DB1-ListParagraph53"/>
              <w:numPr>
                <w:ilvl w:val="0"/>
                <w:numId w:val="294"/>
              </w:numPr>
              <w:autoSpaceDE w:val="0"/>
              <w:autoSpaceDN w:val="0"/>
              <w:adjustRightInd w:val="0"/>
            </w:pPr>
            <w:r>
              <w:t xml:space="preserve">Positionsstyring (risiko og afstemning) </w:t>
            </w:r>
          </w:p>
          <w:p w14:paraId="7FE1C27A" w14:textId="23FC3BC1" w:rsidR="00960E01" w:rsidRDefault="00821CB5">
            <w:pPr>
              <w:pStyle w:val="P68B1DB1-ListParagraph53"/>
              <w:numPr>
                <w:ilvl w:val="0"/>
                <w:numId w:val="294"/>
              </w:numPr>
              <w:autoSpaceDE w:val="0"/>
              <w:autoSpaceDN w:val="0"/>
              <w:adjustRightInd w:val="0"/>
            </w:pPr>
            <w:r>
              <w:t>anden type tjenesteydelser inden for handel/forvaltning af aktiver</w:t>
            </w:r>
          </w:p>
          <w:p w14:paraId="7FE1C27B" w14:textId="77777777" w:rsidR="00960E01" w:rsidRDefault="00960E01">
            <w:pPr>
              <w:autoSpaceDE w:val="0"/>
              <w:autoSpaceDN w:val="0"/>
              <w:adjustRightInd w:val="0"/>
              <w:ind w:left="708"/>
              <w:rPr>
                <w:rFonts w:ascii="Times New Roman" w:eastAsia="MS Mincho" w:hAnsi="Times New Roman" w:cs="Times New Roman"/>
                <w:sz w:val="20"/>
                <w:szCs w:val="20"/>
              </w:rPr>
            </w:pPr>
          </w:p>
          <w:p w14:paraId="7FE1C27C" w14:textId="1E8D237F" w:rsidR="00960E01" w:rsidRDefault="00821CB5">
            <w:pPr>
              <w:pStyle w:val="P68B1DB1-Normal52"/>
              <w:autoSpaceDE w:val="0"/>
              <w:autoSpaceDN w:val="0"/>
              <w:adjustRightInd w:val="0"/>
            </w:pPr>
            <w:r>
              <w:t xml:space="preserve">Risikostyring og værdiansættelse </w:t>
            </w:r>
          </w:p>
          <w:p w14:paraId="7FE1C27D" w14:textId="27978472" w:rsidR="00960E01" w:rsidRDefault="00821CB5">
            <w:pPr>
              <w:pStyle w:val="P68B1DB1-ListParagraph53"/>
              <w:numPr>
                <w:ilvl w:val="0"/>
                <w:numId w:val="295"/>
              </w:numPr>
              <w:autoSpaceDE w:val="0"/>
              <w:autoSpaceDN w:val="0"/>
              <w:adjustRightInd w:val="0"/>
            </w:pPr>
            <w:r>
              <w:t>Risikostyring efter central- eller forretningsområde eller risikotype</w:t>
            </w:r>
          </w:p>
          <w:p w14:paraId="7FE1C27E" w14:textId="7AC0E3ED" w:rsidR="00960E01" w:rsidRDefault="00821CB5">
            <w:pPr>
              <w:pStyle w:val="P68B1DB1-ListParagraph53"/>
              <w:numPr>
                <w:ilvl w:val="0"/>
                <w:numId w:val="295"/>
              </w:numPr>
              <w:autoSpaceDE w:val="0"/>
              <w:autoSpaceDN w:val="0"/>
              <w:adjustRightInd w:val="0"/>
            </w:pPr>
            <w:r>
              <w:t xml:space="preserve">Generering af risikorapporter </w:t>
            </w:r>
          </w:p>
          <w:p w14:paraId="7FE1C27F" w14:textId="54F4E51F" w:rsidR="00960E01" w:rsidRDefault="00821CB5">
            <w:pPr>
              <w:pStyle w:val="P68B1DB1-ListParagraph53"/>
              <w:numPr>
                <w:ilvl w:val="0"/>
                <w:numId w:val="295"/>
              </w:numPr>
              <w:autoSpaceDE w:val="0"/>
              <w:autoSpaceDN w:val="0"/>
              <w:adjustRightInd w:val="0"/>
            </w:pPr>
            <w:r>
              <w:t>anden type tjenester inden for risikostyring og værdiansættelse</w:t>
            </w:r>
          </w:p>
          <w:p w14:paraId="7FE1C280" w14:textId="77777777" w:rsidR="00960E01" w:rsidRDefault="00960E01">
            <w:pPr>
              <w:autoSpaceDE w:val="0"/>
              <w:autoSpaceDN w:val="0"/>
              <w:adjustRightInd w:val="0"/>
              <w:rPr>
                <w:rFonts w:ascii="Times New Roman" w:eastAsia="MS Mincho" w:hAnsi="Times New Roman" w:cs="Times New Roman"/>
                <w:sz w:val="20"/>
                <w:szCs w:val="20"/>
              </w:rPr>
            </w:pPr>
          </w:p>
          <w:p w14:paraId="7FE1C281" w14:textId="5206B100" w:rsidR="00960E01" w:rsidRDefault="00821CB5">
            <w:pPr>
              <w:pStyle w:val="P68B1DB1-Normal52"/>
              <w:autoSpaceDE w:val="0"/>
              <w:autoSpaceDN w:val="0"/>
              <w:adjustRightInd w:val="0"/>
            </w:pPr>
            <w:r>
              <w:t xml:space="preserve">Regnskaber </w:t>
            </w:r>
          </w:p>
          <w:p w14:paraId="7FE1C282" w14:textId="65C12590" w:rsidR="00960E01" w:rsidRDefault="00821CB5">
            <w:pPr>
              <w:pStyle w:val="P68B1DB1-ListParagraph53"/>
              <w:numPr>
                <w:ilvl w:val="0"/>
                <w:numId w:val="296"/>
              </w:numPr>
              <w:autoSpaceDE w:val="0"/>
              <w:autoSpaceDN w:val="0"/>
              <w:adjustRightInd w:val="0"/>
            </w:pPr>
            <w:r>
              <w:t xml:space="preserve">Indberetning i henhold til love og forskrifter </w:t>
            </w:r>
          </w:p>
          <w:p w14:paraId="7FE1C283" w14:textId="3DCAF9FA" w:rsidR="00960E01" w:rsidRDefault="00821CB5">
            <w:pPr>
              <w:pStyle w:val="P68B1DB1-ListParagraph53"/>
              <w:numPr>
                <w:ilvl w:val="0"/>
                <w:numId w:val="296"/>
              </w:numPr>
              <w:autoSpaceDE w:val="0"/>
              <w:autoSpaceDN w:val="0"/>
              <w:adjustRightInd w:val="0"/>
            </w:pPr>
            <w:r>
              <w:t xml:space="preserve">Værdiansættelse, navnlig af markedspositioner </w:t>
            </w:r>
          </w:p>
          <w:p w14:paraId="7FE1C284" w14:textId="2EE4BE8B" w:rsidR="00960E01" w:rsidRDefault="00821CB5">
            <w:pPr>
              <w:pStyle w:val="P68B1DB1-ListParagraph53"/>
              <w:numPr>
                <w:ilvl w:val="0"/>
                <w:numId w:val="296"/>
              </w:numPr>
              <w:autoSpaceDE w:val="0"/>
              <w:autoSpaceDN w:val="0"/>
              <w:adjustRightInd w:val="0"/>
            </w:pPr>
            <w:r>
              <w:t xml:space="preserve">Ledelsesrapportering </w:t>
            </w:r>
          </w:p>
          <w:p w14:paraId="7FE1C285" w14:textId="186EA25B" w:rsidR="00960E01" w:rsidRDefault="00821CB5">
            <w:pPr>
              <w:pStyle w:val="P68B1DB1-ListParagraph53"/>
              <w:numPr>
                <w:ilvl w:val="0"/>
                <w:numId w:val="296"/>
              </w:numPr>
              <w:autoSpaceDE w:val="0"/>
              <w:autoSpaceDN w:val="0"/>
              <w:adjustRightInd w:val="0"/>
            </w:pPr>
            <w:r>
              <w:t>anden type regnskabstjeneste</w:t>
            </w:r>
          </w:p>
          <w:p w14:paraId="7FE1C286" w14:textId="77777777" w:rsidR="00960E01" w:rsidRDefault="00960E01">
            <w:pPr>
              <w:autoSpaceDE w:val="0"/>
              <w:autoSpaceDN w:val="0"/>
              <w:adjustRightInd w:val="0"/>
              <w:ind w:left="708"/>
              <w:rPr>
                <w:rFonts w:ascii="Times New Roman" w:eastAsia="MS Mincho" w:hAnsi="Times New Roman" w:cs="Times New Roman"/>
                <w:sz w:val="20"/>
                <w:szCs w:val="20"/>
              </w:rPr>
            </w:pPr>
          </w:p>
          <w:p w14:paraId="7FE1C287" w14:textId="675737F3" w:rsidR="00960E01" w:rsidRDefault="00821CB5">
            <w:pPr>
              <w:pStyle w:val="P68B1DB1-Normal54"/>
              <w:autoSpaceDE w:val="0"/>
              <w:autoSpaceDN w:val="0"/>
              <w:adjustRightInd w:val="0"/>
              <w:rPr>
                <w:sz w:val="24"/>
              </w:rPr>
            </w:pPr>
            <w:r>
              <w:rPr>
                <w:sz w:val="20"/>
              </w:rPr>
              <w:t>Håndtering af kontanter</w:t>
            </w:r>
            <w:r>
              <w:rPr>
                <w:sz w:val="24"/>
              </w:rPr>
              <w:t xml:space="preserve"> </w:t>
            </w:r>
          </w:p>
          <w:p w14:paraId="7FE1C288" w14:textId="77777777" w:rsidR="00960E01" w:rsidRDefault="00960E01">
            <w:pPr>
              <w:autoSpaceDE w:val="0"/>
              <w:autoSpaceDN w:val="0"/>
              <w:adjustRightInd w:val="0"/>
              <w:rPr>
                <w:rFonts w:ascii="Times New Roman" w:eastAsia="MS Mincho" w:hAnsi="Times New Roman" w:cs="Times New Roman"/>
                <w:sz w:val="24"/>
                <w:szCs w:val="20"/>
              </w:rPr>
            </w:pPr>
          </w:p>
          <w:p w14:paraId="7FE1C289" w14:textId="180A5CA4" w:rsidR="00960E01" w:rsidRDefault="00821CB5">
            <w:pPr>
              <w:pStyle w:val="P68B1DB1-Normal52"/>
              <w:autoSpaceDE w:val="0"/>
              <w:autoSpaceDN w:val="0"/>
              <w:adjustRightInd w:val="0"/>
            </w:pPr>
            <w:r>
              <w:t>Anden type tjeneste</w:t>
            </w:r>
          </w:p>
          <w:p w14:paraId="7FE1C28B" w14:textId="56625F93" w:rsidR="00960E01" w:rsidRDefault="00960E01">
            <w:pPr>
              <w:spacing w:line="276" w:lineRule="auto"/>
              <w:jc w:val="both"/>
              <w:rPr>
                <w:rFonts w:ascii="Times New Roman" w:eastAsia="Calibri" w:hAnsi="Times New Roman" w:cs="Times New Roman"/>
                <w:b/>
                <w:i/>
                <w:sz w:val="20"/>
                <w:szCs w:val="20"/>
              </w:rPr>
            </w:pPr>
          </w:p>
        </w:tc>
      </w:tr>
      <w:tr w:rsidR="00960E01" w14:paraId="7FE1C292" w14:textId="77777777">
        <w:trPr>
          <w:trHeight w:val="463"/>
        </w:trPr>
        <w:tc>
          <w:tcPr>
            <w:tcW w:w="1129" w:type="dxa"/>
            <w:shd w:val="clear" w:color="auto" w:fill="FFFFFF" w:themeFill="background1"/>
          </w:tcPr>
          <w:p w14:paraId="7FE1C28D" w14:textId="77777777" w:rsidR="00960E01" w:rsidRDefault="00821CB5">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960E01" w:rsidRDefault="00821CB5">
            <w:pPr>
              <w:pStyle w:val="P68B1DB1-Normal49"/>
              <w:spacing w:line="276" w:lineRule="auto"/>
              <w:jc w:val="both"/>
              <w:rPr>
                <w:bCs/>
              </w:rPr>
            </w:pPr>
            <w:r>
              <w:t>Entydig tjenestetitel i henhold til banktaksonomi</w:t>
            </w:r>
          </w:p>
          <w:p w14:paraId="1C0060B3" w14:textId="77777777" w:rsidR="00960E01" w:rsidRDefault="00821CB5">
            <w:pPr>
              <w:rPr>
                <w:rFonts w:ascii="Times New Roman" w:eastAsiaTheme="minorHAnsi" w:hAnsi="Times New Roman" w:cs="Times New Roman"/>
                <w:sz w:val="24"/>
              </w:rPr>
            </w:pPr>
            <w:r>
              <w:rPr>
                <w:rFonts w:ascii="Times New Roman" w:eastAsia="Calibri" w:hAnsi="Times New Roman" w:cs="Times New Roman"/>
                <w:sz w:val="20"/>
              </w:rPr>
              <w:t>Navn/kort beskrivelse af tjenesten i henhold til bankens egen differentierede taksonomi (niveau 3), som kategoriserer tjenesterne og undergrupperne af disse tjenester på hierarkiske niveauer. F.eks. en tjenestetaksonomi, der kategoriserer tjenesterne på tre hierarkiske niveauer, hvor der på øverste niveau er servicegruppen (L1: Finanstjenester), hvor tjenesterne er repræsenteret på niveau to (L2: finansforvaltning, finansiel analyse, skat, investorrelationer osv.) og deltjenester på niveau tre (L3 — inden for finansforvaltning: likviditetsstyring, forvaltning af aktiver og passiver, forvaltning af sikkerhedsstillelse osv.). Banken forventes at indberette tjenesterne på et mere detaljeret niveau end rapporteringen for niveau 2 (c0010), således at hver enkelt tjeneste defineres præcist og målrettet.</w:t>
            </w:r>
            <w:r>
              <w:rPr>
                <w:rFonts w:ascii="Times New Roman" w:eastAsiaTheme="minorHAnsi" w:hAnsi="Times New Roman" w:cs="Times New Roman"/>
                <w:sz w:val="24"/>
              </w:rPr>
              <w:t xml:space="preserve"> </w:t>
            </w:r>
          </w:p>
          <w:p w14:paraId="7FE1C290" w14:textId="77777777" w:rsidR="00960E01" w:rsidRDefault="00960E01">
            <w:pPr>
              <w:spacing w:line="276" w:lineRule="auto"/>
              <w:jc w:val="both"/>
              <w:rPr>
                <w:rFonts w:ascii="Times New Roman" w:eastAsia="Calibri" w:hAnsi="Times New Roman" w:cs="Times New Roman"/>
                <w:sz w:val="20"/>
              </w:rPr>
            </w:pPr>
          </w:p>
          <w:p w14:paraId="7FE1C291" w14:textId="77777777" w:rsidR="00960E01" w:rsidRDefault="00960E01">
            <w:pPr>
              <w:spacing w:line="276" w:lineRule="auto"/>
              <w:jc w:val="both"/>
              <w:rPr>
                <w:rFonts w:ascii="Times New Roman" w:eastAsia="Calibri" w:hAnsi="Times New Roman" w:cs="Times New Roman"/>
                <w:i/>
                <w:sz w:val="20"/>
              </w:rPr>
            </w:pPr>
          </w:p>
        </w:tc>
      </w:tr>
      <w:tr w:rsidR="00960E01" w14:paraId="7FE1C298" w14:textId="77777777">
        <w:trPr>
          <w:trHeight w:val="463"/>
        </w:trPr>
        <w:tc>
          <w:tcPr>
            <w:tcW w:w="1129" w:type="dxa"/>
            <w:shd w:val="clear" w:color="auto" w:fill="FFFFFF" w:themeFill="background1"/>
          </w:tcPr>
          <w:p w14:paraId="7FE1C293" w14:textId="77777777" w:rsidR="00960E01" w:rsidRDefault="00821CB5">
            <w:pPr>
              <w:pStyle w:val="P68B1DB1-Normal50"/>
              <w:spacing w:before="120" w:after="120" w:line="276" w:lineRule="auto"/>
            </w:pPr>
            <w:r>
              <w:lastRenderedPageBreak/>
              <w:t>0030-0040</w:t>
            </w:r>
          </w:p>
          <w:p w14:paraId="7FE1C294" w14:textId="77777777" w:rsidR="00960E01" w:rsidRDefault="00960E01">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960E01" w:rsidRDefault="00821CB5">
            <w:pPr>
              <w:pStyle w:val="P68B1DB1-Normal49"/>
              <w:spacing w:line="276" w:lineRule="auto"/>
              <w:jc w:val="both"/>
              <w:rPr>
                <w:bCs/>
              </w:rPr>
            </w:pPr>
            <w:r>
              <w:t>Modtager af tjenesten</w:t>
            </w:r>
          </w:p>
          <w:p w14:paraId="7FE1C296" w14:textId="6BB16960" w:rsidR="00960E01" w:rsidRDefault="00821CB5">
            <w:pPr>
              <w:pStyle w:val="P68B1DB1-Normal45"/>
              <w:spacing w:line="276" w:lineRule="auto"/>
              <w:jc w:val="both"/>
            </w:pPr>
            <w:r>
              <w:t>Enhed i koncernen, som modtager den tjeneste indberettet i kolonne 0010 fra en anden koncernenhed eller den eksterne leverandør indberettet i kolonne 0050-0110.</w:t>
            </w:r>
          </w:p>
          <w:p w14:paraId="7FE1C297" w14:textId="77777777" w:rsidR="00960E01" w:rsidRDefault="00960E01">
            <w:pPr>
              <w:spacing w:line="276" w:lineRule="auto"/>
              <w:jc w:val="both"/>
              <w:rPr>
                <w:rFonts w:ascii="Times New Roman" w:eastAsia="Calibri" w:hAnsi="Times New Roman" w:cs="Times New Roman"/>
                <w:sz w:val="20"/>
              </w:rPr>
            </w:pPr>
          </w:p>
        </w:tc>
      </w:tr>
      <w:tr w:rsidR="00960E01" w14:paraId="7FE1C29F" w14:textId="77777777">
        <w:trPr>
          <w:trHeight w:val="463"/>
        </w:trPr>
        <w:tc>
          <w:tcPr>
            <w:tcW w:w="1129" w:type="dxa"/>
            <w:shd w:val="clear" w:color="auto" w:fill="FFFFFF" w:themeFill="background1"/>
          </w:tcPr>
          <w:p w14:paraId="7FE1C299" w14:textId="77777777" w:rsidR="00960E01" w:rsidRDefault="00821CB5">
            <w:pPr>
              <w:pStyle w:val="P68B1DB1-Normal50"/>
              <w:spacing w:before="120" w:after="120" w:line="276" w:lineRule="auto"/>
            </w:pPr>
            <w:r>
              <w:t>0030</w:t>
            </w:r>
          </w:p>
          <w:p w14:paraId="7FE1C29A" w14:textId="77777777" w:rsidR="00960E01" w:rsidRDefault="00960E01">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960E01" w:rsidRDefault="00821CB5">
            <w:pPr>
              <w:pStyle w:val="P68B1DB1-Normal49"/>
              <w:spacing w:before="120" w:after="120" w:line="276" w:lineRule="auto"/>
              <w:rPr>
                <w:bCs/>
              </w:rPr>
            </w:pPr>
            <w:r>
              <w:t>Navn</w:t>
            </w:r>
          </w:p>
          <w:p w14:paraId="7FE1C29C" w14:textId="5429A4DF" w:rsidR="00960E01" w:rsidRDefault="00821CB5">
            <w:pPr>
              <w:pStyle w:val="P68B1DB1-Normal45"/>
              <w:spacing w:line="276" w:lineRule="auto"/>
              <w:jc w:val="both"/>
            </w:pPr>
            <w:r>
              <w:t>Den skal være forskellig fra det navn, der er anført i kolonne 0050, medmindre tjenesteydelsen er en intern tjeneste. I dette tilfælde forventes navnet på den tjenestemodtagende enhed og navnet på tjenesteudbyderens enhed at matche.</w:t>
            </w:r>
          </w:p>
          <w:p w14:paraId="7FE1C29D" w14:textId="77777777" w:rsidR="00960E01" w:rsidRDefault="00960E01">
            <w:pPr>
              <w:spacing w:line="276" w:lineRule="auto"/>
              <w:jc w:val="both"/>
              <w:rPr>
                <w:rFonts w:ascii="Times New Roman" w:eastAsia="Calibri" w:hAnsi="Times New Roman" w:cs="Times New Roman"/>
                <w:sz w:val="20"/>
              </w:rPr>
            </w:pPr>
          </w:p>
          <w:p w14:paraId="7FE1C29E" w14:textId="77777777" w:rsidR="00960E01" w:rsidRDefault="00960E01">
            <w:pPr>
              <w:spacing w:line="276" w:lineRule="auto"/>
              <w:jc w:val="both"/>
              <w:rPr>
                <w:rFonts w:ascii="Times New Roman" w:eastAsia="Calibri" w:hAnsi="Times New Roman" w:cs="Times New Roman"/>
                <w:b/>
                <w:sz w:val="20"/>
              </w:rPr>
            </w:pPr>
          </w:p>
        </w:tc>
      </w:tr>
      <w:tr w:rsidR="00960E01" w14:paraId="7FE1C2A6" w14:textId="77777777">
        <w:trPr>
          <w:trHeight w:val="463"/>
        </w:trPr>
        <w:tc>
          <w:tcPr>
            <w:tcW w:w="1129" w:type="dxa"/>
            <w:shd w:val="clear" w:color="auto" w:fill="FFFFFF" w:themeFill="background1"/>
          </w:tcPr>
          <w:p w14:paraId="7FE1C2A0" w14:textId="77777777" w:rsidR="00960E01" w:rsidRDefault="00821CB5">
            <w:pPr>
              <w:pStyle w:val="P68B1DB1-Normal50"/>
              <w:spacing w:before="120" w:after="120" w:line="276" w:lineRule="auto"/>
            </w:pPr>
            <w:r>
              <w:t>0040</w:t>
            </w:r>
          </w:p>
          <w:p w14:paraId="7FE1C2A1" w14:textId="77777777" w:rsidR="00960E01" w:rsidRDefault="00960E01">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11738BCD" w:rsidR="00960E01" w:rsidRDefault="00821CB5">
            <w:pPr>
              <w:pStyle w:val="P68B1DB1-Normal49"/>
              <w:spacing w:before="120" w:after="120" w:line="276" w:lineRule="auto"/>
              <w:rPr>
                <w:bCs/>
              </w:rPr>
            </w:pPr>
            <w:r>
              <w:t>Kode</w:t>
            </w:r>
          </w:p>
          <w:p w14:paraId="7FE1C2A3" w14:textId="77777777" w:rsidR="00960E01" w:rsidRDefault="00821CB5">
            <w:pPr>
              <w:pStyle w:val="P68B1DB1-Normal45"/>
              <w:spacing w:line="276" w:lineRule="auto"/>
              <w:jc w:val="both"/>
            </w:pPr>
            <w:r>
              <w:t>Entydig identifikator for den juridiske enhed i kolonne 0030 som indberettet i skema Z 01.01 (ORG).</w:t>
            </w:r>
          </w:p>
          <w:p w14:paraId="7FE1C2A4" w14:textId="77777777" w:rsidR="00960E01" w:rsidRDefault="00821CB5">
            <w:pPr>
              <w:pStyle w:val="P68B1DB1-Normal45"/>
              <w:spacing w:line="276" w:lineRule="auto"/>
              <w:jc w:val="both"/>
            </w:pPr>
            <w:r>
              <w:t>Den skal være forskellig fra den identifikator, der er indberettet i kolonne 0060, medmindre tjenesten er intern enhed. I dette tilfælde forventes tjenestemodtagerens kode og tjenesteyderens kode at matche.</w:t>
            </w:r>
          </w:p>
          <w:p w14:paraId="7FE1C2A5" w14:textId="77777777" w:rsidR="00960E01" w:rsidRDefault="00960E01">
            <w:pPr>
              <w:spacing w:line="276" w:lineRule="auto"/>
              <w:jc w:val="both"/>
              <w:rPr>
                <w:rFonts w:ascii="Times New Roman" w:eastAsia="Calibri" w:hAnsi="Times New Roman" w:cs="Times New Roman"/>
                <w:b/>
                <w:i/>
                <w:sz w:val="20"/>
              </w:rPr>
            </w:pPr>
          </w:p>
        </w:tc>
      </w:tr>
      <w:tr w:rsidR="00960E01" w14:paraId="7FE1C2AC" w14:textId="77777777">
        <w:trPr>
          <w:trHeight w:val="463"/>
        </w:trPr>
        <w:tc>
          <w:tcPr>
            <w:tcW w:w="1129" w:type="dxa"/>
            <w:shd w:val="clear" w:color="auto" w:fill="FFFFFF" w:themeFill="background1"/>
          </w:tcPr>
          <w:p w14:paraId="7FE1C2A7" w14:textId="77777777" w:rsidR="00960E01" w:rsidRDefault="00821CB5">
            <w:pPr>
              <w:pStyle w:val="P68B1DB1-Normal50"/>
              <w:spacing w:before="120" w:after="120" w:line="276" w:lineRule="auto"/>
            </w:pPr>
            <w:r>
              <w:t>0050-0110</w:t>
            </w:r>
          </w:p>
          <w:p w14:paraId="7FE1C2A8" w14:textId="77777777" w:rsidR="00960E01" w:rsidRDefault="00960E01">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960E01" w:rsidRDefault="00821CB5">
            <w:pPr>
              <w:pStyle w:val="P68B1DB1-Normal55"/>
              <w:spacing w:line="276" w:lineRule="auto"/>
              <w:jc w:val="both"/>
              <w:rPr>
                <w:bCs/>
              </w:rPr>
            </w:pPr>
            <w:r>
              <w:rPr>
                <w:szCs w:val="20"/>
              </w:rPr>
              <w:t>Tjenesteudbyder</w:t>
            </w:r>
            <w:r>
              <w:t xml:space="preserve"> </w:t>
            </w:r>
          </w:p>
          <w:p w14:paraId="7FE1C2AA" w14:textId="77777777" w:rsidR="00960E01" w:rsidRDefault="00821CB5">
            <w:pPr>
              <w:pStyle w:val="P68B1DB1-Normal45"/>
              <w:spacing w:line="276" w:lineRule="auto"/>
              <w:jc w:val="both"/>
            </w:pPr>
            <w:r>
              <w:t>Den juridiske enhed (for koncerninterne tjenester) eller den eksterne udbyder (for eksterne tjenesteydelser), der leverer de tjenester, der er indberettet i kolonne 0020, til den koncernenhed, der er indberettet i kolonne 0030.</w:t>
            </w:r>
          </w:p>
          <w:p w14:paraId="7FE1C2AB" w14:textId="77777777" w:rsidR="00960E01" w:rsidRDefault="00960E01">
            <w:pPr>
              <w:spacing w:line="276" w:lineRule="auto"/>
              <w:jc w:val="both"/>
              <w:rPr>
                <w:rFonts w:ascii="Times New Roman" w:eastAsia="Calibri" w:hAnsi="Times New Roman" w:cs="Times New Roman"/>
                <w:sz w:val="20"/>
              </w:rPr>
            </w:pPr>
          </w:p>
        </w:tc>
      </w:tr>
      <w:tr w:rsidR="00960E01" w14:paraId="244B34A5" w14:textId="77777777">
        <w:trPr>
          <w:trHeight w:val="463"/>
        </w:trPr>
        <w:tc>
          <w:tcPr>
            <w:tcW w:w="1129" w:type="dxa"/>
            <w:shd w:val="clear" w:color="auto" w:fill="FFFFFF" w:themeFill="background1"/>
          </w:tcPr>
          <w:p w14:paraId="26770022" w14:textId="77E4D0B7" w:rsidR="00960E01" w:rsidRDefault="00821CB5">
            <w:pPr>
              <w:pStyle w:val="P68B1DB1-Normal50"/>
              <w:spacing w:before="120" w:after="120" w:line="276" w:lineRule="auto"/>
            </w:pPr>
            <w:r>
              <w:t>0050-0070</w:t>
            </w:r>
          </w:p>
        </w:tc>
        <w:tc>
          <w:tcPr>
            <w:tcW w:w="7938" w:type="dxa"/>
            <w:shd w:val="clear" w:color="auto" w:fill="FFFFFF" w:themeFill="background1"/>
          </w:tcPr>
          <w:p w14:paraId="3E4CD319" w14:textId="6DCA5709" w:rsidR="00960E01" w:rsidRDefault="00821CB5">
            <w:pPr>
              <w:pStyle w:val="P68B1DB1-Normal49"/>
              <w:spacing w:line="276" w:lineRule="auto"/>
              <w:jc w:val="both"/>
              <w:rPr>
                <w:bCs/>
              </w:rPr>
            </w:pPr>
            <w:r>
              <w:t>Enhed</w:t>
            </w:r>
          </w:p>
        </w:tc>
      </w:tr>
      <w:tr w:rsidR="00960E01" w14:paraId="7FE1C2B2" w14:textId="77777777">
        <w:trPr>
          <w:trHeight w:val="463"/>
        </w:trPr>
        <w:tc>
          <w:tcPr>
            <w:tcW w:w="1129" w:type="dxa"/>
            <w:shd w:val="clear" w:color="auto" w:fill="FFFFFF" w:themeFill="background1"/>
          </w:tcPr>
          <w:p w14:paraId="7FE1C2AD" w14:textId="77777777" w:rsidR="00960E01" w:rsidRDefault="00821CB5">
            <w:pPr>
              <w:pStyle w:val="P68B1DB1-Normal50"/>
              <w:spacing w:before="120" w:after="120" w:line="276" w:lineRule="auto"/>
            </w:pPr>
            <w:r>
              <w:t>0050</w:t>
            </w:r>
          </w:p>
          <w:p w14:paraId="7FE1C2AE" w14:textId="77777777" w:rsidR="00960E01" w:rsidRDefault="00960E01">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960E01" w:rsidRDefault="00821CB5">
            <w:pPr>
              <w:pStyle w:val="P68B1DB1-Normal49"/>
              <w:spacing w:before="120" w:after="120" w:line="276" w:lineRule="auto"/>
              <w:rPr>
                <w:bCs/>
              </w:rPr>
            </w:pPr>
            <w:r>
              <w:t>Navn</w:t>
            </w:r>
          </w:p>
          <w:p w14:paraId="7FE1C2B0" w14:textId="77777777" w:rsidR="00960E01" w:rsidRDefault="00821CB5">
            <w:pPr>
              <w:pStyle w:val="P68B1DB1-Normal45"/>
              <w:spacing w:line="276" w:lineRule="auto"/>
              <w:jc w:val="both"/>
            </w:pPr>
            <w:r>
              <w:t>Den skal være forskellig fra det navn, der er anført i kolonne 0030, medmindre tjenesteydelsen er en intern tjeneste. I dette tilfælde forventes navnet på den tjenestemodtagende enhed og navnet på tjenesteudbyderens enhed at matche.</w:t>
            </w:r>
          </w:p>
          <w:p w14:paraId="7FE1C2B1" w14:textId="77777777" w:rsidR="00960E01" w:rsidRDefault="00960E01">
            <w:pPr>
              <w:spacing w:line="276" w:lineRule="auto"/>
              <w:jc w:val="both"/>
              <w:rPr>
                <w:rFonts w:ascii="Times New Roman" w:eastAsia="Calibri" w:hAnsi="Times New Roman" w:cs="Times New Roman"/>
                <w:b/>
                <w:sz w:val="20"/>
              </w:rPr>
            </w:pPr>
          </w:p>
        </w:tc>
      </w:tr>
      <w:tr w:rsidR="00960E01" w14:paraId="7FE1C2BE" w14:textId="77777777">
        <w:trPr>
          <w:trHeight w:val="463"/>
        </w:trPr>
        <w:tc>
          <w:tcPr>
            <w:tcW w:w="1129" w:type="dxa"/>
            <w:shd w:val="clear" w:color="auto" w:fill="FFFFFF" w:themeFill="background1"/>
          </w:tcPr>
          <w:p w14:paraId="7FE1C2B3" w14:textId="77777777" w:rsidR="00960E01" w:rsidRDefault="00821CB5">
            <w:pPr>
              <w:pStyle w:val="P68B1DB1-Normal45"/>
              <w:spacing w:line="276" w:lineRule="auto"/>
              <w:jc w:val="both"/>
            </w:pPr>
            <w:r>
              <w:t>0060</w:t>
            </w:r>
          </w:p>
          <w:p w14:paraId="7FE1C2B4" w14:textId="77777777" w:rsidR="00960E01" w:rsidRDefault="00960E01">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18C6E40F" w:rsidR="00960E01" w:rsidRDefault="00821CB5">
            <w:pPr>
              <w:pStyle w:val="P68B1DB1-Normal55"/>
              <w:spacing w:line="276" w:lineRule="auto"/>
              <w:jc w:val="both"/>
              <w:rPr>
                <w:bCs/>
              </w:rPr>
            </w:pPr>
            <w:r>
              <w:t>Kode</w:t>
            </w:r>
          </w:p>
          <w:p w14:paraId="7FE1C2B6" w14:textId="77777777" w:rsidR="00960E01" w:rsidRDefault="00821CB5">
            <w:pPr>
              <w:pStyle w:val="P68B1DB1-Normal45"/>
              <w:spacing w:line="276" w:lineRule="auto"/>
              <w:jc w:val="both"/>
              <w:rPr>
                <w:strike/>
              </w:rPr>
            </w:pPr>
            <w:r>
              <w:t>Entydig identifikator for den juridiske enhed i kolonne 0050. Den skal være forskellig fra den identifikator, der er anført i kolonne 0040, medmindre tjenesten er internt i enheden. I dette tilfælde forventes tjenestemodtagerens kode og tjenesteyderens kode at matche.</w:t>
            </w:r>
          </w:p>
          <w:p w14:paraId="7FE1C2B7" w14:textId="77777777" w:rsidR="00960E01" w:rsidRDefault="00821CB5">
            <w:pPr>
              <w:pStyle w:val="P68B1DB1-Normal45"/>
              <w:spacing w:line="276" w:lineRule="auto"/>
              <w:jc w:val="both"/>
            </w:pPr>
            <w:r>
              <w:t>Hvis tjenesteyderen er en koncernenhed, skal koden være de samme som den, der er angivet i skema Z 01.01 (ORG).</w:t>
            </w:r>
          </w:p>
          <w:p w14:paraId="7FE1C2B8" w14:textId="77777777" w:rsidR="00960E01" w:rsidRDefault="00821CB5">
            <w:pPr>
              <w:pStyle w:val="P68B1DB1-Normal45"/>
              <w:spacing w:line="276" w:lineRule="auto"/>
              <w:jc w:val="both"/>
            </w:pPr>
            <w:r>
              <w:t>Hvis tjenesteyderen ikke er en koncernenhed, er den pågældende enheds kode:</w:t>
            </w:r>
          </w:p>
          <w:p w14:paraId="7FE1C2B9" w14:textId="77777777" w:rsidR="00960E01" w:rsidRDefault="00821CB5">
            <w:pPr>
              <w:pStyle w:val="P68B1DB1-Normal45"/>
              <w:spacing w:line="276" w:lineRule="auto"/>
              <w:jc w:val="both"/>
            </w:pPr>
            <w:r>
              <w:t>— for enheder med en identifikator for juridiske enheder (LEI), den 20-cifrede, alfanumeriske LEI-kode</w:t>
            </w:r>
          </w:p>
          <w:p w14:paraId="7FE1C2BA" w14:textId="77777777" w:rsidR="00960E01" w:rsidRDefault="00821CB5">
            <w:pPr>
              <w:pStyle w:val="P68B1DB1-Normal45"/>
              <w:spacing w:line="276" w:lineRule="auto"/>
              <w:jc w:val="both"/>
            </w:pPr>
            <w:r>
              <w:t>— for enheder uden LEI, det samlede registreringsnummer i henhold til national ret</w:t>
            </w:r>
            <w:r>
              <w:rPr>
                <w:strike/>
              </w:rPr>
              <w:t>.</w:t>
            </w:r>
          </w:p>
          <w:p w14:paraId="7FE1C2BB" w14:textId="77777777" w:rsidR="00960E01" w:rsidRDefault="00960E01">
            <w:pPr>
              <w:spacing w:line="276" w:lineRule="auto"/>
              <w:jc w:val="both"/>
              <w:rPr>
                <w:rFonts w:ascii="Times New Roman" w:eastAsia="Calibri" w:hAnsi="Times New Roman" w:cs="Times New Roman"/>
                <w:sz w:val="20"/>
              </w:rPr>
            </w:pPr>
          </w:p>
          <w:p w14:paraId="7FE1C2BC" w14:textId="77777777" w:rsidR="00960E01" w:rsidRDefault="00821CB5">
            <w:pPr>
              <w:pStyle w:val="P68B1DB1-Normal45"/>
              <w:spacing w:line="276" w:lineRule="auto"/>
              <w:jc w:val="both"/>
            </w:pPr>
            <w:r>
              <w:t>For begge tilfælde skal koden være unik og anvendes konsekvent i alle skemaerne.</w:t>
            </w:r>
          </w:p>
          <w:p w14:paraId="7FE1C2BD" w14:textId="77777777" w:rsidR="00960E01" w:rsidRDefault="00821CB5">
            <w:pPr>
              <w:pStyle w:val="P68B1DB1-Normal56"/>
              <w:spacing w:line="276" w:lineRule="auto"/>
              <w:jc w:val="both"/>
            </w:pPr>
            <w:r>
              <w:t xml:space="preserve"> </w:t>
            </w:r>
          </w:p>
        </w:tc>
      </w:tr>
      <w:tr w:rsidR="00960E01" w14:paraId="7FE1C2C7" w14:textId="77777777">
        <w:trPr>
          <w:trHeight w:val="463"/>
        </w:trPr>
        <w:tc>
          <w:tcPr>
            <w:tcW w:w="1129" w:type="dxa"/>
            <w:shd w:val="clear" w:color="auto" w:fill="FFFFFF" w:themeFill="background1"/>
          </w:tcPr>
          <w:p w14:paraId="7FE1C2BF" w14:textId="77777777" w:rsidR="00960E01" w:rsidRDefault="00821CB5">
            <w:pPr>
              <w:pStyle w:val="P68B1DB1-Normal45"/>
              <w:spacing w:line="276" w:lineRule="auto"/>
              <w:jc w:val="both"/>
            </w:pPr>
            <w:r>
              <w:t>0070</w:t>
            </w:r>
          </w:p>
        </w:tc>
        <w:tc>
          <w:tcPr>
            <w:tcW w:w="7938" w:type="dxa"/>
            <w:shd w:val="clear" w:color="auto" w:fill="FFFFFF" w:themeFill="background1"/>
          </w:tcPr>
          <w:p w14:paraId="7FE1C2C0" w14:textId="77777777" w:rsidR="00960E01" w:rsidRDefault="00821CB5">
            <w:pPr>
              <w:pStyle w:val="P68B1DB1-Normal55"/>
              <w:spacing w:line="276" w:lineRule="auto"/>
              <w:jc w:val="both"/>
              <w:rPr>
                <w:bCs/>
              </w:rPr>
            </w:pPr>
            <w:r>
              <w:t xml:space="preserve">Kodetype </w:t>
            </w:r>
          </w:p>
          <w:p w14:paraId="7FE1C2C3" w14:textId="5EDF8AF2" w:rsidR="00960E01" w:rsidRDefault="00821CB5">
            <w:pPr>
              <w:pStyle w:val="P68B1DB1-Normal57"/>
              <w:spacing w:line="276" w:lineRule="auto"/>
              <w:contextualSpacing/>
              <w:jc w:val="both"/>
              <w:rPr>
                <w:bCs/>
              </w:rPr>
            </w:pPr>
            <w:r>
              <w:lastRenderedPageBreak/>
              <w:t>Angiv en af følgende værdier:</w:t>
            </w:r>
          </w:p>
          <w:p w14:paraId="7FE1C2C4" w14:textId="77777777" w:rsidR="00960E01" w:rsidRDefault="00821CB5">
            <w:pPr>
              <w:pStyle w:val="P68B1DB1-ListParagraph58"/>
              <w:numPr>
                <w:ilvl w:val="0"/>
                <w:numId w:val="64"/>
              </w:numPr>
              <w:spacing w:line="276" w:lineRule="auto"/>
              <w:contextualSpacing/>
              <w:jc w:val="both"/>
            </w:pPr>
            <w:r>
              <w:t>LEI</w:t>
            </w:r>
          </w:p>
          <w:p w14:paraId="7FE1C2C5" w14:textId="77777777" w:rsidR="00960E01" w:rsidRDefault="00821CB5">
            <w:pPr>
              <w:pStyle w:val="P68B1DB1-ListParagraph58"/>
              <w:numPr>
                <w:ilvl w:val="0"/>
                <w:numId w:val="64"/>
              </w:numPr>
              <w:spacing w:line="276" w:lineRule="auto"/>
              <w:contextualSpacing/>
              <w:jc w:val="both"/>
            </w:pPr>
            <w:r>
              <w:t>CVR-nr.</w:t>
            </w:r>
          </w:p>
          <w:p w14:paraId="7FE1C2C6" w14:textId="77777777" w:rsidR="00960E01" w:rsidRDefault="00960E01">
            <w:pPr>
              <w:spacing w:line="276" w:lineRule="auto"/>
              <w:jc w:val="both"/>
              <w:rPr>
                <w:rFonts w:ascii="Times New Roman" w:eastAsia="Calibri" w:hAnsi="Times New Roman" w:cs="Times New Roman"/>
                <w:sz w:val="20"/>
              </w:rPr>
            </w:pPr>
          </w:p>
        </w:tc>
      </w:tr>
      <w:tr w:rsidR="00960E01" w14:paraId="5AC7028E" w14:textId="77777777">
        <w:trPr>
          <w:trHeight w:val="463"/>
        </w:trPr>
        <w:tc>
          <w:tcPr>
            <w:tcW w:w="1129" w:type="dxa"/>
            <w:shd w:val="clear" w:color="auto" w:fill="FFFFFF" w:themeFill="background1"/>
          </w:tcPr>
          <w:p w14:paraId="3ECEFB75" w14:textId="74BF0EC5" w:rsidR="00960E01" w:rsidRDefault="00821CB5">
            <w:pPr>
              <w:pStyle w:val="P68B1DB1-Normal45"/>
              <w:spacing w:line="276" w:lineRule="auto"/>
              <w:jc w:val="both"/>
            </w:pPr>
            <w:r>
              <w:lastRenderedPageBreak/>
              <w:t>0080-0100</w:t>
            </w:r>
          </w:p>
        </w:tc>
        <w:tc>
          <w:tcPr>
            <w:tcW w:w="7938" w:type="dxa"/>
            <w:shd w:val="clear" w:color="auto" w:fill="FFFFFF" w:themeFill="background1"/>
          </w:tcPr>
          <w:p w14:paraId="259185CE" w14:textId="65A5A83F" w:rsidR="00960E01" w:rsidRDefault="00821CB5">
            <w:pPr>
              <w:pStyle w:val="P68B1DB1-Normal55"/>
              <w:spacing w:line="276" w:lineRule="auto"/>
              <w:jc w:val="both"/>
              <w:rPr>
                <w:bCs/>
              </w:rPr>
            </w:pPr>
            <w:r>
              <w:t>Modervirksomhed</w:t>
            </w:r>
          </w:p>
        </w:tc>
      </w:tr>
      <w:tr w:rsidR="00960E01" w14:paraId="7FE1C2CC" w14:textId="77777777">
        <w:trPr>
          <w:trHeight w:val="463"/>
        </w:trPr>
        <w:tc>
          <w:tcPr>
            <w:tcW w:w="1129" w:type="dxa"/>
          </w:tcPr>
          <w:p w14:paraId="7FE1C2C8" w14:textId="77777777" w:rsidR="00960E01" w:rsidRDefault="00821CB5">
            <w:pPr>
              <w:pStyle w:val="P68B1DB1-Normal45"/>
              <w:spacing w:line="276" w:lineRule="auto"/>
              <w:jc w:val="both"/>
            </w:pPr>
            <w:r>
              <w:t>0080</w:t>
            </w:r>
          </w:p>
        </w:tc>
        <w:tc>
          <w:tcPr>
            <w:tcW w:w="7938" w:type="dxa"/>
            <w:shd w:val="clear" w:color="auto" w:fill="FFFFFF" w:themeFill="background1"/>
          </w:tcPr>
          <w:p w14:paraId="0DC1DDCB" w14:textId="24E6B1FE" w:rsidR="00960E01" w:rsidRDefault="00821CB5">
            <w:pPr>
              <w:pStyle w:val="P68B1DB1-Normal55"/>
              <w:spacing w:line="276" w:lineRule="auto"/>
              <w:jc w:val="both"/>
            </w:pPr>
            <w:r>
              <w:t>Navn</w:t>
            </w:r>
          </w:p>
          <w:p w14:paraId="7FE1C2CA" w14:textId="07E2401A" w:rsidR="00960E01" w:rsidRDefault="00821CB5">
            <w:pPr>
              <w:pStyle w:val="P68B1DB1-Normal45"/>
              <w:spacing w:line="276" w:lineRule="auto"/>
              <w:jc w:val="both"/>
            </w:pPr>
            <w:r>
              <w:t>Navn på tjenesteyderens (øverste) moderselskab indberettet i kolonne 0050, hvis dette ikke er en koncernenhed. I de øvrige tilfælde er ikke relevant.</w:t>
            </w:r>
          </w:p>
          <w:p w14:paraId="7FE1C2CB" w14:textId="77777777" w:rsidR="00960E01" w:rsidRDefault="00960E01">
            <w:pPr>
              <w:spacing w:line="276" w:lineRule="auto"/>
              <w:jc w:val="both"/>
              <w:rPr>
                <w:rFonts w:ascii="Times New Roman" w:hAnsi="Times New Roman" w:cs="Times New Roman"/>
              </w:rPr>
            </w:pPr>
          </w:p>
        </w:tc>
      </w:tr>
      <w:tr w:rsidR="00960E01" w14:paraId="7FE1C2D3" w14:textId="77777777">
        <w:trPr>
          <w:trHeight w:val="463"/>
        </w:trPr>
        <w:tc>
          <w:tcPr>
            <w:tcW w:w="1129" w:type="dxa"/>
          </w:tcPr>
          <w:p w14:paraId="7FE1C2CD" w14:textId="77777777" w:rsidR="00960E01" w:rsidRDefault="00821CB5">
            <w:pPr>
              <w:pStyle w:val="P68B1DB1-Normal45"/>
              <w:spacing w:line="276" w:lineRule="auto"/>
              <w:jc w:val="both"/>
            </w:pPr>
            <w:r>
              <w:t>0090</w:t>
            </w:r>
          </w:p>
        </w:tc>
        <w:tc>
          <w:tcPr>
            <w:tcW w:w="7938" w:type="dxa"/>
            <w:shd w:val="clear" w:color="auto" w:fill="FFFFFF" w:themeFill="background1"/>
          </w:tcPr>
          <w:p w14:paraId="7FE1C2CE" w14:textId="2127C9D9" w:rsidR="00960E01" w:rsidRDefault="00821CB5">
            <w:pPr>
              <w:pStyle w:val="P68B1DB1-Normal55"/>
              <w:spacing w:line="276" w:lineRule="auto"/>
              <w:jc w:val="both"/>
              <w:rPr>
                <w:bCs/>
              </w:rPr>
            </w:pPr>
            <w:r>
              <w:t>Kode</w:t>
            </w:r>
          </w:p>
          <w:p w14:paraId="7FE1C2CF" w14:textId="77777777" w:rsidR="00960E01" w:rsidRDefault="00821CB5">
            <w:pPr>
              <w:pStyle w:val="P68B1DB1-Normal45"/>
              <w:spacing w:line="276" w:lineRule="auto"/>
              <w:jc w:val="both"/>
            </w:pPr>
            <w:r>
              <w:t>Koden for det moderselskab, der indberettes i kolonne 0080, skal være:</w:t>
            </w:r>
          </w:p>
          <w:p w14:paraId="7FE1C2D0" w14:textId="77777777" w:rsidR="00960E01" w:rsidRDefault="00821CB5">
            <w:pPr>
              <w:pStyle w:val="P68B1DB1-Normal45"/>
              <w:spacing w:line="276" w:lineRule="auto"/>
              <w:jc w:val="both"/>
            </w:pPr>
            <w:r>
              <w:t>— for enheder med en identifikator for juridiske enheder (LEI), den 20-cifrede alfanumeriske LEI-kode</w:t>
            </w:r>
          </w:p>
          <w:p w14:paraId="7FE1C2D1" w14:textId="77777777" w:rsidR="00960E01" w:rsidRDefault="00821CB5">
            <w:pPr>
              <w:pStyle w:val="P68B1DB1-Normal45"/>
              <w:spacing w:line="276" w:lineRule="auto"/>
              <w:jc w:val="both"/>
            </w:pPr>
            <w:r>
              <w:t xml:space="preserve">— for enheder uden LEI, det samlede registreringsnummer i henhold til national ret. </w:t>
            </w:r>
          </w:p>
          <w:p w14:paraId="7FE1C2D2" w14:textId="77777777" w:rsidR="00960E01" w:rsidRDefault="00960E01">
            <w:pPr>
              <w:spacing w:line="276" w:lineRule="auto"/>
              <w:jc w:val="both"/>
              <w:rPr>
                <w:rFonts w:ascii="Times New Roman" w:eastAsia="Calibri" w:hAnsi="Times New Roman" w:cs="Times New Roman"/>
                <w:sz w:val="20"/>
              </w:rPr>
            </w:pPr>
          </w:p>
        </w:tc>
      </w:tr>
      <w:tr w:rsidR="00960E01" w14:paraId="7FE1C2DC" w14:textId="77777777">
        <w:trPr>
          <w:trHeight w:val="463"/>
        </w:trPr>
        <w:tc>
          <w:tcPr>
            <w:tcW w:w="1129" w:type="dxa"/>
          </w:tcPr>
          <w:p w14:paraId="7FE1C2D4" w14:textId="77777777" w:rsidR="00960E01" w:rsidRDefault="00821CB5">
            <w:pPr>
              <w:pStyle w:val="P68B1DB1-Normal45"/>
              <w:spacing w:line="276" w:lineRule="auto"/>
              <w:jc w:val="both"/>
            </w:pPr>
            <w:r>
              <w:t>0100</w:t>
            </w:r>
          </w:p>
        </w:tc>
        <w:tc>
          <w:tcPr>
            <w:tcW w:w="7938" w:type="dxa"/>
            <w:shd w:val="clear" w:color="auto" w:fill="FFFFFF" w:themeFill="background1"/>
          </w:tcPr>
          <w:p w14:paraId="7FE1C2D5" w14:textId="77777777" w:rsidR="00960E01" w:rsidRDefault="00821CB5">
            <w:pPr>
              <w:pStyle w:val="P68B1DB1-Normal55"/>
              <w:spacing w:line="276" w:lineRule="auto"/>
              <w:jc w:val="both"/>
              <w:rPr>
                <w:bCs/>
              </w:rPr>
            </w:pPr>
            <w:r>
              <w:t xml:space="preserve">Kodetype </w:t>
            </w:r>
          </w:p>
          <w:p w14:paraId="7FE1C2D6" w14:textId="77777777" w:rsidR="00960E01" w:rsidRDefault="00821CB5">
            <w:pPr>
              <w:pStyle w:val="P68B1DB1-Normal57"/>
              <w:spacing w:line="276" w:lineRule="auto"/>
              <w:contextualSpacing/>
              <w:jc w:val="both"/>
              <w:rPr>
                <w:bCs/>
              </w:rPr>
            </w:pPr>
            <w:r>
              <w:t>Angiv en af følgende værdier:</w:t>
            </w:r>
          </w:p>
          <w:p w14:paraId="7FE1C2D7" w14:textId="77777777" w:rsidR="00960E01" w:rsidRDefault="00821CB5">
            <w:pPr>
              <w:pStyle w:val="P68B1DB1-ListParagraph58"/>
              <w:numPr>
                <w:ilvl w:val="0"/>
                <w:numId w:val="64"/>
              </w:numPr>
              <w:spacing w:line="276" w:lineRule="auto"/>
              <w:contextualSpacing/>
              <w:jc w:val="both"/>
            </w:pPr>
            <w:r>
              <w:t>LEI</w:t>
            </w:r>
          </w:p>
          <w:p w14:paraId="7FE1C2D8" w14:textId="77777777" w:rsidR="00960E01" w:rsidRDefault="00821CB5">
            <w:pPr>
              <w:pStyle w:val="P68B1DB1-ListParagraph58"/>
              <w:numPr>
                <w:ilvl w:val="0"/>
                <w:numId w:val="64"/>
              </w:numPr>
              <w:spacing w:line="276" w:lineRule="auto"/>
              <w:contextualSpacing/>
              <w:jc w:val="both"/>
            </w:pPr>
            <w:r>
              <w:t>CVR-nr.</w:t>
            </w:r>
          </w:p>
          <w:p w14:paraId="7FE1C2DB" w14:textId="010B0D6D" w:rsidR="00960E01" w:rsidRDefault="00960E01">
            <w:pPr>
              <w:spacing w:line="276" w:lineRule="auto"/>
              <w:jc w:val="both"/>
              <w:rPr>
                <w:rFonts w:ascii="Times New Roman" w:eastAsia="Calibri" w:hAnsi="Times New Roman" w:cs="Times New Roman"/>
                <w:sz w:val="20"/>
              </w:rPr>
            </w:pPr>
          </w:p>
        </w:tc>
      </w:tr>
      <w:tr w:rsidR="00960E01" w14:paraId="7FE1C2E4" w14:textId="77777777">
        <w:trPr>
          <w:trHeight w:val="463"/>
        </w:trPr>
        <w:tc>
          <w:tcPr>
            <w:tcW w:w="1129" w:type="dxa"/>
            <w:shd w:val="clear" w:color="auto" w:fill="FFFFFF" w:themeFill="background1"/>
          </w:tcPr>
          <w:p w14:paraId="7FE1C2DD" w14:textId="77777777" w:rsidR="00960E01" w:rsidRDefault="00821CB5">
            <w:pPr>
              <w:pStyle w:val="P68B1DB1-Normal45"/>
              <w:spacing w:line="276" w:lineRule="auto"/>
              <w:jc w:val="both"/>
            </w:pPr>
            <w:r>
              <w:t>0110</w:t>
            </w:r>
          </w:p>
        </w:tc>
        <w:tc>
          <w:tcPr>
            <w:tcW w:w="7938" w:type="dxa"/>
            <w:shd w:val="clear" w:color="auto" w:fill="FFFFFF" w:themeFill="background1"/>
          </w:tcPr>
          <w:p w14:paraId="7FE1C2DE" w14:textId="77777777" w:rsidR="00960E01" w:rsidRDefault="00821CB5">
            <w:pPr>
              <w:pStyle w:val="P68B1DB1-Normal45"/>
              <w:spacing w:line="276" w:lineRule="auto"/>
              <w:jc w:val="both"/>
            </w:pPr>
            <w:r>
              <w:rPr>
                <w:b/>
              </w:rPr>
              <w:t>Levering af tjenester</w:t>
            </w:r>
            <w:r>
              <w:t xml:space="preserve"> </w:t>
            </w:r>
          </w:p>
          <w:p w14:paraId="7FE1C2DF" w14:textId="77777777" w:rsidR="00960E01" w:rsidRDefault="00821CB5">
            <w:pPr>
              <w:pStyle w:val="P68B1DB1-Normal45"/>
              <w:spacing w:line="276" w:lineRule="auto"/>
              <w:jc w:val="both"/>
            </w:pPr>
            <w:r>
              <w:t>"Intern enhed", hvis tjenesteydelsen leveres af én forretningsenhed til en anden forretningsenhed i samme juridiske enhed.</w:t>
            </w:r>
          </w:p>
          <w:p w14:paraId="7FE1C2E0" w14:textId="200EB8B6" w:rsidR="00960E01" w:rsidRDefault="00821CB5">
            <w:pPr>
              <w:spacing w:line="276" w:lineRule="auto"/>
              <w:jc w:val="both"/>
              <w:rPr>
                <w:rFonts w:ascii="Times New Roman" w:eastAsia="Calibri" w:hAnsi="Times New Roman" w:cs="Times New Roman"/>
                <w:sz w:val="20"/>
              </w:rPr>
            </w:pPr>
            <w:r>
              <w:rPr>
                <w:rFonts w:ascii="Times New Roman" w:eastAsia="Calibri" w:hAnsi="Times New Roman" w:cs="Times New Roman"/>
                <w:sz w:val="20"/>
              </w:rPr>
              <w:t>"Koncernintern — reguleret enhed"</w:t>
            </w:r>
            <w:r>
              <w:rPr>
                <w:rFonts w:ascii="Times New Roman" w:hAnsi="Times New Roman" w:cs="Times New Roman"/>
              </w:rPr>
              <w:t xml:space="preserve">, hvis </w:t>
            </w:r>
            <w:r>
              <w:rPr>
                <w:rFonts w:ascii="Times New Roman" w:eastAsia="Calibri" w:hAnsi="Times New Roman" w:cs="Times New Roman"/>
                <w:sz w:val="20"/>
              </w:rPr>
              <w:t>tjenesteydelsen leveres</w:t>
            </w:r>
            <w:r>
              <w:rPr>
                <w:rFonts w:ascii="Times New Roman" w:hAnsi="Times New Roman" w:cs="Times New Roman"/>
              </w:rPr>
              <w:t xml:space="preserve"> </w:t>
            </w:r>
            <w:r>
              <w:rPr>
                <w:rFonts w:ascii="Times New Roman" w:eastAsia="Calibri" w:hAnsi="Times New Roman" w:cs="Times New Roman"/>
                <w:sz w:val="20"/>
              </w:rPr>
              <w:t>af en enhed i koncernen, som er underlagt tilsynsmæssig regulering med hensyn til kapital/likviditet på individuelt grundlag, herunder hvis der dispenseres fra tilsynsmæssige krav.</w:t>
            </w:r>
          </w:p>
          <w:p w14:paraId="7FE1C2E1" w14:textId="6FD0E03D" w:rsidR="00960E01" w:rsidRDefault="00821CB5">
            <w:pPr>
              <w:pStyle w:val="P68B1DB1-Normal45"/>
              <w:spacing w:line="276" w:lineRule="auto"/>
              <w:jc w:val="both"/>
            </w:pPr>
            <w:r>
              <w:t>"Koncernintern — ureguleret enhed", hvis tjenesten leveres af en enhed i koncernen, som er en driftsenhed, der ikke er underlagt tilsynsmæssig regulering med hensyn til kapital/likviditet på individuelt grundlag, herunder hvis der dispenseres fra tilsynsmæssige krav.</w:t>
            </w:r>
          </w:p>
          <w:p w14:paraId="7FE1C2E2" w14:textId="7B6AA381" w:rsidR="00960E01" w:rsidRDefault="00821CB5">
            <w:pPr>
              <w:pStyle w:val="P68B1DB1-Normal45"/>
              <w:spacing w:line="276" w:lineRule="auto"/>
              <w:jc w:val="both"/>
            </w:pPr>
            <w:r>
              <w:t>"Ekstern enhed", hvis tjenesteydelsen leveres af en ekstern udbyder, som ligger uden for koncernen.</w:t>
            </w:r>
          </w:p>
          <w:p w14:paraId="7FE1C2E3" w14:textId="77777777" w:rsidR="00960E01" w:rsidRDefault="00960E01">
            <w:pPr>
              <w:spacing w:line="276" w:lineRule="auto"/>
              <w:jc w:val="both"/>
              <w:rPr>
                <w:rFonts w:ascii="Times New Roman" w:eastAsia="Calibri" w:hAnsi="Times New Roman" w:cs="Times New Roman"/>
                <w:i/>
                <w:sz w:val="20"/>
              </w:rPr>
            </w:pPr>
          </w:p>
        </w:tc>
      </w:tr>
      <w:tr w:rsidR="00960E01" w14:paraId="7FE1C2EB" w14:textId="77777777">
        <w:trPr>
          <w:trHeight w:val="463"/>
        </w:trPr>
        <w:tc>
          <w:tcPr>
            <w:tcW w:w="1129" w:type="dxa"/>
            <w:shd w:val="clear" w:color="auto" w:fill="FFFFFF" w:themeFill="background1"/>
          </w:tcPr>
          <w:p w14:paraId="7FE1C2E5" w14:textId="77777777" w:rsidR="00960E01" w:rsidRDefault="00821CB5">
            <w:pPr>
              <w:pStyle w:val="P68B1DB1-Normal50"/>
              <w:spacing w:line="276" w:lineRule="auto"/>
              <w:jc w:val="both"/>
            </w:pPr>
            <w:r>
              <w:t>0120</w:t>
            </w:r>
          </w:p>
          <w:p w14:paraId="7FE1C2E6" w14:textId="77777777" w:rsidR="00960E01" w:rsidRDefault="00960E01">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960E01" w:rsidRDefault="00821CB5">
            <w:pPr>
              <w:pStyle w:val="P68B1DB1-Normal49"/>
              <w:spacing w:line="276" w:lineRule="auto"/>
              <w:jc w:val="both"/>
              <w:rPr>
                <w:bCs/>
                <w:strike/>
              </w:rPr>
            </w:pPr>
            <w:r>
              <w:t>Kritikalitet</w:t>
            </w:r>
            <w:r>
              <w:rPr>
                <w:strike/>
              </w:rPr>
              <w:t xml:space="preserve"> </w:t>
            </w:r>
          </w:p>
          <w:p w14:paraId="7FE1C2E8" w14:textId="77777777" w:rsidR="00960E01" w:rsidRDefault="00821CB5">
            <w:pPr>
              <w:pStyle w:val="P68B1DB1-ListParagraph58"/>
              <w:numPr>
                <w:ilvl w:val="0"/>
                <w:numId w:val="239"/>
              </w:numPr>
              <w:spacing w:line="276" w:lineRule="auto"/>
              <w:contextualSpacing/>
              <w:jc w:val="both"/>
            </w:pPr>
            <w:r>
              <w:t>Kritisk: hvis tjenesten er nødvendig for udførelsen af en eller flere kritiske funktioner, hvis afbrydelse i alvorlig grad ville hindre eller forhindre udførelsen af disse kritiske funktioner.</w:t>
            </w:r>
          </w:p>
          <w:p w14:paraId="7FE1C2E9" w14:textId="77777777" w:rsidR="00960E01" w:rsidRDefault="00821CB5">
            <w:pPr>
              <w:pStyle w:val="P68B1DB1-ListParagraph9"/>
              <w:numPr>
                <w:ilvl w:val="0"/>
                <w:numId w:val="239"/>
              </w:numPr>
              <w:spacing w:line="276" w:lineRule="auto"/>
              <w:contextualSpacing/>
              <w:jc w:val="both"/>
              <w:rPr>
                <w:sz w:val="20"/>
              </w:rPr>
            </w:pPr>
            <w:r>
              <w:rPr>
                <w:sz w:val="20"/>
              </w:rPr>
              <w:t>Væsentlige: hvis den</w:t>
            </w:r>
            <w:r>
              <w:t xml:space="preserve"> pågældende</w:t>
            </w:r>
            <w:r>
              <w:rPr>
                <w:sz w:val="20"/>
              </w:rPr>
              <w:t>enhed er tilknyttet centrale forretningsområder, hvis kontinuitet er nødvendig for en effektiv gennemførelse af afviklingsstrategien og en eventuel efterfølgende omstrukturering.</w:t>
            </w:r>
          </w:p>
          <w:p w14:paraId="7FE1C2EA" w14:textId="3B37659B" w:rsidR="00960E01" w:rsidRDefault="00821CB5">
            <w:pPr>
              <w:pStyle w:val="P68B1DB1-ListParagraph58"/>
              <w:numPr>
                <w:ilvl w:val="0"/>
                <w:numId w:val="239"/>
              </w:numPr>
              <w:spacing w:line="276" w:lineRule="auto"/>
              <w:contextualSpacing/>
              <w:jc w:val="both"/>
            </w:pPr>
            <w:r>
              <w:t>Kritisk og afgørende</w:t>
            </w:r>
          </w:p>
        </w:tc>
      </w:tr>
      <w:tr w:rsidR="00960E01" w14:paraId="7FE1C2F0" w14:textId="77777777">
        <w:trPr>
          <w:trHeight w:val="463"/>
        </w:trPr>
        <w:tc>
          <w:tcPr>
            <w:tcW w:w="1129" w:type="dxa"/>
            <w:shd w:val="clear" w:color="auto" w:fill="FFFFFF" w:themeFill="background1"/>
          </w:tcPr>
          <w:p w14:paraId="7FE1C2EC" w14:textId="77777777" w:rsidR="00960E01" w:rsidRDefault="00821CB5">
            <w:pPr>
              <w:pStyle w:val="P68B1DB1-Normal45"/>
              <w:spacing w:line="276" w:lineRule="auto"/>
              <w:jc w:val="both"/>
            </w:pPr>
            <w:r>
              <w:t>0130</w:t>
            </w:r>
          </w:p>
        </w:tc>
        <w:tc>
          <w:tcPr>
            <w:tcW w:w="7938" w:type="dxa"/>
            <w:shd w:val="clear" w:color="auto" w:fill="FFFFFF" w:themeFill="background1"/>
          </w:tcPr>
          <w:p w14:paraId="7FE1C2ED" w14:textId="77777777" w:rsidR="00960E01" w:rsidRDefault="00821CB5">
            <w:pPr>
              <w:pStyle w:val="P68B1DB1-Normal49"/>
              <w:spacing w:line="276" w:lineRule="auto"/>
              <w:jc w:val="both"/>
              <w:rPr>
                <w:bCs/>
              </w:rPr>
            </w:pPr>
            <w:r>
              <w:t>Kontrakt-ID</w:t>
            </w:r>
          </w:p>
          <w:p w14:paraId="7FE1C2EE" w14:textId="77777777" w:rsidR="00960E01" w:rsidRDefault="00821CB5">
            <w:pPr>
              <w:pStyle w:val="P68B1DB1-Normal45"/>
              <w:spacing w:line="276" w:lineRule="auto"/>
              <w:jc w:val="both"/>
            </w:pPr>
            <w:r>
              <w:t>Kontraktens entydige identifikator for den kontrakt, der ligger til grund for tjenesteydelsen, i henhold til koncernens servicetaksonomi.</w:t>
            </w:r>
          </w:p>
          <w:p w14:paraId="7FE1C2EF" w14:textId="77777777" w:rsidR="00960E01" w:rsidRDefault="00960E01">
            <w:pPr>
              <w:spacing w:line="276" w:lineRule="auto"/>
              <w:jc w:val="both"/>
              <w:rPr>
                <w:rFonts w:ascii="Times New Roman" w:eastAsia="Calibri" w:hAnsi="Times New Roman" w:cs="Times New Roman"/>
                <w:sz w:val="20"/>
              </w:rPr>
            </w:pPr>
          </w:p>
        </w:tc>
      </w:tr>
      <w:tr w:rsidR="00960E01" w14:paraId="7FE1C2F6" w14:textId="77777777">
        <w:trPr>
          <w:trHeight w:val="628"/>
        </w:trPr>
        <w:tc>
          <w:tcPr>
            <w:tcW w:w="1129" w:type="dxa"/>
          </w:tcPr>
          <w:p w14:paraId="7FE1C2F1" w14:textId="77777777" w:rsidR="00960E01" w:rsidRDefault="00821CB5">
            <w:pPr>
              <w:pStyle w:val="P68B1DB1-Normal45"/>
              <w:spacing w:line="276" w:lineRule="auto"/>
              <w:jc w:val="both"/>
            </w:pPr>
            <w:r>
              <w:t>0140</w:t>
            </w:r>
          </w:p>
          <w:p w14:paraId="7FE1C2F2" w14:textId="77777777" w:rsidR="00960E01" w:rsidRDefault="00960E01">
            <w:pPr>
              <w:spacing w:line="276" w:lineRule="auto"/>
              <w:jc w:val="both"/>
              <w:rPr>
                <w:rFonts w:ascii="Times New Roman" w:eastAsia="Calibri" w:hAnsi="Times New Roman" w:cs="Times New Roman"/>
                <w:strike/>
                <w:sz w:val="20"/>
              </w:rPr>
            </w:pPr>
          </w:p>
        </w:tc>
        <w:tc>
          <w:tcPr>
            <w:tcW w:w="7938" w:type="dxa"/>
          </w:tcPr>
          <w:p w14:paraId="7FE1C2F3" w14:textId="77777777" w:rsidR="00960E01" w:rsidRDefault="00821CB5">
            <w:pPr>
              <w:pStyle w:val="P68B1DB1-Normal55"/>
              <w:spacing w:line="276" w:lineRule="auto"/>
              <w:jc w:val="both"/>
            </w:pPr>
            <w:r>
              <w:rPr>
                <w:szCs w:val="20"/>
              </w:rPr>
              <w:t>Gældende lov</w:t>
            </w:r>
            <w:r>
              <w:t xml:space="preserve"> </w:t>
            </w:r>
          </w:p>
          <w:p w14:paraId="7FE1C2F4" w14:textId="77777777" w:rsidR="00960E01" w:rsidRDefault="00821CB5">
            <w:pPr>
              <w:pStyle w:val="P68B1DB1-Normal45"/>
              <w:spacing w:line="276" w:lineRule="auto"/>
              <w:jc w:val="both"/>
            </w:pPr>
            <w:r>
              <w:t>ISO-koden for det land, hvis lovgivning regulerer aftalen.</w:t>
            </w:r>
          </w:p>
          <w:p w14:paraId="7FE1C2F5" w14:textId="77777777" w:rsidR="00960E01" w:rsidRDefault="00960E01">
            <w:pPr>
              <w:spacing w:line="276" w:lineRule="auto"/>
              <w:jc w:val="both"/>
              <w:rPr>
                <w:rFonts w:ascii="Times New Roman" w:eastAsia="Calibri" w:hAnsi="Times New Roman" w:cs="Times New Roman"/>
                <w:sz w:val="20"/>
              </w:rPr>
            </w:pPr>
          </w:p>
        </w:tc>
      </w:tr>
      <w:tr w:rsidR="00960E01" w14:paraId="7FE1C2FC" w14:textId="77777777">
        <w:trPr>
          <w:trHeight w:val="628"/>
        </w:trPr>
        <w:tc>
          <w:tcPr>
            <w:tcW w:w="1129" w:type="dxa"/>
          </w:tcPr>
          <w:p w14:paraId="7FE1C2F7" w14:textId="77777777" w:rsidR="00960E01" w:rsidRDefault="00821CB5">
            <w:pPr>
              <w:pStyle w:val="P68B1DB1-Normal45"/>
              <w:spacing w:line="276" w:lineRule="auto"/>
              <w:jc w:val="both"/>
            </w:pPr>
            <w:r>
              <w:lastRenderedPageBreak/>
              <w:t>0150-0170</w:t>
            </w:r>
          </w:p>
          <w:p w14:paraId="7FE1C2F8" w14:textId="77777777" w:rsidR="00960E01" w:rsidRDefault="00960E01">
            <w:pPr>
              <w:spacing w:line="276" w:lineRule="auto"/>
              <w:jc w:val="both"/>
              <w:rPr>
                <w:rFonts w:ascii="Times New Roman" w:eastAsia="Calibri" w:hAnsi="Times New Roman" w:cs="Times New Roman"/>
                <w:strike/>
                <w:sz w:val="20"/>
              </w:rPr>
            </w:pPr>
          </w:p>
        </w:tc>
        <w:tc>
          <w:tcPr>
            <w:tcW w:w="7938" w:type="dxa"/>
          </w:tcPr>
          <w:p w14:paraId="7FE1C2F9" w14:textId="77777777" w:rsidR="00960E01" w:rsidRDefault="00821CB5">
            <w:pPr>
              <w:pStyle w:val="P68B1DB1-Normal49"/>
              <w:spacing w:before="120" w:after="120" w:line="276" w:lineRule="auto"/>
              <w:rPr>
                <w:bCs/>
                <w:iCs/>
              </w:rPr>
            </w:pPr>
            <w:r>
              <w:t xml:space="preserve">Modstandsdygtighed over for afvikling </w:t>
            </w:r>
          </w:p>
          <w:p w14:paraId="7FE1C2FA" w14:textId="77777777" w:rsidR="00960E01" w:rsidRDefault="00821CB5">
            <w:pPr>
              <w:pStyle w:val="P68B1DB1-NormalWeb59"/>
              <w:spacing w:before="0" w:beforeAutospacing="0" w:after="0" w:afterAutospacing="0"/>
              <w:rPr>
                <w:iCs/>
                <w:szCs w:val="20"/>
              </w:rPr>
            </w:pPr>
            <w:r>
              <w:rPr>
                <w:szCs w:val="20"/>
              </w:rPr>
              <w:t xml:space="preserve">Vurderingen af, om den kontrakt, der understøtter den tjenesteydelse, der er indberettet i kolonne 0020, kan videreføres og overføres under gennemførelsen af afviklingsstrategien, herunder virksomhedsomlægningsplanen, </w:t>
            </w:r>
            <w:r>
              <w:t>i overensstemmelse med EBA/GL/2022/01 og relevant national lovgivning.</w:t>
            </w:r>
          </w:p>
          <w:p w14:paraId="7FE1C2FB" w14:textId="77777777" w:rsidR="00960E01" w:rsidRDefault="00960E01">
            <w:pPr>
              <w:spacing w:line="276" w:lineRule="auto"/>
              <w:jc w:val="both"/>
              <w:rPr>
                <w:rFonts w:ascii="Times New Roman" w:eastAsia="Calibri" w:hAnsi="Times New Roman" w:cs="Times New Roman"/>
                <w:iCs/>
                <w:sz w:val="20"/>
                <w:szCs w:val="20"/>
              </w:rPr>
            </w:pPr>
          </w:p>
        </w:tc>
      </w:tr>
      <w:tr w:rsidR="00960E01" w14:paraId="7FE1C30C" w14:textId="77777777">
        <w:trPr>
          <w:trHeight w:val="2120"/>
        </w:trPr>
        <w:tc>
          <w:tcPr>
            <w:tcW w:w="1129" w:type="dxa"/>
          </w:tcPr>
          <w:p w14:paraId="7FE1C2FD" w14:textId="77777777" w:rsidR="00960E01" w:rsidRDefault="00821CB5">
            <w:pPr>
              <w:pStyle w:val="P68B1DB1-Normal45"/>
              <w:spacing w:line="276" w:lineRule="auto"/>
              <w:jc w:val="both"/>
            </w:pPr>
            <w:r>
              <w:t>0150</w:t>
            </w:r>
          </w:p>
        </w:tc>
        <w:tc>
          <w:tcPr>
            <w:tcW w:w="7938" w:type="dxa"/>
          </w:tcPr>
          <w:p w14:paraId="7FE1C2FE" w14:textId="77777777" w:rsidR="00960E01" w:rsidRDefault="00821CB5">
            <w:pPr>
              <w:pStyle w:val="P68B1DB1-Normal55"/>
              <w:spacing w:line="276" w:lineRule="auto"/>
              <w:jc w:val="both"/>
              <w:rPr>
                <w:bCs/>
              </w:rPr>
            </w:pPr>
            <w:r>
              <w:rPr>
                <w:szCs w:val="20"/>
              </w:rPr>
              <w:t>Elementer af afviklingsmodstandsdygtighed</w:t>
            </w:r>
            <w:r>
              <w:t xml:space="preserve"> </w:t>
            </w:r>
          </w:p>
          <w:p w14:paraId="7FE1C2FF" w14:textId="77777777" w:rsidR="00960E01" w:rsidRDefault="00821CB5">
            <w:pPr>
              <w:pStyle w:val="P68B1DB1-Normal50"/>
              <w:spacing w:line="276" w:lineRule="auto"/>
              <w:jc w:val="both"/>
              <w:rPr>
                <w:iCs/>
              </w:rPr>
            </w:pPr>
            <w:r>
              <w:t>Afviklingsresistente egenskaber er egenskaber, som en relevant tjenesteydelseskontrakt forventes at have for at blive betragtet som afviklingsresistent. De omfatter følgende, forudsat at de materielle forpligtelser i henhold til kontrakten fortsat opfyldes:</w:t>
            </w:r>
          </w:p>
          <w:p w14:paraId="7FE1C300" w14:textId="77777777" w:rsidR="00960E01" w:rsidRDefault="00821CB5">
            <w:pPr>
              <w:pStyle w:val="P68B1DB1-ListParagraph60"/>
              <w:numPr>
                <w:ilvl w:val="0"/>
                <w:numId w:val="240"/>
              </w:numPr>
              <w:spacing w:line="276" w:lineRule="auto"/>
              <w:ind w:left="500"/>
              <w:contextualSpacing/>
              <w:jc w:val="both"/>
              <w:rPr>
                <w:iCs/>
              </w:rPr>
            </w:pPr>
            <w:r>
              <w:t xml:space="preserve">ingen ophævelse, suspension eller ændring på grund af afvikling (herunder virksomhedsomlægning i henhold til artikel 51 i direktiv 2014/59/EU) </w:t>
            </w:r>
          </w:p>
          <w:p w14:paraId="7FE1C301" w14:textId="77777777" w:rsidR="00960E01" w:rsidRDefault="00821CB5">
            <w:pPr>
              <w:pStyle w:val="P68B1DB1-ListParagraph60"/>
              <w:numPr>
                <w:ilvl w:val="0"/>
                <w:numId w:val="240"/>
              </w:numPr>
              <w:spacing w:line="276" w:lineRule="auto"/>
              <w:ind w:left="500"/>
              <w:contextualSpacing/>
              <w:jc w:val="both"/>
              <w:rPr>
                <w:iCs/>
              </w:rPr>
            </w:pPr>
            <w:r>
              <w:t xml:space="preserve">muligheden for at overføre leveringen af tjenesteydelsen til en ny modtager enten af tjenestemodtageren eller afviklingsmyndigheden som følge af afvikling (herunder omstrukturering i henhold til artikel 51 i direktiv 2014/59/EU) </w:t>
            </w:r>
          </w:p>
          <w:p w14:paraId="7FE1C302" w14:textId="77777777" w:rsidR="00960E01" w:rsidRDefault="00821CB5">
            <w:pPr>
              <w:pStyle w:val="P68B1DB1-ListParagraph60"/>
              <w:numPr>
                <w:ilvl w:val="0"/>
                <w:numId w:val="240"/>
              </w:numPr>
              <w:spacing w:line="276" w:lineRule="auto"/>
              <w:ind w:left="500"/>
              <w:contextualSpacing/>
              <w:jc w:val="both"/>
              <w:rPr>
                <w:iCs/>
              </w:rPr>
            </w:pPr>
            <w:r>
              <w:t>støtte i forbindelse med overførsel eller ophør, der finder sted under afvikling (herunder omorganisering i henhold til artikel 51 i direktiv 2014/59/EU) i en rimelig periode (f.eks. 24 måneder) fra den nuværende tjenesteudbyder og på samme vilkår og betingelser samt</w:t>
            </w:r>
          </w:p>
          <w:p w14:paraId="7FE1C303" w14:textId="77777777" w:rsidR="00960E01" w:rsidRDefault="00821CB5">
            <w:pPr>
              <w:pStyle w:val="P68B1DB1-ListParagraph60"/>
              <w:numPr>
                <w:ilvl w:val="0"/>
                <w:numId w:val="240"/>
              </w:numPr>
              <w:spacing w:line="276" w:lineRule="auto"/>
              <w:ind w:left="500"/>
              <w:contextualSpacing/>
              <w:jc w:val="both"/>
              <w:rPr>
                <w:iCs/>
              </w:rPr>
            </w:pPr>
            <w:r>
              <w:t>den fortsatte levering af tjenesteydelser til en koncernenhed, der er frasolgt under afviklingen (herunder omstrukturering i henhold til artikel 51 i direktiv 2014/59/EU), i en rimelig periode efter afhændelsen — f.eks. 24 måneder.</w:t>
            </w:r>
          </w:p>
          <w:p w14:paraId="7FE1C304" w14:textId="77777777" w:rsidR="00960E01" w:rsidRDefault="00821CB5">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Dette gælder for kontrakter, for hvilke den gældende lovgivning og kompetence for kontrakten er gældende i en EU-medlemsstat</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("EU-kontrakter"), og for aftaler, der er omfattet af lovgivningen i tredjelande.</w:t>
            </w:r>
          </w:p>
          <w:p w14:paraId="7FE1C305" w14:textId="77777777" w:rsidR="00960E01" w:rsidRDefault="00960E01">
            <w:pPr>
              <w:spacing w:line="276" w:lineRule="auto"/>
              <w:jc w:val="both"/>
              <w:rPr>
                <w:rFonts w:ascii="Times New Roman" w:eastAsia="Calibri" w:hAnsi="Times New Roman" w:cs="Times New Roman"/>
                <w:sz w:val="20"/>
              </w:rPr>
            </w:pPr>
          </w:p>
          <w:p w14:paraId="7FE1C306" w14:textId="77777777" w:rsidR="00960E01" w:rsidRDefault="00821CB5">
            <w:pPr>
              <w:pStyle w:val="P68B1DB1-Normal45"/>
              <w:spacing w:line="276" w:lineRule="auto"/>
              <w:jc w:val="both"/>
            </w:pPr>
            <w:r>
              <w:t>Angiv en af følgende værdier:</w:t>
            </w:r>
          </w:p>
          <w:p w14:paraId="7FE1C307" w14:textId="77777777" w:rsidR="00960E01" w:rsidRDefault="00821CB5">
            <w:pPr>
              <w:pStyle w:val="P68B1DB1-Normal50"/>
              <w:spacing w:line="276" w:lineRule="auto"/>
              <w:jc w:val="both"/>
            </w:pPr>
            <w:r>
              <w:t>"Ja" — hvis aftalen vurderes at</w:t>
            </w:r>
            <w:r>
              <w:rPr>
                <w:strike/>
              </w:rPr>
              <w:t xml:space="preserve">være </w:t>
            </w:r>
            <w:r>
              <w:t>afviklingssikker</w:t>
            </w:r>
          </w:p>
          <w:p w14:paraId="7FE1C308" w14:textId="77777777" w:rsidR="00960E01" w:rsidRDefault="00821CB5">
            <w:pPr>
              <w:pStyle w:val="P68B1DB1-Normal50"/>
              <w:spacing w:line="276" w:lineRule="auto"/>
              <w:jc w:val="both"/>
            </w:pPr>
            <w:r>
              <w:t>"Nej" — hvis aftalen ikke vurderes at</w:t>
            </w:r>
            <w:r>
              <w:rPr>
                <w:strike/>
              </w:rPr>
              <w:t xml:space="preserve"> være </w:t>
            </w:r>
            <w:r>
              <w:t>afviklingssikker</w:t>
            </w:r>
          </w:p>
          <w:p w14:paraId="7FE1C309" w14:textId="77777777" w:rsidR="00960E01" w:rsidRDefault="00821CB5">
            <w:pPr>
              <w:pStyle w:val="P68B1DB1-Normal50"/>
              <w:spacing w:line="276" w:lineRule="auto"/>
              <w:jc w:val="both"/>
            </w:pPr>
            <w:r>
              <w:t>"Ikke vurderet" — hvis der ikke er foretaget en vurdering</w:t>
            </w:r>
          </w:p>
          <w:p w14:paraId="7FE1C30A" w14:textId="5741BAA8" w:rsidR="00960E01" w:rsidRDefault="00821CB5">
            <w:pPr>
              <w:pStyle w:val="P68B1DB1-Normal50"/>
              <w:spacing w:line="276" w:lineRule="auto"/>
              <w:jc w:val="both"/>
            </w:pPr>
            <w:r>
              <w:t>"Ikke ANVENDELSE" — for tjenester inden for enheden</w:t>
            </w:r>
          </w:p>
          <w:p w14:paraId="7FE1C30B" w14:textId="77777777" w:rsidR="00960E01" w:rsidRDefault="00960E01">
            <w:pPr>
              <w:spacing w:line="276" w:lineRule="auto"/>
              <w:jc w:val="both"/>
              <w:rPr>
                <w:rFonts w:ascii="Times New Roman" w:eastAsia="Calibri" w:hAnsi="Times New Roman" w:cs="Times New Roman"/>
                <w:sz w:val="20"/>
              </w:rPr>
            </w:pPr>
          </w:p>
        </w:tc>
      </w:tr>
      <w:tr w:rsidR="00960E01" w14:paraId="7FE1C316" w14:textId="77777777">
        <w:trPr>
          <w:trHeight w:val="2120"/>
        </w:trPr>
        <w:tc>
          <w:tcPr>
            <w:tcW w:w="1129" w:type="dxa"/>
          </w:tcPr>
          <w:p w14:paraId="7FE1C30D" w14:textId="77777777" w:rsidR="00960E01" w:rsidRDefault="00821CB5">
            <w:pPr>
              <w:pStyle w:val="P68B1DB1-Normal45"/>
              <w:spacing w:line="276" w:lineRule="auto"/>
              <w:jc w:val="both"/>
            </w:pPr>
            <w:r>
              <w:t>0160</w:t>
            </w:r>
          </w:p>
        </w:tc>
        <w:tc>
          <w:tcPr>
            <w:tcW w:w="7938" w:type="dxa"/>
          </w:tcPr>
          <w:p w14:paraId="7FE1C30E" w14:textId="77777777" w:rsidR="00960E01" w:rsidRDefault="00821CB5">
            <w:pPr>
              <w:pStyle w:val="P68B1DB1-Normal55"/>
              <w:spacing w:line="276" w:lineRule="auto"/>
              <w:jc w:val="both"/>
              <w:rPr>
                <w:bCs/>
                <w:iCs/>
              </w:rPr>
            </w:pPr>
            <w:r>
              <w:t>Virksomhedsomstruktureringsplan (BRP)</w:t>
            </w:r>
          </w:p>
          <w:p w14:paraId="7FE1C30F" w14:textId="77777777" w:rsidR="00960E01" w:rsidRDefault="00821CB5">
            <w:pPr>
              <w:pStyle w:val="P68B1DB1-Normal45"/>
              <w:spacing w:line="276" w:lineRule="auto"/>
              <w:jc w:val="both"/>
              <w:rPr>
                <w:iCs/>
              </w:rPr>
            </w:pPr>
            <w:r>
              <w:t xml:space="preserve">Hvis afviklingsstrategien (enten foretrukket eller variant) kræver en virksomhedsomlægningsplan (BRP), forventes EU-kontrakter at indeholde udtrykkelige klausuler for at sikre deres modstandsdygtighed over for afvikling i forbindelse med gennemførelsen af BRP. </w:t>
            </w:r>
          </w:p>
          <w:p w14:paraId="7FE1C310" w14:textId="77777777" w:rsidR="00960E01" w:rsidRDefault="00960E01">
            <w:pPr>
              <w:spacing w:line="276" w:lineRule="auto"/>
              <w:jc w:val="both"/>
              <w:rPr>
                <w:rFonts w:ascii="Times New Roman" w:eastAsia="Calibri" w:hAnsi="Times New Roman" w:cs="Times New Roman"/>
                <w:iCs/>
                <w:sz w:val="20"/>
              </w:rPr>
            </w:pPr>
          </w:p>
          <w:p w14:paraId="7FE1C311" w14:textId="77777777" w:rsidR="00960E01" w:rsidRDefault="00821CB5">
            <w:pPr>
              <w:pStyle w:val="P68B1DB1-Normal45"/>
              <w:spacing w:line="276" w:lineRule="auto"/>
              <w:jc w:val="both"/>
              <w:rPr>
                <w:iCs/>
              </w:rPr>
            </w:pPr>
            <w:r>
              <w:t>Angiv en af følgende værdier:</w:t>
            </w:r>
          </w:p>
          <w:p w14:paraId="7FE1C312" w14:textId="77777777"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hvis kontrakten indeholder udtrykkelige klausuler for at sikre deres modstandsdygtighed over for beslutninger i forbindelse med gennemførelsen af BRP</w:t>
            </w:r>
          </w:p>
          <w:p w14:paraId="7FE1C313" w14:textId="77777777"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Nej" — hvis kontrakten ikke indeholder udtrykkelige klausuler for at sikre deres modstandsdygtighed over for beslutninger i forbindelse med gennemførelsen af BRP</w:t>
            </w:r>
          </w:p>
          <w:p w14:paraId="7FE1C314" w14:textId="77777777"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Ikke vurderet" — hvis der ikke er foretaget en vurdering</w:t>
            </w:r>
          </w:p>
          <w:p w14:paraId="7FE1C315" w14:textId="0FA2A696"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 xml:space="preserve">Ikke BEKRÆFTELSE" — for tjenester inden for enheder eller koncerninterne og eksterne tjenester, hvis afviklingsstrategien (foretrukket og varianten) ikke kræver en virksomhedsomlægningsplan </w:t>
            </w:r>
          </w:p>
        </w:tc>
      </w:tr>
      <w:tr w:rsidR="00960E01" w14:paraId="7FE1C320" w14:textId="77777777">
        <w:trPr>
          <w:trHeight w:val="416"/>
        </w:trPr>
        <w:tc>
          <w:tcPr>
            <w:tcW w:w="1129" w:type="dxa"/>
          </w:tcPr>
          <w:p w14:paraId="7FE1C317" w14:textId="77777777" w:rsidR="00960E01" w:rsidRDefault="00821CB5">
            <w:pPr>
              <w:pStyle w:val="P68B1DB1-Normal45"/>
              <w:spacing w:line="276" w:lineRule="auto"/>
              <w:jc w:val="both"/>
            </w:pPr>
            <w:r>
              <w:lastRenderedPageBreak/>
              <w:t>0170</w:t>
            </w:r>
          </w:p>
        </w:tc>
        <w:tc>
          <w:tcPr>
            <w:tcW w:w="7938" w:type="dxa"/>
          </w:tcPr>
          <w:p w14:paraId="7FE1C318" w14:textId="77777777" w:rsidR="00960E01" w:rsidRDefault="00821CB5">
            <w:pPr>
              <w:pStyle w:val="P68B1DB1-Normal55"/>
              <w:spacing w:line="276" w:lineRule="auto"/>
              <w:jc w:val="both"/>
              <w:rPr>
                <w:bCs/>
              </w:rPr>
            </w:pPr>
            <w:r>
              <w:t xml:space="preserve">Alternative afbødende foranstaltninger </w:t>
            </w:r>
          </w:p>
          <w:p w14:paraId="7FE1C319" w14:textId="77777777" w:rsidR="00960E01" w:rsidRDefault="00821CB5">
            <w:pPr>
              <w:pStyle w:val="P68B1DB1-Normal45"/>
              <w:spacing w:line="276" w:lineRule="auto"/>
              <w:jc w:val="both"/>
            </w:pPr>
            <w:r>
              <w:t xml:space="preserve">Hvis der forventes opnået afviklingsmodstandsdygtighed, men bankerne ikke har været i stand til det, forventes bankerne at undersøge alternative afbødende foranstaltninger. </w:t>
            </w:r>
          </w:p>
          <w:p w14:paraId="7FE1C31A" w14:textId="77777777" w:rsidR="00960E01" w:rsidRDefault="00960E01">
            <w:pPr>
              <w:spacing w:line="276" w:lineRule="auto"/>
              <w:jc w:val="both"/>
              <w:rPr>
                <w:rFonts w:ascii="Times New Roman" w:eastAsia="Calibri" w:hAnsi="Times New Roman" w:cs="Times New Roman"/>
                <w:sz w:val="20"/>
              </w:rPr>
            </w:pPr>
          </w:p>
          <w:p w14:paraId="7FE1C31B" w14:textId="77777777" w:rsidR="00960E01" w:rsidRDefault="00821CB5">
            <w:pPr>
              <w:pStyle w:val="P68B1DB1-Normal45"/>
              <w:spacing w:line="276" w:lineRule="auto"/>
              <w:jc w:val="both"/>
              <w:rPr>
                <w:iCs/>
              </w:rPr>
            </w:pPr>
            <w:r>
              <w:t>Angiv en af følgende værdier:</w:t>
            </w:r>
          </w:p>
          <w:p w14:paraId="7FE1C31C" w14:textId="77777777"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Ja" — hvis banken har gennemført alternative afbødende foranstaltninger</w:t>
            </w:r>
          </w:p>
          <w:p w14:paraId="7FE1C31D" w14:textId="77777777"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Nej" — hvis banken ikke har gennemført alternative afbødende foranstaltninger</w:t>
            </w:r>
          </w:p>
          <w:p w14:paraId="7FE1C31E" w14:textId="7B22C50F" w:rsidR="00960E01" w:rsidRDefault="00821CB5">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Ikke ANVENDELSE" — i tilfælde, hvor en af kolonnerne 0150 og 0160 er markeret med "Ja" eller "IKKE APPLICABLE"</w:t>
            </w:r>
          </w:p>
          <w:p w14:paraId="7FE1C31F" w14:textId="77777777" w:rsidR="00960E01" w:rsidRDefault="00960E01">
            <w:pPr>
              <w:spacing w:line="276" w:lineRule="auto"/>
              <w:jc w:val="both"/>
              <w:rPr>
                <w:rFonts w:ascii="Times New Roman" w:eastAsia="Calibri" w:hAnsi="Times New Roman" w:cs="Times New Roman"/>
                <w:sz w:val="20"/>
              </w:rPr>
            </w:pPr>
          </w:p>
        </w:tc>
      </w:tr>
      <w:tr w:rsidR="00960E01" w14:paraId="7FE1C327" w14:textId="77777777">
        <w:trPr>
          <w:trHeight w:val="1257"/>
        </w:trPr>
        <w:tc>
          <w:tcPr>
            <w:tcW w:w="1129" w:type="dxa"/>
          </w:tcPr>
          <w:p w14:paraId="7FE1C321" w14:textId="77777777" w:rsidR="00960E01" w:rsidRDefault="00821CB5">
            <w:pPr>
              <w:pStyle w:val="P68B1DB1-Normal45"/>
              <w:spacing w:line="276" w:lineRule="auto"/>
              <w:jc w:val="both"/>
            </w:pPr>
            <w:r>
              <w:t>0180</w:t>
            </w:r>
          </w:p>
        </w:tc>
        <w:tc>
          <w:tcPr>
            <w:tcW w:w="7938" w:type="dxa"/>
          </w:tcPr>
          <w:p w14:paraId="7FE1C322" w14:textId="77777777" w:rsidR="00960E01" w:rsidRDefault="00821CB5">
            <w:pPr>
              <w:pStyle w:val="P68B1DB1-Normal55"/>
              <w:spacing w:line="276" w:lineRule="auto"/>
              <w:jc w:val="both"/>
              <w:rPr>
                <w:iCs/>
              </w:rPr>
            </w:pPr>
            <w:r>
              <w:rPr>
                <w:szCs w:val="20"/>
              </w:rPr>
              <w:t>Kritisk tredjepartsudbyder af IKT-tjenester under DORA</w:t>
            </w:r>
            <w:r>
              <w:t xml:space="preserve"> </w:t>
            </w:r>
          </w:p>
          <w:p w14:paraId="7FE1C323" w14:textId="77777777" w:rsidR="00960E01" w:rsidRDefault="00821CB5">
            <w:pPr>
              <w:pStyle w:val="P68B1DB1-Normal45"/>
              <w:spacing w:line="276" w:lineRule="auto"/>
              <w:jc w:val="both"/>
              <w:rPr>
                <w:iCs/>
              </w:rPr>
            </w:pPr>
            <w:r>
              <w:t>Angiv en af følgende værdier:</w:t>
            </w:r>
          </w:p>
          <w:p w14:paraId="7FE1C324" w14:textId="77777777" w:rsidR="00960E01" w:rsidRDefault="00821CB5">
            <w:pPr>
              <w:pStyle w:val="P68B1DB1-Normal50"/>
              <w:spacing w:line="276" w:lineRule="auto"/>
              <w:jc w:val="both"/>
            </w:pPr>
            <w:r>
              <w:t>"Ja" — hvis dette er en kritisk tredjepartsudbyder af IKT-tjenester i henhold til artikel 3, stk. 23, i forordning 2022/2554 (DORA)</w:t>
            </w:r>
          </w:p>
          <w:p w14:paraId="7FE1C325" w14:textId="77777777" w:rsidR="00960E01" w:rsidRDefault="00821CB5">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Nej" — hvis dette ikke er en kritisk tredjepartsudbyder af IKT-tjenester i henhold til artikel 3, stk. 23, i forordning 2022/2554 (</w:t>
            </w:r>
            <w:r>
              <w:rPr>
                <w:rFonts w:ascii="Times New Roman" w:hAnsi="Times New Roman" w:cs="Times New Roman"/>
              </w:rPr>
              <w:t xml:space="preserve"> DORA)</w:t>
            </w:r>
          </w:p>
          <w:p w14:paraId="7FE1C326" w14:textId="77777777" w:rsidR="00960E01" w:rsidRDefault="00960E01">
            <w:pPr>
              <w:spacing w:line="276" w:lineRule="auto"/>
              <w:jc w:val="both"/>
              <w:rPr>
                <w:rFonts w:ascii="Times New Roman" w:eastAsia="Calibri" w:hAnsi="Times New Roman" w:cs="Times New Roman"/>
                <w:sz w:val="20"/>
              </w:rPr>
            </w:pPr>
          </w:p>
        </w:tc>
      </w:tr>
      <w:tr w:rsidR="00960E01" w14:paraId="7FE1C32E" w14:textId="77777777">
        <w:trPr>
          <w:trHeight w:val="1257"/>
        </w:trPr>
        <w:tc>
          <w:tcPr>
            <w:tcW w:w="1129" w:type="dxa"/>
          </w:tcPr>
          <w:p w14:paraId="7FE1C328" w14:textId="77777777" w:rsidR="00960E01" w:rsidRDefault="00821CB5">
            <w:pPr>
              <w:pStyle w:val="P68B1DB1-Normal45"/>
              <w:spacing w:line="276" w:lineRule="auto"/>
              <w:jc w:val="both"/>
            </w:pPr>
            <w:r>
              <w:t>0190</w:t>
            </w:r>
          </w:p>
        </w:tc>
        <w:tc>
          <w:tcPr>
            <w:tcW w:w="7938" w:type="dxa"/>
          </w:tcPr>
          <w:p w14:paraId="7FE1C329" w14:textId="77777777" w:rsidR="00960E01" w:rsidRDefault="00821CB5">
            <w:pPr>
              <w:pStyle w:val="P68B1DB1-Normal55"/>
              <w:spacing w:line="276" w:lineRule="auto"/>
              <w:jc w:val="both"/>
              <w:rPr>
                <w:iCs/>
              </w:rPr>
            </w:pPr>
            <w:r>
              <w:rPr>
                <w:szCs w:val="20"/>
              </w:rPr>
              <w:t>IKT-tjeneste under DORA</w:t>
            </w:r>
            <w:r>
              <w:t xml:space="preserve"> </w:t>
            </w:r>
          </w:p>
          <w:p w14:paraId="7FE1C32A" w14:textId="77777777" w:rsidR="00960E01" w:rsidRDefault="00821CB5">
            <w:pPr>
              <w:pStyle w:val="P68B1DB1-Normal45"/>
              <w:spacing w:line="276" w:lineRule="auto"/>
              <w:jc w:val="both"/>
              <w:rPr>
                <w:iCs/>
              </w:rPr>
            </w:pPr>
            <w:r>
              <w:t>Angiv en af følgende værdier:</w:t>
            </w:r>
          </w:p>
          <w:p w14:paraId="7FE1C32B" w14:textId="3A99D278" w:rsidR="00960E01" w:rsidRDefault="00821CB5">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"Ja" — hvis der er tale om en IKT-tjeneste i henhold til artikel 3, stk. 21, i</w:t>
            </w:r>
            <w:r>
              <w:rPr>
                <w:rStyle w:val="FootnoteReference"/>
                <w:rFonts w:eastAsia="Calibri" w:cs="Times New Roman"/>
              </w:rPr>
              <w:footnoteReference w:id="27"/>
            </w:r>
            <w:r>
              <w:rPr>
                <w:rFonts w:ascii="Times New Roman" w:eastAsia="Calibri" w:hAnsi="Times New Roman" w:cs="Times New Roman"/>
                <w:sz w:val="20"/>
                <w:szCs w:val="20"/>
              </w:rPr>
              <w:t xml:space="preserve"> forordning 2022/2554 (DORA)</w:t>
            </w:r>
          </w:p>
          <w:p w14:paraId="7FE1C32C" w14:textId="77777777" w:rsidR="00960E01" w:rsidRDefault="00821CB5">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Nej" — hvis dette ikke er en IKT-tjeneste i henhold til artikel 3, stk. 21, i forordning 2022/2554 (</w:t>
            </w:r>
            <w:r>
              <w:rPr>
                <w:rFonts w:ascii="Times New Roman" w:hAnsi="Times New Roman" w:cs="Times New Roman"/>
              </w:rPr>
              <w:t xml:space="preserve"> DORA)</w:t>
            </w:r>
          </w:p>
          <w:p w14:paraId="7FE1C32D" w14:textId="77777777" w:rsidR="00960E01" w:rsidRDefault="00960E01">
            <w:pPr>
              <w:spacing w:line="276" w:lineRule="auto"/>
              <w:jc w:val="both"/>
              <w:rPr>
                <w:rFonts w:ascii="Times New Roman" w:eastAsia="Calibri" w:hAnsi="Times New Roman" w:cs="Times New Roman"/>
                <w:iCs/>
                <w:sz w:val="20"/>
              </w:rPr>
            </w:pPr>
          </w:p>
        </w:tc>
      </w:tr>
    </w:tbl>
    <w:p w14:paraId="7FE1C32F" w14:textId="77777777" w:rsidR="00960E01" w:rsidRDefault="00960E01">
      <w:pPr>
        <w:spacing w:line="276" w:lineRule="auto"/>
        <w:jc w:val="both"/>
        <w:rPr>
          <w:rFonts w:ascii="Times New Roman" w:eastAsia="Calibri" w:hAnsi="Times New Roman" w:cs="Times New Roman"/>
          <w:color w:val="0070C0"/>
          <w:sz w:val="20"/>
        </w:rPr>
      </w:pPr>
    </w:p>
    <w:p w14:paraId="7FE1C478" w14:textId="77777777" w:rsidR="00960E01" w:rsidRDefault="00960E01">
      <w:pPr>
        <w:rPr>
          <w:rFonts w:ascii="Times New Roman" w:eastAsia="Times New Roman" w:hAnsi="Times New Roman" w:cs="Times New Roman"/>
          <w:sz w:val="20"/>
          <w:szCs w:val="20"/>
          <w:u w:val="single"/>
        </w:rPr>
      </w:pPr>
    </w:p>
    <w:p w14:paraId="7FE1C479" w14:textId="77777777" w:rsidR="00960E01" w:rsidRDefault="00960E01">
      <w:pPr>
        <w:rPr>
          <w:rFonts w:ascii="Times New Roman" w:eastAsia="Times New Roman" w:hAnsi="Times New Roman" w:cs="Times New Roman"/>
          <w:sz w:val="20"/>
          <w:szCs w:val="20"/>
          <w:u w:val="single"/>
        </w:rPr>
      </w:pPr>
    </w:p>
    <w:p w14:paraId="7FE1C47A" w14:textId="77777777" w:rsidR="00960E01" w:rsidRDefault="00821CB5">
      <w:pPr>
        <w:pStyle w:val="P68B1DB1-Instructionsberschrift25"/>
        <w:numPr>
          <w:ilvl w:val="1"/>
          <w:numId w:val="49"/>
        </w:numPr>
        <w:ind w:left="357" w:hanging="357"/>
        <w:rPr>
          <w:szCs w:val="20"/>
        </w:rPr>
      </w:pPr>
      <w:bookmarkStart w:id="128" w:name="_Toc208244573"/>
      <w:r>
        <w:t>Z 08.02 — Relevante tjenester — Kortlægning af operationelle aktiver (SERV 2)</w:t>
      </w:r>
      <w:bookmarkEnd w:id="128"/>
    </w:p>
    <w:p w14:paraId="7FE1C47B" w14:textId="77777777" w:rsidR="00960E01" w:rsidRDefault="00821CB5">
      <w:pPr>
        <w:pStyle w:val="P68B1DB1-Normal50"/>
        <w:spacing w:line="276" w:lineRule="auto"/>
        <w:jc w:val="both"/>
      </w:pPr>
      <w:r>
        <w:t>Generelle instruktioner</w:t>
      </w:r>
    </w:p>
    <w:p w14:paraId="7FE1C47C" w14:textId="77777777" w:rsidR="00960E01" w:rsidRDefault="00821CB5">
      <w:pPr>
        <w:pStyle w:val="P68B1DB1-Instructionsberschrift346"/>
        <w:numPr>
          <w:ilvl w:val="4"/>
          <w:numId w:val="259"/>
        </w:numPr>
        <w:contextualSpacing/>
        <w:jc w:val="both"/>
        <w:rPr>
          <w:color w:val="auto"/>
        </w:rPr>
      </w:pPr>
      <w:bookmarkStart w:id="129" w:name="_Hlk161330001"/>
      <w:r>
        <w:rPr>
          <w:color w:val="auto"/>
          <w:szCs w:val="24"/>
        </w:rPr>
        <w:t>De oplysninger, der skal inkluderes i dette skema, skal indberettes én gang for hele koncernen og skal opregne relevante tjenester modtaget af en hvilken som helst enhed i koncernen og knytter dem til de relevante operative midler</w:t>
      </w:r>
      <w:r>
        <w:t>.</w:t>
      </w:r>
    </w:p>
    <w:p w14:paraId="7FE1C47D" w14:textId="790BE864" w:rsidR="00960E01" w:rsidRDefault="00821CB5">
      <w:pPr>
        <w:pStyle w:val="P68B1DB1-Instructionsberschrift348"/>
        <w:numPr>
          <w:ilvl w:val="4"/>
          <w:numId w:val="49"/>
        </w:numPr>
        <w:contextualSpacing/>
        <w:jc w:val="both"/>
        <w:rPr>
          <w:color w:val="auto"/>
        </w:rPr>
      </w:pPr>
      <w:r>
        <w:lastRenderedPageBreak/>
        <w:t>Værdierne, der indberettes i kolonne 0010, 0020, 0030 og 0080 i dette skema, udgør en primær nøgle, som skal være unik for hver enkelt række i skemaet.</w:t>
      </w:r>
    </w:p>
    <w:bookmarkEnd w:id="129"/>
    <w:p w14:paraId="7FE1C482" w14:textId="77777777" w:rsidR="00960E01" w:rsidRDefault="00960E01">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960E01" w14:paraId="7FE1C54A" w14:textId="77777777">
        <w:trPr>
          <w:trHeight w:val="495"/>
          <w:tblHeader/>
        </w:trPr>
        <w:tc>
          <w:tcPr>
            <w:tcW w:w="1418" w:type="dxa"/>
            <w:shd w:val="clear" w:color="auto" w:fill="E7E6E6"/>
          </w:tcPr>
          <w:p w14:paraId="7FE1C548" w14:textId="77777777" w:rsidR="00960E01" w:rsidRDefault="00821CB5">
            <w:pPr>
              <w:pStyle w:val="P68B1DB1-Normal61"/>
              <w:spacing w:before="120" w:after="120" w:line="276" w:lineRule="auto"/>
            </w:pPr>
            <w:r>
              <w:t>Kolonner</w:t>
            </w:r>
          </w:p>
        </w:tc>
        <w:tc>
          <w:tcPr>
            <w:tcW w:w="7791" w:type="dxa"/>
            <w:shd w:val="clear" w:color="auto" w:fill="E7E6E6"/>
          </w:tcPr>
          <w:p w14:paraId="7FE1C549" w14:textId="77777777" w:rsidR="00960E01" w:rsidRDefault="00821CB5">
            <w:pPr>
              <w:pStyle w:val="P68B1DB1-Normal61"/>
              <w:spacing w:before="120" w:after="120" w:line="276" w:lineRule="auto"/>
            </w:pPr>
            <w:r>
              <w:t>Instrukser</w:t>
            </w:r>
          </w:p>
        </w:tc>
      </w:tr>
      <w:tr w:rsidR="00960E01" w14:paraId="7FE1C550" w14:textId="77777777">
        <w:trPr>
          <w:trHeight w:val="450"/>
        </w:trPr>
        <w:tc>
          <w:tcPr>
            <w:tcW w:w="1418" w:type="dxa"/>
            <w:shd w:val="clear" w:color="auto" w:fill="FFFFFF" w:themeFill="background1"/>
          </w:tcPr>
          <w:p w14:paraId="7FE1C54B" w14:textId="77777777" w:rsidR="00960E01" w:rsidRDefault="00821CB5">
            <w:pPr>
              <w:pStyle w:val="P68B1DB1-Normal62"/>
              <w:spacing w:before="120" w:after="120" w:line="276" w:lineRule="auto"/>
            </w:pPr>
            <w:r>
              <w:t>0005</w:t>
            </w:r>
          </w:p>
        </w:tc>
        <w:tc>
          <w:tcPr>
            <w:tcW w:w="7791" w:type="dxa"/>
            <w:shd w:val="clear" w:color="auto" w:fill="FFFFFF" w:themeFill="background1"/>
          </w:tcPr>
          <w:p w14:paraId="7FE1C54C" w14:textId="77777777" w:rsidR="00960E01" w:rsidRDefault="00821CB5">
            <w:pPr>
              <w:pStyle w:val="P68B1DB1-Normal61"/>
              <w:spacing w:before="120" w:after="120" w:line="276" w:lineRule="auto"/>
            </w:pPr>
            <w:r>
              <w:t xml:space="preserve">Tjenesteidentifikator </w:t>
            </w:r>
          </w:p>
          <w:p w14:paraId="7FE1C54D" w14:textId="77777777" w:rsidR="00960E01" w:rsidRDefault="00821CB5">
            <w:pPr>
              <w:pStyle w:val="P68B1DB1-Normal62"/>
              <w:spacing w:before="120" w:after="120" w:line="276" w:lineRule="auto"/>
            </w:pPr>
            <w:r>
              <w:t>Anvend serviceidentifikatoren som indberettet i Z 08.01 (SERV 1).</w:t>
            </w:r>
          </w:p>
          <w:p w14:paraId="7FE1C54E" w14:textId="77777777" w:rsidR="00960E01" w:rsidRDefault="00821CB5">
            <w:pPr>
              <w:pStyle w:val="P68B1DB1-Normal62"/>
              <w:spacing w:before="120" w:after="120" w:line="276" w:lineRule="auto"/>
            </w:pPr>
            <w:r>
              <w:t>Tjenesteidentifikatoren henviser til den tjeneste, der er indberettet under c0020.</w:t>
            </w:r>
          </w:p>
          <w:p w14:paraId="7FE1C54F" w14:textId="77777777" w:rsidR="00960E01" w:rsidRDefault="00960E01">
            <w:pPr>
              <w:spacing w:before="120" w:after="120" w:line="276" w:lineRule="auto"/>
              <w:rPr>
                <w:rFonts w:ascii="Times New Roman" w:hAnsi="Times New Roman"/>
                <w:i/>
                <w:sz w:val="20"/>
                <w:szCs w:val="20"/>
              </w:rPr>
            </w:pPr>
          </w:p>
        </w:tc>
      </w:tr>
      <w:tr w:rsidR="00960E01" w14:paraId="7FE1C594" w14:textId="77777777">
        <w:trPr>
          <w:trHeight w:val="450"/>
        </w:trPr>
        <w:tc>
          <w:tcPr>
            <w:tcW w:w="1418" w:type="dxa"/>
            <w:shd w:val="clear" w:color="auto" w:fill="FFFFFF" w:themeFill="background1"/>
          </w:tcPr>
          <w:p w14:paraId="7FE1C551" w14:textId="77777777" w:rsidR="00960E01" w:rsidRDefault="00821CB5">
            <w:pPr>
              <w:pStyle w:val="P68B1DB1-Normal62"/>
              <w:spacing w:before="120" w:after="120" w:line="276" w:lineRule="auto"/>
            </w:pPr>
            <w:r>
              <w:t>0010</w:t>
            </w:r>
          </w:p>
        </w:tc>
        <w:tc>
          <w:tcPr>
            <w:tcW w:w="7791" w:type="dxa"/>
            <w:shd w:val="clear" w:color="auto" w:fill="FFFFFF" w:themeFill="background1"/>
          </w:tcPr>
          <w:p w14:paraId="7FE1C552" w14:textId="77777777" w:rsidR="00960E01" w:rsidRDefault="00821CB5">
            <w:pPr>
              <w:pStyle w:val="P68B1DB1-Normal61"/>
              <w:autoSpaceDE w:val="0"/>
              <w:autoSpaceDN w:val="0"/>
              <w:adjustRightInd w:val="0"/>
              <w:rPr>
                <w:rFonts w:eastAsia="MS Mincho"/>
              </w:rPr>
            </w:pPr>
            <w:r>
              <w:t xml:space="preserve">Type tjeneste </w:t>
            </w:r>
          </w:p>
          <w:p w14:paraId="7FE1C57A" w14:textId="35040E48" w:rsidR="00960E01" w:rsidRDefault="00821CB5">
            <w:pPr>
              <w:pStyle w:val="P68B1DB1-Normal63"/>
              <w:autoSpaceDE w:val="0"/>
              <w:autoSpaceDN w:val="0"/>
              <w:adjustRightInd w:val="0"/>
            </w:pPr>
            <w:r>
              <w:t>Tjenestetypen skal være en af de tjenestetyper, der er anført i Z 08.01 0010 ovenfor.</w:t>
            </w:r>
          </w:p>
          <w:p w14:paraId="7FE1C593" w14:textId="77777777" w:rsidR="00960E01" w:rsidRDefault="00960E01">
            <w:pPr>
              <w:autoSpaceDE w:val="0"/>
              <w:autoSpaceDN w:val="0"/>
              <w:adjustRightInd w:val="0"/>
              <w:rPr>
                <w:rFonts w:ascii="Times New Roman" w:hAnsi="Times New Roman"/>
                <w:sz w:val="20"/>
                <w:szCs w:val="20"/>
              </w:rPr>
            </w:pPr>
          </w:p>
        </w:tc>
      </w:tr>
      <w:tr w:rsidR="00960E01" w14:paraId="7FE1C599" w14:textId="77777777">
        <w:trPr>
          <w:trHeight w:val="450"/>
        </w:trPr>
        <w:tc>
          <w:tcPr>
            <w:tcW w:w="1418" w:type="dxa"/>
            <w:shd w:val="clear" w:color="auto" w:fill="FFFFFF" w:themeFill="background1"/>
          </w:tcPr>
          <w:p w14:paraId="7FE1C595" w14:textId="77777777" w:rsidR="00960E01" w:rsidRDefault="00821CB5">
            <w:pPr>
              <w:pStyle w:val="P68B1DB1-Normal62"/>
              <w:spacing w:before="120" w:after="120" w:line="276" w:lineRule="auto"/>
            </w:pPr>
            <w:r>
              <w:t>0020</w:t>
            </w:r>
          </w:p>
        </w:tc>
        <w:tc>
          <w:tcPr>
            <w:tcW w:w="7791" w:type="dxa"/>
            <w:shd w:val="clear" w:color="auto" w:fill="FFFFFF" w:themeFill="background1"/>
          </w:tcPr>
          <w:p w14:paraId="7FE1C596" w14:textId="77777777" w:rsidR="00960E01" w:rsidRDefault="00821CB5">
            <w:pPr>
              <w:pStyle w:val="P68B1DB1-Normal61"/>
              <w:spacing w:line="276" w:lineRule="auto"/>
              <w:jc w:val="both"/>
              <w:rPr>
                <w:bCs/>
              </w:rPr>
            </w:pPr>
            <w:r>
              <w:t xml:space="preserve">Entydig tjenestetitel i henhold til banktaksonomi </w:t>
            </w:r>
          </w:p>
          <w:p w14:paraId="7FE1C597" w14:textId="31873D66" w:rsidR="00960E01" w:rsidRDefault="00821CB5">
            <w:pPr>
              <w:pStyle w:val="P68B1DB1-Normal64"/>
              <w:rPr>
                <w:rFonts w:eastAsiaTheme="minorHAnsi"/>
                <w:sz w:val="24"/>
              </w:rPr>
            </w:pPr>
            <w:r>
              <w:t>Navn/kort beskrivelse af tjenesten i henhold til bankens egen differentierede taksonomi (niveau 3) som indberettet i Z 08.01 (SERV 1), kolonne 0020. Banken forventes at indberette tjenesterne på et mere detaljeret niveau end rapporteringen for niveau 2 (c0010), således at hver enkelt tjeneste defineres præcist og målrettet.</w:t>
            </w:r>
          </w:p>
          <w:p w14:paraId="7FE1C598" w14:textId="77777777" w:rsidR="00960E01" w:rsidRDefault="00960E01">
            <w:pPr>
              <w:spacing w:before="120" w:after="120" w:line="276" w:lineRule="auto"/>
              <w:rPr>
                <w:rFonts w:ascii="Times New Roman" w:hAnsi="Times New Roman"/>
                <w:sz w:val="20"/>
                <w:szCs w:val="20"/>
              </w:rPr>
            </w:pPr>
          </w:p>
        </w:tc>
      </w:tr>
      <w:tr w:rsidR="00960E01" w14:paraId="7FE1C59E" w14:textId="77777777">
        <w:trPr>
          <w:trHeight w:val="450"/>
        </w:trPr>
        <w:tc>
          <w:tcPr>
            <w:tcW w:w="1418" w:type="dxa"/>
            <w:shd w:val="clear" w:color="auto" w:fill="FFFFFF" w:themeFill="background1"/>
          </w:tcPr>
          <w:p w14:paraId="7FE1C59A" w14:textId="77777777" w:rsidR="00960E01" w:rsidRDefault="00821CB5">
            <w:pPr>
              <w:pStyle w:val="P68B1DB1-Normal62"/>
              <w:spacing w:before="120" w:after="120" w:line="276" w:lineRule="auto"/>
            </w:pPr>
            <w:r>
              <w:t>0030</w:t>
            </w:r>
          </w:p>
        </w:tc>
        <w:tc>
          <w:tcPr>
            <w:tcW w:w="7791" w:type="dxa"/>
            <w:shd w:val="clear" w:color="auto" w:fill="FFFFFF" w:themeFill="background1"/>
          </w:tcPr>
          <w:p w14:paraId="7FE1C59B" w14:textId="77777777" w:rsidR="00960E01" w:rsidRDefault="00821CB5">
            <w:pPr>
              <w:pStyle w:val="P68B1DB1-Normal61"/>
              <w:spacing w:before="120" w:after="120" w:line="276" w:lineRule="auto"/>
              <w:rPr>
                <w:bCs/>
              </w:rPr>
            </w:pPr>
            <w:r>
              <w:t>Aktiv-identifikator</w:t>
            </w:r>
          </w:p>
          <w:p w14:paraId="7FE1C59C" w14:textId="77777777" w:rsidR="00960E01" w:rsidRDefault="00821CB5">
            <w:pPr>
              <w:pStyle w:val="P68B1DB1-Normal64"/>
              <w:spacing w:line="276" w:lineRule="auto"/>
              <w:jc w:val="both"/>
            </w:pPr>
            <w:r>
              <w:t>Aktividentifikatoren henviser til det aktiv, der indberettes i c0050.</w:t>
            </w:r>
          </w:p>
          <w:p w14:paraId="7FE1C59D" w14:textId="77777777" w:rsidR="00960E01" w:rsidRDefault="00960E01">
            <w:pPr>
              <w:spacing w:before="120" w:after="120" w:line="276" w:lineRule="auto"/>
              <w:rPr>
                <w:rFonts w:ascii="Times New Roman" w:hAnsi="Times New Roman"/>
                <w:sz w:val="20"/>
                <w:szCs w:val="20"/>
              </w:rPr>
            </w:pPr>
          </w:p>
        </w:tc>
      </w:tr>
      <w:tr w:rsidR="00960E01" w14:paraId="7FE1C5AD" w14:textId="77777777">
        <w:trPr>
          <w:trHeight w:val="450"/>
        </w:trPr>
        <w:tc>
          <w:tcPr>
            <w:tcW w:w="1418" w:type="dxa"/>
            <w:shd w:val="clear" w:color="auto" w:fill="FFFFFF" w:themeFill="background1"/>
          </w:tcPr>
          <w:p w14:paraId="7FE1C59F" w14:textId="77777777" w:rsidR="00960E01" w:rsidRDefault="00821CB5">
            <w:pPr>
              <w:pStyle w:val="P68B1DB1-Normal62"/>
              <w:spacing w:before="120" w:after="120" w:line="276" w:lineRule="auto"/>
            </w:pPr>
            <w:r>
              <w:t>0040</w:t>
            </w:r>
          </w:p>
        </w:tc>
        <w:tc>
          <w:tcPr>
            <w:tcW w:w="7791" w:type="dxa"/>
            <w:shd w:val="clear" w:color="auto" w:fill="FFFFFF" w:themeFill="background1"/>
          </w:tcPr>
          <w:p w14:paraId="7FE1C5A0" w14:textId="77777777" w:rsidR="00960E01" w:rsidRDefault="00821CB5">
            <w:pPr>
              <w:pStyle w:val="P68B1DB1-Normal64"/>
              <w:spacing w:line="276" w:lineRule="auto"/>
              <w:jc w:val="both"/>
            </w:pPr>
            <w:r>
              <w:rPr>
                <w:b/>
                <w:szCs w:val="20"/>
              </w:rPr>
              <w:t>Aktivtype</w:t>
            </w:r>
            <w:r>
              <w:t xml:space="preserve"> </w:t>
            </w:r>
          </w:p>
          <w:p w14:paraId="7FE1C5A1" w14:textId="77777777" w:rsidR="00960E01" w:rsidRDefault="00821CB5">
            <w:pPr>
              <w:pStyle w:val="P68B1DB1-Normal64"/>
              <w:spacing w:line="276" w:lineRule="auto"/>
              <w:jc w:val="both"/>
            </w:pPr>
            <w:r>
              <w:t xml:space="preserve">— IT- og kommunikationshardware </w:t>
            </w:r>
          </w:p>
          <w:p w14:paraId="7FE1C5A2" w14:textId="77777777" w:rsidR="00960E01" w:rsidRDefault="00960E01">
            <w:pPr>
              <w:spacing w:line="276" w:lineRule="auto"/>
              <w:rPr>
                <w:rFonts w:ascii="Times New Roman" w:hAnsi="Times New Roman"/>
                <w:sz w:val="20"/>
              </w:rPr>
            </w:pPr>
          </w:p>
          <w:p w14:paraId="7FE1C5A3" w14:textId="77777777" w:rsidR="00960E01" w:rsidRDefault="00821CB5">
            <w:pPr>
              <w:pStyle w:val="P68B1DB1-Normal64"/>
              <w:spacing w:line="276" w:lineRule="auto"/>
            </w:pPr>
            <w:r>
              <w:t>— Anden IT-infrastruktur (f.eks. arbejdsstationer, telekommunikation, servere, datacentre og tilknyttede aktiver)</w:t>
            </w:r>
          </w:p>
          <w:p w14:paraId="7FE1C5A4" w14:textId="77777777" w:rsidR="00960E01" w:rsidRDefault="00960E01">
            <w:pPr>
              <w:spacing w:line="276" w:lineRule="auto"/>
              <w:rPr>
                <w:rFonts w:ascii="Times New Roman" w:hAnsi="Times New Roman"/>
                <w:sz w:val="20"/>
              </w:rPr>
            </w:pPr>
          </w:p>
          <w:p w14:paraId="7FE1C5A5" w14:textId="77777777" w:rsidR="00960E01" w:rsidRDefault="00821CB5">
            <w:pPr>
              <w:pStyle w:val="P68B1DB1-Normal64"/>
              <w:spacing w:line="276" w:lineRule="auto"/>
            </w:pPr>
            <w:r>
              <w:t xml:space="preserve">— Lokaler og oplagring </w:t>
            </w:r>
          </w:p>
          <w:p w14:paraId="7FE1C5A6" w14:textId="77777777" w:rsidR="00960E01" w:rsidRDefault="00960E01">
            <w:pPr>
              <w:spacing w:line="276" w:lineRule="auto"/>
              <w:rPr>
                <w:rFonts w:ascii="Times New Roman" w:hAnsi="Times New Roman"/>
                <w:sz w:val="20"/>
              </w:rPr>
            </w:pPr>
          </w:p>
          <w:p w14:paraId="7FE1C5A7" w14:textId="77777777" w:rsidR="00960E01" w:rsidRDefault="00821CB5">
            <w:pPr>
              <w:pStyle w:val="P68B1DB1-Normal64"/>
              <w:spacing w:line="276" w:lineRule="auto"/>
            </w:pPr>
            <w:r>
              <w:t>Intellektuel ejendomsret (såsom patenter, varemærker osv.)</w:t>
            </w:r>
          </w:p>
          <w:p w14:paraId="7FE1C5A8" w14:textId="77777777" w:rsidR="00960E01" w:rsidRDefault="00960E01">
            <w:pPr>
              <w:spacing w:line="276" w:lineRule="auto"/>
              <w:rPr>
                <w:rFonts w:ascii="Times New Roman" w:hAnsi="Times New Roman"/>
                <w:sz w:val="20"/>
              </w:rPr>
            </w:pPr>
          </w:p>
          <w:p w14:paraId="7FE1C5A9" w14:textId="77777777" w:rsidR="00960E01" w:rsidRDefault="00821CB5">
            <w:pPr>
              <w:pStyle w:val="P68B1DB1-Normal64"/>
              <w:spacing w:line="276" w:lineRule="auto"/>
            </w:pPr>
            <w:r>
              <w:t xml:space="preserve"> Selvbetjeningsanordninger i filialer ATM'er</w:t>
            </w:r>
          </w:p>
          <w:p w14:paraId="7FE1C5AA" w14:textId="77777777" w:rsidR="00960E01" w:rsidRDefault="00960E01">
            <w:pPr>
              <w:spacing w:line="276" w:lineRule="auto"/>
              <w:rPr>
                <w:rFonts w:ascii="Times New Roman" w:hAnsi="Times New Roman"/>
                <w:sz w:val="20"/>
              </w:rPr>
            </w:pPr>
          </w:p>
          <w:p w14:paraId="7FE1C5AB" w14:textId="07413E54" w:rsidR="00960E01" w:rsidRDefault="00821CB5">
            <w:pPr>
              <w:pStyle w:val="P68B1DB1-Normal62"/>
              <w:spacing w:line="276" w:lineRule="auto"/>
              <w:jc w:val="both"/>
              <w:rPr>
                <w:b/>
              </w:rPr>
            </w:pPr>
            <w:r>
              <w:t>— Anden type aktiv</w:t>
            </w:r>
          </w:p>
          <w:p w14:paraId="7FE1C5AC" w14:textId="77777777" w:rsidR="00960E01" w:rsidRDefault="00960E01">
            <w:pPr>
              <w:spacing w:line="276" w:lineRule="auto"/>
              <w:jc w:val="both"/>
              <w:rPr>
                <w:rFonts w:ascii="Times New Roman" w:hAnsi="Times New Roman"/>
                <w:sz w:val="20"/>
              </w:rPr>
            </w:pPr>
          </w:p>
        </w:tc>
      </w:tr>
      <w:tr w:rsidR="00960E01" w14:paraId="7FE1C5B2" w14:textId="77777777">
        <w:trPr>
          <w:trHeight w:val="450"/>
        </w:trPr>
        <w:tc>
          <w:tcPr>
            <w:tcW w:w="1418" w:type="dxa"/>
            <w:shd w:val="clear" w:color="auto" w:fill="FFFFFF" w:themeFill="background1"/>
          </w:tcPr>
          <w:p w14:paraId="7FE1C5AE" w14:textId="77777777" w:rsidR="00960E01" w:rsidRDefault="00821CB5">
            <w:pPr>
              <w:pStyle w:val="P68B1DB1-Normal62"/>
              <w:spacing w:before="120" w:after="120" w:line="276" w:lineRule="auto"/>
            </w:pPr>
            <w:r>
              <w:t>0050</w:t>
            </w:r>
          </w:p>
        </w:tc>
        <w:tc>
          <w:tcPr>
            <w:tcW w:w="7791" w:type="dxa"/>
            <w:shd w:val="clear" w:color="auto" w:fill="FFFFFF" w:themeFill="background1"/>
          </w:tcPr>
          <w:p w14:paraId="7FE1C5AF" w14:textId="77777777" w:rsidR="00960E01" w:rsidRDefault="00821CB5">
            <w:pPr>
              <w:pStyle w:val="P68B1DB1-Normal61"/>
              <w:spacing w:line="276" w:lineRule="auto"/>
              <w:jc w:val="both"/>
            </w:pPr>
            <w:r>
              <w:t xml:space="preserve">Aktivets navn </w:t>
            </w:r>
          </w:p>
          <w:p w14:paraId="7FE1C5B0" w14:textId="77777777" w:rsidR="00960E01" w:rsidRDefault="00821CB5">
            <w:pPr>
              <w:pStyle w:val="P68B1DB1-Normal64"/>
              <w:spacing w:line="276" w:lineRule="auto"/>
              <w:jc w:val="both"/>
            </w:pPr>
            <w:r>
              <w:t>Aktiven kommercielle eller interne navn.</w:t>
            </w:r>
          </w:p>
          <w:p w14:paraId="7FE1C5B1" w14:textId="77777777" w:rsidR="00960E01" w:rsidRDefault="00960E01">
            <w:pPr>
              <w:spacing w:line="276" w:lineRule="auto"/>
              <w:jc w:val="both"/>
              <w:rPr>
                <w:rFonts w:ascii="Times New Roman" w:hAnsi="Times New Roman"/>
                <w:sz w:val="20"/>
              </w:rPr>
            </w:pPr>
          </w:p>
        </w:tc>
      </w:tr>
      <w:tr w:rsidR="00960E01" w14:paraId="7FE1C5BA" w14:textId="77777777">
        <w:trPr>
          <w:trHeight w:val="450"/>
        </w:trPr>
        <w:tc>
          <w:tcPr>
            <w:tcW w:w="1418" w:type="dxa"/>
            <w:shd w:val="clear" w:color="auto" w:fill="FFFFFF" w:themeFill="background1"/>
          </w:tcPr>
          <w:p w14:paraId="7FE1C5B3" w14:textId="77777777" w:rsidR="00960E01" w:rsidRDefault="00821CB5">
            <w:pPr>
              <w:pStyle w:val="P68B1DB1-Normal62"/>
              <w:spacing w:before="120" w:after="120" w:line="276" w:lineRule="auto"/>
            </w:pPr>
            <w:r>
              <w:t>0060</w:t>
            </w:r>
          </w:p>
        </w:tc>
        <w:tc>
          <w:tcPr>
            <w:tcW w:w="7791" w:type="dxa"/>
            <w:shd w:val="clear" w:color="auto" w:fill="FFFFFF" w:themeFill="background1"/>
          </w:tcPr>
          <w:p w14:paraId="7FE1C5B4" w14:textId="77777777" w:rsidR="00960E01" w:rsidRDefault="00821CB5">
            <w:pPr>
              <w:pStyle w:val="P68B1DB1-Normal65"/>
              <w:spacing w:line="276" w:lineRule="auto"/>
              <w:jc w:val="both"/>
              <w:rPr>
                <w:iCs/>
              </w:rPr>
            </w:pPr>
            <w:r>
              <w:rPr>
                <w:szCs w:val="20"/>
              </w:rPr>
              <w:t>Kritikalitet</w:t>
            </w:r>
            <w:r>
              <w:t xml:space="preserve"> </w:t>
            </w:r>
          </w:p>
          <w:p w14:paraId="7FE1C5B5" w14:textId="77777777" w:rsidR="00960E01" w:rsidRDefault="00821CB5">
            <w:pPr>
              <w:pStyle w:val="P68B1DB1-Normal64"/>
              <w:spacing w:line="276" w:lineRule="auto"/>
              <w:jc w:val="both"/>
              <w:rPr>
                <w:iCs/>
              </w:rPr>
            </w:pPr>
            <w:r>
              <w:t>Angiv en af følgende værdier:</w:t>
            </w:r>
          </w:p>
          <w:p w14:paraId="7FE1C5B6" w14:textId="77777777" w:rsidR="00960E01" w:rsidRDefault="00821CB5">
            <w:pPr>
              <w:pStyle w:val="P68B1DB1-ListParagraph58"/>
              <w:numPr>
                <w:ilvl w:val="0"/>
                <w:numId w:val="236"/>
              </w:numPr>
              <w:spacing w:line="276" w:lineRule="auto"/>
              <w:contextualSpacing/>
              <w:jc w:val="both"/>
              <w:rPr>
                <w:iCs/>
              </w:rPr>
            </w:pPr>
            <w:r>
              <w:t>Kritisk: hvis tjenesten er nødvendig for udførelsen af en eller flere kritiske funktioner, hvis afbrydelse i alvorlig grad ville hindre eller forhindre udførelsen af disse kritiske funktioner.</w:t>
            </w:r>
          </w:p>
          <w:p w14:paraId="7FE1C5B7" w14:textId="77777777" w:rsidR="00960E01" w:rsidRDefault="00821CB5">
            <w:pPr>
              <w:pStyle w:val="P68B1DB1-ListParagraph58"/>
              <w:numPr>
                <w:ilvl w:val="0"/>
                <w:numId w:val="236"/>
              </w:numPr>
              <w:spacing w:line="276" w:lineRule="auto"/>
              <w:contextualSpacing/>
              <w:jc w:val="both"/>
              <w:rPr>
                <w:iCs/>
              </w:rPr>
            </w:pPr>
            <w:r>
              <w:t>Væsentlige: hvis tjenesten er knyttet til centrale forretningsområder, hvis kontinuitet er nødvendig for en effektiv gennemførelse af afviklingsstrategien og en eventuel efterfølgende omstrukturering.</w:t>
            </w:r>
          </w:p>
          <w:p w14:paraId="7FE1C5B8" w14:textId="475A76CC" w:rsidR="00960E01" w:rsidRDefault="00821CB5">
            <w:pPr>
              <w:pStyle w:val="P68B1DB1-ListParagraph58"/>
              <w:numPr>
                <w:ilvl w:val="0"/>
                <w:numId w:val="236"/>
              </w:numPr>
              <w:spacing w:line="276" w:lineRule="auto"/>
              <w:contextualSpacing/>
              <w:jc w:val="both"/>
              <w:rPr>
                <w:iCs/>
              </w:rPr>
            </w:pPr>
            <w:r>
              <w:t>Kritisk og afgørende</w:t>
            </w:r>
          </w:p>
          <w:p w14:paraId="7FE1C5B9" w14:textId="77777777" w:rsidR="00960E01" w:rsidRDefault="00960E01">
            <w:pPr>
              <w:spacing w:line="276" w:lineRule="auto"/>
              <w:jc w:val="both"/>
              <w:rPr>
                <w:rFonts w:ascii="Times New Roman" w:hAnsi="Times New Roman"/>
                <w:sz w:val="20"/>
              </w:rPr>
            </w:pPr>
          </w:p>
        </w:tc>
      </w:tr>
      <w:tr w:rsidR="00960E01" w14:paraId="7FE1C5C3" w14:textId="77777777">
        <w:trPr>
          <w:trHeight w:val="450"/>
        </w:trPr>
        <w:tc>
          <w:tcPr>
            <w:tcW w:w="1418" w:type="dxa"/>
            <w:shd w:val="clear" w:color="auto" w:fill="FFFFFF" w:themeFill="background1"/>
          </w:tcPr>
          <w:p w14:paraId="7FE1C5BB" w14:textId="77777777" w:rsidR="00960E01" w:rsidRDefault="00821CB5">
            <w:pPr>
              <w:pStyle w:val="P68B1DB1-Normal62"/>
              <w:spacing w:before="120" w:after="120" w:line="276" w:lineRule="auto"/>
            </w:pPr>
            <w:r>
              <w:lastRenderedPageBreak/>
              <w:t>0070</w:t>
            </w:r>
          </w:p>
        </w:tc>
        <w:tc>
          <w:tcPr>
            <w:tcW w:w="7791" w:type="dxa"/>
            <w:shd w:val="clear" w:color="auto" w:fill="FFFFFF" w:themeFill="background1"/>
          </w:tcPr>
          <w:p w14:paraId="7FE1C5BC" w14:textId="77777777" w:rsidR="00960E01" w:rsidRDefault="00821CB5">
            <w:pPr>
              <w:pStyle w:val="P68B1DB1-Normal64"/>
              <w:spacing w:line="276" w:lineRule="auto"/>
              <w:jc w:val="both"/>
              <w:rPr>
                <w:iCs/>
              </w:rPr>
            </w:pPr>
            <w:r>
              <w:rPr>
                <w:b/>
                <w:szCs w:val="20"/>
              </w:rPr>
              <w:t>Juridisk/kontraktmæssig type</w:t>
            </w:r>
            <w:r>
              <w:t xml:space="preserve"> </w:t>
            </w:r>
          </w:p>
          <w:p w14:paraId="7FE1C5BD" w14:textId="77777777" w:rsidR="00960E01" w:rsidRDefault="00821CB5">
            <w:pPr>
              <w:pStyle w:val="P68B1DB1-Normal64"/>
              <w:spacing w:line="276" w:lineRule="auto"/>
              <w:jc w:val="both"/>
              <w:rPr>
                <w:iCs/>
              </w:rPr>
            </w:pPr>
            <w:r>
              <w:t>Angiv en af følgende værdier:</w:t>
            </w:r>
          </w:p>
          <w:p w14:paraId="7FE1C5BE" w14:textId="77777777" w:rsidR="00960E01" w:rsidRDefault="00821CB5">
            <w:pPr>
              <w:pStyle w:val="P68B1DB1-Normal66"/>
              <w:numPr>
                <w:ilvl w:val="0"/>
                <w:numId w:val="236"/>
              </w:numPr>
              <w:contextualSpacing/>
              <w:jc w:val="both"/>
            </w:pPr>
            <w:r>
              <w:t>Ejerbolig</w:t>
            </w:r>
          </w:p>
          <w:p w14:paraId="7FE1C5BF" w14:textId="77777777" w:rsidR="00960E01" w:rsidRDefault="00821CB5">
            <w:pPr>
              <w:pStyle w:val="P68B1DB1-Normal66"/>
              <w:numPr>
                <w:ilvl w:val="0"/>
                <w:numId w:val="236"/>
              </w:numPr>
              <w:contextualSpacing/>
              <w:jc w:val="both"/>
            </w:pPr>
            <w:r>
              <w:t>Leasede</w:t>
            </w:r>
          </w:p>
          <w:p w14:paraId="7FE1C5C0" w14:textId="77777777" w:rsidR="00960E01" w:rsidRDefault="00821CB5">
            <w:pPr>
              <w:pStyle w:val="P68B1DB1-Normal66"/>
              <w:numPr>
                <w:ilvl w:val="0"/>
                <w:numId w:val="236"/>
              </w:numPr>
              <w:contextualSpacing/>
              <w:jc w:val="both"/>
            </w:pPr>
            <w:r>
              <w:t>Givet licens</w:t>
            </w:r>
          </w:p>
          <w:p w14:paraId="7FE1C5C1" w14:textId="3AFF0D43" w:rsidR="00960E01" w:rsidRDefault="00821CB5">
            <w:pPr>
              <w:pStyle w:val="P68B1DB1-Normal66"/>
              <w:numPr>
                <w:ilvl w:val="0"/>
                <w:numId w:val="236"/>
              </w:numPr>
              <w:contextualSpacing/>
              <w:jc w:val="both"/>
            </w:pPr>
            <w:r>
              <w:t>Anden juridisk/kontraktmæssig type</w:t>
            </w:r>
          </w:p>
          <w:p w14:paraId="7FE1C5C2" w14:textId="77777777" w:rsidR="00960E01" w:rsidRDefault="00960E01">
            <w:pPr>
              <w:spacing w:line="276" w:lineRule="auto"/>
              <w:jc w:val="both"/>
              <w:rPr>
                <w:rFonts w:ascii="Times New Roman" w:hAnsi="Times New Roman"/>
                <w:sz w:val="20"/>
              </w:rPr>
            </w:pPr>
          </w:p>
        </w:tc>
      </w:tr>
      <w:tr w:rsidR="00960E01" w14:paraId="7FE1C5C9" w14:textId="77777777">
        <w:trPr>
          <w:trHeight w:val="450"/>
        </w:trPr>
        <w:tc>
          <w:tcPr>
            <w:tcW w:w="1418" w:type="dxa"/>
            <w:shd w:val="clear" w:color="auto" w:fill="FFFFFF" w:themeFill="background1"/>
          </w:tcPr>
          <w:p w14:paraId="7FE1C5C4" w14:textId="77777777" w:rsidR="00960E01" w:rsidRDefault="00821CB5">
            <w:pPr>
              <w:pStyle w:val="P68B1DB1-Normal62"/>
              <w:spacing w:before="120" w:after="120" w:line="276" w:lineRule="auto"/>
            </w:pPr>
            <w:r>
              <w:t>0080</w:t>
            </w:r>
          </w:p>
        </w:tc>
        <w:tc>
          <w:tcPr>
            <w:tcW w:w="7791" w:type="dxa"/>
            <w:shd w:val="clear" w:color="auto" w:fill="FFFFFF" w:themeFill="background1"/>
          </w:tcPr>
          <w:p w14:paraId="7FE1C5C5" w14:textId="77777777" w:rsidR="00960E01" w:rsidRDefault="00821CB5">
            <w:pPr>
              <w:pStyle w:val="P68B1DB1-Normal61"/>
              <w:spacing w:before="120" w:after="120" w:line="276" w:lineRule="auto"/>
              <w:rPr>
                <w:bCs/>
              </w:rPr>
            </w:pPr>
            <w:r>
              <w:t>Kontrakt-ID</w:t>
            </w:r>
          </w:p>
          <w:p w14:paraId="7FE1C5C6" w14:textId="77777777" w:rsidR="00960E01" w:rsidRDefault="00821CB5">
            <w:pPr>
              <w:pStyle w:val="P68B1DB1-Normal64"/>
              <w:spacing w:line="276" w:lineRule="auto"/>
              <w:jc w:val="both"/>
              <w:rPr>
                <w:i/>
              </w:rPr>
            </w:pPr>
            <w:r>
              <w:t>Kontraktens entydige identifikator for den kontrakt, der ligger til grund for aktivet, i henhold til koncernens tjenestetaksonomi.</w:t>
            </w:r>
          </w:p>
          <w:p w14:paraId="7FE1C5C7" w14:textId="77777777" w:rsidR="00960E01" w:rsidRDefault="00960E01">
            <w:pPr>
              <w:spacing w:line="276" w:lineRule="auto"/>
              <w:jc w:val="both"/>
              <w:rPr>
                <w:rFonts w:ascii="Times New Roman" w:hAnsi="Times New Roman"/>
                <w:i/>
                <w:sz w:val="20"/>
              </w:rPr>
            </w:pPr>
          </w:p>
          <w:p w14:paraId="7FE1C5C8" w14:textId="77777777" w:rsidR="00960E01" w:rsidRDefault="00960E01">
            <w:pPr>
              <w:spacing w:line="276" w:lineRule="auto"/>
              <w:jc w:val="both"/>
              <w:rPr>
                <w:rFonts w:ascii="Times New Roman" w:hAnsi="Times New Roman"/>
                <w:iCs/>
                <w:sz w:val="20"/>
              </w:rPr>
            </w:pPr>
          </w:p>
        </w:tc>
      </w:tr>
      <w:tr w:rsidR="00960E01" w14:paraId="7FE1C5CE" w14:textId="77777777">
        <w:trPr>
          <w:trHeight w:val="450"/>
        </w:trPr>
        <w:tc>
          <w:tcPr>
            <w:tcW w:w="1418" w:type="dxa"/>
            <w:shd w:val="clear" w:color="auto" w:fill="FFFFFF" w:themeFill="background1"/>
          </w:tcPr>
          <w:p w14:paraId="7FE1C5CA" w14:textId="77777777" w:rsidR="00960E01" w:rsidRDefault="00821CB5">
            <w:pPr>
              <w:pStyle w:val="P68B1DB1-Normal62"/>
              <w:spacing w:before="120" w:after="120" w:line="276" w:lineRule="auto"/>
            </w:pPr>
            <w:r>
              <w:t>0090</w:t>
            </w:r>
          </w:p>
        </w:tc>
        <w:tc>
          <w:tcPr>
            <w:tcW w:w="7791" w:type="dxa"/>
            <w:shd w:val="clear" w:color="auto" w:fill="FFFFFF" w:themeFill="background1"/>
          </w:tcPr>
          <w:p w14:paraId="7FE1C5CB" w14:textId="77777777" w:rsidR="00960E01" w:rsidRDefault="00821CB5">
            <w:pPr>
              <w:pStyle w:val="P68B1DB1-Normal65"/>
              <w:spacing w:line="276" w:lineRule="auto"/>
              <w:jc w:val="both"/>
            </w:pPr>
            <w:r>
              <w:rPr>
                <w:szCs w:val="20"/>
              </w:rPr>
              <w:t>Gældende lov</w:t>
            </w:r>
            <w:r>
              <w:t xml:space="preserve"> </w:t>
            </w:r>
          </w:p>
          <w:p w14:paraId="7FE1C5CC" w14:textId="77777777" w:rsidR="00960E01" w:rsidRDefault="00821CB5">
            <w:pPr>
              <w:pStyle w:val="P68B1DB1-Normal64"/>
              <w:spacing w:line="276" w:lineRule="auto"/>
              <w:jc w:val="both"/>
            </w:pPr>
            <w:r>
              <w:t>ISO-koden for det land, hvis lovgivning regulerer aftalen.</w:t>
            </w:r>
          </w:p>
          <w:p w14:paraId="7FE1C5CD" w14:textId="77777777" w:rsidR="00960E01" w:rsidRDefault="00960E01">
            <w:pPr>
              <w:spacing w:line="276" w:lineRule="auto"/>
              <w:jc w:val="both"/>
              <w:rPr>
                <w:rFonts w:ascii="Times New Roman" w:hAnsi="Times New Roman"/>
                <w:iCs/>
                <w:sz w:val="20"/>
              </w:rPr>
            </w:pPr>
          </w:p>
        </w:tc>
      </w:tr>
      <w:tr w:rsidR="00960E01" w14:paraId="7FE1C5D4" w14:textId="77777777">
        <w:trPr>
          <w:trHeight w:val="463"/>
        </w:trPr>
        <w:tc>
          <w:tcPr>
            <w:tcW w:w="1418" w:type="dxa"/>
            <w:shd w:val="clear" w:color="auto" w:fill="FFFFFF" w:themeFill="background1"/>
          </w:tcPr>
          <w:p w14:paraId="7FE1C5CF" w14:textId="77777777" w:rsidR="00960E01" w:rsidRDefault="00821CB5">
            <w:pPr>
              <w:pStyle w:val="P68B1DB1-Normal64"/>
              <w:spacing w:line="276" w:lineRule="auto"/>
              <w:jc w:val="both"/>
            </w:pPr>
            <w:r>
              <w:t>0100-0120</w:t>
            </w:r>
          </w:p>
          <w:p w14:paraId="7FE1C5D0" w14:textId="77777777" w:rsidR="00960E01" w:rsidRDefault="00960E01">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960E01" w:rsidRDefault="00821CB5">
            <w:pPr>
              <w:pStyle w:val="P68B1DB1-Normal61"/>
              <w:spacing w:before="120" w:after="120" w:line="276" w:lineRule="auto"/>
              <w:rPr>
                <w:bCs/>
                <w:iCs/>
              </w:rPr>
            </w:pPr>
            <w:r>
              <w:t xml:space="preserve">Modstandsdygtighed over for afvikling </w:t>
            </w:r>
          </w:p>
          <w:p w14:paraId="7FE1C5D2" w14:textId="77777777" w:rsidR="00960E01" w:rsidRDefault="00821CB5">
            <w:pPr>
              <w:pStyle w:val="P68B1DB1-NormalWeb59"/>
              <w:spacing w:before="0" w:beforeAutospacing="0" w:after="0" w:afterAutospacing="0"/>
              <w:rPr>
                <w:iCs/>
                <w:szCs w:val="20"/>
              </w:rPr>
            </w:pPr>
            <w:r>
              <w:rPr>
                <w:szCs w:val="20"/>
              </w:rPr>
              <w:t xml:space="preserve">Vurderingen af, om den kontrakt, der understøtter det aktiv, der er indberettet i kolonne 0030, kan videreføres og overføres under gennemførelsen af afviklingsstrategien, herunder virksomhedsomlægningsplanen, </w:t>
            </w:r>
            <w:r>
              <w:t>i overensstemmelse med retningslinjerne EBA/GL/2022/01 og relevant national lovgivning.</w:t>
            </w:r>
          </w:p>
          <w:p w14:paraId="7FE1C5D3" w14:textId="77777777" w:rsidR="00960E01" w:rsidRDefault="00960E01">
            <w:pPr>
              <w:pStyle w:val="NormalWeb"/>
              <w:spacing w:before="0" w:beforeAutospacing="0" w:after="0" w:afterAutospacing="0"/>
              <w:rPr>
                <w:sz w:val="20"/>
              </w:rPr>
            </w:pPr>
          </w:p>
        </w:tc>
      </w:tr>
      <w:tr w:rsidR="00960E01" w14:paraId="7FE1C5E4" w14:textId="77777777">
        <w:trPr>
          <w:trHeight w:val="463"/>
        </w:trPr>
        <w:tc>
          <w:tcPr>
            <w:tcW w:w="1418" w:type="dxa"/>
            <w:shd w:val="clear" w:color="auto" w:fill="FFFFFF" w:themeFill="background1"/>
          </w:tcPr>
          <w:p w14:paraId="7FE1C5D5" w14:textId="77777777" w:rsidR="00960E01" w:rsidRDefault="00821CB5">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960E01" w:rsidRDefault="00821CB5">
            <w:pPr>
              <w:pStyle w:val="P68B1DB1-Normal65"/>
              <w:spacing w:line="276" w:lineRule="auto"/>
              <w:jc w:val="both"/>
              <w:rPr>
                <w:bCs/>
              </w:rPr>
            </w:pPr>
            <w:r>
              <w:rPr>
                <w:szCs w:val="20"/>
              </w:rPr>
              <w:t>Elementer af afviklingsmodstandsdygtighed</w:t>
            </w:r>
            <w:r>
              <w:t xml:space="preserve"> </w:t>
            </w:r>
          </w:p>
          <w:p w14:paraId="7FE1C5D7" w14:textId="77777777" w:rsidR="00960E01" w:rsidRDefault="00821CB5">
            <w:pPr>
              <w:pStyle w:val="P68B1DB1-Normal62"/>
              <w:spacing w:line="276" w:lineRule="auto"/>
              <w:jc w:val="both"/>
              <w:rPr>
                <w:iCs/>
              </w:rPr>
            </w:pPr>
            <w:r>
              <w:t>Afviklingsresistente egenskaber er egenskaber, som en relevant kontrakt forventes at have for at blive betragtet som afviklingsresistent. De omfatter følgende, forudsat at de materielle forpligtelser i henhold til kontrakten fortsat opfyldes:</w:t>
            </w:r>
          </w:p>
          <w:p w14:paraId="7FE1C5D8" w14:textId="77777777" w:rsidR="00960E01" w:rsidRDefault="00821CB5">
            <w:pPr>
              <w:pStyle w:val="P68B1DB1-ListParagraph60"/>
              <w:numPr>
                <w:ilvl w:val="0"/>
                <w:numId w:val="263"/>
              </w:numPr>
              <w:spacing w:line="276" w:lineRule="auto"/>
              <w:contextualSpacing/>
              <w:jc w:val="both"/>
              <w:rPr>
                <w:iCs/>
              </w:rPr>
            </w:pPr>
            <w:r>
              <w:t xml:space="preserve">ingen ophævelse, suspension eller ændring på grund af afvikling (herunder virksomhedsomlægning i henhold til artikel 51 i direktiv 2014/59/EU) </w:t>
            </w:r>
          </w:p>
          <w:p w14:paraId="7FE1C5D9" w14:textId="77777777" w:rsidR="00960E01" w:rsidRDefault="00821CB5">
            <w:pPr>
              <w:pStyle w:val="P68B1DB1-ListParagraph60"/>
              <w:numPr>
                <w:ilvl w:val="0"/>
                <w:numId w:val="263"/>
              </w:numPr>
              <w:spacing w:line="276" w:lineRule="auto"/>
              <w:contextualSpacing/>
              <w:jc w:val="both"/>
              <w:rPr>
                <w:iCs/>
              </w:rPr>
            </w:pPr>
            <w:r>
              <w:t xml:space="preserve">muligheden for at overføre leveringen af tjenesteydelsen til en ny modtager enten af tjenestemodtageren eller afviklingsmyndigheden som følge af afvikling (herunder omstrukturering i henhold til artikel 51 i direktiv 2014/59/EU) </w:t>
            </w:r>
          </w:p>
          <w:p w14:paraId="7FE1C5DA" w14:textId="77777777" w:rsidR="00960E01" w:rsidRDefault="00821CB5">
            <w:pPr>
              <w:pStyle w:val="P68B1DB1-ListParagraph60"/>
              <w:numPr>
                <w:ilvl w:val="0"/>
                <w:numId w:val="263"/>
              </w:numPr>
              <w:spacing w:line="276" w:lineRule="auto"/>
              <w:contextualSpacing/>
              <w:jc w:val="both"/>
              <w:rPr>
                <w:iCs/>
              </w:rPr>
            </w:pPr>
            <w:r>
              <w:t>støtte i forbindelse med overførsel eller ophør, der finder sted under afvikling (herunder omorganisering i henhold til artikel 51 i direktiv 2014/59/EU) i en rimelig periode (f.eks. 24 måneder) fra den nuværende tjenesteudbyder og på samme vilkår og betingelser samt</w:t>
            </w:r>
          </w:p>
          <w:p w14:paraId="7FE1C5DB" w14:textId="77777777" w:rsidR="00960E01" w:rsidRDefault="00821CB5">
            <w:pPr>
              <w:pStyle w:val="P68B1DB1-ListParagraph60"/>
              <w:numPr>
                <w:ilvl w:val="0"/>
                <w:numId w:val="263"/>
              </w:numPr>
              <w:spacing w:line="276" w:lineRule="auto"/>
              <w:contextualSpacing/>
              <w:jc w:val="both"/>
              <w:rPr>
                <w:iCs/>
              </w:rPr>
            </w:pPr>
            <w:r>
              <w:t>den fortsatte levering af tjenesteydelser til en koncernenhed, der er frasolgt under afviklingen (herunder omstrukturering i henhold til artikel 51 i direktiv 2014/59/EU), i en rimelig periode efter afhændelsen — f.eks. 24 måneder.</w:t>
            </w:r>
          </w:p>
          <w:p w14:paraId="7FE1C5DC" w14:textId="77777777" w:rsidR="00960E01" w:rsidRDefault="00821CB5">
            <w:pPr>
              <w:spacing w:line="276" w:lineRule="auto"/>
              <w:jc w:val="both"/>
              <w:rPr>
                <w:rFonts w:ascii="Times New Roman" w:hAnsi="Times New Roman"/>
                <w:iCs/>
                <w:sz w:val="20"/>
                <w:szCs w:val="20"/>
              </w:rPr>
            </w:pPr>
            <w:r>
              <w:rPr>
                <w:rFonts w:ascii="Times New Roman" w:hAnsi="Times New Roman"/>
                <w:sz w:val="20"/>
                <w:szCs w:val="20"/>
              </w:rPr>
              <w:t>Dette gælder for kontrakter, hvor den lov og kompetence, der gælder for kontrakten, er gældende i en EU-medlemsstat</w:t>
            </w:r>
            <w:r>
              <w:rPr>
                <w:rStyle w:val="FootnoteReference"/>
                <w:rFonts w:ascii="Times New Roman" w:hAnsi="Times New Roman"/>
                <w:sz w:val="20"/>
                <w:szCs w:val="20"/>
              </w:rPr>
              <w:footnoteReference w:id="28"/>
            </w:r>
            <w:r>
              <w:rPr>
                <w:rFonts w:ascii="Times New Roman" w:hAnsi="Times New Roman"/>
                <w:sz w:val="20"/>
                <w:szCs w:val="20"/>
              </w:rPr>
              <w:t xml:space="preserve"> ("EU-kontrakter"), og for aftaler, der er omfattet af lovgivningen i tredjelande.</w:t>
            </w:r>
          </w:p>
          <w:p w14:paraId="7FE1C5DD" w14:textId="77777777" w:rsidR="00960E01" w:rsidRDefault="00960E01">
            <w:pPr>
              <w:spacing w:line="276" w:lineRule="auto"/>
              <w:jc w:val="both"/>
              <w:rPr>
                <w:rFonts w:ascii="Times New Roman" w:hAnsi="Times New Roman"/>
                <w:sz w:val="20"/>
              </w:rPr>
            </w:pPr>
          </w:p>
          <w:p w14:paraId="7FE1C5DE" w14:textId="77777777" w:rsidR="00960E01" w:rsidRDefault="00821CB5">
            <w:pPr>
              <w:pStyle w:val="P68B1DB1-Normal64"/>
              <w:spacing w:line="276" w:lineRule="auto"/>
              <w:jc w:val="both"/>
            </w:pPr>
            <w:r>
              <w:t>Angiv en af følgende værdier:</w:t>
            </w:r>
          </w:p>
          <w:p w14:paraId="7FE1C5DF" w14:textId="77777777" w:rsidR="00960E01" w:rsidRDefault="00821CB5">
            <w:pPr>
              <w:pStyle w:val="P68B1DB1-Normal62"/>
              <w:spacing w:line="276" w:lineRule="auto"/>
              <w:jc w:val="both"/>
            </w:pPr>
            <w:r>
              <w:t>"Ja" — hvis aftalen vurderes at være afviklingssikker</w:t>
            </w:r>
          </w:p>
          <w:p w14:paraId="7FE1C5E0" w14:textId="77777777" w:rsidR="00960E01" w:rsidRDefault="00821CB5">
            <w:pPr>
              <w:pStyle w:val="P68B1DB1-Normal62"/>
              <w:spacing w:line="276" w:lineRule="auto"/>
              <w:jc w:val="both"/>
            </w:pPr>
            <w:r>
              <w:lastRenderedPageBreak/>
              <w:t>"Nej" — hvis aftalen ikke vurderes at være afviklingssikker</w:t>
            </w:r>
          </w:p>
          <w:p w14:paraId="7FE1C5E1" w14:textId="77777777" w:rsidR="00960E01" w:rsidRDefault="00821CB5">
            <w:pPr>
              <w:pStyle w:val="P68B1DB1-Normal62"/>
              <w:spacing w:line="276" w:lineRule="auto"/>
              <w:jc w:val="both"/>
            </w:pPr>
            <w:r>
              <w:t>"Ikke vurderet" — hvis der ikke er foretaget en vurdering</w:t>
            </w:r>
          </w:p>
          <w:p w14:paraId="7FE1C5E2" w14:textId="748C3D0F" w:rsidR="00960E01" w:rsidRDefault="00821CB5">
            <w:pPr>
              <w:pStyle w:val="P68B1DB1-Normal62"/>
              <w:spacing w:line="276" w:lineRule="auto"/>
              <w:jc w:val="both"/>
            </w:pPr>
            <w:r>
              <w:t>"Ikke ANVENDELSE" — for tjenester inden for enheden</w:t>
            </w:r>
          </w:p>
          <w:p w14:paraId="7FE1C5E3" w14:textId="77777777" w:rsidR="00960E01" w:rsidRDefault="00960E01">
            <w:pPr>
              <w:spacing w:line="276" w:lineRule="auto"/>
              <w:jc w:val="both"/>
              <w:rPr>
                <w:rFonts w:ascii="Times New Roman" w:hAnsi="Times New Roman"/>
                <w:sz w:val="20"/>
              </w:rPr>
            </w:pPr>
          </w:p>
        </w:tc>
      </w:tr>
      <w:tr w:rsidR="00960E01" w14:paraId="7FE1C5EF" w14:textId="77777777">
        <w:trPr>
          <w:trHeight w:val="463"/>
        </w:trPr>
        <w:tc>
          <w:tcPr>
            <w:tcW w:w="1418" w:type="dxa"/>
            <w:shd w:val="clear" w:color="auto" w:fill="FFFFFF" w:themeFill="background1"/>
          </w:tcPr>
          <w:p w14:paraId="7FE1C5E5" w14:textId="77777777" w:rsidR="00960E01" w:rsidRDefault="00821CB5">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960E01" w:rsidRDefault="00821CB5">
            <w:pPr>
              <w:pStyle w:val="P68B1DB1-Normal65"/>
              <w:spacing w:line="276" w:lineRule="auto"/>
              <w:jc w:val="both"/>
              <w:rPr>
                <w:bCs/>
                <w:iCs/>
              </w:rPr>
            </w:pPr>
            <w:r>
              <w:t>Virksomhedsomstruktureringsplan (BRP)</w:t>
            </w:r>
          </w:p>
          <w:p w14:paraId="7FE1C5E7" w14:textId="77777777" w:rsidR="00960E01" w:rsidRDefault="00821CB5">
            <w:pPr>
              <w:pStyle w:val="P68B1DB1-Normal64"/>
              <w:spacing w:line="276" w:lineRule="auto"/>
              <w:jc w:val="both"/>
              <w:rPr>
                <w:iCs/>
              </w:rPr>
            </w:pPr>
            <w:r>
              <w:t>Hvis afviklingsstrategien (enten foretrukket eller variant) kræver en virksomhedsomlægningsplan, forventes EU-kontrakter at indeholde udtrykkelige klausuler for at sikre deres modstandsdygtighed over for afvikling i forbindelse med gennemførelsen af virksomhedsomlægningsplaner (BRP).</w:t>
            </w:r>
          </w:p>
          <w:p w14:paraId="7FE1C5E8" w14:textId="77777777" w:rsidR="00960E01" w:rsidRDefault="00960E01">
            <w:pPr>
              <w:spacing w:line="276" w:lineRule="auto"/>
              <w:jc w:val="both"/>
              <w:rPr>
                <w:rFonts w:ascii="Times New Roman" w:hAnsi="Times New Roman"/>
                <w:iCs/>
                <w:sz w:val="20"/>
              </w:rPr>
            </w:pPr>
          </w:p>
          <w:p w14:paraId="7FE1C5E9" w14:textId="77777777" w:rsidR="00960E01" w:rsidRDefault="00821CB5">
            <w:pPr>
              <w:pStyle w:val="P68B1DB1-Normal64"/>
              <w:spacing w:line="276" w:lineRule="auto"/>
              <w:jc w:val="both"/>
              <w:rPr>
                <w:iCs/>
              </w:rPr>
            </w:pPr>
            <w:r>
              <w:t>Angiv en af følgende værdier:</w:t>
            </w:r>
          </w:p>
          <w:p w14:paraId="7FE1C5EA" w14:textId="77777777" w:rsidR="00960E01" w:rsidRDefault="00821CB5">
            <w:pPr>
              <w:pStyle w:val="P68B1DB1-Normal67"/>
              <w:spacing w:line="276" w:lineRule="auto"/>
              <w:jc w:val="both"/>
              <w:rPr>
                <w:iCs/>
                <w:sz w:val="20"/>
              </w:rPr>
            </w:pPr>
            <w:r>
              <w:t>"</w:t>
            </w:r>
            <w:r>
              <w:rPr>
                <w:sz w:val="20"/>
              </w:rPr>
              <w:t>Ja" — hvis kontrakten indeholder udtrykkelige klausuler for at sikre deres modstandsdygtighed over for beslutninger i forbindelse med gennemførelsen af BRP</w:t>
            </w:r>
          </w:p>
          <w:p w14:paraId="7FE1C5EB" w14:textId="77777777" w:rsidR="00960E01" w:rsidRDefault="00821CB5">
            <w:pPr>
              <w:pStyle w:val="P68B1DB1-Normal67"/>
              <w:spacing w:line="276" w:lineRule="auto"/>
              <w:jc w:val="both"/>
              <w:rPr>
                <w:iCs/>
                <w:sz w:val="20"/>
              </w:rPr>
            </w:pPr>
            <w:r>
              <w:t>"</w:t>
            </w:r>
            <w:r>
              <w:rPr>
                <w:sz w:val="20"/>
              </w:rPr>
              <w:t>Nej" — hvis kontrakten ikke indeholder udtrykkelige klausuler for at sikre deres modstandsdygtighed over for beslutninger i forbindelse med gennemførelsen af BRP</w:t>
            </w:r>
          </w:p>
          <w:p w14:paraId="7FE1C5EC" w14:textId="77777777" w:rsidR="00960E01" w:rsidRDefault="00821CB5">
            <w:pPr>
              <w:pStyle w:val="P68B1DB1-Normal67"/>
              <w:spacing w:line="276" w:lineRule="auto"/>
              <w:jc w:val="both"/>
              <w:rPr>
                <w:iCs/>
                <w:sz w:val="20"/>
              </w:rPr>
            </w:pPr>
            <w:r>
              <w:t>"</w:t>
            </w:r>
            <w:r>
              <w:rPr>
                <w:sz w:val="20"/>
              </w:rPr>
              <w:t>Ikke vurderet" — hvis der ikke er foretaget en vurdering</w:t>
            </w:r>
          </w:p>
          <w:p w14:paraId="7FE1C5ED" w14:textId="430F5732" w:rsidR="00960E01" w:rsidRDefault="00821CB5">
            <w:pPr>
              <w:pStyle w:val="P68B1DB1-Normal67"/>
              <w:spacing w:line="276" w:lineRule="auto"/>
              <w:jc w:val="both"/>
              <w:rPr>
                <w:iCs/>
                <w:sz w:val="20"/>
              </w:rPr>
            </w:pPr>
            <w:r>
              <w:t>"</w:t>
            </w:r>
            <w:r>
              <w:rPr>
                <w:sz w:val="20"/>
              </w:rPr>
              <w:t xml:space="preserve">Ikke BEKRÆFTELSE" — for tjenester inden for enheder eller koncerninterne og eksterne tjenester, hvis afviklingsstrategien (foretrukket og varianten) ikke kræver en virksomhedsomlægningsplan </w:t>
            </w:r>
          </w:p>
          <w:p w14:paraId="7FE1C5EE" w14:textId="77777777" w:rsidR="00960E01" w:rsidRDefault="00960E01">
            <w:pPr>
              <w:spacing w:line="276" w:lineRule="auto"/>
              <w:jc w:val="both"/>
              <w:rPr>
                <w:rFonts w:ascii="Times New Roman" w:hAnsi="Times New Roman"/>
                <w:i/>
                <w:sz w:val="20"/>
              </w:rPr>
            </w:pPr>
          </w:p>
        </w:tc>
      </w:tr>
      <w:tr w:rsidR="00960E01" w14:paraId="7FE1C5F9" w14:textId="77777777">
        <w:trPr>
          <w:trHeight w:val="463"/>
        </w:trPr>
        <w:tc>
          <w:tcPr>
            <w:tcW w:w="1418" w:type="dxa"/>
            <w:shd w:val="clear" w:color="auto" w:fill="FFFFFF" w:themeFill="background1"/>
          </w:tcPr>
          <w:p w14:paraId="7FE1C5F0" w14:textId="77777777" w:rsidR="00960E01" w:rsidRDefault="00821CB5">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960E01" w:rsidRDefault="00821CB5">
            <w:pPr>
              <w:pStyle w:val="P68B1DB1-Normal64"/>
              <w:spacing w:line="276" w:lineRule="auto"/>
              <w:jc w:val="both"/>
            </w:pPr>
            <w:r>
              <w:rPr>
                <w:b/>
              </w:rPr>
              <w:t>Alternative afbødende foranstaltninger</w:t>
            </w:r>
            <w:r>
              <w:t xml:space="preserve"> </w:t>
            </w:r>
          </w:p>
          <w:p w14:paraId="7FE1C5F2" w14:textId="77777777" w:rsidR="00960E01" w:rsidRDefault="00821CB5">
            <w:pPr>
              <w:pStyle w:val="P68B1DB1-Normal64"/>
              <w:spacing w:line="276" w:lineRule="auto"/>
              <w:jc w:val="both"/>
            </w:pPr>
            <w:r>
              <w:t xml:space="preserve">Hvis der forventes opnået afviklingsmodstandsdygtighed, men bankerne ikke har været i stand til det, forventes bankerne at undersøge alternative afbødende foranstaltninger. </w:t>
            </w:r>
          </w:p>
          <w:p w14:paraId="7FE1C5F3" w14:textId="77777777" w:rsidR="00960E01" w:rsidRDefault="00960E01">
            <w:pPr>
              <w:spacing w:line="276" w:lineRule="auto"/>
              <w:jc w:val="both"/>
              <w:rPr>
                <w:rFonts w:ascii="Times New Roman" w:hAnsi="Times New Roman"/>
                <w:sz w:val="20"/>
              </w:rPr>
            </w:pPr>
          </w:p>
          <w:p w14:paraId="7FE1C5F4" w14:textId="77777777" w:rsidR="00960E01" w:rsidRDefault="00821CB5">
            <w:pPr>
              <w:pStyle w:val="P68B1DB1-Normal64"/>
              <w:spacing w:line="276" w:lineRule="auto"/>
              <w:jc w:val="both"/>
              <w:rPr>
                <w:iCs/>
              </w:rPr>
            </w:pPr>
            <w:r>
              <w:t>Angiv en af følgende værdier:</w:t>
            </w:r>
          </w:p>
          <w:p w14:paraId="7FE1C5F5" w14:textId="77777777" w:rsidR="00960E01" w:rsidRDefault="00821CB5">
            <w:pPr>
              <w:pStyle w:val="P68B1DB1-Normal67"/>
              <w:spacing w:line="276" w:lineRule="auto"/>
              <w:jc w:val="both"/>
              <w:rPr>
                <w:iCs/>
                <w:sz w:val="20"/>
              </w:rPr>
            </w:pPr>
            <w:r>
              <w:t>"</w:t>
            </w:r>
            <w:r>
              <w:rPr>
                <w:sz w:val="20"/>
              </w:rPr>
              <w:t>Ja" — hvis banken har gennemført alternative afbødende foranstaltninger</w:t>
            </w:r>
          </w:p>
          <w:p w14:paraId="7FE1C5F6" w14:textId="77777777" w:rsidR="00960E01" w:rsidRDefault="00821CB5">
            <w:pPr>
              <w:pStyle w:val="P68B1DB1-Normal67"/>
              <w:spacing w:line="276" w:lineRule="auto"/>
              <w:jc w:val="both"/>
              <w:rPr>
                <w:iCs/>
                <w:sz w:val="20"/>
              </w:rPr>
            </w:pPr>
            <w:r>
              <w:t>"</w:t>
            </w:r>
            <w:r>
              <w:rPr>
                <w:sz w:val="20"/>
              </w:rPr>
              <w:t>Nej" — hvis banken ikke har gennemført alternative afbødende foranstaltninger</w:t>
            </w:r>
          </w:p>
          <w:p w14:paraId="7FE1C5F7" w14:textId="20F99367" w:rsidR="00960E01" w:rsidRDefault="00821CB5">
            <w:pPr>
              <w:pStyle w:val="P68B1DB1-Normal67"/>
              <w:spacing w:line="276" w:lineRule="auto"/>
              <w:jc w:val="both"/>
              <w:rPr>
                <w:iCs/>
                <w:sz w:val="20"/>
              </w:rPr>
            </w:pPr>
            <w:r>
              <w:t>"</w:t>
            </w:r>
            <w:r>
              <w:rPr>
                <w:sz w:val="20"/>
              </w:rPr>
              <w:t>Ikke ANVENDELSE" — i tilfælde, hvor en af kolonnerne 0150 og 0160 er markeret med "Ja" eller "IKKE APPLICABLE"</w:t>
            </w:r>
          </w:p>
          <w:p w14:paraId="7FE1C5F8" w14:textId="77777777" w:rsidR="00960E01" w:rsidRDefault="00960E01">
            <w:pPr>
              <w:spacing w:line="276" w:lineRule="auto"/>
              <w:jc w:val="both"/>
              <w:rPr>
                <w:rFonts w:ascii="Times New Roman" w:hAnsi="Times New Roman"/>
                <w:sz w:val="20"/>
              </w:rPr>
            </w:pPr>
          </w:p>
        </w:tc>
      </w:tr>
    </w:tbl>
    <w:p w14:paraId="7FE1C5FA" w14:textId="77777777" w:rsidR="00960E01" w:rsidRDefault="00960E01">
      <w:pPr>
        <w:rPr>
          <w:rFonts w:ascii="Times New Roman" w:eastAsia="Times New Roman" w:hAnsi="Times New Roman" w:cs="Times New Roman"/>
          <w:sz w:val="20"/>
          <w:szCs w:val="20"/>
          <w:u w:val="single"/>
        </w:rPr>
      </w:pPr>
    </w:p>
    <w:p w14:paraId="7FE1C5FB" w14:textId="77777777" w:rsidR="00960E01" w:rsidRDefault="00960E01">
      <w:pPr>
        <w:rPr>
          <w:rFonts w:ascii="Times New Roman" w:hAnsi="Times New Roman" w:cs="Times New Roman"/>
        </w:rPr>
      </w:pPr>
    </w:p>
    <w:p w14:paraId="7FE1C5FC" w14:textId="77777777" w:rsidR="00960E01" w:rsidRDefault="00821CB5">
      <w:pPr>
        <w:pStyle w:val="P68B1DB1-Instructionsberschrift25"/>
        <w:numPr>
          <w:ilvl w:val="1"/>
          <w:numId w:val="49"/>
        </w:numPr>
        <w:ind w:left="357" w:hanging="357"/>
        <w:rPr>
          <w:rFonts w:eastAsia="Calibri"/>
          <w:szCs w:val="20"/>
        </w:rPr>
      </w:pPr>
      <w:bookmarkStart w:id="130" w:name="_Toc208244574"/>
      <w:r>
        <w:t>Z 08.03 — Relevante tjenester — Kortlægning efter roller (SERV 3)</w:t>
      </w:r>
      <w:bookmarkEnd w:id="130"/>
    </w:p>
    <w:p w14:paraId="7FE1C5FD" w14:textId="77777777" w:rsidR="00960E01" w:rsidRDefault="00821CB5">
      <w:pPr>
        <w:pStyle w:val="P68B1DB1-Normal50"/>
        <w:spacing w:line="276" w:lineRule="auto"/>
        <w:jc w:val="both"/>
      </w:pPr>
      <w:r>
        <w:t>Generelle instruktioner</w:t>
      </w:r>
    </w:p>
    <w:p w14:paraId="7FE1C5FE" w14:textId="77777777" w:rsidR="00960E01" w:rsidRDefault="00821CB5">
      <w:pPr>
        <w:pStyle w:val="P68B1DB1-Instructionsberschrift346"/>
        <w:numPr>
          <w:ilvl w:val="2"/>
          <w:numId w:val="211"/>
        </w:numPr>
        <w:ind w:left="993"/>
        <w:contextualSpacing/>
        <w:jc w:val="both"/>
      </w:pPr>
      <w:r>
        <w:rPr>
          <w:color w:val="auto"/>
          <w:szCs w:val="24"/>
        </w:rPr>
        <w:t>De oplysninger, der skal inkluderes i dette skema, skal indberettes én gang for hele koncernen og skal opregne relevante tjenester modtaget af en hvilken som helst enhed i koncernen og knytter dem til de relevante roller</w:t>
      </w:r>
      <w:r>
        <w:t>.</w:t>
      </w:r>
    </w:p>
    <w:p w14:paraId="7FE1C5FF" w14:textId="77777777" w:rsidR="00960E01" w:rsidRDefault="00821CB5">
      <w:pPr>
        <w:pStyle w:val="P68B1DB1-Instructionsberschrift368"/>
        <w:numPr>
          <w:ilvl w:val="2"/>
          <w:numId w:val="211"/>
        </w:numPr>
        <w:ind w:left="993"/>
        <w:contextualSpacing/>
        <w:jc w:val="both"/>
      </w:pPr>
      <w:r>
        <w:t>Værdierne, der indberettes i kolonne 0010, 0020 og 0030 i dette skema, udgør en primær nøgle, som skal være unik for hver enkelt række i skemaet.</w:t>
      </w:r>
    </w:p>
    <w:p w14:paraId="7FE1C604" w14:textId="77777777" w:rsidR="00960E01" w:rsidRDefault="00960E01">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960E01" w14:paraId="7FE1C607" w14:textId="77777777">
        <w:trPr>
          <w:trHeight w:val="519"/>
          <w:tblHeader/>
        </w:trPr>
        <w:tc>
          <w:tcPr>
            <w:tcW w:w="1418" w:type="dxa"/>
            <w:shd w:val="clear" w:color="auto" w:fill="D9D9D9" w:themeFill="background1" w:themeFillShade="D9"/>
          </w:tcPr>
          <w:p w14:paraId="7FE1C605" w14:textId="77777777" w:rsidR="00960E01" w:rsidRDefault="00821CB5">
            <w:pPr>
              <w:pStyle w:val="P68B1DB1-Normal61"/>
              <w:spacing w:before="120" w:after="120" w:line="276" w:lineRule="auto"/>
            </w:pPr>
            <w:r>
              <w:t>Kolonner</w:t>
            </w:r>
          </w:p>
        </w:tc>
        <w:tc>
          <w:tcPr>
            <w:tcW w:w="7649" w:type="dxa"/>
            <w:shd w:val="clear" w:color="auto" w:fill="D9D9D9" w:themeFill="background1" w:themeFillShade="D9"/>
          </w:tcPr>
          <w:p w14:paraId="7FE1C606" w14:textId="77777777" w:rsidR="00960E01" w:rsidRDefault="00821CB5">
            <w:pPr>
              <w:pStyle w:val="P68B1DB1-Normal61"/>
              <w:spacing w:before="120" w:after="120" w:line="276" w:lineRule="auto"/>
            </w:pPr>
            <w:r>
              <w:t>Instrukser</w:t>
            </w:r>
          </w:p>
        </w:tc>
      </w:tr>
      <w:tr w:rsidR="00960E01" w14:paraId="7FE1C60C" w14:textId="77777777">
        <w:trPr>
          <w:trHeight w:val="450"/>
        </w:trPr>
        <w:tc>
          <w:tcPr>
            <w:tcW w:w="1418" w:type="dxa"/>
          </w:tcPr>
          <w:p w14:paraId="7FE1C608" w14:textId="77777777" w:rsidR="00960E01" w:rsidRDefault="00821CB5">
            <w:pPr>
              <w:pStyle w:val="P68B1DB1-Normal62"/>
              <w:spacing w:before="120" w:after="120" w:line="276" w:lineRule="auto"/>
            </w:pPr>
            <w:r>
              <w:t>0005</w:t>
            </w:r>
          </w:p>
        </w:tc>
        <w:tc>
          <w:tcPr>
            <w:tcW w:w="7649" w:type="dxa"/>
          </w:tcPr>
          <w:p w14:paraId="7FE1C609" w14:textId="77777777" w:rsidR="00960E01" w:rsidRDefault="00821CB5">
            <w:pPr>
              <w:pStyle w:val="P68B1DB1-Normal61"/>
              <w:spacing w:before="120" w:after="120" w:line="276" w:lineRule="auto"/>
              <w:rPr>
                <w:bCs/>
              </w:rPr>
            </w:pPr>
            <w:r>
              <w:t xml:space="preserve">Tjenesteidentifikator </w:t>
            </w:r>
          </w:p>
          <w:p w14:paraId="7FE1C60A" w14:textId="77777777" w:rsidR="00960E01" w:rsidRDefault="00821CB5">
            <w:pPr>
              <w:pStyle w:val="P68B1DB1-Normal62"/>
              <w:spacing w:before="120" w:after="120" w:line="276" w:lineRule="auto"/>
            </w:pPr>
            <w:r>
              <w:t>Anvend serviceidentifikatoren som indberettet i Z 08.01 (SERV 1).</w:t>
            </w:r>
          </w:p>
          <w:p w14:paraId="7FE1C60B" w14:textId="77777777" w:rsidR="00960E01" w:rsidRDefault="00821CB5">
            <w:pPr>
              <w:pStyle w:val="P68B1DB1-Normal62"/>
              <w:spacing w:before="120" w:after="120" w:line="276" w:lineRule="auto"/>
              <w:rPr>
                <w:iCs/>
              </w:rPr>
            </w:pPr>
            <w:r>
              <w:lastRenderedPageBreak/>
              <w:t>Tjenesteidentifikatoren henviser til den tjeneste, der er indberettet under c0020.</w:t>
            </w:r>
          </w:p>
        </w:tc>
      </w:tr>
      <w:tr w:rsidR="00960E01" w14:paraId="7FE1C650" w14:textId="77777777">
        <w:trPr>
          <w:trHeight w:val="450"/>
        </w:trPr>
        <w:tc>
          <w:tcPr>
            <w:tcW w:w="1418" w:type="dxa"/>
          </w:tcPr>
          <w:p w14:paraId="7FE1C60D" w14:textId="77777777" w:rsidR="00960E01" w:rsidRDefault="00821CB5">
            <w:pPr>
              <w:pStyle w:val="P68B1DB1-Normal62"/>
              <w:spacing w:before="120" w:after="120" w:line="276" w:lineRule="auto"/>
            </w:pPr>
            <w:r>
              <w:lastRenderedPageBreak/>
              <w:t>0010</w:t>
            </w:r>
          </w:p>
        </w:tc>
        <w:tc>
          <w:tcPr>
            <w:tcW w:w="7649" w:type="dxa"/>
          </w:tcPr>
          <w:p w14:paraId="7FE1C60E" w14:textId="77777777" w:rsidR="00960E01" w:rsidRDefault="00821CB5">
            <w:pPr>
              <w:pStyle w:val="P68B1DB1-Normal61"/>
              <w:autoSpaceDE w:val="0"/>
              <w:autoSpaceDN w:val="0"/>
              <w:adjustRightInd w:val="0"/>
              <w:rPr>
                <w:rFonts w:eastAsia="MS Mincho"/>
                <w:bCs/>
              </w:rPr>
            </w:pPr>
            <w:r>
              <w:t xml:space="preserve">Type tjeneste </w:t>
            </w:r>
          </w:p>
          <w:p w14:paraId="7FE1C645" w14:textId="21F3184E" w:rsidR="00960E01" w:rsidRDefault="00821CB5">
            <w:pPr>
              <w:pStyle w:val="P68B1DB1-Normal63"/>
              <w:autoSpaceDE w:val="0"/>
              <w:autoSpaceDN w:val="0"/>
              <w:adjustRightInd w:val="0"/>
            </w:pPr>
            <w:r>
              <w:t xml:space="preserve">Tjenestetypen skal være en af de tjenestetyper, der er anført i Z 08.01 0010 ovenfor. </w:t>
            </w:r>
          </w:p>
          <w:p w14:paraId="7FE1C64F" w14:textId="2C039B1C" w:rsidR="00960E01" w:rsidRDefault="00960E01">
            <w:pPr>
              <w:spacing w:before="120" w:after="120" w:line="276" w:lineRule="auto"/>
              <w:rPr>
                <w:rFonts w:ascii="Times New Roman" w:hAnsi="Times New Roman"/>
                <w:sz w:val="20"/>
                <w:szCs w:val="20"/>
              </w:rPr>
            </w:pPr>
          </w:p>
        </w:tc>
      </w:tr>
      <w:tr w:rsidR="00960E01" w14:paraId="7FE1C655" w14:textId="77777777">
        <w:trPr>
          <w:trHeight w:val="450"/>
        </w:trPr>
        <w:tc>
          <w:tcPr>
            <w:tcW w:w="1418" w:type="dxa"/>
          </w:tcPr>
          <w:p w14:paraId="7FE1C651" w14:textId="77777777" w:rsidR="00960E01" w:rsidRDefault="00821CB5">
            <w:pPr>
              <w:pStyle w:val="P68B1DB1-Normal62"/>
              <w:spacing w:before="120" w:after="120" w:line="276" w:lineRule="auto"/>
            </w:pPr>
            <w:r>
              <w:t>0020</w:t>
            </w:r>
          </w:p>
        </w:tc>
        <w:tc>
          <w:tcPr>
            <w:tcW w:w="7649" w:type="dxa"/>
          </w:tcPr>
          <w:p w14:paraId="7FE1C652" w14:textId="77777777" w:rsidR="00960E01" w:rsidRDefault="00821CB5">
            <w:pPr>
              <w:pStyle w:val="P68B1DB1-Normal65"/>
              <w:spacing w:line="276" w:lineRule="auto"/>
              <w:jc w:val="both"/>
            </w:pPr>
            <w:r>
              <w:rPr>
                <w:szCs w:val="20"/>
              </w:rPr>
              <w:t>Entydig tjenestetitel i henhold til banktaksonomi</w:t>
            </w:r>
            <w:r>
              <w:t xml:space="preserve"> </w:t>
            </w:r>
          </w:p>
          <w:p w14:paraId="7FE1C653" w14:textId="61186926" w:rsidR="00960E01" w:rsidRDefault="00821CB5">
            <w:pPr>
              <w:pStyle w:val="P68B1DB1-Normal64"/>
              <w:rPr>
                <w:rFonts w:eastAsiaTheme="minorHAnsi"/>
                <w:sz w:val="24"/>
              </w:rPr>
            </w:pPr>
            <w:r>
              <w:t>Navn/kort beskrivelse af tjenesten i henhold til bankens egen differentierede taksonomi (niveau 3) som indberettet i Z 08.01 (SERV 1), kolonne 0020. Banken forventes at indberette tjenesterne på et mere detaljeret niveau end rapporteringen for niveau 2 (c0010), således at hver enkelt tjeneste defineres præcist og målrettet.</w:t>
            </w:r>
          </w:p>
          <w:p w14:paraId="7FE1C654" w14:textId="77777777" w:rsidR="00960E01" w:rsidRDefault="00960E01">
            <w:pPr>
              <w:spacing w:before="120" w:after="120" w:line="276" w:lineRule="auto"/>
              <w:rPr>
                <w:rFonts w:ascii="Times New Roman" w:hAnsi="Times New Roman"/>
                <w:sz w:val="20"/>
                <w:szCs w:val="20"/>
              </w:rPr>
            </w:pPr>
          </w:p>
        </w:tc>
      </w:tr>
      <w:tr w:rsidR="00960E01" w14:paraId="7FE1C65A" w14:textId="77777777">
        <w:trPr>
          <w:trHeight w:val="450"/>
        </w:trPr>
        <w:tc>
          <w:tcPr>
            <w:tcW w:w="1418" w:type="dxa"/>
          </w:tcPr>
          <w:p w14:paraId="7FE1C656" w14:textId="77777777" w:rsidR="00960E01" w:rsidRDefault="00821CB5">
            <w:pPr>
              <w:pStyle w:val="P68B1DB1-Normal62"/>
              <w:spacing w:before="120" w:after="120" w:line="276" w:lineRule="auto"/>
              <w:rPr>
                <w:b/>
              </w:rPr>
            </w:pPr>
            <w:r>
              <w:t>0030</w:t>
            </w:r>
          </w:p>
        </w:tc>
        <w:tc>
          <w:tcPr>
            <w:tcW w:w="7649" w:type="dxa"/>
          </w:tcPr>
          <w:p w14:paraId="7FE1C657" w14:textId="77777777" w:rsidR="00960E01" w:rsidRDefault="00821CB5">
            <w:pPr>
              <w:pStyle w:val="P68B1DB1-Normal65"/>
              <w:spacing w:before="120" w:after="120" w:line="276" w:lineRule="auto"/>
              <w:rPr>
                <w:bCs/>
              </w:rPr>
            </w:pPr>
            <w:r>
              <w:rPr>
                <w:szCs w:val="20"/>
              </w:rPr>
              <w:t>RolleID</w:t>
            </w:r>
            <w:r>
              <w:t xml:space="preserve"> </w:t>
            </w:r>
          </w:p>
          <w:p w14:paraId="7FE1C658" w14:textId="77777777" w:rsidR="00960E01" w:rsidRDefault="00821CB5">
            <w:pPr>
              <w:pStyle w:val="P68B1DB1-Normal64"/>
              <w:spacing w:before="120" w:after="120" w:line="276" w:lineRule="auto"/>
            </w:pPr>
            <w:r>
              <w:t>Rolleidentifikatoren henviser til den rolle, der er indberettet under c0040.</w:t>
            </w:r>
          </w:p>
          <w:p w14:paraId="7FE1C659" w14:textId="77777777" w:rsidR="00960E01" w:rsidRDefault="00960E01">
            <w:pPr>
              <w:spacing w:before="120" w:after="120" w:line="276" w:lineRule="auto"/>
              <w:rPr>
                <w:rFonts w:ascii="Times New Roman" w:hAnsi="Times New Roman"/>
                <w:sz w:val="20"/>
                <w:szCs w:val="20"/>
              </w:rPr>
            </w:pPr>
          </w:p>
        </w:tc>
      </w:tr>
      <w:tr w:rsidR="00960E01" w14:paraId="7FE1C65F" w14:textId="77777777">
        <w:trPr>
          <w:trHeight w:val="450"/>
        </w:trPr>
        <w:tc>
          <w:tcPr>
            <w:tcW w:w="1418" w:type="dxa"/>
          </w:tcPr>
          <w:p w14:paraId="7FE1C65B" w14:textId="77777777" w:rsidR="00960E01" w:rsidRDefault="00821CB5">
            <w:pPr>
              <w:pStyle w:val="P68B1DB1-Normal62"/>
              <w:spacing w:before="120" w:after="120" w:line="276" w:lineRule="auto"/>
            </w:pPr>
            <w:r>
              <w:t>0040</w:t>
            </w:r>
          </w:p>
        </w:tc>
        <w:tc>
          <w:tcPr>
            <w:tcW w:w="7649" w:type="dxa"/>
          </w:tcPr>
          <w:p w14:paraId="7FE1C65C" w14:textId="77777777" w:rsidR="00960E01" w:rsidRDefault="00821CB5">
            <w:pPr>
              <w:pStyle w:val="P68B1DB1-Normal61"/>
              <w:spacing w:before="120" w:after="120" w:line="276" w:lineRule="auto"/>
              <w:rPr>
                <w:bCs/>
              </w:rPr>
            </w:pPr>
            <w:r>
              <w:t>Funktion</w:t>
            </w:r>
          </w:p>
          <w:p w14:paraId="7FE1C65D" w14:textId="77777777" w:rsidR="00960E01" w:rsidRDefault="00821CB5">
            <w:pPr>
              <w:pStyle w:val="P68B1DB1-Normal64"/>
              <w:spacing w:line="276" w:lineRule="auto"/>
              <w:jc w:val="both"/>
            </w:pPr>
            <w:r>
              <w:t>Det interne navn, der anvendes til den specifikke rolle.</w:t>
            </w:r>
          </w:p>
          <w:p w14:paraId="7FE1C65E" w14:textId="77777777" w:rsidR="00960E01" w:rsidRDefault="00960E01">
            <w:pPr>
              <w:spacing w:before="120" w:after="120" w:line="276" w:lineRule="auto"/>
              <w:rPr>
                <w:rFonts w:ascii="Times New Roman" w:hAnsi="Times New Roman"/>
                <w:sz w:val="20"/>
                <w:szCs w:val="20"/>
              </w:rPr>
            </w:pPr>
          </w:p>
        </w:tc>
      </w:tr>
      <w:tr w:rsidR="00960E01" w14:paraId="7FE1C664" w14:textId="77777777">
        <w:trPr>
          <w:trHeight w:val="450"/>
        </w:trPr>
        <w:tc>
          <w:tcPr>
            <w:tcW w:w="1418" w:type="dxa"/>
          </w:tcPr>
          <w:p w14:paraId="7FE1C660" w14:textId="77777777" w:rsidR="00960E01" w:rsidRDefault="00821CB5">
            <w:pPr>
              <w:pStyle w:val="P68B1DB1-Normal62"/>
              <w:spacing w:before="120" w:after="120" w:line="276" w:lineRule="auto"/>
            </w:pPr>
            <w:r>
              <w:t>0050</w:t>
            </w:r>
          </w:p>
        </w:tc>
        <w:tc>
          <w:tcPr>
            <w:tcW w:w="7649" w:type="dxa"/>
          </w:tcPr>
          <w:p w14:paraId="7FE1C661" w14:textId="77777777" w:rsidR="00960E01" w:rsidRDefault="00821CB5">
            <w:pPr>
              <w:pStyle w:val="P68B1DB1-Normal61"/>
              <w:spacing w:before="120" w:after="120" w:line="276" w:lineRule="auto"/>
              <w:rPr>
                <w:bCs/>
              </w:rPr>
            </w:pPr>
            <w:r>
              <w:t>Afdeling</w:t>
            </w:r>
          </w:p>
          <w:p w14:paraId="7FE1C662" w14:textId="77777777" w:rsidR="00960E01" w:rsidRDefault="00821CB5">
            <w:pPr>
              <w:pStyle w:val="P68B1DB1-Normal64"/>
              <w:spacing w:line="276" w:lineRule="auto"/>
              <w:jc w:val="both"/>
            </w:pPr>
            <w:r>
              <w:t>Det interne navn, der anvendes for den specifikke afdeling, hvor rollenavnet under c0040 tilhører.</w:t>
            </w:r>
          </w:p>
          <w:p w14:paraId="7FE1C663" w14:textId="77777777" w:rsidR="00960E01" w:rsidRDefault="00960E01">
            <w:pPr>
              <w:spacing w:line="276" w:lineRule="auto"/>
              <w:jc w:val="both"/>
              <w:rPr>
                <w:rFonts w:ascii="Times New Roman" w:hAnsi="Times New Roman"/>
                <w:iCs/>
                <w:sz w:val="20"/>
              </w:rPr>
            </w:pPr>
          </w:p>
        </w:tc>
      </w:tr>
      <w:tr w:rsidR="00960E01" w14:paraId="7FE1C66C" w14:textId="77777777">
        <w:trPr>
          <w:trHeight w:val="450"/>
        </w:trPr>
        <w:tc>
          <w:tcPr>
            <w:tcW w:w="1418" w:type="dxa"/>
          </w:tcPr>
          <w:p w14:paraId="7FE1C665" w14:textId="77777777" w:rsidR="00960E01" w:rsidRDefault="00821CB5">
            <w:pPr>
              <w:pStyle w:val="P68B1DB1-Normal62"/>
              <w:spacing w:before="120" w:after="120" w:line="276" w:lineRule="auto"/>
            </w:pPr>
            <w:r>
              <w:t>0060</w:t>
            </w:r>
          </w:p>
        </w:tc>
        <w:tc>
          <w:tcPr>
            <w:tcW w:w="7649" w:type="dxa"/>
          </w:tcPr>
          <w:p w14:paraId="7FE1C666" w14:textId="77777777" w:rsidR="00960E01" w:rsidRDefault="00821CB5">
            <w:pPr>
              <w:pStyle w:val="P68B1DB1-Normal61"/>
              <w:spacing w:before="120" w:after="120" w:line="276" w:lineRule="auto"/>
              <w:rPr>
                <w:bCs/>
              </w:rPr>
            </w:pPr>
            <w:r>
              <w:t>Kritikalitet</w:t>
            </w:r>
          </w:p>
          <w:p w14:paraId="7FE1C667" w14:textId="77777777" w:rsidR="00960E01" w:rsidRDefault="00821CB5">
            <w:pPr>
              <w:pStyle w:val="P68B1DB1-Normal64"/>
              <w:spacing w:line="276" w:lineRule="auto"/>
              <w:jc w:val="both"/>
              <w:rPr>
                <w:iCs/>
              </w:rPr>
            </w:pPr>
            <w:r>
              <w:t>Angiv en af følgende værdier:</w:t>
            </w:r>
          </w:p>
          <w:p w14:paraId="7FE1C668" w14:textId="77777777" w:rsidR="00960E01" w:rsidRDefault="00821CB5">
            <w:pPr>
              <w:pStyle w:val="P68B1DB1-ListParagraph58"/>
              <w:numPr>
                <w:ilvl w:val="0"/>
                <w:numId w:val="236"/>
              </w:numPr>
              <w:spacing w:line="276" w:lineRule="auto"/>
              <w:contextualSpacing/>
              <w:jc w:val="both"/>
              <w:rPr>
                <w:iCs/>
              </w:rPr>
            </w:pPr>
            <w:r>
              <w:t>Kritisk: hvis tjenesten er nødvendig for udførelsen af en eller flere kritiske funktioner, hvis afbrydelse i alvorlig grad ville hindre eller forhindre udførelsen af disse kritiske funktioner.</w:t>
            </w:r>
          </w:p>
          <w:p w14:paraId="7FE1C669" w14:textId="77777777" w:rsidR="00960E01" w:rsidRDefault="00821CB5">
            <w:pPr>
              <w:pStyle w:val="P68B1DB1-ListParagraph58"/>
              <w:numPr>
                <w:ilvl w:val="0"/>
                <w:numId w:val="236"/>
              </w:numPr>
              <w:spacing w:line="276" w:lineRule="auto"/>
              <w:contextualSpacing/>
              <w:jc w:val="both"/>
              <w:rPr>
                <w:iCs/>
              </w:rPr>
            </w:pPr>
            <w:r>
              <w:t>Væsentlige: hvis tjenesten er knyttet til centrale forretningsområder, hvis kontinuitet er nødvendig for en effektiv gennemførelse af afviklingsstrategien og en eventuel efterfølgende omstrukturering.</w:t>
            </w:r>
          </w:p>
          <w:p w14:paraId="7FE1C66A" w14:textId="21623EFD" w:rsidR="00960E01" w:rsidRDefault="00821CB5">
            <w:pPr>
              <w:pStyle w:val="P68B1DB1-ListParagraph58"/>
              <w:numPr>
                <w:ilvl w:val="0"/>
                <w:numId w:val="236"/>
              </w:numPr>
              <w:spacing w:line="276" w:lineRule="auto"/>
              <w:contextualSpacing/>
              <w:jc w:val="both"/>
              <w:rPr>
                <w:iCs/>
              </w:rPr>
            </w:pPr>
            <w:r>
              <w:t>Kritisk og afgørende</w:t>
            </w:r>
          </w:p>
          <w:p w14:paraId="7FE1C66B" w14:textId="77777777" w:rsidR="00960E01" w:rsidRDefault="00960E01">
            <w:pPr>
              <w:spacing w:before="120" w:after="120" w:line="276" w:lineRule="auto"/>
              <w:rPr>
                <w:rFonts w:ascii="Times New Roman" w:hAnsi="Times New Roman"/>
                <w:sz w:val="20"/>
                <w:szCs w:val="20"/>
              </w:rPr>
            </w:pPr>
          </w:p>
        </w:tc>
      </w:tr>
    </w:tbl>
    <w:p w14:paraId="7FE1C6D5" w14:textId="77777777" w:rsidR="00960E01" w:rsidRDefault="00960E01">
      <w:pPr>
        <w:rPr>
          <w:rFonts w:ascii="Times New Roman" w:hAnsi="Times New Roman" w:cs="Times New Roman"/>
        </w:rPr>
      </w:pPr>
    </w:p>
    <w:p w14:paraId="7FE1C6D6" w14:textId="77777777" w:rsidR="00960E01" w:rsidRDefault="00821CB5">
      <w:pPr>
        <w:pStyle w:val="P68B1DB1-Instructionsberschrift25"/>
        <w:numPr>
          <w:ilvl w:val="1"/>
          <w:numId w:val="49"/>
        </w:numPr>
        <w:ind w:left="357" w:hanging="357"/>
        <w:rPr>
          <w:rFonts w:eastAsia="Calibri"/>
          <w:szCs w:val="20"/>
        </w:rPr>
      </w:pPr>
      <w:bookmarkStart w:id="131" w:name="_Toc208244575"/>
      <w:r>
        <w:t>Z 08.04 — Kritiske tjenester — kortlægning efter kritiske funktioner (SERV 4)</w:t>
      </w:r>
      <w:bookmarkEnd w:id="131"/>
    </w:p>
    <w:p w14:paraId="7FE1C6D7" w14:textId="77777777" w:rsidR="00960E01" w:rsidRDefault="00821CB5">
      <w:pPr>
        <w:pStyle w:val="P68B1DB1-Instructionsberschrift269"/>
        <w:ind w:left="357"/>
      </w:pPr>
      <w:bookmarkStart w:id="132" w:name="_Toc164263859"/>
      <w:bookmarkStart w:id="133" w:name="_Toc208244576"/>
      <w:r>
        <w:t>Generelle instruktioner</w:t>
      </w:r>
      <w:bookmarkEnd w:id="132"/>
      <w:bookmarkEnd w:id="133"/>
    </w:p>
    <w:p w14:paraId="7FE1C6D8" w14:textId="77777777" w:rsidR="00960E01" w:rsidRDefault="00960E01">
      <w:pPr>
        <w:spacing w:line="276" w:lineRule="auto"/>
        <w:jc w:val="both"/>
        <w:rPr>
          <w:rFonts w:ascii="Times New Roman" w:eastAsia="Calibri" w:hAnsi="Times New Roman" w:cs="Times New Roman"/>
          <w:sz w:val="20"/>
          <w:szCs w:val="20"/>
        </w:rPr>
      </w:pPr>
    </w:p>
    <w:p w14:paraId="7FE1C6D9" w14:textId="77777777" w:rsidR="00960E01" w:rsidRDefault="00821CB5">
      <w:pPr>
        <w:pStyle w:val="P68B1DB1-ListParagraph53"/>
        <w:numPr>
          <w:ilvl w:val="0"/>
          <w:numId w:val="267"/>
        </w:numPr>
        <w:ind w:left="1418"/>
        <w:contextualSpacing/>
        <w:jc w:val="both"/>
      </w:pPr>
      <w:r>
        <w:t>De oplysninger, der skal inkluderes i dette skema, skal indberettes én gang for hele koncernen og skal opregne kritiske tjenester modtaget af en hvilken som helst enhed i koncernen og knytter dem til de kritiske funktioner, der udføres af koncernen.</w:t>
      </w:r>
    </w:p>
    <w:p w14:paraId="7FE1C6DA" w14:textId="77777777" w:rsidR="00960E01" w:rsidRDefault="00821CB5">
      <w:pPr>
        <w:pStyle w:val="P68B1DB1-ListParagraph53"/>
        <w:numPr>
          <w:ilvl w:val="0"/>
          <w:numId w:val="267"/>
        </w:numPr>
        <w:ind w:left="1418"/>
        <w:contextualSpacing/>
        <w:jc w:val="both"/>
      </w:pPr>
      <w:r>
        <w:t>Værdierne, der indberettes i kolonne 0010, 0020, 0030 og 0040 i dette skema, udgør en primær nøgle, som skal være unik for hver enkelt række i skemaet.</w:t>
      </w:r>
    </w:p>
    <w:p w14:paraId="7FE1C6DB" w14:textId="77777777" w:rsidR="00960E01" w:rsidRDefault="00960E01">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960E01" w14:paraId="7FE1C6DE" w14:textId="77777777">
        <w:trPr>
          <w:trHeight w:val="445"/>
          <w:tblHeader/>
        </w:trPr>
        <w:tc>
          <w:tcPr>
            <w:tcW w:w="1418" w:type="dxa"/>
            <w:shd w:val="clear" w:color="auto" w:fill="E7E6E6"/>
          </w:tcPr>
          <w:p w14:paraId="7FE1C6DC" w14:textId="77777777" w:rsidR="00960E01" w:rsidRDefault="00821CB5">
            <w:pPr>
              <w:pStyle w:val="P68B1DB1-Normal61"/>
              <w:spacing w:before="120" w:after="120" w:line="276" w:lineRule="auto"/>
            </w:pPr>
            <w:r>
              <w:t>Kolonner</w:t>
            </w:r>
          </w:p>
        </w:tc>
        <w:tc>
          <w:tcPr>
            <w:tcW w:w="7508" w:type="dxa"/>
            <w:shd w:val="clear" w:color="auto" w:fill="E7E6E6"/>
          </w:tcPr>
          <w:p w14:paraId="7FE1C6DD" w14:textId="77777777" w:rsidR="00960E01" w:rsidRDefault="00821CB5">
            <w:pPr>
              <w:pStyle w:val="P68B1DB1-Normal61"/>
              <w:spacing w:before="120" w:after="120" w:line="276" w:lineRule="auto"/>
            </w:pPr>
            <w:r>
              <w:t>Instrukser</w:t>
            </w:r>
          </w:p>
        </w:tc>
      </w:tr>
      <w:tr w:rsidR="00960E01" w14:paraId="7FE1C6E3" w14:textId="77777777">
        <w:trPr>
          <w:trHeight w:val="450"/>
        </w:trPr>
        <w:tc>
          <w:tcPr>
            <w:tcW w:w="1418" w:type="dxa"/>
            <w:shd w:val="clear" w:color="auto" w:fill="FFFFFF"/>
          </w:tcPr>
          <w:p w14:paraId="7FE1C6DF" w14:textId="77777777" w:rsidR="00960E01" w:rsidRDefault="00821CB5">
            <w:pPr>
              <w:pStyle w:val="P68B1DB1-Normal62"/>
              <w:spacing w:before="120" w:after="120" w:line="276" w:lineRule="auto"/>
            </w:pPr>
            <w:r>
              <w:t>0005</w:t>
            </w:r>
          </w:p>
        </w:tc>
        <w:tc>
          <w:tcPr>
            <w:tcW w:w="7508" w:type="dxa"/>
            <w:shd w:val="clear" w:color="auto" w:fill="FFFFFF"/>
          </w:tcPr>
          <w:p w14:paraId="7FE1C6E0" w14:textId="77777777" w:rsidR="00960E01" w:rsidRDefault="00821CB5">
            <w:pPr>
              <w:pStyle w:val="P68B1DB1-Normal61"/>
              <w:spacing w:before="120" w:after="120" w:line="276" w:lineRule="auto"/>
            </w:pPr>
            <w:r>
              <w:t xml:space="preserve">Tjenesteidentifikator </w:t>
            </w:r>
          </w:p>
          <w:p w14:paraId="7FE1C6E1" w14:textId="77777777" w:rsidR="00960E01" w:rsidRDefault="00821CB5">
            <w:pPr>
              <w:pStyle w:val="P68B1DB1-Normal62"/>
              <w:spacing w:before="120" w:after="120" w:line="276" w:lineRule="auto"/>
            </w:pPr>
            <w:r>
              <w:t>Anvend serviceidentifikatoren som indberettet i Z 08.01 (SERV 1).</w:t>
            </w:r>
          </w:p>
          <w:p w14:paraId="7FE1C6E2" w14:textId="77777777" w:rsidR="00960E01" w:rsidRDefault="00821CB5">
            <w:pPr>
              <w:pStyle w:val="P68B1DB1-Normal62"/>
              <w:spacing w:before="120" w:after="120" w:line="276" w:lineRule="auto"/>
              <w:rPr>
                <w:i/>
              </w:rPr>
            </w:pPr>
            <w:r>
              <w:t>Tjenesteidentifikatoren henviser til den tjeneste, der er indberettet under c0020.</w:t>
            </w:r>
          </w:p>
        </w:tc>
      </w:tr>
      <w:tr w:rsidR="00960E01" w14:paraId="7FE1C727" w14:textId="77777777">
        <w:trPr>
          <w:trHeight w:val="450"/>
        </w:trPr>
        <w:tc>
          <w:tcPr>
            <w:tcW w:w="1418" w:type="dxa"/>
            <w:shd w:val="clear" w:color="auto" w:fill="FFFFFF"/>
          </w:tcPr>
          <w:p w14:paraId="7FE1C6E4" w14:textId="77777777" w:rsidR="00960E01" w:rsidRDefault="00821CB5">
            <w:pPr>
              <w:pStyle w:val="P68B1DB1-Normal62"/>
              <w:spacing w:before="120" w:after="120" w:line="276" w:lineRule="auto"/>
            </w:pPr>
            <w:r>
              <w:t>0010</w:t>
            </w:r>
          </w:p>
        </w:tc>
        <w:tc>
          <w:tcPr>
            <w:tcW w:w="7508" w:type="dxa"/>
            <w:shd w:val="clear" w:color="auto" w:fill="FFFFFF"/>
          </w:tcPr>
          <w:p w14:paraId="7FE1C6E5" w14:textId="77777777" w:rsidR="00960E01" w:rsidRDefault="00821CB5">
            <w:pPr>
              <w:pStyle w:val="P68B1DB1-Normal61"/>
              <w:autoSpaceDE w:val="0"/>
              <w:autoSpaceDN w:val="0"/>
              <w:adjustRightInd w:val="0"/>
              <w:rPr>
                <w:rFonts w:eastAsia="MS Mincho"/>
                <w:bCs/>
              </w:rPr>
            </w:pPr>
            <w:r>
              <w:t xml:space="preserve">Type tjeneste </w:t>
            </w:r>
          </w:p>
          <w:p w14:paraId="7FE1C6E6" w14:textId="328A5068" w:rsidR="00960E01" w:rsidRDefault="00821CB5">
            <w:pPr>
              <w:pStyle w:val="P68B1DB1-Normal63"/>
              <w:autoSpaceDE w:val="0"/>
              <w:autoSpaceDN w:val="0"/>
              <w:adjustRightInd w:val="0"/>
            </w:pPr>
            <w:r>
              <w:t xml:space="preserve">Tjenestetypen skal være en af de tjenestetyper, der er anført i Z 08.01 0010 ovenfor. </w:t>
            </w:r>
          </w:p>
          <w:p w14:paraId="7FE1C726" w14:textId="7C7FFCB5" w:rsidR="00960E01" w:rsidRDefault="00960E01">
            <w:pPr>
              <w:spacing w:before="120" w:after="120" w:line="276" w:lineRule="auto"/>
              <w:rPr>
                <w:rFonts w:ascii="Times New Roman" w:hAnsi="Times New Roman"/>
                <w:sz w:val="20"/>
                <w:szCs w:val="20"/>
              </w:rPr>
            </w:pPr>
          </w:p>
        </w:tc>
      </w:tr>
      <w:tr w:rsidR="00960E01" w14:paraId="7FE1C72C" w14:textId="77777777">
        <w:trPr>
          <w:trHeight w:val="450"/>
        </w:trPr>
        <w:tc>
          <w:tcPr>
            <w:tcW w:w="1418" w:type="dxa"/>
            <w:shd w:val="clear" w:color="auto" w:fill="FFFFFF"/>
          </w:tcPr>
          <w:p w14:paraId="7FE1C728" w14:textId="77777777" w:rsidR="00960E01" w:rsidRDefault="00821CB5">
            <w:pPr>
              <w:pStyle w:val="P68B1DB1-Normal62"/>
              <w:spacing w:before="120" w:after="120" w:line="276" w:lineRule="auto"/>
            </w:pPr>
            <w:r>
              <w:t>0020</w:t>
            </w:r>
          </w:p>
        </w:tc>
        <w:tc>
          <w:tcPr>
            <w:tcW w:w="7508" w:type="dxa"/>
            <w:shd w:val="clear" w:color="auto" w:fill="FFFFFF"/>
          </w:tcPr>
          <w:p w14:paraId="7FE1C729" w14:textId="77777777" w:rsidR="00960E01" w:rsidRDefault="00821CB5">
            <w:pPr>
              <w:pStyle w:val="P68B1DB1-Normal65"/>
              <w:spacing w:line="276" w:lineRule="auto"/>
              <w:jc w:val="both"/>
            </w:pPr>
            <w:r>
              <w:rPr>
                <w:szCs w:val="20"/>
              </w:rPr>
              <w:t>Entydig tjenestetitel i henhold til banktaksonomi</w:t>
            </w:r>
            <w:r>
              <w:t xml:space="preserve"> </w:t>
            </w:r>
          </w:p>
          <w:p w14:paraId="7FE1C72A" w14:textId="14809522" w:rsidR="00960E01" w:rsidRDefault="00821CB5">
            <w:pPr>
              <w:pStyle w:val="P68B1DB1-Normal64"/>
            </w:pPr>
            <w:r>
              <w:t>Navn/kort beskrivelse af tjenesten i henhold til bankens egen differentierede taksonomi (niveau 3) som indberettet i Z 08.01 (SERV 1), kolonne 0020. Banken forventes at indberette tjenesterne på et mere detaljeret niveau end rapporteringen for niveau 2 (c0010), således at hver enkelt tjeneste defineres præcist og målrettet.</w:t>
            </w:r>
          </w:p>
          <w:p w14:paraId="7FE1C72B" w14:textId="77777777" w:rsidR="00960E01" w:rsidRDefault="00960E01">
            <w:pPr>
              <w:spacing w:before="120" w:after="120" w:line="276" w:lineRule="auto"/>
              <w:rPr>
                <w:rFonts w:ascii="Times New Roman" w:hAnsi="Times New Roman"/>
                <w:sz w:val="20"/>
                <w:szCs w:val="20"/>
              </w:rPr>
            </w:pPr>
          </w:p>
        </w:tc>
      </w:tr>
      <w:tr w:rsidR="00960E01" w14:paraId="7FE1C731" w14:textId="77777777">
        <w:trPr>
          <w:trHeight w:val="450"/>
        </w:trPr>
        <w:tc>
          <w:tcPr>
            <w:tcW w:w="1418" w:type="dxa"/>
            <w:shd w:val="clear" w:color="auto" w:fill="FFFFFF"/>
          </w:tcPr>
          <w:p w14:paraId="7FE1C72D" w14:textId="77777777" w:rsidR="00960E01" w:rsidRDefault="00821CB5">
            <w:pPr>
              <w:pStyle w:val="P68B1DB1-Normal62"/>
              <w:spacing w:before="120" w:after="120" w:line="276" w:lineRule="auto"/>
            </w:pPr>
            <w:r>
              <w:t>0030-0040</w:t>
            </w:r>
          </w:p>
        </w:tc>
        <w:tc>
          <w:tcPr>
            <w:tcW w:w="7508" w:type="dxa"/>
            <w:shd w:val="clear" w:color="auto" w:fill="FFFFFF"/>
          </w:tcPr>
          <w:p w14:paraId="7FE1C72E" w14:textId="77777777" w:rsidR="00960E01" w:rsidRDefault="00821CB5">
            <w:pPr>
              <w:pStyle w:val="P68B1DB1-Normal65"/>
              <w:spacing w:line="276" w:lineRule="auto"/>
              <w:jc w:val="both"/>
              <w:rPr>
                <w:bCs/>
              </w:rPr>
            </w:pPr>
            <w:r>
              <w:rPr>
                <w:szCs w:val="20"/>
              </w:rPr>
              <w:t>Kritisk funktion</w:t>
            </w:r>
            <w:r>
              <w:t xml:space="preserve"> </w:t>
            </w:r>
          </w:p>
          <w:p w14:paraId="7FE1C72F" w14:textId="77777777" w:rsidR="00960E01" w:rsidRDefault="00821CB5">
            <w:pPr>
              <w:pStyle w:val="P68B1DB1-Normal64"/>
              <w:spacing w:line="276" w:lineRule="auto"/>
              <w:jc w:val="both"/>
            </w:pPr>
            <w:r>
              <w:t>Den kritiske funktion, hvis udførelse en forstyrrelse af den kritiske tjeneste ville udgøre en alvorlig hindring for eller helt forhindre. Der skal være tale om en af de funktioner, der vurderes som kritisk i skema Z 07.01 (FUNC 1).</w:t>
            </w:r>
          </w:p>
          <w:p w14:paraId="7FE1C730" w14:textId="77777777" w:rsidR="00960E01" w:rsidRDefault="00960E01">
            <w:pPr>
              <w:spacing w:line="276" w:lineRule="auto"/>
              <w:jc w:val="both"/>
              <w:rPr>
                <w:rFonts w:ascii="Times New Roman" w:hAnsi="Times New Roman"/>
                <w:sz w:val="20"/>
              </w:rPr>
            </w:pPr>
          </w:p>
        </w:tc>
      </w:tr>
      <w:tr w:rsidR="00960E01" w14:paraId="7FE1C736" w14:textId="77777777">
        <w:trPr>
          <w:trHeight w:val="450"/>
        </w:trPr>
        <w:tc>
          <w:tcPr>
            <w:tcW w:w="1418" w:type="dxa"/>
            <w:shd w:val="clear" w:color="auto" w:fill="FFFFFF"/>
          </w:tcPr>
          <w:p w14:paraId="7FE1C732" w14:textId="77777777" w:rsidR="00960E01" w:rsidRDefault="00821CB5">
            <w:pPr>
              <w:pStyle w:val="P68B1DB1-Normal64"/>
              <w:spacing w:before="120" w:after="120" w:line="276" w:lineRule="auto"/>
              <w:rPr>
                <w:szCs w:val="20"/>
              </w:rPr>
            </w:pPr>
            <w:r>
              <w:t>0030</w:t>
            </w:r>
          </w:p>
        </w:tc>
        <w:tc>
          <w:tcPr>
            <w:tcW w:w="7508" w:type="dxa"/>
            <w:shd w:val="clear" w:color="auto" w:fill="FFFFFF"/>
          </w:tcPr>
          <w:p w14:paraId="7FE1C733" w14:textId="77777777" w:rsidR="00960E01" w:rsidRDefault="00821CB5">
            <w:pPr>
              <w:pStyle w:val="P68B1DB1-Normal65"/>
              <w:spacing w:line="276" w:lineRule="auto"/>
              <w:jc w:val="both"/>
              <w:rPr>
                <w:bCs/>
              </w:rPr>
            </w:pPr>
            <w:r>
              <w:t>Land</w:t>
            </w:r>
          </w:p>
          <w:p w14:paraId="7FE1C734" w14:textId="77777777" w:rsidR="00960E01" w:rsidRDefault="00821CB5">
            <w:pPr>
              <w:pStyle w:val="P68B1DB1-Normal64"/>
              <w:spacing w:line="276" w:lineRule="auto"/>
              <w:jc w:val="both"/>
            </w:pPr>
            <w:r>
              <w:t>Medlemsstat, for hvilken funktionen er kritisk, som indberettet i Z 07.01 (FUNC 1)</w:t>
            </w:r>
          </w:p>
          <w:p w14:paraId="7FE1C735" w14:textId="77777777" w:rsidR="00960E01" w:rsidRDefault="00960E01">
            <w:pPr>
              <w:spacing w:line="276" w:lineRule="auto"/>
              <w:jc w:val="both"/>
              <w:rPr>
                <w:rFonts w:ascii="Times New Roman" w:hAnsi="Times New Roman"/>
                <w:sz w:val="20"/>
              </w:rPr>
            </w:pPr>
          </w:p>
        </w:tc>
      </w:tr>
      <w:tr w:rsidR="00960E01" w14:paraId="7FE1C73B" w14:textId="77777777">
        <w:trPr>
          <w:trHeight w:val="450"/>
        </w:trPr>
        <w:tc>
          <w:tcPr>
            <w:tcW w:w="1418" w:type="dxa"/>
            <w:shd w:val="clear" w:color="auto" w:fill="FFFFFF"/>
          </w:tcPr>
          <w:p w14:paraId="7FE1C737" w14:textId="77777777" w:rsidR="00960E01" w:rsidRDefault="00821CB5">
            <w:pPr>
              <w:pStyle w:val="P68B1DB1-Normal64"/>
              <w:spacing w:before="120" w:after="120" w:line="276" w:lineRule="auto"/>
              <w:rPr>
                <w:szCs w:val="20"/>
              </w:rPr>
            </w:pPr>
            <w:r>
              <w:t>0040</w:t>
            </w:r>
          </w:p>
        </w:tc>
        <w:tc>
          <w:tcPr>
            <w:tcW w:w="7508" w:type="dxa"/>
            <w:shd w:val="clear" w:color="auto" w:fill="FFFFFF"/>
          </w:tcPr>
          <w:p w14:paraId="7FE1C738" w14:textId="77777777" w:rsidR="00960E01" w:rsidRDefault="00821CB5">
            <w:pPr>
              <w:pStyle w:val="P68B1DB1-Normal65"/>
              <w:spacing w:line="276" w:lineRule="auto"/>
              <w:jc w:val="both"/>
              <w:rPr>
                <w:bCs/>
              </w:rPr>
            </w:pPr>
            <w:r>
              <w:t>ID</w:t>
            </w:r>
          </w:p>
          <w:p w14:paraId="7FE1C739" w14:textId="77777777" w:rsidR="00960E01" w:rsidRDefault="00821CB5">
            <w:pPr>
              <w:pStyle w:val="P68B1DB1-Normal64"/>
              <w:spacing w:line="276" w:lineRule="auto"/>
              <w:jc w:val="both"/>
            </w:pPr>
            <w:r>
              <w:t>ID for de kritiske funktioner som defineret i kapitel 2.7.1.4 ovenfor og angivet i skema Z 07.01 (FUNC 1)</w:t>
            </w:r>
          </w:p>
          <w:p w14:paraId="7FE1C73A" w14:textId="77777777" w:rsidR="00960E01" w:rsidRDefault="00960E01">
            <w:pPr>
              <w:spacing w:line="276" w:lineRule="auto"/>
              <w:jc w:val="both"/>
              <w:rPr>
                <w:rFonts w:ascii="Times New Roman" w:hAnsi="Times New Roman"/>
                <w:sz w:val="20"/>
              </w:rPr>
            </w:pPr>
          </w:p>
        </w:tc>
      </w:tr>
    </w:tbl>
    <w:p w14:paraId="7FE1C746" w14:textId="77777777" w:rsidR="00960E01" w:rsidRDefault="00960E01">
      <w:pPr>
        <w:rPr>
          <w:rFonts w:ascii="Times New Roman" w:hAnsi="Times New Roman" w:cs="Times New Roman"/>
        </w:rPr>
      </w:pPr>
    </w:p>
    <w:p w14:paraId="7FE1C747" w14:textId="77777777" w:rsidR="00960E01" w:rsidRDefault="00960E01">
      <w:pPr>
        <w:pStyle w:val="Instructionsberschrift2"/>
        <w:rPr>
          <w:rFonts w:ascii="Times New Roman" w:eastAsia="Calibri" w:hAnsi="Times New Roman" w:cs="Times New Roman"/>
          <w:szCs w:val="20"/>
        </w:rPr>
      </w:pPr>
    </w:p>
    <w:p w14:paraId="7FE1C748" w14:textId="77777777" w:rsidR="00960E01" w:rsidRDefault="00821CB5">
      <w:pPr>
        <w:pStyle w:val="P68B1DB1-Instructionsberschrift25"/>
        <w:numPr>
          <w:ilvl w:val="1"/>
          <w:numId w:val="49"/>
        </w:numPr>
        <w:ind w:left="357" w:hanging="357"/>
        <w:rPr>
          <w:rFonts w:eastAsia="Calibri"/>
          <w:szCs w:val="20"/>
        </w:rPr>
      </w:pPr>
      <w:bookmarkStart w:id="134" w:name="_Toc208244577"/>
      <w:r>
        <w:t>Z 08.05 — Væsentlige tjenesteydelser — Kortlægning efter centrale forretningsområder (SERV 5)</w:t>
      </w:r>
      <w:bookmarkEnd w:id="134"/>
    </w:p>
    <w:p w14:paraId="7FE1C749" w14:textId="77777777" w:rsidR="00960E01" w:rsidRDefault="00821CB5">
      <w:pPr>
        <w:pStyle w:val="P68B1DB1-Normal70"/>
        <w:spacing w:line="276" w:lineRule="auto"/>
        <w:jc w:val="both"/>
        <w:rPr>
          <w:sz w:val="20"/>
          <w:szCs w:val="20"/>
        </w:rPr>
      </w:pPr>
      <w:r>
        <w:t>Instrukser vedrørende specifikke positioner</w:t>
      </w:r>
    </w:p>
    <w:p w14:paraId="7FE1C74A" w14:textId="77777777" w:rsidR="00960E01" w:rsidRDefault="00821CB5">
      <w:pPr>
        <w:pStyle w:val="P68B1DB1-Instructionsberschrift368"/>
        <w:numPr>
          <w:ilvl w:val="2"/>
          <w:numId w:val="210"/>
        </w:numPr>
        <w:ind w:left="1418"/>
        <w:contextualSpacing/>
        <w:jc w:val="both"/>
      </w:pPr>
      <w:r>
        <w:t>De oplysninger, der skal inkluderes i dette skema, skal indberettes én gang for hele koncernen og skal opregne kritiske tjenester modtaget af en hvilken som helst enhed i koncernen og knytter dem til de kritiske funktioner, der udføres af koncernen.</w:t>
      </w:r>
    </w:p>
    <w:p w14:paraId="7FE1C74B" w14:textId="77777777" w:rsidR="00960E01" w:rsidRDefault="00821CB5">
      <w:pPr>
        <w:pStyle w:val="P68B1DB1-Instructionsberschrift368"/>
        <w:numPr>
          <w:ilvl w:val="2"/>
          <w:numId w:val="210"/>
        </w:numPr>
        <w:ind w:left="1418"/>
        <w:contextualSpacing/>
        <w:jc w:val="both"/>
      </w:pPr>
      <w:r>
        <w:t>Værdierne, der indberettes i kolonne 0010, 0020 og 0040 i dette skema, udgør en primær nøgle, som skal være unik for hver enkelt række i skemaet.</w:t>
      </w:r>
    </w:p>
    <w:p w14:paraId="7FE1C74C" w14:textId="77777777" w:rsidR="00960E01" w:rsidRDefault="00960E01">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960E01" w14:paraId="7FE1C74F" w14:textId="77777777">
        <w:trPr>
          <w:trHeight w:val="644"/>
          <w:tblHeader/>
        </w:trPr>
        <w:tc>
          <w:tcPr>
            <w:tcW w:w="1418" w:type="dxa"/>
            <w:shd w:val="clear" w:color="auto" w:fill="E7E6E6"/>
          </w:tcPr>
          <w:p w14:paraId="7FE1C74D" w14:textId="77777777" w:rsidR="00960E01" w:rsidRDefault="00821CB5">
            <w:pPr>
              <w:pStyle w:val="P68B1DB1-Normal61"/>
              <w:spacing w:before="120" w:after="120" w:line="276" w:lineRule="auto"/>
            </w:pPr>
            <w:r>
              <w:t>Kolonner</w:t>
            </w:r>
          </w:p>
        </w:tc>
        <w:tc>
          <w:tcPr>
            <w:tcW w:w="7649" w:type="dxa"/>
            <w:shd w:val="clear" w:color="auto" w:fill="E7E6E6"/>
          </w:tcPr>
          <w:p w14:paraId="7FE1C74E" w14:textId="77777777" w:rsidR="00960E01" w:rsidRDefault="00821CB5">
            <w:pPr>
              <w:pStyle w:val="P68B1DB1-Normal61"/>
              <w:spacing w:before="120" w:after="120" w:line="276" w:lineRule="auto"/>
            </w:pPr>
            <w:r>
              <w:t>Instrukser</w:t>
            </w:r>
          </w:p>
        </w:tc>
      </w:tr>
      <w:tr w:rsidR="00960E01" w14:paraId="7FE1C754" w14:textId="77777777">
        <w:trPr>
          <w:trHeight w:val="450"/>
        </w:trPr>
        <w:tc>
          <w:tcPr>
            <w:tcW w:w="1418" w:type="dxa"/>
            <w:shd w:val="clear" w:color="auto" w:fill="FFFFFF"/>
          </w:tcPr>
          <w:p w14:paraId="7FE1C750" w14:textId="77777777" w:rsidR="00960E01" w:rsidRDefault="00821CB5">
            <w:pPr>
              <w:pStyle w:val="P68B1DB1-Normal62"/>
              <w:spacing w:before="120" w:after="120" w:line="276" w:lineRule="auto"/>
            </w:pPr>
            <w:r>
              <w:t>0005</w:t>
            </w:r>
          </w:p>
        </w:tc>
        <w:tc>
          <w:tcPr>
            <w:tcW w:w="7649" w:type="dxa"/>
            <w:shd w:val="clear" w:color="auto" w:fill="FFFFFF"/>
          </w:tcPr>
          <w:p w14:paraId="7FE1C751" w14:textId="77777777" w:rsidR="00960E01" w:rsidRDefault="00821CB5">
            <w:pPr>
              <w:pStyle w:val="P68B1DB1-Normal61"/>
              <w:spacing w:before="120" w:after="120" w:line="276" w:lineRule="auto"/>
            </w:pPr>
            <w:r>
              <w:t xml:space="preserve">Tjenesteidentifikator </w:t>
            </w:r>
          </w:p>
          <w:p w14:paraId="7FE1C752" w14:textId="77777777" w:rsidR="00960E01" w:rsidRDefault="00821CB5">
            <w:pPr>
              <w:pStyle w:val="P68B1DB1-Normal62"/>
              <w:spacing w:before="120" w:after="120" w:line="276" w:lineRule="auto"/>
            </w:pPr>
            <w:r>
              <w:t>Anvend serviceidentifikatoren som indberettet i Z 08.01 (SERV 1).</w:t>
            </w:r>
          </w:p>
          <w:p w14:paraId="7FE1C753" w14:textId="77777777" w:rsidR="00960E01" w:rsidRDefault="00821CB5">
            <w:pPr>
              <w:pStyle w:val="P68B1DB1-Normal62"/>
              <w:spacing w:before="120" w:after="120" w:line="276" w:lineRule="auto"/>
              <w:rPr>
                <w:i/>
              </w:rPr>
            </w:pPr>
            <w:r>
              <w:t>Tjenesteidentifikatoren henviser til den tjeneste, der er indberettet under c0020.</w:t>
            </w:r>
          </w:p>
        </w:tc>
      </w:tr>
      <w:tr w:rsidR="00960E01" w14:paraId="7FE1C798" w14:textId="77777777">
        <w:trPr>
          <w:trHeight w:val="450"/>
        </w:trPr>
        <w:tc>
          <w:tcPr>
            <w:tcW w:w="1418" w:type="dxa"/>
            <w:shd w:val="clear" w:color="auto" w:fill="FFFFFF"/>
          </w:tcPr>
          <w:p w14:paraId="7FE1C755" w14:textId="77777777" w:rsidR="00960E01" w:rsidRDefault="00821CB5">
            <w:pPr>
              <w:pStyle w:val="P68B1DB1-Normal62"/>
              <w:spacing w:before="120" w:after="120" w:line="276" w:lineRule="auto"/>
            </w:pPr>
            <w:r>
              <w:lastRenderedPageBreak/>
              <w:t>0010</w:t>
            </w:r>
          </w:p>
        </w:tc>
        <w:tc>
          <w:tcPr>
            <w:tcW w:w="7649" w:type="dxa"/>
            <w:shd w:val="clear" w:color="auto" w:fill="FFFFFF"/>
          </w:tcPr>
          <w:p w14:paraId="7FE1C756" w14:textId="77777777" w:rsidR="00960E01" w:rsidRDefault="00821CB5">
            <w:pPr>
              <w:pStyle w:val="P68B1DB1-Normal61"/>
              <w:autoSpaceDE w:val="0"/>
              <w:autoSpaceDN w:val="0"/>
              <w:adjustRightInd w:val="0"/>
              <w:rPr>
                <w:rFonts w:eastAsia="MS Mincho"/>
                <w:bCs/>
              </w:rPr>
            </w:pPr>
            <w:r>
              <w:t xml:space="preserve">Type tjeneste </w:t>
            </w:r>
          </w:p>
          <w:p w14:paraId="7FE1C757" w14:textId="15BF69BF" w:rsidR="00960E01" w:rsidRDefault="00821CB5">
            <w:pPr>
              <w:pStyle w:val="P68B1DB1-Normal63"/>
              <w:autoSpaceDE w:val="0"/>
              <w:autoSpaceDN w:val="0"/>
              <w:adjustRightInd w:val="0"/>
            </w:pPr>
            <w:r>
              <w:t xml:space="preserve">Tjenestetypen skal være en af de tjenestetyper, der er anført i Z 08.01 0010 ovenfor. </w:t>
            </w:r>
          </w:p>
          <w:p w14:paraId="7FE1C797" w14:textId="77777777" w:rsidR="00960E01" w:rsidRDefault="00960E01">
            <w:pPr>
              <w:autoSpaceDE w:val="0"/>
              <w:autoSpaceDN w:val="0"/>
              <w:adjustRightInd w:val="0"/>
              <w:rPr>
                <w:rFonts w:ascii="Times New Roman" w:hAnsi="Times New Roman"/>
                <w:sz w:val="20"/>
                <w:szCs w:val="20"/>
              </w:rPr>
            </w:pPr>
          </w:p>
        </w:tc>
      </w:tr>
      <w:tr w:rsidR="00960E01" w14:paraId="7FE1C79D" w14:textId="77777777">
        <w:trPr>
          <w:trHeight w:val="450"/>
        </w:trPr>
        <w:tc>
          <w:tcPr>
            <w:tcW w:w="1418" w:type="dxa"/>
            <w:shd w:val="clear" w:color="auto" w:fill="FFFFFF"/>
          </w:tcPr>
          <w:p w14:paraId="7FE1C799" w14:textId="77777777" w:rsidR="00960E01" w:rsidRDefault="00821CB5">
            <w:pPr>
              <w:pStyle w:val="P68B1DB1-Normal62"/>
              <w:spacing w:before="120" w:after="120" w:line="276" w:lineRule="auto"/>
            </w:pPr>
            <w:r>
              <w:t>0020</w:t>
            </w:r>
          </w:p>
        </w:tc>
        <w:tc>
          <w:tcPr>
            <w:tcW w:w="7649" w:type="dxa"/>
            <w:shd w:val="clear" w:color="auto" w:fill="FFFFFF"/>
          </w:tcPr>
          <w:p w14:paraId="7FE1C79A" w14:textId="77777777" w:rsidR="00960E01" w:rsidRDefault="00821CB5">
            <w:pPr>
              <w:pStyle w:val="P68B1DB1-Normal65"/>
              <w:spacing w:line="276" w:lineRule="auto"/>
              <w:jc w:val="both"/>
            </w:pPr>
            <w:r>
              <w:rPr>
                <w:szCs w:val="20"/>
              </w:rPr>
              <w:t>Entydig tjenestetitel i henhold til banktaksonomi</w:t>
            </w:r>
            <w:r>
              <w:t xml:space="preserve"> </w:t>
            </w:r>
          </w:p>
          <w:p w14:paraId="7FE1C79B" w14:textId="18F1A227" w:rsidR="00960E01" w:rsidRDefault="00821CB5">
            <w:pPr>
              <w:pStyle w:val="P68B1DB1-Normal64"/>
            </w:pPr>
            <w:r>
              <w:t>Navn/kort beskrivelse af tjenesten i henhold til bankens egen differentierede taksonomi (niveau 3) som indberettet i Z 08.01 (SERV 1), kolonne 0020. Banken forventes at indberette tjenesterne på et mere detaljeret niveau end rapporteringen for niveau 2 (c0010), således at hver enkelt tjeneste defineres præcist og målrettet.</w:t>
            </w:r>
          </w:p>
          <w:p w14:paraId="7FE1C79C" w14:textId="77777777" w:rsidR="00960E01" w:rsidRDefault="00960E01">
            <w:pPr>
              <w:spacing w:before="120" w:after="120" w:line="276" w:lineRule="auto"/>
              <w:rPr>
                <w:rFonts w:ascii="Times New Roman" w:hAnsi="Times New Roman"/>
                <w:sz w:val="20"/>
                <w:szCs w:val="20"/>
              </w:rPr>
            </w:pPr>
          </w:p>
        </w:tc>
      </w:tr>
      <w:tr w:rsidR="00960E01" w14:paraId="7FE1C7A2" w14:textId="77777777">
        <w:trPr>
          <w:trHeight w:val="450"/>
        </w:trPr>
        <w:tc>
          <w:tcPr>
            <w:tcW w:w="1418" w:type="dxa"/>
            <w:shd w:val="clear" w:color="auto" w:fill="FFFFFF"/>
          </w:tcPr>
          <w:p w14:paraId="7FE1C79E" w14:textId="77777777" w:rsidR="00960E01" w:rsidRDefault="00821CB5">
            <w:pPr>
              <w:pStyle w:val="P68B1DB1-Normal64"/>
              <w:spacing w:before="120" w:after="120" w:line="276" w:lineRule="auto"/>
              <w:rPr>
                <w:szCs w:val="20"/>
              </w:rPr>
            </w:pPr>
            <w:r>
              <w:t>0030-0040</w:t>
            </w:r>
          </w:p>
        </w:tc>
        <w:tc>
          <w:tcPr>
            <w:tcW w:w="7649" w:type="dxa"/>
            <w:shd w:val="clear" w:color="auto" w:fill="FFFFFF"/>
          </w:tcPr>
          <w:p w14:paraId="7FE1C79F" w14:textId="77777777" w:rsidR="00960E01" w:rsidRDefault="00821CB5">
            <w:pPr>
              <w:pStyle w:val="P68B1DB1-Normal65"/>
              <w:spacing w:line="276" w:lineRule="auto"/>
              <w:jc w:val="both"/>
            </w:pPr>
            <w:r>
              <w:rPr>
                <w:szCs w:val="20"/>
              </w:rPr>
              <w:t>Centralt forretningsområde</w:t>
            </w:r>
            <w:r>
              <w:t xml:space="preserve"> </w:t>
            </w:r>
          </w:p>
          <w:p w14:paraId="7FE1C7A0" w14:textId="69CF44DD" w:rsidR="00960E01" w:rsidRDefault="00821CB5">
            <w:pPr>
              <w:pStyle w:val="P68B1DB1-Normal67"/>
              <w:spacing w:line="276" w:lineRule="auto"/>
              <w:jc w:val="both"/>
              <w:rPr>
                <w:sz w:val="20"/>
              </w:rPr>
            </w:pPr>
            <w:r>
              <w:rPr>
                <w:sz w:val="20"/>
              </w:rPr>
              <w:t>Centralt forretningsområde i henhold til artikel 2, stk. 1, nr. 36), og artikel 2, stk. 2, i direktiv 2014/59/EU.</w:t>
            </w:r>
            <w:r>
              <w:t xml:space="preserve"> </w:t>
            </w:r>
          </w:p>
          <w:p w14:paraId="7FE1C7A1" w14:textId="77777777" w:rsidR="00960E01" w:rsidRDefault="00960E01">
            <w:pPr>
              <w:spacing w:line="276" w:lineRule="auto"/>
              <w:jc w:val="both"/>
              <w:rPr>
                <w:rFonts w:ascii="Times New Roman" w:hAnsi="Times New Roman"/>
                <w:sz w:val="20"/>
              </w:rPr>
            </w:pPr>
          </w:p>
        </w:tc>
      </w:tr>
      <w:tr w:rsidR="00960E01" w14:paraId="7FE1C7A7" w14:textId="77777777">
        <w:trPr>
          <w:trHeight w:val="450"/>
        </w:trPr>
        <w:tc>
          <w:tcPr>
            <w:tcW w:w="1418" w:type="dxa"/>
            <w:shd w:val="clear" w:color="auto" w:fill="FFFFFF"/>
          </w:tcPr>
          <w:p w14:paraId="7FE1C7A3" w14:textId="77777777" w:rsidR="00960E01" w:rsidRDefault="00821CB5">
            <w:pPr>
              <w:pStyle w:val="P68B1DB1-Normal64"/>
              <w:spacing w:before="120" w:after="120" w:line="276" w:lineRule="auto"/>
              <w:rPr>
                <w:szCs w:val="20"/>
              </w:rPr>
            </w:pPr>
            <w:r>
              <w:t>0030</w:t>
            </w:r>
          </w:p>
        </w:tc>
        <w:tc>
          <w:tcPr>
            <w:tcW w:w="7649" w:type="dxa"/>
            <w:shd w:val="clear" w:color="auto" w:fill="FFFFFF"/>
          </w:tcPr>
          <w:p w14:paraId="7FE1C7A4" w14:textId="77777777" w:rsidR="00960E01" w:rsidRDefault="00821CB5">
            <w:pPr>
              <w:pStyle w:val="P68B1DB1-Normal65"/>
              <w:spacing w:line="276" w:lineRule="auto"/>
              <w:jc w:val="both"/>
              <w:rPr>
                <w:bCs/>
              </w:rPr>
            </w:pPr>
            <w:r>
              <w:t>Navn</w:t>
            </w:r>
          </w:p>
          <w:p w14:paraId="7FE1C7A5" w14:textId="77777777" w:rsidR="00960E01" w:rsidRDefault="00821CB5">
            <w:pPr>
              <w:pStyle w:val="P68B1DB1-Normal64"/>
              <w:jc w:val="both"/>
            </w:pPr>
            <w:r>
              <w:t>Det er et af de centrale forretningsområder, der indberettes i skema Z 07.03 0010.</w:t>
            </w:r>
          </w:p>
          <w:p w14:paraId="7FE1C7A6" w14:textId="77777777" w:rsidR="00960E01" w:rsidRDefault="00960E01">
            <w:pPr>
              <w:spacing w:line="276" w:lineRule="auto"/>
              <w:jc w:val="both"/>
              <w:rPr>
                <w:rFonts w:ascii="Times New Roman" w:hAnsi="Times New Roman"/>
                <w:sz w:val="20"/>
              </w:rPr>
            </w:pPr>
          </w:p>
        </w:tc>
      </w:tr>
      <w:tr w:rsidR="00960E01" w14:paraId="7FE1C7AD" w14:textId="77777777">
        <w:trPr>
          <w:trHeight w:val="450"/>
        </w:trPr>
        <w:tc>
          <w:tcPr>
            <w:tcW w:w="1418" w:type="dxa"/>
            <w:shd w:val="clear" w:color="auto" w:fill="FFFFFF"/>
          </w:tcPr>
          <w:p w14:paraId="7FE1C7A8" w14:textId="77777777" w:rsidR="00960E01" w:rsidRDefault="00821CB5">
            <w:pPr>
              <w:pStyle w:val="P68B1DB1-Normal64"/>
              <w:spacing w:before="120" w:after="120" w:line="276" w:lineRule="auto"/>
              <w:rPr>
                <w:szCs w:val="20"/>
              </w:rPr>
            </w:pPr>
            <w:r>
              <w:t>0040</w:t>
            </w:r>
          </w:p>
        </w:tc>
        <w:tc>
          <w:tcPr>
            <w:tcW w:w="7649" w:type="dxa"/>
            <w:shd w:val="clear" w:color="auto" w:fill="FFFFFF"/>
          </w:tcPr>
          <w:p w14:paraId="7FE1C7A9" w14:textId="77777777" w:rsidR="00960E01" w:rsidRDefault="00821CB5">
            <w:pPr>
              <w:pStyle w:val="P68B1DB1-Normal65"/>
              <w:spacing w:line="276" w:lineRule="auto"/>
              <w:jc w:val="both"/>
              <w:rPr>
                <w:bCs/>
              </w:rPr>
            </w:pPr>
            <w:r>
              <w:t>ID</w:t>
            </w:r>
          </w:p>
          <w:p w14:paraId="7FE1C7AA" w14:textId="77777777" w:rsidR="00960E01" w:rsidRDefault="00821CB5">
            <w:pPr>
              <w:pStyle w:val="P68B1DB1-Normal64"/>
              <w:spacing w:line="276" w:lineRule="auto"/>
              <w:jc w:val="both"/>
            </w:pPr>
            <w:r>
              <w:t xml:space="preserve">ID for de centrale forretningsområder, hvis kontinuitet er nødvendig for en effektiv gennemførelse af afviklingsstrategien og enhver efterfølgende omstrukturering. Det er et af de ID-kort, der indberettes i skema Z 07.03 0020 </w:t>
            </w:r>
          </w:p>
          <w:p w14:paraId="7FE1C7AB" w14:textId="77777777" w:rsidR="00960E01" w:rsidRDefault="00960E01">
            <w:pPr>
              <w:spacing w:line="276" w:lineRule="auto"/>
              <w:jc w:val="both"/>
              <w:rPr>
                <w:rFonts w:ascii="Times New Roman" w:hAnsi="Times New Roman"/>
                <w:sz w:val="20"/>
              </w:rPr>
            </w:pPr>
          </w:p>
          <w:p w14:paraId="7FE1C7AC" w14:textId="77777777" w:rsidR="00960E01" w:rsidRDefault="00960E01">
            <w:pPr>
              <w:spacing w:line="276" w:lineRule="auto"/>
              <w:jc w:val="both"/>
              <w:rPr>
                <w:rFonts w:ascii="Times New Roman" w:hAnsi="Times New Roman"/>
                <w:sz w:val="20"/>
              </w:rPr>
            </w:pPr>
          </w:p>
        </w:tc>
      </w:tr>
    </w:tbl>
    <w:p w14:paraId="7FE1C7B8" w14:textId="77777777" w:rsidR="00960E01" w:rsidRDefault="00960E01">
      <w:pPr>
        <w:rPr>
          <w:rFonts w:ascii="Times New Roman" w:hAnsi="Times New Roman" w:cs="Times New Roman"/>
        </w:rPr>
      </w:pPr>
    </w:p>
    <w:p w14:paraId="7FE1C7B9" w14:textId="77777777" w:rsidR="00960E01" w:rsidRDefault="00960E01">
      <w:pPr>
        <w:pStyle w:val="Instructionsberschrift2"/>
        <w:rPr>
          <w:rFonts w:ascii="Times New Roman" w:eastAsia="Calibri" w:hAnsi="Times New Roman" w:cs="Times New Roman"/>
          <w:szCs w:val="20"/>
        </w:rPr>
      </w:pPr>
    </w:p>
    <w:p w14:paraId="7FE1C7BA" w14:textId="77777777" w:rsidR="00960E01" w:rsidRDefault="00821CB5">
      <w:pPr>
        <w:pStyle w:val="P68B1DB1-Instructionsberschrift271"/>
        <w:numPr>
          <w:ilvl w:val="1"/>
          <w:numId w:val="49"/>
        </w:numPr>
        <w:ind w:left="357" w:hanging="357"/>
      </w:pPr>
      <w:bookmarkStart w:id="135" w:name="_Toc208244578"/>
      <w:r>
        <w:t>FMI-tjenester</w:t>
      </w:r>
      <w:bookmarkEnd w:id="135"/>
    </w:p>
    <w:p w14:paraId="7FE1C7BC" w14:textId="227D5127" w:rsidR="00960E01" w:rsidRDefault="00821CB5">
      <w:pPr>
        <w:pStyle w:val="P68B1DB1-Numberedtitlelevel372"/>
      </w:pPr>
      <w:r>
        <w:t>Generelle bemærkninger</w:t>
      </w:r>
    </w:p>
    <w:p w14:paraId="7FE1C7BD" w14:textId="77777777" w:rsidR="00960E01" w:rsidRDefault="00821CB5">
      <w:pPr>
        <w:pStyle w:val="P68B1DB1-InstructionsText26"/>
        <w:numPr>
          <w:ilvl w:val="2"/>
          <w:numId w:val="209"/>
        </w:numPr>
        <w:spacing w:before="0"/>
        <w:ind w:left="1276"/>
      </w:pPr>
      <w:r>
        <w:t>Indberet al direkte og indirekte adgang til FMI'er og systemer som omhandlet i kolonne 0040 nedenfor. Dette skema indberettes én gang for hele instituttet eller koncernen.</w:t>
      </w:r>
    </w:p>
    <w:p w14:paraId="7FE1C7BE" w14:textId="77777777" w:rsidR="00960E01" w:rsidRDefault="00821CB5">
      <w:pPr>
        <w:pStyle w:val="P68B1DB1-InstructionsText26"/>
        <w:numPr>
          <w:ilvl w:val="2"/>
          <w:numId w:val="209"/>
        </w:numPr>
        <w:spacing w:before="0"/>
        <w:ind w:left="1276"/>
      </w:pPr>
      <w:r>
        <w:t>Et skema, der indberettes én gang for hele instituttet eller koncernen. Hver relevant juridisk enhed, der har adgang til en FMI, enten direkte eller indirekte, indberettes særskilt som bruger. Indberet både koncerninterne forbindelser og tredjepartsforbindelser.</w:t>
      </w:r>
    </w:p>
    <w:p w14:paraId="7FE1C7BF" w14:textId="5CCDA51A" w:rsidR="00960E01" w:rsidRDefault="00821CB5">
      <w:pPr>
        <w:pStyle w:val="P68B1DB1-ListParagraph32"/>
        <w:numPr>
          <w:ilvl w:val="2"/>
          <w:numId w:val="209"/>
        </w:numPr>
        <w:ind w:left="1276"/>
      </w:pPr>
      <w:r>
        <w:t>Kombinationen af værdier, der indberettes i kolonne 0030, 0040, 0070 og 0110 i dette skema, udgør en primær nøgle, som skal være unik for hver enkelt række i skemaet og indberettes som første kolonne i hvert skema.</w:t>
      </w:r>
    </w:p>
    <w:p w14:paraId="7FE1C7C0" w14:textId="77777777" w:rsidR="00960E01" w:rsidRDefault="00960E01">
      <w:pPr>
        <w:pStyle w:val="ListParagraph"/>
        <w:ind w:left="1276"/>
        <w:rPr>
          <w:rFonts w:ascii="Times New Roman" w:eastAsia="Times New Roman" w:hAnsi="Times New Roman"/>
          <w:sz w:val="20"/>
          <w:szCs w:val="20"/>
        </w:rPr>
      </w:pPr>
    </w:p>
    <w:p w14:paraId="7FE1C7C1" w14:textId="77777777" w:rsidR="00960E01" w:rsidRDefault="00821CB5">
      <w:pPr>
        <w:pStyle w:val="P68B1DB1-InstructionsText26"/>
        <w:numPr>
          <w:ilvl w:val="2"/>
          <w:numId w:val="209"/>
        </w:numPr>
        <w:spacing w:before="0"/>
        <w:ind w:left="1276"/>
      </w:pPr>
      <w:r>
        <w:t>Hvis mere end én post skal indberettes i felter i fri form, adskilles hver post med et semikolon (;).</w:t>
      </w:r>
    </w:p>
    <w:p w14:paraId="7FE1C7C2" w14:textId="77777777" w:rsidR="00960E01" w:rsidRDefault="00960E01">
      <w:pPr>
        <w:pStyle w:val="Instructionsberschrift2"/>
        <w:ind w:left="357"/>
        <w:rPr>
          <w:rFonts w:ascii="Times New Roman" w:eastAsia="Calibri" w:hAnsi="Times New Roman" w:cs="Times New Roman"/>
          <w:szCs w:val="20"/>
        </w:rPr>
      </w:pPr>
    </w:p>
    <w:p w14:paraId="7FE1C7C3" w14:textId="77777777" w:rsidR="00960E01" w:rsidRDefault="00821CB5">
      <w:pPr>
        <w:pStyle w:val="P68B1DB1-Instructionsberschrift271"/>
        <w:numPr>
          <w:ilvl w:val="1"/>
          <w:numId w:val="49"/>
        </w:numPr>
        <w:ind w:left="357" w:hanging="357"/>
      </w:pPr>
      <w:bookmarkStart w:id="136" w:name="_Toc208244579"/>
      <w:r>
        <w:t>Z 09.01 — FMI-tjenester — Udbydere og brugere (FMI 1)</w:t>
      </w:r>
      <w:bookmarkEnd w:id="136"/>
    </w:p>
    <w:p w14:paraId="7FE1C7C5" w14:textId="6BE08ACD" w:rsidR="00960E01" w:rsidRDefault="00960E01">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960E01"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960E01" w:rsidRDefault="00821CB5">
            <w:pPr>
              <w:pStyle w:val="P68B1DB1-TableParagraph17"/>
              <w:spacing w:before="108"/>
              <w:ind w:left="85"/>
            </w:pPr>
            <w:r>
              <w:t xml:space="preserve">Kolonner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960E01" w:rsidRDefault="00821CB5">
            <w:pPr>
              <w:pStyle w:val="P68B1DB1-TableParagraph17"/>
              <w:spacing w:before="108"/>
              <w:ind w:left="85"/>
            </w:pPr>
            <w:r>
              <w:t xml:space="preserve">Instrukser </w:t>
            </w:r>
          </w:p>
        </w:tc>
      </w:tr>
      <w:tr w:rsidR="00960E01"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960E01" w:rsidRDefault="00821CB5">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960E01" w:rsidRDefault="00821CB5">
            <w:pPr>
              <w:pStyle w:val="P68B1DB1-TableParagraph73"/>
              <w:spacing w:before="108"/>
              <w:jc w:val="both"/>
            </w:pPr>
            <w:r>
              <w:t>ID, der repræsenterer en kombination af bruger, FMI, systemtype og formidler</w:t>
            </w:r>
          </w:p>
          <w:p w14:paraId="7FE1C7CB" w14:textId="2039C9E5" w:rsidR="00960E01" w:rsidRDefault="00821CB5">
            <w:pPr>
              <w:pStyle w:val="P68B1DB1-Normal31"/>
            </w:pPr>
            <w:r>
              <w:lastRenderedPageBreak/>
              <w:t xml:space="preserve">Anvend en enkelt identifikator pr. række, som svarer til en unik kombination af bruger, FMI, systemtype og formidler. Det samme ID, der svarer til den samme kombination, skal anvendes i skema Z 09.01 til Z 09.04, hvor det er relevant. </w:t>
            </w:r>
          </w:p>
          <w:p w14:paraId="7FE1C7CC" w14:textId="77777777" w:rsidR="00960E01" w:rsidRDefault="00960E01">
            <w:pPr>
              <w:rPr>
                <w:rFonts w:ascii="Times New Roman" w:eastAsia="Times New Roman" w:hAnsi="Times New Roman" w:cs="Times New Roman"/>
                <w:sz w:val="20"/>
                <w:szCs w:val="20"/>
              </w:rPr>
            </w:pPr>
          </w:p>
        </w:tc>
      </w:tr>
      <w:tr w:rsidR="00960E01"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960E01" w:rsidRDefault="00821CB5">
            <w:pPr>
              <w:pStyle w:val="P68B1DB1-Normal74"/>
            </w:pPr>
            <w:r>
              <w:lastRenderedPageBreak/>
              <w:t>0020-0030</w:t>
            </w:r>
          </w:p>
        </w:tc>
        <w:tc>
          <w:tcPr>
            <w:tcW w:w="7832" w:type="dxa"/>
            <w:tcBorders>
              <w:top w:val="single" w:sz="8" w:space="0" w:color="auto"/>
              <w:left w:val="single" w:sz="8" w:space="0" w:color="auto"/>
              <w:bottom w:val="single" w:sz="8" w:space="0" w:color="auto"/>
            </w:tcBorders>
            <w:vAlign w:val="bottom"/>
          </w:tcPr>
          <w:p w14:paraId="7FE1C7CF" w14:textId="77777777" w:rsidR="00960E01" w:rsidRDefault="00821CB5">
            <w:pPr>
              <w:pStyle w:val="P68B1DB1-TableParagraph75"/>
              <w:spacing w:before="108"/>
              <w:ind w:left="85"/>
              <w:jc w:val="both"/>
              <w:rPr>
                <w:color w:val="D13438"/>
                <w:u w:val="single"/>
              </w:rPr>
            </w:pPr>
            <w:r>
              <w:t>Brugere</w:t>
            </w:r>
          </w:p>
        </w:tc>
      </w:tr>
      <w:tr w:rsidR="00960E01"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960E01" w:rsidRDefault="00821CB5">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960E01" w:rsidRDefault="00821CB5">
            <w:pPr>
              <w:pStyle w:val="P68B1DB1-TableParagraph73"/>
              <w:spacing w:before="108" w:after="120"/>
              <w:jc w:val="both"/>
            </w:pPr>
            <w:r>
              <w:t>Enhedens navn</w:t>
            </w:r>
          </w:p>
          <w:p w14:paraId="7FE1C7D3" w14:textId="1C1A6E42" w:rsidR="00960E01" w:rsidRDefault="00821CB5">
            <w:pPr>
              <w:pStyle w:val="P68B1DB1-TableParagraph40"/>
              <w:spacing w:before="108"/>
              <w:ind w:left="85"/>
              <w:jc w:val="both"/>
              <w:rPr>
                <w:b/>
                <w:bCs/>
                <w:i/>
                <w:iCs/>
                <w:color w:val="D13438"/>
                <w:u w:val="single"/>
              </w:rPr>
            </w:pPr>
            <w:r>
              <w:t xml:space="preserve">Navnet på den juridiske enhed, der benytter sig af betalings-, deponerings-, afviklings-, clearing- eller transaktionsregistertjenester, som indberettet i mal Z 01.01 — Juridiske enheder (ORG 1): Officielt navn, som det fremgår af selskabsdokumenterne, herunder angivelse af den juridiske form. </w:t>
            </w:r>
          </w:p>
        </w:tc>
      </w:tr>
      <w:tr w:rsidR="00960E01"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960E01" w:rsidRDefault="00821CB5">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960E01" w:rsidRDefault="00821CB5">
            <w:pPr>
              <w:pStyle w:val="P68B1DB1-TableParagraph73"/>
              <w:spacing w:before="108"/>
              <w:jc w:val="both"/>
            </w:pPr>
            <w:r>
              <w:t>Enhedskode</w:t>
            </w:r>
          </w:p>
          <w:p w14:paraId="7FE1C7D7" w14:textId="6DA7FBC1" w:rsidR="00960E01" w:rsidRDefault="00821CB5">
            <w:pPr>
              <w:pStyle w:val="P68B1DB1-TableParagraph40"/>
              <w:spacing w:before="108"/>
              <w:jc w:val="both"/>
            </w:pPr>
            <w:r>
              <w:t xml:space="preserve">20-cifret, alfanumerisk LEI-kode for den juridiske enhed, der benytter tjenester vedrørende betaling, deponering, afvikling, clearing eller transaktionsregistre, som indberettet i skema Z 01.01 — Juridiske enheder (ORG 1). </w:t>
            </w:r>
          </w:p>
          <w:p w14:paraId="7FE1C7D8" w14:textId="77777777" w:rsidR="00960E01" w:rsidRDefault="00821CB5">
            <w:pPr>
              <w:pStyle w:val="P68B1DB1-Normal31"/>
            </w:pPr>
            <w:r>
              <w:t xml:space="preserve">Hvis der ikke findes en LEI, skal enhedens entydige identifikator for monetære finansielle institutioner (MFI ID) til brug i RIAD anvendes. </w:t>
            </w:r>
          </w:p>
        </w:tc>
      </w:tr>
      <w:tr w:rsidR="00960E01"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960E01" w:rsidRDefault="00821CB5">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960E01" w:rsidRDefault="00821CB5">
            <w:pPr>
              <w:pStyle w:val="P68B1DB1-TableParagraph75"/>
              <w:spacing w:before="108"/>
              <w:ind w:left="85"/>
              <w:jc w:val="both"/>
            </w:pPr>
            <w:r>
              <w:t>Udbyder</w:t>
            </w:r>
          </w:p>
        </w:tc>
      </w:tr>
      <w:tr w:rsidR="00960E01"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960E01" w:rsidRDefault="00821CB5">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960E01" w:rsidRDefault="00821CB5">
            <w:pPr>
              <w:pStyle w:val="P68B1DB1-TableParagraph75"/>
              <w:spacing w:before="108"/>
              <w:ind w:left="85"/>
              <w:jc w:val="both"/>
            </w:pPr>
            <w:r>
              <w:t>FMI</w:t>
            </w:r>
          </w:p>
        </w:tc>
      </w:tr>
      <w:tr w:rsidR="00960E01"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960E01" w:rsidRDefault="00821CB5">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960E01" w:rsidRDefault="00821CB5">
            <w:pPr>
              <w:pStyle w:val="P68B1DB1-TableParagraph73"/>
              <w:spacing w:before="108"/>
              <w:ind w:left="85"/>
              <w:jc w:val="both"/>
            </w:pPr>
            <w:r>
              <w:t>Systemtype</w:t>
            </w:r>
          </w:p>
          <w:p w14:paraId="7FE1C7E2" w14:textId="77777777" w:rsidR="00960E01" w:rsidRDefault="00821CB5">
            <w:pPr>
              <w:pStyle w:val="P68B1DB1-TableParagraph40"/>
              <w:spacing w:before="108"/>
              <w:ind w:left="85"/>
              <w:jc w:val="both"/>
            </w:pPr>
            <w:r>
              <w:t>Typen af system, der leverer tjenester til brugeren. Angiv en af følgende typer:</w:t>
            </w:r>
          </w:p>
          <w:p w14:paraId="7FE1C7E3" w14:textId="64030D90" w:rsidR="00960E01" w:rsidRDefault="00821CB5">
            <w:pPr>
              <w:pStyle w:val="P68B1DB1-TableParagraph40"/>
              <w:spacing w:before="108"/>
              <w:ind w:left="85"/>
              <w:jc w:val="both"/>
            </w:pPr>
            <w:r>
              <w:t xml:space="preserve">Betalingssystemer </w:t>
            </w:r>
          </w:p>
          <w:p w14:paraId="7FE1C7E4" w14:textId="642C3011" w:rsidR="00960E01" w:rsidRDefault="00821CB5">
            <w:pPr>
              <w:pStyle w:val="P68B1DB1-TableParagraph40"/>
              <w:spacing w:before="108"/>
              <w:ind w:left="85"/>
              <w:jc w:val="both"/>
            </w:pPr>
            <w:r>
              <w:t>"CSD'er og ICSD'er":</w:t>
            </w:r>
          </w:p>
          <w:p w14:paraId="7FE1C7E5" w14:textId="513B4E7C" w:rsidR="00960E01" w:rsidRDefault="00821CB5">
            <w:pPr>
              <w:pStyle w:val="P68B1DB1-TableParagraph40"/>
              <w:spacing w:before="108"/>
              <w:ind w:left="85"/>
              <w:jc w:val="both"/>
            </w:pPr>
            <w:r>
              <w:t>"Sikkerhedsafviklingssystem":</w:t>
            </w:r>
          </w:p>
          <w:p w14:paraId="7FE1C7E6" w14:textId="61451372" w:rsidR="00960E01" w:rsidRDefault="00821CB5">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"Centrale modparter for værdipapirclearing":</w:t>
            </w:r>
            <w:r>
              <w:rPr>
                <w:rStyle w:val="FootnoteReference"/>
                <w:rFonts w:ascii="Times New Roman" w:eastAsia="Times New Roman" w:hAnsi="Times New Roman" w:cs="Times New Roman"/>
              </w:rPr>
              <w:footnoteReference w:id="29"/>
            </w:r>
          </w:p>
          <w:p w14:paraId="7FE1C7E7" w14:textId="75E09D2C" w:rsidR="00960E01" w:rsidRDefault="00821CB5">
            <w:pPr>
              <w:pStyle w:val="P68B1DB1-TableParagraph40"/>
              <w:spacing w:before="108"/>
              <w:ind w:left="85"/>
              <w:jc w:val="both"/>
            </w:pPr>
            <w:r>
              <w:t>"Centrale modparter for clearing af derivater":</w:t>
            </w:r>
          </w:p>
          <w:p w14:paraId="7FE1C7E8" w14:textId="44FAA23C" w:rsidR="00960E01" w:rsidRDefault="00821CB5">
            <w:pPr>
              <w:pStyle w:val="P68B1DB1-TableParagraph40"/>
              <w:spacing w:before="108"/>
              <w:ind w:left="85"/>
              <w:jc w:val="both"/>
            </w:pPr>
            <w:r>
              <w:t>"Registrerede transaktionsregistre."</w:t>
            </w:r>
          </w:p>
          <w:p w14:paraId="7FE1C7E9" w14:textId="424A35E7" w:rsidR="00960E01" w:rsidRDefault="00821CB5">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"Multilaterale handelssystemer":</w:t>
            </w:r>
            <w:r>
              <w:rPr>
                <w:rStyle w:val="FootnoteReference"/>
                <w:rFonts w:ascii="Times New Roman" w:eastAsia="Times New Roman" w:hAnsi="Times New Roman" w:cs="Times New Roman"/>
                <w:sz w:val="20"/>
                <w:szCs w:val="20"/>
              </w:rPr>
              <w:footnoteReference w:id="30"/>
            </w:r>
          </w:p>
          <w:p w14:paraId="7FE1C7EB" w14:textId="51093740" w:rsidR="00960E01" w:rsidRDefault="00821CB5">
            <w:pPr>
              <w:pStyle w:val="P68B1DB1-TableParagraph40"/>
              <w:spacing w:before="108"/>
              <w:ind w:left="85"/>
              <w:jc w:val="both"/>
            </w:pPr>
            <w:r>
              <w:t>"Kortordninger, der anvendes til detailbetalinger"</w:t>
            </w:r>
          </w:p>
          <w:p w14:paraId="7FE1C7EC" w14:textId="69997621" w:rsidR="00960E01" w:rsidRDefault="00821CB5">
            <w:pPr>
              <w:pStyle w:val="P68B1DB1-TableParagraph40"/>
              <w:spacing w:before="108"/>
              <w:ind w:left="85"/>
              <w:jc w:val="both"/>
            </w:pPr>
            <w:r>
              <w:t>"Ikke relevant" — For andre betalings-, clearing-, afviklings- eller deponeringstjenester, der leveres af en enhed, der ikke tilhører nogen af ovennævnte kategorier, f.eks. korrespondentbanker og/eller depotbanker, for hvilke instituttet ikke kan identificere de endelige FMI'er. I kolonne 0110 indberettes den leverede tjeneste.</w:t>
            </w:r>
          </w:p>
        </w:tc>
      </w:tr>
      <w:tr w:rsidR="00960E01"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960E01" w:rsidRDefault="00821CB5">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960E01" w:rsidRDefault="00821CB5">
            <w:pPr>
              <w:pStyle w:val="P68B1DB1-TableParagraph73"/>
              <w:spacing w:before="108"/>
              <w:ind w:left="85"/>
              <w:jc w:val="both"/>
            </w:pPr>
            <w:r>
              <w:t>FMI-navn</w:t>
            </w:r>
          </w:p>
          <w:p w14:paraId="7FE1C7F0" w14:textId="77777777" w:rsidR="00960E01" w:rsidRDefault="00821CB5">
            <w:pPr>
              <w:pStyle w:val="P68B1DB1-TableParagraph40"/>
              <w:spacing w:before="108"/>
              <w:ind w:left="85"/>
              <w:jc w:val="both"/>
            </w:pPr>
            <w:r>
              <w:t xml:space="preserve">Den finansielle markedsinfrastrukturs forretningsmæssige navn </w:t>
            </w:r>
          </w:p>
          <w:p w14:paraId="7FE1C7F1" w14:textId="6A71A5BE" w:rsidR="00960E01" w:rsidRDefault="00821CB5">
            <w:pPr>
              <w:pStyle w:val="P68B1DB1-TableParagraph40"/>
              <w:numPr>
                <w:ilvl w:val="0"/>
                <w:numId w:val="246"/>
              </w:numPr>
              <w:spacing w:before="108"/>
              <w:jc w:val="both"/>
            </w:pPr>
            <w:r>
              <w:t>Hvis det findes i kolonne 0050, det foruddefinerede FMI-navn, der er opført i bilag I til disse instrukser</w:t>
            </w:r>
          </w:p>
          <w:p w14:paraId="7FE1C7F2" w14:textId="77777777" w:rsidR="00960E01" w:rsidRDefault="00821CB5">
            <w:pPr>
              <w:pStyle w:val="P68B1DB1-TableParagraph40"/>
              <w:numPr>
                <w:ilvl w:val="0"/>
                <w:numId w:val="246"/>
              </w:numPr>
              <w:spacing w:before="108" w:after="120"/>
              <w:ind w:left="442" w:hanging="357"/>
              <w:jc w:val="both"/>
            </w:pPr>
            <w:r>
              <w:t xml:space="preserve">Hvis det ikke findes i kolonne 0050, angives navnet i fritekstkolonne 0060. </w:t>
            </w:r>
          </w:p>
          <w:p w14:paraId="7FE1C7F3" w14:textId="77777777" w:rsidR="00960E01" w:rsidRDefault="00821CB5">
            <w:pPr>
              <w:pStyle w:val="P68B1DB1-Normal31"/>
            </w:pPr>
            <w:r>
              <w:t xml:space="preserve">Disse kolonner udfyldes ikke, hvis der er angivet "Not applicable" i kolonne 0040. </w:t>
            </w:r>
          </w:p>
        </w:tc>
      </w:tr>
      <w:tr w:rsidR="00960E01"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960E01" w:rsidRDefault="00821CB5">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960E01" w:rsidRDefault="00821CB5">
            <w:pPr>
              <w:pStyle w:val="P68B1DB1-TableParagraph73"/>
              <w:spacing w:before="108"/>
              <w:ind w:left="85"/>
              <w:jc w:val="both"/>
            </w:pPr>
            <w:r>
              <w:t>FMI-kode</w:t>
            </w:r>
          </w:p>
          <w:p w14:paraId="7FE1C7F7" w14:textId="77777777" w:rsidR="00960E01" w:rsidRDefault="00821CB5">
            <w:pPr>
              <w:pStyle w:val="P68B1DB1-TableParagraph40"/>
              <w:spacing w:before="108"/>
              <w:ind w:left="85"/>
              <w:jc w:val="both"/>
            </w:pPr>
            <w:r>
              <w:t xml:space="preserve">FMI'ens 20-cifrede, alfanumeriske LEI-kode. </w:t>
            </w:r>
          </w:p>
          <w:p w14:paraId="7FE1C7F8" w14:textId="77777777" w:rsidR="00960E01" w:rsidRDefault="00821CB5">
            <w:pPr>
              <w:pStyle w:val="P68B1DB1-TableParagraph40"/>
              <w:spacing w:before="108"/>
              <w:ind w:left="85"/>
              <w:jc w:val="both"/>
            </w:pPr>
            <w:r>
              <w:lastRenderedPageBreak/>
              <w:t xml:space="preserve">Hvis FMI'en ikke har nogen LEI-kode, anvendes operatørens LEI-kode. </w:t>
            </w:r>
          </w:p>
          <w:p w14:paraId="7FE1C7F9" w14:textId="77777777" w:rsidR="00960E01" w:rsidRDefault="00821CB5">
            <w:pPr>
              <w:pStyle w:val="P68B1DB1-TableParagraph40"/>
              <w:spacing w:before="108"/>
              <w:ind w:left="85"/>
              <w:jc w:val="both"/>
            </w:pPr>
            <w:r>
              <w:t>Hvis "Ikke relevant (FMI-systemtype)" er indberettet i kolonne 0040, eller hvis FMI'en ikke har en kode, skal denne kolonne indeholde "NA".</w:t>
            </w:r>
          </w:p>
          <w:p w14:paraId="7FE1C7FA" w14:textId="77777777" w:rsidR="00960E01" w:rsidRDefault="00960E01">
            <w:pPr>
              <w:rPr>
                <w:rFonts w:ascii="Times New Roman" w:eastAsia="Times New Roman" w:hAnsi="Times New Roman" w:cs="Times New Roman"/>
                <w:color w:val="D13438"/>
                <w:sz w:val="20"/>
                <w:szCs w:val="20"/>
                <w:u w:val="single"/>
              </w:rPr>
            </w:pPr>
          </w:p>
        </w:tc>
      </w:tr>
      <w:tr w:rsidR="00960E01"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960E01" w:rsidRDefault="00821CB5">
            <w:pPr>
              <w:pStyle w:val="P68B1DB1-Normal31"/>
            </w:pPr>
            <w:r>
              <w:lastRenderedPageBreak/>
              <w:t>0080</w:t>
            </w:r>
          </w:p>
        </w:tc>
        <w:tc>
          <w:tcPr>
            <w:tcW w:w="7832" w:type="dxa"/>
            <w:tcBorders>
              <w:top w:val="single" w:sz="8" w:space="0" w:color="auto"/>
              <w:left w:val="single" w:sz="8" w:space="0" w:color="auto"/>
              <w:bottom w:val="single" w:sz="8" w:space="0" w:color="auto"/>
            </w:tcBorders>
            <w:vAlign w:val="bottom"/>
          </w:tcPr>
          <w:p w14:paraId="7FE1C7FD" w14:textId="77777777" w:rsidR="00960E01" w:rsidRDefault="00821CB5">
            <w:pPr>
              <w:pStyle w:val="P68B1DB1-Normal76"/>
              <w:spacing w:after="120"/>
            </w:pPr>
            <w:r>
              <w:t>FMI's operatør</w:t>
            </w:r>
          </w:p>
          <w:p w14:paraId="7FE1C7FE" w14:textId="77777777" w:rsidR="00960E01" w:rsidRDefault="00821CB5">
            <w:pPr>
              <w:pStyle w:val="P68B1DB1-Normal31"/>
              <w:rPr>
                <w:b/>
              </w:rPr>
            </w:pPr>
            <w:r>
              <w:t xml:space="preserve">Navn på operatøren af FMI'en. </w:t>
            </w:r>
          </w:p>
          <w:p w14:paraId="7FE1C7FF" w14:textId="77777777" w:rsidR="00960E01" w:rsidRDefault="00960E01">
            <w:pPr>
              <w:rPr>
                <w:rFonts w:ascii="Times New Roman" w:hAnsi="Times New Roman" w:cs="Times New Roman"/>
                <w:color w:val="D13438"/>
                <w:sz w:val="20"/>
                <w:szCs w:val="20"/>
                <w:highlight w:val="yellow"/>
                <w:u w:val="single"/>
              </w:rPr>
            </w:pPr>
          </w:p>
        </w:tc>
      </w:tr>
      <w:tr w:rsidR="00960E01"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960E01" w:rsidRDefault="00821CB5">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960E01" w:rsidRDefault="00821CB5">
            <w:pPr>
              <w:pStyle w:val="P68B1DB1-Normal76"/>
            </w:pPr>
            <w:r>
              <w:t>Deltagelsesform</w:t>
            </w:r>
          </w:p>
          <w:p w14:paraId="7FE1C803" w14:textId="77777777" w:rsidR="00960E01" w:rsidRDefault="00821CB5">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Angiv en af følgende værdier</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960E01" w:rsidRDefault="00821CB5">
            <w:pPr>
              <w:pStyle w:val="P68B1DB1-TableParagraph40"/>
              <w:numPr>
                <w:ilvl w:val="0"/>
                <w:numId w:val="181"/>
              </w:numPr>
              <w:spacing w:before="108"/>
              <w:jc w:val="both"/>
            </w:pPr>
            <w:r>
              <w:t xml:space="preserve">"Direkte" i tilfælde af direkte deltagelse i/medlemskab af FMI. </w:t>
            </w:r>
          </w:p>
          <w:p w14:paraId="7FE1C805" w14:textId="77777777" w:rsidR="00960E01" w:rsidRDefault="00821CB5">
            <w:pPr>
              <w:pStyle w:val="P68B1DB1-TableParagraph40"/>
              <w:numPr>
                <w:ilvl w:val="0"/>
                <w:numId w:val="181"/>
              </w:numPr>
              <w:spacing w:before="108"/>
              <w:jc w:val="both"/>
            </w:pPr>
            <w:r>
              <w:t xml:space="preserve">"Indirekte" i tilfælde af indirekte deltagelse i/medlemskab af FMI. </w:t>
            </w:r>
          </w:p>
          <w:p w14:paraId="7FE1C806" w14:textId="77777777" w:rsidR="00960E01" w:rsidRDefault="00821CB5">
            <w:pPr>
              <w:pStyle w:val="P68B1DB1-TableParagraph40"/>
              <w:numPr>
                <w:ilvl w:val="0"/>
                <w:numId w:val="181"/>
              </w:numPr>
              <w:spacing w:before="108"/>
              <w:jc w:val="both"/>
              <w:rPr>
                <w:b/>
              </w:rPr>
            </w:pPr>
            <w:r>
              <w:t>"Ikke relevant (måde for deltagelse i FMI)", når "Ikke relevant (FMI-systemtype)" er angivet i kolonne 0040.</w:t>
            </w:r>
          </w:p>
          <w:p w14:paraId="7FE1C807" w14:textId="77777777" w:rsidR="00960E01" w:rsidRDefault="00960E01">
            <w:pPr>
              <w:pStyle w:val="TableParagraph"/>
              <w:spacing w:before="108"/>
              <w:ind w:left="85"/>
              <w:jc w:val="both"/>
              <w:rPr>
                <w:rFonts w:ascii="Times New Roman" w:eastAsia="Times New Roman" w:hAnsi="Times New Roman" w:cs="Times New Roman"/>
                <w:b/>
                <w:sz w:val="20"/>
                <w:szCs w:val="20"/>
              </w:rPr>
            </w:pPr>
          </w:p>
        </w:tc>
      </w:tr>
      <w:tr w:rsidR="00960E01"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960E01" w:rsidRDefault="00821CB5">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960E01" w:rsidRDefault="00821CB5">
            <w:pPr>
              <w:pStyle w:val="P68B1DB1-TableParagraph75"/>
              <w:spacing w:before="108"/>
              <w:ind w:left="85"/>
              <w:jc w:val="both"/>
            </w:pPr>
            <w:r>
              <w:t>Mellemmand</w:t>
            </w:r>
          </w:p>
        </w:tc>
      </w:tr>
      <w:tr w:rsidR="00960E01"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960E01" w:rsidRDefault="00821CB5">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960E01" w:rsidRDefault="00821CB5">
            <w:pPr>
              <w:pStyle w:val="P68B1DB1-Normal76"/>
            </w:pPr>
            <w:r>
              <w:t>Formidlerens navn</w:t>
            </w:r>
          </w:p>
          <w:p w14:paraId="7FE1C80E" w14:textId="77777777" w:rsidR="00960E01" w:rsidRDefault="00821CB5">
            <w:pPr>
              <w:pStyle w:val="P68B1DB1-TableParagraph40"/>
              <w:spacing w:before="108"/>
              <w:ind w:left="85"/>
              <w:jc w:val="both"/>
            </w:pPr>
            <w:r>
              <w:t xml:space="preserve">Firmanavn på den formidler, som brugeren har et kontraktforhold med, og hvilke udbydere der har adgang til FMI'en. Skal indberettes, når "Indirekte" eller "Ikke relevant (måde for deltagelse i FMI)" indberettes i kolonne 0100 "Deltagelsesmåde". </w:t>
            </w:r>
          </w:p>
          <w:p w14:paraId="7FE1C80F" w14:textId="77777777" w:rsidR="00960E01" w:rsidRDefault="00821CB5">
            <w:pPr>
              <w:pStyle w:val="P68B1DB1-TableParagraph40"/>
              <w:spacing w:before="108"/>
              <w:ind w:left="85"/>
              <w:jc w:val="both"/>
            </w:pPr>
            <w:r>
              <w:t>Hvis formidleren tilbyder indirekte adgang til flere FMI'er, udfyldes én linje pr. FMI, som formidleren tilbyder indirekte adgang til.</w:t>
            </w:r>
          </w:p>
          <w:p w14:paraId="7FE1C810" w14:textId="77777777" w:rsidR="00960E01" w:rsidRDefault="00821CB5">
            <w:pPr>
              <w:pStyle w:val="P68B1DB1-TableParagraph40"/>
              <w:spacing w:before="108"/>
              <w:ind w:left="85"/>
              <w:jc w:val="both"/>
              <w:rPr>
                <w:b/>
              </w:rPr>
            </w:pPr>
            <w:r>
              <w:t>Denne kolonne udfyldes ikke, hvis der er angivet "Direct" i kolonne 0090.</w:t>
            </w:r>
          </w:p>
        </w:tc>
      </w:tr>
      <w:tr w:rsidR="00960E01"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960E01" w:rsidRDefault="00821CB5">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960E01" w:rsidRDefault="00821CB5">
            <w:pPr>
              <w:pStyle w:val="P68B1DB1-Normal76"/>
            </w:pPr>
            <w:r>
              <w:t>Mellemliggende kode</w:t>
            </w:r>
          </w:p>
          <w:p w14:paraId="7FE1C814" w14:textId="77777777" w:rsidR="00960E01" w:rsidRDefault="00821CB5">
            <w:pPr>
              <w:pStyle w:val="P68B1DB1-TableParagraph40"/>
              <w:spacing w:before="108"/>
              <w:ind w:left="85"/>
              <w:jc w:val="both"/>
            </w:pPr>
            <w:r>
              <w:t xml:space="preserve">Mellemhandlerens 20-cifrede, alfanumeriske LEI-kode. </w:t>
            </w:r>
          </w:p>
          <w:p w14:paraId="7FE1C815" w14:textId="77777777" w:rsidR="00960E01" w:rsidRDefault="00821CB5">
            <w:pPr>
              <w:pStyle w:val="P68B1DB1-TableParagraph13"/>
              <w:spacing w:before="108"/>
              <w:ind w:left="85"/>
              <w:jc w:val="both"/>
              <w:rPr>
                <w:rFonts w:eastAsia="Cambria"/>
              </w:rPr>
            </w:pPr>
            <w:r>
              <w:t>Kodetypen skal helst være LEI-koden.</w:t>
            </w:r>
          </w:p>
          <w:p w14:paraId="7FE1C816" w14:textId="77777777" w:rsidR="00960E01" w:rsidRDefault="00821CB5">
            <w:pPr>
              <w:pStyle w:val="P68B1DB1-TableParagraph17"/>
              <w:spacing w:before="108"/>
            </w:pPr>
            <w:r>
              <w:t xml:space="preserve">  Hvis LEI-koden ikke er tilgængelig, indberettes et MFI-ID, eller hvis en sådan ikke foreligger, en national kode.</w:t>
            </w:r>
          </w:p>
          <w:p w14:paraId="7FE1C817" w14:textId="3F55AEB3" w:rsidR="00960E01" w:rsidRDefault="00821CB5">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Identifikationen af enheder foretages på en ensartet måde i skema Z 09.01 til Z 09.05, hvor det er relevant.</w:t>
            </w:r>
            <w:r>
              <w:rPr>
                <w:rFonts w:ascii="Times New Roman" w:eastAsia="Times New Roman" w:hAnsi="Times New Roman" w:cs="Times New Roman"/>
              </w:rPr>
              <w:t xml:space="preserve"> </w:t>
            </w:r>
          </w:p>
          <w:p w14:paraId="7FE1C818" w14:textId="77777777" w:rsidR="00960E01" w:rsidRDefault="00821CB5">
            <w:pPr>
              <w:pStyle w:val="P68B1DB1-TableParagraph40"/>
              <w:spacing w:before="108"/>
              <w:ind w:left="85"/>
              <w:jc w:val="both"/>
              <w:rPr>
                <w:b/>
              </w:rPr>
            </w:pPr>
            <w:r>
              <w:t>Denne kolonne udfyldes ikke, hvis der er angivet "Direct" i kolonne 0090.</w:t>
            </w:r>
          </w:p>
        </w:tc>
      </w:tr>
      <w:tr w:rsidR="00960E01"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960E01" w:rsidRDefault="00821CB5">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960E01" w:rsidRDefault="00821CB5">
            <w:pPr>
              <w:pStyle w:val="P68B1DB1-Normal77"/>
              <w:rPr>
                <w:color w:val="D13438"/>
                <w:u w:val="single"/>
              </w:rPr>
            </w:pPr>
            <w:r>
              <w:t>Kontrakter og tjenesteydelser</w:t>
            </w:r>
          </w:p>
        </w:tc>
      </w:tr>
      <w:tr w:rsidR="00960E01"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960E01" w:rsidRDefault="00821CB5">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960E01" w:rsidRDefault="00821CB5">
            <w:pPr>
              <w:pStyle w:val="P68B1DB1-TableParagraph73"/>
              <w:spacing w:before="108"/>
              <w:ind w:left="85"/>
              <w:jc w:val="both"/>
            </w:pPr>
            <w:r>
              <w:t>Kontrakt-ID</w:t>
            </w:r>
          </w:p>
          <w:p w14:paraId="7FE1C81F" w14:textId="77777777" w:rsidR="00960E01" w:rsidRDefault="00821CB5">
            <w:pPr>
              <w:pStyle w:val="P68B1DB1-TableParagraph40"/>
              <w:spacing w:before="108"/>
              <w:jc w:val="both"/>
              <w:rPr>
                <w:b/>
              </w:rPr>
            </w:pPr>
            <w:r>
              <w:t>Brugerens interne identifikator for kontrakten, som regulerer forholdet til den FMI/formidler, der leverer tjenesten.</w:t>
            </w:r>
          </w:p>
        </w:tc>
      </w:tr>
      <w:tr w:rsidR="00960E01"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960E01" w:rsidRDefault="00821CB5">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960E01" w:rsidRDefault="00821CB5">
            <w:pPr>
              <w:pStyle w:val="P68B1DB1-TableParagraph73"/>
              <w:spacing w:before="108"/>
              <w:ind w:left="85"/>
              <w:jc w:val="both"/>
              <w:rPr>
                <w:bCs/>
              </w:rPr>
            </w:pPr>
            <w:r>
              <w:t>Gældende lovgivning</w:t>
            </w:r>
          </w:p>
          <w:p w14:paraId="7FE1C823" w14:textId="77777777" w:rsidR="00960E01" w:rsidRDefault="00821CB5">
            <w:pPr>
              <w:pStyle w:val="P68B1DB1-TableParagraph40"/>
              <w:spacing w:before="108"/>
              <w:ind w:left="85"/>
              <w:jc w:val="both"/>
            </w:pPr>
            <w:r>
              <w:t xml:space="preserve">Identifikation med tobogstavskoden efter ISO 3166-1-standarden for det land, hvis lovgivning regulerer det kontraktuelle forhold til FMI'en. </w:t>
            </w:r>
          </w:p>
          <w:p w14:paraId="7FE1C824" w14:textId="77777777" w:rsidR="00960E01" w:rsidRDefault="00821CB5">
            <w:pPr>
              <w:pStyle w:val="P68B1DB1-TableParagraph40"/>
              <w:numPr>
                <w:ilvl w:val="0"/>
                <w:numId w:val="247"/>
              </w:numPr>
              <w:spacing w:before="108"/>
              <w:jc w:val="both"/>
              <w:rPr>
                <w:b/>
                <w:bCs/>
              </w:rPr>
            </w:pPr>
            <w:r>
              <w:t>For direkte adgang, gældende lovgivning for kontrakten mellem FMI og brugeren</w:t>
            </w:r>
          </w:p>
          <w:p w14:paraId="7FE1C825" w14:textId="77777777" w:rsidR="00960E01" w:rsidRDefault="00821CB5">
            <w:pPr>
              <w:pStyle w:val="P68B1DB1-TableParagraph40"/>
              <w:numPr>
                <w:ilvl w:val="0"/>
                <w:numId w:val="247"/>
              </w:numPr>
              <w:spacing w:before="108"/>
              <w:jc w:val="both"/>
            </w:pPr>
            <w:r>
              <w:t xml:space="preserve">For så vidt angår indirekte adgang, den lovgivning, der gælder for kontrakten mellem </w:t>
            </w:r>
            <w:r>
              <w:lastRenderedPageBreak/>
              <w:t>formidleren og brugeren.</w:t>
            </w:r>
          </w:p>
        </w:tc>
      </w:tr>
      <w:tr w:rsidR="00960E01"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960E01" w:rsidRDefault="00821CB5">
            <w:pPr>
              <w:pStyle w:val="P68B1DB1-Normal31"/>
            </w:pPr>
            <w:r>
              <w:lastRenderedPageBreak/>
              <w:t>0140</w:t>
            </w:r>
          </w:p>
        </w:tc>
        <w:tc>
          <w:tcPr>
            <w:tcW w:w="7832" w:type="dxa"/>
            <w:tcBorders>
              <w:top w:val="single" w:sz="8" w:space="0" w:color="auto"/>
              <w:left w:val="single" w:sz="8" w:space="0" w:color="auto"/>
              <w:bottom w:val="single" w:sz="8" w:space="0" w:color="auto"/>
            </w:tcBorders>
            <w:vAlign w:val="bottom"/>
          </w:tcPr>
          <w:p w14:paraId="7FE1C828" w14:textId="77777777" w:rsidR="00960E01" w:rsidRDefault="00821CB5">
            <w:pPr>
              <w:pStyle w:val="P68B1DB1-TableParagraph73"/>
              <w:spacing w:before="108"/>
              <w:ind w:left="85"/>
              <w:jc w:val="both"/>
              <w:rPr>
                <w:bCs/>
              </w:rPr>
            </w:pPr>
            <w:r>
              <w:t xml:space="preserve">Kontrakt, der er modstandsdygtig over for afvikling </w:t>
            </w:r>
          </w:p>
          <w:p w14:paraId="7FE1C829" w14:textId="77777777" w:rsidR="00960E01" w:rsidRDefault="00821CB5">
            <w:pPr>
              <w:pStyle w:val="P68B1DB1-TableParagraph40"/>
              <w:spacing w:before="108"/>
              <w:ind w:left="85"/>
              <w:jc w:val="both"/>
            </w:pPr>
            <w:r>
              <w:t>Angiv en af følgende værdier:</w:t>
            </w:r>
          </w:p>
          <w:p w14:paraId="7FE1C82A" w14:textId="6A33252E" w:rsidR="00960E01" w:rsidRDefault="00821CB5">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 — hvis den regnskabsaflæggende virksomhed har vurderet, at kontrakten er afviklingsresistent</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960E01" w:rsidRDefault="00821CB5">
            <w:pPr>
              <w:pStyle w:val="P68B1DB1-TableParagraph40"/>
              <w:spacing w:before="108"/>
              <w:ind w:left="85"/>
              <w:jc w:val="both"/>
            </w:pPr>
            <w:r>
              <w:t>"Nej" — hvis den regnskabsaflæggende virksomhed har vurderet, at kontrakten ikke er afviklingsresistent.</w:t>
            </w:r>
          </w:p>
          <w:p w14:paraId="7FE1C82C" w14:textId="77777777" w:rsidR="00960E01" w:rsidRDefault="00821CB5">
            <w:pPr>
              <w:pStyle w:val="P68B1DB1-TableParagraph40"/>
              <w:spacing w:before="108"/>
              <w:ind w:left="85"/>
              <w:jc w:val="both"/>
            </w:pPr>
            <w:r>
              <w:t>"Ikke vurderet" — hvis oplysningerne ikke foreligger.</w:t>
            </w:r>
          </w:p>
          <w:p w14:paraId="7FE1C82D" w14:textId="77777777" w:rsidR="00960E01" w:rsidRDefault="00821CB5">
            <w:pPr>
              <w:pStyle w:val="P68B1DB1-TableParagraph40"/>
              <w:spacing w:before="108"/>
              <w:ind w:left="85"/>
              <w:jc w:val="both"/>
              <w:rPr>
                <w:b/>
                <w:bCs/>
                <w:i/>
                <w:iCs/>
                <w:u w:val="single"/>
              </w:rPr>
            </w:pPr>
            <w:r>
              <w:t xml:space="preserve">Kun indberet for formidlere. Rapport "Y" for alle kontrakter i henhold til EØS-retten.  </w:t>
            </w:r>
          </w:p>
        </w:tc>
      </w:tr>
      <w:tr w:rsidR="00960E01"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960E01" w:rsidRDefault="00821CB5">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960E01" w:rsidRDefault="00821CB5">
            <w:pPr>
              <w:pStyle w:val="P68B1DB1-TableParagraph73"/>
              <w:spacing w:before="108"/>
              <w:ind w:left="85"/>
              <w:jc w:val="both"/>
            </w:pPr>
            <w:r>
              <w:t>Valutaer, der er relevante for den indberettende enhed</w:t>
            </w:r>
          </w:p>
          <w:p w14:paraId="7FE1C831" w14:textId="77777777" w:rsidR="00960E01" w:rsidRDefault="00821CB5">
            <w:pPr>
              <w:pStyle w:val="P68B1DB1-TableParagraph40"/>
              <w:spacing w:before="108"/>
              <w:ind w:left="85"/>
              <w:jc w:val="both"/>
            </w:pPr>
            <w:r>
              <w:t>Valutaer, i hvilke den indberettende enheds transaktioner accepteres og afvikles i systemet. Kun valutaer, der tegner sig for mindst 5 % af det indberettende instituts samlede transaktioner med FMI'en/formidleren, skal indberettes.</w:t>
            </w:r>
          </w:p>
          <w:p w14:paraId="7FE1C832" w14:textId="77777777" w:rsidR="00960E01" w:rsidRDefault="00821CB5">
            <w:pPr>
              <w:pStyle w:val="P68B1DB1-TableParagraph40"/>
              <w:spacing w:before="108"/>
              <w:ind w:left="85"/>
              <w:jc w:val="both"/>
              <w:rPr>
                <w:b/>
              </w:rPr>
            </w:pPr>
            <w:r>
              <w:t>Kolonne 150-200 udelukker ikke hinanden. For "andre valutaer" (kolonne 0170): Valutaens/valutaernes ISO 4217-3-bogstavkode.</w:t>
            </w:r>
          </w:p>
        </w:tc>
      </w:tr>
      <w:tr w:rsidR="00960E01"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960E01" w:rsidRDefault="00821CB5">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960E01" w:rsidRDefault="00821CB5">
            <w:pPr>
              <w:pStyle w:val="P68B1DB1-TableParagraph73"/>
              <w:spacing w:before="108"/>
              <w:ind w:left="85"/>
              <w:jc w:val="both"/>
            </w:pPr>
            <w:r>
              <w:t>Tjenester leveret til FMI/formidler</w:t>
            </w:r>
          </w:p>
          <w:p w14:paraId="7FE1C836" w14:textId="3FA389EC" w:rsidR="00960E01" w:rsidRDefault="00821CB5">
            <w:pPr>
              <w:pStyle w:val="P68B1DB1-TableParagraph40"/>
              <w:spacing w:before="108"/>
              <w:ind w:left="85"/>
              <w:jc w:val="both"/>
            </w:pPr>
            <w:r>
              <w:t xml:space="preserve">Indberet kun, når brugeren leverer tjenester til FMI'en/formidleren såsom prisudbyder, likviditetsstiller, kontantafvikling (angiv valuta), deponering, indirekte adgang til (udenlandske) CSD'er, investeringsmodpart eller andet. </w:t>
            </w:r>
          </w:p>
        </w:tc>
      </w:tr>
      <w:tr w:rsidR="00960E01"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960E01" w:rsidRDefault="00821CB5">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960E01" w:rsidRDefault="00821CB5">
            <w:pPr>
              <w:pStyle w:val="P68B1DB1-TableParagraph73"/>
              <w:spacing w:before="108"/>
              <w:ind w:left="85"/>
              <w:jc w:val="both"/>
            </w:pPr>
            <w:r>
              <w:t>Tjenester leveret af FMI/formidler</w:t>
            </w:r>
          </w:p>
          <w:p w14:paraId="7FE1C83A" w14:textId="77777777" w:rsidR="00960E01" w:rsidRDefault="00821CB5">
            <w:pPr>
              <w:pStyle w:val="P68B1DB1-TableParagraph40"/>
              <w:spacing w:before="108"/>
              <w:ind w:left="85"/>
              <w:jc w:val="both"/>
            </w:pPr>
            <w:r>
              <w:t>Tjenester, som FMI'en/formidleren leverer til den indberettende enhed. Indberet, hvis 0040 er "NA".</w:t>
            </w:r>
          </w:p>
        </w:tc>
      </w:tr>
      <w:tr w:rsidR="00960E01"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960E01" w:rsidRDefault="00821CB5">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960E01" w:rsidRDefault="00821CB5">
            <w:pPr>
              <w:pStyle w:val="P68B1DB1-TableParagraph75"/>
              <w:spacing w:before="108"/>
              <w:ind w:left="85"/>
              <w:jc w:val="both"/>
            </w:pPr>
            <w:r>
              <w:t>Tjenesteudøvere</w:t>
            </w:r>
          </w:p>
        </w:tc>
      </w:tr>
      <w:tr w:rsidR="00960E01"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960E01" w:rsidRDefault="00821CB5">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960E01" w:rsidRDefault="00821CB5">
            <w:pPr>
              <w:pStyle w:val="P68B1DB1-TableParagraph73"/>
              <w:spacing w:before="108"/>
              <w:ind w:left="85"/>
              <w:jc w:val="both"/>
            </w:pPr>
            <w:r>
              <w:t>Kommunikationstjenester</w:t>
            </w:r>
          </w:p>
          <w:p w14:paraId="7FE1C841" w14:textId="7B818514" w:rsidR="00960E01" w:rsidRDefault="00821CB5">
            <w:pPr>
              <w:pStyle w:val="P68B1DB1-TableParagraph40"/>
              <w:spacing w:before="108"/>
              <w:ind w:left="85"/>
              <w:jc w:val="both"/>
            </w:pPr>
            <w:r>
              <w:t xml:space="preserve">Udbydere af kommunikationstjenester, som instituttet anvender til at få adgang til FMI'en. Kolonne 230-250 udelukker ikke hinanden. </w:t>
            </w:r>
          </w:p>
          <w:p w14:paraId="32DB4B00" w14:textId="4CF151D4" w:rsidR="00960E01" w:rsidRDefault="00821CB5">
            <w:pPr>
              <w:pStyle w:val="P68B1DB1-TableParagraph40"/>
              <w:spacing w:before="108"/>
              <w:ind w:left="85"/>
              <w:jc w:val="both"/>
            </w:pPr>
            <w:r>
              <w:t>For "FMI propriality" -c0230 og "SWIFT" -c0240, rapport</w:t>
            </w:r>
            <w:r w:rsidR="00FD55E0">
              <w:t>ér</w:t>
            </w:r>
            <w:r>
              <w:t>:</w:t>
            </w:r>
          </w:p>
          <w:p w14:paraId="1D0FFCBE" w14:textId="0E775EBB" w:rsidR="00960E01" w:rsidRDefault="007A4721">
            <w:pPr>
              <w:pStyle w:val="P68B1DB1-TableParagraph40"/>
              <w:numPr>
                <w:ilvl w:val="0"/>
                <w:numId w:val="181"/>
              </w:numPr>
              <w:spacing w:before="108"/>
              <w:jc w:val="both"/>
            </w:pPr>
            <w:r>
              <w:t>Ja</w:t>
            </w:r>
          </w:p>
          <w:p w14:paraId="26472FE9" w14:textId="1479D7B2" w:rsidR="00960E01" w:rsidRDefault="007A4721">
            <w:pPr>
              <w:pStyle w:val="P68B1DB1-TableParagraph40"/>
              <w:numPr>
                <w:ilvl w:val="0"/>
                <w:numId w:val="181"/>
              </w:numPr>
              <w:spacing w:before="108"/>
              <w:jc w:val="both"/>
            </w:pPr>
            <w:r>
              <w:t>Nej</w:t>
            </w:r>
          </w:p>
          <w:p w14:paraId="7FE1C842" w14:textId="0C70DB31" w:rsidR="00960E01" w:rsidRDefault="00821CB5">
            <w:pPr>
              <w:pStyle w:val="P68B1DB1-TableParagraph40"/>
              <w:spacing w:before="108"/>
              <w:ind w:left="85"/>
              <w:jc w:val="both"/>
            </w:pPr>
            <w:r>
              <w:t>For "Andre udbydere af kommunikationstjenester" — c0250: indberet udbyderens firmanavn.</w:t>
            </w:r>
          </w:p>
        </w:tc>
      </w:tr>
      <w:tr w:rsidR="00960E01"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960E01" w:rsidRDefault="00821CB5">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960E01" w:rsidRDefault="00821CB5">
            <w:pPr>
              <w:pStyle w:val="P68B1DB1-TableParagraph75"/>
              <w:spacing w:before="108"/>
              <w:ind w:left="85"/>
              <w:jc w:val="both"/>
            </w:pPr>
            <w:r>
              <w:t>Andre tjenesteydere, der giver adgang til FMI</w:t>
            </w:r>
          </w:p>
        </w:tc>
      </w:tr>
      <w:tr w:rsidR="00960E01"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960E01" w:rsidRDefault="00821CB5">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960E01" w:rsidRDefault="00821CB5">
            <w:pPr>
              <w:pStyle w:val="P68B1DB1-TableParagraph73"/>
              <w:spacing w:before="108"/>
              <w:ind w:left="85"/>
            </w:pPr>
            <w:r>
              <w:t xml:space="preserve">Navn på yderligere tjenesteydere </w:t>
            </w:r>
          </w:p>
          <w:p w14:paraId="7FE1C849" w14:textId="77777777" w:rsidR="00960E01" w:rsidRDefault="00821CB5">
            <w:pPr>
              <w:pStyle w:val="P68B1DB1-TableParagraph40"/>
              <w:spacing w:before="108"/>
              <w:ind w:left="85"/>
              <w:jc w:val="both"/>
              <w:rPr>
                <w:b/>
              </w:rPr>
            </w:pPr>
            <w:r>
              <w:t xml:space="preserve">Andre udbydere end formidleren, som er strengt nødvendige for brugeren, hvis det er relevant: afviklingsbank, kontant korrespondent/nostroagent, likviditetsstiller.  </w:t>
            </w:r>
            <w:r>
              <w:br/>
              <w:t>Leverandørernes handelsbetegnelse.</w:t>
            </w:r>
          </w:p>
        </w:tc>
      </w:tr>
      <w:tr w:rsidR="00960E01"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960E01" w:rsidRDefault="00821CB5">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960E01" w:rsidRDefault="00821CB5">
            <w:pPr>
              <w:pStyle w:val="P68B1DB1-TableParagraph73"/>
              <w:spacing w:before="108"/>
              <w:ind w:left="85"/>
              <w:jc w:val="both"/>
            </w:pPr>
            <w:r>
              <w:t xml:space="preserve">Supplerende tjenesteydelser </w:t>
            </w:r>
          </w:p>
          <w:p w14:paraId="7FE1C84D" w14:textId="77777777" w:rsidR="00960E01" w:rsidRDefault="00821CB5">
            <w:pPr>
              <w:pStyle w:val="P68B1DB1-TableParagraph40"/>
              <w:spacing w:before="108"/>
              <w:ind w:left="85"/>
              <w:jc w:val="both"/>
              <w:rPr>
                <w:b/>
              </w:rPr>
            </w:pPr>
            <w:r>
              <w:t xml:space="preserve">Tjenester fra udbydere indberettet i 0260. </w:t>
            </w:r>
          </w:p>
        </w:tc>
      </w:tr>
      <w:tr w:rsidR="00960E01"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960E01" w:rsidRDefault="00821CB5">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960E01" w:rsidRDefault="00821CB5">
            <w:pPr>
              <w:pStyle w:val="P68B1DB1-TableParagraph73"/>
              <w:spacing w:before="108"/>
              <w:ind w:left="85"/>
              <w:jc w:val="both"/>
            </w:pPr>
            <w:r>
              <w:t>Kontaktpunkt hos FMI/formidler</w:t>
            </w:r>
          </w:p>
          <w:p w14:paraId="7FE1C851" w14:textId="77777777" w:rsidR="00960E01" w:rsidRDefault="00821CB5">
            <w:pPr>
              <w:pStyle w:val="P68B1DB1-TableParagraph40"/>
              <w:spacing w:before="108"/>
              <w:ind w:left="85"/>
              <w:jc w:val="both"/>
            </w:pPr>
            <w:r>
              <w:t>Kontaktpunkt ved FMI'en i tilfælde af afvikling af den indberettende enhed. Betænkning:</w:t>
            </w:r>
          </w:p>
          <w:p w14:paraId="7FE1C852" w14:textId="77777777" w:rsidR="00960E01" w:rsidRDefault="00821CB5">
            <w:pPr>
              <w:pStyle w:val="P68B1DB1-TableParagraph40"/>
              <w:numPr>
                <w:ilvl w:val="0"/>
                <w:numId w:val="181"/>
              </w:numPr>
              <w:ind w:left="799" w:hanging="357"/>
              <w:jc w:val="both"/>
            </w:pPr>
            <w:r>
              <w:t>Navn</w:t>
            </w:r>
          </w:p>
          <w:p w14:paraId="7FE1C853" w14:textId="77777777" w:rsidR="00960E01" w:rsidRDefault="00821CB5">
            <w:pPr>
              <w:pStyle w:val="P68B1DB1-TableParagraph40"/>
              <w:numPr>
                <w:ilvl w:val="0"/>
                <w:numId w:val="181"/>
              </w:numPr>
              <w:ind w:left="799" w:hanging="357"/>
              <w:jc w:val="both"/>
            </w:pPr>
            <w:r>
              <w:t>Stillingsbetegnelse</w:t>
            </w:r>
          </w:p>
          <w:p w14:paraId="7FE1C854" w14:textId="5FE95CD9" w:rsidR="00960E01" w:rsidRDefault="00821CB5">
            <w:pPr>
              <w:pStyle w:val="P68B1DB1-TableParagraph40"/>
              <w:numPr>
                <w:ilvl w:val="0"/>
                <w:numId w:val="181"/>
              </w:numPr>
              <w:ind w:left="799" w:hanging="357"/>
              <w:jc w:val="both"/>
            </w:pPr>
            <w:r>
              <w:lastRenderedPageBreak/>
              <w:t>E-mailadresse</w:t>
            </w:r>
          </w:p>
        </w:tc>
      </w:tr>
    </w:tbl>
    <w:p w14:paraId="7FE1C856" w14:textId="77777777" w:rsidR="00960E01" w:rsidRDefault="00821CB5">
      <w:pPr>
        <w:pStyle w:val="P68B1DB1-Normal78"/>
      </w:pPr>
      <w:r>
        <w:lastRenderedPageBreak/>
        <w:br/>
      </w:r>
      <w:r>
        <w:br/>
      </w:r>
    </w:p>
    <w:p w14:paraId="7FE1C857" w14:textId="77777777" w:rsidR="00960E01" w:rsidRDefault="00821CB5">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Som f.eks. ECB's monetære finansielle institutioners unikke ID (MFI ID) for enheden til brug i RIAD.</w:t>
      </w:r>
    </w:p>
    <w:p w14:paraId="7FE1C858" w14:textId="77777777" w:rsidR="00960E01" w:rsidRDefault="00821CB5">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ECB's ordliste vedrørende betalings-, clearing- og afviklingssystemer, december 2009.</w:t>
      </w:r>
    </w:p>
    <w:p w14:paraId="7FE1C859" w14:textId="77777777" w:rsidR="00960E01" w:rsidRDefault="00821CB5">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960E01" w:rsidRDefault="00821CB5">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F.eks. ECBs entydige identifikator for monetære finansielle institutioner (MFI ID) for enheden til brug i RIAD.</w:t>
      </w:r>
    </w:p>
    <w:p w14:paraId="7FE1C8BF" w14:textId="77777777" w:rsidR="00960E01" w:rsidRDefault="00960E01">
      <w:pPr>
        <w:rPr>
          <w:rFonts w:ascii="Times New Roman" w:hAnsi="Times New Roman" w:cs="Times New Roman"/>
        </w:rPr>
      </w:pPr>
    </w:p>
    <w:p w14:paraId="7FE1C8C0" w14:textId="77777777" w:rsidR="00960E01" w:rsidRDefault="00960E01">
      <w:pPr>
        <w:rPr>
          <w:rFonts w:ascii="Times New Roman" w:hAnsi="Times New Roman"/>
          <w:sz w:val="20"/>
          <w:szCs w:val="20"/>
          <w:u w:val="single"/>
        </w:rPr>
      </w:pPr>
    </w:p>
    <w:p w14:paraId="7FE1C8C1" w14:textId="21547E24" w:rsidR="00960E01" w:rsidRDefault="00821CB5">
      <w:pPr>
        <w:pStyle w:val="P68B1DB1-Instructionsberschrift25"/>
        <w:numPr>
          <w:ilvl w:val="1"/>
          <w:numId w:val="49"/>
        </w:numPr>
        <w:ind w:left="357" w:hanging="357"/>
        <w:rPr>
          <w:rFonts w:eastAsia="Calibri"/>
          <w:szCs w:val="20"/>
        </w:rPr>
      </w:pPr>
      <w:bookmarkStart w:id="137" w:name="_Toc208244580"/>
      <w:r>
        <w:t xml:space="preserve">Z 09.02 — </w:t>
      </w:r>
      <w:r w:rsidR="00E6459F">
        <w:t xml:space="preserve">Kortlægning </w:t>
      </w:r>
      <w:r>
        <w:t>over kritiske og væsentlige FMI'er (FMI 2)</w:t>
      </w:r>
      <w:bookmarkEnd w:id="137"/>
    </w:p>
    <w:p w14:paraId="7FE1C8C3" w14:textId="77777777" w:rsidR="00960E01" w:rsidRDefault="00821CB5">
      <w:pPr>
        <w:pStyle w:val="P68B1DB1-InstructionsText279"/>
        <w:numPr>
          <w:ilvl w:val="2"/>
          <w:numId w:val="209"/>
        </w:numPr>
        <w:spacing w:before="0"/>
        <w:ind w:left="1276"/>
      </w:pPr>
      <w:r>
        <w:t>Kritiske og væsentlige FMI-tjenesteudbydere er FMI-tjenester, der tilgås enten direkte eller indirekte, og hvis ophør kan udgøre en alvorlig hindring for eller forhindre udførelsen af en eller flere af brugerens kritiske funktioner eller centrale forretningsområder.</w:t>
      </w:r>
    </w:p>
    <w:p w14:paraId="7FE1C8C4" w14:textId="77777777" w:rsidR="00960E01" w:rsidRDefault="00821CB5">
      <w:pPr>
        <w:pStyle w:val="P68B1DB1-ListParagraph80"/>
        <w:numPr>
          <w:ilvl w:val="2"/>
          <w:numId w:val="209"/>
        </w:numPr>
        <w:ind w:left="1276"/>
      </w:pPr>
      <w:r>
        <w:t>I dette ark indberettes kun de FMI'er på tværs af alle systemtyper, som den indberettende enhed anser for kritiske eller væsentlige. Omfatter ikke andre FMI'er, som hverken er kritiske eller væsentlige.</w:t>
      </w:r>
    </w:p>
    <w:p w14:paraId="7FE1C8C5" w14:textId="77777777" w:rsidR="00960E01" w:rsidRDefault="00960E01">
      <w:pPr>
        <w:pStyle w:val="ListParagraph"/>
        <w:ind w:left="1276"/>
        <w:rPr>
          <w:rFonts w:ascii="Times New Roman" w:eastAsiaTheme="majorEastAsia" w:hAnsi="Times New Roman"/>
          <w:sz w:val="20"/>
          <w:szCs w:val="20"/>
        </w:rPr>
      </w:pPr>
    </w:p>
    <w:p w14:paraId="7FE1C8C6" w14:textId="77777777" w:rsidR="00960E01" w:rsidRDefault="00821CB5">
      <w:pPr>
        <w:pStyle w:val="P68B1DB1-InstructionsText279"/>
        <w:numPr>
          <w:ilvl w:val="2"/>
          <w:numId w:val="209"/>
        </w:numPr>
        <w:spacing w:before="0"/>
        <w:ind w:left="1276"/>
      </w:pPr>
      <w:r>
        <w:t xml:space="preserve">Med henblik på udpegelse af kritiske og væsentlige FMI'er tages der hensyn til muligheden for samtidig ophør af deltagelse.  </w:t>
      </w:r>
    </w:p>
    <w:p w14:paraId="7FE1C8C7" w14:textId="77777777" w:rsidR="00960E01" w:rsidRDefault="00960E01">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960E01"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960E01" w:rsidRDefault="00821CB5">
            <w:pPr>
              <w:pStyle w:val="P68B1DB1-TableParagraph17"/>
              <w:spacing w:before="108"/>
              <w:ind w:left="85"/>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960E01" w:rsidRDefault="00821CB5">
            <w:pPr>
              <w:pStyle w:val="P68B1DB1-TableParagraph17"/>
              <w:spacing w:before="108"/>
              <w:ind w:left="85"/>
            </w:pPr>
            <w:r>
              <w:t xml:space="preserve">Instrukser </w:t>
            </w:r>
          </w:p>
        </w:tc>
      </w:tr>
      <w:tr w:rsidR="00960E01"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960E01" w:rsidRDefault="00821CB5">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960E01" w:rsidRDefault="00821CB5">
            <w:pPr>
              <w:pStyle w:val="P68B1DB1-TableParagraph73"/>
              <w:spacing w:before="108"/>
              <w:ind w:left="85"/>
              <w:jc w:val="both"/>
            </w:pPr>
            <w:r>
              <w:t>ID, der repræsenterer en kombination af bruger, FMI, systemtype og formidler</w:t>
            </w:r>
          </w:p>
          <w:p w14:paraId="7FE1C8CD" w14:textId="389563D7" w:rsidR="00960E01" w:rsidRDefault="00821CB5">
            <w:pPr>
              <w:pStyle w:val="P68B1DB1-TableParagraph40"/>
              <w:spacing w:before="108"/>
              <w:ind w:left="85"/>
              <w:jc w:val="both"/>
              <w:rPr>
                <w:b/>
              </w:rPr>
            </w:pPr>
            <w:r>
              <w:t>Anvend en enkelt identifikator pr. række, som svarer til en unik kombination af bruger, FMI, systemtype og formidler. Det samme ID, der svarer til den samme kombination, skal anvendes i skema Z 09.01 til Z 09.05, hvor det er relevant.</w:t>
            </w:r>
          </w:p>
        </w:tc>
      </w:tr>
      <w:tr w:rsidR="00960E01"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960E01" w:rsidRDefault="00821CB5">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960E01" w:rsidRDefault="00821CB5">
            <w:pPr>
              <w:pStyle w:val="P68B1DB1-TableParagraph75"/>
              <w:spacing w:before="108"/>
              <w:ind w:left="85"/>
              <w:jc w:val="both"/>
              <w:rPr>
                <w:bCs/>
                <w:iCs/>
              </w:rPr>
            </w:pPr>
            <w:r>
              <w:t>Kritiske FMI'er</w:t>
            </w:r>
          </w:p>
        </w:tc>
      </w:tr>
      <w:tr w:rsidR="00960E01"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960E01" w:rsidRDefault="00821CB5">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960E01" w:rsidRDefault="00821CB5">
            <w:pPr>
              <w:pStyle w:val="P68B1DB1-TableParagraph73"/>
              <w:spacing w:before="108"/>
              <w:ind w:left="85"/>
              <w:jc w:val="both"/>
            </w:pPr>
            <w:r>
              <w:t>Kritisk FMI: J/N</w:t>
            </w:r>
          </w:p>
          <w:p w14:paraId="7FE1C8D4" w14:textId="4439D1A6" w:rsidR="00960E01" w:rsidRDefault="00821CB5">
            <w:pPr>
              <w:pStyle w:val="P68B1DB1-TableParagraph40"/>
              <w:numPr>
                <w:ilvl w:val="0"/>
                <w:numId w:val="248"/>
              </w:numPr>
              <w:spacing w:before="108"/>
              <w:jc w:val="both"/>
            </w:pPr>
            <w:r>
              <w:t>"Ja", hvis FMI'en er kritisk</w:t>
            </w:r>
          </w:p>
          <w:p w14:paraId="7FE1C8D5" w14:textId="792CB29B" w:rsidR="00960E01" w:rsidRDefault="00821CB5">
            <w:pPr>
              <w:pStyle w:val="P68B1DB1-TableParagraph40"/>
              <w:numPr>
                <w:ilvl w:val="0"/>
                <w:numId w:val="248"/>
              </w:numPr>
              <w:spacing w:before="108"/>
              <w:jc w:val="both"/>
              <w:rPr>
                <w:b/>
                <w:bCs/>
              </w:rPr>
            </w:pPr>
            <w:r>
              <w:t>"Nej", hvis FMI'en ikke er kritisk</w:t>
            </w:r>
            <w:r>
              <w:rPr>
                <w:b/>
              </w:rPr>
              <w:t xml:space="preserve"> </w:t>
            </w:r>
          </w:p>
          <w:p w14:paraId="7FE1C8D6" w14:textId="77777777" w:rsidR="00960E01" w:rsidRDefault="00821CB5">
            <w:pPr>
              <w:pStyle w:val="P68B1DB1-TableParagraph40"/>
              <w:spacing w:before="108"/>
              <w:ind w:left="85"/>
              <w:jc w:val="both"/>
            </w:pPr>
            <w:r>
              <w:t>Kolonne 0020 og 0050 udelukker ikke hinanden.</w:t>
            </w:r>
          </w:p>
        </w:tc>
      </w:tr>
      <w:tr w:rsidR="00960E01"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960E01" w:rsidRDefault="00821CB5">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960E01" w:rsidRDefault="00821CB5">
            <w:pPr>
              <w:pStyle w:val="P68B1DB1-TableParagraph73"/>
              <w:spacing w:before="108"/>
              <w:ind w:left="85"/>
              <w:jc w:val="both"/>
            </w:pPr>
            <w:r>
              <w:t>Land</w:t>
            </w:r>
          </w:p>
          <w:p w14:paraId="7FE1C8DA" w14:textId="56240ABE" w:rsidR="00960E01" w:rsidRDefault="00821CB5">
            <w:pPr>
              <w:pStyle w:val="P68B1DB1-TableParagraph40"/>
              <w:spacing w:before="108"/>
              <w:ind w:left="85"/>
              <w:jc w:val="both"/>
            </w:pPr>
            <w:r>
              <w:t xml:space="preserve">Land, hvor den kritiske funktion leveres, som indberettet i Z 07.01 </w:t>
            </w:r>
          </w:p>
        </w:tc>
      </w:tr>
      <w:tr w:rsidR="00960E01"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960E01" w:rsidRDefault="00821CB5">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960E01" w:rsidRDefault="00821CB5">
            <w:pPr>
              <w:pStyle w:val="P68B1DB1-TableParagraph73"/>
              <w:spacing w:before="108"/>
              <w:ind w:left="85"/>
              <w:jc w:val="both"/>
            </w:pPr>
            <w:r>
              <w:t>ID for kritisk funktion</w:t>
            </w:r>
          </w:p>
          <w:p w14:paraId="7FE1C8DE" w14:textId="77777777" w:rsidR="00960E01" w:rsidRDefault="00821CB5">
            <w:pPr>
              <w:pStyle w:val="P68B1DB1-TableParagraph40"/>
              <w:spacing w:before="108"/>
              <w:ind w:left="85"/>
              <w:jc w:val="both"/>
            </w:pPr>
            <w:r>
              <w:t>Kritiske funktioner, der udføres af enheden, og hvis udførelse ville blive hæmmet eller forhindret af afbrydelsen af adgangen til FMI-tjenesteudbyderen.</w:t>
            </w:r>
          </w:p>
          <w:p w14:paraId="79796B83" w14:textId="298E6F56" w:rsidR="00960E01" w:rsidRDefault="00821CB5">
            <w:pPr>
              <w:pStyle w:val="P68B1DB1-TableParagraph40"/>
              <w:spacing w:before="108"/>
              <w:ind w:left="85"/>
              <w:jc w:val="both"/>
              <w:rPr>
                <w:b/>
                <w:bCs/>
              </w:rPr>
            </w:pPr>
            <w:r>
              <w:t>ID for de kritiske funktioner som indberettet i Z07.01</w:t>
            </w:r>
            <w:r>
              <w:rPr>
                <w:b/>
              </w:rPr>
              <w:t>:</w:t>
            </w:r>
          </w:p>
          <w:p w14:paraId="58520404" w14:textId="77777777" w:rsidR="00960E01" w:rsidRDefault="00960E01">
            <w:pPr>
              <w:pStyle w:val="TableParagraph"/>
              <w:spacing w:before="108"/>
              <w:ind w:left="85"/>
              <w:jc w:val="both"/>
              <w:rPr>
                <w:rFonts w:ascii="Times New Roman" w:eastAsia="Times New Roman" w:hAnsi="Times New Roman" w:cs="Times New Roman"/>
                <w:b/>
                <w:bCs/>
                <w:sz w:val="20"/>
                <w:szCs w:val="20"/>
              </w:rPr>
            </w:pPr>
          </w:p>
          <w:p w14:paraId="0E718D7B" w14:textId="77777777" w:rsidR="00960E01" w:rsidRDefault="00821CB5">
            <w:pPr>
              <w:pStyle w:val="P68B1DB1-Normal19"/>
              <w:rPr>
                <w:rFonts w:eastAsiaTheme="minorHAnsi"/>
              </w:rPr>
            </w:pPr>
            <w:r>
              <w:t>Indskud</w:t>
            </w:r>
          </w:p>
          <w:p w14:paraId="354D6B7F" w14:textId="77777777" w:rsidR="00960E01" w:rsidRDefault="00821CB5">
            <w:pPr>
              <w:pStyle w:val="P68B1DB1-Normal19"/>
              <w:ind w:left="708"/>
            </w:pPr>
            <w:r>
              <w:t>Indskud fra husholdninger</w:t>
            </w:r>
          </w:p>
          <w:p w14:paraId="71C89914" w14:textId="77777777" w:rsidR="00960E01" w:rsidRDefault="00821CB5">
            <w:pPr>
              <w:pStyle w:val="P68B1DB1-Normal19"/>
              <w:ind w:left="708"/>
            </w:pPr>
            <w:r>
              <w:t xml:space="preserve">Indbetalinger fra ikke-finansielle selskaber </w:t>
            </w:r>
          </w:p>
          <w:p w14:paraId="7621A95F" w14:textId="69E34691" w:rsidR="00960E01" w:rsidRDefault="00821CB5">
            <w:pPr>
              <w:pStyle w:val="P68B1DB1-Normal19"/>
              <w:ind w:left="1405"/>
            </w:pPr>
            <w:r>
              <w:t>Indbetalinger fra ikke-finansielle selskaber SMEs</w:t>
            </w:r>
          </w:p>
          <w:p w14:paraId="046B913C" w14:textId="73440AD0" w:rsidR="00960E01" w:rsidRDefault="00821CB5">
            <w:pPr>
              <w:pStyle w:val="P68B1DB1-Normal19"/>
              <w:ind w:left="1405"/>
            </w:pPr>
            <w:r>
              <w:t>Indskud fra ikke-finansielle selskaber, undtagen SMV'er</w:t>
            </w:r>
          </w:p>
          <w:p w14:paraId="2DAF57AE" w14:textId="77777777" w:rsidR="00960E01" w:rsidRDefault="00821CB5">
            <w:pPr>
              <w:pStyle w:val="P68B1DB1-Normal19"/>
              <w:ind w:left="708"/>
            </w:pPr>
            <w:r>
              <w:t>Indskud fra offentlig forvaltning og service</w:t>
            </w:r>
          </w:p>
          <w:p w14:paraId="3AC3807C" w14:textId="77777777" w:rsidR="00960E01" w:rsidRDefault="00821CB5">
            <w:pPr>
              <w:pStyle w:val="P68B1DB1-Normal19"/>
              <w:ind w:left="708"/>
            </w:pPr>
            <w:r>
              <w:lastRenderedPageBreak/>
              <w:t>Indskud fra andre sektorer/modparter (1)</w:t>
            </w:r>
          </w:p>
          <w:p w14:paraId="7924D974" w14:textId="77777777" w:rsidR="00960E01" w:rsidRDefault="00821CB5">
            <w:pPr>
              <w:pStyle w:val="P68B1DB1-Normal19"/>
              <w:ind w:left="708"/>
            </w:pPr>
            <w:r>
              <w:t>Indskud fra andre sektorer/modparter (2)</w:t>
            </w:r>
          </w:p>
          <w:p w14:paraId="15B73120" w14:textId="77777777" w:rsidR="00960E01" w:rsidRDefault="00821CB5">
            <w:pPr>
              <w:pStyle w:val="P68B1DB1-Normal19"/>
              <w:ind w:left="708"/>
            </w:pPr>
            <w:r>
              <w:t>Indskud fra andre sektorer/modparter (3)</w:t>
            </w:r>
          </w:p>
          <w:p w14:paraId="2FE46760" w14:textId="77777777" w:rsidR="00960E01" w:rsidRDefault="00960E01">
            <w:pPr>
              <w:rPr>
                <w:rFonts w:ascii="Times New Roman" w:hAnsi="Times New Roman" w:cs="Times New Roman"/>
                <w:sz w:val="20"/>
                <w:szCs w:val="20"/>
              </w:rPr>
            </w:pPr>
          </w:p>
          <w:p w14:paraId="685EA40A" w14:textId="77777777" w:rsidR="00960E01" w:rsidRDefault="00821CB5">
            <w:pPr>
              <w:pStyle w:val="P68B1DB1-Normal19"/>
            </w:pPr>
            <w:r>
              <w:t>Långivning</w:t>
            </w:r>
          </w:p>
          <w:p w14:paraId="11C80F7E" w14:textId="77777777" w:rsidR="00960E01" w:rsidRDefault="00821CB5">
            <w:pPr>
              <w:pStyle w:val="P68B1DB1-Normal19"/>
              <w:ind w:left="708"/>
            </w:pPr>
            <w:r>
              <w:t>Udlån til husholdninger</w:t>
            </w:r>
          </w:p>
          <w:p w14:paraId="430711EA" w14:textId="77777777" w:rsidR="00960E01" w:rsidRDefault="00821CB5">
            <w:pPr>
              <w:pStyle w:val="P68B1DB1-Normal19"/>
              <w:ind w:left="1416"/>
            </w:pPr>
            <w:r>
              <w:t>Udlån til husholdninger med henblik på boligkøb</w:t>
            </w:r>
          </w:p>
          <w:p w14:paraId="0147203E" w14:textId="77777777" w:rsidR="00960E01" w:rsidRDefault="00821CB5">
            <w:pPr>
              <w:pStyle w:val="P68B1DB1-Normal19"/>
              <w:ind w:left="1416"/>
            </w:pPr>
            <w:r>
              <w:t>Udlån til husholdninger med henblik på andet end boligkøb</w:t>
            </w:r>
          </w:p>
          <w:p w14:paraId="20ACA306" w14:textId="77777777" w:rsidR="00960E01" w:rsidRDefault="00821CB5">
            <w:pPr>
              <w:pStyle w:val="P68B1DB1-Normal19"/>
              <w:ind w:left="708"/>
            </w:pPr>
            <w:r>
              <w:t>Låning til ikke-finansielle selskaber</w:t>
            </w:r>
          </w:p>
          <w:p w14:paraId="19F6CF03" w14:textId="3FBCFA7C" w:rsidR="00960E01" w:rsidRDefault="00821CB5">
            <w:pPr>
              <w:pStyle w:val="P68B1DB1-Normal19"/>
              <w:ind w:left="1416"/>
            </w:pPr>
            <w:r>
              <w:t>Låning til ikke-finansielle selskaber SMEs</w:t>
            </w:r>
          </w:p>
          <w:p w14:paraId="2C705D0D" w14:textId="77777777" w:rsidR="00960E01" w:rsidRDefault="00821CB5">
            <w:pPr>
              <w:pStyle w:val="P68B1DB1-Normal19"/>
              <w:ind w:left="1416"/>
            </w:pPr>
            <w:r>
              <w:t>Udlån til ikke-finansielle selskaber Ikke-SMV'er</w:t>
            </w:r>
          </w:p>
          <w:p w14:paraId="6DAE8B55" w14:textId="77777777" w:rsidR="00960E01" w:rsidRDefault="00821CB5">
            <w:pPr>
              <w:pStyle w:val="P68B1DB1-Normal19"/>
              <w:ind w:left="708"/>
            </w:pPr>
            <w:r>
              <w:t>Lån til offentlig forvaltning og service</w:t>
            </w:r>
          </w:p>
          <w:p w14:paraId="5C2428A3" w14:textId="77777777" w:rsidR="00960E01" w:rsidRDefault="00821CB5">
            <w:pPr>
              <w:pStyle w:val="P68B1DB1-Normal19"/>
              <w:ind w:left="708"/>
            </w:pPr>
            <w:r>
              <w:t>Låning til andre sektorer/modparter (1)</w:t>
            </w:r>
          </w:p>
          <w:p w14:paraId="7237D4E5" w14:textId="77777777" w:rsidR="00960E01" w:rsidRDefault="00821CB5">
            <w:pPr>
              <w:pStyle w:val="P68B1DB1-Normal19"/>
              <w:ind w:left="708"/>
            </w:pPr>
            <w:r>
              <w:t>Låning til andre sektorer/modparter (2)</w:t>
            </w:r>
          </w:p>
          <w:p w14:paraId="62EF53AB" w14:textId="77777777" w:rsidR="00960E01" w:rsidRDefault="00821CB5">
            <w:pPr>
              <w:pStyle w:val="P68B1DB1-Normal19"/>
              <w:ind w:left="708"/>
            </w:pPr>
            <w:r>
              <w:t>Låning til andre sektorer/modparter (3)</w:t>
            </w:r>
          </w:p>
          <w:p w14:paraId="1269B857" w14:textId="77777777" w:rsidR="00960E01" w:rsidRDefault="00960E01">
            <w:pPr>
              <w:rPr>
                <w:rFonts w:ascii="Times New Roman" w:hAnsi="Times New Roman" w:cs="Times New Roman"/>
                <w:sz w:val="20"/>
                <w:szCs w:val="20"/>
              </w:rPr>
            </w:pPr>
          </w:p>
          <w:p w14:paraId="7CD1A6B0" w14:textId="77777777" w:rsidR="00960E01" w:rsidRDefault="00821CB5">
            <w:pPr>
              <w:pStyle w:val="P68B1DB1-Normal19"/>
            </w:pPr>
            <w:r>
              <w:t xml:space="preserve">Betaling, kontanter, afvikling, clearing, deponeringstjenester </w:t>
            </w:r>
          </w:p>
          <w:p w14:paraId="11F499EA" w14:textId="77777777" w:rsidR="00960E01" w:rsidRDefault="00821CB5">
            <w:pPr>
              <w:pStyle w:val="P68B1DB1-Normal19"/>
              <w:ind w:left="708"/>
            </w:pPr>
            <w:r>
              <w:t>Betalingstjenester til MFI'er</w:t>
            </w:r>
          </w:p>
          <w:p w14:paraId="6FC14FBE" w14:textId="4F1706DC" w:rsidR="00960E01" w:rsidRDefault="00821CB5">
            <w:pPr>
              <w:pStyle w:val="P68B1DB1-Normal19"/>
              <w:ind w:left="708"/>
            </w:pPr>
            <w:bookmarkStart w:id="138" w:name="_Hlk192600698"/>
            <w:r>
              <w:t>Betalingstjenester til ikke-MFI'er</w:t>
            </w:r>
          </w:p>
          <w:p w14:paraId="704B9B25" w14:textId="77777777" w:rsidR="00960E01" w:rsidRDefault="00821CB5">
            <w:pPr>
              <w:pStyle w:val="P68B1DB1-Normal19"/>
              <w:ind w:left="1405"/>
            </w:pPr>
            <w:r>
              <w:t>Betalingstjenester til ikke-MFI'er for Husholdninger</w:t>
            </w:r>
          </w:p>
          <w:p w14:paraId="1F8BC691" w14:textId="4FE22A42" w:rsidR="00960E01" w:rsidRDefault="00821CB5">
            <w:pPr>
              <w:pStyle w:val="P68B1DB1-Normal19"/>
              <w:ind w:left="1405"/>
            </w:pPr>
            <w:r>
              <w:t>Betalingstjenester til ikke-MFI'er for ikke-finansielle selskaber</w:t>
            </w:r>
          </w:p>
          <w:p w14:paraId="39782E47" w14:textId="1287030F" w:rsidR="00960E01" w:rsidRDefault="00821CB5">
            <w:pPr>
              <w:pStyle w:val="P68B1DB1-Normal19"/>
              <w:ind w:left="1972"/>
            </w:pPr>
            <w:r>
              <w:t>Betalingstjenester til ikke-MFI'er for ikke-finansielle selskaber SMV'er</w:t>
            </w:r>
          </w:p>
          <w:p w14:paraId="416F0C20" w14:textId="504D6059" w:rsidR="00960E01" w:rsidRDefault="00821CB5">
            <w:pPr>
              <w:pStyle w:val="P68B1DB1-Normal19"/>
              <w:ind w:left="1972"/>
            </w:pPr>
            <w:r>
              <w:t>Betalingstjenester til ikke-MFI'er for ikke-finansielle selskaber, undtagen SMV'er</w:t>
            </w:r>
            <w:bookmarkEnd w:id="138"/>
          </w:p>
          <w:p w14:paraId="661D0C87" w14:textId="77777777" w:rsidR="00960E01" w:rsidRDefault="00821CB5">
            <w:pPr>
              <w:pStyle w:val="P68B1DB1-Normal19"/>
              <w:ind w:left="708"/>
            </w:pPr>
            <w:r>
              <w:t>Kontanttjenester</w:t>
            </w:r>
          </w:p>
          <w:p w14:paraId="03769573" w14:textId="77777777" w:rsidR="00960E01" w:rsidRDefault="00821CB5">
            <w:pPr>
              <w:pStyle w:val="P68B1DB1-Normal19"/>
              <w:ind w:left="708"/>
            </w:pPr>
            <w:r>
              <w:t>Værdipapirafviklingstjenester</w:t>
            </w:r>
          </w:p>
          <w:p w14:paraId="775020A9" w14:textId="77777777" w:rsidR="00960E01" w:rsidRDefault="00821CB5">
            <w:pPr>
              <w:pStyle w:val="P68B1DB1-Normal19"/>
              <w:ind w:left="708"/>
            </w:pPr>
            <w:r>
              <w:t>CCP-clearingtjenester</w:t>
            </w:r>
          </w:p>
          <w:p w14:paraId="5801E2F6" w14:textId="77777777" w:rsidR="00960E01" w:rsidRDefault="00821CB5">
            <w:pPr>
              <w:pStyle w:val="P68B1DB1-Normal19"/>
              <w:ind w:left="708"/>
            </w:pPr>
            <w:r>
              <w:t>Deponeringstjenester</w:t>
            </w:r>
          </w:p>
          <w:p w14:paraId="5B6CE30A" w14:textId="77777777" w:rsidR="00960E01" w:rsidRDefault="00821CB5">
            <w:pPr>
              <w:pStyle w:val="P68B1DB1-Normal19"/>
              <w:ind w:left="708"/>
            </w:pPr>
            <w:r>
              <w:t>Andre tjenesteydelser/aktiviteter/funktioner (1) vedrørende betalinger, kontanter, afvikling, clearing og deponering</w:t>
            </w:r>
          </w:p>
          <w:p w14:paraId="7B4ED125" w14:textId="77777777" w:rsidR="00960E01" w:rsidRDefault="00821CB5">
            <w:pPr>
              <w:pStyle w:val="P68B1DB1-Normal19"/>
              <w:ind w:left="708"/>
            </w:pPr>
            <w:r>
              <w:t>Andre tjenesteydelser/aktiviteter/funktioner (2) vedrørende betalinger, kontanter, afvikling, clearing og deponering</w:t>
            </w:r>
          </w:p>
          <w:p w14:paraId="19BA6278" w14:textId="77777777" w:rsidR="00960E01" w:rsidRDefault="00821CB5">
            <w:pPr>
              <w:pStyle w:val="P68B1DB1-Normal19"/>
              <w:ind w:left="708"/>
            </w:pPr>
            <w:r>
              <w:t>Andre tjenesteydelser/aktiviteter/funktioner (3) vedrørende betalinger, kontanter, afvikling, clearing og deponering</w:t>
            </w:r>
          </w:p>
          <w:p w14:paraId="1E6049F9" w14:textId="77777777" w:rsidR="00960E01" w:rsidRDefault="00960E01">
            <w:pPr>
              <w:rPr>
                <w:rFonts w:ascii="Times New Roman" w:hAnsi="Times New Roman" w:cs="Times New Roman"/>
                <w:sz w:val="20"/>
                <w:szCs w:val="20"/>
              </w:rPr>
            </w:pPr>
          </w:p>
          <w:p w14:paraId="6F0287A8" w14:textId="77777777" w:rsidR="00960E01" w:rsidRDefault="00821CB5">
            <w:pPr>
              <w:pStyle w:val="P68B1DB1-Normal19"/>
            </w:pPr>
            <w:r>
              <w:t>Kapitalmarkeder</w:t>
            </w:r>
          </w:p>
          <w:p w14:paraId="4F1B2CB2" w14:textId="77777777" w:rsidR="00960E01" w:rsidRDefault="00821CB5">
            <w:pPr>
              <w:pStyle w:val="P68B1DB1-Normal19"/>
              <w:ind w:left="708"/>
            </w:pPr>
            <w:r>
              <w:t xml:space="preserve">Derivater, der holdes i handelsøjemed </w:t>
            </w:r>
          </w:p>
          <w:p w14:paraId="608E7B75" w14:textId="77777777" w:rsidR="00960E01" w:rsidRDefault="00821CB5">
            <w:pPr>
              <w:pStyle w:val="P68B1DB1-Normal19"/>
              <w:ind w:left="1416"/>
            </w:pPr>
            <w:r>
              <w:t>Derivater, der besiddes med handel for øje i OTC</w:t>
            </w:r>
          </w:p>
          <w:p w14:paraId="55232CB1" w14:textId="77777777" w:rsidR="00960E01" w:rsidRDefault="00821CB5">
            <w:pPr>
              <w:pStyle w:val="P68B1DB1-Normal19"/>
              <w:ind w:left="1416"/>
            </w:pPr>
            <w:r>
              <w:t>Derivater, der besiddes med handel for øje i ikke-OTC</w:t>
            </w:r>
          </w:p>
          <w:p w14:paraId="41765F70" w14:textId="77777777" w:rsidR="00960E01" w:rsidRDefault="00821CB5">
            <w:pPr>
              <w:pStyle w:val="P68B1DB1-Normal19"/>
              <w:ind w:left="708"/>
            </w:pPr>
            <w:r>
              <w:t>Sekundære markeder/handel:</w:t>
            </w:r>
          </w:p>
          <w:p w14:paraId="75381D0F" w14:textId="77777777" w:rsidR="00960E01" w:rsidRDefault="00821CB5">
            <w:pPr>
              <w:pStyle w:val="P68B1DB1-Normal19"/>
              <w:ind w:left="708"/>
            </w:pPr>
            <w:r>
              <w:t>Primære markeder/underwriting</w:t>
            </w:r>
          </w:p>
          <w:p w14:paraId="04BFAC55" w14:textId="77777777" w:rsidR="00960E01" w:rsidRDefault="00821CB5">
            <w:pPr>
              <w:pStyle w:val="P68B1DB1-Normal19"/>
              <w:ind w:left="708"/>
            </w:pPr>
            <w:r>
              <w:t>Andre tjenester/aktiviteter/funktioner (1) i kapitalmarkedet</w:t>
            </w:r>
          </w:p>
          <w:p w14:paraId="4842F14D" w14:textId="77777777" w:rsidR="00960E01" w:rsidRDefault="00821CB5">
            <w:pPr>
              <w:pStyle w:val="P68B1DB1-Normal19"/>
              <w:ind w:left="708"/>
            </w:pPr>
            <w:r>
              <w:t>Andre tjenester/aktiviteter/funktioner (2) i kapitalmarkedet</w:t>
            </w:r>
          </w:p>
          <w:p w14:paraId="4B2FE832" w14:textId="77777777" w:rsidR="00960E01" w:rsidRDefault="00821CB5">
            <w:pPr>
              <w:pStyle w:val="P68B1DB1-Normal19"/>
              <w:ind w:left="708"/>
            </w:pPr>
            <w:r>
              <w:t>Andre tjenester/aktiviteter/funktioner (3) i kapitalmarkedet</w:t>
            </w:r>
          </w:p>
          <w:p w14:paraId="07EB9C1C" w14:textId="77777777" w:rsidR="00960E01" w:rsidRDefault="00960E01">
            <w:pPr>
              <w:ind w:left="708"/>
              <w:rPr>
                <w:rFonts w:ascii="Times New Roman" w:hAnsi="Times New Roman" w:cs="Times New Roman"/>
                <w:sz w:val="20"/>
                <w:szCs w:val="20"/>
              </w:rPr>
            </w:pPr>
          </w:p>
          <w:p w14:paraId="74D09EC2" w14:textId="77777777" w:rsidR="00960E01" w:rsidRDefault="00821CB5">
            <w:pPr>
              <w:pStyle w:val="P68B1DB1-Normal19"/>
            </w:pPr>
            <w:r>
              <w:t>Engrosfinansiering</w:t>
            </w:r>
          </w:p>
          <w:p w14:paraId="02676859" w14:textId="77777777" w:rsidR="00960E01" w:rsidRDefault="00821CB5">
            <w:pPr>
              <w:pStyle w:val="P68B1DB1-ListParagraph60"/>
            </w:pPr>
            <w:r>
              <w:t>Låntagning</w:t>
            </w:r>
          </w:p>
          <w:p w14:paraId="541AD926" w14:textId="77777777" w:rsidR="00960E01" w:rsidRDefault="00821CB5">
            <w:pPr>
              <w:pStyle w:val="P68B1DB1-ListParagraph60"/>
            </w:pPr>
            <w:r>
              <w:t>Derivater (aktiver)</w:t>
            </w:r>
          </w:p>
          <w:p w14:paraId="25097734" w14:textId="77777777" w:rsidR="00960E01" w:rsidRDefault="00821CB5">
            <w:pPr>
              <w:pStyle w:val="P68B1DB1-ListParagraph60"/>
            </w:pPr>
            <w:r>
              <w:t>Långivning</w:t>
            </w:r>
          </w:p>
          <w:p w14:paraId="772EBBB0" w14:textId="77777777" w:rsidR="00960E01" w:rsidRDefault="00821CB5">
            <w:pPr>
              <w:pStyle w:val="P68B1DB1-ListParagraph60"/>
            </w:pPr>
            <w:r>
              <w:t>Derivater (forpligtelser)</w:t>
            </w:r>
          </w:p>
          <w:p w14:paraId="56E338CF" w14:textId="77777777" w:rsidR="00960E01" w:rsidRDefault="00821CB5">
            <w:pPr>
              <w:pStyle w:val="P68B1DB1-ListParagraph60"/>
            </w:pPr>
            <w:r>
              <w:t>Andre varetyper (1) på engrosmarkeder</w:t>
            </w:r>
          </w:p>
          <w:p w14:paraId="6607505D" w14:textId="77777777" w:rsidR="00960E01" w:rsidRDefault="00821CB5">
            <w:pPr>
              <w:pStyle w:val="P68B1DB1-ListParagraph60"/>
            </w:pPr>
            <w:r>
              <w:t>Andre varetyper (2) på engrosmarkeder</w:t>
            </w:r>
          </w:p>
          <w:p w14:paraId="41A2E098" w14:textId="77777777" w:rsidR="00960E01" w:rsidRDefault="00821CB5">
            <w:pPr>
              <w:pStyle w:val="P68B1DB1-ListParagraph60"/>
            </w:pPr>
            <w:r>
              <w:t>Andre varetyper (3) på engrosmarkeder</w:t>
            </w:r>
          </w:p>
          <w:p w14:paraId="7FE1C8DF" w14:textId="2134965F" w:rsidR="00960E01" w:rsidRDefault="00960E01">
            <w:pPr>
              <w:pStyle w:val="TableParagraph"/>
              <w:spacing w:before="108"/>
              <w:ind w:left="85"/>
              <w:jc w:val="both"/>
              <w:rPr>
                <w:rFonts w:ascii="Times New Roman" w:eastAsia="Times New Roman" w:hAnsi="Times New Roman" w:cs="Times New Roman"/>
                <w:b/>
                <w:bCs/>
                <w:i/>
                <w:iCs/>
                <w:sz w:val="20"/>
                <w:szCs w:val="20"/>
              </w:rPr>
            </w:pPr>
          </w:p>
        </w:tc>
      </w:tr>
      <w:tr w:rsidR="00960E01"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960E01" w:rsidRDefault="00821CB5">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960E01" w:rsidRDefault="00821CB5">
            <w:pPr>
              <w:pStyle w:val="P68B1DB1-Heading481"/>
              <w:numPr>
                <w:ilvl w:val="3"/>
                <w:numId w:val="0"/>
              </w:numPr>
              <w:ind w:left="360"/>
            </w:pPr>
            <w:r>
              <w:t>Vigtige FMI'er</w:t>
            </w:r>
          </w:p>
        </w:tc>
      </w:tr>
      <w:tr w:rsidR="00960E01"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960E01" w:rsidRDefault="00821CB5">
            <w:pPr>
              <w:pStyle w:val="P68B1DB1-Normal31"/>
              <w:rPr>
                <w:strike/>
              </w:rPr>
            </w:pPr>
            <w:r>
              <w:lastRenderedPageBreak/>
              <w:t>0050</w:t>
            </w:r>
          </w:p>
        </w:tc>
        <w:tc>
          <w:tcPr>
            <w:tcW w:w="7832" w:type="dxa"/>
            <w:tcBorders>
              <w:top w:val="single" w:sz="8" w:space="0" w:color="auto"/>
              <w:left w:val="single" w:sz="8" w:space="0" w:color="auto"/>
              <w:bottom w:val="single" w:sz="8" w:space="0" w:color="auto"/>
            </w:tcBorders>
            <w:vAlign w:val="bottom"/>
          </w:tcPr>
          <w:p w14:paraId="7FE1C8E5" w14:textId="77777777" w:rsidR="00960E01" w:rsidRDefault="00821CB5">
            <w:pPr>
              <w:pStyle w:val="P68B1DB1-TableParagraph73"/>
              <w:spacing w:before="108"/>
              <w:ind w:left="85"/>
              <w:jc w:val="both"/>
            </w:pPr>
            <w:r>
              <w:t>Vigtig FMI: J/N</w:t>
            </w:r>
          </w:p>
          <w:p w14:paraId="7FE1C8E6" w14:textId="46FA6345" w:rsidR="00960E01" w:rsidRDefault="00821CB5">
            <w:pPr>
              <w:pStyle w:val="P68B1DB1-TableParagraph40"/>
              <w:numPr>
                <w:ilvl w:val="0"/>
                <w:numId w:val="248"/>
              </w:numPr>
              <w:spacing w:before="108"/>
              <w:jc w:val="both"/>
            </w:pPr>
            <w:r>
              <w:t>"Ja", hvis FMI'en er afgørende</w:t>
            </w:r>
          </w:p>
          <w:p w14:paraId="7FE1C8E7" w14:textId="0EBF3638" w:rsidR="00960E01" w:rsidRDefault="00821CB5">
            <w:pPr>
              <w:pStyle w:val="P68B1DB1-TableParagraph40"/>
              <w:numPr>
                <w:ilvl w:val="0"/>
                <w:numId w:val="248"/>
              </w:numPr>
              <w:spacing w:before="108"/>
              <w:jc w:val="both"/>
            </w:pPr>
            <w:r>
              <w:t>"Nej", hvis FMI'en ikke er væsentlig</w:t>
            </w:r>
          </w:p>
          <w:p w14:paraId="7FE1C8E8" w14:textId="77777777" w:rsidR="00960E01" w:rsidRDefault="00821CB5">
            <w:pPr>
              <w:pStyle w:val="P68B1DB1-Heading482"/>
              <w:numPr>
                <w:ilvl w:val="3"/>
                <w:numId w:val="0"/>
              </w:numPr>
              <w:ind w:left="360"/>
            </w:pPr>
            <w:r>
              <w:t>Kolonne 0020 og 0050 udelukker ikke hinanden.</w:t>
            </w:r>
          </w:p>
        </w:tc>
      </w:tr>
      <w:tr w:rsidR="00960E01"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960E01" w:rsidRDefault="00821CB5">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960E01" w:rsidRDefault="00821CB5">
            <w:pPr>
              <w:pStyle w:val="P68B1DB1-TableParagraph73"/>
              <w:spacing w:before="108"/>
              <w:ind w:left="85"/>
              <w:jc w:val="both"/>
            </w:pPr>
            <w:r>
              <w:t>ID for kerneforretningsområde</w:t>
            </w:r>
          </w:p>
          <w:p w14:paraId="7FE1C8EC" w14:textId="62673BB2" w:rsidR="00960E01" w:rsidRDefault="00821CB5">
            <w:pPr>
              <w:pStyle w:val="P68B1DB1-TableParagraph40"/>
              <w:spacing w:before="108"/>
              <w:ind w:left="85"/>
              <w:jc w:val="both"/>
              <w:rPr>
                <w:u w:val="single"/>
              </w:rPr>
            </w:pPr>
            <w:r>
              <w:t>Centrale forretningsområder, der udføres af brugeren, og hvis opfyldelse ville blive hæmmet eller forhindret af afbrydelsen af adgangen til FMI-tjenesteudbyderen.</w:t>
            </w:r>
          </w:p>
          <w:p w14:paraId="7FE1C8ED" w14:textId="77777777" w:rsidR="00960E01" w:rsidRDefault="00821CB5">
            <w:pPr>
              <w:pStyle w:val="P68B1DB1-TableParagraph40"/>
              <w:spacing w:before="108"/>
              <w:ind w:left="85"/>
              <w:jc w:val="both"/>
              <w:rPr>
                <w:b/>
                <w:bCs/>
              </w:rPr>
            </w:pPr>
            <w:r>
              <w:t>ID for det centrale forretningsområde som indberettet i Z 07.03, kolonne 0010.</w:t>
            </w:r>
          </w:p>
        </w:tc>
      </w:tr>
    </w:tbl>
    <w:p w14:paraId="7FE1C8EF" w14:textId="77777777" w:rsidR="00960E01" w:rsidRDefault="00960E01">
      <w:pPr>
        <w:pStyle w:val="Instructionsberschrift2"/>
        <w:ind w:left="357"/>
        <w:rPr>
          <w:rFonts w:ascii="Times New Roman" w:eastAsia="Calibri" w:hAnsi="Times New Roman" w:cs="Times New Roman"/>
          <w:szCs w:val="20"/>
        </w:rPr>
      </w:pPr>
    </w:p>
    <w:p w14:paraId="7FE1C8F0" w14:textId="77777777" w:rsidR="00960E01" w:rsidRDefault="00821CB5">
      <w:pPr>
        <w:pStyle w:val="P68B1DB1-Instructionsberschrift271"/>
        <w:numPr>
          <w:ilvl w:val="1"/>
          <w:numId w:val="49"/>
        </w:numPr>
        <w:ind w:left="357" w:hanging="357"/>
      </w:pPr>
      <w:bookmarkStart w:id="139" w:name="_Toc208244581"/>
      <w:r>
        <w:t>Z 09.03 — FMI-tjenester — nøgleparametre (FMI 3)</w:t>
      </w:r>
      <w:bookmarkEnd w:id="139"/>
    </w:p>
    <w:p w14:paraId="7FE1C8F1" w14:textId="77777777" w:rsidR="00960E01" w:rsidRDefault="00821CB5">
      <w:pPr>
        <w:pStyle w:val="P68B1DB1-Numberedtitlelevel383"/>
      </w:pPr>
      <w:r>
        <w:t>Instrukser vedrørende specifikke positioner</w:t>
      </w:r>
    </w:p>
    <w:p w14:paraId="7FE1C8F2" w14:textId="6D7EB755" w:rsidR="00960E01" w:rsidRDefault="00821CB5">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Kun indberetning for betalingssystemer, (internationale) værdipapircentraler, afviklingstjenester for værdipapirtransaktioner, centrale modpartsderivater, centrale modparter (Central Counterparty Securities), medmindre andet er angivet</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960E01"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960E01" w:rsidRDefault="00821CB5">
            <w:pPr>
              <w:pStyle w:val="P68B1DB1-TableParagraph17"/>
              <w:spacing w:before="108"/>
              <w:ind w:left="85"/>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960E01" w:rsidRDefault="00821CB5">
            <w:pPr>
              <w:pStyle w:val="P68B1DB1-TableParagraph17"/>
              <w:spacing w:before="108"/>
              <w:ind w:left="85"/>
            </w:pPr>
            <w:r>
              <w:t xml:space="preserve">Instrukser </w:t>
            </w:r>
          </w:p>
        </w:tc>
      </w:tr>
      <w:tr w:rsidR="00960E01"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960E01" w:rsidRDefault="00821CB5">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960E01" w:rsidRDefault="00821CB5">
            <w:pPr>
              <w:pStyle w:val="P68B1DB1-TableParagraph73"/>
              <w:spacing w:before="108"/>
              <w:jc w:val="both"/>
            </w:pPr>
            <w:r>
              <w:t>ID, der repræsenterer en kombination af bruger, FMI, systemtype og formidler</w:t>
            </w:r>
          </w:p>
          <w:p w14:paraId="7FE1C8F8" w14:textId="314C2ABF" w:rsidR="00960E01" w:rsidRDefault="00821CB5">
            <w:pPr>
              <w:pStyle w:val="P68B1DB1-TableParagraph40"/>
              <w:spacing w:before="108"/>
              <w:jc w:val="both"/>
              <w:rPr>
                <w:b/>
                <w:bCs/>
                <w:i/>
                <w:iCs/>
              </w:rPr>
            </w:pPr>
            <w:r>
              <w:t>Anvend en enkelt identifikator pr. række, som svarer til en unik kombination af bruger, FMI, systemtype og formidler. Det samme ID, der svarer til den samme kombination, skal anvendes i skema Z 09.01 til Z 09.05, hvor det er relevant.</w:t>
            </w:r>
          </w:p>
        </w:tc>
      </w:tr>
      <w:tr w:rsidR="00960E01"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960E01" w:rsidRDefault="00821CB5">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960E01" w:rsidRDefault="00821CB5">
            <w:pPr>
              <w:pStyle w:val="P68B1DB1-TableParagraph73"/>
              <w:spacing w:before="108"/>
              <w:jc w:val="both"/>
            </w:pPr>
            <w:r>
              <w:t>Segment (fartøjskategori)</w:t>
            </w:r>
          </w:p>
          <w:p w14:paraId="7FE1C8FC" w14:textId="77777777" w:rsidR="00960E01" w:rsidRDefault="00821CB5">
            <w:pPr>
              <w:pStyle w:val="P68B1DB1-TableParagraph40"/>
              <w:spacing w:before="108"/>
              <w:ind w:left="85"/>
              <w:jc w:val="both"/>
              <w:rPr>
                <w:b/>
                <w:bCs/>
                <w:i/>
                <w:iCs/>
                <w:strike/>
              </w:rPr>
            </w:pPr>
            <w:r>
              <w:t xml:space="preserve">Markedssegmenter, hvor brugeren er aktiv. Én række pr. segment. Kun for CCP'er. </w:t>
            </w:r>
          </w:p>
        </w:tc>
      </w:tr>
      <w:tr w:rsidR="00960E01"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960E01" w:rsidRDefault="00821CB5">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960E01" w:rsidRDefault="00821CB5">
            <w:pPr>
              <w:pStyle w:val="P68B1DB1-TableParagraph73"/>
              <w:spacing w:before="108"/>
              <w:jc w:val="both"/>
            </w:pPr>
            <w:r>
              <w:t>Bidrag til misligholdelsesfonden</w:t>
            </w:r>
          </w:p>
          <w:p w14:paraId="7FE1C900" w14:textId="77777777" w:rsidR="00960E01" w:rsidRDefault="00821CB5">
            <w:pPr>
              <w:pStyle w:val="P68B1DB1-TableParagraph40"/>
              <w:spacing w:before="108"/>
              <w:jc w:val="both"/>
            </w:pPr>
            <w:r>
              <w:t xml:space="preserve">Bidrag til misligholdelsesfonden. Gennemsnitligt beløb i løbet af året. </w:t>
            </w:r>
          </w:p>
          <w:p w14:paraId="7FE1C901" w14:textId="77777777" w:rsidR="00960E01" w:rsidRDefault="00821CB5">
            <w:pPr>
              <w:pStyle w:val="P68B1DB1-TableParagraph40"/>
              <w:spacing w:before="108"/>
              <w:ind w:left="85"/>
              <w:jc w:val="both"/>
              <w:rPr>
                <w:b/>
                <w:bCs/>
                <w:i/>
                <w:iCs/>
              </w:rPr>
            </w:pPr>
            <w:r>
              <w:t>Kun for CCP'er.</w:t>
            </w:r>
          </w:p>
        </w:tc>
      </w:tr>
      <w:tr w:rsidR="00960E01"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960E01" w:rsidRDefault="00821CB5">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960E01" w:rsidRDefault="00821CB5">
            <w:pPr>
              <w:pStyle w:val="P68B1DB1-TableParagraph73"/>
              <w:spacing w:before="108"/>
              <w:jc w:val="both"/>
              <w:rPr>
                <w:bCs/>
              </w:rPr>
            </w:pPr>
            <w:r>
              <w:t>Initialmargen på egne konti og kundekonti</w:t>
            </w:r>
          </w:p>
          <w:p w14:paraId="7FE1C905" w14:textId="1C30A5D8" w:rsidR="00960E01" w:rsidRDefault="00821CB5">
            <w:pPr>
              <w:pStyle w:val="P68B1DB1-TableParagraph40"/>
              <w:spacing w:before="108"/>
              <w:ind w:left="85"/>
              <w:jc w:val="both"/>
              <w:rPr>
                <w:b/>
              </w:rPr>
            </w:pPr>
            <w:r>
              <w:t>Stillet initialmargin, opdelt på hus- og kundekonti. Gennemsnitligt beløb i løbet af året. Kun for CCP'er. Kolonne 0050 indeholder både omnibusværdier og individuelle kundekontoværdier.</w:t>
            </w:r>
          </w:p>
        </w:tc>
      </w:tr>
      <w:tr w:rsidR="00960E01"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960E01" w:rsidRDefault="00821CB5">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960E01" w:rsidRDefault="00821CB5">
            <w:pPr>
              <w:pStyle w:val="P68B1DB1-TableParagraph73"/>
              <w:spacing w:before="108"/>
              <w:ind w:left="85"/>
              <w:jc w:val="both"/>
            </w:pPr>
            <w:r>
              <w:t>Værdi af positioner på egne konti og kundekonti</w:t>
            </w:r>
          </w:p>
          <w:p w14:paraId="7FE1C909" w14:textId="2662FB34" w:rsidR="00960E01" w:rsidRDefault="00821CB5">
            <w:pPr>
              <w:pStyle w:val="P68B1DB1-TableParagraph40"/>
              <w:spacing w:before="108"/>
              <w:ind w:left="85"/>
              <w:jc w:val="both"/>
            </w:pPr>
            <w:r>
              <w:t>Kun for CCP'er og I) CSD'er. Kolonne 0070 indeholder både omnibusværdier og individuelle kundekontoværdier.</w:t>
            </w:r>
          </w:p>
          <w:p w14:paraId="7FE1C90A" w14:textId="77777777" w:rsidR="00960E01" w:rsidRDefault="00821CB5">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CCP'er: Værdien af positioner hos CCP'er i de respektive kontotyper</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960E01" w:rsidRDefault="00821CB5">
            <w:pPr>
              <w:pStyle w:val="P68B1DB1-TableParagraph40"/>
              <w:numPr>
                <w:ilvl w:val="0"/>
                <w:numId w:val="249"/>
              </w:numPr>
              <w:spacing w:before="108"/>
              <w:jc w:val="both"/>
            </w:pPr>
            <w:r>
              <w:t xml:space="preserve">I) CSD'er: Værdi af værdipapirer, der indehaves i de respektive kontotyper. </w:t>
            </w:r>
          </w:p>
          <w:p w14:paraId="7FE1C90C" w14:textId="77777777" w:rsidR="00960E01" w:rsidRDefault="00821CB5">
            <w:pPr>
              <w:pStyle w:val="P68B1DB1-TableParagraph40"/>
              <w:spacing w:before="108"/>
              <w:ind w:left="85"/>
              <w:jc w:val="both"/>
              <w:rPr>
                <w:b/>
              </w:rPr>
            </w:pPr>
            <w:r>
              <w:lastRenderedPageBreak/>
              <w:t xml:space="preserve">Gennemsnitlig værdi ved slutningen af afviklingsdagen i det foregående år. </w:t>
            </w:r>
          </w:p>
        </w:tc>
      </w:tr>
      <w:tr w:rsidR="00960E01"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960E01" w:rsidRDefault="00821CB5">
            <w:pPr>
              <w:pStyle w:val="P68B1DB1-Normal31"/>
              <w:rPr>
                <w:strike/>
              </w:rPr>
            </w:pPr>
            <w:r>
              <w:lastRenderedPageBreak/>
              <w:t>0080-0090</w:t>
            </w:r>
          </w:p>
        </w:tc>
        <w:tc>
          <w:tcPr>
            <w:tcW w:w="7832" w:type="dxa"/>
            <w:tcBorders>
              <w:top w:val="single" w:sz="8" w:space="0" w:color="auto"/>
              <w:left w:val="single" w:sz="8" w:space="0" w:color="auto"/>
              <w:bottom w:val="single" w:sz="8" w:space="0" w:color="auto"/>
            </w:tcBorders>
            <w:vAlign w:val="bottom"/>
          </w:tcPr>
          <w:p w14:paraId="7FE1C90F" w14:textId="77777777" w:rsidR="00960E01" w:rsidRDefault="00821CB5">
            <w:pPr>
              <w:pStyle w:val="P68B1DB1-TableParagraph73"/>
              <w:spacing w:before="108"/>
              <w:ind w:left="85"/>
              <w:jc w:val="both"/>
            </w:pPr>
            <w:r>
              <w:t xml:space="preserve">Antal kunder </w:t>
            </w:r>
          </w:p>
          <w:p w14:paraId="7FE1C910" w14:textId="77777777" w:rsidR="00960E01" w:rsidRDefault="00821CB5">
            <w:pPr>
              <w:pStyle w:val="P68B1DB1-TableParagraph40"/>
              <w:spacing w:before="108"/>
              <w:ind w:left="85"/>
              <w:jc w:val="both"/>
            </w:pPr>
            <w:r>
              <w:t xml:space="preserve">Kun for CCP'er og I) CSD'er. </w:t>
            </w:r>
          </w:p>
          <w:p w14:paraId="7FE1C911" w14:textId="77777777" w:rsidR="00960E01" w:rsidRDefault="00821CB5">
            <w:pPr>
              <w:pStyle w:val="P68B1DB1-Heading482"/>
              <w:numPr>
                <w:ilvl w:val="3"/>
                <w:numId w:val="0"/>
              </w:numPr>
              <w:ind w:left="360"/>
              <w:rPr>
                <w:strike/>
                <w:color w:val="D13438"/>
              </w:rPr>
            </w:pPr>
            <w:r>
              <w:t>Samlet antal kunder, der indgår i de forskellige kundekontotyper.</w:t>
            </w:r>
          </w:p>
        </w:tc>
      </w:tr>
      <w:tr w:rsidR="00960E01"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960E01" w:rsidRDefault="00821CB5">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960E01" w:rsidRDefault="00821CB5">
            <w:pPr>
              <w:pStyle w:val="P68B1DB1-TableParagraph73"/>
              <w:spacing w:before="108"/>
              <w:ind w:left="85"/>
              <w:jc w:val="both"/>
            </w:pPr>
            <w:r>
              <w:t>Antal transaktioner på egne konti og kundekonti</w:t>
            </w:r>
          </w:p>
          <w:p w14:paraId="7FE1C915" w14:textId="77777777" w:rsidR="00960E01" w:rsidRDefault="00821CB5">
            <w:pPr>
              <w:pStyle w:val="P68B1DB1-Heading482"/>
              <w:numPr>
                <w:ilvl w:val="3"/>
                <w:numId w:val="0"/>
              </w:numPr>
              <w:ind w:left="360"/>
              <w:rPr>
                <w:strike/>
                <w:color w:val="D13438"/>
                <w:u w:val="single"/>
              </w:rPr>
            </w:pPr>
            <w:r>
              <w:t xml:space="preserve">Samlet antal transaktioner, der er gennemført i løbet af året for de respektive kontotyper. </w:t>
            </w:r>
          </w:p>
        </w:tc>
      </w:tr>
      <w:tr w:rsidR="00960E01"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960E01" w:rsidRDefault="00821CB5">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960E01" w:rsidRDefault="00821CB5">
            <w:pPr>
              <w:pStyle w:val="P68B1DB1-TableParagraph73"/>
              <w:spacing w:before="108"/>
              <w:ind w:left="85"/>
              <w:jc w:val="both"/>
            </w:pPr>
            <w:r>
              <w:t>Værdi af transaktioner på egne konti og kundekonti</w:t>
            </w:r>
          </w:p>
          <w:p w14:paraId="7FE1C919" w14:textId="7A080DD4" w:rsidR="00960E01" w:rsidRDefault="00821CB5">
            <w:pPr>
              <w:pStyle w:val="P68B1DB1-TableParagraph40"/>
              <w:spacing w:before="108"/>
              <w:ind w:left="85"/>
              <w:jc w:val="both"/>
            </w:pPr>
            <w:r>
              <w:t xml:space="preserve">Værdien af transaktioner i indberetningsåret fra de respektive kontotyper. Kolonne 0130 indeholder både omnibusværdier og adskilte kundekontoværdier. </w:t>
            </w:r>
          </w:p>
          <w:p w14:paraId="7FE1C91A" w14:textId="77777777" w:rsidR="00960E01" w:rsidRDefault="00821CB5">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Indberetning for PS'er, CCP'er, (I) CSD'er</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960E01" w:rsidRDefault="00821CB5">
            <w:pPr>
              <w:pStyle w:val="P68B1DB1-TableParagraph40"/>
              <w:numPr>
                <w:ilvl w:val="0"/>
                <w:numId w:val="250"/>
              </w:numPr>
              <w:spacing w:before="108"/>
              <w:jc w:val="both"/>
            </w:pPr>
            <w:r>
              <w:t>PS: Værdien af sendte transaktioner</w:t>
            </w:r>
          </w:p>
          <w:p w14:paraId="7FE1C91C" w14:textId="77777777" w:rsidR="00960E01" w:rsidRDefault="00821CB5">
            <w:pPr>
              <w:pStyle w:val="P68B1DB1-TableParagraph40"/>
              <w:numPr>
                <w:ilvl w:val="0"/>
                <w:numId w:val="250"/>
              </w:numPr>
              <w:spacing w:before="108"/>
              <w:jc w:val="both"/>
            </w:pPr>
            <w:r>
              <w:t>CCP'er: Samlet værdi af transaktioner, der er gennemført i løbet af året. For CCP-derivater:</w:t>
            </w:r>
          </w:p>
          <w:p w14:paraId="7FE1C91D" w14:textId="77777777" w:rsidR="00960E01" w:rsidRDefault="00821CB5">
            <w:pPr>
              <w:pStyle w:val="P68B1DB1-TableParagraph40"/>
              <w:numPr>
                <w:ilvl w:val="1"/>
                <w:numId w:val="250"/>
              </w:numPr>
              <w:spacing w:before="108"/>
              <w:jc w:val="both"/>
            </w:pPr>
            <w:r>
              <w:t>Optioner = strikepris</w:t>
            </w:r>
          </w:p>
          <w:p w14:paraId="7FE1C91E" w14:textId="77777777" w:rsidR="00960E01" w:rsidRDefault="00821CB5">
            <w:pPr>
              <w:pStyle w:val="P68B1DB1-TableParagraph40"/>
              <w:numPr>
                <w:ilvl w:val="1"/>
                <w:numId w:val="250"/>
              </w:numPr>
              <w:spacing w:before="108"/>
              <w:jc w:val="both"/>
            </w:pPr>
            <w:r>
              <w:t>Futures = værdien af det underliggende instrument på transaktionstidspunktet eller, hvis der findes et notionelt underliggende instrument, markedskursen på futureskontrakter på transaktionstidspunktet.</w:t>
            </w:r>
          </w:p>
          <w:p w14:paraId="7FE1C91F" w14:textId="77777777" w:rsidR="00960E01" w:rsidRDefault="00821CB5">
            <w:pPr>
              <w:pStyle w:val="P68B1DB1-TableParagraph40"/>
              <w:numPr>
                <w:ilvl w:val="1"/>
                <w:numId w:val="250"/>
              </w:numPr>
              <w:spacing w:before="108"/>
              <w:jc w:val="both"/>
            </w:pPr>
            <w:r>
              <w:t>Swaps = den samlede markedsværdi af udestående transaktioner ved årets udgang.</w:t>
            </w:r>
          </w:p>
          <w:p w14:paraId="7FE1C920" w14:textId="3F59CB8F" w:rsidR="00960E01" w:rsidRDefault="00D16E28">
            <w:pPr>
              <w:pStyle w:val="P68B1DB1-TableParagraph40"/>
              <w:numPr>
                <w:ilvl w:val="0"/>
                <w:numId w:val="250"/>
              </w:numPr>
              <w:spacing w:before="108"/>
              <w:jc w:val="both"/>
              <w:rPr>
                <w:strike/>
                <w:color w:val="D13438"/>
                <w:u w:val="single"/>
              </w:rPr>
            </w:pPr>
            <w:r>
              <w:t>(</w:t>
            </w:r>
            <w:r w:rsidR="00821CB5">
              <w:t xml:space="preserve">I) CSD: Samlet værdi af leveringsinstrukser. </w:t>
            </w:r>
          </w:p>
        </w:tc>
      </w:tr>
      <w:tr w:rsidR="00960E01"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960E01" w:rsidRDefault="00821CB5">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960E01" w:rsidRDefault="00821CB5">
            <w:pPr>
              <w:pStyle w:val="P68B1DB1-TableParagraph73"/>
              <w:spacing w:before="108" w:after="120"/>
              <w:ind w:left="85"/>
              <w:jc w:val="both"/>
            </w:pPr>
            <w:r>
              <w:t>Kumuleret notionel værdi</w:t>
            </w:r>
          </w:p>
          <w:p w14:paraId="7FE1C924" w14:textId="77777777" w:rsidR="00960E01" w:rsidRDefault="00821CB5">
            <w:pPr>
              <w:pStyle w:val="P68B1DB1-TableParagraph40"/>
              <w:spacing w:before="108"/>
              <w:ind w:left="85"/>
              <w:jc w:val="both"/>
            </w:pPr>
            <w:r>
              <w:t xml:space="preserve">Summen af notionelle beløb for transaktioner, der er gennemført i løbet af året, for både hus- og kundekonti. Indberet i EUR. </w:t>
            </w:r>
          </w:p>
          <w:p w14:paraId="7FE1C925" w14:textId="77777777" w:rsidR="00960E01" w:rsidRDefault="00821CB5">
            <w:pPr>
              <w:pStyle w:val="P68B1DB1-Heading482"/>
              <w:numPr>
                <w:ilvl w:val="3"/>
                <w:numId w:val="0"/>
              </w:numPr>
              <w:ind w:left="360"/>
              <w:rPr>
                <w:strike/>
                <w:color w:val="D13438"/>
                <w:u w:val="single"/>
              </w:rPr>
            </w:pPr>
            <w:r>
              <w:t>Kun for CCP-derivater.</w:t>
            </w:r>
          </w:p>
        </w:tc>
      </w:tr>
      <w:tr w:rsidR="00960E01"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960E01" w:rsidRDefault="00821CB5">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960E01" w:rsidRDefault="00821CB5">
            <w:pPr>
              <w:pStyle w:val="P68B1DB1-TableParagraph73"/>
              <w:spacing w:before="108"/>
              <w:ind w:left="85"/>
              <w:jc w:val="both"/>
            </w:pPr>
            <w:r>
              <w:t>Kreditlinje</w:t>
            </w:r>
          </w:p>
          <w:p w14:paraId="7FE1C929" w14:textId="77777777" w:rsidR="00960E01" w:rsidRDefault="00821CB5">
            <w:pPr>
              <w:pStyle w:val="P68B1DB1-Heading482"/>
              <w:numPr>
                <w:ilvl w:val="3"/>
                <w:numId w:val="0"/>
              </w:numPr>
              <w:ind w:left="360"/>
              <w:rPr>
                <w:strike/>
                <w:color w:val="D13438"/>
                <w:u w:val="single"/>
              </w:rPr>
            </w:pPr>
            <w:r>
              <w:t xml:space="preserve">Bevilgede eller ikkebevilgede kreditlinjer ydet af systemet i tilfælde af direkte adgang eller af formidleren eller en anden likviditetsstiller i tilfælde af indirekte adgang. For ikke-offentliggjorte beløb: maksimal udnyttelse i løbet af året. </w:t>
            </w:r>
          </w:p>
        </w:tc>
      </w:tr>
      <w:tr w:rsidR="00960E01"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960E01" w:rsidRDefault="00821CB5">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960E01" w:rsidRDefault="00821CB5">
            <w:pPr>
              <w:pStyle w:val="P68B1DB1-TableParagraph73"/>
              <w:spacing w:before="108"/>
              <w:ind w:left="85"/>
              <w:jc w:val="both"/>
            </w:pPr>
            <w:r>
              <w:t>Maksimale likviditets- eller sikkerhedsstillelseskrav</w:t>
            </w:r>
          </w:p>
          <w:p w14:paraId="7FE1C92D" w14:textId="77777777" w:rsidR="00960E01" w:rsidRDefault="00821CB5">
            <w:pPr>
              <w:pStyle w:val="P68B1DB1-TableParagraph40"/>
              <w:spacing w:before="108"/>
              <w:ind w:left="85"/>
              <w:jc w:val="both"/>
            </w:pPr>
            <w:r>
              <w:t>Indberet kun for PS'er, (I) CSD'er, CCP'er, alt efter hvad der er relevant. Spidsværdi i det foregående år.</w:t>
            </w:r>
          </w:p>
          <w:p w14:paraId="7FE1C92E" w14:textId="11823106" w:rsidR="00960E01" w:rsidRDefault="00821CB5">
            <w:pPr>
              <w:pStyle w:val="P68B1DB1-TableParagraph40"/>
              <w:numPr>
                <w:ilvl w:val="0"/>
                <w:numId w:val="251"/>
              </w:numPr>
              <w:spacing w:before="108"/>
              <w:jc w:val="both"/>
            </w:pPr>
            <w:r>
              <w:t xml:space="preserve">For </w:t>
            </w:r>
            <w:r w:rsidR="00394CEC">
              <w:t>(I</w:t>
            </w:r>
            <w:r>
              <w:t xml:space="preserve">) CSD'er og PS'er: spidsværdi for anvendelse af kreditlinjer.  </w:t>
            </w:r>
          </w:p>
          <w:p w14:paraId="7FE1C92F" w14:textId="77777777" w:rsidR="00960E01" w:rsidRDefault="00821CB5">
            <w:pPr>
              <w:pStyle w:val="P68B1DB1-TableParagraph40"/>
              <w:numPr>
                <w:ilvl w:val="0"/>
                <w:numId w:val="251"/>
              </w:numPr>
              <w:spacing w:before="108"/>
              <w:jc w:val="both"/>
            </w:pPr>
            <w:r>
              <w:t>For CCP'er: spidsbelastning for marginkrav.</w:t>
            </w:r>
          </w:p>
          <w:p w14:paraId="7FE1C930" w14:textId="77777777" w:rsidR="00960E01" w:rsidRDefault="00821CB5">
            <w:pPr>
              <w:pStyle w:val="P68B1DB1-TableParagraph40"/>
              <w:numPr>
                <w:ilvl w:val="0"/>
                <w:numId w:val="251"/>
              </w:numPr>
              <w:spacing w:before="108"/>
              <w:jc w:val="both"/>
              <w:rPr>
                <w:strike/>
                <w:color w:val="D13438"/>
                <w:u w:val="single"/>
              </w:rPr>
            </w:pPr>
            <w:r>
              <w:t>For indirekte adgang: den maksimale finansiering, der kræves af formidleren.</w:t>
            </w:r>
          </w:p>
        </w:tc>
      </w:tr>
      <w:tr w:rsidR="00960E01"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960E01" w:rsidRDefault="00821CB5">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960E01" w:rsidRDefault="00821CB5">
            <w:pPr>
              <w:pStyle w:val="P68B1DB1-TableParagraph73"/>
              <w:spacing w:before="108"/>
              <w:ind w:left="85"/>
              <w:jc w:val="both"/>
            </w:pPr>
            <w:r>
              <w:t>Skønnede yderligere likviditets- eller sikkerhedsstillelseskrav i en stresssituation</w:t>
            </w:r>
          </w:p>
          <w:p w14:paraId="7FE1C934" w14:textId="16041565" w:rsidR="00960E01" w:rsidRDefault="00821CB5">
            <w:pPr>
              <w:pStyle w:val="P68B1DB1-Heading482"/>
              <w:numPr>
                <w:ilvl w:val="3"/>
                <w:numId w:val="0"/>
              </w:numPr>
              <w:ind w:left="360"/>
              <w:rPr>
                <w:strike/>
                <w:color w:val="D13438"/>
                <w:u w:val="single"/>
              </w:rPr>
            </w:pPr>
            <w:r>
              <w:t xml:space="preserve">Estimering af potentiel yderligere likviditet eller sikkerhedsstillelse over spidsbelastningskravet i kolonne 0160, som brugeren kan stå over for i en situation med alvorlig stress. </w:t>
            </w:r>
          </w:p>
        </w:tc>
      </w:tr>
    </w:tbl>
    <w:p w14:paraId="7FE1C936" w14:textId="77777777" w:rsidR="00960E01" w:rsidRDefault="00960E01">
      <w:pPr>
        <w:pStyle w:val="Instructionsberschrift2"/>
        <w:ind w:left="357"/>
        <w:rPr>
          <w:rFonts w:ascii="Times New Roman" w:eastAsia="Calibri" w:hAnsi="Times New Roman" w:cs="Times New Roman"/>
          <w:szCs w:val="20"/>
        </w:rPr>
      </w:pPr>
    </w:p>
    <w:p w14:paraId="7FE1C937" w14:textId="77777777" w:rsidR="00960E01" w:rsidRDefault="00821CB5">
      <w:pPr>
        <w:pStyle w:val="P68B1DB1-Instructionsberschrift271"/>
        <w:numPr>
          <w:ilvl w:val="1"/>
          <w:numId w:val="49"/>
        </w:numPr>
        <w:ind w:left="357" w:hanging="357"/>
      </w:pPr>
      <w:bookmarkStart w:id="140" w:name="_Toc208244582"/>
      <w:r>
        <w:t>Z 09.04 — FMI-tjenester — CCP'er — alternative udbydere (FMI 4)</w:t>
      </w:r>
      <w:bookmarkEnd w:id="140"/>
    </w:p>
    <w:tbl>
      <w:tblPr>
        <w:tblW w:w="0" w:type="auto"/>
        <w:tblInd w:w="135" w:type="dxa"/>
        <w:tblLook w:val="04A0" w:firstRow="1" w:lastRow="0" w:firstColumn="1" w:lastColumn="0" w:noHBand="0" w:noVBand="1"/>
      </w:tblPr>
      <w:tblGrid>
        <w:gridCol w:w="1178"/>
        <w:gridCol w:w="7713"/>
      </w:tblGrid>
      <w:tr w:rsidR="00960E01"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960E01" w:rsidRDefault="00821CB5">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Kolonner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960E01" w:rsidRDefault="00821CB5">
            <w:pPr>
              <w:pStyle w:val="P68B1DB1-TableParagraph17"/>
              <w:spacing w:before="108"/>
              <w:ind w:left="85"/>
            </w:pPr>
            <w:r>
              <w:t xml:space="preserve">Instrukser </w:t>
            </w:r>
          </w:p>
        </w:tc>
      </w:tr>
      <w:tr w:rsidR="00960E01"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960E01" w:rsidRDefault="00821CB5">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960E01" w:rsidRDefault="00821CB5">
            <w:pPr>
              <w:pStyle w:val="P68B1DB1-TableParagraph73"/>
              <w:spacing w:before="108"/>
              <w:ind w:left="85"/>
              <w:jc w:val="both"/>
            </w:pPr>
            <w:r>
              <w:t>ID, der repræsenterer en kombination af bruger, FMI, systemtype og formidler</w:t>
            </w:r>
          </w:p>
          <w:p w14:paraId="7FE1CBEF" w14:textId="2166D4DC" w:rsidR="00960E01" w:rsidRDefault="00821CB5">
            <w:pPr>
              <w:pStyle w:val="P68B1DB1-TableParagraph40"/>
              <w:spacing w:before="108"/>
              <w:ind w:left="85"/>
              <w:jc w:val="both"/>
            </w:pPr>
            <w:r>
              <w:t xml:space="preserve">Identifikator for CCP'en som angivet i Z 09.01, kolonne 0010. </w:t>
            </w:r>
          </w:p>
          <w:p w14:paraId="7FE1CBF2" w14:textId="2A5BCF53" w:rsidR="00960E01" w:rsidRDefault="00821CB5">
            <w:pPr>
              <w:pStyle w:val="P68B1DB1-TableParagraph40"/>
              <w:spacing w:before="108"/>
              <w:ind w:left="85"/>
              <w:jc w:val="both"/>
              <w:rPr>
                <w:b/>
                <w:bCs/>
                <w:i/>
                <w:iCs/>
              </w:rPr>
            </w:pPr>
            <w:r>
              <w:t>Kun indberette for CCP'er, der har adgang enten direkte eller indirekte. Indberet alle adgangsmuligheder til CCP'er.</w:t>
            </w:r>
          </w:p>
        </w:tc>
      </w:tr>
      <w:tr w:rsidR="00960E01"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960E01" w:rsidRDefault="00821CB5">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960E01" w:rsidRDefault="00821CB5">
            <w:pPr>
              <w:pStyle w:val="P68B1DB1-TableParagraph73"/>
              <w:spacing w:before="108"/>
              <w:ind w:left="85"/>
              <w:jc w:val="both"/>
              <w:rPr>
                <w:bCs/>
              </w:rPr>
            </w:pPr>
            <w:r>
              <w:t>Produkttype</w:t>
            </w:r>
          </w:p>
          <w:p w14:paraId="7FE1CBF8" w14:textId="236012E4" w:rsidR="00960E01" w:rsidRDefault="00821CB5">
            <w:pPr>
              <w:pStyle w:val="P68B1DB1-TableParagraph40"/>
              <w:spacing w:before="108"/>
              <w:ind w:left="85"/>
              <w:jc w:val="both"/>
              <w:rPr>
                <w:b/>
                <w:bCs/>
                <w:i/>
                <w:iCs/>
              </w:rPr>
            </w:pPr>
            <w:r>
              <w:t xml:space="preserve">Produkttype, der er omfattet af clearingaftalen. Rapportere om den detaljeringsgrad, der er nødvendig for analysen af substituerbarhed. </w:t>
            </w:r>
          </w:p>
        </w:tc>
      </w:tr>
      <w:tr w:rsidR="00960E01"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960E01" w:rsidRDefault="00821CB5">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960E01" w:rsidRDefault="00821CB5">
            <w:pPr>
              <w:pStyle w:val="P68B1DB1-TableParagraph73"/>
              <w:spacing w:before="108"/>
              <w:ind w:left="85"/>
              <w:jc w:val="both"/>
            </w:pPr>
            <w:r>
              <w:t>Substitutability J/N</w:t>
            </w:r>
          </w:p>
          <w:p w14:paraId="7FE1CBFC" w14:textId="24D3331D" w:rsidR="00960E01" w:rsidRDefault="00821CB5">
            <w:pPr>
              <w:pStyle w:val="P68B1DB1-TableParagraph40"/>
              <w:spacing w:before="108"/>
              <w:ind w:left="85"/>
              <w:jc w:val="both"/>
            </w:pPr>
            <w:r>
              <w:t>Brugerens mulighed for at erstatte clearingydelsesudbyderen i Z 09.01, kolonne 0020, med en alternativ FMI/formidler, som vedkommende har et kontraktforhold med på indberetningsdatoen. .</w:t>
            </w:r>
          </w:p>
          <w:p w14:paraId="7FE1CBFE" w14:textId="1F022B26" w:rsidR="00960E01" w:rsidRDefault="00821CB5">
            <w:pPr>
              <w:pStyle w:val="P68B1DB1-TableParagraph40"/>
              <w:numPr>
                <w:ilvl w:val="0"/>
                <w:numId w:val="256"/>
              </w:numPr>
              <w:spacing w:before="108"/>
              <w:jc w:val="both"/>
            </w:pPr>
            <w:r>
              <w:t>"Ja", hvis substitution er mulig</w:t>
            </w:r>
          </w:p>
          <w:p w14:paraId="7FE1CBFF" w14:textId="719E31EA" w:rsidR="00960E01" w:rsidRDefault="00821CB5">
            <w:pPr>
              <w:pStyle w:val="P68B1DB1-TableParagraph40"/>
              <w:numPr>
                <w:ilvl w:val="0"/>
                <w:numId w:val="256"/>
              </w:numPr>
              <w:spacing w:before="108"/>
              <w:jc w:val="both"/>
            </w:pPr>
            <w:r>
              <w:t>"Nej", hvis substitution ikke er mulig</w:t>
            </w:r>
          </w:p>
          <w:p w14:paraId="7FE1CC02" w14:textId="77777777" w:rsidR="00960E01" w:rsidRDefault="00960E01">
            <w:pPr>
              <w:pStyle w:val="TableParagraph"/>
              <w:spacing w:before="108"/>
              <w:jc w:val="both"/>
              <w:rPr>
                <w:rFonts w:ascii="Times New Roman" w:eastAsia="Times New Roman" w:hAnsi="Times New Roman" w:cs="Times New Roman"/>
                <w:b/>
                <w:sz w:val="20"/>
                <w:szCs w:val="20"/>
              </w:rPr>
            </w:pPr>
          </w:p>
        </w:tc>
      </w:tr>
      <w:tr w:rsidR="00960E01"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960E01" w:rsidRDefault="00821CB5">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960E01" w:rsidRDefault="00821CB5">
            <w:pPr>
              <w:pStyle w:val="P68B1DB1-TableParagraph73"/>
              <w:spacing w:before="108" w:after="120"/>
              <w:jc w:val="both"/>
              <w:rPr>
                <w:bCs/>
              </w:rPr>
            </w:pPr>
            <w:r>
              <w:t>Alternativ udbyder</w:t>
            </w:r>
          </w:p>
          <w:p w14:paraId="7FE1CC06" w14:textId="77777777" w:rsidR="00960E01" w:rsidRDefault="00821CB5">
            <w:pPr>
              <w:pStyle w:val="P68B1DB1-Normal31"/>
              <w:spacing w:line="276" w:lineRule="auto"/>
              <w:jc w:val="both"/>
            </w:pPr>
            <w:r>
              <w:t xml:space="preserve">Navn på FMI/formidler, der er identificeret som potentiel erstatning. </w:t>
            </w:r>
          </w:p>
          <w:p w14:paraId="7FE1CC07" w14:textId="2011DAFC" w:rsidR="00960E01" w:rsidRDefault="00821CB5">
            <w:pPr>
              <w:pStyle w:val="P68B1DB1-TableParagraph40"/>
              <w:spacing w:before="108"/>
              <w:ind w:left="85"/>
              <w:jc w:val="both"/>
              <w:rPr>
                <w:b/>
                <w:bCs/>
              </w:rPr>
            </w:pPr>
            <w:r>
              <w:t>Indberet kun, hvis Z 09.04, kolonne 0030, er Ja.</w:t>
            </w:r>
          </w:p>
        </w:tc>
      </w:tr>
      <w:tr w:rsidR="00960E01"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960E01" w:rsidRDefault="00821CB5">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960E01" w:rsidRDefault="00821CB5">
            <w:pPr>
              <w:pStyle w:val="P68B1DB1-TableParagraph73"/>
              <w:spacing w:before="108"/>
              <w:jc w:val="both"/>
              <w:rPr>
                <w:bCs/>
              </w:rPr>
            </w:pPr>
            <w:r>
              <w:t>Alternativ ID-udbyder</w:t>
            </w:r>
          </w:p>
          <w:p w14:paraId="7FE1CC0B" w14:textId="680AAC78" w:rsidR="00960E01" w:rsidRDefault="00821CB5">
            <w:pPr>
              <w:pStyle w:val="P68B1DB1-Normal31"/>
              <w:spacing w:after="120" w:line="276" w:lineRule="auto"/>
              <w:jc w:val="both"/>
              <w:rPr>
                <w:b/>
                <w:bCs/>
              </w:rPr>
            </w:pPr>
            <w:r>
              <w:t>Entydigt ID, der repræsenterer en kombination af bruger, FMI, systemtype og mellemmand for den alternative udbyder, som brugeren har et etableret kontraktforhold med, som indberettet i Z 09.01, kolonne 0010.</w:t>
            </w:r>
            <w:r>
              <w:rPr>
                <w:b/>
              </w:rPr>
              <w:t xml:space="preserve"> </w:t>
            </w:r>
          </w:p>
          <w:p w14:paraId="7FE1CC0C" w14:textId="7C8756E6" w:rsidR="00960E01" w:rsidRDefault="00821CB5">
            <w:pPr>
              <w:pStyle w:val="P68B1DB1-TableParagraph40"/>
              <w:spacing w:before="108"/>
              <w:ind w:left="85"/>
              <w:jc w:val="both"/>
              <w:rPr>
                <w:b/>
                <w:bCs/>
              </w:rPr>
            </w:pPr>
            <w:r>
              <w:t>Indberet kun, hvis Z 09.04, kolonne 0030, er Ja.</w:t>
            </w:r>
          </w:p>
        </w:tc>
      </w:tr>
    </w:tbl>
    <w:p w14:paraId="7FE1CECA" w14:textId="77777777" w:rsidR="00960E01" w:rsidRDefault="00960E01">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960E01" w:rsidRDefault="00960E01">
      <w:pPr>
        <w:pStyle w:val="Instructionsberschrift2"/>
        <w:ind w:left="357"/>
        <w:rPr>
          <w:rFonts w:ascii="Times New Roman" w:eastAsia="Calibri" w:hAnsi="Times New Roman" w:cs="Times New Roman"/>
          <w:szCs w:val="20"/>
        </w:rPr>
      </w:pPr>
    </w:p>
    <w:p w14:paraId="7FE1CF07" w14:textId="77777777" w:rsidR="00960E01" w:rsidRDefault="00821CB5">
      <w:pPr>
        <w:pStyle w:val="P68B1DB1-Instructionsberschrift284"/>
        <w:numPr>
          <w:ilvl w:val="1"/>
          <w:numId w:val="49"/>
        </w:numPr>
        <w:spacing w:before="0"/>
        <w:ind w:left="357" w:hanging="357"/>
      </w:pPr>
      <w:bookmarkStart w:id="241" w:name="_Toc208244583"/>
      <w:r>
        <w:t>Analyse af ansvar</w:t>
      </w:r>
      <w:bookmarkEnd w:id="241"/>
    </w:p>
    <w:p w14:paraId="7FE1CF08" w14:textId="53CCE3BD" w:rsidR="00960E01" w:rsidRDefault="00821CB5">
      <w:pPr>
        <w:pStyle w:val="Instructionsberschrift2"/>
        <w:numPr>
          <w:ilvl w:val="1"/>
          <w:numId w:val="49"/>
        </w:numPr>
        <w:spacing w:before="0"/>
        <w:ind w:left="357" w:hanging="357"/>
        <w:rPr>
          <w:rFonts w:ascii="Times New Roman" w:hAnsi="Times New Roman" w:cs="Times New Roman"/>
        </w:rPr>
      </w:pPr>
      <w:bookmarkStart w:id="242" w:name="_Toc208244584"/>
      <w:r>
        <w:rPr>
          <w:rFonts w:ascii="Times New Roman" w:hAnsi="Times New Roman" w:cs="Times New Roman"/>
          <w:color w:val="000000" w:themeColor="text1"/>
        </w:rPr>
        <w:t>Z 11.00 Koncernforpligtelser</w:t>
      </w:r>
      <w:r>
        <w:rPr>
          <w:rFonts w:ascii="Times New Roman" w:eastAsia="Calibri" w:hAnsi="Times New Roman" w:cs="Times New Roman"/>
          <w:szCs w:val="20"/>
        </w:rPr>
        <w:t xml:space="preserve"> (LIAB-G-1)</w:t>
      </w:r>
      <w:bookmarkEnd w:id="242"/>
    </w:p>
    <w:p w14:paraId="7FE1CF0A" w14:textId="69A86E79" w:rsidR="00960E01" w:rsidRDefault="00821CB5">
      <w:pPr>
        <w:pStyle w:val="P68B1DB1-Numberedtitlelevel385"/>
      </w:pPr>
      <w:bookmarkStart w:id="243" w:name="_Toc81454213"/>
      <w:r>
        <w:t>Generelle bemærkninger</w:t>
      </w:r>
    </w:p>
    <w:p w14:paraId="7FE1CF0B" w14:textId="77777777" w:rsidR="00960E01" w:rsidRDefault="00821CB5">
      <w:pPr>
        <w:pStyle w:val="P68B1DB1-InstructionsText26"/>
        <w:numPr>
          <w:ilvl w:val="2"/>
          <w:numId w:val="209"/>
        </w:numPr>
        <w:spacing w:before="0"/>
        <w:ind w:left="1276"/>
        <w:rPr>
          <w:rFonts w:eastAsiaTheme="majorEastAsia"/>
        </w:rPr>
      </w:pPr>
      <w:r>
        <w:t>Denne tabel kræver oplysninger om koncerninterne passiver, der dækker alt kapitalgrundlag og alle passiver.</w:t>
      </w:r>
    </w:p>
    <w:p w14:paraId="7FE1CF0C" w14:textId="4049DE4D" w:rsidR="00960E01" w:rsidRDefault="00821CB5">
      <w:pPr>
        <w:pStyle w:val="P68B1DB1-InstructionsText26"/>
        <w:numPr>
          <w:ilvl w:val="2"/>
          <w:numId w:val="209"/>
        </w:numPr>
        <w:spacing w:before="0"/>
        <w:ind w:left="1276"/>
        <w:rPr>
          <w:rFonts w:eastAsiaTheme="majorEastAsia"/>
        </w:rPr>
      </w:pPr>
      <w:r>
        <w:t>Enheder, der skal betragtes som koncerninterne enheder, er enheder, der — i overensstemmelse med definitionen i kolonne 0100 i Z02.00 — tilhører det endelige moderselskabs regnskabsmæssige konsolideringsområde. Som følge heraf skal disse forpligtelser ikke indberettes under de detaljerede faner Z 12.00 til Z 17.00, bortset fra Z 15.00 Derivater (se nedenfor).</w:t>
      </w:r>
    </w:p>
    <w:p w14:paraId="7FE1CF0D" w14:textId="170B6ABA" w:rsidR="00960E01" w:rsidRDefault="00821CB5">
      <w:pPr>
        <w:pStyle w:val="P68B1DB1-InstructionsText26"/>
        <w:numPr>
          <w:ilvl w:val="2"/>
          <w:numId w:val="209"/>
        </w:numPr>
        <w:spacing w:before="0"/>
        <w:ind w:left="1276"/>
        <w:rPr>
          <w:rFonts w:eastAsiaTheme="majorEastAsia"/>
        </w:rPr>
      </w:pPr>
      <w:r>
        <w:t>Derivater er af specifik karakter og indberettes ikke i Z 11.00, men altid i Z 15.00.</w:t>
      </w:r>
    </w:p>
    <w:p w14:paraId="7FE1CF0E" w14:textId="18AE2C5B" w:rsidR="00960E01" w:rsidRDefault="00821CB5">
      <w:pPr>
        <w:pStyle w:val="P68B1DB1-InstructionsText26"/>
        <w:numPr>
          <w:ilvl w:val="2"/>
          <w:numId w:val="209"/>
        </w:numPr>
        <w:spacing w:before="0"/>
        <w:ind w:left="1276"/>
        <w:rPr>
          <w:rFonts w:eastAsiaTheme="majorEastAsia"/>
        </w:rPr>
      </w:pPr>
      <w:r>
        <w:t xml:space="preserve">Alle passiver, der er udstedt til enheder, der er omfattet af den regnskabsmæssige konsolidering (herunder SPV'er, der er omfattet af konsolideringen), både inden for og uden for </w:t>
      </w:r>
      <w:r>
        <w:lastRenderedPageBreak/>
        <w:t>afviklingskoncernen, indberettes i skema Z 11.00. Med henblik på denne tabel skal passiver indberettes på transaktionsbasis, dvs. hver transaktion, der indberettes som en individuel række. Transaktioner skal dog indberettes i flere rækker, hvis de vedrører forskellige rangordninger ved insolvens.</w:t>
      </w:r>
    </w:p>
    <w:p w14:paraId="7FE1CF0F" w14:textId="77777777" w:rsidR="00960E01" w:rsidRDefault="00821CB5">
      <w:pPr>
        <w:pStyle w:val="P68B1DB1-Numberedtitlelevel372"/>
      </w:pPr>
      <w:r>
        <w:t>Instrukser vedrørende specifikke positioner</w:t>
      </w:r>
    </w:p>
    <w:tbl>
      <w:tblPr>
        <w:tblW w:w="0" w:type="auto"/>
        <w:tblLook w:val="01E0" w:firstRow="1" w:lastRow="1" w:firstColumn="1" w:lastColumn="1" w:noHBand="0" w:noVBand="0"/>
      </w:tblPr>
      <w:tblGrid>
        <w:gridCol w:w="1244"/>
        <w:gridCol w:w="7717"/>
        <w:gridCol w:w="65"/>
      </w:tblGrid>
      <w:tr w:rsidR="00960E01"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960E01" w:rsidRDefault="00821CB5">
            <w:pPr>
              <w:pStyle w:val="P68B1DB1-TableParagraph17"/>
              <w:spacing w:before="108"/>
              <w:ind w:left="85"/>
            </w:pPr>
            <w:r>
              <w:t xml:space="preserve">Kolonner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960E01" w:rsidRDefault="00821CB5">
            <w:pPr>
              <w:pStyle w:val="P68B1DB1-TableParagraph17"/>
              <w:spacing w:before="108"/>
              <w:ind w:left="85" w:right="1"/>
            </w:pPr>
            <w:r>
              <w:t>Instrukser</w:t>
            </w:r>
          </w:p>
        </w:tc>
      </w:tr>
      <w:tr w:rsidR="00960E01"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960E01" w:rsidRDefault="00821CB5">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960E01" w:rsidRDefault="00821CB5">
            <w:pPr>
              <w:pStyle w:val="P68B1DB1-TableParagraph40"/>
              <w:spacing w:before="108"/>
              <w:ind w:left="85"/>
              <w:jc w:val="both"/>
              <w:rPr>
                <w:b/>
                <w:bCs/>
              </w:rPr>
            </w:pPr>
            <w:r>
              <w:t xml:space="preserve"> </w:t>
            </w:r>
            <w:r>
              <w:rPr>
                <w:b/>
              </w:rPr>
              <w:t>NR.</w:t>
            </w:r>
          </w:p>
          <w:p w14:paraId="7FE1CF17" w14:textId="77777777" w:rsidR="00960E01" w:rsidRDefault="00821CB5">
            <w:pPr>
              <w:pStyle w:val="P68B1DB1-TableParagraph40"/>
              <w:spacing w:before="108"/>
              <w:ind w:left="85"/>
              <w:jc w:val="both"/>
            </w:pPr>
            <w:r>
              <w:t xml:space="preserve">Unikt nummer/primær nøgle til identifikation af rækkerne. </w:t>
            </w:r>
          </w:p>
        </w:tc>
      </w:tr>
      <w:tr w:rsidR="00960E01"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960E01" w:rsidRDefault="00821CB5">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960E01" w:rsidRDefault="00821CB5">
            <w:pPr>
              <w:pStyle w:val="P68B1DB1-TableParagraph40"/>
              <w:spacing w:before="108"/>
              <w:ind w:left="85"/>
              <w:jc w:val="both"/>
              <w:rPr>
                <w:b/>
                <w:bCs/>
              </w:rPr>
            </w:pPr>
            <w:r>
              <w:t xml:space="preserve"> </w:t>
            </w:r>
            <w:r>
              <w:rPr>
                <w:b/>
              </w:rPr>
              <w:t>Række</w:t>
            </w:r>
          </w:p>
          <w:p w14:paraId="7FE1CF1B" w14:textId="474C4148" w:rsidR="00960E01" w:rsidRDefault="00821CB5">
            <w:pPr>
              <w:pStyle w:val="P68B1DB1-TableParagraph40"/>
              <w:spacing w:before="108"/>
              <w:ind w:left="85"/>
              <w:jc w:val="both"/>
            </w:pPr>
            <w:r>
              <w:t>For hvert instrument skal der fra en foruddefineret liste over værdier foretages en afstemning med passivkategorierne i passivstrukturen i Z02.00.</w:t>
            </w:r>
          </w:p>
        </w:tc>
      </w:tr>
      <w:tr w:rsidR="00960E01"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960E01" w:rsidRDefault="00821CB5">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960E01" w:rsidRDefault="00821CB5">
            <w:pPr>
              <w:pStyle w:val="P68B1DB1-TableParagraph73"/>
              <w:spacing w:before="108"/>
              <w:ind w:left="85"/>
              <w:jc w:val="both"/>
              <w:rPr>
                <w:bCs/>
              </w:rPr>
            </w:pPr>
            <w:r>
              <w:t xml:space="preserve">Kolonne </w:t>
            </w:r>
          </w:p>
          <w:p w14:paraId="7FE1CF1F" w14:textId="77777777" w:rsidR="00960E01" w:rsidRDefault="00821CB5">
            <w:pPr>
              <w:pStyle w:val="P68B1DB1-TableParagraph40"/>
              <w:spacing w:before="108"/>
              <w:ind w:left="85"/>
              <w:jc w:val="both"/>
            </w:pPr>
            <w:r>
              <w:t>For hvert instrument skal en afstemning med den modpartsklasse i Z02.00, som forpligtelsen skyldes, gives fra en foruddefineret værdiliste.</w:t>
            </w:r>
          </w:p>
        </w:tc>
      </w:tr>
      <w:tr w:rsidR="00960E01"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960E01" w:rsidRDefault="00821CB5">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960E01" w:rsidRDefault="00821CB5">
            <w:pPr>
              <w:pStyle w:val="P68B1DB1-TableParagraph73"/>
              <w:spacing w:before="108"/>
              <w:ind w:left="85"/>
              <w:jc w:val="both"/>
              <w:rPr>
                <w:bCs/>
              </w:rPr>
            </w:pPr>
            <w:r>
              <w:t>Prioritetsrækkefølge ved insolvens</w:t>
            </w:r>
          </w:p>
          <w:p w14:paraId="7FE1CF23" w14:textId="396478FE" w:rsidR="00960E01" w:rsidRDefault="00821CB5">
            <w:pPr>
              <w:pStyle w:val="P68B1DB1-TableParagraph40"/>
              <w:spacing w:before="108"/>
              <w:ind w:left="85"/>
              <w:jc w:val="both"/>
            </w:pPr>
            <w:r>
              <w:t>Placeringen i prioritetsrækkefølgen ved insolvens skal svare til én af de placeringer, der indgår i de prioritetsrækkefølger ved insolvens, som offentliggøres af afviklingsmyndigheden i den pågældende jurisdiktion.</w:t>
            </w:r>
          </w:p>
        </w:tc>
      </w:tr>
      <w:tr w:rsidR="00960E01"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960E01" w:rsidRDefault="00821CB5">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960E01" w:rsidRDefault="00821CB5">
            <w:pPr>
              <w:pStyle w:val="P68B1DB1-TableParagraph73"/>
              <w:spacing w:before="108"/>
              <w:ind w:left="85"/>
              <w:jc w:val="both"/>
              <w:rPr>
                <w:bCs/>
              </w:rPr>
            </w:pPr>
            <w:r>
              <w:t>Kontrakters ID-kode</w:t>
            </w:r>
          </w:p>
          <w:p w14:paraId="7FE1CF27" w14:textId="5E827C31" w:rsidR="00960E01" w:rsidRDefault="00821CB5">
            <w:pPr>
              <w:pStyle w:val="P68B1DB1-TableParagraph40"/>
              <w:spacing w:before="108"/>
              <w:ind w:left="85"/>
              <w:jc w:val="both"/>
            </w:pPr>
            <w:r>
              <w:t>ISIN-koden eller, hvis ISIN-koden ikke er tilgængelig, en anden kontraktidentifikator for instrumentet skal indberettes.</w:t>
            </w:r>
          </w:p>
        </w:tc>
      </w:tr>
      <w:tr w:rsidR="00960E01"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960E01" w:rsidRDefault="00821CB5">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960E01" w:rsidRDefault="00821CB5">
            <w:pPr>
              <w:pStyle w:val="P68B1DB1-TableParagraph73"/>
              <w:spacing w:before="108"/>
              <w:ind w:left="85"/>
              <w:jc w:val="both"/>
              <w:rPr>
                <w:bCs/>
              </w:rPr>
            </w:pPr>
            <w:r>
              <w:t>Modpartens navn</w:t>
            </w:r>
          </w:p>
          <w:p w14:paraId="7FE1CF2B" w14:textId="28E31BB6" w:rsidR="00960E01" w:rsidRDefault="00821CB5">
            <w:pPr>
              <w:pStyle w:val="P68B1DB1-TableParagraph40"/>
              <w:spacing w:before="108"/>
              <w:ind w:left="85"/>
              <w:jc w:val="both"/>
            </w:pPr>
            <w:r>
              <w:t>Enhedens navn på passivets modpart.</w:t>
            </w:r>
          </w:p>
        </w:tc>
      </w:tr>
      <w:tr w:rsidR="00960E01"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960E01" w:rsidRDefault="00821CB5">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960E01" w:rsidRDefault="00821CB5">
            <w:pPr>
              <w:pStyle w:val="P68B1DB1-TableParagraph73"/>
              <w:spacing w:before="108"/>
              <w:ind w:left="85"/>
              <w:jc w:val="both"/>
              <w:rPr>
                <w:bCs/>
              </w:rPr>
            </w:pPr>
            <w:r>
              <w:t>Identifikator for modparten</w:t>
            </w:r>
          </w:p>
          <w:p w14:paraId="7FE1CF2F" w14:textId="5864B2BC" w:rsidR="00960E01" w:rsidRDefault="00821CB5">
            <w:pPr>
              <w:pStyle w:val="P68B1DB1-TableParagraph40"/>
              <w:spacing w:before="108"/>
              <w:ind w:left="85"/>
              <w:jc w:val="both"/>
            </w:pPr>
            <w:r>
              <w:t>Modpartens unikke LEI-kode. I mangel af en LEI er ECBs entydige identifikator for monetære finansielle institutioner (MFI ID) for kreditinstituttet til brug i RIAD udstedt. I mangel af begge sådanne identifikatorer kan den interne identifikator anvendes.</w:t>
            </w:r>
          </w:p>
          <w:p w14:paraId="7FE1CF30" w14:textId="585107E3" w:rsidR="00960E01" w:rsidRDefault="00960E01">
            <w:pPr>
              <w:pStyle w:val="TableParagraph"/>
              <w:spacing w:before="108"/>
              <w:ind w:left="85"/>
              <w:jc w:val="both"/>
              <w:rPr>
                <w:rFonts w:ascii="Times New Roman" w:eastAsia="Times New Roman" w:hAnsi="Times New Roman" w:cs="Times New Roman"/>
                <w:sz w:val="20"/>
                <w:szCs w:val="20"/>
              </w:rPr>
            </w:pPr>
          </w:p>
        </w:tc>
      </w:tr>
      <w:tr w:rsidR="00960E01"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960E01" w:rsidRDefault="00821CB5">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960E01" w:rsidRDefault="00821CB5">
            <w:pPr>
              <w:pStyle w:val="P68B1DB1-TableParagraph73"/>
              <w:spacing w:before="108"/>
              <w:ind w:left="85"/>
              <w:jc w:val="both"/>
              <w:rPr>
                <w:bCs/>
              </w:rPr>
            </w:pPr>
            <w:r>
              <w:t>Identifikatortype</w:t>
            </w:r>
          </w:p>
          <w:p w14:paraId="7FE1CF34"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960E01" w:rsidRDefault="00821CB5">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960E01" w:rsidRDefault="00821CB5">
            <w:pPr>
              <w:pStyle w:val="P68B1DB1-TableParagraph73"/>
              <w:spacing w:before="108"/>
              <w:ind w:left="85"/>
              <w:jc w:val="both"/>
              <w:rPr>
                <w:bCs/>
              </w:rPr>
            </w:pPr>
            <w:r>
              <w:t>Forholdet til modparten</w:t>
            </w:r>
          </w:p>
          <w:p w14:paraId="7FE1CF38" w14:textId="1D86F34C" w:rsidR="00960E01" w:rsidRDefault="00821CB5">
            <w:pPr>
              <w:pStyle w:val="P68B1DB1-TableParagraph40"/>
              <w:spacing w:before="108"/>
              <w:ind w:left="85"/>
              <w:jc w:val="both"/>
            </w:pPr>
            <w:r>
              <w:t>Dette felt angiver forholdet mellem den långivende virksomhed og den indberettende enhed. Der er planlagt en liste over værdier for dette felt: modparten kan enten være en "direkte eller indirekte modervirksomhed", et "direkte eller indirekte datterselskab" eller alternativt en "Sister".</w:t>
            </w:r>
          </w:p>
        </w:tc>
      </w:tr>
      <w:tr w:rsidR="00960E01"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960E01" w:rsidRDefault="00821CB5">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960E01" w:rsidRDefault="00821CB5">
            <w:pPr>
              <w:pStyle w:val="P68B1DB1-TableParagraph73"/>
              <w:spacing w:before="108"/>
              <w:ind w:left="85"/>
              <w:jc w:val="both"/>
              <w:rPr>
                <w:bCs/>
              </w:rPr>
            </w:pPr>
            <w:r>
              <w:t>Ansvarstype</w:t>
            </w:r>
          </w:p>
          <w:p w14:paraId="7FE1CF3C" w14:textId="07B04D08" w:rsidR="00960E01" w:rsidRDefault="00821CB5">
            <w:pPr>
              <w:pStyle w:val="P68B1DB1-TableParagraph40"/>
              <w:spacing w:before="108"/>
              <w:ind w:left="85"/>
              <w:jc w:val="both"/>
            </w:pPr>
            <w:r>
              <w:t>For passiver, der er indberettet under Z02.00-c0020-række som "r0210 — Forpligtelser over for andre enheder i afviklingskoncernen", angives den type passiver, som det ville være blevet indberettet i Z02.00, hvis passivet ikke var blevet anset for at være udelukket.</w:t>
            </w:r>
          </w:p>
        </w:tc>
      </w:tr>
      <w:tr w:rsidR="00960E01"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960E01" w:rsidRDefault="00821CB5">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960E01" w:rsidRDefault="00821CB5">
            <w:pPr>
              <w:pStyle w:val="P68B1DB1-TableParagraph73"/>
              <w:spacing w:before="108"/>
              <w:ind w:left="85"/>
              <w:jc w:val="both"/>
              <w:rPr>
                <w:bCs/>
              </w:rPr>
            </w:pPr>
            <w:r>
              <w:t>Lovvalg</w:t>
            </w:r>
          </w:p>
          <w:p w14:paraId="7FE1CF40" w14:textId="2C49BDFC" w:rsidR="00960E01" w:rsidRDefault="00821CB5">
            <w:pPr>
              <w:pStyle w:val="P68B1DB1-TableParagraph40"/>
              <w:spacing w:before="108"/>
              <w:ind w:left="85"/>
              <w:jc w:val="both"/>
            </w:pPr>
            <w:r>
              <w:t xml:space="preserve">ISO 3166-1 alpha-2-koden for det land, hvis lovgivning regulerer instrumentet (anvend ISO 3166-2-koden, når loven i en administrativ underinddeling er relevant, f.eks. "US-NY"). Hvis aftalen er underlagt lovgivningen i mere end ét land, indberettes det land, hvis lovgivning er mest relevant for anerkendelse af nedskrivnings- og konverteringsbeføjelser.  </w:t>
            </w:r>
          </w:p>
        </w:tc>
      </w:tr>
      <w:tr w:rsidR="00960E01"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960E01" w:rsidRDefault="00821CB5">
            <w:pPr>
              <w:pStyle w:val="P68B1DB1-Normal31"/>
            </w:pPr>
            <w:r>
              <w:lastRenderedPageBreak/>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960E01" w:rsidRDefault="00821CB5">
            <w:pPr>
              <w:pStyle w:val="P68B1DB1-TableParagraph73"/>
              <w:spacing w:before="108"/>
              <w:ind w:left="85"/>
              <w:jc w:val="both"/>
              <w:rPr>
                <w:bCs/>
              </w:rPr>
            </w:pPr>
            <w:r>
              <w:t xml:space="preserve">Hvis tredjelandets lovgivning, kontraktmæssig anerkendelse </w:t>
            </w:r>
          </w:p>
          <w:p w14:paraId="7FE1CF45" w14:textId="77777777" w:rsidR="00960E01" w:rsidRDefault="00821CB5">
            <w:pPr>
              <w:pStyle w:val="P68B1DB1-TableParagraph40"/>
              <w:spacing w:before="108"/>
              <w:ind w:left="85"/>
              <w:jc w:val="both"/>
            </w:pPr>
            <w:r>
              <w:t xml:space="preserve">Identifikation af kontraktlige bestemmelser om anerkendelse af bail-in-beføjelser i overensstemmelse med artikel 55 i BRRD, enten </w:t>
            </w:r>
          </w:p>
          <w:p w14:paraId="7FE1CF46" w14:textId="77777777" w:rsidR="00960E01" w:rsidRDefault="00821CB5">
            <w:pPr>
              <w:pStyle w:val="P68B1DB1-TableParagraph40"/>
              <w:spacing w:before="108"/>
              <w:ind w:left="85"/>
              <w:jc w:val="both"/>
            </w:pPr>
            <w:r>
              <w:t>"Ja, understøttet af juridisk udtalelse" = passivet omfatter en klausul om anerkendelse af bail-in i overensstemmelse med artikel 55 i BRRD, som understøttes af en juridisk udtalelse</w:t>
            </w:r>
          </w:p>
          <w:p w14:paraId="7FE1CF47" w14:textId="77777777" w:rsidR="00960E01" w:rsidRDefault="00821CB5">
            <w:pPr>
              <w:pStyle w:val="P68B1DB1-TableParagraph40"/>
              <w:spacing w:before="108"/>
              <w:ind w:left="85"/>
              <w:jc w:val="both"/>
            </w:pPr>
            <w:r>
              <w:t>"Ja, ikke understøttet af juridisk udtalelse" = passivet omfatter en klausul om anerkendelse af bail-in i overensstemmelse med artikel 55 i direktivet om genopretning og afvikling af banker, som i øjeblikket ikke understøttes af en juridisk udtalelse</w:t>
            </w:r>
          </w:p>
          <w:p w14:paraId="7FE1CF48" w14:textId="7427A49E" w:rsidR="00960E01" w:rsidRDefault="00821CB5">
            <w:pPr>
              <w:pStyle w:val="P68B1DB1-TableParagraph40"/>
              <w:spacing w:before="108"/>
              <w:ind w:left="85"/>
              <w:jc w:val="both"/>
            </w:pPr>
            <w:r>
              <w:t>"Nej" = passivet indeholder ikke en klausul om anerkendelse af bail-in</w:t>
            </w:r>
          </w:p>
          <w:p w14:paraId="7FE1CF49" w14:textId="2FE33A69" w:rsidR="00960E01" w:rsidRDefault="00821CB5">
            <w:pPr>
              <w:pStyle w:val="P68B1DB1-TableParagraph40"/>
              <w:spacing w:before="108"/>
              <w:ind w:left="85"/>
              <w:jc w:val="both"/>
            </w:pPr>
            <w:r>
              <w:t>"Ikke relevant".  fra en foruddefineret liste.</w:t>
            </w:r>
          </w:p>
        </w:tc>
      </w:tr>
      <w:tr w:rsidR="00960E01" w14:paraId="7FE1CF4E" w14:textId="77777777">
        <w:tc>
          <w:tcPr>
            <w:tcW w:w="1244" w:type="dxa"/>
            <w:vAlign w:val="center"/>
          </w:tcPr>
          <w:p w14:paraId="7FE1CF4B" w14:textId="77777777" w:rsidR="00960E01" w:rsidRDefault="00821CB5">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960E01" w:rsidRDefault="00821CB5">
            <w:pPr>
              <w:pStyle w:val="P68B1DB1-TableParagraph73"/>
              <w:spacing w:before="108"/>
              <w:ind w:left="85"/>
              <w:jc w:val="both"/>
              <w:rPr>
                <w:bCs/>
              </w:rPr>
            </w:pPr>
            <w:r>
              <w:t xml:space="preserve">Udestående hovedstol </w:t>
            </w:r>
          </w:p>
          <w:p w14:paraId="7FE1CF4D" w14:textId="1F7D6035" w:rsidR="00960E01" w:rsidRDefault="00821CB5">
            <w:pPr>
              <w:pStyle w:val="P68B1DB1-TableParagraph40"/>
              <w:spacing w:before="108"/>
              <w:ind w:left="85"/>
              <w:jc w:val="both"/>
            </w:pPr>
            <w:r>
              <w:t>Forpligtelsens udestående hovedstol.</w:t>
            </w:r>
          </w:p>
        </w:tc>
      </w:tr>
      <w:tr w:rsidR="00960E01"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960E01" w:rsidRDefault="00821CB5">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960E01" w:rsidRDefault="00821CB5">
            <w:pPr>
              <w:pStyle w:val="P68B1DB1-TableParagraph73"/>
              <w:spacing w:before="108"/>
              <w:ind w:left="85"/>
              <w:jc w:val="both"/>
              <w:rPr>
                <w:bCs/>
              </w:rPr>
            </w:pPr>
            <w:r>
              <w:t>Påløbne renter</w:t>
            </w:r>
          </w:p>
          <w:p w14:paraId="7FE1CF51" w14:textId="6BF1C45C" w:rsidR="00960E01" w:rsidRDefault="00821CB5">
            <w:pPr>
              <w:pStyle w:val="P68B1DB1-TableParagraph40"/>
              <w:spacing w:before="108"/>
              <w:ind w:left="85"/>
              <w:jc w:val="both"/>
            </w:pPr>
            <w:r>
              <w:t>De udestående påløbne renter på forpligtelsen.</w:t>
            </w:r>
          </w:p>
        </w:tc>
      </w:tr>
      <w:tr w:rsidR="00960E01"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960E01" w:rsidRDefault="00821CB5">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960E01" w:rsidRDefault="00821CB5">
            <w:pPr>
              <w:pStyle w:val="P68B1DB1-TableParagraph73"/>
              <w:spacing w:before="108"/>
              <w:ind w:left="85"/>
              <w:jc w:val="both"/>
              <w:rPr>
                <w:bCs/>
              </w:rPr>
            </w:pPr>
            <w:r>
              <w:t>Valuta</w:t>
            </w:r>
          </w:p>
          <w:p w14:paraId="7FE1CF55" w14:textId="7419E4E6" w:rsidR="00960E01" w:rsidRDefault="00821CB5">
            <w:pPr>
              <w:pStyle w:val="P68B1DB1-TableParagraph40"/>
              <w:spacing w:before="108"/>
              <w:ind w:left="85"/>
              <w:jc w:val="both"/>
            </w:pPr>
            <w:r>
              <w:t>Passivets valuta i overensstemmelse med dens ISO 4217-kode på 3 bogstaver.</w:t>
            </w:r>
          </w:p>
        </w:tc>
      </w:tr>
      <w:tr w:rsidR="00960E01"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960E01" w:rsidRDefault="00821CB5">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960E01" w:rsidRDefault="00821CB5">
            <w:pPr>
              <w:pStyle w:val="P68B1DB1-TableParagraph73"/>
              <w:spacing w:before="108"/>
              <w:ind w:left="85"/>
              <w:jc w:val="both"/>
              <w:rPr>
                <w:bCs/>
              </w:rPr>
            </w:pPr>
            <w:r>
              <w:t>Udstedelsesdato</w:t>
            </w:r>
          </w:p>
          <w:p w14:paraId="7FE1CF59" w14:textId="77777777" w:rsidR="00960E01" w:rsidRDefault="00821CB5">
            <w:pPr>
              <w:pStyle w:val="P68B1DB1-TableParagraph40"/>
              <w:spacing w:before="108"/>
              <w:ind w:left="85"/>
              <w:jc w:val="both"/>
            </w:pPr>
            <w:r>
              <w:t>Dato for den oprindelige udstedelse af forpligtelsen. For værdipapirfinansieringstransaktioner, der er omfattet af en nettingaftale og indberettet som en nettinggruppe, kan indberetningsdatoen anvendes som udstedelsesdato.</w:t>
            </w:r>
          </w:p>
        </w:tc>
      </w:tr>
      <w:tr w:rsidR="00960E01"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960E01" w:rsidRDefault="00821CB5">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960E01" w:rsidRDefault="00821CB5">
            <w:pPr>
              <w:pStyle w:val="P68B1DB1-TableParagraph73"/>
              <w:spacing w:before="108"/>
              <w:ind w:left="85"/>
              <w:jc w:val="both"/>
              <w:rPr>
                <w:bCs/>
              </w:rPr>
            </w:pPr>
            <w:r>
              <w:t>Førstkommende udløbsdato</w:t>
            </w:r>
          </w:p>
          <w:p w14:paraId="7FE1CF5D" w14:textId="206F36C8" w:rsidR="00960E01" w:rsidRDefault="00821CB5">
            <w:pPr>
              <w:pStyle w:val="P68B1DB1-TableParagraph40"/>
              <w:spacing w:before="108"/>
              <w:ind w:left="85"/>
              <w:jc w:val="both"/>
            </w:pPr>
            <w:r>
              <w:t>Hvis der findes en mulighed for, at kreditor kan anmode om førtidig tilbagebetaling, eller betingelserne for førtidig tilbagebetaling af forpligtelsen er kontraktligt fastsat, angives den tidligste indtrædelsesdato. Hvis den førtidige tilbagebetaling kun vedrører en del af forpligtelsen (f.eks. førtidig tilbagebetaling af 50 % af det nominelle beløb), opdeles forpligtelsen for at tage hensyn til denne bestemmelse om delvis førtidig indfrielse. For værdipapirfinansieringstransaktioner, der er omfattet af en nettingaftale og indberettes som en nettinggruppe, anvendes dagen efter indberetningsdatoen.</w:t>
            </w:r>
          </w:p>
        </w:tc>
      </w:tr>
      <w:tr w:rsidR="00960E01"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960E01" w:rsidRDefault="00821CB5">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960E01" w:rsidRDefault="00821CB5">
            <w:pPr>
              <w:pStyle w:val="P68B1DB1-TableParagraph73"/>
              <w:spacing w:before="108"/>
              <w:ind w:left="85"/>
              <w:jc w:val="both"/>
              <w:rPr>
                <w:bCs/>
              </w:rPr>
            </w:pPr>
            <w:r>
              <w:t>Officiel udløbsdato</w:t>
            </w:r>
          </w:p>
          <w:p w14:paraId="7FE1CF61" w14:textId="6595476F" w:rsidR="00960E01" w:rsidRDefault="00821CB5">
            <w:pPr>
              <w:pStyle w:val="P68B1DB1-TableParagraph40"/>
              <w:spacing w:before="108"/>
              <w:ind w:left="85"/>
              <w:jc w:val="both"/>
            </w:pPr>
            <w:r>
              <w:t>Forpligtelsens juridiske, endelige forfaldsdato. For uamortisable værdipapirer anvendes "2099-01-31".</w:t>
            </w:r>
          </w:p>
          <w:p w14:paraId="7FE1CF62" w14:textId="77777777" w:rsidR="00960E01" w:rsidRDefault="00821CB5">
            <w:pPr>
              <w:pStyle w:val="P68B1DB1-TableParagraph40"/>
              <w:spacing w:before="108"/>
              <w:ind w:left="85"/>
              <w:jc w:val="both"/>
            </w:pPr>
            <w:r>
              <w:t>For værdipapirfinansieringstransaktioner, der er omfattet af en nettingaftale og indberettes som en nettinggruppe, anvendes dagen efter indberetningsdatoen.</w:t>
            </w:r>
          </w:p>
        </w:tc>
      </w:tr>
      <w:tr w:rsidR="00960E01"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960E01" w:rsidRDefault="00821CB5">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960E01" w:rsidRDefault="00821CB5">
            <w:pPr>
              <w:pStyle w:val="P68B1DB1-TableParagraph73"/>
              <w:spacing w:before="108"/>
              <w:ind w:left="85"/>
              <w:jc w:val="both"/>
              <w:rPr>
                <w:bCs/>
              </w:rPr>
            </w:pPr>
            <w:r>
              <w:t>Pantsætning, tilbageholdelsesret eller sikkerhedsstillelse</w:t>
            </w:r>
          </w:p>
          <w:p w14:paraId="7FE1CF66" w14:textId="77777777" w:rsidR="00960E01" w:rsidRDefault="00821CB5">
            <w:pPr>
              <w:pStyle w:val="P68B1DB1-TableParagraph40"/>
              <w:spacing w:before="108"/>
              <w:ind w:left="85"/>
              <w:jc w:val="both"/>
            </w:pPr>
            <w:r>
              <w:t>Hvis et passiv er sikret ved pant, tilbageholdelsesret eller sikkerhedsstillelse, angives bruttoværdien af sidstnævnte. I modsat fald indberettes denne kategori for usikrede passiver som nul. Dette beløb vil bestemme den sikrede og i sidste ende den usikrede del af et sikret passiv. For sikkerhedspuljer, der sikrer flere poster, bestemmes den samlede dækningsgrad, og der anvendes pro rata på alle de poster i rækken, der er omfattet af denne pulje.</w:t>
            </w:r>
          </w:p>
        </w:tc>
      </w:tr>
      <w:tr w:rsidR="00960E01"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960E01" w:rsidRDefault="00821CB5">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960E01" w:rsidRDefault="00821CB5">
            <w:pPr>
              <w:pStyle w:val="P68B1DB1-TableParagraph73"/>
              <w:spacing w:before="108"/>
              <w:ind w:left="85"/>
              <w:jc w:val="both"/>
              <w:rPr>
                <w:bCs/>
              </w:rPr>
            </w:pPr>
            <w:r>
              <w:t>Kautionist, hvis relevant</w:t>
            </w:r>
          </w:p>
          <w:p w14:paraId="7FE1CF6A" w14:textId="77777777" w:rsidR="00960E01" w:rsidRDefault="00821CB5">
            <w:pPr>
              <w:pStyle w:val="P68B1DB1-TableParagraph40"/>
              <w:spacing w:before="108"/>
              <w:ind w:left="85"/>
              <w:jc w:val="both"/>
            </w:pPr>
            <w:r>
              <w:t>Hvis der er stillet garantier for instrumentet, angives en detaljeret identifikation af garanten (LEI-kode, ISO 3166-1 alpha-2-landekode for det offentlige osv.). Hvis der er flere garanter til stede, indberettes alle identifikatorer adskilt af et semikolon.</w:t>
            </w:r>
          </w:p>
        </w:tc>
      </w:tr>
      <w:tr w:rsidR="00960E01"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960E01" w:rsidRDefault="00821CB5">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960E01" w:rsidRDefault="00821CB5">
            <w:pPr>
              <w:pStyle w:val="P68B1DB1-TableParagraph73"/>
              <w:spacing w:before="108"/>
              <w:ind w:left="85"/>
              <w:jc w:val="both"/>
              <w:rPr>
                <w:bCs/>
              </w:rPr>
            </w:pPr>
            <w:r>
              <w:t>Beløb, der opfylder betingelserne for MREL</w:t>
            </w:r>
          </w:p>
          <w:p w14:paraId="7FE1CF6F" w14:textId="4E658BD3" w:rsidR="00960E01" w:rsidRDefault="00821CB5">
            <w:pPr>
              <w:pStyle w:val="P68B1DB1-TableParagraph40"/>
              <w:spacing w:before="108"/>
              <w:ind w:left="85"/>
              <w:jc w:val="both"/>
            </w:pPr>
            <w:r>
              <w:t xml:space="preserve">Det beløb, der udgøres af kapitalgrundlaget og nedskrivningsrelevante passiver, og som </w:t>
            </w:r>
            <w:r>
              <w:lastRenderedPageBreak/>
              <w:t xml:space="preserve">medregnes i det krav, der er fastsat i overensstemmelse med artikel 45, stk. 1, i direktiv 2014/59/EU. </w:t>
            </w:r>
          </w:p>
        </w:tc>
      </w:tr>
      <w:tr w:rsidR="00960E01"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960E01" w:rsidRDefault="00821CB5">
            <w:pPr>
              <w:pStyle w:val="P68B1DB1-Normal31"/>
            </w:pPr>
            <w:r>
              <w:lastRenderedPageBreak/>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960E01" w:rsidRDefault="00821CB5">
            <w:pPr>
              <w:pStyle w:val="P68B1DB1-TableParagraph73"/>
              <w:spacing w:before="108"/>
              <w:ind w:left="85"/>
              <w:jc w:val="both"/>
              <w:rPr>
                <w:bCs/>
              </w:rPr>
            </w:pPr>
            <w:r>
              <w:t>Kvalificeret som kapitalgrundlag</w:t>
            </w:r>
          </w:p>
          <w:p w14:paraId="7FE1CF73" w14:textId="52056531" w:rsidR="00960E01" w:rsidRDefault="00821CB5">
            <w:pPr>
              <w:pStyle w:val="P68B1DB1-TableParagraph40"/>
              <w:spacing w:before="108"/>
              <w:ind w:left="85"/>
              <w:jc w:val="both"/>
            </w:pPr>
            <w:r>
              <w:t>Angiv, om og på hvilket niveau instrumentet indgår i kapitalgrundlaget, sammen med oplysninger om udfasningsordningen og overgangsbestemmelser. Værdien kan være "Nej", "Delvis AT1, T1 og T2", "T2 under udfasning", "Grandfathering T2", "Fully Compliant T2", "Grandfathering AT1", "Fully Compliant AT1" eller "CET1" fra en foruddefineret liste.</w:t>
            </w:r>
          </w:p>
          <w:p w14:paraId="7FE1CF74" w14:textId="77777777" w:rsidR="00960E01" w:rsidRDefault="00821CB5">
            <w:pPr>
              <w:pStyle w:val="P68B1DB1-TableParagraph40"/>
              <w:spacing w:before="108"/>
              <w:ind w:left="85"/>
              <w:jc w:val="both"/>
            </w:pPr>
            <w:r>
              <w:t>I listen over optioner henviser udtrykket "udfasning" til perioden på 5 år før udløb for et givet T2-instrument, hvor der kun er en forholdsmæssig anerkendelse baseret på den resterende løbetid. "Overgangsbestemmelser" henviser til enhver overgangsforanstaltning, der gælder for et T2-instrument, bortset fra "udfasning". Under denne "hævdvundne ret" kan anerkendelsen være fuldstændig eller delvis.</w:t>
            </w:r>
          </w:p>
          <w:p w14:paraId="7FE1CF75" w14:textId="77777777" w:rsidR="00960E01" w:rsidRDefault="00960E01">
            <w:pPr>
              <w:pStyle w:val="TableParagraph"/>
              <w:spacing w:before="108"/>
              <w:ind w:left="85"/>
              <w:jc w:val="both"/>
              <w:rPr>
                <w:rFonts w:ascii="Times New Roman" w:eastAsia="Times New Roman" w:hAnsi="Times New Roman" w:cs="Times New Roman"/>
                <w:sz w:val="20"/>
                <w:szCs w:val="20"/>
              </w:rPr>
            </w:pPr>
          </w:p>
        </w:tc>
      </w:tr>
      <w:tr w:rsidR="00960E01"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960E01" w:rsidRDefault="00821CB5">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960E01" w:rsidRDefault="00821CB5">
            <w:pPr>
              <w:pStyle w:val="P68B1DB1-TableParagraph73"/>
              <w:spacing w:before="108"/>
              <w:ind w:left="85"/>
              <w:jc w:val="both"/>
              <w:rPr>
                <w:bCs/>
              </w:rPr>
            </w:pPr>
            <w:r>
              <w:t>Beløb, der er klassificeret som kapitalgrundlag</w:t>
            </w:r>
          </w:p>
          <w:p w14:paraId="7FE1CF79" w14:textId="28EFFBCF" w:rsidR="00960E01" w:rsidRDefault="00821CB5">
            <w:pPr>
              <w:pStyle w:val="P68B1DB1-TableParagraph40"/>
              <w:spacing w:before="108"/>
              <w:ind w:left="85"/>
              <w:jc w:val="both"/>
            </w:pPr>
            <w:r>
              <w:t>Værdien af instrumentet, der kvalificerer som kapitalgrundlag.</w:t>
            </w:r>
          </w:p>
        </w:tc>
      </w:tr>
    </w:tbl>
    <w:p w14:paraId="7FE1CF7B" w14:textId="77777777" w:rsidR="00960E01" w:rsidRDefault="00960E01">
      <w:pPr>
        <w:pStyle w:val="Instructionsberschrift2"/>
        <w:ind w:left="357"/>
        <w:rPr>
          <w:rFonts w:ascii="Times New Roman" w:eastAsia="Calibri" w:hAnsi="Times New Roman" w:cs="Times New Roman"/>
          <w:szCs w:val="20"/>
        </w:rPr>
      </w:pPr>
    </w:p>
    <w:p w14:paraId="7FE1CF7C" w14:textId="78CE26C4" w:rsidR="00960E01" w:rsidRDefault="00821CB5">
      <w:pPr>
        <w:pStyle w:val="Instructionsberschrift2"/>
        <w:numPr>
          <w:ilvl w:val="1"/>
          <w:numId w:val="49"/>
        </w:numPr>
        <w:spacing w:before="0"/>
        <w:ind w:left="357" w:hanging="357"/>
        <w:rPr>
          <w:rFonts w:ascii="Times New Roman" w:hAnsi="Times New Roman" w:cs="Times New Roman"/>
        </w:rPr>
      </w:pPr>
      <w:bookmarkStart w:id="244" w:name="_Toc208244585"/>
      <w:r>
        <w:rPr>
          <w:rFonts w:ascii="Times New Roman" w:hAnsi="Times New Roman" w:cs="Times New Roman"/>
          <w:color w:val="000000" w:themeColor="text1"/>
        </w:rPr>
        <w:t xml:space="preserve">Z 12.00 — </w:t>
      </w:r>
      <w:r>
        <w:rPr>
          <w:rFonts w:ascii="Times New Roman" w:eastAsia="Cambria" w:hAnsi="Times New Roman" w:cs="Times New Roman"/>
        </w:rPr>
        <w:t>Værdipapirer (herunder CET1-, AT1- tier 2-instrumenter; undtagen koncernintern)</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960E01" w:rsidRDefault="00821CB5">
      <w:pPr>
        <w:pStyle w:val="P68B1DB1-Numberedtitlelevel372"/>
      </w:pPr>
      <w:r>
        <w:t>Generelle bemærkninger</w:t>
      </w:r>
    </w:p>
    <w:p w14:paraId="7FE1CF7F" w14:textId="048C4053" w:rsidR="00960E01" w:rsidRDefault="00821CB5">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Et værdipapir er et fungible, omsætteligt finansielt instrument, der repræsenterer en finansiel værdi, uanset dets faktiske karakteristika (f.eks. er disse instrumenter enten sikrede eller usikrede). Denne tabel skal også omfatte kapitalgrundlagsinstrumenter</w:t>
      </w:r>
      <w:r>
        <w:rPr>
          <w:rStyle w:val="FootnoteReference"/>
          <w:rFonts w:eastAsia="Cambria" w:cs="Times New Roman"/>
        </w:rPr>
        <w:footnoteReference w:id="36"/>
      </w:r>
      <w:r>
        <w:rPr>
          <w:rFonts w:ascii="Times New Roman" w:eastAsia="Cambria" w:hAnsi="Times New Roman" w:cs="Times New Roman"/>
          <w:sz w:val="20"/>
          <w:szCs w:val="20"/>
        </w:rPr>
        <w:t>. I forbindelse med CET1-kapitalinstrumenter indberettes restfordringen på aktier på den samlede regnskabsmæssige egenkapital (som defineret i Z 02.00-R0511) på instrumentniveau.</w:t>
      </w:r>
    </w:p>
    <w:p w14:paraId="7FE1CF81" w14:textId="262B713C" w:rsidR="00960E01" w:rsidRDefault="00821CB5">
      <w:pPr>
        <w:pStyle w:val="P68B1DB1-InstructionsText286"/>
        <w:numPr>
          <w:ilvl w:val="2"/>
          <w:numId w:val="209"/>
        </w:numPr>
        <w:spacing w:before="0"/>
        <w:ind w:left="1134"/>
      </w:pPr>
      <w:r>
        <w:t>Hvis kreditoridentifikatoren (kolonne 0210) ikke er tilgængelig (f.eks. i tilfælde af instrumenter, der handles på platforme), indberettes hver række på aggregeret niveau med hensyn til dette felt.</w:t>
      </w:r>
    </w:p>
    <w:p w14:paraId="7FE1CF83" w14:textId="77777777" w:rsidR="00960E01" w:rsidRDefault="00821CB5">
      <w:pPr>
        <w:pStyle w:val="P68B1DB1-InstructionsText286"/>
        <w:numPr>
          <w:ilvl w:val="2"/>
          <w:numId w:val="209"/>
        </w:numPr>
        <w:spacing w:before="0"/>
        <w:ind w:left="1134"/>
      </w:pPr>
      <w:r>
        <w:t>Med henblik på denne tabel indberettes passiver i rækker på det detaljeringsniveau, der er defineret ved de ønskede felter.</w:t>
      </w:r>
    </w:p>
    <w:p w14:paraId="7FE1CF86" w14:textId="77777777" w:rsidR="00960E01" w:rsidRDefault="00960E01">
      <w:pPr>
        <w:spacing w:line="276" w:lineRule="auto"/>
        <w:rPr>
          <w:rFonts w:ascii="Times New Roman" w:hAnsi="Times New Roman" w:cs="Times New Roman"/>
          <w:sz w:val="20"/>
          <w:szCs w:val="20"/>
        </w:rPr>
      </w:pPr>
    </w:p>
    <w:p w14:paraId="7FE1CF87" w14:textId="77777777" w:rsidR="00960E01" w:rsidRDefault="00821CB5">
      <w:pPr>
        <w:pStyle w:val="P68B1DB1-Numberedtitlelevel372"/>
      </w:pPr>
      <w:r>
        <w:t>Instrukser vedrørende specifikke positioner</w:t>
      </w:r>
    </w:p>
    <w:p w14:paraId="7FE1CF88" w14:textId="77777777" w:rsidR="00960E01" w:rsidRDefault="00960E01">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960E01"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960E01" w:rsidRDefault="00821CB5">
            <w:pPr>
              <w:pStyle w:val="P68B1DB1-TableParagraph17"/>
              <w:spacing w:before="108"/>
              <w:ind w:left="85"/>
            </w:pPr>
            <w:r>
              <w:t>Kolonner</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960E01" w:rsidRDefault="00821CB5">
            <w:pPr>
              <w:pStyle w:val="P68B1DB1-TableParagraph17"/>
              <w:spacing w:before="108"/>
              <w:ind w:left="85" w:right="1"/>
            </w:pPr>
            <w:r>
              <w:t>Instrukser</w:t>
            </w:r>
          </w:p>
        </w:tc>
      </w:tr>
      <w:tr w:rsidR="00960E01"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960E01" w:rsidRDefault="00821CB5">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960E01" w:rsidRDefault="00821CB5">
            <w:pPr>
              <w:pStyle w:val="P68B1DB1-TableParagraph40"/>
              <w:spacing w:before="108"/>
              <w:ind w:left="85"/>
              <w:jc w:val="both"/>
              <w:rPr>
                <w:b/>
                <w:bCs/>
              </w:rPr>
            </w:pPr>
            <w:r>
              <w:t xml:space="preserve"> </w:t>
            </w:r>
            <w:r>
              <w:rPr>
                <w:b/>
              </w:rPr>
              <w:t>NR.</w:t>
            </w:r>
          </w:p>
          <w:p w14:paraId="7FE1CF8E" w14:textId="77777777" w:rsidR="00960E01" w:rsidRDefault="00821CB5">
            <w:pPr>
              <w:pStyle w:val="P68B1DB1-TableParagraph40"/>
              <w:spacing w:before="108"/>
              <w:ind w:left="85"/>
              <w:jc w:val="both"/>
            </w:pPr>
            <w:r>
              <w:t>Unikt nummer/primær nøgle til identifikation af rækkerne.</w:t>
            </w:r>
          </w:p>
        </w:tc>
      </w:tr>
      <w:tr w:rsidR="00960E01"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960E01" w:rsidRDefault="00821CB5">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960E01" w:rsidRDefault="00821CB5">
            <w:pPr>
              <w:pStyle w:val="P68B1DB1-TableParagraph73"/>
              <w:spacing w:before="108"/>
              <w:ind w:left="85"/>
              <w:jc w:val="both"/>
              <w:rPr>
                <w:bCs/>
              </w:rPr>
            </w:pPr>
            <w:r>
              <w:t>Række</w:t>
            </w:r>
          </w:p>
          <w:p w14:paraId="7FE1CF92" w14:textId="771261C9" w:rsidR="00960E01" w:rsidRDefault="00821CB5">
            <w:pPr>
              <w:pStyle w:val="P68B1DB1-TableParagraph40"/>
              <w:spacing w:before="108"/>
              <w:ind w:left="85"/>
              <w:jc w:val="both"/>
            </w:pPr>
            <w:r>
              <w:t>For hver indberettet række skal der foretages en afstemning med passivkategorierne i passivstrukturen i Z02.00 på forfaldsniveau fra en foruddefineret liste over værdier.</w:t>
            </w:r>
          </w:p>
        </w:tc>
      </w:tr>
      <w:tr w:rsidR="00960E01"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960E01" w:rsidRDefault="00821CB5">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960E01" w:rsidRDefault="00821CB5">
            <w:pPr>
              <w:pStyle w:val="P68B1DB1-TableParagraph73"/>
              <w:spacing w:before="108"/>
              <w:ind w:left="85"/>
              <w:jc w:val="both"/>
              <w:rPr>
                <w:bCs/>
              </w:rPr>
            </w:pPr>
            <w:r>
              <w:t xml:space="preserve">Kolonne </w:t>
            </w:r>
          </w:p>
          <w:p w14:paraId="7FE1CF96" w14:textId="68A01AA0" w:rsidR="00960E01" w:rsidRDefault="00821CB5">
            <w:pPr>
              <w:pStyle w:val="P68B1DB1-TableParagraph40"/>
              <w:spacing w:before="108"/>
              <w:ind w:left="85"/>
              <w:jc w:val="both"/>
            </w:pPr>
            <w:r>
              <w:lastRenderedPageBreak/>
              <w:t>For hver indberettet række skal der fra en foruddefineret liste over værdier foretages en afstemning med den modpartsklasse i 02.00, som forpligtelsen skyldes.</w:t>
            </w:r>
          </w:p>
        </w:tc>
      </w:tr>
      <w:tr w:rsidR="00960E01"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960E01" w:rsidRDefault="00821CB5">
            <w:pPr>
              <w:pStyle w:val="P68B1DB1-Normal31"/>
            </w:pPr>
            <w:r>
              <w:lastRenderedPageBreak/>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960E01" w:rsidRDefault="00821CB5">
            <w:pPr>
              <w:pStyle w:val="P68B1DB1-TableParagraph40"/>
              <w:spacing w:before="108"/>
              <w:ind w:left="85"/>
              <w:jc w:val="both"/>
              <w:rPr>
                <w:b/>
                <w:bCs/>
              </w:rPr>
            </w:pPr>
            <w:r>
              <w:t xml:space="preserve"> </w:t>
            </w:r>
            <w:r>
              <w:rPr>
                <w:b/>
              </w:rPr>
              <w:t>Prioritetsrækkefølge ved insolvens</w:t>
            </w:r>
          </w:p>
          <w:p w14:paraId="7FE1CF9A" w14:textId="33768518" w:rsidR="00960E01" w:rsidRDefault="00821CB5">
            <w:pPr>
              <w:pStyle w:val="P68B1DB1-TableParagraph40"/>
              <w:spacing w:before="108"/>
              <w:ind w:left="85"/>
              <w:jc w:val="both"/>
            </w:pPr>
            <w:r>
              <w:t xml:space="preserve">Placeringen i prioritetsrækkefølgen ved insolvens skal svare til én af de placeringer, der indgår i de prioritetsrækkefølger ved insolvens, som offentliggøres af afviklingsmyndigheden i den pågældende jurisdiktion. </w:t>
            </w:r>
          </w:p>
        </w:tc>
      </w:tr>
      <w:tr w:rsidR="00960E01"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960E01" w:rsidRDefault="00821CB5">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960E01" w:rsidRDefault="00821CB5">
            <w:pPr>
              <w:pStyle w:val="P68B1DB1-TableParagraph73"/>
              <w:spacing w:before="108"/>
              <w:ind w:left="85"/>
              <w:jc w:val="both"/>
              <w:rPr>
                <w:bCs/>
              </w:rPr>
            </w:pPr>
            <w:r>
              <w:t>ISIN</w:t>
            </w:r>
          </w:p>
          <w:p w14:paraId="7FE1CF9E" w14:textId="02C8C7D3" w:rsidR="00960E01" w:rsidRDefault="00821CB5">
            <w:pPr>
              <w:pStyle w:val="P68B1DB1-TableParagraph40"/>
              <w:spacing w:before="108"/>
              <w:ind w:left="85"/>
              <w:jc w:val="both"/>
            </w:pPr>
            <w:r>
              <w:t>ISIN-koden eller, hvis ISIN-koden ikke er tilgængelig, en anden kontraktidentifikator for instrumentet skal indberettes.</w:t>
            </w:r>
          </w:p>
        </w:tc>
      </w:tr>
      <w:tr w:rsidR="00960E01"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960E01" w:rsidRDefault="00821CB5">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960E01" w:rsidRDefault="00821CB5">
            <w:pPr>
              <w:pStyle w:val="P68B1DB1-TableParagraph73"/>
              <w:spacing w:before="108"/>
              <w:ind w:left="85"/>
              <w:jc w:val="both"/>
              <w:rPr>
                <w:bCs/>
              </w:rPr>
            </w:pPr>
            <w:r>
              <w:t xml:space="preserve">Instrumenttype  </w:t>
            </w:r>
          </w:p>
          <w:p w14:paraId="7FE1CFA2" w14:textId="77777777" w:rsidR="00960E01" w:rsidRDefault="00821CB5">
            <w:pPr>
              <w:pStyle w:val="P68B1DB1-TableParagraph40"/>
              <w:spacing w:before="108"/>
              <w:ind w:left="85"/>
              <w:jc w:val="both"/>
            </w:pPr>
            <w:r>
              <w:t xml:space="preserve">Identifikation af instrumenttype, enten </w:t>
            </w:r>
          </w:p>
          <w:p w14:paraId="7FE1CFA3" w14:textId="77777777" w:rsidR="00960E01" w:rsidRDefault="00821CB5">
            <w:pPr>
              <w:pStyle w:val="P68B1DB1-TableParagraph40"/>
              <w:spacing w:before="108"/>
              <w:ind w:left="85"/>
              <w:jc w:val="both"/>
            </w:pPr>
            <w:r>
              <w:t>— Registreret obligation</w:t>
            </w:r>
          </w:p>
          <w:p w14:paraId="7FE1CFA4" w14:textId="49597410" w:rsidR="00960E01" w:rsidRDefault="004C4E50" w:rsidP="004C4E50">
            <w:pPr>
              <w:pStyle w:val="P68B1DB1-TableParagraph40"/>
              <w:spacing w:before="108"/>
              <w:ind w:left="85"/>
              <w:jc w:val="both"/>
            </w:pPr>
            <w:r>
              <w:t xml:space="preserve">— </w:t>
            </w:r>
            <w:r w:rsidR="00821CB5">
              <w:t>Ihændehaverobligation</w:t>
            </w:r>
          </w:p>
          <w:p w14:paraId="7FE1CFA5" w14:textId="77777777" w:rsidR="00960E01" w:rsidRDefault="00821CB5">
            <w:pPr>
              <w:pStyle w:val="P68B1DB1-TableParagraph40"/>
              <w:spacing w:before="108"/>
              <w:ind w:left="85"/>
              <w:jc w:val="both"/>
            </w:pPr>
            <w:r>
              <w:t>— Lån til låntager</w:t>
            </w:r>
          </w:p>
          <w:p w14:paraId="7FE1CFA7" w14:textId="3E3D590C" w:rsidR="00960E01" w:rsidRDefault="00821CB5">
            <w:pPr>
              <w:pStyle w:val="P68B1DB1-TableParagraph40"/>
              <w:spacing w:before="108"/>
              <w:ind w:left="85"/>
              <w:jc w:val="both"/>
            </w:pPr>
            <w:r>
              <w:t>— Indskudsbevis/handelsdokument</w:t>
            </w:r>
          </w:p>
          <w:p w14:paraId="7FE1CFA8" w14:textId="77777777" w:rsidR="00960E01" w:rsidRDefault="00821CB5">
            <w:pPr>
              <w:pStyle w:val="P68B1DB1-TableParagraph40"/>
              <w:spacing w:before="108"/>
              <w:ind w:left="85"/>
              <w:jc w:val="both"/>
            </w:pPr>
            <w:r>
              <w:t>— Ejendomsrettens betegnelse</w:t>
            </w:r>
          </w:p>
          <w:p w14:paraId="7FE1CFA9" w14:textId="0B8CA046" w:rsidR="00960E01" w:rsidRDefault="000F4F6F">
            <w:pPr>
              <w:pStyle w:val="P68B1DB1-TableParagraph40"/>
              <w:spacing w:before="108"/>
              <w:ind w:left="85"/>
              <w:jc w:val="both"/>
            </w:pPr>
            <w:r>
              <w:t xml:space="preserve">— </w:t>
            </w:r>
            <w:r w:rsidR="00821CB5">
              <w:t>Andet</w:t>
            </w:r>
          </w:p>
          <w:p w14:paraId="7FE1CFAA" w14:textId="2BCDE67E" w:rsidR="00960E01" w:rsidRDefault="00821CB5">
            <w:pPr>
              <w:pStyle w:val="P68B1DB1-TableParagraph40"/>
              <w:spacing w:before="108"/>
              <w:ind w:left="85"/>
              <w:jc w:val="both"/>
            </w:pPr>
            <w:r>
              <w:t xml:space="preserve"> </w:t>
            </w:r>
          </w:p>
          <w:p w14:paraId="7FE1CFAB" w14:textId="77777777" w:rsidR="00960E01" w:rsidRDefault="00821CB5">
            <w:pPr>
              <w:pStyle w:val="P68B1DB1-TableParagraph40"/>
              <w:spacing w:before="108"/>
              <w:ind w:left="85"/>
              <w:jc w:val="both"/>
            </w:pPr>
            <w:r>
              <w:t>fra en foruddefineret liste.</w:t>
            </w:r>
          </w:p>
        </w:tc>
      </w:tr>
      <w:tr w:rsidR="00960E01"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960E01" w:rsidRDefault="00821CB5">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960E01" w:rsidRDefault="00821CB5">
            <w:pPr>
              <w:pStyle w:val="P68B1DB1-TableParagraph73"/>
              <w:spacing w:before="108"/>
              <w:ind w:left="85"/>
              <w:jc w:val="both"/>
              <w:rPr>
                <w:bCs/>
              </w:rPr>
            </w:pPr>
            <w:r>
              <w:t xml:space="preserve">Gældende lovgivning  </w:t>
            </w:r>
          </w:p>
          <w:p w14:paraId="7FE1CFAF" w14:textId="2BE77EA5" w:rsidR="00960E01" w:rsidRDefault="00821CB5">
            <w:pPr>
              <w:pStyle w:val="P68B1DB1-TableParagraph40"/>
              <w:spacing w:before="108"/>
              <w:ind w:left="85"/>
              <w:jc w:val="both"/>
            </w:pPr>
            <w:r>
              <w:t xml:space="preserve">ISO 3166-1 alpha-2-koden for det land, hvis lovgivning regulerer instrumentet (anvend ISO 3166-2-koden, når loven i en administrativ underinddeling er relevant, f.eks. "US-NY"). Hvis aftalen er underlagt lovgivningen i mere end ét land, indberettes det land, hvis lovgivning er mest relevant for anerkendelse af nedskrivnings- og konverteringsbeføjelser.  </w:t>
            </w:r>
          </w:p>
        </w:tc>
      </w:tr>
      <w:tr w:rsidR="00960E01"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960E01" w:rsidRDefault="00821CB5">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960E01" w:rsidRDefault="00821CB5">
            <w:pPr>
              <w:pStyle w:val="P68B1DB1-TableParagraph73"/>
              <w:spacing w:before="108"/>
              <w:ind w:left="85"/>
              <w:jc w:val="both"/>
              <w:rPr>
                <w:bCs/>
              </w:rPr>
            </w:pPr>
            <w:r>
              <w:t xml:space="preserve">Hvis tredjelandets lovgivning, kontraktmæssig anerkendelse </w:t>
            </w:r>
          </w:p>
          <w:p w14:paraId="7FE1CFB3" w14:textId="0329FBCA" w:rsidR="00960E01" w:rsidRDefault="00821CB5">
            <w:pPr>
              <w:pStyle w:val="P68B1DB1-TableParagraph40"/>
              <w:spacing w:before="108"/>
              <w:ind w:left="85"/>
              <w:jc w:val="both"/>
            </w:pPr>
            <w:r>
              <w:t>Identifikation af kontraktlige bestemmelser om anerkendelse af bail-in-beføjelser i overensstemmelse med artikel 55 i BRRD, enten:</w:t>
            </w:r>
          </w:p>
          <w:p w14:paraId="7FE1CFB4" w14:textId="7CAD351E" w:rsidR="00960E01" w:rsidRDefault="00821CB5">
            <w:pPr>
              <w:pStyle w:val="P68B1DB1-TableParagraph40"/>
              <w:spacing w:before="108"/>
              <w:ind w:left="85"/>
              <w:jc w:val="both"/>
            </w:pPr>
            <w:r>
              <w:t>"Ja, understøttet af juridisk udtalelse" = passivet omfatter en klausul om anerkendelse af bail-in i overensstemmelse med artikel 55 i BRRD, som understøttes af en juridisk udtalelse</w:t>
            </w:r>
          </w:p>
          <w:p w14:paraId="7FE1CFB5" w14:textId="77777777" w:rsidR="00960E01" w:rsidRDefault="00821CB5">
            <w:pPr>
              <w:pStyle w:val="P68B1DB1-TableParagraph40"/>
              <w:spacing w:before="108"/>
              <w:ind w:left="85"/>
              <w:jc w:val="both"/>
            </w:pPr>
            <w:r>
              <w:t>"Ja, ikke understøttet af juridisk udtalelse" = passivet omfatter en klausul om anerkendelse af bail-in i overensstemmelse med artikel 55 i direktivet om genopretning og afvikling af banker, som i øjeblikket ikke understøttes af en juridisk udtalelse</w:t>
            </w:r>
          </w:p>
          <w:p w14:paraId="7FE1CFB6" w14:textId="77777777" w:rsidR="00960E01" w:rsidRDefault="00821CB5">
            <w:pPr>
              <w:pStyle w:val="P68B1DB1-TableParagraph40"/>
              <w:spacing w:before="108"/>
              <w:ind w:left="85"/>
              <w:jc w:val="both"/>
            </w:pPr>
            <w:r>
              <w:t>"Nej" = passivet indeholder ikke en klausul om anerkendelse af bail-in</w:t>
            </w:r>
          </w:p>
          <w:p w14:paraId="7FE1CFB7" w14:textId="58099242" w:rsidR="00960E01" w:rsidRDefault="00821CB5">
            <w:pPr>
              <w:pStyle w:val="P68B1DB1-TableParagraph40"/>
              <w:spacing w:before="108"/>
              <w:ind w:left="85"/>
              <w:jc w:val="both"/>
            </w:pPr>
            <w:r>
              <w:t xml:space="preserve">"Ikke relevant"  </w:t>
            </w:r>
          </w:p>
          <w:p w14:paraId="7FE1CFB8" w14:textId="77777777" w:rsidR="00960E01" w:rsidRDefault="00821CB5">
            <w:pPr>
              <w:pStyle w:val="P68B1DB1-TableParagraph40"/>
              <w:spacing w:before="108"/>
              <w:ind w:left="85"/>
              <w:jc w:val="both"/>
            </w:pPr>
            <w:r>
              <w:t>fra en foruddefineret liste.</w:t>
            </w:r>
          </w:p>
        </w:tc>
      </w:tr>
      <w:tr w:rsidR="00960E01"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960E01" w:rsidRDefault="00821CB5">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960E01" w:rsidRDefault="00821CB5">
            <w:pPr>
              <w:pStyle w:val="P68B1DB1-TableParagraph73"/>
              <w:spacing w:before="108"/>
              <w:ind w:left="85"/>
              <w:jc w:val="both"/>
              <w:rPr>
                <w:bCs/>
              </w:rPr>
            </w:pPr>
            <w:r>
              <w:t xml:space="preserve">Valuta </w:t>
            </w:r>
          </w:p>
          <w:p w14:paraId="7FE1CFBC" w14:textId="71E1420D" w:rsidR="00960E01" w:rsidRDefault="00821CB5">
            <w:pPr>
              <w:pStyle w:val="P68B1DB1-TableParagraph40"/>
              <w:spacing w:before="108"/>
              <w:ind w:left="85"/>
              <w:jc w:val="both"/>
            </w:pPr>
            <w:r>
              <w:t>Passivets valuta i overensstemmelse med dens ISO 4217-kode på 3 bogstaver.</w:t>
            </w:r>
          </w:p>
        </w:tc>
      </w:tr>
      <w:tr w:rsidR="00960E01"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960E01" w:rsidRDefault="00821CB5">
            <w:pPr>
              <w:pStyle w:val="P68B1DB1-Normal31"/>
            </w:pPr>
            <w:r>
              <w:lastRenderedPageBreak/>
              <w:t>0110</w:t>
            </w:r>
          </w:p>
          <w:p w14:paraId="7FE1CFC3" w14:textId="77777777" w:rsidR="00960E01" w:rsidRDefault="00821CB5">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960E01" w:rsidRDefault="00821CB5">
            <w:pPr>
              <w:pStyle w:val="P68B1DB1-TableParagraph73"/>
              <w:spacing w:before="108"/>
              <w:ind w:left="85"/>
              <w:jc w:val="both"/>
              <w:rPr>
                <w:bCs/>
              </w:rPr>
            </w:pPr>
            <w:r>
              <w:t xml:space="preserve">Udestående hovedstol  </w:t>
            </w:r>
          </w:p>
          <w:p w14:paraId="7FE1CFC5" w14:textId="3E328E9E" w:rsidR="00960E01" w:rsidRDefault="00821CB5">
            <w:pPr>
              <w:pStyle w:val="P68B1DB1-TableParagraph40"/>
              <w:spacing w:before="108"/>
              <w:ind w:left="85"/>
              <w:jc w:val="both"/>
            </w:pPr>
            <w:r>
              <w:t xml:space="preserve">Den udestående hovedstol for instrumentet, som besiddes af modparten, og som er angivet i kolonne 0210. Hvis modparten ikke er tilgængelig, fordi kreditorerne ikke kan identificeres, grupperes de udestående hovedstol ved ikke at tage modparten i betragtning. For aktier omfatter dette beløb reserver i overensstemmelse med vejledningen vedrørende Z02.00-r0511. </w:t>
            </w:r>
          </w:p>
          <w:p w14:paraId="7FE1CFC7" w14:textId="1EFD62D1" w:rsidR="00960E01" w:rsidRDefault="00960E01">
            <w:pPr>
              <w:pStyle w:val="TableParagraph"/>
              <w:spacing w:before="108"/>
              <w:ind w:left="85"/>
              <w:jc w:val="both"/>
              <w:rPr>
                <w:rFonts w:ascii="Times New Roman" w:eastAsia="Times New Roman" w:hAnsi="Times New Roman" w:cs="Times New Roman"/>
                <w:sz w:val="20"/>
                <w:szCs w:val="20"/>
              </w:rPr>
            </w:pPr>
          </w:p>
        </w:tc>
      </w:tr>
      <w:tr w:rsidR="00960E01"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960E01" w:rsidRDefault="00821CB5">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960E01" w:rsidRDefault="00821CB5">
            <w:pPr>
              <w:pStyle w:val="P68B1DB1-TableParagraph73"/>
              <w:spacing w:before="108"/>
              <w:ind w:left="85"/>
              <w:jc w:val="both"/>
              <w:rPr>
                <w:bCs/>
              </w:rPr>
            </w:pPr>
            <w:r>
              <w:t xml:space="preserve">Påløbne renter </w:t>
            </w:r>
          </w:p>
          <w:p w14:paraId="7FE1CFCB" w14:textId="5040BFD7" w:rsidR="00960E01" w:rsidRDefault="00821CB5">
            <w:pPr>
              <w:pStyle w:val="P68B1DB1-TableParagraph40"/>
              <w:spacing w:before="108"/>
              <w:ind w:left="85"/>
              <w:jc w:val="both"/>
            </w:pPr>
            <w:r>
              <w:t>De udestående påløbne renter på instrumentet.</w:t>
            </w:r>
          </w:p>
        </w:tc>
      </w:tr>
      <w:tr w:rsidR="00960E01"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960E01" w:rsidRDefault="00821CB5">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960E01" w:rsidRDefault="00821CB5">
            <w:pPr>
              <w:pStyle w:val="P68B1DB1-TableParagraph73"/>
              <w:spacing w:before="108"/>
              <w:ind w:left="85"/>
              <w:jc w:val="both"/>
              <w:rPr>
                <w:bCs/>
              </w:rPr>
            </w:pPr>
            <w:r>
              <w:t xml:space="preserve">Coupon type (Kupontype) </w:t>
            </w:r>
          </w:p>
          <w:p w14:paraId="7FE1CFCF" w14:textId="77777777" w:rsidR="00960E01" w:rsidRDefault="00821CB5">
            <w:pPr>
              <w:pStyle w:val="P68B1DB1-TableParagraph40"/>
              <w:spacing w:before="108"/>
              <w:ind w:left="85"/>
              <w:jc w:val="both"/>
            </w:pPr>
            <w:r>
              <w:t>Identifikation af den nuværende type kuponbetaling, enten "Fixed coupon", "floating coupon", "Structured coupon" eller "Zero-Coupon" fra en foruddefineret liste.</w:t>
            </w:r>
          </w:p>
        </w:tc>
      </w:tr>
      <w:tr w:rsidR="00960E01"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960E01" w:rsidRDefault="00821CB5">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960E01" w:rsidRDefault="00821CB5">
            <w:pPr>
              <w:pStyle w:val="P68B1DB1-TableParagraph73"/>
              <w:spacing w:before="108"/>
              <w:ind w:left="85"/>
              <w:jc w:val="both"/>
              <w:rPr>
                <w:bCs/>
              </w:rPr>
            </w:pPr>
            <w:r>
              <w:t>Den aktuelle kupongrente (%).</w:t>
            </w:r>
          </w:p>
          <w:p w14:paraId="7FE1CFD3" w14:textId="32FFE809" w:rsidR="00960E01" w:rsidRDefault="00821CB5">
            <w:pPr>
              <w:pStyle w:val="P68B1DB1-TableParagraph40"/>
              <w:spacing w:before="108"/>
              <w:ind w:left="85"/>
              <w:jc w:val="both"/>
            </w:pPr>
            <w:r>
              <w:t xml:space="preserve">Den kuponrente, der er gældende for instrumentet på indberetningsdatoen. </w:t>
            </w:r>
          </w:p>
        </w:tc>
      </w:tr>
      <w:tr w:rsidR="00960E01"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960E01" w:rsidRDefault="00821CB5">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960E01" w:rsidRDefault="00821CB5">
            <w:pPr>
              <w:pStyle w:val="P68B1DB1-TableParagraph73"/>
              <w:spacing w:before="108"/>
              <w:ind w:left="85"/>
              <w:jc w:val="both"/>
              <w:rPr>
                <w:bCs/>
              </w:rPr>
            </w:pPr>
            <w:r>
              <w:t xml:space="preserve">Udstedelsesdato </w:t>
            </w:r>
          </w:p>
          <w:p w14:paraId="7FE1CFD7" w14:textId="77777777" w:rsidR="00960E01" w:rsidRDefault="00821CB5">
            <w:pPr>
              <w:pStyle w:val="P68B1DB1-TableParagraph40"/>
              <w:spacing w:before="108"/>
              <w:ind w:left="85"/>
              <w:jc w:val="both"/>
            </w:pPr>
            <w:r>
              <w:t>Dato for den oprindelige udstedelse af instrumentet.</w:t>
            </w:r>
          </w:p>
        </w:tc>
      </w:tr>
      <w:tr w:rsidR="00960E01"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960E01" w:rsidRDefault="00821CB5">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960E01" w:rsidRDefault="00821CB5">
            <w:pPr>
              <w:pStyle w:val="P68B1DB1-TableParagraph73"/>
              <w:spacing w:before="108"/>
              <w:ind w:left="85"/>
              <w:jc w:val="both"/>
              <w:rPr>
                <w:bCs/>
              </w:rPr>
            </w:pPr>
            <w:r>
              <w:t xml:space="preserve">Tidligste indløsningsdato  </w:t>
            </w:r>
          </w:p>
          <w:p w14:paraId="7FE1CFDB" w14:textId="2A33C765" w:rsidR="00960E01" w:rsidRDefault="00821CB5">
            <w:pPr>
              <w:pStyle w:val="P68B1DB1-TableParagraph40"/>
              <w:spacing w:before="108"/>
              <w:ind w:left="85"/>
              <w:jc w:val="both"/>
            </w:pPr>
            <w:r>
              <w:t>Hvis der findes en mulighed for, at indehaverne af instrumentet kan anmode om førtidig tilbagebetaling, eller betingelserne for førtidig tilbagebetaling er fastsat i kontrakten, indberettes den tidligste begivenhedsdato. Hvis sådanne opsigelsesbegivenheder ikke er knyttet til en dato, men snarere til begivenhedens indtræden i fremtiden, indberettes den tidligste dato, hvor begivenheden kan indtræde. Hvis den førtidige tilbagebetaling kun vedrører en del af forpligtelsen (f.eks. førtidig tilbagebetaling af 50 % af det nominelle beløb), opdeles forpligtelsen for at tage hensyn til denne bestemmelse om delvis førtidig indfrielse.</w:t>
            </w:r>
          </w:p>
        </w:tc>
      </w:tr>
      <w:tr w:rsidR="00960E01"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960E01" w:rsidRDefault="00821CB5">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960E01" w:rsidRDefault="00821CB5">
            <w:pPr>
              <w:pStyle w:val="P68B1DB1-TableParagraph73"/>
              <w:spacing w:before="108"/>
              <w:ind w:left="85"/>
              <w:jc w:val="both"/>
              <w:rPr>
                <w:bCs/>
              </w:rPr>
            </w:pPr>
            <w:r>
              <w:t xml:space="preserve">Officiel udløbsdato </w:t>
            </w:r>
          </w:p>
          <w:p w14:paraId="7FE1CFDF" w14:textId="3157371F" w:rsidR="00960E01" w:rsidRDefault="00821CB5">
            <w:pPr>
              <w:pStyle w:val="P68B1DB1-TableParagraph40"/>
              <w:spacing w:before="108"/>
              <w:ind w:left="85"/>
              <w:jc w:val="both"/>
            </w:pPr>
            <w:r>
              <w:t>Instrumentets juridiske, endelige forfaldsdato. For uamortisable værdipapirer anvendes "2099-01-31".</w:t>
            </w:r>
          </w:p>
        </w:tc>
      </w:tr>
      <w:tr w:rsidR="00960E01"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960E01" w:rsidRDefault="00821CB5">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960E01" w:rsidRDefault="00821CB5">
            <w:pPr>
              <w:pStyle w:val="P68B1DB1-TableParagraph73"/>
              <w:spacing w:before="108"/>
              <w:ind w:left="85"/>
              <w:jc w:val="both"/>
              <w:rPr>
                <w:bCs/>
              </w:rPr>
            </w:pPr>
            <w:r>
              <w:t xml:space="preserve">Offentlig/privat placering </w:t>
            </w:r>
          </w:p>
          <w:p w14:paraId="7FE1CFE3" w14:textId="77777777" w:rsidR="00960E01" w:rsidRDefault="00821CB5">
            <w:pPr>
              <w:pStyle w:val="P68B1DB1-TableParagraph40"/>
              <w:spacing w:before="108"/>
              <w:ind w:left="85"/>
              <w:jc w:val="both"/>
            </w:pPr>
            <w:r>
              <w:t>I forbindelse med en offentlig placering vil enheden have offentliggjort udstedelsen med en specifik tidsplan for en udbudsprocedure. Private placeringer forhandles derimod mellem individuelle parter, der handler enten for egen regning for tredjemands regning. Værdien kan være "offentlig placering" eller "privat placering" fra en foruddefineret liste.</w:t>
            </w:r>
          </w:p>
        </w:tc>
      </w:tr>
      <w:tr w:rsidR="00960E01"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960E01" w:rsidRDefault="00821CB5">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960E01" w:rsidRDefault="00821CB5">
            <w:pPr>
              <w:pStyle w:val="P68B1DB1-TableParagraph73"/>
              <w:spacing w:before="108"/>
              <w:ind w:left="85"/>
              <w:jc w:val="both"/>
              <w:rPr>
                <w:bCs/>
              </w:rPr>
            </w:pPr>
            <w:r>
              <w:t xml:space="preserve">Betalingsagent </w:t>
            </w:r>
          </w:p>
          <w:p w14:paraId="7FE1CFE7" w14:textId="77777777" w:rsidR="00960E01" w:rsidRDefault="00821CB5">
            <w:pPr>
              <w:pStyle w:val="P68B1DB1-TableParagraph40"/>
              <w:spacing w:before="108"/>
              <w:ind w:left="85"/>
              <w:jc w:val="both"/>
            </w:pPr>
            <w:r>
              <w:t>Identifikation af betalingsagenten for instrumentet ved hjælp af dets LEI-kode. En "betalende agent" er et institut, normalt en investeringsbank, der modtager midler fra udstederen af et værdipapir og distribuerer dem til værdipapirindehaverne. For så vidt angår aktier udlodder en betalende agent udbytte til aktionærer. For så vidt angår obligationer, udbetaler selskabet kuponbetalinger og tilbagebetalinger af hovedstol til obligationsindehaverne.</w:t>
            </w:r>
          </w:p>
        </w:tc>
      </w:tr>
      <w:tr w:rsidR="00960E01"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960E01" w:rsidRDefault="00821CB5">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960E01" w:rsidRDefault="00821CB5">
            <w:pPr>
              <w:pStyle w:val="P68B1DB1-TableParagraph73"/>
              <w:spacing w:before="108"/>
              <w:ind w:left="85"/>
              <w:jc w:val="both"/>
              <w:rPr>
                <w:bCs/>
              </w:rPr>
            </w:pPr>
            <w:r>
              <w:t xml:space="preserve">Modpartsidentifikator </w:t>
            </w:r>
          </w:p>
          <w:p w14:paraId="7FE1CFEF" w14:textId="599C6555" w:rsidR="00960E01" w:rsidRDefault="00821CB5">
            <w:pPr>
              <w:pStyle w:val="P68B1DB1-TableParagraph40"/>
              <w:spacing w:before="108"/>
              <w:ind w:left="85"/>
              <w:jc w:val="both"/>
            </w:pPr>
            <w:r>
              <w:t>Indberet kreditors LEI-kode. Hvis der ikke findes en LEI-kode for banker, indberettes ECBs identifikator for monetære finansielle institutioner (MFI ID), der anvendes i RIAD. Udelukkende i mangel af begge disse identifikatorer indberettes en intern identifikator.</w:t>
            </w:r>
          </w:p>
        </w:tc>
      </w:tr>
      <w:tr w:rsidR="00960E01"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960E01" w:rsidRDefault="00821CB5">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960E01" w:rsidRDefault="00821CB5">
            <w:pPr>
              <w:pStyle w:val="P68B1DB1-TableParagraph73"/>
              <w:spacing w:before="108"/>
              <w:ind w:left="85"/>
              <w:jc w:val="both"/>
              <w:rPr>
                <w:bCs/>
              </w:rPr>
            </w:pPr>
            <w:r>
              <w:t xml:space="preserve">Identifikatortype </w:t>
            </w:r>
          </w:p>
          <w:p w14:paraId="7FE1CFF3" w14:textId="77777777" w:rsidR="00960E01" w:rsidRDefault="00821CB5">
            <w:pPr>
              <w:pStyle w:val="P68B1DB1-TableParagraph40"/>
              <w:spacing w:before="108"/>
              <w:ind w:left="85"/>
              <w:jc w:val="both"/>
            </w:pPr>
            <w:r>
              <w:lastRenderedPageBreak/>
              <w:t>Vælges blandt følgende muligheder: "LEI-kode", "MFI-kode" eller "Identifikationstype, bortset fra LEI- eller MFI-kode".</w:t>
            </w:r>
          </w:p>
        </w:tc>
      </w:tr>
      <w:tr w:rsidR="00960E01"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960E01" w:rsidRDefault="00821CB5">
            <w:pPr>
              <w:pStyle w:val="P68B1DB1-Normal31"/>
            </w:pPr>
            <w:r>
              <w:lastRenderedPageBreak/>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960E01" w:rsidRDefault="00821CB5">
            <w:pPr>
              <w:pStyle w:val="P68B1DB1-TableParagraph73"/>
              <w:spacing w:before="108"/>
              <w:ind w:left="85"/>
              <w:jc w:val="both"/>
              <w:rPr>
                <w:bCs/>
              </w:rPr>
            </w:pPr>
            <w:r>
              <w:t xml:space="preserve">Værdipapirer på børserne er noteret på </w:t>
            </w:r>
          </w:p>
          <w:p w14:paraId="7FE1CFF7" w14:textId="3C377B4D" w:rsidR="00960E01" w:rsidRDefault="00821CB5">
            <w:pPr>
              <w:pStyle w:val="P68B1DB1-TableParagraph40"/>
              <w:spacing w:before="108"/>
              <w:ind w:left="85"/>
              <w:jc w:val="both"/>
            </w:pPr>
            <w:r>
              <w:t>Hvis instrumenterne er opført på en udvekslingsplatform, angives denne/disse platforme. Hvis der er tale om flere udvekslinger, adskilles platformene med et semikolon.</w:t>
            </w:r>
          </w:p>
        </w:tc>
      </w:tr>
      <w:tr w:rsidR="00960E01"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960E01" w:rsidRDefault="00821CB5">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960E01" w:rsidRDefault="00821CB5">
            <w:pPr>
              <w:pStyle w:val="P68B1DB1-TableParagraph73"/>
              <w:spacing w:before="108"/>
              <w:ind w:left="85"/>
              <w:jc w:val="both"/>
              <w:rPr>
                <w:bCs/>
              </w:rPr>
            </w:pPr>
            <w:r>
              <w:t xml:space="preserve">Afviklingssystemer  </w:t>
            </w:r>
          </w:p>
          <w:p w14:paraId="7FE1CFFB" w14:textId="2006B3AF" w:rsidR="00960E01" w:rsidRDefault="00821CB5">
            <w:pPr>
              <w:pStyle w:val="P68B1DB1-TableParagraph40"/>
              <w:spacing w:before="108"/>
              <w:ind w:left="85"/>
              <w:jc w:val="both"/>
            </w:pPr>
            <w:r>
              <w:t>Angiv de værdipapirafviklingssystemer, hvor disse værdipapirer kan afvikles. Hvis der er tale om flere afviklingssystemer, adskilles hvert med et semikolon.</w:t>
            </w:r>
          </w:p>
        </w:tc>
      </w:tr>
      <w:tr w:rsidR="00960E01"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960E01" w:rsidRDefault="00821CB5">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4A9F79C3" w:rsidR="00960E01" w:rsidRDefault="00D51B29">
            <w:pPr>
              <w:pStyle w:val="P68B1DB1-TableParagraph73"/>
              <w:spacing w:before="108"/>
              <w:ind w:left="85"/>
              <w:jc w:val="both"/>
              <w:rPr>
                <w:bCs/>
              </w:rPr>
            </w:pPr>
            <w:r>
              <w:t>Registrator</w:t>
            </w:r>
          </w:p>
          <w:p w14:paraId="7FE1CFFF" w14:textId="77777777" w:rsidR="00960E01" w:rsidRDefault="00821CB5">
            <w:pPr>
              <w:pStyle w:val="P68B1DB1-TableParagraph40"/>
              <w:spacing w:before="108"/>
              <w:ind w:left="85"/>
              <w:jc w:val="both"/>
            </w:pPr>
            <w:r>
              <w:t xml:space="preserve">Angiv registratoren (ansvarlig for at føre registrene over indehaverne af disse værdipapirer). Registratoren eller registerindehaveren er normalt udstederen selv, en CSD eller en anden enhed. </w:t>
            </w:r>
          </w:p>
        </w:tc>
      </w:tr>
      <w:tr w:rsidR="00960E01" w14:paraId="7FE1D004" w14:textId="77777777">
        <w:tc>
          <w:tcPr>
            <w:tcW w:w="1415" w:type="dxa"/>
            <w:tcBorders>
              <w:top w:val="single" w:sz="8" w:space="0" w:color="1A171C"/>
              <w:left w:val="nil"/>
              <w:right w:val="single" w:sz="8" w:space="0" w:color="1A171C"/>
            </w:tcBorders>
            <w:vAlign w:val="center"/>
          </w:tcPr>
          <w:p w14:paraId="7FE1D001" w14:textId="77777777" w:rsidR="00960E01" w:rsidRDefault="00821CB5">
            <w:pPr>
              <w:pStyle w:val="P68B1DB1-Normal31"/>
            </w:pPr>
            <w:r>
              <w:t>RNAV 2 GNSS B1</w:t>
            </w:r>
          </w:p>
        </w:tc>
        <w:tc>
          <w:tcPr>
            <w:tcW w:w="7611" w:type="dxa"/>
            <w:gridSpan w:val="2"/>
            <w:tcBorders>
              <w:top w:val="single" w:sz="8" w:space="0" w:color="1A171C"/>
              <w:left w:val="single" w:sz="8" w:space="0" w:color="1A171C"/>
              <w:right w:val="nil"/>
            </w:tcBorders>
            <w:vAlign w:val="bottom"/>
          </w:tcPr>
          <w:p w14:paraId="7FE1D002" w14:textId="200E4E8A" w:rsidR="00960E01" w:rsidRDefault="00821CB5">
            <w:pPr>
              <w:pStyle w:val="P68B1DB1-TableParagraph73"/>
              <w:spacing w:before="108"/>
              <w:ind w:left="85"/>
              <w:jc w:val="both"/>
              <w:rPr>
                <w:bCs/>
              </w:rPr>
            </w:pPr>
            <w:r>
              <w:t xml:space="preserve">Værdipapircentral </w:t>
            </w:r>
          </w:p>
          <w:p w14:paraId="7FE1D003" w14:textId="77777777" w:rsidR="00960E01" w:rsidRDefault="00821CB5">
            <w:pPr>
              <w:pStyle w:val="P68B1DB1-TableParagraph40"/>
              <w:spacing w:before="108"/>
              <w:ind w:left="85"/>
              <w:jc w:val="both"/>
            </w:pPr>
            <w:r>
              <w:t>Angiv den CSD, der udsteder værdipapiret.</w:t>
            </w:r>
          </w:p>
        </w:tc>
      </w:tr>
      <w:tr w:rsidR="00960E01" w14:paraId="7FE1D02F" w14:textId="77777777">
        <w:tc>
          <w:tcPr>
            <w:tcW w:w="1415" w:type="dxa"/>
            <w:tcBorders>
              <w:left w:val="nil"/>
              <w:bottom w:val="single" w:sz="8" w:space="0" w:color="1A171C"/>
              <w:right w:val="single" w:sz="8" w:space="0" w:color="1A171C"/>
            </w:tcBorders>
            <w:vAlign w:val="center"/>
          </w:tcPr>
          <w:p w14:paraId="7FE1D005" w14:textId="77777777" w:rsidR="00960E01" w:rsidRDefault="00821CB5">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960E01" w:rsidRDefault="00821CB5">
            <w:pPr>
              <w:pStyle w:val="P68B1DB1-TableParagraph40"/>
              <w:spacing w:before="108"/>
              <w:ind w:left="85"/>
              <w:jc w:val="both"/>
            </w:pPr>
            <w:r>
              <w:t>Ved indberetning af den udstedende CSD anvendes forkortelsen i tabellen nedenfor, medmindre den relevante CSD ikke er opført på listen:</w:t>
            </w:r>
          </w:p>
          <w:p w14:paraId="7FE1D007" w14:textId="77777777" w:rsidR="00960E01" w:rsidRDefault="00821CB5">
            <w:pPr>
              <w:pStyle w:val="P68B1DB1-TableParagraph40"/>
              <w:spacing w:before="108"/>
              <w:ind w:left="85"/>
              <w:jc w:val="both"/>
            </w:pPr>
            <w:r>
              <w:t>ATHEX CSD_EL</w:t>
            </w:r>
          </w:p>
          <w:p w14:paraId="7FE1D008" w14:textId="77777777" w:rsidR="00960E01" w:rsidRDefault="00821CB5">
            <w:pPr>
              <w:pStyle w:val="P68B1DB1-TableParagraph40"/>
              <w:spacing w:before="108"/>
              <w:ind w:left="85"/>
              <w:jc w:val="both"/>
            </w:pPr>
            <w:r>
              <w:t>BOGS_EL</w:t>
            </w:r>
          </w:p>
          <w:p w14:paraId="7FE1D009" w14:textId="77777777" w:rsidR="00960E01" w:rsidRDefault="00821CB5">
            <w:pPr>
              <w:pStyle w:val="P68B1DB1-TableParagraph40"/>
              <w:spacing w:before="108"/>
              <w:ind w:left="85"/>
              <w:jc w:val="both"/>
            </w:pPr>
            <w:r>
              <w:t>CBF_DE</w:t>
            </w:r>
          </w:p>
          <w:p w14:paraId="7FE1D00A" w14:textId="77777777" w:rsidR="00960E01" w:rsidRDefault="00821CB5">
            <w:pPr>
              <w:pStyle w:val="P68B1DB1-TableParagraph40"/>
              <w:spacing w:before="108"/>
              <w:ind w:left="85"/>
              <w:jc w:val="both"/>
            </w:pPr>
            <w:r>
              <w:t>CBL_LU</w:t>
            </w:r>
          </w:p>
          <w:p w14:paraId="7FE1D00B" w14:textId="77777777" w:rsidR="00960E01" w:rsidRDefault="00821CB5">
            <w:pPr>
              <w:pStyle w:val="P68B1DB1-TableParagraph40"/>
              <w:spacing w:before="108"/>
              <w:ind w:left="85"/>
              <w:jc w:val="both"/>
            </w:pPr>
            <w:r>
              <w:t>CDCP SR_SK</w:t>
            </w:r>
          </w:p>
          <w:p w14:paraId="7FE1D00C" w14:textId="77777777" w:rsidR="00960E01" w:rsidRDefault="00821CB5">
            <w:pPr>
              <w:pStyle w:val="P68B1DB1-TableParagraph40"/>
              <w:spacing w:before="108"/>
              <w:ind w:left="85"/>
              <w:jc w:val="both"/>
            </w:pPr>
            <w:r>
              <w:t>CDCP_CZ</w:t>
            </w:r>
          </w:p>
          <w:p w14:paraId="7FE1D00D" w14:textId="77777777" w:rsidR="00960E01" w:rsidRPr="00BA6295" w:rsidRDefault="00821CB5">
            <w:pPr>
              <w:pStyle w:val="P68B1DB1-TableParagraph40"/>
              <w:spacing w:before="108"/>
              <w:ind w:left="85"/>
              <w:jc w:val="both"/>
            </w:pPr>
            <w:r w:rsidRPr="00BA6295">
              <w:t>Central depositarvirksomhed "Clearing Company_HR"</w:t>
            </w:r>
          </w:p>
          <w:p w14:paraId="7FE1D00E" w14:textId="77777777" w:rsidR="00960E01" w:rsidRPr="00BA6295" w:rsidRDefault="00821CB5">
            <w:pPr>
              <w:pStyle w:val="P68B1DB1-TableParagraph40"/>
              <w:spacing w:before="108"/>
              <w:ind w:left="85"/>
              <w:jc w:val="both"/>
            </w:pPr>
            <w:r w:rsidRPr="00BA6295">
              <w:t>Værdipapircentral Prague_CZ</w:t>
            </w:r>
          </w:p>
          <w:p w14:paraId="7FE1D00F" w14:textId="77777777" w:rsidR="00960E01" w:rsidRPr="00BA6295" w:rsidRDefault="00821CB5">
            <w:pPr>
              <w:pStyle w:val="P68B1DB1-TableParagraph40"/>
              <w:spacing w:before="108"/>
              <w:ind w:left="85"/>
              <w:jc w:val="both"/>
            </w:pPr>
            <w:r w:rsidRPr="00BA6295">
              <w:t>Centralindsky_BG</w:t>
            </w:r>
          </w:p>
          <w:p w14:paraId="7FE1D010" w14:textId="77777777" w:rsidR="00960E01" w:rsidRPr="00BA6295" w:rsidRDefault="00821CB5">
            <w:pPr>
              <w:pStyle w:val="P68B1DB1-TableParagraph40"/>
              <w:spacing w:before="108"/>
              <w:ind w:left="85"/>
              <w:jc w:val="both"/>
            </w:pPr>
            <w:r w:rsidRPr="00BA6295">
              <w:t>Cypern CDCR_CY</w:t>
            </w:r>
          </w:p>
          <w:p w14:paraId="7FE1D011" w14:textId="77777777" w:rsidR="00960E01" w:rsidRPr="00BA6295" w:rsidRDefault="00821CB5">
            <w:pPr>
              <w:pStyle w:val="P68B1DB1-TableParagraph40"/>
              <w:spacing w:before="108"/>
              <w:ind w:left="85"/>
              <w:jc w:val="both"/>
            </w:pPr>
            <w:r w:rsidRPr="00BA6295">
              <w:t>Depozitarul Central_RO</w:t>
            </w:r>
          </w:p>
          <w:p w14:paraId="7FE1D012" w14:textId="77777777" w:rsidR="00960E01" w:rsidRPr="00BA6295" w:rsidRDefault="00821CB5">
            <w:pPr>
              <w:pStyle w:val="P68B1DB1-TableParagraph40"/>
              <w:spacing w:before="108"/>
              <w:ind w:left="85"/>
              <w:jc w:val="both"/>
            </w:pPr>
            <w:r w:rsidRPr="00BA6295">
              <w:t>DTC_US</w:t>
            </w:r>
          </w:p>
          <w:p w14:paraId="7FE1D013" w14:textId="77777777" w:rsidR="00960E01" w:rsidRPr="00BA6295" w:rsidRDefault="00821CB5">
            <w:pPr>
              <w:pStyle w:val="P68B1DB1-TableParagraph40"/>
              <w:spacing w:before="108"/>
              <w:ind w:left="85"/>
              <w:jc w:val="both"/>
            </w:pPr>
            <w:r w:rsidRPr="00BA6295">
              <w:t>Euroclear Bank_BE</w:t>
            </w:r>
          </w:p>
          <w:p w14:paraId="7FE1D014" w14:textId="77777777" w:rsidR="00960E01" w:rsidRPr="00BA6295" w:rsidRDefault="00821CB5">
            <w:pPr>
              <w:pStyle w:val="P68B1DB1-TableParagraph40"/>
              <w:spacing w:before="108"/>
              <w:ind w:left="85"/>
              <w:jc w:val="both"/>
            </w:pPr>
            <w:r w:rsidRPr="00BA6295">
              <w:t>Euroclear Belgium_BE</w:t>
            </w:r>
          </w:p>
          <w:p w14:paraId="7FE1D015" w14:textId="77777777" w:rsidR="00960E01" w:rsidRDefault="00821CB5">
            <w:pPr>
              <w:pStyle w:val="P68B1DB1-TableParagraph40"/>
              <w:spacing w:before="108"/>
              <w:ind w:left="85"/>
              <w:jc w:val="both"/>
            </w:pPr>
            <w:r>
              <w:t>Euroclear Finland_FI</w:t>
            </w:r>
          </w:p>
          <w:p w14:paraId="7FE1D016" w14:textId="77777777" w:rsidR="00960E01" w:rsidRDefault="00821CB5">
            <w:pPr>
              <w:pStyle w:val="P68B1DB1-TableParagraph40"/>
              <w:spacing w:before="108"/>
              <w:ind w:left="85"/>
              <w:jc w:val="both"/>
            </w:pPr>
            <w:r>
              <w:t>Euroclear Frankrig — FR</w:t>
            </w:r>
          </w:p>
          <w:p w14:paraId="7FE1D017" w14:textId="77777777" w:rsidR="00960E01" w:rsidRDefault="00821CB5">
            <w:pPr>
              <w:pStyle w:val="P68B1DB1-TableParagraph40"/>
              <w:spacing w:before="108"/>
              <w:ind w:left="85"/>
              <w:jc w:val="both"/>
            </w:pPr>
            <w:r>
              <w:t>Euroclear Nederland_NL</w:t>
            </w:r>
          </w:p>
          <w:p w14:paraId="7FE1D018" w14:textId="77777777" w:rsidR="00960E01" w:rsidRDefault="00821CB5">
            <w:pPr>
              <w:pStyle w:val="P68B1DB1-TableParagraph40"/>
              <w:spacing w:before="108"/>
              <w:ind w:left="85"/>
              <w:jc w:val="both"/>
            </w:pPr>
            <w:r>
              <w:t>Euroclear Sweden_SE</w:t>
            </w:r>
          </w:p>
          <w:p w14:paraId="7FE1D019" w14:textId="77777777" w:rsidR="00960E01" w:rsidRDefault="00821CB5">
            <w:pPr>
              <w:pStyle w:val="P68B1DB1-TableParagraph40"/>
              <w:spacing w:before="108"/>
              <w:ind w:left="85"/>
              <w:jc w:val="both"/>
            </w:pPr>
            <w:r>
              <w:t>Euroclear UK — Irland_UK</w:t>
            </w:r>
          </w:p>
          <w:p w14:paraId="7FE1D01A" w14:textId="77777777" w:rsidR="00960E01" w:rsidRDefault="00821CB5">
            <w:pPr>
              <w:pStyle w:val="P68B1DB1-TableParagraph40"/>
              <w:spacing w:before="108"/>
              <w:ind w:left="85"/>
              <w:jc w:val="both"/>
            </w:pPr>
            <w:r>
              <w:t>Statslig værdipapircentral (GSD) _BG</w:t>
            </w:r>
          </w:p>
          <w:p w14:paraId="7FE1D01B" w14:textId="77777777" w:rsidR="00960E01" w:rsidRPr="00BA6295" w:rsidRDefault="00821CB5">
            <w:pPr>
              <w:pStyle w:val="P68B1DB1-TableParagraph40"/>
              <w:spacing w:before="108"/>
              <w:ind w:left="85"/>
              <w:jc w:val="both"/>
            </w:pPr>
            <w:r w:rsidRPr="00BA6295">
              <w:t>Iberclear_ES</w:t>
            </w:r>
          </w:p>
          <w:p w14:paraId="7FE1D01C" w14:textId="77777777" w:rsidR="00960E01" w:rsidRPr="00BA6295" w:rsidRDefault="00821CB5">
            <w:pPr>
              <w:pStyle w:val="P68B1DB1-TableParagraph40"/>
              <w:spacing w:before="108"/>
              <w:ind w:left="85"/>
              <w:jc w:val="both"/>
            </w:pPr>
            <w:r w:rsidRPr="00BA6295">
              <w:t>INTERBOLSA_PT</w:t>
            </w:r>
          </w:p>
          <w:p w14:paraId="7FE1D01D" w14:textId="77777777" w:rsidR="00960E01" w:rsidRPr="00BA6295" w:rsidRDefault="00821CB5">
            <w:pPr>
              <w:pStyle w:val="P68B1DB1-TableParagraph40"/>
              <w:spacing w:before="108"/>
              <w:ind w:left="85"/>
              <w:jc w:val="both"/>
            </w:pPr>
            <w:r w:rsidRPr="00BA6295">
              <w:t>KDD_SI</w:t>
            </w:r>
          </w:p>
          <w:p w14:paraId="7FE1D01E" w14:textId="77777777" w:rsidR="00960E01" w:rsidRDefault="00821CB5">
            <w:pPr>
              <w:pStyle w:val="P68B1DB1-TableParagraph40"/>
              <w:spacing w:before="108"/>
              <w:ind w:left="85"/>
              <w:jc w:val="both"/>
            </w:pPr>
            <w:r>
              <w:t>KDPW_PL</w:t>
            </w:r>
          </w:p>
          <w:p w14:paraId="7FE1D01F" w14:textId="77777777" w:rsidR="00960E01" w:rsidRDefault="00821CB5">
            <w:pPr>
              <w:pStyle w:val="P68B1DB1-TableParagraph40"/>
              <w:spacing w:before="108"/>
              <w:ind w:left="85"/>
              <w:jc w:val="both"/>
            </w:pPr>
            <w:r>
              <w:t>KELER_HU</w:t>
            </w:r>
          </w:p>
          <w:p w14:paraId="7FE1D020" w14:textId="77777777" w:rsidR="00960E01" w:rsidRDefault="00821CB5">
            <w:pPr>
              <w:pStyle w:val="P68B1DB1-TableParagraph40"/>
              <w:spacing w:before="108"/>
              <w:ind w:left="85"/>
              <w:jc w:val="both"/>
            </w:pPr>
            <w:r>
              <w:lastRenderedPageBreak/>
              <w:t>LUX CSD_LU</w:t>
            </w:r>
          </w:p>
          <w:p w14:paraId="7FE1D021" w14:textId="77777777" w:rsidR="00960E01" w:rsidRPr="00BA6295" w:rsidRDefault="00821CB5">
            <w:pPr>
              <w:pStyle w:val="P68B1DB1-TableParagraph40"/>
              <w:spacing w:before="108"/>
              <w:ind w:left="85"/>
              <w:jc w:val="both"/>
            </w:pPr>
            <w:r w:rsidRPr="00BA6295">
              <w:t>Maltas børs CSD_MT</w:t>
            </w:r>
          </w:p>
          <w:p w14:paraId="7FE1D022" w14:textId="77777777" w:rsidR="00960E01" w:rsidRPr="00BA6295" w:rsidRDefault="00821CB5">
            <w:pPr>
              <w:pStyle w:val="P68B1DB1-TableParagraph40"/>
              <w:spacing w:before="108"/>
              <w:ind w:left="85"/>
              <w:jc w:val="both"/>
            </w:pPr>
            <w:r w:rsidRPr="00BA6295">
              <w:t>Euronext Securities Milan_IT</w:t>
            </w:r>
          </w:p>
          <w:p w14:paraId="7FE1D023" w14:textId="77777777" w:rsidR="00960E01" w:rsidRPr="00BA6295" w:rsidRDefault="00821CB5">
            <w:pPr>
              <w:pStyle w:val="P68B1DB1-TableParagraph40"/>
              <w:spacing w:before="108"/>
              <w:ind w:left="85"/>
              <w:jc w:val="both"/>
            </w:pPr>
            <w:r w:rsidRPr="00BA6295">
              <w:t>Nasdaq CSD_EE</w:t>
            </w:r>
          </w:p>
          <w:p w14:paraId="7FE1D024" w14:textId="77777777" w:rsidR="00960E01" w:rsidRPr="00BA6295" w:rsidRDefault="00821CB5">
            <w:pPr>
              <w:pStyle w:val="P68B1DB1-TableParagraph40"/>
              <w:spacing w:before="108"/>
              <w:ind w:left="85"/>
              <w:jc w:val="both"/>
            </w:pPr>
            <w:r w:rsidRPr="00BA6295">
              <w:t>Nasdaq CSD_LT</w:t>
            </w:r>
          </w:p>
          <w:p w14:paraId="7FE1D025" w14:textId="77777777" w:rsidR="00960E01" w:rsidRPr="00BA6295" w:rsidRDefault="00821CB5">
            <w:pPr>
              <w:pStyle w:val="P68B1DB1-TableParagraph40"/>
              <w:spacing w:before="108"/>
              <w:ind w:left="85"/>
              <w:jc w:val="both"/>
            </w:pPr>
            <w:r w:rsidRPr="00BA6295">
              <w:t>Nasdaq CSD_LV</w:t>
            </w:r>
          </w:p>
          <w:p w14:paraId="7FE1D026" w14:textId="77777777" w:rsidR="00960E01" w:rsidRPr="00BA6295" w:rsidRDefault="00821CB5">
            <w:pPr>
              <w:pStyle w:val="P68B1DB1-TableParagraph40"/>
              <w:spacing w:before="108"/>
              <w:ind w:left="85"/>
              <w:jc w:val="both"/>
            </w:pPr>
            <w:r w:rsidRPr="00BA6295">
              <w:t>NBB SSS_BE</w:t>
            </w:r>
          </w:p>
          <w:p w14:paraId="7FE1D027" w14:textId="77777777" w:rsidR="00960E01" w:rsidRDefault="00821CB5">
            <w:pPr>
              <w:pStyle w:val="P68B1DB1-TableParagraph40"/>
              <w:spacing w:before="108"/>
              <w:ind w:left="85"/>
              <w:jc w:val="both"/>
            </w:pPr>
            <w:r>
              <w:t>nCDCP_SK</w:t>
            </w:r>
          </w:p>
          <w:p w14:paraId="7FE1D028" w14:textId="77777777" w:rsidR="00960E01" w:rsidRDefault="00821CB5">
            <w:pPr>
              <w:pStyle w:val="P68B1DB1-TableParagraph40"/>
              <w:spacing w:before="108"/>
              <w:ind w:left="85"/>
              <w:jc w:val="both"/>
            </w:pPr>
            <w:r>
              <w:t>OeKB CSD_AT</w:t>
            </w:r>
          </w:p>
          <w:p w14:paraId="7FE1D029" w14:textId="77777777" w:rsidR="00960E01" w:rsidRDefault="00821CB5">
            <w:pPr>
              <w:pStyle w:val="P68B1DB1-TableParagraph40"/>
              <w:spacing w:before="108"/>
              <w:ind w:left="85"/>
              <w:jc w:val="both"/>
            </w:pPr>
            <w:r>
              <w:t>SAFIR_RO</w:t>
            </w:r>
          </w:p>
          <w:p w14:paraId="7FE1D02A" w14:textId="77777777" w:rsidR="00960E01" w:rsidRDefault="00821CB5">
            <w:pPr>
              <w:pStyle w:val="P68B1DB1-TableParagraph40"/>
              <w:spacing w:before="108"/>
              <w:ind w:left="85"/>
              <w:jc w:val="both"/>
            </w:pPr>
            <w:r>
              <w:t>SEKS SIS_CH</w:t>
            </w:r>
          </w:p>
          <w:p w14:paraId="7FE1D02B" w14:textId="77777777" w:rsidR="00960E01" w:rsidRDefault="00821CB5">
            <w:pPr>
              <w:pStyle w:val="P68B1DB1-TableParagraph40"/>
              <w:spacing w:before="108"/>
              <w:ind w:left="85"/>
              <w:jc w:val="both"/>
            </w:pPr>
            <w:r>
              <w:t>SKARBNET4_PL</w:t>
            </w:r>
          </w:p>
          <w:p w14:paraId="7FE1D02C" w14:textId="77777777" w:rsidR="00960E01" w:rsidRDefault="00821CB5">
            <w:pPr>
              <w:pStyle w:val="P68B1DB1-TableParagraph40"/>
              <w:spacing w:before="108"/>
              <w:ind w:left="85"/>
              <w:jc w:val="both"/>
            </w:pPr>
            <w:r>
              <w:t>SKD_CZ</w:t>
            </w:r>
          </w:p>
          <w:p w14:paraId="7FE1D02D" w14:textId="77777777" w:rsidR="00960E01" w:rsidRDefault="00821CB5">
            <w:pPr>
              <w:pStyle w:val="P68B1DB1-TableParagraph40"/>
              <w:spacing w:before="108"/>
              <w:ind w:left="85"/>
              <w:jc w:val="both"/>
            </w:pPr>
            <w:r>
              <w:t>Næstformand Securities_DK</w:t>
            </w:r>
          </w:p>
          <w:p w14:paraId="7FE1D02E" w14:textId="77777777" w:rsidR="00960E01" w:rsidRDefault="00821CB5">
            <w:pPr>
              <w:pStyle w:val="P68B1DB1-TableParagraph40"/>
              <w:spacing w:before="108"/>
              <w:ind w:left="85"/>
              <w:jc w:val="both"/>
            </w:pPr>
            <w:r>
              <w:t>VPS_NEJ</w:t>
            </w:r>
          </w:p>
        </w:tc>
      </w:tr>
      <w:tr w:rsidR="00960E01"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960E01" w:rsidRDefault="00821CB5">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960E01" w:rsidRDefault="00821CB5">
            <w:pPr>
              <w:pStyle w:val="P68B1DB1-TableParagraph73"/>
              <w:spacing w:before="108"/>
              <w:ind w:left="85"/>
              <w:jc w:val="both"/>
              <w:rPr>
                <w:bCs/>
              </w:rPr>
            </w:pPr>
            <w:r>
              <w:t>Pantsætning, tilbageholdelsesret eller sikkerhedsstillelse</w:t>
            </w:r>
          </w:p>
          <w:p w14:paraId="7FE1D035" w14:textId="01C91AE9" w:rsidR="00960E01" w:rsidRDefault="00821CB5">
            <w:pPr>
              <w:pStyle w:val="P68B1DB1-TableParagraph40"/>
              <w:spacing w:before="108"/>
              <w:ind w:left="85"/>
              <w:jc w:val="both"/>
            </w:pPr>
            <w:r>
              <w:t>Hvis et passiv er sikret ved pant, tilbageholdelsesret eller sikkerhedsstillelse, indberettes bruttoværdien af sidstnævnte. I modsat fald indberettes denne kategori for usikrede passiver som nul. Dette beløb vil bestemme den sikrede og i sidste ende den usikrede del af et sikret passiv. For sikkerhedspuljer, der sikrer flere poster, bestemme den samlede dækningsgrad og anvende pro rata på alle de poster, der er omfattet af denne pulje.</w:t>
            </w:r>
          </w:p>
        </w:tc>
      </w:tr>
      <w:tr w:rsidR="00960E01"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960E01" w:rsidRDefault="00821CB5">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960E01" w:rsidRDefault="00821CB5">
            <w:pPr>
              <w:pStyle w:val="P68B1DB1-TableParagraph73"/>
              <w:spacing w:before="108"/>
              <w:ind w:left="85"/>
              <w:jc w:val="both"/>
              <w:rPr>
                <w:bCs/>
              </w:rPr>
            </w:pPr>
            <w:r>
              <w:t xml:space="preserve">Kautionist </w:t>
            </w:r>
          </w:p>
          <w:p w14:paraId="7FE1D039" w14:textId="7525BFD5" w:rsidR="00960E01" w:rsidRDefault="00821CB5">
            <w:pPr>
              <w:pStyle w:val="P68B1DB1-TableParagraph40"/>
              <w:spacing w:before="108"/>
              <w:ind w:left="85"/>
              <w:jc w:val="both"/>
            </w:pPr>
            <w:r>
              <w:t>Hvis der er stillet garantier for instrumentet, angives en detaljeret identifikation af garanten (LEI-kode, ISO 3166-1 alpha-2-landekode for det offentlige osv.). Hvis der er flere garanter til stede, indberettes alle identifikatorer adskilt af et semikolon.</w:t>
            </w:r>
          </w:p>
        </w:tc>
      </w:tr>
      <w:tr w:rsidR="00960E01"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960E01" w:rsidRDefault="00821CB5">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960E01" w:rsidRDefault="00821CB5">
            <w:pPr>
              <w:pStyle w:val="P68B1DB1-TableParagraph73"/>
              <w:spacing w:before="108"/>
              <w:ind w:left="85"/>
              <w:jc w:val="both"/>
              <w:rPr>
                <w:bCs/>
              </w:rPr>
            </w:pPr>
            <w:r>
              <w:t xml:space="preserve">Beløb, der opfylder betingelserne for MREL </w:t>
            </w:r>
          </w:p>
          <w:p w14:paraId="7FE1D044" w14:textId="63D3C63A" w:rsidR="00960E01" w:rsidRDefault="00821CB5">
            <w:pPr>
              <w:pStyle w:val="P68B1DB1-TableParagraph40"/>
              <w:spacing w:before="108"/>
              <w:ind w:left="85"/>
              <w:jc w:val="both"/>
            </w:pPr>
            <w:r>
              <w:t>Det beløb, der udgøres af kapitalgrundlaget og nedskrivningsrelevante passiver, og som medregnes i det krav, der er fastsat i overensstemmelse med artikel 45, stk. 1, i direktiv 2014/59/EU.</w:t>
            </w:r>
          </w:p>
        </w:tc>
      </w:tr>
      <w:tr w:rsidR="00960E01"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960E01" w:rsidRDefault="00821CB5">
            <w:pPr>
              <w:pStyle w:val="P68B1DB1-Normal31"/>
            </w:pPr>
            <w:r>
              <w:t>0310</w:t>
            </w:r>
          </w:p>
          <w:p w14:paraId="7FE1D047" w14:textId="77777777" w:rsidR="00960E01" w:rsidRDefault="00821CB5">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960E01" w:rsidRDefault="00821CB5">
            <w:pPr>
              <w:pStyle w:val="P68B1DB1-TableParagraph73"/>
              <w:spacing w:before="108"/>
              <w:ind w:left="85"/>
              <w:jc w:val="both"/>
              <w:rPr>
                <w:bCs/>
              </w:rPr>
            </w:pPr>
            <w:r>
              <w:t xml:space="preserve">Kvalificerer som kapitalgrundlag </w:t>
            </w:r>
          </w:p>
          <w:p w14:paraId="7FE1D049" w14:textId="4AE6A326" w:rsidR="00960E01" w:rsidRDefault="00821CB5">
            <w:pPr>
              <w:pStyle w:val="P68B1DB1-TableParagraph40"/>
              <w:spacing w:before="108"/>
              <w:ind w:left="85"/>
              <w:jc w:val="both"/>
            </w:pPr>
            <w:r>
              <w:t xml:space="preserve">Angiv, om og på hvilket niveau instrumentet indgår i kapitalgrundlaget, sammen med oplysninger om udfasningsordningen og overgangsbestemmelser. Værdien kan være "Nej", "Delvis AT1, T1 og T2", "T2 under udfasning", "Grandfathering T2", "Fully Compliant T2", "Grandfathering AT1", "Fully Compliant AT1" eller "CET1" fra en foruddefineret liste. </w:t>
            </w:r>
          </w:p>
          <w:p w14:paraId="7FE1D04A" w14:textId="62223A6F" w:rsidR="00960E01" w:rsidRDefault="00821CB5">
            <w:pPr>
              <w:pStyle w:val="P68B1DB1-TableParagraph40"/>
              <w:spacing w:before="108"/>
              <w:ind w:left="85"/>
              <w:jc w:val="both"/>
            </w:pPr>
            <w:r>
              <w:t>I listen over optioner henviser udtrykket "udfasning" til perioden på 5 år før udløb for et givet T2-instrument, hvor der kun er en forholdsmæssig anerkendelse baseret på den resterende løbetid. "Overgangsbestemmelser" henviser til enhver overgangsforanstaltning, der gælder for et T2-instrument, bortset fra "udfasning". Under denne "hævdvundne ret" kan anerkendelsen være fuldstændig eller delvis.</w:t>
            </w:r>
          </w:p>
          <w:p w14:paraId="7FE1D04B" w14:textId="56289907" w:rsidR="00960E01" w:rsidRDefault="00821CB5">
            <w:pPr>
              <w:pStyle w:val="P68B1DB1-TableParagraph40"/>
              <w:spacing w:before="108"/>
              <w:ind w:left="85"/>
              <w:jc w:val="both"/>
            </w:pPr>
            <w:r>
              <w:t xml:space="preserve"> </w:t>
            </w:r>
          </w:p>
        </w:tc>
      </w:tr>
      <w:tr w:rsidR="00960E01"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960E01" w:rsidRDefault="00821CB5">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960E01" w:rsidRDefault="00821CB5">
            <w:pPr>
              <w:pStyle w:val="P68B1DB1-TableParagraph40"/>
              <w:spacing w:before="108"/>
              <w:ind w:left="85"/>
              <w:jc w:val="both"/>
              <w:rPr>
                <w:b/>
                <w:bCs/>
              </w:rPr>
            </w:pPr>
            <w:r>
              <w:t xml:space="preserve"> </w:t>
            </w:r>
            <w:r>
              <w:rPr>
                <w:b/>
              </w:rPr>
              <w:t>Beløb, der er klassificeret som kapitalgrundlag</w:t>
            </w:r>
          </w:p>
          <w:p w14:paraId="7FE1D050" w14:textId="1253231B" w:rsidR="00960E01" w:rsidRDefault="00821CB5">
            <w:pPr>
              <w:pStyle w:val="P68B1DB1-TableParagraph40"/>
              <w:spacing w:before="108"/>
              <w:ind w:left="85"/>
              <w:jc w:val="both"/>
            </w:pPr>
            <w:r>
              <w:t>Værdien af instrumentet, der kvalificerer som kapitalgrundlag.</w:t>
            </w:r>
          </w:p>
        </w:tc>
      </w:tr>
    </w:tbl>
    <w:p w14:paraId="7FE1D052" w14:textId="77777777" w:rsidR="00960E01" w:rsidRDefault="00960E01">
      <w:pPr>
        <w:rPr>
          <w:rFonts w:ascii="Times New Roman" w:hAnsi="Times New Roman" w:cs="Times New Roman"/>
        </w:rPr>
      </w:pPr>
    </w:p>
    <w:p w14:paraId="7FE1D053" w14:textId="77777777" w:rsidR="00960E01" w:rsidRDefault="00960E01">
      <w:pPr>
        <w:pStyle w:val="Instructionsberschrift2"/>
        <w:ind w:left="357"/>
        <w:rPr>
          <w:rFonts w:ascii="Times New Roman" w:eastAsia="Calibri" w:hAnsi="Times New Roman" w:cs="Times New Roman"/>
          <w:szCs w:val="20"/>
        </w:rPr>
      </w:pPr>
    </w:p>
    <w:p w14:paraId="7FE1D054" w14:textId="6B5C3BCC" w:rsidR="00960E01" w:rsidRDefault="00821CB5">
      <w:pPr>
        <w:pStyle w:val="Instructionsberschrift2"/>
        <w:numPr>
          <w:ilvl w:val="1"/>
          <w:numId w:val="49"/>
        </w:numPr>
        <w:spacing w:before="0"/>
        <w:ind w:left="357" w:hanging="357"/>
        <w:rPr>
          <w:rFonts w:ascii="Times New Roman" w:hAnsi="Times New Roman" w:cs="Times New Roman"/>
        </w:rPr>
      </w:pPr>
      <w:bookmarkStart w:id="245" w:name="_Toc208244586"/>
      <w:r>
        <w:rPr>
          <w:rFonts w:ascii="Times New Roman" w:eastAsiaTheme="minorEastAsia" w:hAnsi="Times New Roman" w:cs="Times New Roman"/>
        </w:rPr>
        <w:t xml:space="preserve">Z 13.00 — Alle indskud (undtagen koncerninterne) </w:t>
      </w:r>
      <w:r>
        <w:rPr>
          <w:rFonts w:ascii="Times New Roman" w:eastAsia="Calibri" w:hAnsi="Times New Roman" w:cs="Times New Roman"/>
          <w:szCs w:val="20"/>
        </w:rPr>
        <w:t>(LIAB-G-3)</w:t>
      </w:r>
      <w:bookmarkEnd w:id="245"/>
    </w:p>
    <w:p w14:paraId="7FE1D057" w14:textId="77777777" w:rsidR="00960E01" w:rsidRDefault="00821CB5">
      <w:pPr>
        <w:pStyle w:val="P68B1DB1-Numberedtitlelevel372"/>
      </w:pPr>
      <w:r>
        <w:t>Generelle bemærkninger</w:t>
      </w:r>
    </w:p>
    <w:p w14:paraId="7FE1D058" w14:textId="669C462E" w:rsidR="00960E01" w:rsidRDefault="00821CB5">
      <w:pPr>
        <w:pStyle w:val="P68B1DB1-InstructionsText26"/>
        <w:numPr>
          <w:ilvl w:val="2"/>
          <w:numId w:val="209"/>
        </w:numPr>
        <w:spacing w:before="0"/>
        <w:ind w:left="1418"/>
        <w:rPr>
          <w:rFonts w:eastAsia="Cambria"/>
        </w:rPr>
      </w:pPr>
      <w:r>
        <w:t>Denne rapports anvendelsesområde omfatter alle indskud, undtagen koncerninterne transaktioner, uanset indskuddets art eller løbetid. Indskud bør identificeres på grundlag af definitionen i artikel 2, stk. 1, nr. (3), i direktiv 2014/49/EU.</w:t>
      </w:r>
    </w:p>
    <w:p w14:paraId="7FE1D05A" w14:textId="4B3AE2E6" w:rsidR="00960E01" w:rsidRDefault="00821CB5">
      <w:pPr>
        <w:pStyle w:val="P68B1DB1-InstructionsText286"/>
        <w:numPr>
          <w:ilvl w:val="2"/>
          <w:numId w:val="209"/>
        </w:numPr>
        <w:spacing w:before="0"/>
        <w:ind w:left="1418"/>
      </w:pPr>
      <w:r>
        <w:t xml:space="preserve">I denne tabel grupperes alle Not-Covered-and-Not-Preferential indlån (som defineret ved Z 02.00-R0320) med en restløbetid på under 1 år, alle dækkede indskud og Not-Covered-but-præferenceindskud (som defineret ved Z 02.00-R0310 og uanset deres restløbetid), efter passivkategori (kolonne 0020), modpartstype (kolonne 0025) og prioritetsrækkefølge ved insolvens (kolonne 0030). Not-Covered-and-Not-Preferred indskud med en restløbetid på 1 år eller derover skal indberettes som en individuel række med hensyn til alle de ønskede felter. </w:t>
      </w:r>
    </w:p>
    <w:p w14:paraId="7FE1D05B" w14:textId="4C000A39" w:rsidR="00960E01" w:rsidRDefault="00821CB5">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Uanset punkt 67) skal hvert indskud fra et kreditinstitut, uanset indskudstype, indberettes som en individuel række med hensyn til alle de ønskede felter. For eksempel skal en enkelt transaktion indberettes i flere rækker, hvis den vedrører forskellige rangordninger ved insolvens.</w:t>
      </w:r>
    </w:p>
    <w:p w14:paraId="7FE1D05C" w14:textId="0E610125" w:rsidR="00960E01" w:rsidRDefault="00821CB5">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Alle andre indskud, der ikke udtrykkeligt er nævnt ovenfor, skal indberettes som en individuel række</w:t>
      </w:r>
      <w:r>
        <w:rPr>
          <w:rFonts w:ascii="Times New Roman" w:hAnsi="Times New Roman" w:cs="Times New Roman"/>
        </w:rPr>
        <w:t xml:space="preserve"> </w:t>
      </w:r>
      <w:r>
        <w:rPr>
          <w:rFonts w:ascii="Times New Roman" w:eastAsia="Cambria" w:hAnsi="Times New Roman" w:cs="Times New Roman"/>
          <w:sz w:val="20"/>
          <w:szCs w:val="20"/>
        </w:rPr>
        <w:t>med hensyn til alle de ønskede felter.</w:t>
      </w:r>
    </w:p>
    <w:p w14:paraId="7FE1D061" w14:textId="77777777" w:rsidR="00960E01" w:rsidRDefault="00821CB5">
      <w:pPr>
        <w:pStyle w:val="P68B1DB1-InstructionsText287"/>
        <w:numPr>
          <w:ilvl w:val="0"/>
          <w:numId w:val="0"/>
        </w:numPr>
        <w:ind w:left="753"/>
      </w:pPr>
      <w:r>
        <w:t>Instrukser vedrørende specifikke positioner</w:t>
      </w:r>
    </w:p>
    <w:tbl>
      <w:tblPr>
        <w:tblW w:w="0" w:type="auto"/>
        <w:tblLook w:val="01E0" w:firstRow="1" w:lastRow="1" w:firstColumn="1" w:lastColumn="1" w:noHBand="0" w:noVBand="0"/>
      </w:tblPr>
      <w:tblGrid>
        <w:gridCol w:w="1188"/>
        <w:gridCol w:w="7772"/>
        <w:gridCol w:w="66"/>
      </w:tblGrid>
      <w:tr w:rsidR="00960E01"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960E01" w:rsidRDefault="00821CB5">
            <w:pPr>
              <w:pStyle w:val="P68B1DB1-TableParagraph17"/>
              <w:spacing w:before="108"/>
              <w:ind w:left="85"/>
            </w:pPr>
            <w:r>
              <w:t>Kolonner</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960E01" w:rsidRDefault="00821CB5">
            <w:pPr>
              <w:pStyle w:val="P68B1DB1-TableParagraph17"/>
              <w:spacing w:before="108"/>
              <w:ind w:left="85" w:right="1"/>
            </w:pPr>
            <w:r>
              <w:t>Instrukser</w:t>
            </w:r>
          </w:p>
        </w:tc>
      </w:tr>
      <w:tr w:rsidR="00960E01"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960E01" w:rsidRDefault="00821CB5">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960E01" w:rsidRDefault="00821CB5">
            <w:pPr>
              <w:pStyle w:val="P68B1DB1-TableParagraph73"/>
              <w:spacing w:before="108"/>
              <w:ind w:left="85"/>
              <w:jc w:val="both"/>
              <w:rPr>
                <w:bCs/>
              </w:rPr>
            </w:pPr>
            <w:r>
              <w:t xml:space="preserve">NR. </w:t>
            </w:r>
          </w:p>
          <w:p w14:paraId="7FE1D067" w14:textId="43449971" w:rsidR="00960E01" w:rsidRDefault="00821CB5">
            <w:pPr>
              <w:pStyle w:val="P68B1DB1-TableParagraph40"/>
              <w:spacing w:before="108"/>
              <w:ind w:left="85"/>
              <w:jc w:val="both"/>
            </w:pPr>
            <w:r>
              <w:t>Unikt nummer/primær nøgle til identifikation af rækkerne.</w:t>
            </w:r>
          </w:p>
        </w:tc>
      </w:tr>
      <w:tr w:rsidR="00960E01"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960E01" w:rsidRDefault="00821CB5">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960E01" w:rsidRDefault="00821CB5">
            <w:pPr>
              <w:pStyle w:val="P68B1DB1-TableParagraph73"/>
              <w:spacing w:before="108"/>
              <w:ind w:left="85"/>
              <w:jc w:val="both"/>
              <w:rPr>
                <w:bCs/>
              </w:rPr>
            </w:pPr>
            <w:r>
              <w:t xml:space="preserve">Række </w:t>
            </w:r>
          </w:p>
          <w:p w14:paraId="7FE1D06B" w14:textId="7887C3E1" w:rsidR="00960E01" w:rsidRDefault="00821CB5">
            <w:pPr>
              <w:pStyle w:val="P68B1DB1-TableParagraph40"/>
              <w:spacing w:before="108"/>
              <w:ind w:left="85"/>
              <w:jc w:val="both"/>
            </w:pPr>
            <w:r>
              <w:t>For hver indberettet række skal der foretages en afstemning med passivkategorien i passivstrukturen i Z02.00 på forfaldsniveau fra en foruddefineret liste over værdier.</w:t>
            </w:r>
          </w:p>
        </w:tc>
      </w:tr>
      <w:tr w:rsidR="00960E01"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960E01" w:rsidRDefault="00821CB5">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960E01" w:rsidRDefault="00821CB5">
            <w:pPr>
              <w:pStyle w:val="P68B1DB1-TableParagraph73"/>
              <w:spacing w:before="108"/>
              <w:ind w:left="85"/>
              <w:jc w:val="both"/>
              <w:rPr>
                <w:bCs/>
              </w:rPr>
            </w:pPr>
            <w:r>
              <w:t xml:space="preserve">Kolonne </w:t>
            </w:r>
          </w:p>
          <w:p w14:paraId="7FE1D06F" w14:textId="34DE133F" w:rsidR="00960E01" w:rsidRDefault="00821CB5">
            <w:pPr>
              <w:pStyle w:val="P68B1DB1-TableParagraph40"/>
              <w:spacing w:before="108"/>
              <w:ind w:left="85"/>
              <w:jc w:val="both"/>
            </w:pPr>
            <w:r>
              <w:t>For hver indberettet række skal der fra en foruddefineret liste over værdier foretages en afstemning med den modpartsklasse i 02.00, som indskuddet skyldes.</w:t>
            </w:r>
          </w:p>
        </w:tc>
      </w:tr>
      <w:tr w:rsidR="00960E01"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960E01" w:rsidRDefault="00821CB5">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960E01" w:rsidRDefault="00821CB5">
            <w:pPr>
              <w:pStyle w:val="P68B1DB1-TableParagraph73"/>
              <w:spacing w:before="108"/>
              <w:ind w:left="85"/>
              <w:jc w:val="both"/>
              <w:rPr>
                <w:bCs/>
              </w:rPr>
            </w:pPr>
            <w:r>
              <w:t xml:space="preserve">Prioritetsrækkefølge ved insolvens  </w:t>
            </w:r>
          </w:p>
          <w:p w14:paraId="7FE1D073" w14:textId="3CA3DC07" w:rsidR="00960E01" w:rsidRDefault="00821CB5">
            <w:pPr>
              <w:pStyle w:val="P68B1DB1-TableParagraph40"/>
              <w:spacing w:before="108"/>
              <w:ind w:left="85"/>
              <w:jc w:val="both"/>
            </w:pPr>
            <w:r>
              <w:t>Placeringen i prioritetsrækkefølgen ved insolvens skal svare til én af de placeringer, der indgår i de prioritetsrækkefølger ved insolvens, som offentliggøres af afviklingsmyndigheden i den pågældende jurisdiktion.</w:t>
            </w:r>
          </w:p>
        </w:tc>
      </w:tr>
      <w:tr w:rsidR="00960E01"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960E01" w:rsidRDefault="00821CB5">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960E01" w:rsidRDefault="00821CB5">
            <w:pPr>
              <w:pStyle w:val="P68B1DB1-TableParagraph73"/>
              <w:spacing w:before="108"/>
              <w:ind w:left="85"/>
              <w:jc w:val="both"/>
              <w:rPr>
                <w:bCs/>
              </w:rPr>
            </w:pPr>
            <w:r>
              <w:t xml:space="preserve">Kontrakt — Identifikator </w:t>
            </w:r>
          </w:p>
          <w:p w14:paraId="7FE1D077" w14:textId="77777777" w:rsidR="00960E01" w:rsidRDefault="00821CB5">
            <w:pPr>
              <w:pStyle w:val="P68B1DB1-TableParagraph40"/>
              <w:spacing w:before="108"/>
              <w:ind w:left="85"/>
              <w:jc w:val="both"/>
            </w:pPr>
            <w:r>
              <w:t>Intern identifikator for kontrakten.</w:t>
            </w:r>
          </w:p>
        </w:tc>
      </w:tr>
      <w:tr w:rsidR="00960E01"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960E01" w:rsidRDefault="00821CB5">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960E01" w:rsidRDefault="00821CB5">
            <w:pPr>
              <w:pStyle w:val="P68B1DB1-TableParagraph73"/>
              <w:spacing w:before="108"/>
              <w:ind w:left="85"/>
              <w:jc w:val="both"/>
              <w:rPr>
                <w:bCs/>
              </w:rPr>
            </w:pPr>
            <w:r>
              <w:t xml:space="preserve">Modpartsidentifikator  </w:t>
            </w:r>
          </w:p>
          <w:p w14:paraId="7FE1D07B" w14:textId="67D0F26D" w:rsidR="00960E01" w:rsidRDefault="00821CB5">
            <w:pPr>
              <w:pStyle w:val="P68B1DB1-TableParagraph40"/>
              <w:spacing w:before="108"/>
              <w:ind w:left="85"/>
              <w:jc w:val="both"/>
            </w:pPr>
            <w:r>
              <w:t xml:space="preserve">Indberet indskyderens LEI-kode. Hvis der ikke findes en LEI-kode, anvendes ECBs identifikator for monetære finansielle institutioner (MFI ID) i RIAD i forbindelse med bankernes indberetning. Udelukkende i mangel af begge disse identifikatorer indberettes en intern identifikator (der forventes kun én entydig identifikator pr. modpart). </w:t>
            </w:r>
          </w:p>
        </w:tc>
      </w:tr>
      <w:tr w:rsidR="00960E01" w14:paraId="7FE1D07F" w14:textId="77777777">
        <w:tc>
          <w:tcPr>
            <w:tcW w:w="1188" w:type="dxa"/>
            <w:vMerge/>
            <w:tcBorders>
              <w:bottom w:val="single" w:sz="4" w:space="0" w:color="auto"/>
              <w:right w:val="single" w:sz="8" w:space="0" w:color="1A171C"/>
            </w:tcBorders>
            <w:vAlign w:val="center"/>
          </w:tcPr>
          <w:p w14:paraId="7FE1D07D" w14:textId="77777777" w:rsidR="00960E01" w:rsidRDefault="00960E01">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960E01" w:rsidRDefault="00821CB5">
            <w:pPr>
              <w:pStyle w:val="P68B1DB1-TableParagraph40"/>
              <w:spacing w:before="108"/>
              <w:ind w:left="85"/>
              <w:jc w:val="both"/>
            </w:pPr>
            <w:r>
              <w:t>For indskud indberettet på aggregeret niveau angives "0000", da dette felt er obligatorisk.</w:t>
            </w:r>
          </w:p>
        </w:tc>
      </w:tr>
      <w:tr w:rsidR="00960E01"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960E01" w:rsidRDefault="00821CB5">
            <w:pPr>
              <w:pStyle w:val="P68B1DB1-Normal31"/>
            </w:pPr>
            <w:r>
              <w:t>0045</w:t>
            </w:r>
          </w:p>
        </w:tc>
        <w:tc>
          <w:tcPr>
            <w:tcW w:w="7838" w:type="dxa"/>
            <w:gridSpan w:val="2"/>
            <w:tcBorders>
              <w:top w:val="single" w:sz="4" w:space="0" w:color="auto"/>
              <w:left w:val="single" w:sz="4" w:space="0" w:color="auto"/>
            </w:tcBorders>
          </w:tcPr>
          <w:p w14:paraId="7FE1D081" w14:textId="05C93935" w:rsidR="00960E01" w:rsidRDefault="00821CB5">
            <w:pPr>
              <w:pStyle w:val="P68B1DB1-TableParagraph73"/>
              <w:spacing w:before="108"/>
              <w:ind w:left="85"/>
              <w:jc w:val="both"/>
              <w:rPr>
                <w:bCs/>
              </w:rPr>
            </w:pPr>
            <w:r>
              <w:t xml:space="preserve">Identifikatortype </w:t>
            </w:r>
          </w:p>
          <w:p w14:paraId="7FE1D082"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960E01" w:rsidRDefault="00960E01">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960E01" w:rsidRDefault="00821CB5">
            <w:pPr>
              <w:pStyle w:val="P68B1DB1-TableParagraph40"/>
              <w:spacing w:before="108"/>
              <w:ind w:left="85"/>
              <w:jc w:val="both"/>
            </w:pPr>
            <w:r>
              <w:t>For indskud indberettet på aggregeret niveau angives "Identifikationstype, bortset fra LEI- eller MFI-kode".</w:t>
            </w:r>
          </w:p>
        </w:tc>
      </w:tr>
      <w:tr w:rsidR="00960E01"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960E01" w:rsidRDefault="00821CB5">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960E01" w:rsidRDefault="00821CB5">
            <w:pPr>
              <w:pStyle w:val="P68B1DB1-TableParagraph73"/>
              <w:spacing w:before="108"/>
              <w:ind w:left="85"/>
              <w:jc w:val="both"/>
              <w:rPr>
                <w:bCs/>
              </w:rPr>
            </w:pPr>
            <w:r>
              <w:t xml:space="preserve">Gældende lovgivning  </w:t>
            </w:r>
          </w:p>
          <w:p w14:paraId="7FE1D089" w14:textId="1A451092" w:rsidR="00960E01" w:rsidRDefault="00821CB5">
            <w:pPr>
              <w:pStyle w:val="P68B1DB1-TableParagraph40"/>
              <w:spacing w:before="108"/>
              <w:ind w:left="85"/>
              <w:jc w:val="both"/>
            </w:pPr>
            <w:r>
              <w:t>ISO 3166-1 alpha-2-koden for det land, hvis lovgivning regulerer instrumentet (anvend ISO 3166-2-koden, når loven i en administrativ underinddeling er relevant, f.eks. "US-NY"). Hvis aftalen er underlagt lovgivningen i mere end ét land, indberettes det land, hvis lovgivning er mest relevant for anerkendelse af nedskrivnings- og konverteringsbeføjelser.  For indskud indberettet på aggregeret niveau anvendes værdien "Andre lande".</w:t>
            </w:r>
          </w:p>
        </w:tc>
      </w:tr>
      <w:tr w:rsidR="00960E01"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960E01" w:rsidRDefault="00821CB5">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960E01" w:rsidRDefault="00821CB5">
            <w:pPr>
              <w:pStyle w:val="P68B1DB1-TableParagraph73"/>
              <w:spacing w:before="108"/>
              <w:ind w:left="85"/>
              <w:jc w:val="both"/>
              <w:rPr>
                <w:bCs/>
              </w:rPr>
            </w:pPr>
            <w:r>
              <w:t xml:space="preserve">Valuta  </w:t>
            </w:r>
          </w:p>
          <w:p w14:paraId="7FE1D08D" w14:textId="3FCE0053" w:rsidR="00960E01" w:rsidRDefault="00821CB5">
            <w:pPr>
              <w:pStyle w:val="P68B1DB1-TableParagraph40"/>
              <w:spacing w:before="108"/>
              <w:ind w:left="85"/>
              <w:jc w:val="both"/>
            </w:pPr>
            <w:r>
              <w:t>Indlånsvalutaen i overensstemmelse med dets ISO 4217-kode på 3 bogstaver. For indskud indberettet på aggregeret niveau anvendes værdien "XXX".</w:t>
            </w:r>
          </w:p>
        </w:tc>
      </w:tr>
      <w:tr w:rsidR="00960E01"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960E01" w:rsidRDefault="00821CB5">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960E01" w:rsidRDefault="00821CB5">
            <w:pPr>
              <w:pStyle w:val="P68B1DB1-TableParagraph73"/>
              <w:spacing w:before="108"/>
              <w:ind w:left="85"/>
              <w:jc w:val="both"/>
              <w:rPr>
                <w:bCs/>
              </w:rPr>
            </w:pPr>
            <w:r>
              <w:t xml:space="preserve">Udestående hovedstol  </w:t>
            </w:r>
          </w:p>
          <w:p w14:paraId="7FE1D091" w14:textId="6232EFBD" w:rsidR="00960E01" w:rsidRDefault="00821CB5">
            <w:pPr>
              <w:pStyle w:val="P68B1DB1-TableParagraph40"/>
              <w:spacing w:before="108"/>
              <w:ind w:left="85"/>
              <w:jc w:val="both"/>
            </w:pPr>
            <w:r>
              <w:t>Indskuddets udestående hovedstol.</w:t>
            </w:r>
          </w:p>
        </w:tc>
      </w:tr>
      <w:tr w:rsidR="00960E01"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960E01" w:rsidRDefault="00821CB5">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960E01" w:rsidRDefault="00821CB5">
            <w:pPr>
              <w:pStyle w:val="P68B1DB1-TableParagraph73"/>
              <w:spacing w:before="108"/>
              <w:ind w:left="85"/>
              <w:jc w:val="both"/>
              <w:rPr>
                <w:bCs/>
              </w:rPr>
            </w:pPr>
            <w:r>
              <w:t xml:space="preserve">Påløbne renter </w:t>
            </w:r>
          </w:p>
          <w:p w14:paraId="7FE1D095" w14:textId="1CBCCFC7" w:rsidR="00960E01" w:rsidRDefault="00821CB5">
            <w:pPr>
              <w:pStyle w:val="P68B1DB1-TableParagraph40"/>
              <w:spacing w:before="108"/>
              <w:ind w:left="85"/>
              <w:jc w:val="both"/>
            </w:pPr>
            <w:r>
              <w:t>De udestående påløbne renter på indlånet.</w:t>
            </w:r>
          </w:p>
        </w:tc>
      </w:tr>
      <w:tr w:rsidR="00960E01"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960E01" w:rsidRDefault="00821CB5">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960E01" w:rsidRDefault="00821CB5">
            <w:pPr>
              <w:pStyle w:val="P68B1DB1-TableParagraph73"/>
              <w:spacing w:before="108"/>
              <w:ind w:left="85"/>
              <w:jc w:val="both"/>
              <w:rPr>
                <w:bCs/>
              </w:rPr>
            </w:pPr>
            <w:r>
              <w:t xml:space="preserve">Den aktuelle rentesats (%). </w:t>
            </w:r>
          </w:p>
          <w:p w14:paraId="7FE1D099" w14:textId="0E3CB279" w:rsidR="00960E01" w:rsidRDefault="00821CB5">
            <w:pPr>
              <w:pStyle w:val="P68B1DB1-TableParagraph40"/>
              <w:spacing w:before="108"/>
              <w:ind w:left="85"/>
              <w:jc w:val="both"/>
            </w:pPr>
            <w:r>
              <w:t xml:space="preserve">Det aktuelle renteniveau, der gælder for indskuddet. </w:t>
            </w:r>
          </w:p>
        </w:tc>
      </w:tr>
      <w:tr w:rsidR="00960E01"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960E01" w:rsidRDefault="00821CB5">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960E01" w:rsidRDefault="00821CB5">
            <w:pPr>
              <w:pStyle w:val="P68B1DB1-TableParagraph73"/>
              <w:spacing w:before="108"/>
              <w:ind w:left="85"/>
              <w:jc w:val="both"/>
              <w:rPr>
                <w:bCs/>
              </w:rPr>
            </w:pPr>
            <w:r>
              <w:t xml:space="preserve">Pantsætning, tilbageholdelsesret eller sikkerhedsstillelse </w:t>
            </w:r>
          </w:p>
          <w:p w14:paraId="7FE1D0A2" w14:textId="5FFC3F02" w:rsidR="00960E01" w:rsidRDefault="00821CB5">
            <w:pPr>
              <w:pStyle w:val="P68B1DB1-TableParagraph40"/>
              <w:spacing w:before="108"/>
              <w:ind w:left="85"/>
              <w:jc w:val="both"/>
            </w:pPr>
            <w:r>
              <w:t>Hvis et passiv er sikret ved pant, tilbageholdelsesret eller sikkerhedsstillelse, angives bruttoværdien af sidstnævnte. I modsat fald indberettes denne kategori for usikrede passiver som nul. Dette beløb vil bestemme den sikrede og i sidste ende den usikrede del af et sikret indskud. For sikkerhedspuljer, der sikrer flere poster, bestemmes den samlede dækningsgrad, og der anvendes pro rata på alle de poster i rækken, der er omfattet af denne pulje.</w:t>
            </w:r>
          </w:p>
        </w:tc>
      </w:tr>
      <w:tr w:rsidR="00960E01"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960E01" w:rsidRDefault="00821CB5">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960E01" w:rsidRDefault="00821CB5">
            <w:pPr>
              <w:pStyle w:val="P68B1DB1-TableParagraph73"/>
              <w:spacing w:before="108"/>
              <w:ind w:left="85"/>
              <w:jc w:val="both"/>
              <w:rPr>
                <w:bCs/>
              </w:rPr>
            </w:pPr>
            <w:r>
              <w:t xml:space="preserve">Beløb, der opfylder betingelserne for MREL </w:t>
            </w:r>
          </w:p>
          <w:p w14:paraId="7FE1D0A6" w14:textId="65380CFA" w:rsidR="00960E01" w:rsidRDefault="00821CB5">
            <w:pPr>
              <w:pStyle w:val="P68B1DB1-TableParagraph40"/>
              <w:spacing w:before="108"/>
              <w:ind w:left="85"/>
              <w:jc w:val="both"/>
            </w:pPr>
            <w:r>
              <w:t>Det beløb, der udgøres af kapitalgrundlaget og nedskrivningsrelevante passiver, og som medregnes i det krav, der er fastsat i overensstemmelse med artikel 45, stk. 1, i direktiv 2014/59/EU.</w:t>
            </w:r>
          </w:p>
        </w:tc>
      </w:tr>
      <w:tr w:rsidR="00960E01"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960E01" w:rsidRDefault="00821CB5">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960E01" w:rsidRDefault="00821CB5">
            <w:pPr>
              <w:pStyle w:val="P68B1DB1-TableParagraph73"/>
              <w:spacing w:before="108"/>
              <w:ind w:left="85"/>
              <w:jc w:val="both"/>
              <w:rPr>
                <w:bCs/>
              </w:rPr>
            </w:pPr>
            <w:r>
              <w:t xml:space="preserve">Udstedelsesdato for tidsindskud </w:t>
            </w:r>
          </w:p>
          <w:p w14:paraId="7FE1D0AA" w14:textId="77777777" w:rsidR="00960E01" w:rsidRDefault="00821CB5">
            <w:pPr>
              <w:pStyle w:val="P68B1DB1-TableParagraph40"/>
              <w:spacing w:before="108"/>
              <w:ind w:left="85"/>
              <w:jc w:val="both"/>
            </w:pPr>
            <w:r>
              <w:t>Dato for den oprindelige udstedelse af tidsindskud.</w:t>
            </w:r>
          </w:p>
        </w:tc>
      </w:tr>
      <w:tr w:rsidR="00960E01" w14:paraId="7FE1D0AF" w14:textId="77777777">
        <w:tc>
          <w:tcPr>
            <w:tcW w:w="1188" w:type="dxa"/>
            <w:vMerge w:val="restart"/>
            <w:tcBorders>
              <w:top w:val="single" w:sz="8" w:space="0" w:color="1A171C"/>
              <w:left w:val="nil"/>
              <w:right w:val="single" w:sz="8" w:space="0" w:color="1A171C"/>
            </w:tcBorders>
          </w:tcPr>
          <w:p w14:paraId="7FE1D0AC" w14:textId="77777777" w:rsidR="00960E01" w:rsidRDefault="00821CB5">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960E01" w:rsidRDefault="00821CB5">
            <w:pPr>
              <w:pStyle w:val="P68B1DB1-TableParagraph73"/>
              <w:spacing w:before="108"/>
              <w:ind w:left="85"/>
              <w:jc w:val="both"/>
              <w:rPr>
                <w:bCs/>
              </w:rPr>
            </w:pPr>
            <w:r>
              <w:t xml:space="preserve">Tidligste indløsningsdato  </w:t>
            </w:r>
          </w:p>
          <w:p w14:paraId="7FE1D0AE" w14:textId="5DABFCEF" w:rsidR="00960E01" w:rsidRDefault="00821CB5">
            <w:pPr>
              <w:pStyle w:val="P68B1DB1-TableParagraph40"/>
              <w:spacing w:before="108"/>
              <w:ind w:left="85"/>
              <w:jc w:val="both"/>
            </w:pPr>
            <w:r>
              <w:t>Hvis der findes en mulighed for, at kreditors indehavere kan anmode om førtidig tilbagebetaling af forpligtelsen, eller betingelserne for førtidig tilbagebetaling er kontraktligt fastsat, angives den tidligste indtrædelsesdato, ellers datoen for indskuddets lovfæstede endelige udløb. Hvis den førtidige tilbagebetaling kun vedrører en del af forpligtelsen (f.eks. førtidig tilbagebetaling af 50 % af det nominelle beløb), opdeles forpligtelsen for at tage hensyn til denne bestemmelse om delvis førtidig indfrielse.</w:t>
            </w:r>
          </w:p>
        </w:tc>
      </w:tr>
      <w:tr w:rsidR="00960E01" w14:paraId="7FE1D0B2" w14:textId="77777777">
        <w:tc>
          <w:tcPr>
            <w:tcW w:w="1188" w:type="dxa"/>
            <w:vMerge/>
            <w:tcBorders>
              <w:bottom w:val="single" w:sz="8" w:space="0" w:color="1A171C"/>
              <w:right w:val="single" w:sz="8" w:space="0" w:color="1A171C"/>
            </w:tcBorders>
            <w:vAlign w:val="center"/>
          </w:tcPr>
          <w:p w14:paraId="7FE1D0B0" w14:textId="77777777" w:rsidR="00960E01" w:rsidRDefault="00960E01">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960E01" w:rsidRDefault="00821CB5">
            <w:pPr>
              <w:pStyle w:val="P68B1DB1-TableParagraph40"/>
              <w:spacing w:before="108"/>
              <w:ind w:left="85"/>
              <w:jc w:val="both"/>
            </w:pPr>
            <w:r>
              <w:t xml:space="preserve">For indskud indberettet på aggregeret niveau indberettes den tidligste indløsningsdato som "2199-12-31". </w:t>
            </w:r>
          </w:p>
        </w:tc>
      </w:tr>
      <w:tr w:rsidR="00960E01" w14:paraId="7FE1D0B6" w14:textId="77777777">
        <w:tc>
          <w:tcPr>
            <w:tcW w:w="1188" w:type="dxa"/>
            <w:vMerge w:val="restart"/>
            <w:tcBorders>
              <w:top w:val="single" w:sz="8" w:space="0" w:color="1A171C"/>
              <w:left w:val="nil"/>
              <w:right w:val="single" w:sz="8" w:space="0" w:color="1A171C"/>
            </w:tcBorders>
          </w:tcPr>
          <w:p w14:paraId="7FE1D0B3" w14:textId="413885FF" w:rsidR="00960E01" w:rsidRDefault="00960E01">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960E01" w:rsidRDefault="00960E01">
            <w:pPr>
              <w:pStyle w:val="TableParagraph"/>
              <w:spacing w:before="108"/>
              <w:ind w:left="85"/>
              <w:jc w:val="both"/>
              <w:rPr>
                <w:rFonts w:ascii="Times New Roman" w:eastAsia="Times New Roman" w:hAnsi="Times New Roman" w:cs="Times New Roman"/>
                <w:sz w:val="20"/>
                <w:szCs w:val="20"/>
              </w:rPr>
            </w:pPr>
          </w:p>
        </w:tc>
      </w:tr>
      <w:tr w:rsidR="00960E01" w14:paraId="7FE1D0B9" w14:textId="77777777">
        <w:tc>
          <w:tcPr>
            <w:tcW w:w="1188" w:type="dxa"/>
            <w:vMerge/>
            <w:tcBorders>
              <w:bottom w:val="single" w:sz="8" w:space="0" w:color="1A171C"/>
              <w:right w:val="single" w:sz="8" w:space="0" w:color="1A171C"/>
            </w:tcBorders>
            <w:vAlign w:val="center"/>
          </w:tcPr>
          <w:p w14:paraId="7FE1D0B7" w14:textId="77777777" w:rsidR="00960E01" w:rsidRDefault="00960E01">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960E01" w:rsidRDefault="00960E01">
            <w:pPr>
              <w:rPr>
                <w:rFonts w:ascii="Times New Roman" w:hAnsi="Times New Roman" w:cs="Times New Roman"/>
              </w:rPr>
            </w:pPr>
          </w:p>
        </w:tc>
      </w:tr>
    </w:tbl>
    <w:p w14:paraId="7FE1D0BA" w14:textId="77777777" w:rsidR="00960E01" w:rsidRDefault="00960E01">
      <w:pPr>
        <w:pStyle w:val="body"/>
        <w:rPr>
          <w:rFonts w:ascii="Times New Roman" w:hAnsi="Times New Roman" w:cs="Times New Roman"/>
          <w:color w:val="000000" w:themeColor="text1"/>
          <w:sz w:val="20"/>
          <w:szCs w:val="20"/>
        </w:rPr>
      </w:pPr>
    </w:p>
    <w:p w14:paraId="7FE1D0BB" w14:textId="77777777" w:rsidR="00960E01" w:rsidRDefault="00960E01">
      <w:pPr>
        <w:rPr>
          <w:rFonts w:ascii="Times New Roman" w:hAnsi="Times New Roman" w:cs="Times New Roman"/>
        </w:rPr>
      </w:pPr>
    </w:p>
    <w:p w14:paraId="7FE1D0BC" w14:textId="77777777" w:rsidR="00960E01" w:rsidRDefault="00960E01">
      <w:pPr>
        <w:pStyle w:val="Instructionsberschrift2"/>
        <w:ind w:left="357"/>
        <w:rPr>
          <w:rFonts w:ascii="Times New Roman" w:eastAsia="Calibri" w:hAnsi="Times New Roman" w:cs="Times New Roman"/>
          <w:szCs w:val="20"/>
        </w:rPr>
      </w:pPr>
    </w:p>
    <w:p w14:paraId="7FE1D0BD" w14:textId="2FE97D37" w:rsidR="00960E01" w:rsidRDefault="00821CB5">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587"/>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Andre finansielle forpligtelser (ikke medtaget under andre faner, undtagen koncerninterne) </w:t>
      </w:r>
      <w:r>
        <w:rPr>
          <w:rFonts w:ascii="Times New Roman" w:eastAsia="Calibri" w:hAnsi="Times New Roman" w:cs="Times New Roman"/>
          <w:szCs w:val="20"/>
        </w:rPr>
        <w:t>(LIAB-G-4)</w:t>
      </w:r>
      <w:bookmarkEnd w:id="246"/>
    </w:p>
    <w:p w14:paraId="7FE1D0BE" w14:textId="56404057" w:rsidR="00960E01" w:rsidRDefault="00960E01">
      <w:pPr>
        <w:pStyle w:val="Instructionsberschrift2"/>
        <w:ind w:left="357"/>
        <w:rPr>
          <w:rFonts w:ascii="Times New Roman" w:eastAsiaTheme="minorEastAsia" w:hAnsi="Times New Roman" w:cs="Times New Roman"/>
          <w:color w:val="000000" w:themeColor="text1"/>
        </w:rPr>
      </w:pPr>
    </w:p>
    <w:p w14:paraId="7FE1D0BF" w14:textId="77777777" w:rsidR="00960E01" w:rsidRDefault="00821CB5">
      <w:pPr>
        <w:pStyle w:val="P68B1DB1-Numberedtitlelevel372"/>
      </w:pPr>
      <w:r>
        <w:t>Generelle bemærkninger</w:t>
      </w:r>
    </w:p>
    <w:p w14:paraId="7FE1D0C0" w14:textId="28B97243" w:rsidR="00960E01" w:rsidRDefault="00821CB5">
      <w:pPr>
        <w:pStyle w:val="P68B1DB1-InstructionsText286"/>
        <w:numPr>
          <w:ilvl w:val="2"/>
          <w:numId w:val="209"/>
        </w:numPr>
        <w:spacing w:before="0"/>
        <w:ind w:left="1276"/>
      </w:pPr>
      <w:r>
        <w:t>Denne tabel omfatter alle de forpligtelser, der ikke er indberettet i nogen af de andre detaljerede oplysningskrav (dvs. Z11.00, Z12.00, Z13.00, Z15.00, Z16.00 og Z17.00), såsom lån, operationelle forpligtelser, forpligtelser over for clearingcentraler osv.</w:t>
      </w:r>
    </w:p>
    <w:p w14:paraId="7FE1D0C2" w14:textId="3CB02A11" w:rsidR="00960E01" w:rsidRDefault="00821CB5">
      <w:pPr>
        <w:pStyle w:val="P68B1DB1-InstructionsText286"/>
        <w:numPr>
          <w:ilvl w:val="2"/>
          <w:numId w:val="209"/>
        </w:numPr>
        <w:spacing w:before="0"/>
        <w:ind w:left="1276"/>
      </w:pPr>
      <w:r>
        <w:t>Felter, der ikke er relevante for en given forpligtelse (f.eks. påløbne renter, aktuel rente, udstedelsesdato osv.), kan stå tomt.</w:t>
      </w:r>
    </w:p>
    <w:p w14:paraId="7FE1D0C3" w14:textId="7C8B3D6D" w:rsidR="00960E01" w:rsidRDefault="00821CB5">
      <w:pPr>
        <w:pStyle w:val="P68B1DB1-InstructionsText286"/>
        <w:numPr>
          <w:ilvl w:val="2"/>
          <w:numId w:val="209"/>
        </w:numPr>
        <w:spacing w:before="0"/>
        <w:ind w:left="1276"/>
      </w:pPr>
      <w:r>
        <w:t>Med henblik på denne tabel indberettes passiver i rækker på det detaljeringsniveau, der er defineret ved de ønskede felter (i princippet hver transaktion, der indberettes som en individuel række). Gruppemedarbejderes forpligtelser efter type og prioritetsrækkefølge ved insolvens.</w:t>
      </w:r>
    </w:p>
    <w:p w14:paraId="7FE1D0C5" w14:textId="77777777" w:rsidR="00960E01" w:rsidRDefault="00821CB5">
      <w:pPr>
        <w:pStyle w:val="P68B1DB1-InstructionsText287"/>
        <w:numPr>
          <w:ilvl w:val="0"/>
          <w:numId w:val="0"/>
        </w:numPr>
        <w:spacing w:before="0"/>
      </w:pPr>
      <w:r>
        <w:t>Instrukser vedrørende specifikke positioner</w:t>
      </w:r>
    </w:p>
    <w:tbl>
      <w:tblPr>
        <w:tblW w:w="9015" w:type="dxa"/>
        <w:tblInd w:w="135" w:type="dxa"/>
        <w:tblLayout w:type="fixed"/>
        <w:tblLook w:val="04A0" w:firstRow="1" w:lastRow="0" w:firstColumn="1" w:lastColumn="0" w:noHBand="0" w:noVBand="1"/>
      </w:tblPr>
      <w:tblGrid>
        <w:gridCol w:w="1183"/>
        <w:gridCol w:w="7832"/>
      </w:tblGrid>
      <w:tr w:rsidR="00960E01"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960E01" w:rsidRDefault="00821CB5">
            <w:pPr>
              <w:pStyle w:val="P68B1DB1-TableParagraph17"/>
              <w:spacing w:before="108"/>
              <w:ind w:left="85"/>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960E01" w:rsidRDefault="00821CB5">
            <w:pPr>
              <w:pStyle w:val="P68B1DB1-TableParagraph17"/>
              <w:spacing w:before="108"/>
              <w:ind w:left="85"/>
            </w:pPr>
            <w:r>
              <w:t xml:space="preserve">Instrukser </w:t>
            </w:r>
          </w:p>
        </w:tc>
      </w:tr>
      <w:tr w:rsidR="00960E01"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960E01" w:rsidRDefault="00821CB5">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960E01" w:rsidRDefault="00821CB5">
            <w:pPr>
              <w:pStyle w:val="P68B1DB1-TableParagraph73"/>
              <w:spacing w:before="108"/>
              <w:ind w:left="85"/>
              <w:jc w:val="both"/>
              <w:rPr>
                <w:bCs/>
              </w:rPr>
            </w:pPr>
            <w:r>
              <w:t xml:space="preserve">NR. </w:t>
            </w:r>
          </w:p>
          <w:p w14:paraId="7FE1D0CB" w14:textId="1F8D9197" w:rsidR="00960E01" w:rsidRDefault="00821CB5">
            <w:pPr>
              <w:pStyle w:val="P68B1DB1-TableParagraph40"/>
              <w:spacing w:before="108"/>
              <w:ind w:left="85"/>
              <w:jc w:val="both"/>
            </w:pPr>
            <w:r>
              <w:t>Unikt nummer/primær nøgle til identifikation af rækkerne.</w:t>
            </w:r>
          </w:p>
        </w:tc>
      </w:tr>
      <w:tr w:rsidR="00960E01"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960E01" w:rsidRDefault="00821CB5">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960E01" w:rsidRDefault="00821CB5">
            <w:pPr>
              <w:pStyle w:val="P68B1DB1-TableParagraph73"/>
              <w:spacing w:before="108"/>
              <w:ind w:left="85"/>
              <w:jc w:val="both"/>
              <w:rPr>
                <w:bCs/>
              </w:rPr>
            </w:pPr>
            <w:r>
              <w:t xml:space="preserve">Række </w:t>
            </w:r>
          </w:p>
          <w:p w14:paraId="7FE1D0CF" w14:textId="3C03C281" w:rsidR="00960E01" w:rsidRDefault="00821CB5">
            <w:pPr>
              <w:pStyle w:val="P68B1DB1-TableParagraph40"/>
              <w:spacing w:before="108"/>
              <w:ind w:left="85"/>
              <w:jc w:val="both"/>
            </w:pPr>
            <w:r>
              <w:t>For hver indberettet række skal der foretages en afstemning med passivkategorierne i passivstrukturen i Z02.00 på forfaldsniveau fra en foruddefineret liste over værdier.</w:t>
            </w:r>
          </w:p>
        </w:tc>
      </w:tr>
      <w:tr w:rsidR="00960E01"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960E01" w:rsidRDefault="00821CB5">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960E01" w:rsidRDefault="00821CB5">
            <w:pPr>
              <w:pStyle w:val="P68B1DB1-TableParagraph73"/>
              <w:spacing w:before="108"/>
              <w:ind w:left="85"/>
              <w:jc w:val="both"/>
              <w:rPr>
                <w:bCs/>
              </w:rPr>
            </w:pPr>
            <w:r>
              <w:t xml:space="preserve">Kolonne </w:t>
            </w:r>
          </w:p>
          <w:p w14:paraId="7FE1D0D3" w14:textId="0F37C958" w:rsidR="00960E01" w:rsidRDefault="00821CB5">
            <w:pPr>
              <w:pStyle w:val="P68B1DB1-TableParagraph40"/>
              <w:spacing w:before="108"/>
              <w:ind w:left="85"/>
              <w:jc w:val="both"/>
            </w:pPr>
            <w:r>
              <w:t>For hver indberettet række skal der gives en afstemning med den modpartsklasse i Z02.00, som forpligtelsen skyldes, fra en foruddefineret liste over værdier.</w:t>
            </w:r>
          </w:p>
        </w:tc>
      </w:tr>
      <w:tr w:rsidR="00960E01"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960E01" w:rsidRDefault="00821CB5">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960E01" w:rsidRDefault="00821CB5">
            <w:pPr>
              <w:pStyle w:val="P68B1DB1-TableParagraph73"/>
              <w:spacing w:before="108"/>
              <w:ind w:left="85"/>
              <w:jc w:val="both"/>
              <w:rPr>
                <w:bCs/>
              </w:rPr>
            </w:pPr>
            <w:r>
              <w:t xml:space="preserve">Prioritetsrækkefølge ved insolvens  </w:t>
            </w:r>
          </w:p>
          <w:p w14:paraId="7FE1D0D7" w14:textId="3C00E6EA" w:rsidR="00960E01" w:rsidRDefault="00821CB5">
            <w:pPr>
              <w:pStyle w:val="P68B1DB1-TableParagraph40"/>
              <w:spacing w:before="108"/>
              <w:ind w:left="85"/>
              <w:jc w:val="both"/>
            </w:pPr>
            <w:r>
              <w:t>Placeringen i prioritetsrækkefølgen ved insolvens skal svare til én af de placeringer, der indgår i de prioritetsrækkefølger ved insolvens, som offentliggøres af afviklingsmyndigheden i den pågældende jurisdiktion.</w:t>
            </w:r>
          </w:p>
        </w:tc>
      </w:tr>
      <w:tr w:rsidR="00960E01"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960E01" w:rsidRDefault="00821CB5">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960E01" w:rsidRDefault="00821CB5">
            <w:pPr>
              <w:pStyle w:val="P68B1DB1-TableParagraph73"/>
              <w:spacing w:before="108"/>
              <w:ind w:left="85"/>
              <w:jc w:val="both"/>
              <w:rPr>
                <w:bCs/>
              </w:rPr>
            </w:pPr>
            <w:r>
              <w:t xml:space="preserve">Kontrakters ID-kode </w:t>
            </w:r>
          </w:p>
          <w:p w14:paraId="7FE1D0DB" w14:textId="09A77FF8" w:rsidR="00960E01" w:rsidRDefault="00821CB5">
            <w:pPr>
              <w:pStyle w:val="P68B1DB1-TableParagraph40"/>
              <w:spacing w:before="108"/>
              <w:ind w:left="85"/>
              <w:jc w:val="both"/>
            </w:pPr>
            <w:r>
              <w:t>ISIN-koden eller, hvis ISIN-koden ikke er tilgængelig, en anden kontraktidentifikator for instrumentet skal indberettes.</w:t>
            </w:r>
          </w:p>
        </w:tc>
      </w:tr>
      <w:tr w:rsidR="00960E01"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960E01" w:rsidRDefault="00821CB5">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960E01" w:rsidRDefault="00821CB5">
            <w:pPr>
              <w:pStyle w:val="P68B1DB1-TableParagraph73"/>
              <w:spacing w:before="108"/>
              <w:ind w:left="85"/>
              <w:jc w:val="both"/>
              <w:rPr>
                <w:bCs/>
              </w:rPr>
            </w:pPr>
            <w:r>
              <w:t xml:space="preserve">Modpartens navn </w:t>
            </w:r>
          </w:p>
          <w:p w14:paraId="7FE1D0DF" w14:textId="5D08E31A" w:rsidR="00960E01" w:rsidRDefault="00821CB5">
            <w:pPr>
              <w:pStyle w:val="P68B1DB1-TableParagraph40"/>
              <w:spacing w:before="108"/>
              <w:ind w:left="85"/>
              <w:jc w:val="both"/>
            </w:pPr>
            <w:r>
              <w:t>Enhedens navn på passivets modpart.</w:t>
            </w:r>
          </w:p>
        </w:tc>
      </w:tr>
      <w:tr w:rsidR="00960E01"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960E01" w:rsidRDefault="00821CB5">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960E01" w:rsidRDefault="00821CB5">
            <w:pPr>
              <w:pStyle w:val="P68B1DB1-TableParagraph73"/>
              <w:spacing w:before="108"/>
              <w:ind w:left="85"/>
              <w:jc w:val="both"/>
            </w:pPr>
            <w:r>
              <w:t>Modpartsidentifikator</w:t>
            </w:r>
          </w:p>
          <w:p w14:paraId="7FE1D0E3" w14:textId="4E34C2DB" w:rsidR="00960E01" w:rsidRDefault="00821CB5">
            <w:pPr>
              <w:pStyle w:val="P68B1DB1-TableParagraph40"/>
              <w:spacing w:before="108"/>
              <w:ind w:left="85"/>
              <w:jc w:val="both"/>
            </w:pPr>
            <w:r>
              <w:t>Indberet kreditors LEI-kode. Hvis der ikke findes en LEI-kode, anvendes ECBs identifikator for monetære finansielle institutioner (MFI ID) i RIAD i forbindelse med bankernes indberetning. Udelukkende i mangel af begge disse identifikatorer indberettes en intern identifikator.</w:t>
            </w:r>
          </w:p>
          <w:p w14:paraId="7FE1D0E4" w14:textId="1D573481" w:rsidR="00960E01" w:rsidRDefault="00960E01">
            <w:pPr>
              <w:pStyle w:val="TableParagraph"/>
              <w:spacing w:before="108"/>
              <w:ind w:left="85"/>
              <w:jc w:val="both"/>
              <w:rPr>
                <w:rFonts w:ascii="Times New Roman" w:eastAsia="Times New Roman" w:hAnsi="Times New Roman" w:cs="Times New Roman"/>
                <w:sz w:val="20"/>
                <w:szCs w:val="20"/>
              </w:rPr>
            </w:pPr>
          </w:p>
        </w:tc>
      </w:tr>
      <w:tr w:rsidR="00960E01"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960E01" w:rsidRDefault="00821CB5">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960E01" w:rsidRDefault="00821CB5">
            <w:pPr>
              <w:pStyle w:val="P68B1DB1-TableParagraph73"/>
              <w:spacing w:before="108"/>
              <w:ind w:left="85"/>
              <w:jc w:val="both"/>
              <w:rPr>
                <w:bCs/>
              </w:rPr>
            </w:pPr>
            <w:r>
              <w:t xml:space="preserve">Identifikatortype </w:t>
            </w:r>
          </w:p>
          <w:p w14:paraId="7FE1D0E8"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960E01" w:rsidRDefault="00821CB5">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960E01" w:rsidRDefault="00821CB5">
            <w:pPr>
              <w:pStyle w:val="P68B1DB1-TableParagraph73"/>
              <w:spacing w:before="108"/>
              <w:ind w:left="85"/>
              <w:jc w:val="both"/>
              <w:rPr>
                <w:bCs/>
              </w:rPr>
            </w:pPr>
            <w:r>
              <w:t xml:space="preserve">Gældende lovgivning  </w:t>
            </w:r>
          </w:p>
          <w:p w14:paraId="7FE1D0EC" w14:textId="237CB9E1" w:rsidR="00960E01" w:rsidRDefault="00821CB5">
            <w:pPr>
              <w:pStyle w:val="P68B1DB1-TableParagraph40"/>
              <w:spacing w:before="108"/>
              <w:ind w:left="85"/>
              <w:jc w:val="both"/>
            </w:pPr>
            <w:r>
              <w:t xml:space="preserve">ISO 3166-1 alpha-2-koden for det land, hvis lovgivning regulerer instrumentet (anvend ISO 3166-2-koden, når loven i en administrativ underinddeling er relevant, f.eks. "US-NY"). Hvis aftalen er underlagt lovgivningen i mere end ét land, indberettes det land, hvis lovgivning er mest relevant for anerkendelse af nedskrivnings- og konverteringsbeføjelser.  </w:t>
            </w:r>
          </w:p>
        </w:tc>
      </w:tr>
      <w:tr w:rsidR="00960E01"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960E01" w:rsidRDefault="00821CB5">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960E01" w:rsidRDefault="00821CB5">
            <w:pPr>
              <w:pStyle w:val="P68B1DB1-TableParagraph73"/>
              <w:spacing w:before="108"/>
              <w:ind w:left="85"/>
              <w:jc w:val="both"/>
              <w:rPr>
                <w:bCs/>
              </w:rPr>
            </w:pPr>
            <w:r>
              <w:t xml:space="preserve">Typen af finansielle forpligtelser </w:t>
            </w:r>
          </w:p>
          <w:p w14:paraId="7FE1D0F0" w14:textId="3ACB2D3D" w:rsidR="00960E01" w:rsidRDefault="00821CB5">
            <w:pPr>
              <w:pStyle w:val="P68B1DB1-TableParagraph40"/>
              <w:spacing w:before="108"/>
              <w:ind w:left="85"/>
              <w:jc w:val="both"/>
            </w:pPr>
            <w:r>
              <w:t>Vælges blandt følgende muligheder: "Lån til låntager", "Registreret obligation", "veksler", "Bidrag på det passive partnerskab", "Andre finansielle forpligtelser".</w:t>
            </w:r>
          </w:p>
        </w:tc>
      </w:tr>
      <w:tr w:rsidR="00960E01"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960E01" w:rsidRDefault="00821CB5">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960E01" w:rsidRDefault="00821CB5">
            <w:pPr>
              <w:pStyle w:val="P68B1DB1-TableParagraph73"/>
              <w:spacing w:before="108"/>
              <w:ind w:left="85"/>
              <w:jc w:val="both"/>
            </w:pPr>
            <w:r>
              <w:t xml:space="preserve">Hvis der er tale om et tredjeland, kontraktmæssig anerkendelse </w:t>
            </w:r>
          </w:p>
          <w:p w14:paraId="7FE1D0F6" w14:textId="77777777" w:rsidR="00960E01" w:rsidRDefault="00821CB5">
            <w:pPr>
              <w:pStyle w:val="P68B1DB1-TableParagraph40"/>
              <w:spacing w:before="108"/>
              <w:ind w:left="85"/>
              <w:jc w:val="both"/>
            </w:pPr>
            <w:r>
              <w:t xml:space="preserve">Identifikation af kontraktlige bestemmelser om anerkendelse af bail-in-beføjelser i overensstemmelse med artikel 55 i BRRD, enten </w:t>
            </w:r>
          </w:p>
          <w:p w14:paraId="7FE1D0F7" w14:textId="77777777" w:rsidR="00960E01" w:rsidRDefault="00821CB5">
            <w:pPr>
              <w:pStyle w:val="P68B1DB1-TableParagraph40"/>
              <w:spacing w:before="108"/>
              <w:ind w:left="85"/>
              <w:jc w:val="both"/>
            </w:pPr>
            <w:r>
              <w:t>Ja, støttet af juridisk udtalelse "= passivet omfatter en klausul om anerkendelse af bail-in i overensstemmelse med artikel 55 i BRRD, som understøttes af en juridisk udtalelse</w:t>
            </w:r>
          </w:p>
          <w:p w14:paraId="7FE1D0F8" w14:textId="77777777" w:rsidR="00960E01" w:rsidRDefault="00821CB5">
            <w:pPr>
              <w:pStyle w:val="P68B1DB1-TableParagraph40"/>
              <w:spacing w:before="108"/>
              <w:ind w:left="85"/>
              <w:jc w:val="both"/>
            </w:pPr>
            <w:r>
              <w:t>"Ja, ikke understøttet af juridisk udtalelse" = passivet omfatter en klausul om anerkendelse af bail-in i overensstemmelse med artikel 55 i direktivet om genopretning og afvikling af banker, som i øjeblikket ikke understøttes af en juridisk udtalelse</w:t>
            </w:r>
          </w:p>
          <w:p w14:paraId="7FE1D0F9" w14:textId="77777777" w:rsidR="00960E01" w:rsidRDefault="00821CB5">
            <w:pPr>
              <w:pStyle w:val="P68B1DB1-TableParagraph40"/>
              <w:spacing w:before="108"/>
              <w:ind w:left="85"/>
              <w:jc w:val="both"/>
            </w:pPr>
            <w:r>
              <w:t>"Nej" = passivet indeholder ikke en klausul om anerkendelse af bail-in</w:t>
            </w:r>
          </w:p>
          <w:p w14:paraId="7FE1D0FA" w14:textId="07E9B1A6" w:rsidR="00960E01" w:rsidRDefault="00821CB5">
            <w:pPr>
              <w:pStyle w:val="P68B1DB1-TableParagraph40"/>
              <w:spacing w:before="108"/>
              <w:ind w:left="85"/>
              <w:jc w:val="both"/>
            </w:pPr>
            <w:r>
              <w:t xml:space="preserve">"Ikke relevant"   </w:t>
            </w:r>
          </w:p>
          <w:p w14:paraId="7FE1D0FB" w14:textId="77777777" w:rsidR="00960E01" w:rsidRDefault="00821CB5">
            <w:pPr>
              <w:pStyle w:val="P68B1DB1-TableParagraph40"/>
              <w:spacing w:before="108"/>
              <w:ind w:left="85"/>
              <w:jc w:val="both"/>
            </w:pPr>
            <w:r>
              <w:t>fra en foruddefineret liste.</w:t>
            </w:r>
          </w:p>
        </w:tc>
      </w:tr>
      <w:tr w:rsidR="00960E01"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960E01" w:rsidRDefault="00821CB5">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960E01" w:rsidRDefault="00821CB5">
            <w:pPr>
              <w:pStyle w:val="P68B1DB1-TableParagraph73"/>
              <w:spacing w:before="108"/>
              <w:ind w:left="85"/>
              <w:jc w:val="both"/>
              <w:rPr>
                <w:bCs/>
              </w:rPr>
            </w:pPr>
            <w:r>
              <w:t xml:space="preserve">Udestående hovedstol  </w:t>
            </w:r>
          </w:p>
          <w:p w14:paraId="7FE1D0FF" w14:textId="66FDB1F5" w:rsidR="00960E01" w:rsidRDefault="00821CB5">
            <w:pPr>
              <w:pStyle w:val="P68B1DB1-TableParagraph40"/>
              <w:spacing w:before="108"/>
              <w:ind w:left="85"/>
              <w:jc w:val="both"/>
            </w:pPr>
            <w:r>
              <w:t>Forpligtelsens udestående hovedstol.</w:t>
            </w:r>
          </w:p>
        </w:tc>
      </w:tr>
      <w:tr w:rsidR="00960E01"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960E01" w:rsidRDefault="00821CB5">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960E01" w:rsidRDefault="00821CB5">
            <w:pPr>
              <w:pStyle w:val="P68B1DB1-TableParagraph73"/>
              <w:spacing w:before="108"/>
              <w:ind w:left="85"/>
              <w:jc w:val="both"/>
              <w:rPr>
                <w:bCs/>
              </w:rPr>
            </w:pPr>
            <w:r>
              <w:t xml:space="preserve">Påløbne renter </w:t>
            </w:r>
          </w:p>
          <w:p w14:paraId="7FE1D103" w14:textId="345D6EBF" w:rsidR="00960E01" w:rsidRDefault="00821CB5">
            <w:pPr>
              <w:pStyle w:val="P68B1DB1-TableParagraph40"/>
              <w:spacing w:before="108"/>
              <w:ind w:left="85"/>
              <w:jc w:val="both"/>
            </w:pPr>
            <w:r>
              <w:t>De udestående påløbne renter på forpligtelsen.</w:t>
            </w:r>
          </w:p>
        </w:tc>
      </w:tr>
      <w:tr w:rsidR="00960E01"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960E01" w:rsidRDefault="00821CB5">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960E01" w:rsidRDefault="00821CB5">
            <w:pPr>
              <w:pStyle w:val="P68B1DB1-TableParagraph73"/>
              <w:spacing w:before="108"/>
              <w:ind w:left="85"/>
              <w:jc w:val="both"/>
              <w:rPr>
                <w:bCs/>
              </w:rPr>
            </w:pPr>
            <w:r>
              <w:t xml:space="preserve">Den aktuelle rentesats (%). </w:t>
            </w:r>
          </w:p>
          <w:p w14:paraId="7FE1D107" w14:textId="574366AF" w:rsidR="00960E01" w:rsidRDefault="00821CB5">
            <w:pPr>
              <w:pStyle w:val="P68B1DB1-TableParagraph40"/>
              <w:spacing w:before="108"/>
              <w:ind w:left="85"/>
              <w:jc w:val="both"/>
            </w:pPr>
            <w:r>
              <w:t xml:space="preserve">Det aktuelle niveau for den rentesats, der finder anvendelse på forpligtelsen. </w:t>
            </w:r>
          </w:p>
        </w:tc>
      </w:tr>
      <w:tr w:rsidR="00960E01"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960E01" w:rsidRDefault="00821CB5">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960E01" w:rsidRDefault="00821CB5">
            <w:pPr>
              <w:pStyle w:val="P68B1DB1-TableParagraph73"/>
              <w:spacing w:before="108"/>
              <w:ind w:left="85"/>
              <w:jc w:val="both"/>
              <w:rPr>
                <w:bCs/>
              </w:rPr>
            </w:pPr>
            <w:r>
              <w:t xml:space="preserve">Valuta  </w:t>
            </w:r>
          </w:p>
          <w:p w14:paraId="7FE1D10B" w14:textId="4FC71DBE" w:rsidR="00960E01" w:rsidRDefault="00821CB5">
            <w:pPr>
              <w:pStyle w:val="P68B1DB1-TableParagraph40"/>
              <w:spacing w:before="108"/>
              <w:ind w:left="85"/>
              <w:jc w:val="both"/>
            </w:pPr>
            <w:r>
              <w:t>Passivets valuta i overensstemmelse med dens ISO 4217-kode på 3 bogstaver.</w:t>
            </w:r>
          </w:p>
        </w:tc>
      </w:tr>
      <w:tr w:rsidR="00960E01"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960E01" w:rsidRDefault="00821CB5">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960E01" w:rsidRDefault="00821CB5">
            <w:pPr>
              <w:pStyle w:val="P68B1DB1-TableParagraph73"/>
              <w:spacing w:before="108"/>
              <w:ind w:left="85"/>
              <w:jc w:val="both"/>
              <w:rPr>
                <w:bCs/>
              </w:rPr>
            </w:pPr>
            <w:r>
              <w:t xml:space="preserve">Udstedelsesdato </w:t>
            </w:r>
          </w:p>
          <w:p w14:paraId="7FE1D10F" w14:textId="77777777" w:rsidR="00960E01" w:rsidRDefault="00821CB5">
            <w:pPr>
              <w:pStyle w:val="P68B1DB1-TableParagraph40"/>
              <w:spacing w:before="108"/>
              <w:ind w:left="85"/>
              <w:jc w:val="both"/>
            </w:pPr>
            <w:r>
              <w:t>Dato for den oprindelige udstedelse af forpligtelsen.</w:t>
            </w:r>
          </w:p>
        </w:tc>
      </w:tr>
      <w:tr w:rsidR="00960E01"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960E01" w:rsidRDefault="00821CB5">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960E01" w:rsidRDefault="00821CB5">
            <w:pPr>
              <w:pStyle w:val="P68B1DB1-TableParagraph73"/>
              <w:spacing w:before="108"/>
              <w:ind w:left="85"/>
              <w:jc w:val="both"/>
              <w:rPr>
                <w:bCs/>
              </w:rPr>
            </w:pPr>
            <w:r>
              <w:t xml:space="preserve">Førstkommende udløbsdato  </w:t>
            </w:r>
          </w:p>
          <w:p w14:paraId="7FE1D113" w14:textId="6DCF0327" w:rsidR="00960E01" w:rsidRDefault="00821CB5">
            <w:pPr>
              <w:pStyle w:val="P68B1DB1-TableParagraph40"/>
              <w:spacing w:before="108"/>
              <w:ind w:left="85"/>
              <w:jc w:val="both"/>
            </w:pPr>
            <w:r>
              <w:t>Hvis der findes en mulighed for, at kreditor kan anmode om førtidig tilbagebetaling, eller betingelserne for førtidig tilbagebetaling af forpligtelsen er kontraktligt fastsat, angives den tidligste indtrædelsesdato. Hvis den førtidige tilbagebetaling kun vedrører en del af forpligtelsen (f.eks. førtidig tilbagebetaling af 50 % af det nominelle beløb), opdeles forpligtelsen for at tage hensyn til denne bestemmelse om delvis førtidig indfrielse.</w:t>
            </w:r>
          </w:p>
        </w:tc>
      </w:tr>
      <w:tr w:rsidR="00960E01"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960E01" w:rsidRDefault="00821CB5">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960E01" w:rsidRDefault="00821CB5">
            <w:pPr>
              <w:pStyle w:val="P68B1DB1-TableParagraph73"/>
              <w:spacing w:before="108"/>
              <w:ind w:left="85"/>
              <w:jc w:val="both"/>
              <w:rPr>
                <w:bCs/>
              </w:rPr>
            </w:pPr>
            <w:r>
              <w:t xml:space="preserve"> Officiel udløbsdato </w:t>
            </w:r>
          </w:p>
          <w:p w14:paraId="7FE1D117" w14:textId="39B8EDB9" w:rsidR="00960E01" w:rsidRDefault="00821CB5">
            <w:pPr>
              <w:pStyle w:val="P68B1DB1-TableParagraph40"/>
              <w:spacing w:before="108"/>
              <w:ind w:left="85"/>
              <w:jc w:val="both"/>
            </w:pPr>
            <w:r>
              <w:t>Instrumentets juridiske, endelige forfaldsdato. For uamortisable værdipapirer anvendes "2099-01-31".</w:t>
            </w:r>
          </w:p>
        </w:tc>
      </w:tr>
      <w:tr w:rsidR="00960E01"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960E01" w:rsidRDefault="00821CB5">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960E01" w:rsidRDefault="00821CB5">
            <w:pPr>
              <w:pStyle w:val="P68B1DB1-TableParagraph73"/>
              <w:spacing w:before="108"/>
              <w:ind w:left="85"/>
              <w:jc w:val="both"/>
              <w:rPr>
                <w:bCs/>
              </w:rPr>
            </w:pPr>
            <w:r>
              <w:t xml:space="preserve">Pantsætning, tilbageholdelsesret eller sikkerhedsstillelse </w:t>
            </w:r>
          </w:p>
          <w:p w14:paraId="7FE1D120" w14:textId="7CF01C3B" w:rsidR="00960E01" w:rsidRDefault="00821CB5">
            <w:pPr>
              <w:pStyle w:val="P68B1DB1-TableParagraph40"/>
              <w:spacing w:before="108"/>
              <w:ind w:left="85"/>
              <w:jc w:val="both"/>
            </w:pPr>
            <w:r>
              <w:t>Hvis et passiv er sikret ved pant, tilbageholdelsesret eller sikkerhedsstillelse, angives bruttoværdien af sidstnævnte. I modsat fald indberettes denne kategori for usikrede passiver som nul. Dette beløb vil bestemme den sikrede og i sidste ende den usikrede del af et sikret passiv. For sikkerhedspuljer, der sikrer flere poster, bestemmes den samlede dækningsgrad, og der anvendes pro rata på alle de poster i rækken, der er omfattet af denne pulje.</w:t>
            </w:r>
          </w:p>
        </w:tc>
      </w:tr>
      <w:tr w:rsidR="00960E01"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960E01" w:rsidRDefault="00821CB5">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960E01" w:rsidRDefault="00821CB5">
            <w:pPr>
              <w:pStyle w:val="P68B1DB1-TableParagraph73"/>
              <w:spacing w:before="108"/>
              <w:ind w:left="85"/>
              <w:jc w:val="both"/>
              <w:rPr>
                <w:bCs/>
              </w:rPr>
            </w:pPr>
            <w:r>
              <w:t xml:space="preserve">Kautionist </w:t>
            </w:r>
          </w:p>
          <w:p w14:paraId="7FE1D124" w14:textId="216ADC15" w:rsidR="00960E01" w:rsidRDefault="00821CB5">
            <w:pPr>
              <w:pStyle w:val="P68B1DB1-TableParagraph40"/>
              <w:spacing w:before="108"/>
              <w:ind w:left="85"/>
              <w:jc w:val="both"/>
            </w:pPr>
            <w:r>
              <w:t>Hvis der er stillet garantier for instrumentet, angives en detaljeret identifikation af garanten (LEI-kode, ISO 3166-1 alpha-2-landekode for det offentlige osv.). Hvis der er flere garanter til stede, indberettes alle identifikatorer adskilt af et semikolon.</w:t>
            </w:r>
          </w:p>
        </w:tc>
      </w:tr>
      <w:tr w:rsidR="00960E01"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960E01" w:rsidRDefault="00821CB5">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960E01" w:rsidRDefault="00821CB5">
            <w:pPr>
              <w:pStyle w:val="P68B1DB1-TableParagraph73"/>
              <w:spacing w:before="108"/>
              <w:ind w:left="85"/>
              <w:jc w:val="both"/>
              <w:rPr>
                <w:bCs/>
              </w:rPr>
            </w:pPr>
            <w:r>
              <w:t xml:space="preserve">Beløb, der opfylder betingelserne for MREL </w:t>
            </w:r>
          </w:p>
          <w:p w14:paraId="7FE1D130" w14:textId="267C8F59" w:rsidR="00960E01" w:rsidRDefault="00821CB5">
            <w:pPr>
              <w:pStyle w:val="P68B1DB1-TableParagraph40"/>
              <w:spacing w:before="108"/>
              <w:ind w:left="85"/>
              <w:jc w:val="both"/>
            </w:pPr>
            <w:r>
              <w:t>Det beløb, der udgøres af kapitalgrundlaget og nedskrivningsrelevante passiver, og som medregnes i det krav, der er fastsat i overensstemmelse med artikel 45, stk. 1, i direktiv 2014/59/EU</w:t>
            </w:r>
          </w:p>
        </w:tc>
      </w:tr>
      <w:tr w:rsidR="00960E01"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960E01" w:rsidRDefault="00821CB5">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960E01" w:rsidRDefault="00821CB5">
            <w:pPr>
              <w:pStyle w:val="P68B1DB1-TableParagraph73"/>
              <w:spacing w:before="108"/>
              <w:ind w:left="85"/>
              <w:jc w:val="both"/>
              <w:rPr>
                <w:bCs/>
              </w:rPr>
            </w:pPr>
            <w:r>
              <w:t xml:space="preserve">Kvalificerer som kapitalgrundlag </w:t>
            </w:r>
          </w:p>
          <w:p w14:paraId="7FE1D134" w14:textId="3B38CBB9" w:rsidR="00960E01" w:rsidRDefault="00821CB5">
            <w:pPr>
              <w:pStyle w:val="P68B1DB1-TableParagraph40"/>
              <w:spacing w:before="108"/>
              <w:ind w:left="85"/>
              <w:jc w:val="both"/>
            </w:pPr>
            <w:r>
              <w:t>Angiv, om og på hvilket niveau instrumentet indgår i kapitalgrundlaget, sammen med oplysninger om udfasningsordningen og overgangsbestemmelser. Værdien kan være "Nej", "Delvis AT1, T1 og T2", "T2 under udfasning", "Grandfathering T2", "Fully Compliant T2", "Grandfathering AT1", "Fully Compliant AT1" eller "CET1" fra en foruddefineret liste.</w:t>
            </w:r>
          </w:p>
        </w:tc>
      </w:tr>
      <w:tr w:rsidR="00960E01"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960E01" w:rsidRDefault="00821CB5">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960E01" w:rsidRDefault="00821CB5">
            <w:pPr>
              <w:pStyle w:val="P68B1DB1-TableParagraph40"/>
              <w:spacing w:before="108"/>
              <w:ind w:left="85"/>
              <w:jc w:val="both"/>
              <w:rPr>
                <w:b/>
                <w:bCs/>
              </w:rPr>
            </w:pPr>
            <w:r>
              <w:t xml:space="preserve"> </w:t>
            </w:r>
            <w:r>
              <w:rPr>
                <w:b/>
              </w:rPr>
              <w:t>Beløb, der er klassificeret som kapitalgrundlag</w:t>
            </w:r>
          </w:p>
          <w:p w14:paraId="7FE1D138" w14:textId="48ED7147" w:rsidR="00960E01" w:rsidRDefault="00821CB5">
            <w:pPr>
              <w:pStyle w:val="P68B1DB1-TableParagraph40"/>
              <w:spacing w:before="108"/>
              <w:ind w:left="85"/>
              <w:jc w:val="both"/>
            </w:pPr>
            <w:r>
              <w:t>Værdien af instrumentet, der kvalificerer som kapitalgrundlag.</w:t>
            </w:r>
          </w:p>
        </w:tc>
      </w:tr>
    </w:tbl>
    <w:p w14:paraId="7FE1D13A" w14:textId="77777777" w:rsidR="00960E01" w:rsidRDefault="00960E01">
      <w:pPr>
        <w:pStyle w:val="Instructionsberschrift2"/>
        <w:ind w:left="357"/>
        <w:rPr>
          <w:rFonts w:ascii="Times New Roman" w:eastAsia="Calibri" w:hAnsi="Times New Roman" w:cs="Times New Roman"/>
          <w:szCs w:val="20"/>
        </w:rPr>
      </w:pPr>
      <w:bookmarkStart w:id="247" w:name="_Toc81454216"/>
    </w:p>
    <w:p w14:paraId="7FE1D13B" w14:textId="0DCB9703" w:rsidR="00960E01" w:rsidRDefault="00821CB5">
      <w:pPr>
        <w:pStyle w:val="Instructionsberschrift2"/>
        <w:numPr>
          <w:ilvl w:val="1"/>
          <w:numId w:val="49"/>
        </w:numPr>
        <w:spacing w:before="0"/>
        <w:ind w:left="357" w:hanging="357"/>
        <w:rPr>
          <w:rFonts w:ascii="Times New Roman" w:hAnsi="Times New Roman" w:cs="Times New Roman"/>
        </w:rPr>
      </w:pPr>
      <w:bookmarkStart w:id="248" w:name="_Toc208244588"/>
      <w:r>
        <w:rPr>
          <w:rFonts w:ascii="Times New Roman" w:eastAsiaTheme="minorEastAsia" w:hAnsi="Times New Roman" w:cs="Times New Roman"/>
        </w:rPr>
        <w:t xml:space="preserve">Z 15.00 — Derivater </w:t>
      </w:r>
      <w:r>
        <w:rPr>
          <w:rFonts w:ascii="Times New Roman" w:eastAsia="Calibri" w:hAnsi="Times New Roman" w:cs="Times New Roman"/>
          <w:szCs w:val="20"/>
        </w:rPr>
        <w:t>(LIAB-G-5)</w:t>
      </w:r>
      <w:bookmarkEnd w:id="248"/>
    </w:p>
    <w:bookmarkEnd w:id="247"/>
    <w:p w14:paraId="7FE1D13D" w14:textId="77777777" w:rsidR="00960E01" w:rsidRDefault="00821CB5">
      <w:pPr>
        <w:pStyle w:val="P68B1DB1-Numberedtitlelevel388"/>
      </w:pPr>
      <w:r>
        <w:t>Generelle bemærkninger</w:t>
      </w:r>
    </w:p>
    <w:p w14:paraId="7FE1D13E" w14:textId="2F22A34C" w:rsidR="00960E01" w:rsidRDefault="00821CB5">
      <w:pPr>
        <w:pStyle w:val="P68B1DB1-InstructionsText286"/>
        <w:numPr>
          <w:ilvl w:val="2"/>
          <w:numId w:val="209"/>
        </w:numPr>
        <w:spacing w:before="0"/>
        <w:ind w:left="1276"/>
        <w:rPr>
          <w:rFonts w:eastAsiaTheme="majorEastAsia"/>
        </w:rPr>
      </w:pPr>
      <w:r>
        <w:t xml:space="preserve">Med henblik på denne tabel indberettes passiver hidrørende fra derivater efter nettinggruppe, dvs. hver nettinggruppe, der indberettes som en individuel række. </w:t>
      </w:r>
    </w:p>
    <w:p w14:paraId="7FE1D140" w14:textId="6B5870BD" w:rsidR="00960E01" w:rsidRDefault="00821CB5">
      <w:pPr>
        <w:pStyle w:val="P68B1DB1-InstructionsText286"/>
        <w:numPr>
          <w:ilvl w:val="2"/>
          <w:numId w:val="209"/>
        </w:numPr>
        <w:spacing w:before="0"/>
        <w:ind w:left="1276"/>
      </w:pPr>
      <w:r>
        <w:t>Indberet kun de derivatnettinggrupper/enkelte kontrakter, der resulterer i en nettoopgørelse til markedsværdi (kolonne c0120).</w:t>
      </w:r>
    </w:p>
    <w:p w14:paraId="7FE1D142" w14:textId="77777777" w:rsidR="00960E01" w:rsidRDefault="00821CB5">
      <w:pPr>
        <w:pStyle w:val="P68B1DB1-Numberedtitlelevel388"/>
      </w:pPr>
      <w:r>
        <w:t>Instrukser vedrørende specifikke positioner</w:t>
      </w:r>
    </w:p>
    <w:tbl>
      <w:tblPr>
        <w:tblW w:w="9015" w:type="dxa"/>
        <w:tblInd w:w="135" w:type="dxa"/>
        <w:tblLayout w:type="fixed"/>
        <w:tblLook w:val="04A0" w:firstRow="1" w:lastRow="0" w:firstColumn="1" w:lastColumn="0" w:noHBand="0" w:noVBand="1"/>
      </w:tblPr>
      <w:tblGrid>
        <w:gridCol w:w="1183"/>
        <w:gridCol w:w="7832"/>
      </w:tblGrid>
      <w:tr w:rsidR="00960E01"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960E01" w:rsidRDefault="00821CB5">
            <w:pPr>
              <w:pStyle w:val="P68B1DB1-Normal31"/>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960E01" w:rsidRDefault="00821CB5">
            <w:pPr>
              <w:pStyle w:val="P68B1DB1-Normal31"/>
            </w:pPr>
            <w:r>
              <w:t xml:space="preserve">Instrukser </w:t>
            </w:r>
          </w:p>
        </w:tc>
      </w:tr>
      <w:tr w:rsidR="00960E01"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960E01" w:rsidRDefault="00821CB5">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960E01" w:rsidRDefault="00821CB5">
            <w:pPr>
              <w:pStyle w:val="P68B1DB1-TableParagraph73"/>
              <w:spacing w:before="108"/>
              <w:ind w:left="85"/>
              <w:jc w:val="both"/>
              <w:rPr>
                <w:bCs/>
              </w:rPr>
            </w:pPr>
            <w:r>
              <w:t xml:space="preserve">NR. </w:t>
            </w:r>
          </w:p>
          <w:p w14:paraId="7FE1D148" w14:textId="7090CAA7" w:rsidR="00960E01" w:rsidRDefault="00821CB5">
            <w:pPr>
              <w:pStyle w:val="P68B1DB1-TableParagraph40"/>
              <w:spacing w:before="108"/>
              <w:ind w:left="85"/>
              <w:jc w:val="both"/>
            </w:pPr>
            <w:r>
              <w:t>Unikt nummer/primær nøgle til identifikation af rækkerne.</w:t>
            </w:r>
          </w:p>
        </w:tc>
      </w:tr>
      <w:tr w:rsidR="00960E01"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960E01" w:rsidRDefault="00821CB5">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960E01" w:rsidRDefault="00821CB5">
            <w:pPr>
              <w:pStyle w:val="P68B1DB1-TableParagraph73"/>
              <w:spacing w:before="108"/>
              <w:ind w:left="85"/>
              <w:jc w:val="both"/>
              <w:rPr>
                <w:bCs/>
              </w:rPr>
            </w:pPr>
            <w:r>
              <w:t xml:space="preserve">Kolonne </w:t>
            </w:r>
          </w:p>
          <w:p w14:paraId="7FE1D14C" w14:textId="43946C69" w:rsidR="00960E01" w:rsidRDefault="00821CB5">
            <w:pPr>
              <w:pStyle w:val="P68B1DB1-TableParagraph40"/>
              <w:spacing w:before="108"/>
              <w:ind w:left="85"/>
              <w:jc w:val="both"/>
            </w:pPr>
            <w:r>
              <w:t>For hver nettinggruppe skal en afstemning med hvilke af modpartsklasserne passivstrukturen i Z 02.00, som der er indgået aftale om, gives fra en foruddefineret liste over værdier.</w:t>
            </w:r>
          </w:p>
        </w:tc>
      </w:tr>
      <w:tr w:rsidR="00960E01"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960E01" w:rsidRDefault="00821CB5">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960E01" w:rsidRDefault="00821CB5">
            <w:pPr>
              <w:pStyle w:val="P68B1DB1-TableParagraph73"/>
              <w:spacing w:before="108"/>
              <w:ind w:left="85"/>
              <w:jc w:val="both"/>
              <w:rPr>
                <w:bCs/>
              </w:rPr>
            </w:pPr>
            <w:r>
              <w:t xml:space="preserve">Prioritetsrækkefølge ved insolvens  </w:t>
            </w:r>
          </w:p>
          <w:p w14:paraId="7FE1D150" w14:textId="00926D41" w:rsidR="00960E01" w:rsidRDefault="00821CB5">
            <w:pPr>
              <w:pStyle w:val="P68B1DB1-TableParagraph40"/>
              <w:spacing w:before="108"/>
              <w:ind w:left="85"/>
              <w:jc w:val="both"/>
            </w:pPr>
            <w:r>
              <w:t>Placeringen i prioritetsrækkefølgen ved insolvens skal svare til én af de placeringer, der indgår i de prioritetsrækkefølger ved insolvens, som offentliggøres af afviklingsmyndigheden i den pågældende jurisdiktion.</w:t>
            </w:r>
          </w:p>
        </w:tc>
      </w:tr>
      <w:tr w:rsidR="00960E01"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960E01" w:rsidRDefault="00821CB5">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960E01" w:rsidRDefault="00821CB5">
            <w:pPr>
              <w:pStyle w:val="P68B1DB1-TableParagraph73"/>
              <w:spacing w:before="108"/>
              <w:ind w:left="85"/>
              <w:jc w:val="both"/>
              <w:rPr>
                <w:bCs/>
              </w:rPr>
            </w:pPr>
            <w:r>
              <w:t xml:space="preserve">Masteraftale-ID  </w:t>
            </w:r>
          </w:p>
          <w:p w14:paraId="7FE1D154" w14:textId="77777777" w:rsidR="00960E01" w:rsidRDefault="00821CB5">
            <w:pPr>
              <w:pStyle w:val="P68B1DB1-TableParagraph40"/>
              <w:spacing w:before="108"/>
              <w:ind w:left="85"/>
              <w:jc w:val="both"/>
            </w:pPr>
            <w:r>
              <w:t>Intern identifikator for masteraftalen eller den enkelte kontrakt.</w:t>
            </w:r>
          </w:p>
        </w:tc>
      </w:tr>
      <w:tr w:rsidR="00960E01"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960E01" w:rsidRDefault="00821CB5">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960E01" w:rsidRDefault="00821CB5">
            <w:pPr>
              <w:pStyle w:val="P68B1DB1-TableParagraph73"/>
              <w:spacing w:before="108"/>
              <w:ind w:left="85"/>
              <w:jc w:val="both"/>
              <w:rPr>
                <w:bCs/>
              </w:rPr>
            </w:pPr>
            <w:r>
              <w:t xml:space="preserve">Type af masteraftale </w:t>
            </w:r>
          </w:p>
          <w:p w14:paraId="7FE1D158" w14:textId="338F32CE" w:rsidR="00960E01" w:rsidRDefault="00821CB5">
            <w:pPr>
              <w:pStyle w:val="P68B1DB1-TableParagraph40"/>
              <w:spacing w:before="108"/>
              <w:ind w:left="85"/>
              <w:jc w:val="both"/>
            </w:pPr>
            <w:r>
              <w:t>Angiv masteraftalen, enten "Master Agreement 2002", "ISDA 1992 Master Agreement", "ISDA 1987 Master Agreement", "ISDA 1986 Master Agreement", "ISDA 1985 Master Agreement", "Anden masteraftale", "Enkeltkontrakt" fra en foruddefineret liste.</w:t>
            </w:r>
          </w:p>
        </w:tc>
      </w:tr>
      <w:tr w:rsidR="00960E01"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960E01" w:rsidRDefault="00821CB5">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960E01" w:rsidRDefault="00821CB5">
            <w:pPr>
              <w:pStyle w:val="P68B1DB1-TableParagraph73"/>
              <w:spacing w:before="108"/>
              <w:ind w:left="85"/>
              <w:jc w:val="both"/>
              <w:rPr>
                <w:bCs/>
              </w:rPr>
            </w:pPr>
            <w:r>
              <w:t xml:space="preserve">ISDA-protokol Tilsvarende enhed  </w:t>
            </w:r>
          </w:p>
          <w:p w14:paraId="7FE1D15C" w14:textId="34C9BF40" w:rsidR="00960E01" w:rsidRDefault="00821CB5">
            <w:pPr>
              <w:pStyle w:val="P68B1DB1-TableParagraph40"/>
              <w:spacing w:before="108"/>
              <w:ind w:left="85"/>
              <w:jc w:val="both"/>
            </w:pPr>
            <w:r>
              <w:lastRenderedPageBreak/>
              <w:t xml:space="preserve">Angiv, om enheden selv har undertegnet ISDA Universal Stay-protokollen, enten "ISDA Universal Protocol", "ISDA JMP Module", "BRRD II Omnibus jurisdidictional Module" eller "Nej" fra en foruddefineret liste. </w:t>
            </w:r>
          </w:p>
        </w:tc>
      </w:tr>
      <w:tr w:rsidR="00960E01"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960E01" w:rsidRDefault="00821CB5">
            <w:pPr>
              <w:pStyle w:val="P68B1DB1-Normal31"/>
            </w:pPr>
            <w:r>
              <w:lastRenderedPageBreak/>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960E01" w:rsidRDefault="00821CB5">
            <w:pPr>
              <w:pStyle w:val="P68B1DB1-TableParagraph73"/>
              <w:spacing w:before="108"/>
              <w:ind w:left="85"/>
              <w:jc w:val="both"/>
              <w:rPr>
                <w:bCs/>
              </w:rPr>
            </w:pPr>
            <w:r>
              <w:t xml:space="preserve">Anerkendelse af afviklingsperiode  </w:t>
            </w:r>
          </w:p>
          <w:p w14:paraId="7FE1D160" w14:textId="59E963FA" w:rsidR="00960E01" w:rsidRDefault="00821CB5">
            <w:pPr>
              <w:pStyle w:val="P68B1DB1-TableParagraph40"/>
              <w:spacing w:before="108"/>
              <w:ind w:left="85"/>
              <w:jc w:val="both"/>
            </w:pPr>
            <w:r>
              <w:t>Angiv, om modparten har tilsluttet sig enten "ISDA Universal Protocol", "ISDA JMP Module", "Anden aftale om anerkendelse af afviklingshenstand" eller "Ingen anerkendelse af afviklingsophold" fra en foruddefineret liste.</w:t>
            </w:r>
          </w:p>
        </w:tc>
      </w:tr>
      <w:tr w:rsidR="00960E01"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960E01" w:rsidRDefault="00821CB5">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960E01" w:rsidRDefault="00821CB5">
            <w:pPr>
              <w:pStyle w:val="P68B1DB1-TableParagraph73"/>
              <w:spacing w:before="108"/>
              <w:ind w:left="85"/>
              <w:jc w:val="both"/>
              <w:rPr>
                <w:bCs/>
              </w:rPr>
            </w:pPr>
            <w:r>
              <w:t xml:space="preserve">Navn på modpart </w:t>
            </w:r>
          </w:p>
          <w:p w14:paraId="7FE1D164" w14:textId="222EF1A6" w:rsidR="00960E01" w:rsidRDefault="00821CB5">
            <w:pPr>
              <w:pStyle w:val="P68B1DB1-TableParagraph40"/>
              <w:spacing w:before="108"/>
              <w:ind w:left="85"/>
              <w:jc w:val="both"/>
            </w:pPr>
            <w:bookmarkStart w:id="249" w:name="_Hlk189839311"/>
            <w:r>
              <w:t>Navnet på modtageren.</w:t>
            </w:r>
            <w:bookmarkEnd w:id="249"/>
            <w:r>
              <w:t xml:space="preserve"> I tilfælde af CCP-clearede derivater indberettes den relevante CCP som modpart.</w:t>
            </w:r>
          </w:p>
        </w:tc>
      </w:tr>
      <w:tr w:rsidR="00960E01"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960E01" w:rsidRDefault="00821CB5">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960E01" w:rsidRDefault="00821CB5">
            <w:pPr>
              <w:pStyle w:val="P68B1DB1-TableParagraph73"/>
              <w:spacing w:before="108"/>
              <w:ind w:left="85"/>
              <w:jc w:val="both"/>
              <w:rPr>
                <w:bCs/>
              </w:rPr>
            </w:pPr>
            <w:r>
              <w:t xml:space="preserve">Modpartsidentifikator </w:t>
            </w:r>
          </w:p>
          <w:p w14:paraId="7FE1D168" w14:textId="7D4036D9" w:rsidR="00960E01" w:rsidRDefault="00821CB5">
            <w:pPr>
              <w:pStyle w:val="P68B1DB1-TableParagraph40"/>
              <w:spacing w:before="108"/>
              <w:ind w:left="85"/>
              <w:jc w:val="both"/>
            </w:pPr>
            <w:r>
              <w:t xml:space="preserve">Indberet modpartens LEI-kode. Hvis der ikke findes en LEI-kode, anvendes ECBs identifikator for monetære finansielle institutioner (MFI ID) i RIAD i forbindelse med bankernes indberetning. Hvis begge disse identifikatorer ikke findes, indberettes en intern identifikator. </w:t>
            </w:r>
          </w:p>
        </w:tc>
      </w:tr>
      <w:tr w:rsidR="00960E01"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960E01" w:rsidRDefault="00821CB5">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960E01" w:rsidRDefault="00821CB5">
            <w:pPr>
              <w:pStyle w:val="P68B1DB1-TableParagraph73"/>
              <w:spacing w:before="108"/>
              <w:ind w:left="85"/>
              <w:jc w:val="both"/>
              <w:rPr>
                <w:bCs/>
              </w:rPr>
            </w:pPr>
            <w:r>
              <w:t xml:space="preserve">Identifikatortype </w:t>
            </w:r>
          </w:p>
          <w:p w14:paraId="7FE1D16C"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960E01" w:rsidRDefault="00821CB5">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960E01" w:rsidRDefault="00821CB5">
            <w:pPr>
              <w:pStyle w:val="P68B1DB1-TableParagraph73"/>
              <w:spacing w:before="108"/>
              <w:ind w:left="85"/>
              <w:jc w:val="both"/>
              <w:rPr>
                <w:bCs/>
              </w:rPr>
            </w:pPr>
            <w:r>
              <w:t xml:space="preserve">Modpartens land  </w:t>
            </w:r>
          </w:p>
          <w:p w14:paraId="7FE1D170" w14:textId="77777777" w:rsidR="00960E01" w:rsidRDefault="00821CB5">
            <w:pPr>
              <w:pStyle w:val="P68B1DB1-TableParagraph40"/>
              <w:spacing w:before="108"/>
              <w:ind w:left="85"/>
              <w:jc w:val="both"/>
            </w:pPr>
            <w:r>
              <w:t>ISO 3166-1 alpha-2-identifikation af det land, hvor modparten er registreret.</w:t>
            </w:r>
          </w:p>
        </w:tc>
      </w:tr>
      <w:tr w:rsidR="00960E01"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960E01" w:rsidRDefault="00821CB5">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960E01" w:rsidRDefault="00821CB5">
            <w:pPr>
              <w:pStyle w:val="P68B1DB1-TableParagraph73"/>
              <w:spacing w:before="108"/>
              <w:ind w:left="85"/>
              <w:jc w:val="both"/>
              <w:rPr>
                <w:bCs/>
              </w:rPr>
            </w:pPr>
            <w:r>
              <w:t>Koncernintern transaktion</w:t>
            </w:r>
          </w:p>
          <w:p w14:paraId="1EA32667" w14:textId="1995F401" w:rsidR="00960E01" w:rsidRDefault="00821CB5">
            <w:pPr>
              <w:pStyle w:val="P68B1DB1-TableParagraph40"/>
              <w:spacing w:before="108"/>
              <w:ind w:left="85"/>
              <w:jc w:val="both"/>
            </w:pPr>
            <w:r>
              <w:t>Den indberettende enhed skal angive, om den indberettede transaktion foretages med en modpart, der tilhører det ultimative moderselskabs regnskabsmæssige konsolidering. De acceptable værdier er "sandt" eller "False"</w:t>
            </w:r>
          </w:p>
        </w:tc>
      </w:tr>
      <w:tr w:rsidR="00960E01"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960E01" w:rsidRDefault="00821CB5">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960E01" w:rsidRDefault="00821CB5">
            <w:pPr>
              <w:pStyle w:val="P68B1DB1-TableParagraph73"/>
              <w:spacing w:before="108"/>
              <w:ind w:left="85"/>
              <w:jc w:val="both"/>
              <w:rPr>
                <w:bCs/>
              </w:rPr>
            </w:pPr>
            <w:r>
              <w:t>Gældende ret for masteraftalen/en enkelt kontrakt</w:t>
            </w:r>
          </w:p>
          <w:p w14:paraId="7FE1D178" w14:textId="69ED3535" w:rsidR="00960E01" w:rsidRDefault="00821CB5">
            <w:pPr>
              <w:pStyle w:val="P68B1DB1-TableParagraph40"/>
              <w:spacing w:before="108"/>
              <w:ind w:left="85"/>
              <w:jc w:val="both"/>
            </w:pPr>
            <w:r>
              <w:t xml:space="preserve">ISO 3166-1 alpha-2-koden for det land, hvis lovgivning regulerer hovedaftalen/den enkelte kontrakt (anvend ISO 3166-2-koden, når loven i en administrativ underafdeling er relevant, f.eks. "US-NY"). Hvis aftalen er underlagt lovgivningen i mere end ét land, indberettes det land, hvis lovgivning er mest relevant for anerkendelse af nedskrivnings- og konverteringsbeføjelser.  </w:t>
            </w:r>
          </w:p>
        </w:tc>
      </w:tr>
      <w:tr w:rsidR="00960E01"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960E01" w:rsidRDefault="00821CB5">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960E01" w:rsidRDefault="00821CB5">
            <w:pPr>
              <w:pStyle w:val="P68B1DB1-TableParagraph73"/>
              <w:spacing w:before="108"/>
              <w:ind w:left="85"/>
              <w:jc w:val="both"/>
              <w:rPr>
                <w:bCs/>
              </w:rPr>
            </w:pPr>
            <w:r>
              <w:t xml:space="preserve">Antal transaktioner, der er omfattet  </w:t>
            </w:r>
          </w:p>
          <w:p w14:paraId="7FE1D17C" w14:textId="77777777" w:rsidR="00960E01" w:rsidRDefault="00821CB5">
            <w:pPr>
              <w:pStyle w:val="P68B1DB1-TableParagraph40"/>
              <w:spacing w:before="108"/>
              <w:ind w:left="85"/>
              <w:jc w:val="both"/>
            </w:pPr>
            <w:r>
              <w:t>Angiv antallet af individuelle kontrakter, der indgår i nettinggruppen i masteraftalerne.</w:t>
            </w:r>
          </w:p>
        </w:tc>
      </w:tr>
      <w:tr w:rsidR="00960E01"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960E01" w:rsidRDefault="00821CB5">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960E01" w:rsidRDefault="00821CB5">
            <w:pPr>
              <w:pStyle w:val="P68B1DB1-TableParagraph73"/>
              <w:spacing w:before="108"/>
              <w:ind w:left="85"/>
              <w:jc w:val="both"/>
              <w:rPr>
                <w:bCs/>
              </w:rPr>
            </w:pPr>
            <w:r>
              <w:t xml:space="preserve">Nettoopgørelse til markedsværdi </w:t>
            </w:r>
          </w:p>
          <w:p w14:paraId="7FE1D180" w14:textId="229346B5" w:rsidR="00960E01" w:rsidRDefault="00821CB5">
            <w:pPr>
              <w:pStyle w:val="P68B1DB1-TableParagraph40"/>
              <w:spacing w:before="108"/>
              <w:ind w:left="85"/>
              <w:jc w:val="both"/>
            </w:pPr>
            <w:r>
              <w:t xml:space="preserve">Nettoværdien af derivatforpligtelser pr. kontraktlig nettinggruppe under forudsætning af, at derivaterne lukkes på referencedatoen. </w:t>
            </w:r>
          </w:p>
        </w:tc>
      </w:tr>
      <w:tr w:rsidR="00960E01"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960E01" w:rsidRDefault="00821CB5">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960E01" w:rsidRDefault="00821CB5">
            <w:pPr>
              <w:pStyle w:val="P68B1DB1-TableParagraph73"/>
              <w:spacing w:before="108"/>
              <w:ind w:left="85"/>
              <w:jc w:val="both"/>
              <w:rPr>
                <w:bCs/>
              </w:rPr>
            </w:pPr>
            <w:r>
              <w:t xml:space="preserve">Værdi af stillet nettosikkerhedsstillelse </w:t>
            </w:r>
          </w:p>
          <w:p w14:paraId="7FE1D184" w14:textId="014CEFC4" w:rsidR="00960E01" w:rsidRDefault="00821CB5">
            <w:pPr>
              <w:pStyle w:val="P68B1DB1-TableParagraph40"/>
              <w:spacing w:before="108"/>
              <w:ind w:left="85"/>
              <w:jc w:val="both"/>
            </w:pPr>
            <w:r>
              <w:t>Nettoværdien af sikkerhedsstillelsespositioner i en nettinggruppe (dvs. stillet sikkerhed faldt med eventuel modtaget sikkerhed). Dette omfatter eventuelle margenkonti under nettingaftalerne. Indberettes som en positiv værdi for nettosikkerhedsstillelse til modparter.</w:t>
            </w:r>
          </w:p>
        </w:tc>
      </w:tr>
      <w:tr w:rsidR="00960E01"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960E01" w:rsidRDefault="00821CB5">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960E01" w:rsidRDefault="00821CB5">
            <w:pPr>
              <w:pStyle w:val="P68B1DB1-TableParagraph40"/>
              <w:spacing w:before="108"/>
              <w:ind w:left="85"/>
              <w:jc w:val="both"/>
              <w:rPr>
                <w:b/>
                <w:bCs/>
              </w:rPr>
            </w:pPr>
            <w:r>
              <w:t xml:space="preserve"> </w:t>
            </w:r>
            <w:r>
              <w:rPr>
                <w:b/>
              </w:rPr>
              <w:t>Anslået bortfaldsbeløb</w:t>
            </w:r>
          </w:p>
          <w:p w14:paraId="7FE1D188" w14:textId="63DBB8B6" w:rsidR="00960E01" w:rsidRDefault="00821CB5">
            <w:pPr>
              <w:pStyle w:val="P68B1DB1-TableParagraph40"/>
              <w:spacing w:before="108"/>
              <w:ind w:left="85"/>
              <w:jc w:val="both"/>
            </w:pPr>
            <w:r>
              <w:t xml:space="preserve">Den estimerede afviklingsbeløb, som dækker de tab eller omkostninger, der påføres derivatmodparter, eller de gevinster, disse realiserer, ved at genanskaffe eller opnå den økonomiske modværdi af aftalernes væsentlige vilkår og parternes optionsret, hvad angår de opsagte aftaler. I nogle tilfælde; de skøn, der kræves for at bestemme denne værdi i overensstemmelse med delegeret forordning (EU) 2016/1401, er vanskelige at indberette på individuelt grundlag. Der kan af samme grund i stedet anvendes proxy-værdier, som kan være baseret på tilgængelige data såsom de tilsynsmæssige krav vedrørende markedsrisiko. En </w:t>
            </w:r>
            <w:r>
              <w:lastRenderedPageBreak/>
              <w:t>positiv værdi for det anslåede afviklingsbeløb resulterer i en stigning i det anslåede beløb for førtidig opsigelse, mens et negativt fortegn vil reducere det anslåede beløb for førtidig opsigelse.</w:t>
            </w:r>
          </w:p>
        </w:tc>
      </w:tr>
      <w:tr w:rsidR="00960E01"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960E01" w:rsidRDefault="00821CB5">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7777777" w:rsidR="00960E01" w:rsidRDefault="00821CB5">
            <w:pPr>
              <w:pStyle w:val="P68B1DB1-TableParagraph40"/>
              <w:spacing w:before="108"/>
              <w:ind w:left="85"/>
              <w:jc w:val="both"/>
              <w:rPr>
                <w:b/>
                <w:bCs/>
              </w:rPr>
            </w:pPr>
            <w:r>
              <w:t xml:space="preserve"> </w:t>
            </w:r>
            <w:r>
              <w:rPr>
                <w:b/>
              </w:rPr>
              <w:t>Anslået beløb for førtidig opsigelse</w:t>
            </w:r>
          </w:p>
          <w:p w14:paraId="7FE1D18C" w14:textId="77777777" w:rsidR="00960E01" w:rsidRDefault="00821CB5">
            <w:pPr>
              <w:pStyle w:val="P68B1DB1-TableParagraph40"/>
              <w:spacing w:before="108"/>
              <w:ind w:left="85"/>
              <w:jc w:val="both"/>
            </w:pPr>
            <w:r>
              <w:t>Med henvisning til delegeret forordning (EU) 2016/1401 om værdiansættelse af derivater i henhold til artikel 49, stk. 4, i BRRD fastsættes dette beløb som følger:</w:t>
            </w:r>
          </w:p>
        </w:tc>
      </w:tr>
      <w:tr w:rsidR="00960E01" w14:paraId="7FE1D190" w14:textId="77777777">
        <w:tc>
          <w:tcPr>
            <w:tcW w:w="1183" w:type="dxa"/>
            <w:vMerge/>
            <w:tcBorders>
              <w:right w:val="single" w:sz="8" w:space="0" w:color="1A171C"/>
            </w:tcBorders>
            <w:vAlign w:val="center"/>
          </w:tcPr>
          <w:p w14:paraId="7FE1D18E" w14:textId="77777777" w:rsidR="00960E01" w:rsidRDefault="00960E01">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960E01" w:rsidRDefault="00821CB5">
            <w:pPr>
              <w:pStyle w:val="P68B1DB1-TableParagraph40"/>
              <w:spacing w:before="108"/>
              <w:ind w:left="85"/>
              <w:jc w:val="both"/>
            </w:pPr>
            <w:r>
              <w:t xml:space="preserve"> "Valuaren fastlægger værdien af passiver hidrørende fra derivatkontrakter under en nettingssætning som et beløb ved førtidig opsigelse, der beregnes som summen af følgende beløb: </w:t>
            </w:r>
          </w:p>
        </w:tc>
      </w:tr>
      <w:tr w:rsidR="00960E01" w14:paraId="7FE1D193" w14:textId="77777777">
        <w:tc>
          <w:tcPr>
            <w:tcW w:w="1183" w:type="dxa"/>
            <w:vMerge/>
            <w:tcBorders>
              <w:right w:val="single" w:sz="8" w:space="0" w:color="1A171C"/>
            </w:tcBorders>
            <w:vAlign w:val="center"/>
          </w:tcPr>
          <w:p w14:paraId="7FE1D191" w14:textId="77777777" w:rsidR="00960E01" w:rsidRDefault="00960E01">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960E01" w:rsidRDefault="00821CB5">
            <w:pPr>
              <w:pStyle w:val="P68B1DB1-TableParagraph40"/>
              <w:spacing w:before="108"/>
              <w:ind w:left="85"/>
              <w:jc w:val="both"/>
            </w:pPr>
            <w:r>
              <w:t xml:space="preserve"> · Ubetalte beløb, sikkerhedsstillelse eller andre beløb, som entiteten under afvikling skylder modparten, fratrukket ubetalte beløb, sikkerhedsstillelse og andre beløb, som modparten skylder entiteten under afvikling på afviklingsdatoen; samt</w:t>
            </w:r>
          </w:p>
        </w:tc>
      </w:tr>
      <w:tr w:rsidR="00960E01" w14:paraId="7FE1D196" w14:textId="77777777">
        <w:tc>
          <w:tcPr>
            <w:tcW w:w="1183" w:type="dxa"/>
            <w:vMerge/>
            <w:tcBorders>
              <w:right w:val="single" w:sz="8" w:space="0" w:color="1A171C"/>
            </w:tcBorders>
            <w:vAlign w:val="center"/>
          </w:tcPr>
          <w:p w14:paraId="7FE1D194" w14:textId="77777777" w:rsidR="00960E01" w:rsidRDefault="00960E01">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960E01" w:rsidRDefault="00821CB5">
            <w:pPr>
              <w:pStyle w:val="P68B1DB1-TableParagraph40"/>
              <w:spacing w:before="108"/>
              <w:ind w:left="85"/>
              <w:jc w:val="both"/>
            </w:pPr>
            <w:r>
              <w:t xml:space="preserve"> · Et afviklingsbeløb, som dækker de tab eller omkostninger, der påføres derivatmodparter, eller de gevinster, disse realiserer, ved at genanskaffe eller opnå den økonomiske modværdi af aftalernes væsentlige vilkår og parternes optionsret, hvad angår de opsagte aftaler.</w:t>
            </w:r>
          </w:p>
        </w:tc>
      </w:tr>
      <w:tr w:rsidR="00960E01" w14:paraId="7FE1D199" w14:textId="77777777">
        <w:tc>
          <w:tcPr>
            <w:tcW w:w="1183" w:type="dxa"/>
            <w:vMerge/>
            <w:tcBorders>
              <w:right w:val="single" w:sz="8" w:space="0" w:color="1A171C"/>
            </w:tcBorders>
            <w:vAlign w:val="center"/>
          </w:tcPr>
          <w:p w14:paraId="7FE1D197" w14:textId="77777777" w:rsidR="00960E01" w:rsidRDefault="00960E01">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960E01" w:rsidRDefault="00821CB5">
            <w:pPr>
              <w:pStyle w:val="P68B1DB1-TableParagraph40"/>
              <w:spacing w:before="108"/>
              <w:ind w:left="85"/>
              <w:jc w:val="both"/>
            </w:pPr>
            <w:r>
              <w:t xml:space="preserve"> Som sådan skal det anslåede beløb for førtidig opsigelse svare til nettomarkedsværdien (c0120) — værdien af nettosikkerhedsstillelsen (c0130) + anslået slutbeløb (c0140).</w:t>
            </w:r>
          </w:p>
        </w:tc>
      </w:tr>
    </w:tbl>
    <w:p w14:paraId="7FE1D19A" w14:textId="77777777" w:rsidR="00960E01" w:rsidRDefault="00960E01">
      <w:pPr>
        <w:pStyle w:val="Instructionsberschrift2"/>
        <w:ind w:left="357"/>
        <w:rPr>
          <w:rFonts w:ascii="Times New Roman" w:eastAsia="Calibri" w:hAnsi="Times New Roman" w:cs="Times New Roman"/>
          <w:szCs w:val="20"/>
        </w:rPr>
      </w:pPr>
      <w:bookmarkStart w:id="250" w:name="_Toc81454217"/>
    </w:p>
    <w:p w14:paraId="7FE1D19B" w14:textId="08247010" w:rsidR="00960E01" w:rsidRDefault="00821CB5">
      <w:pPr>
        <w:pStyle w:val="Instructionsberschrift2"/>
        <w:numPr>
          <w:ilvl w:val="1"/>
          <w:numId w:val="49"/>
        </w:numPr>
        <w:spacing w:before="0"/>
        <w:ind w:left="357" w:hanging="357"/>
        <w:rPr>
          <w:rFonts w:ascii="Times New Roman" w:hAnsi="Times New Roman" w:cs="Times New Roman"/>
        </w:rPr>
      </w:pPr>
      <w:bookmarkStart w:id="251" w:name="_Toc208244589"/>
      <w:r>
        <w:rPr>
          <w:rFonts w:ascii="Times New Roman" w:eastAsiaTheme="minorEastAsia" w:hAnsi="Times New Roman" w:cs="Times New Roman"/>
        </w:rPr>
        <w:t xml:space="preserve">Z 16.00 — Sikrede finansieringstransaktioner, undtagen koncerninterne transaktioner </w:t>
      </w:r>
      <w:r>
        <w:rPr>
          <w:rFonts w:ascii="Times New Roman" w:eastAsia="Calibri" w:hAnsi="Times New Roman" w:cs="Times New Roman"/>
          <w:szCs w:val="20"/>
        </w:rPr>
        <w:t>(LIAB-G-6)</w:t>
      </w:r>
      <w:bookmarkEnd w:id="251"/>
    </w:p>
    <w:p w14:paraId="7FE1D19C" w14:textId="07C13721" w:rsidR="00960E01" w:rsidRDefault="00821CB5">
      <w:pPr>
        <w:pStyle w:val="P68B1DB1-Instructionsberschrift289"/>
        <w:rPr>
          <w:rFonts w:eastAsiaTheme="minorEastAsia"/>
        </w:rPr>
      </w:pPr>
      <w:r>
        <w:t xml:space="preserve"> </w:t>
      </w:r>
      <w:bookmarkEnd w:id="250"/>
    </w:p>
    <w:p w14:paraId="7FE1D19D" w14:textId="77777777" w:rsidR="00960E01" w:rsidRDefault="00821CB5">
      <w:pPr>
        <w:pStyle w:val="P68B1DB1-Numberedtitlelevel388"/>
      </w:pPr>
      <w:r>
        <w:t>Generelle bemærkninger</w:t>
      </w:r>
    </w:p>
    <w:p w14:paraId="7FE1D19E" w14:textId="3901B7DB" w:rsidR="00960E01" w:rsidRDefault="00821CB5">
      <w:pPr>
        <w:pStyle w:val="P68B1DB1-InstructionsText286"/>
        <w:numPr>
          <w:ilvl w:val="2"/>
          <w:numId w:val="209"/>
        </w:numPr>
        <w:spacing w:before="0"/>
        <w:ind w:left="1276"/>
        <w:rPr>
          <w:rFonts w:eastAsiaTheme="majorEastAsia"/>
        </w:rPr>
      </w:pPr>
      <w:r>
        <w:t xml:space="preserve">Sikret finansiering omfatter alle finansieringsordninger, der er omfattet af sikkerhedsstillelse, pant eller panterettigheder, undtagen f.eks. værdipapirer, der skal indberettes i Z12.00. </w:t>
      </w:r>
    </w:p>
    <w:p w14:paraId="7FE1D19F" w14:textId="77777777" w:rsidR="00960E01" w:rsidRDefault="00821CB5">
      <w:pPr>
        <w:pStyle w:val="P68B1DB1-InstructionsText286"/>
        <w:numPr>
          <w:ilvl w:val="2"/>
          <w:numId w:val="209"/>
        </w:numPr>
        <w:spacing w:before="0"/>
        <w:ind w:left="1276"/>
      </w:pPr>
      <w:r>
        <w:t>Typiske eksempler på sådanne ordninger er centralbankens finansierings- eller genkøbsaftaler.</w:t>
      </w:r>
    </w:p>
    <w:p w14:paraId="7FE1D1A0" w14:textId="77777777" w:rsidR="00960E01" w:rsidRDefault="00821CB5">
      <w:pPr>
        <w:pStyle w:val="P68B1DB1-InstructionsText286"/>
        <w:numPr>
          <w:ilvl w:val="2"/>
          <w:numId w:val="209"/>
        </w:numPr>
        <w:spacing w:before="0"/>
        <w:ind w:left="1276"/>
      </w:pPr>
      <w:r>
        <w:t>Det sikrede passiv skal indberettes, ikke selve sikkerhedsstillelsen.</w:t>
      </w:r>
    </w:p>
    <w:p w14:paraId="7FE1D1A1" w14:textId="437B0574" w:rsidR="00960E01" w:rsidRDefault="00821CB5">
      <w:pPr>
        <w:pStyle w:val="P68B1DB1-InstructionsText286"/>
        <w:numPr>
          <w:ilvl w:val="2"/>
          <w:numId w:val="209"/>
        </w:numPr>
        <w:spacing w:before="0"/>
        <w:ind w:left="1276"/>
      </w:pPr>
      <w:r>
        <w:t xml:space="preserve">Med henblik på denne tabel skal sikrede finansieringsaftaler indberettes af nettinggruppen, dvs. hver nettinggruppe, der indberettes som en individuel række. Den sikrede del og den usikrede del af den samme nettinggruppe skal dog indberettes i forskellige poster i rækken, hvis de vedrører forskellige rangordninger ved insolvens. </w:t>
      </w:r>
    </w:p>
    <w:p w14:paraId="7FE1D1A2" w14:textId="77777777" w:rsidR="00960E01" w:rsidRDefault="00821CB5">
      <w:pPr>
        <w:pStyle w:val="P68B1DB1-InstructionsText286"/>
        <w:numPr>
          <w:ilvl w:val="2"/>
          <w:numId w:val="209"/>
        </w:numPr>
        <w:spacing w:before="0"/>
        <w:ind w:left="1276"/>
      </w:pPr>
      <w:r>
        <w:t>Der gælder ingen rapporteringstærskler i denne henseende.</w:t>
      </w:r>
    </w:p>
    <w:p w14:paraId="7FE1D1A3" w14:textId="77777777" w:rsidR="00960E01" w:rsidRDefault="00821CB5">
      <w:pPr>
        <w:pStyle w:val="P68B1DB1-Numberedtitlelevel388"/>
      </w:pPr>
      <w:r>
        <w:t>Instrukser vedrørende specifikke positioner</w:t>
      </w:r>
    </w:p>
    <w:tbl>
      <w:tblPr>
        <w:tblW w:w="9015" w:type="dxa"/>
        <w:tblInd w:w="135" w:type="dxa"/>
        <w:tblLayout w:type="fixed"/>
        <w:tblLook w:val="04A0" w:firstRow="1" w:lastRow="0" w:firstColumn="1" w:lastColumn="0" w:noHBand="0" w:noVBand="1"/>
      </w:tblPr>
      <w:tblGrid>
        <w:gridCol w:w="1183"/>
        <w:gridCol w:w="7832"/>
      </w:tblGrid>
      <w:tr w:rsidR="00960E01"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960E01" w:rsidRDefault="00821CB5">
            <w:pPr>
              <w:pStyle w:val="P68B1DB1-Normal31"/>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960E01" w:rsidRDefault="00821CB5">
            <w:pPr>
              <w:pStyle w:val="P68B1DB1-Normal31"/>
            </w:pPr>
            <w:r>
              <w:t xml:space="preserve">Instrukser </w:t>
            </w:r>
          </w:p>
        </w:tc>
      </w:tr>
      <w:tr w:rsidR="00960E01"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960E01" w:rsidRDefault="00821CB5">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960E01" w:rsidRDefault="00821CB5">
            <w:pPr>
              <w:pStyle w:val="P68B1DB1-TableParagraph40"/>
              <w:spacing w:before="108"/>
              <w:ind w:left="85"/>
              <w:jc w:val="both"/>
              <w:rPr>
                <w:b/>
                <w:bCs/>
              </w:rPr>
            </w:pPr>
            <w:r>
              <w:t xml:space="preserve"> </w:t>
            </w:r>
            <w:r>
              <w:rPr>
                <w:b/>
              </w:rPr>
              <w:t>NR.</w:t>
            </w:r>
          </w:p>
          <w:p w14:paraId="7FE1D1A9" w14:textId="7C09A169" w:rsidR="00960E01" w:rsidRDefault="00821CB5">
            <w:pPr>
              <w:pStyle w:val="P68B1DB1-TableParagraph40"/>
              <w:spacing w:before="108"/>
              <w:ind w:left="85"/>
              <w:jc w:val="both"/>
            </w:pPr>
            <w:r>
              <w:t>Unikt nummer/primær nøgle til identifikation af rækkerne.</w:t>
            </w:r>
          </w:p>
        </w:tc>
      </w:tr>
      <w:tr w:rsidR="00960E01"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960E01" w:rsidRDefault="00821CB5">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960E01" w:rsidRDefault="00821CB5">
            <w:pPr>
              <w:pStyle w:val="P68B1DB1-TableParagraph40"/>
              <w:spacing w:before="108"/>
              <w:ind w:left="85"/>
              <w:jc w:val="both"/>
              <w:rPr>
                <w:b/>
                <w:bCs/>
              </w:rPr>
            </w:pPr>
            <w:r>
              <w:t xml:space="preserve"> </w:t>
            </w:r>
            <w:r>
              <w:rPr>
                <w:b/>
              </w:rPr>
              <w:t>Kolonne</w:t>
            </w:r>
          </w:p>
          <w:p w14:paraId="7FE1D1AD" w14:textId="57B67374" w:rsidR="00960E01" w:rsidRDefault="00821CB5">
            <w:pPr>
              <w:pStyle w:val="P68B1DB1-TableParagraph40"/>
              <w:spacing w:before="108"/>
              <w:ind w:left="85"/>
              <w:jc w:val="both"/>
            </w:pPr>
            <w:r>
              <w:t>For hver nettinggruppe skal der gives en afstemning med den modpartsklasse i Z02.00, som forpligtelsen skyldes, fra en foruddefineret liste over værdier.</w:t>
            </w:r>
          </w:p>
        </w:tc>
      </w:tr>
      <w:tr w:rsidR="00960E01"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960E01" w:rsidRDefault="00821CB5">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960E01" w:rsidRDefault="00821CB5">
            <w:pPr>
              <w:pStyle w:val="P68B1DB1-TableParagraph40"/>
              <w:spacing w:before="108"/>
              <w:ind w:left="85"/>
              <w:jc w:val="both"/>
              <w:rPr>
                <w:b/>
                <w:bCs/>
              </w:rPr>
            </w:pPr>
            <w:r>
              <w:t xml:space="preserve"> </w:t>
            </w:r>
            <w:r>
              <w:rPr>
                <w:b/>
              </w:rPr>
              <w:t>Insolvens</w:t>
            </w:r>
          </w:p>
          <w:p w14:paraId="7FE1D1B1" w14:textId="0D780E4C" w:rsidR="00960E01" w:rsidRDefault="00821CB5">
            <w:pPr>
              <w:pStyle w:val="P68B1DB1-TableParagraph40"/>
              <w:spacing w:before="108"/>
              <w:ind w:left="85"/>
              <w:jc w:val="both"/>
            </w:pPr>
            <w:r>
              <w:t xml:space="preserve">Placeringen i prioritetsrækkefølgen ved insolvens skal svare til én af de placeringer, der indgår i de prioritetsrækkefølger ved insolvens, som offentliggøres af afviklingsmyndigheden i den </w:t>
            </w:r>
            <w:r>
              <w:lastRenderedPageBreak/>
              <w:t>pågældende jurisdiktion.</w:t>
            </w:r>
          </w:p>
        </w:tc>
      </w:tr>
      <w:tr w:rsidR="00960E01"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960E01" w:rsidRDefault="00821CB5">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960E01" w:rsidRDefault="00821CB5">
            <w:pPr>
              <w:pStyle w:val="P68B1DB1-TableParagraph73"/>
              <w:spacing w:before="108"/>
              <w:ind w:left="85"/>
              <w:jc w:val="both"/>
              <w:rPr>
                <w:bCs/>
              </w:rPr>
            </w:pPr>
            <w:r>
              <w:t xml:space="preserve"> Masteraftale-ID </w:t>
            </w:r>
          </w:p>
          <w:p w14:paraId="7FE1D1B5" w14:textId="77777777" w:rsidR="00960E01" w:rsidRDefault="00821CB5">
            <w:pPr>
              <w:pStyle w:val="P68B1DB1-TableParagraph40"/>
              <w:spacing w:before="108"/>
              <w:ind w:left="85"/>
              <w:jc w:val="both"/>
            </w:pPr>
            <w:r>
              <w:t>Intern identifikator for masteraftalen eller den enkelte kontrakt.</w:t>
            </w:r>
          </w:p>
        </w:tc>
      </w:tr>
      <w:tr w:rsidR="00960E01"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960E01" w:rsidRDefault="00821CB5">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960E01" w:rsidRDefault="00821CB5">
            <w:pPr>
              <w:pStyle w:val="P68B1DB1-TableParagraph73"/>
              <w:spacing w:before="108"/>
              <w:ind w:left="85"/>
              <w:jc w:val="both"/>
              <w:rPr>
                <w:bCs/>
              </w:rPr>
            </w:pPr>
            <w:r>
              <w:t xml:space="preserve"> Type af MA (f.eks. GMRA) </w:t>
            </w:r>
          </w:p>
          <w:p w14:paraId="7FE1D1B9" w14:textId="7472E062" w:rsidR="00960E01" w:rsidRDefault="00821CB5">
            <w:pPr>
              <w:pStyle w:val="P68B1DB1-TableParagraph40"/>
              <w:spacing w:before="108"/>
              <w:ind w:left="85"/>
              <w:jc w:val="both"/>
            </w:pPr>
            <w:r>
              <w:t>Angiv masteraftalen, enten "ICMA 2011 Global master repurchase agreements", "ICMA 2000 Global master repurchase agreements", "ICMA 1995 Global master repurchase agreements", "ICMA 1992 Global master repurchase agreements", "Andre globale mastergenkøbsaftaler" eller "Enkeltkontrakt" fra en foruddefineret liste.</w:t>
            </w:r>
          </w:p>
        </w:tc>
      </w:tr>
      <w:tr w:rsidR="00960E01"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960E01" w:rsidRDefault="00821CB5">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960E01" w:rsidRDefault="00821CB5">
            <w:pPr>
              <w:pStyle w:val="P68B1DB1-TableParagraph73"/>
              <w:spacing w:before="108"/>
              <w:ind w:left="85"/>
              <w:jc w:val="both"/>
              <w:rPr>
                <w:bCs/>
              </w:rPr>
            </w:pPr>
            <w:bookmarkStart w:id="252" w:name="_Hlk189839338"/>
            <w:r>
              <w:t xml:space="preserve">Modpartens navn </w:t>
            </w:r>
          </w:p>
          <w:bookmarkEnd w:id="252"/>
          <w:p w14:paraId="7FE1D1BD" w14:textId="0E71EEA1" w:rsidR="00960E01" w:rsidRDefault="00821CB5">
            <w:pPr>
              <w:pStyle w:val="P68B1DB1-TableParagraph40"/>
              <w:spacing w:before="108"/>
              <w:ind w:left="85"/>
              <w:jc w:val="both"/>
            </w:pPr>
            <w:r>
              <w:t>Navnet på modtageren.</w:t>
            </w:r>
          </w:p>
        </w:tc>
      </w:tr>
      <w:tr w:rsidR="00960E01"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960E01" w:rsidRDefault="00821CB5">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960E01" w:rsidRPr="00BA6295" w:rsidRDefault="00821CB5">
            <w:pPr>
              <w:pStyle w:val="P68B1DB1-TableParagraph40"/>
              <w:spacing w:before="108"/>
              <w:ind w:left="85"/>
              <w:jc w:val="both"/>
              <w:rPr>
                <w:b/>
                <w:bCs/>
              </w:rPr>
            </w:pPr>
            <w:r w:rsidRPr="00BA6295">
              <w:t xml:space="preserve"> </w:t>
            </w:r>
            <w:r w:rsidRPr="00BA6295">
              <w:rPr>
                <w:b/>
              </w:rPr>
              <w:t>Modpart (LEI/MFI/Local Identifier)</w:t>
            </w:r>
          </w:p>
          <w:p w14:paraId="7FE1D1C1" w14:textId="5ADC0AB9" w:rsidR="00960E01" w:rsidRDefault="00821CB5">
            <w:pPr>
              <w:pStyle w:val="P68B1DB1-TableParagraph40"/>
              <w:spacing w:before="108"/>
              <w:ind w:left="85"/>
              <w:jc w:val="both"/>
            </w:pPr>
            <w:r>
              <w:t>Indberet kreditors LEI-kode. Hvis der ikke findes en LEI-kode, anvendes ECBs identifikator for monetære finansielle institutioner (MFI ID) i RIAD i forbindelse med bankernes indberetning. Hvis begge disse identifikatorer ikke findes, indberettes en intern identifikator.</w:t>
            </w:r>
          </w:p>
        </w:tc>
      </w:tr>
      <w:tr w:rsidR="00960E01"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960E01" w:rsidRDefault="00821CB5">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960E01" w:rsidRDefault="00821CB5">
            <w:pPr>
              <w:pStyle w:val="P68B1DB1-TableParagraph73"/>
              <w:spacing w:before="108"/>
              <w:ind w:left="85"/>
              <w:jc w:val="both"/>
              <w:rPr>
                <w:bCs/>
              </w:rPr>
            </w:pPr>
            <w:r>
              <w:t xml:space="preserve">Identifikatortype </w:t>
            </w:r>
          </w:p>
          <w:p w14:paraId="7FE1D1C5"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960E01" w:rsidRDefault="00821CB5">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960E01" w:rsidRDefault="00821CB5">
            <w:pPr>
              <w:pStyle w:val="P68B1DB1-TableParagraph40"/>
              <w:spacing w:before="108"/>
              <w:ind w:left="85"/>
              <w:jc w:val="both"/>
              <w:rPr>
                <w:b/>
                <w:bCs/>
              </w:rPr>
            </w:pPr>
            <w:r>
              <w:t xml:space="preserve"> </w:t>
            </w:r>
            <w:r>
              <w:rPr>
                <w:b/>
              </w:rPr>
              <w:t>Det pågældende land for modpart 2</w:t>
            </w:r>
          </w:p>
          <w:p w14:paraId="7FE1D1C9" w14:textId="77777777" w:rsidR="00960E01" w:rsidRDefault="00821CB5">
            <w:pPr>
              <w:pStyle w:val="P68B1DB1-TableParagraph40"/>
              <w:spacing w:before="108"/>
              <w:ind w:left="85"/>
              <w:jc w:val="both"/>
            </w:pPr>
            <w:r>
              <w:t>Navnet på det land, hvor modparten er registreret.</w:t>
            </w:r>
          </w:p>
        </w:tc>
      </w:tr>
      <w:tr w:rsidR="00960E01"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960E01" w:rsidRDefault="00821CB5">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960E01" w:rsidRDefault="00821CB5">
            <w:pPr>
              <w:pStyle w:val="P68B1DB1-TableParagraph40"/>
              <w:spacing w:before="108"/>
              <w:ind w:left="85"/>
              <w:jc w:val="both"/>
              <w:rPr>
                <w:b/>
                <w:bCs/>
              </w:rPr>
            </w:pPr>
            <w:r>
              <w:t xml:space="preserve"> </w:t>
            </w:r>
            <w:r>
              <w:rPr>
                <w:b/>
              </w:rPr>
              <w:t>Gældende lov om MA/single deal</w:t>
            </w:r>
          </w:p>
          <w:p w14:paraId="7FE1D1CD" w14:textId="77777777" w:rsidR="00960E01" w:rsidRDefault="00821CB5">
            <w:pPr>
              <w:pStyle w:val="P68B1DB1-TableParagraph40"/>
              <w:spacing w:before="108"/>
              <w:ind w:left="85"/>
              <w:jc w:val="both"/>
            </w:pPr>
            <w:r>
              <w:t xml:space="preserve">Navnet på det land, hvis lovgivning regulerer forvaltningsmyndigheden/enkeltkontrakten. Hvis aftalen er underlagt lovgivningen i mere end ét land, indberettes det land, hvis lovgivning er mest relevant for anerkendelse af nedskrivnings- og konverteringsbeføjelser.  </w:t>
            </w:r>
          </w:p>
        </w:tc>
      </w:tr>
      <w:tr w:rsidR="00960E01"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960E01" w:rsidRDefault="00821CB5">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960E01" w:rsidRDefault="00821CB5">
            <w:pPr>
              <w:pStyle w:val="P68B1DB1-TableParagraph40"/>
              <w:spacing w:before="108"/>
              <w:ind w:left="85"/>
              <w:jc w:val="both"/>
              <w:rPr>
                <w:b/>
                <w:bCs/>
              </w:rPr>
            </w:pPr>
            <w:r>
              <w:t xml:space="preserve"> </w:t>
            </w:r>
            <w:r>
              <w:rPr>
                <w:b/>
              </w:rPr>
              <w:t>Antal transaktioner, der er omfattet</w:t>
            </w:r>
          </w:p>
          <w:p w14:paraId="7FE1D1D1" w14:textId="77777777" w:rsidR="00960E01" w:rsidRDefault="00821CB5">
            <w:pPr>
              <w:pStyle w:val="P68B1DB1-TableParagraph40"/>
              <w:spacing w:before="108"/>
              <w:ind w:left="85"/>
              <w:jc w:val="both"/>
            </w:pPr>
            <w:r>
              <w:t>Angiv antallet af individuelle kontrakter, der indgår i nettinggruppen i forvaltningsmyndigheden.</w:t>
            </w:r>
          </w:p>
        </w:tc>
      </w:tr>
      <w:tr w:rsidR="00960E01"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960E01" w:rsidRDefault="00821CB5">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960E01" w:rsidRDefault="00821CB5">
            <w:pPr>
              <w:pStyle w:val="P68B1DB1-TableParagraph40"/>
              <w:spacing w:before="108"/>
              <w:ind w:left="85"/>
              <w:jc w:val="both"/>
              <w:rPr>
                <w:b/>
                <w:bCs/>
              </w:rPr>
            </w:pPr>
            <w:r>
              <w:t xml:space="preserve"> </w:t>
            </w:r>
            <w:r>
              <w:rPr>
                <w:b/>
              </w:rPr>
              <w:t>Modtaget nettofinansieringsbeløb</w:t>
            </w:r>
          </w:p>
          <w:p w14:paraId="7FE1D1D5" w14:textId="40508D2F" w:rsidR="00960E01" w:rsidRDefault="00821CB5">
            <w:pPr>
              <w:pStyle w:val="P68B1DB1-TableParagraph40"/>
              <w:spacing w:before="108"/>
              <w:ind w:left="85"/>
              <w:jc w:val="both"/>
            </w:pPr>
            <w:r>
              <w:t>Angiv nettobeløbet for den finansiering, der er modtaget i henhold til sikrede finansieringsaftaler, under hensyntagen til alle transaktioner, der er omfattet af nettingaftalen. Bemærk, at dette beløb ikke omfatter påløbne renter, mens det tilsvarende beløb i Z02.00, række 0120, gør det.</w:t>
            </w:r>
          </w:p>
        </w:tc>
      </w:tr>
      <w:tr w:rsidR="00960E01"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960E01" w:rsidRDefault="00821CB5">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960E01" w:rsidRDefault="00821CB5">
            <w:pPr>
              <w:pStyle w:val="P68B1DB1-TableParagraph73"/>
              <w:spacing w:before="108"/>
              <w:ind w:left="85"/>
              <w:jc w:val="both"/>
              <w:rPr>
                <w:bCs/>
              </w:rPr>
            </w:pPr>
            <w:r>
              <w:t xml:space="preserve"> Nettobeløb for sikkerhedsstillelse  </w:t>
            </w:r>
          </w:p>
          <w:p w14:paraId="7FE1D1D9" w14:textId="6D452434" w:rsidR="00960E01" w:rsidRDefault="00821CB5">
            <w:pPr>
              <w:pStyle w:val="P68B1DB1-TableParagraph40"/>
              <w:spacing w:before="108"/>
              <w:ind w:left="85"/>
              <w:jc w:val="both"/>
            </w:pPr>
            <w:r>
              <w:t>For hver nettinggruppe angives nettoværdien af den sikkerhed, der er stillet for at dække de sikrede finansieringstransaktioner, under hensyntagen til alle sikkerhedspositioner, der indgår i nettingaftalen. Dette omfatter enhver sikkerhedsstillelse eller margen, der udveksles.</w:t>
            </w:r>
          </w:p>
        </w:tc>
      </w:tr>
    </w:tbl>
    <w:p w14:paraId="7FE1D1DB" w14:textId="77777777" w:rsidR="00960E01" w:rsidRDefault="00960E01">
      <w:pPr>
        <w:pStyle w:val="Instructionsberschrift2"/>
        <w:ind w:left="357"/>
        <w:rPr>
          <w:rFonts w:ascii="Times New Roman" w:eastAsia="Calibri" w:hAnsi="Times New Roman" w:cs="Times New Roman"/>
          <w:szCs w:val="20"/>
        </w:rPr>
      </w:pPr>
      <w:bookmarkStart w:id="253" w:name="_Toc81454218"/>
    </w:p>
    <w:p w14:paraId="7FE1D1DC" w14:textId="4F83132F" w:rsidR="00960E01" w:rsidRDefault="00821CB5">
      <w:pPr>
        <w:pStyle w:val="Instructionsberschrift2"/>
        <w:numPr>
          <w:ilvl w:val="1"/>
          <w:numId w:val="49"/>
        </w:numPr>
        <w:spacing w:before="0"/>
        <w:ind w:left="357" w:hanging="357"/>
        <w:rPr>
          <w:rFonts w:ascii="Times New Roman" w:hAnsi="Times New Roman" w:cs="Times New Roman"/>
        </w:rPr>
      </w:pPr>
      <w:bookmarkStart w:id="254" w:name="_Toc208244590"/>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Andre ikke-finansielle forpligtelser (ikke medtaget under andre faner, undtagen koncerninterne) </w:t>
      </w:r>
      <w:r>
        <w:rPr>
          <w:rFonts w:ascii="Times New Roman" w:eastAsia="Calibri" w:hAnsi="Times New Roman" w:cs="Times New Roman"/>
          <w:szCs w:val="20"/>
        </w:rPr>
        <w:t>(LIAB-G-7)</w:t>
      </w:r>
      <w:bookmarkEnd w:id="254"/>
    </w:p>
    <w:bookmarkEnd w:id="253"/>
    <w:p w14:paraId="7FE1D1DD" w14:textId="28BEEC11" w:rsidR="00960E01" w:rsidRDefault="00960E01">
      <w:pPr>
        <w:pStyle w:val="Instructionsberschrift2"/>
        <w:ind w:left="357"/>
        <w:rPr>
          <w:rFonts w:ascii="Times New Roman" w:eastAsiaTheme="minorEastAsia" w:hAnsi="Times New Roman" w:cs="Times New Roman"/>
          <w:u w:val="none"/>
        </w:rPr>
      </w:pPr>
    </w:p>
    <w:p w14:paraId="7FE1D1DE" w14:textId="77777777" w:rsidR="00960E01" w:rsidRDefault="00821CB5">
      <w:pPr>
        <w:pStyle w:val="P68B1DB1-Numberedtitlelevel388"/>
      </w:pPr>
      <w:r>
        <w:t>Generelle bemærkninger</w:t>
      </w:r>
    </w:p>
    <w:p w14:paraId="7FE1D1DF" w14:textId="6152DD19" w:rsidR="00960E01" w:rsidRDefault="00821CB5">
      <w:pPr>
        <w:pStyle w:val="P68B1DB1-InstructionsText286"/>
        <w:numPr>
          <w:ilvl w:val="2"/>
          <w:numId w:val="209"/>
        </w:numPr>
        <w:spacing w:before="0"/>
        <w:ind w:left="1276"/>
        <w:rPr>
          <w:rFonts w:eastAsiaTheme="majorEastAsia"/>
        </w:rPr>
      </w:pPr>
      <w:r>
        <w:t>Denne tabel omfatter ikke-finansielle forpligtelser såsom hensættelser, skatteforpligtelser og udskudt indkomst.</w:t>
      </w:r>
    </w:p>
    <w:p w14:paraId="7FE1D1E0" w14:textId="6480C40E" w:rsidR="00960E01" w:rsidRDefault="00821CB5">
      <w:pPr>
        <w:pStyle w:val="P68B1DB1-InstructionsText286"/>
        <w:numPr>
          <w:ilvl w:val="2"/>
          <w:numId w:val="209"/>
        </w:numPr>
        <w:spacing w:before="0"/>
        <w:ind w:left="1276"/>
      </w:pPr>
      <w:r>
        <w:lastRenderedPageBreak/>
        <w:t>Disse forpligtelser grupperes efter typen af ikke-finansiel forpligtelse og prioritetsrækkefølgen ved insolvens.</w:t>
      </w:r>
    </w:p>
    <w:p w14:paraId="7FE1D1E2" w14:textId="77777777" w:rsidR="00960E01" w:rsidRDefault="00821CB5">
      <w:pPr>
        <w:pStyle w:val="P68B1DB1-Numberedtitlelevel388"/>
      </w:pPr>
      <w:r>
        <w:t>Instrukser vedrørende specifikke positioner</w:t>
      </w:r>
    </w:p>
    <w:tbl>
      <w:tblPr>
        <w:tblW w:w="9015" w:type="dxa"/>
        <w:tblInd w:w="135" w:type="dxa"/>
        <w:tblLayout w:type="fixed"/>
        <w:tblLook w:val="04A0" w:firstRow="1" w:lastRow="0" w:firstColumn="1" w:lastColumn="0" w:noHBand="0" w:noVBand="1"/>
      </w:tblPr>
      <w:tblGrid>
        <w:gridCol w:w="1183"/>
        <w:gridCol w:w="7832"/>
      </w:tblGrid>
      <w:tr w:rsidR="00960E01"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960E01" w:rsidRDefault="00821CB5">
            <w:pPr>
              <w:pStyle w:val="P68B1DB1-Normal31"/>
            </w:pPr>
            <w:r>
              <w:t xml:space="preserve">Kolonner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960E01" w:rsidRDefault="00821CB5">
            <w:pPr>
              <w:pStyle w:val="P68B1DB1-Normal31"/>
            </w:pPr>
            <w:r>
              <w:t xml:space="preserve">Instrukser </w:t>
            </w:r>
          </w:p>
        </w:tc>
      </w:tr>
      <w:tr w:rsidR="00960E01"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960E01" w:rsidRDefault="00821CB5">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960E01" w:rsidRDefault="00821CB5">
            <w:pPr>
              <w:pStyle w:val="P68B1DB1-TableParagraph73"/>
              <w:spacing w:before="108"/>
              <w:ind w:left="85"/>
              <w:jc w:val="both"/>
              <w:rPr>
                <w:bCs/>
              </w:rPr>
            </w:pPr>
            <w:r>
              <w:t xml:space="preserve"> NR. </w:t>
            </w:r>
          </w:p>
          <w:p w14:paraId="7FE1D1E8" w14:textId="5AB7F74C" w:rsidR="00960E01" w:rsidRDefault="00821CB5">
            <w:pPr>
              <w:pStyle w:val="P68B1DB1-TableParagraph40"/>
              <w:spacing w:before="108"/>
              <w:ind w:left="85"/>
              <w:jc w:val="both"/>
            </w:pPr>
            <w:r>
              <w:t>Unikt nummer/primær nøgle til identifikation af rækkerne.</w:t>
            </w:r>
          </w:p>
        </w:tc>
      </w:tr>
      <w:tr w:rsidR="00960E01"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960E01" w:rsidRDefault="00821CB5">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960E01" w:rsidRDefault="00821CB5">
            <w:pPr>
              <w:pStyle w:val="P68B1DB1-TableParagraph73"/>
              <w:spacing w:before="108"/>
              <w:ind w:left="85"/>
              <w:jc w:val="both"/>
              <w:rPr>
                <w:bCs/>
              </w:rPr>
            </w:pPr>
            <w:r>
              <w:t xml:space="preserve"> Række </w:t>
            </w:r>
          </w:p>
          <w:p w14:paraId="7FE1D1EC" w14:textId="31DF728D" w:rsidR="00960E01" w:rsidRDefault="00821CB5">
            <w:pPr>
              <w:pStyle w:val="P68B1DB1-TableParagraph40"/>
              <w:spacing w:before="108"/>
              <w:ind w:left="85"/>
              <w:jc w:val="both"/>
            </w:pPr>
            <w:r>
              <w:t>For hvert passiv skal der foretages en afstemning med passivkategorierne i passivstrukturen i Z02.00 på forfaldsniveau fra en foruddefineret liste over værdier.</w:t>
            </w:r>
          </w:p>
        </w:tc>
      </w:tr>
      <w:tr w:rsidR="00960E01"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960E01" w:rsidRDefault="00821CB5">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960E01" w:rsidRDefault="00821CB5">
            <w:pPr>
              <w:pStyle w:val="P68B1DB1-TableParagraph40"/>
              <w:spacing w:before="108"/>
              <w:ind w:left="85"/>
              <w:jc w:val="both"/>
              <w:rPr>
                <w:b/>
                <w:bCs/>
              </w:rPr>
            </w:pPr>
            <w:r>
              <w:t xml:space="preserve"> </w:t>
            </w:r>
            <w:r>
              <w:rPr>
                <w:b/>
              </w:rPr>
              <w:t>Kolonne</w:t>
            </w:r>
          </w:p>
          <w:p w14:paraId="7FE1D1F0" w14:textId="2D865C88" w:rsidR="00960E01" w:rsidRDefault="00821CB5">
            <w:pPr>
              <w:pStyle w:val="P68B1DB1-TableParagraph40"/>
              <w:spacing w:before="108"/>
              <w:ind w:left="85"/>
              <w:jc w:val="both"/>
            </w:pPr>
            <w:r>
              <w:t>For hvert passiv skal en afstemning med den modpartsklasse i Z 02.00, som forpligtelsen skyldes, gives fra en foruddefineret værdiliste.</w:t>
            </w:r>
          </w:p>
        </w:tc>
      </w:tr>
      <w:tr w:rsidR="00960E01"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960E01" w:rsidRDefault="00821CB5">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960E01" w:rsidRDefault="00821CB5">
            <w:pPr>
              <w:pStyle w:val="P68B1DB1-TableParagraph40"/>
              <w:spacing w:before="108"/>
              <w:ind w:left="85"/>
              <w:jc w:val="both"/>
              <w:rPr>
                <w:b/>
                <w:bCs/>
              </w:rPr>
            </w:pPr>
            <w:r>
              <w:t xml:space="preserve"> </w:t>
            </w:r>
            <w:r>
              <w:rPr>
                <w:b/>
              </w:rPr>
              <w:t>Insolvens</w:t>
            </w:r>
          </w:p>
          <w:p w14:paraId="7FE1D1F4" w14:textId="16989963" w:rsidR="00960E01" w:rsidRDefault="00821CB5">
            <w:pPr>
              <w:pStyle w:val="P68B1DB1-TableParagraph40"/>
              <w:spacing w:before="108"/>
              <w:ind w:left="85"/>
              <w:jc w:val="both"/>
            </w:pPr>
            <w:r>
              <w:t>Placeringen i prioritetsrækkefølgen ved insolvens skal svare til én af de placeringer, der indgår i de prioritetsrækkefølger ved insolvens, som offentliggøres af afviklingsmyndigheden i den pågældende jurisdiktion.</w:t>
            </w:r>
          </w:p>
        </w:tc>
      </w:tr>
      <w:tr w:rsidR="00960E01"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960E01" w:rsidRDefault="00821CB5">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960E01" w:rsidRDefault="00821CB5">
            <w:pPr>
              <w:pStyle w:val="P68B1DB1-TableParagraph73"/>
              <w:spacing w:before="108"/>
              <w:ind w:left="85"/>
              <w:jc w:val="both"/>
              <w:rPr>
                <w:bCs/>
              </w:rPr>
            </w:pPr>
            <w:r>
              <w:t xml:space="preserve">Kontrakters ID-kode </w:t>
            </w:r>
          </w:p>
          <w:p w14:paraId="7FE1D1F8" w14:textId="77777777" w:rsidR="00960E01" w:rsidRDefault="00821CB5">
            <w:pPr>
              <w:pStyle w:val="P68B1DB1-TableParagraph40"/>
              <w:spacing w:before="108"/>
              <w:ind w:left="85"/>
              <w:jc w:val="both"/>
            </w:pPr>
            <w:r>
              <w:t>Intern identifikator for kontrakten svarende til ISIN-koden for værdipapirer.</w:t>
            </w:r>
          </w:p>
        </w:tc>
      </w:tr>
      <w:tr w:rsidR="00960E01"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960E01" w:rsidRDefault="00821CB5">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960E01" w:rsidRDefault="00821CB5">
            <w:pPr>
              <w:pStyle w:val="P68B1DB1-TableParagraph73"/>
              <w:spacing w:before="108"/>
              <w:ind w:left="85"/>
              <w:jc w:val="both"/>
              <w:rPr>
                <w:bCs/>
              </w:rPr>
            </w:pPr>
            <w:r>
              <w:t xml:space="preserve"> Modpartsidentifikator </w:t>
            </w:r>
          </w:p>
          <w:p w14:paraId="7FE1D1FC" w14:textId="3D6CB4CA" w:rsidR="00960E01" w:rsidRDefault="00821CB5">
            <w:pPr>
              <w:pStyle w:val="P68B1DB1-TableParagraph40"/>
              <w:spacing w:before="108"/>
              <w:ind w:left="85"/>
              <w:jc w:val="both"/>
            </w:pPr>
            <w:r>
              <w:t>Indberet kreditors LEI-kode. Hvis der ikke findes en LEI-kode, anvendes ECBs identifikator for monetære finansielle institutioner (MFI ID) i RIAD i forbindelse med bankernes indberetning. Hvis begge disse identifikatorer ikke findes, indberettes en intern identifikator.</w:t>
            </w:r>
          </w:p>
        </w:tc>
      </w:tr>
      <w:tr w:rsidR="00960E01"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960E01" w:rsidRDefault="00821CB5">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960E01" w:rsidRDefault="00821CB5">
            <w:pPr>
              <w:pStyle w:val="P68B1DB1-TableParagraph73"/>
              <w:spacing w:before="108"/>
              <w:ind w:left="85"/>
              <w:jc w:val="both"/>
              <w:rPr>
                <w:bCs/>
              </w:rPr>
            </w:pPr>
            <w:r>
              <w:t xml:space="preserve">Identifikatortype </w:t>
            </w:r>
          </w:p>
          <w:p w14:paraId="7FE1D200" w14:textId="77777777" w:rsidR="00960E01" w:rsidRDefault="00821CB5">
            <w:pPr>
              <w:pStyle w:val="P68B1DB1-TableParagraph40"/>
              <w:spacing w:before="108"/>
              <w:ind w:left="85"/>
              <w:jc w:val="both"/>
            </w:pPr>
            <w:r>
              <w:t>Vælges blandt følgende muligheder: "LEI-kode", "MFI-kode" eller "Identifikationstype, bortset fra LEI- eller MFI-kode".</w:t>
            </w:r>
          </w:p>
        </w:tc>
      </w:tr>
      <w:tr w:rsidR="00960E01"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960E01" w:rsidRDefault="00821CB5">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960E01" w:rsidRDefault="00821CB5">
            <w:pPr>
              <w:pStyle w:val="P68B1DB1-TableParagraph40"/>
              <w:spacing w:before="108"/>
              <w:ind w:left="85"/>
              <w:jc w:val="both"/>
              <w:rPr>
                <w:b/>
                <w:bCs/>
              </w:rPr>
            </w:pPr>
            <w:r>
              <w:t xml:space="preserve"> </w:t>
            </w:r>
            <w:r>
              <w:rPr>
                <w:b/>
              </w:rPr>
              <w:t>Gældende lovgivning</w:t>
            </w:r>
          </w:p>
          <w:p w14:paraId="7FE1D204" w14:textId="24CB3395" w:rsidR="00960E01" w:rsidRDefault="00821CB5">
            <w:pPr>
              <w:pStyle w:val="P68B1DB1-TableParagraph40"/>
              <w:spacing w:before="108"/>
              <w:ind w:left="85"/>
              <w:jc w:val="both"/>
            </w:pPr>
            <w:r>
              <w:t xml:space="preserve">Navnet på det land, hvis lovgivning regulerer ansvaret. Hvis aftalen er underlagt lovgivningen i mere end ét land, indberettes det land, hvis lovgivning er mest relevant for anerkendelse af nedskrivnings- og konverteringsbeføjelser.  </w:t>
            </w:r>
          </w:p>
        </w:tc>
      </w:tr>
      <w:tr w:rsidR="00960E01"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960E01" w:rsidRDefault="00821CB5">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960E01" w:rsidRDefault="00821CB5">
            <w:pPr>
              <w:pStyle w:val="P68B1DB1-TableParagraph40"/>
              <w:spacing w:before="108"/>
              <w:ind w:left="85"/>
              <w:jc w:val="both"/>
              <w:rPr>
                <w:b/>
                <w:bCs/>
              </w:rPr>
            </w:pPr>
            <w:r>
              <w:t xml:space="preserve"> </w:t>
            </w:r>
            <w:r>
              <w:rPr>
                <w:b/>
              </w:rPr>
              <w:t>Type ikke-finansielle forpligtelser</w:t>
            </w:r>
          </w:p>
          <w:p w14:paraId="7FE1D208" w14:textId="234E81AF" w:rsidR="00960E01" w:rsidRDefault="00821CB5">
            <w:pPr>
              <w:pStyle w:val="P68B1DB1-TableParagraph40"/>
              <w:spacing w:before="108"/>
              <w:ind w:left="85"/>
              <w:jc w:val="both"/>
            </w:pPr>
            <w:r>
              <w:t>Vælges blandt følgende muligheder:</w:t>
            </w:r>
          </w:p>
          <w:p w14:paraId="7FE1D209" w14:textId="1B19E45B" w:rsidR="00960E01" w:rsidRDefault="00821CB5">
            <w:pPr>
              <w:pStyle w:val="P68B1DB1-TableParagraph40"/>
              <w:numPr>
                <w:ilvl w:val="0"/>
                <w:numId w:val="269"/>
              </w:numPr>
              <w:spacing w:before="108"/>
              <w:jc w:val="both"/>
            </w:pPr>
            <w:r>
              <w:t>Midler til dækning af generelle kreditinstitutrisici</w:t>
            </w:r>
          </w:p>
          <w:p w14:paraId="7FE1D20A" w14:textId="5F4C425A" w:rsidR="00960E01" w:rsidRDefault="00821CB5">
            <w:pPr>
              <w:pStyle w:val="P68B1DB1-TableParagraph40"/>
              <w:numPr>
                <w:ilvl w:val="0"/>
                <w:numId w:val="269"/>
              </w:numPr>
              <w:spacing w:before="108"/>
              <w:jc w:val="both"/>
            </w:pPr>
            <w:r>
              <w:t>Pensioner og andre ydelsesbaserede pensionsforpligtelser efter fratræden</w:t>
            </w:r>
          </w:p>
          <w:p w14:paraId="7FE1D20B" w14:textId="3AEADF9D" w:rsidR="00960E01" w:rsidRDefault="00821CB5">
            <w:pPr>
              <w:pStyle w:val="P68B1DB1-TableParagraph40"/>
              <w:numPr>
                <w:ilvl w:val="0"/>
                <w:numId w:val="269"/>
              </w:numPr>
              <w:spacing w:before="108"/>
              <w:jc w:val="both"/>
            </w:pPr>
            <w:r>
              <w:t>Personaleydelser. Bortset fra Pensioner og andre ydelsesbaserede pensionsordninger efter fratræden</w:t>
            </w:r>
          </w:p>
          <w:p w14:paraId="7FE1D20C" w14:textId="66AEA5AF" w:rsidR="00960E01" w:rsidRDefault="00821CB5">
            <w:pPr>
              <w:pStyle w:val="P68B1DB1-TableParagraph40"/>
              <w:numPr>
                <w:ilvl w:val="0"/>
                <w:numId w:val="269"/>
              </w:numPr>
              <w:spacing w:before="108"/>
              <w:jc w:val="both"/>
            </w:pPr>
            <w:r>
              <w:t>Omstrukturering</w:t>
            </w:r>
          </w:p>
          <w:p w14:paraId="7FE1D20D" w14:textId="72D6FCB9" w:rsidR="00960E01" w:rsidRDefault="00821CB5">
            <w:pPr>
              <w:pStyle w:val="P68B1DB1-TableParagraph40"/>
              <w:numPr>
                <w:ilvl w:val="0"/>
                <w:numId w:val="269"/>
              </w:numPr>
              <w:spacing w:before="108"/>
              <w:jc w:val="both"/>
            </w:pPr>
            <w:r>
              <w:t>Verserende retlige spørgsmål og skattetvister</w:t>
            </w:r>
          </w:p>
          <w:p w14:paraId="7FE1D20E" w14:textId="6A9A65DF" w:rsidR="00960E01" w:rsidRDefault="00821CB5">
            <w:pPr>
              <w:pStyle w:val="P68B1DB1-TableParagraph40"/>
              <w:numPr>
                <w:ilvl w:val="0"/>
                <w:numId w:val="269"/>
              </w:numPr>
              <w:spacing w:before="108"/>
              <w:jc w:val="both"/>
            </w:pPr>
            <w:r>
              <w:t>Ikkebalanceførte eksponeringer underlagt kreditrisiko</w:t>
            </w:r>
          </w:p>
          <w:p w14:paraId="7FE1D20F" w14:textId="69731D97" w:rsidR="00960E01" w:rsidRDefault="00821CB5">
            <w:pPr>
              <w:pStyle w:val="P68B1DB1-TableParagraph40"/>
              <w:numPr>
                <w:ilvl w:val="0"/>
                <w:numId w:val="269"/>
              </w:numPr>
              <w:spacing w:before="108"/>
              <w:jc w:val="both"/>
            </w:pPr>
            <w:r>
              <w:t>Bortset fra Personaleydelser, Omstrukturering, Verserende juridiske spørgsmål og skattesager, Ikkebalanceførte poster underlagt kreditrisiko</w:t>
            </w:r>
          </w:p>
          <w:p w14:paraId="7FE1D210" w14:textId="00431AB4" w:rsidR="00960E01" w:rsidRDefault="00821CB5">
            <w:pPr>
              <w:pStyle w:val="P68B1DB1-TableParagraph40"/>
              <w:numPr>
                <w:ilvl w:val="0"/>
                <w:numId w:val="269"/>
              </w:numPr>
              <w:spacing w:before="108"/>
              <w:jc w:val="both"/>
            </w:pPr>
            <w:r>
              <w:t>Skatteforpligtelser</w:t>
            </w:r>
          </w:p>
          <w:p w14:paraId="7FE1D211" w14:textId="29640DA2" w:rsidR="00960E01" w:rsidRDefault="00821CB5">
            <w:pPr>
              <w:pStyle w:val="P68B1DB1-TableParagraph40"/>
              <w:numPr>
                <w:ilvl w:val="0"/>
                <w:numId w:val="269"/>
              </w:numPr>
              <w:spacing w:before="108"/>
              <w:jc w:val="both"/>
            </w:pPr>
            <w:r>
              <w:t>Periodiserede indtægter</w:t>
            </w:r>
          </w:p>
          <w:p w14:paraId="7FE1D212" w14:textId="7E6BDA10" w:rsidR="00960E01" w:rsidRDefault="00821CB5">
            <w:pPr>
              <w:pStyle w:val="P68B1DB1-TableParagraph40"/>
              <w:numPr>
                <w:ilvl w:val="0"/>
                <w:numId w:val="269"/>
              </w:numPr>
              <w:spacing w:before="108"/>
              <w:jc w:val="both"/>
            </w:pPr>
            <w:r>
              <w:t>Andre forpligtelser end finansielle forpligtelser, hensættelser, skatteforpligtelser, udskudt indkomst</w:t>
            </w:r>
          </w:p>
        </w:tc>
      </w:tr>
      <w:tr w:rsidR="00960E01"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960E01" w:rsidRDefault="00821CB5">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960E01" w:rsidRDefault="00821CB5">
            <w:pPr>
              <w:pStyle w:val="P68B1DB1-TableParagraph40"/>
              <w:spacing w:before="108"/>
              <w:ind w:left="85"/>
              <w:jc w:val="both"/>
              <w:rPr>
                <w:b/>
                <w:bCs/>
              </w:rPr>
            </w:pPr>
            <w:r>
              <w:t xml:space="preserve"> </w:t>
            </w:r>
            <w:r>
              <w:rPr>
                <w:b/>
              </w:rPr>
              <w:t>Udestående beløb</w:t>
            </w:r>
          </w:p>
          <w:p w14:paraId="7FE1D216" w14:textId="41D11E8B" w:rsidR="00960E01" w:rsidRDefault="00821CB5">
            <w:pPr>
              <w:pStyle w:val="P68B1DB1-TableParagraph40"/>
              <w:spacing w:before="108"/>
              <w:ind w:left="85"/>
              <w:jc w:val="both"/>
            </w:pPr>
            <w:r>
              <w:t>Forpligtelsens udestående beløb.</w:t>
            </w:r>
          </w:p>
        </w:tc>
      </w:tr>
      <w:tr w:rsidR="00960E01"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960E01" w:rsidRDefault="00821CB5">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960E01" w:rsidRDefault="00821CB5">
            <w:pPr>
              <w:pStyle w:val="P68B1DB1-TableParagraph73"/>
              <w:spacing w:before="108"/>
              <w:ind w:left="85"/>
              <w:jc w:val="both"/>
              <w:rPr>
                <w:bCs/>
              </w:rPr>
            </w:pPr>
            <w:r>
              <w:t xml:space="preserve">Valuta  </w:t>
            </w:r>
          </w:p>
          <w:p w14:paraId="7FE1D21A" w14:textId="0E8D9FF4" w:rsidR="00960E01" w:rsidRDefault="00821CB5">
            <w:pPr>
              <w:pStyle w:val="P68B1DB1-TableParagraph40"/>
              <w:spacing w:before="108"/>
              <w:ind w:left="85"/>
              <w:jc w:val="both"/>
            </w:pPr>
            <w:r>
              <w:t>Passivets valuta udstedes i overensstemmelse med ISO 3-koden på 4217 bogstaver.</w:t>
            </w:r>
          </w:p>
        </w:tc>
      </w:tr>
      <w:tr w:rsidR="00960E01"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960E01" w:rsidRDefault="00821CB5">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960E01" w:rsidRDefault="00821CB5">
            <w:pPr>
              <w:pStyle w:val="P68B1DB1-TableParagraph73"/>
              <w:spacing w:before="108"/>
              <w:ind w:left="85"/>
              <w:jc w:val="both"/>
              <w:rPr>
                <w:bCs/>
              </w:rPr>
            </w:pPr>
            <w:r>
              <w:t xml:space="preserve"> Dato for anerkendelse </w:t>
            </w:r>
          </w:p>
          <w:p w14:paraId="7FE1D21E" w14:textId="6A3E04DE" w:rsidR="00960E01" w:rsidRDefault="00821CB5">
            <w:pPr>
              <w:pStyle w:val="P68B1DB1-TableParagraph40"/>
              <w:spacing w:before="108"/>
              <w:ind w:left="85"/>
              <w:jc w:val="both"/>
            </w:pPr>
            <w:r>
              <w:t>Den dato, hvor forpligtelsen blev indregnet i regnskaberne i henhold til de gældende regnskabsstandarder.</w:t>
            </w:r>
          </w:p>
        </w:tc>
      </w:tr>
      <w:tr w:rsidR="00960E01"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960E01" w:rsidRDefault="00821CB5">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960E01" w:rsidRDefault="00821CB5">
            <w:pPr>
              <w:pStyle w:val="P68B1DB1-TableParagraph73"/>
              <w:spacing w:before="108"/>
              <w:ind w:left="85"/>
              <w:jc w:val="both"/>
              <w:rPr>
                <w:bCs/>
              </w:rPr>
            </w:pPr>
            <w:r>
              <w:t xml:space="preserve">Udløbsdato </w:t>
            </w:r>
          </w:p>
          <w:p w14:paraId="7FE1D222" w14:textId="41BB691A" w:rsidR="00960E01" w:rsidRDefault="00821CB5">
            <w:pPr>
              <w:pStyle w:val="P68B1DB1-TableParagraph40"/>
              <w:spacing w:before="108"/>
              <w:ind w:left="85"/>
              <w:jc w:val="both"/>
            </w:pPr>
            <w:r>
              <w:t>Forpligtelsens juridiske, endelige forfaldsdato. For uafbrudte forpligtelser anvendes "2099-01-31".</w:t>
            </w:r>
          </w:p>
        </w:tc>
      </w:tr>
      <w:tr w:rsidR="00960E01"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960E01" w:rsidRDefault="00821CB5">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960E01" w:rsidRDefault="00821CB5">
            <w:pPr>
              <w:pStyle w:val="P68B1DB1-TableParagraph40"/>
              <w:spacing w:before="108"/>
              <w:ind w:left="85"/>
              <w:jc w:val="both"/>
              <w:rPr>
                <w:b/>
                <w:bCs/>
              </w:rPr>
            </w:pPr>
            <w:r>
              <w:t xml:space="preserve"> </w:t>
            </w:r>
            <w:r>
              <w:rPr>
                <w:b/>
              </w:rPr>
              <w:t>Kvalificeret som kapitalgrundlag</w:t>
            </w:r>
          </w:p>
          <w:p w14:paraId="7FE1D226" w14:textId="3E6ABC96" w:rsidR="00960E01" w:rsidRDefault="00821CB5">
            <w:pPr>
              <w:pStyle w:val="P68B1DB1-TableParagraph40"/>
              <w:spacing w:before="108"/>
              <w:ind w:left="85"/>
              <w:jc w:val="both"/>
            </w:pPr>
            <w:r>
              <w:t xml:space="preserve">Angiv, om og på hvilket niveau instrumentet indgår i kapitalgrundlaget, sammen med oplysninger om udfasningsordningen og overgangsbestemmelser. Værdien kan være "Nej", "Delvis AT1, T1 og T2", "T2 under udfasning", "Grandfathering T2", "Fully Compliant T2", "Grandfathering AT1", "Fully Compliant AT1" eller "CET1" fra en foruddefineret liste. </w:t>
            </w:r>
          </w:p>
          <w:p w14:paraId="7FE1D227" w14:textId="4662C12C" w:rsidR="00960E01" w:rsidRDefault="00821CB5">
            <w:pPr>
              <w:pStyle w:val="P68B1DB1-TableParagraph40"/>
              <w:spacing w:before="108"/>
              <w:ind w:left="85"/>
              <w:jc w:val="both"/>
            </w:pPr>
            <w:r>
              <w:t xml:space="preserve"> I listen over optioner henviser udtrykket "udfasning" til perioden på 5 år før udløb for et givet T2-instrument, hvor der kun er en forholdsmæssig anerkendelse baseret på den resterende løbetid. "Overgangsbestemmelser" henviser til enhver overgangsforanstaltning, der gælder for et T2-instrument, bortset fra "udfasning". Under denne "hævdvundne ret" kan anerkendelsen være fuldstændig eller delvis.</w:t>
            </w:r>
          </w:p>
        </w:tc>
      </w:tr>
      <w:tr w:rsidR="00960E01" w14:paraId="7FE1D22C" w14:textId="77777777">
        <w:tc>
          <w:tcPr>
            <w:tcW w:w="1183" w:type="dxa"/>
            <w:tcBorders>
              <w:top w:val="nil"/>
              <w:left w:val="nil"/>
              <w:bottom w:val="single" w:sz="8" w:space="0" w:color="1A171C"/>
              <w:right w:val="single" w:sz="8" w:space="0" w:color="1A171C"/>
            </w:tcBorders>
            <w:vAlign w:val="center"/>
          </w:tcPr>
          <w:p w14:paraId="7FE1D229" w14:textId="77777777" w:rsidR="00960E01" w:rsidRDefault="00821CB5">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960E01" w:rsidRDefault="00821CB5">
            <w:pPr>
              <w:pStyle w:val="P68B1DB1-TableParagraph40"/>
              <w:spacing w:before="108"/>
              <w:ind w:left="85"/>
              <w:jc w:val="both"/>
              <w:rPr>
                <w:b/>
                <w:bCs/>
              </w:rPr>
            </w:pPr>
            <w:r>
              <w:t xml:space="preserve"> </w:t>
            </w:r>
            <w:r>
              <w:rPr>
                <w:b/>
              </w:rPr>
              <w:t>Beløb, der er klassificeret som kapitalgrundlag</w:t>
            </w:r>
          </w:p>
          <w:p w14:paraId="7FE1D22B" w14:textId="01A9A811" w:rsidR="00960E01" w:rsidRDefault="00821CB5">
            <w:pPr>
              <w:pStyle w:val="P68B1DB1-TableParagraph40"/>
              <w:spacing w:before="108"/>
              <w:ind w:left="85"/>
              <w:jc w:val="both"/>
            </w:pPr>
            <w:r>
              <w:t>Værdien af instrumentet, der kvalificerer som kapitalgrundlag.</w:t>
            </w:r>
          </w:p>
        </w:tc>
      </w:tr>
    </w:tbl>
    <w:p w14:paraId="7FE1D22D" w14:textId="01F1CEAB" w:rsidR="00960E01" w:rsidRDefault="00960E01">
      <w:pPr>
        <w:pStyle w:val="body"/>
        <w:rPr>
          <w:rFonts w:ascii="Times New Roman" w:hAnsi="Times New Roman" w:cs="Times New Roman"/>
          <w:sz w:val="20"/>
          <w:szCs w:val="20"/>
        </w:rPr>
      </w:pPr>
    </w:p>
    <w:p w14:paraId="349218F7" w14:textId="77777777" w:rsidR="00960E01" w:rsidRDefault="00821CB5">
      <w:pPr>
        <w:pStyle w:val="P68B1DB1-Normal19"/>
        <w:spacing w:after="200" w:line="276" w:lineRule="auto"/>
      </w:pPr>
      <w:r>
        <w:br w:type="page"/>
      </w:r>
    </w:p>
    <w:p w14:paraId="42DED9B4" w14:textId="77777777" w:rsidR="00960E01" w:rsidRDefault="00960E01">
      <w:pPr>
        <w:pStyle w:val="Instructionsberschrift2"/>
        <w:ind w:left="357"/>
        <w:rPr>
          <w:rFonts w:ascii="Times New Roman" w:eastAsia="Calibri" w:hAnsi="Times New Roman" w:cs="Times New Roman"/>
          <w:szCs w:val="20"/>
        </w:rPr>
      </w:pPr>
    </w:p>
    <w:p w14:paraId="4BD624F8" w14:textId="77777777" w:rsidR="00960E01" w:rsidRDefault="00960E01">
      <w:pPr>
        <w:spacing w:after="200" w:line="276" w:lineRule="auto"/>
        <w:rPr>
          <w:rFonts w:ascii="Times New Roman" w:hAnsi="Times New Roman" w:cs="Times New Roman"/>
          <w:sz w:val="20"/>
          <w:szCs w:val="20"/>
        </w:rPr>
      </w:pPr>
    </w:p>
    <w:p w14:paraId="715529B0" w14:textId="64A141F4" w:rsidR="00960E01" w:rsidRDefault="00821CB5">
      <w:pPr>
        <w:pStyle w:val="P68B1DB1-Instructionsberschrift284"/>
        <w:numPr>
          <w:ilvl w:val="1"/>
          <w:numId w:val="49"/>
        </w:numPr>
        <w:spacing w:before="0"/>
        <w:ind w:left="357" w:hanging="357"/>
      </w:pPr>
      <w:bookmarkStart w:id="255" w:name="_Toc192248856"/>
      <w:bookmarkStart w:id="256" w:name="_Toc208244591"/>
      <w:r>
        <w:t>Bilag I — Liste over FMI'er, der skal anvendes i Z 09.01 — c0050</w:t>
      </w:r>
      <w:bookmarkEnd w:id="255"/>
      <w:bookmarkEnd w:id="256"/>
    </w:p>
    <w:p w14:paraId="31681B73" w14:textId="51FEAE08" w:rsidR="00960E01" w:rsidRDefault="00960E01">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960E01"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960E01" w:rsidRDefault="00821CB5">
            <w:pPr>
              <w:pStyle w:val="P68B1DB1-Normal90"/>
            </w:pPr>
            <w:r>
              <w:t>Optagelse i rullemenuen over FMI'er</w:t>
            </w:r>
          </w:p>
        </w:tc>
      </w:tr>
      <w:tr w:rsidR="00960E01" w14:paraId="09736821" w14:textId="77777777">
        <w:trPr>
          <w:trHeight w:val="300"/>
        </w:trPr>
        <w:tc>
          <w:tcPr>
            <w:tcW w:w="9072" w:type="dxa"/>
            <w:tcBorders>
              <w:top w:val="nil"/>
              <w:left w:val="nil"/>
              <w:bottom w:val="nil"/>
              <w:right w:val="nil"/>
            </w:tcBorders>
            <w:noWrap/>
            <w:vAlign w:val="bottom"/>
            <w:hideMark/>
          </w:tcPr>
          <w:p w14:paraId="65FBD6FC" w14:textId="77777777" w:rsidR="00960E01" w:rsidRDefault="00821CB5">
            <w:pPr>
              <w:pStyle w:val="P68B1DB1-Normal91"/>
            </w:pPr>
            <w:bookmarkStart w:id="257" w:name="RANGE!A3:A168"/>
            <w:r>
              <w:t>Clearingkontoret i Athen (ACO)</w:t>
            </w:r>
            <w:bookmarkEnd w:id="257"/>
          </w:p>
        </w:tc>
      </w:tr>
      <w:tr w:rsidR="00960E01" w14:paraId="447EB604" w14:textId="77777777">
        <w:trPr>
          <w:trHeight w:val="300"/>
        </w:trPr>
        <w:tc>
          <w:tcPr>
            <w:tcW w:w="9072" w:type="dxa"/>
            <w:tcBorders>
              <w:top w:val="nil"/>
              <w:left w:val="nil"/>
              <w:bottom w:val="nil"/>
              <w:right w:val="nil"/>
            </w:tcBorders>
            <w:noWrap/>
            <w:vAlign w:val="bottom"/>
            <w:hideMark/>
          </w:tcPr>
          <w:p w14:paraId="2B6E60A7" w14:textId="77777777" w:rsidR="00960E01" w:rsidRDefault="00821CB5">
            <w:pPr>
              <w:pStyle w:val="P68B1DB1-Normal91"/>
            </w:pPr>
            <w:r>
              <w:t>ATHEX (Athens fondsbørs)</w:t>
            </w:r>
          </w:p>
        </w:tc>
      </w:tr>
      <w:tr w:rsidR="00960E01" w14:paraId="0DF5C441" w14:textId="77777777">
        <w:trPr>
          <w:trHeight w:val="300"/>
        </w:trPr>
        <w:tc>
          <w:tcPr>
            <w:tcW w:w="9072" w:type="dxa"/>
            <w:tcBorders>
              <w:top w:val="nil"/>
              <w:left w:val="nil"/>
              <w:bottom w:val="nil"/>
              <w:right w:val="nil"/>
            </w:tcBorders>
            <w:noWrap/>
            <w:vAlign w:val="bottom"/>
            <w:hideMark/>
          </w:tcPr>
          <w:p w14:paraId="4C199F01" w14:textId="77777777" w:rsidR="00960E01" w:rsidRDefault="00821CB5">
            <w:pPr>
              <w:pStyle w:val="P68B1DB1-Normal91"/>
            </w:pPr>
            <w:r>
              <w:t>ATHEX CSD</w:t>
            </w:r>
          </w:p>
        </w:tc>
      </w:tr>
      <w:tr w:rsidR="00960E01" w14:paraId="6C8DFF2B" w14:textId="77777777">
        <w:trPr>
          <w:trHeight w:val="300"/>
        </w:trPr>
        <w:tc>
          <w:tcPr>
            <w:tcW w:w="9072" w:type="dxa"/>
            <w:tcBorders>
              <w:top w:val="nil"/>
              <w:left w:val="nil"/>
              <w:bottom w:val="nil"/>
              <w:right w:val="nil"/>
            </w:tcBorders>
            <w:noWrap/>
            <w:vAlign w:val="bottom"/>
            <w:hideMark/>
          </w:tcPr>
          <w:p w14:paraId="2876B1C1" w14:textId="77777777" w:rsidR="00960E01" w:rsidRDefault="00821CB5">
            <w:pPr>
              <w:pStyle w:val="P68B1DB1-Normal91"/>
            </w:pPr>
            <w:r>
              <w:t>ATHEXClear SA</w:t>
            </w:r>
          </w:p>
        </w:tc>
      </w:tr>
      <w:tr w:rsidR="00960E01" w14:paraId="24CE5F78" w14:textId="77777777">
        <w:trPr>
          <w:trHeight w:val="300"/>
        </w:trPr>
        <w:tc>
          <w:tcPr>
            <w:tcW w:w="9072" w:type="dxa"/>
            <w:tcBorders>
              <w:top w:val="nil"/>
              <w:left w:val="nil"/>
              <w:bottom w:val="nil"/>
              <w:right w:val="nil"/>
            </w:tcBorders>
            <w:noWrap/>
            <w:vAlign w:val="bottom"/>
            <w:hideMark/>
          </w:tcPr>
          <w:p w14:paraId="1E830E75" w14:textId="77777777" w:rsidR="00960E01" w:rsidRDefault="00821CB5">
            <w:pPr>
              <w:pStyle w:val="P68B1DB1-Normal91"/>
            </w:pPr>
            <w:r>
              <w:t>Clearingcentret ACH</w:t>
            </w:r>
          </w:p>
        </w:tc>
      </w:tr>
      <w:tr w:rsidR="00960E01" w14:paraId="2920AE45" w14:textId="77777777">
        <w:trPr>
          <w:trHeight w:val="300"/>
        </w:trPr>
        <w:tc>
          <w:tcPr>
            <w:tcW w:w="9072" w:type="dxa"/>
            <w:tcBorders>
              <w:top w:val="nil"/>
              <w:left w:val="nil"/>
              <w:bottom w:val="nil"/>
              <w:right w:val="nil"/>
            </w:tcBorders>
            <w:noWrap/>
            <w:vAlign w:val="bottom"/>
            <w:hideMark/>
          </w:tcPr>
          <w:p w14:paraId="1C314494" w14:textId="77777777" w:rsidR="00960E01" w:rsidRDefault="00821CB5">
            <w:pPr>
              <w:pStyle w:val="P68B1DB1-Normal91"/>
            </w:pPr>
            <w:r>
              <w:t>Automatisk clearingafviklingssystem (ACSS)</w:t>
            </w:r>
          </w:p>
        </w:tc>
      </w:tr>
      <w:tr w:rsidR="00960E01" w:rsidRPr="00BA6295" w14:paraId="1DB8A80A" w14:textId="77777777">
        <w:trPr>
          <w:trHeight w:val="300"/>
        </w:trPr>
        <w:tc>
          <w:tcPr>
            <w:tcW w:w="9072" w:type="dxa"/>
            <w:tcBorders>
              <w:top w:val="nil"/>
              <w:left w:val="nil"/>
              <w:bottom w:val="nil"/>
              <w:right w:val="nil"/>
            </w:tcBorders>
            <w:noWrap/>
            <w:vAlign w:val="bottom"/>
            <w:hideMark/>
          </w:tcPr>
          <w:p w14:paraId="65CA5200" w14:textId="77777777" w:rsidR="00960E01" w:rsidRPr="00BA6295" w:rsidRDefault="00821CB5">
            <w:pPr>
              <w:pStyle w:val="P68B1DB1-Normal91"/>
            </w:pPr>
            <w:r w:rsidRPr="00BA6295">
              <w:t>BACS (Bankers Automated Clearing Services)</w:t>
            </w:r>
          </w:p>
        </w:tc>
      </w:tr>
      <w:tr w:rsidR="00960E01" w14:paraId="0C931590" w14:textId="77777777">
        <w:trPr>
          <w:trHeight w:val="300"/>
        </w:trPr>
        <w:tc>
          <w:tcPr>
            <w:tcW w:w="9072" w:type="dxa"/>
            <w:tcBorders>
              <w:top w:val="nil"/>
              <w:left w:val="nil"/>
              <w:bottom w:val="nil"/>
              <w:right w:val="nil"/>
            </w:tcBorders>
            <w:noWrap/>
            <w:vAlign w:val="bottom"/>
            <w:hideMark/>
          </w:tcPr>
          <w:p w14:paraId="50133989" w14:textId="77777777" w:rsidR="00960E01" w:rsidRDefault="00821CB5">
            <w:pPr>
              <w:pStyle w:val="P68B1DB1-Normal91"/>
            </w:pPr>
            <w:r>
              <w:t>Bankgirot (Bankgirocentralen BGC AB)</w:t>
            </w:r>
          </w:p>
        </w:tc>
      </w:tr>
      <w:tr w:rsidR="00960E01" w14:paraId="2F8CAEE4" w14:textId="77777777">
        <w:trPr>
          <w:trHeight w:val="300"/>
        </w:trPr>
        <w:tc>
          <w:tcPr>
            <w:tcW w:w="9072" w:type="dxa"/>
            <w:tcBorders>
              <w:top w:val="nil"/>
              <w:left w:val="nil"/>
              <w:bottom w:val="nil"/>
              <w:right w:val="nil"/>
            </w:tcBorders>
            <w:noWrap/>
            <w:vAlign w:val="bottom"/>
            <w:hideMark/>
          </w:tcPr>
          <w:p w14:paraId="01AEF229" w14:textId="77777777" w:rsidR="00960E01" w:rsidRDefault="00821CB5">
            <w:pPr>
              <w:pStyle w:val="P68B1DB1-Normal91"/>
            </w:pPr>
            <w:r>
              <w:t>BI-COMP</w:t>
            </w:r>
          </w:p>
        </w:tc>
      </w:tr>
      <w:tr w:rsidR="00960E01" w14:paraId="7736D7E4" w14:textId="77777777">
        <w:trPr>
          <w:trHeight w:val="300"/>
        </w:trPr>
        <w:tc>
          <w:tcPr>
            <w:tcW w:w="9072" w:type="dxa"/>
            <w:tcBorders>
              <w:top w:val="nil"/>
              <w:left w:val="nil"/>
              <w:bottom w:val="nil"/>
              <w:right w:val="nil"/>
            </w:tcBorders>
            <w:noWrap/>
            <w:vAlign w:val="bottom"/>
            <w:hideMark/>
          </w:tcPr>
          <w:p w14:paraId="431E29D0" w14:textId="77777777" w:rsidR="00960E01" w:rsidRDefault="00821CB5">
            <w:pPr>
              <w:pStyle w:val="P68B1DB1-Normal91"/>
            </w:pPr>
            <w:r>
              <w:t>Bisera (Bankens integrerede system for elektroniske betalinger)</w:t>
            </w:r>
          </w:p>
        </w:tc>
      </w:tr>
      <w:tr w:rsidR="00960E01" w14:paraId="7AE977D3" w14:textId="77777777">
        <w:trPr>
          <w:trHeight w:val="300"/>
        </w:trPr>
        <w:tc>
          <w:tcPr>
            <w:tcW w:w="9072" w:type="dxa"/>
            <w:tcBorders>
              <w:top w:val="nil"/>
              <w:left w:val="nil"/>
              <w:bottom w:val="nil"/>
              <w:right w:val="nil"/>
            </w:tcBorders>
            <w:noWrap/>
            <w:vAlign w:val="bottom"/>
            <w:hideMark/>
          </w:tcPr>
          <w:p w14:paraId="0E054309" w14:textId="77777777" w:rsidR="00960E01" w:rsidRDefault="00821CB5">
            <w:pPr>
              <w:pStyle w:val="P68B1DB1-Normal91"/>
            </w:pPr>
            <w:r>
              <w:t>Bloomberg Trade Repository Limited</w:t>
            </w:r>
          </w:p>
        </w:tc>
      </w:tr>
      <w:tr w:rsidR="00960E01" w14:paraId="3DEFBBB0" w14:textId="77777777">
        <w:trPr>
          <w:trHeight w:val="300"/>
        </w:trPr>
        <w:tc>
          <w:tcPr>
            <w:tcW w:w="9072" w:type="dxa"/>
            <w:tcBorders>
              <w:top w:val="nil"/>
              <w:left w:val="nil"/>
              <w:bottom w:val="nil"/>
              <w:right w:val="nil"/>
            </w:tcBorders>
            <w:noWrap/>
            <w:vAlign w:val="bottom"/>
            <w:hideMark/>
          </w:tcPr>
          <w:p w14:paraId="69A6C566" w14:textId="77777777" w:rsidR="00960E01" w:rsidRDefault="00821CB5">
            <w:pPr>
              <w:pStyle w:val="P68B1DB1-Normal91"/>
            </w:pPr>
            <w:r>
              <w:t>BME</w:t>
            </w:r>
          </w:p>
        </w:tc>
      </w:tr>
      <w:tr w:rsidR="00960E01" w14:paraId="6C4EE14D" w14:textId="77777777">
        <w:trPr>
          <w:trHeight w:val="300"/>
        </w:trPr>
        <w:tc>
          <w:tcPr>
            <w:tcW w:w="9072" w:type="dxa"/>
            <w:tcBorders>
              <w:top w:val="nil"/>
              <w:left w:val="nil"/>
              <w:bottom w:val="nil"/>
              <w:right w:val="nil"/>
            </w:tcBorders>
            <w:noWrap/>
            <w:vAlign w:val="bottom"/>
            <w:hideMark/>
          </w:tcPr>
          <w:p w14:paraId="31001C6A" w14:textId="77777777" w:rsidR="00960E01" w:rsidRDefault="00821CB5">
            <w:pPr>
              <w:pStyle w:val="P68B1DB1-Normal91"/>
            </w:pPr>
            <w:r>
              <w:t>BME Clearing</w:t>
            </w:r>
          </w:p>
        </w:tc>
      </w:tr>
      <w:tr w:rsidR="00960E01" w:rsidRPr="00BA6295" w14:paraId="3ADECE08" w14:textId="77777777">
        <w:trPr>
          <w:trHeight w:val="300"/>
        </w:trPr>
        <w:tc>
          <w:tcPr>
            <w:tcW w:w="9072" w:type="dxa"/>
            <w:tcBorders>
              <w:top w:val="nil"/>
              <w:left w:val="nil"/>
              <w:bottom w:val="nil"/>
              <w:right w:val="nil"/>
            </w:tcBorders>
            <w:noWrap/>
            <w:vAlign w:val="bottom"/>
            <w:hideMark/>
          </w:tcPr>
          <w:p w14:paraId="29263C2A" w14:textId="77777777" w:rsidR="00960E01" w:rsidRPr="00BA6295" w:rsidRDefault="00821CB5">
            <w:pPr>
              <w:pStyle w:val="P68B1DB1-Normal91"/>
            </w:pPr>
            <w:r w:rsidRPr="00BA6295">
              <w:t>Højmoser (Bank of Greece Securities Settlement System)</w:t>
            </w:r>
          </w:p>
        </w:tc>
      </w:tr>
      <w:tr w:rsidR="00960E01" w14:paraId="6CCCB9AC" w14:textId="77777777">
        <w:trPr>
          <w:trHeight w:val="300"/>
        </w:trPr>
        <w:tc>
          <w:tcPr>
            <w:tcW w:w="9072" w:type="dxa"/>
            <w:tcBorders>
              <w:top w:val="nil"/>
              <w:left w:val="nil"/>
              <w:bottom w:val="nil"/>
              <w:right w:val="nil"/>
            </w:tcBorders>
            <w:noWrap/>
            <w:vAlign w:val="bottom"/>
            <w:hideMark/>
          </w:tcPr>
          <w:p w14:paraId="1092DA48" w14:textId="77777777" w:rsidR="00960E01" w:rsidRDefault="00821CB5">
            <w:pPr>
              <w:pStyle w:val="P68B1DB1-Normal91"/>
            </w:pPr>
            <w:r>
              <w:t>BOJ-NET</w:t>
            </w:r>
          </w:p>
        </w:tc>
      </w:tr>
      <w:tr w:rsidR="00960E01" w14:paraId="4CEE7A6B" w14:textId="77777777">
        <w:trPr>
          <w:trHeight w:val="300"/>
        </w:trPr>
        <w:tc>
          <w:tcPr>
            <w:tcW w:w="9072" w:type="dxa"/>
            <w:tcBorders>
              <w:top w:val="nil"/>
              <w:left w:val="nil"/>
              <w:bottom w:val="nil"/>
              <w:right w:val="nil"/>
            </w:tcBorders>
            <w:noWrap/>
            <w:vAlign w:val="bottom"/>
            <w:hideMark/>
          </w:tcPr>
          <w:p w14:paraId="04FBDA33" w14:textId="77777777" w:rsidR="00960E01" w:rsidRDefault="00821CB5">
            <w:pPr>
              <w:pStyle w:val="P68B1DB1-Normal91"/>
            </w:pPr>
            <w:r>
              <w:t>S.A.</w:t>
            </w:r>
          </w:p>
        </w:tc>
      </w:tr>
      <w:tr w:rsidR="00960E01" w14:paraId="3B8A9B67" w14:textId="77777777">
        <w:trPr>
          <w:trHeight w:val="300"/>
        </w:trPr>
        <w:tc>
          <w:tcPr>
            <w:tcW w:w="9072" w:type="dxa"/>
            <w:tcBorders>
              <w:top w:val="nil"/>
              <w:left w:val="nil"/>
              <w:bottom w:val="nil"/>
              <w:right w:val="nil"/>
            </w:tcBorders>
            <w:noWrap/>
            <w:vAlign w:val="bottom"/>
            <w:hideMark/>
          </w:tcPr>
          <w:p w14:paraId="73DB34EF" w14:textId="77777777" w:rsidR="00960E01" w:rsidRDefault="00821CB5">
            <w:pPr>
              <w:pStyle w:val="P68B1DB1-Normal91"/>
            </w:pPr>
            <w:r>
              <w:t>BORICA</w:t>
            </w:r>
          </w:p>
        </w:tc>
      </w:tr>
      <w:tr w:rsidR="00960E01" w14:paraId="5E8D43A2" w14:textId="77777777">
        <w:trPr>
          <w:trHeight w:val="300"/>
        </w:trPr>
        <w:tc>
          <w:tcPr>
            <w:tcW w:w="9072" w:type="dxa"/>
            <w:tcBorders>
              <w:top w:val="nil"/>
              <w:left w:val="nil"/>
              <w:bottom w:val="nil"/>
              <w:right w:val="nil"/>
            </w:tcBorders>
            <w:noWrap/>
            <w:vAlign w:val="bottom"/>
            <w:hideMark/>
          </w:tcPr>
          <w:p w14:paraId="4F788B85" w14:textId="77777777" w:rsidR="00960E01" w:rsidRDefault="00821CB5">
            <w:pPr>
              <w:pStyle w:val="P68B1DB1-Normal91"/>
            </w:pPr>
            <w:r>
              <w:t>Borsa Italiana SpA</w:t>
            </w:r>
          </w:p>
        </w:tc>
      </w:tr>
      <w:tr w:rsidR="00960E01" w14:paraId="0034826C" w14:textId="77777777">
        <w:trPr>
          <w:trHeight w:val="300"/>
        </w:trPr>
        <w:tc>
          <w:tcPr>
            <w:tcW w:w="9072" w:type="dxa"/>
            <w:tcBorders>
              <w:top w:val="nil"/>
              <w:left w:val="nil"/>
              <w:bottom w:val="nil"/>
              <w:right w:val="nil"/>
            </w:tcBorders>
            <w:noWrap/>
            <w:vAlign w:val="bottom"/>
            <w:hideMark/>
          </w:tcPr>
          <w:p w14:paraId="6C688147" w14:textId="77777777" w:rsidR="00960E01" w:rsidRDefault="00821CB5">
            <w:pPr>
              <w:pStyle w:val="P68B1DB1-Normal91"/>
            </w:pPr>
            <w:r>
              <w:t>Bratislavas Fondsbørs</w:t>
            </w:r>
          </w:p>
        </w:tc>
      </w:tr>
      <w:tr w:rsidR="00960E01" w14:paraId="2ACAB3C1" w14:textId="77777777">
        <w:trPr>
          <w:trHeight w:val="300"/>
        </w:trPr>
        <w:tc>
          <w:tcPr>
            <w:tcW w:w="9072" w:type="dxa"/>
            <w:tcBorders>
              <w:top w:val="nil"/>
              <w:left w:val="nil"/>
              <w:bottom w:val="nil"/>
              <w:right w:val="nil"/>
            </w:tcBorders>
            <w:noWrap/>
            <w:vAlign w:val="bottom"/>
            <w:hideMark/>
          </w:tcPr>
          <w:p w14:paraId="797C25FF" w14:textId="77777777" w:rsidR="00960E01" w:rsidRDefault="00821CB5">
            <w:pPr>
              <w:pStyle w:val="P68B1DB1-Normal91"/>
            </w:pPr>
            <w:r>
              <w:t>Budapest fondsbørs</w:t>
            </w:r>
          </w:p>
        </w:tc>
      </w:tr>
      <w:tr w:rsidR="00960E01" w14:paraId="7928BB77" w14:textId="77777777">
        <w:trPr>
          <w:trHeight w:val="300"/>
        </w:trPr>
        <w:tc>
          <w:tcPr>
            <w:tcW w:w="9072" w:type="dxa"/>
            <w:tcBorders>
              <w:top w:val="nil"/>
              <w:left w:val="nil"/>
              <w:bottom w:val="nil"/>
              <w:right w:val="nil"/>
            </w:tcBorders>
            <w:noWrap/>
            <w:vAlign w:val="bottom"/>
            <w:hideMark/>
          </w:tcPr>
          <w:p w14:paraId="3D5ECE9A" w14:textId="77777777" w:rsidR="00960E01" w:rsidRDefault="00821CB5">
            <w:pPr>
              <w:pStyle w:val="P68B1DB1-Normal91"/>
            </w:pPr>
            <w:r>
              <w:t>Bulgariens fondsbørs</w:t>
            </w:r>
          </w:p>
        </w:tc>
      </w:tr>
      <w:tr w:rsidR="00960E01" w14:paraId="3ED0C0E7" w14:textId="77777777">
        <w:trPr>
          <w:trHeight w:val="300"/>
        </w:trPr>
        <w:tc>
          <w:tcPr>
            <w:tcW w:w="9072" w:type="dxa"/>
            <w:tcBorders>
              <w:top w:val="nil"/>
              <w:left w:val="nil"/>
              <w:bottom w:val="nil"/>
              <w:right w:val="nil"/>
            </w:tcBorders>
            <w:noWrap/>
            <w:vAlign w:val="bottom"/>
            <w:hideMark/>
          </w:tcPr>
          <w:p w14:paraId="2AACB60C" w14:textId="77777777" w:rsidR="00960E01" w:rsidRDefault="00821CB5">
            <w:pPr>
              <w:pStyle w:val="P68B1DB1-Normal91"/>
            </w:pPr>
            <w:r>
              <w:t>Bursa de Valori Bucaresti</w:t>
            </w:r>
          </w:p>
        </w:tc>
      </w:tr>
      <w:tr w:rsidR="00960E01" w14:paraId="358B0CBB" w14:textId="77777777">
        <w:trPr>
          <w:trHeight w:val="300"/>
        </w:trPr>
        <w:tc>
          <w:tcPr>
            <w:tcW w:w="9072" w:type="dxa"/>
            <w:tcBorders>
              <w:top w:val="nil"/>
              <w:left w:val="nil"/>
              <w:bottom w:val="nil"/>
              <w:right w:val="nil"/>
            </w:tcBorders>
            <w:noWrap/>
            <w:vAlign w:val="bottom"/>
            <w:hideMark/>
          </w:tcPr>
          <w:p w14:paraId="69852FE3" w14:textId="77777777" w:rsidR="00960E01" w:rsidRDefault="00821CB5">
            <w:pPr>
              <w:pStyle w:val="P68B1DB1-Normal91"/>
            </w:pPr>
            <w:r>
              <w:t>Burza cenných papírě Praha a.s. (Prags fondsbørs)</w:t>
            </w:r>
          </w:p>
        </w:tc>
      </w:tr>
      <w:tr w:rsidR="00960E01" w14:paraId="2BEFFD1A" w14:textId="77777777">
        <w:trPr>
          <w:trHeight w:val="300"/>
        </w:trPr>
        <w:tc>
          <w:tcPr>
            <w:tcW w:w="9072" w:type="dxa"/>
            <w:tcBorders>
              <w:top w:val="nil"/>
              <w:left w:val="nil"/>
              <w:bottom w:val="nil"/>
              <w:right w:val="nil"/>
            </w:tcBorders>
            <w:noWrap/>
            <w:vAlign w:val="bottom"/>
            <w:hideMark/>
          </w:tcPr>
          <w:p w14:paraId="32741FAD" w14:textId="77777777" w:rsidR="00960E01" w:rsidRDefault="00821CB5">
            <w:pPr>
              <w:pStyle w:val="P68B1DB1-Normal91"/>
            </w:pPr>
            <w:r>
              <w:t>Canadisk depositar for værdipapirer (CDS)</w:t>
            </w:r>
          </w:p>
        </w:tc>
      </w:tr>
      <w:tr w:rsidR="00960E01" w14:paraId="588D9A6E" w14:textId="77777777">
        <w:trPr>
          <w:trHeight w:val="300"/>
        </w:trPr>
        <w:tc>
          <w:tcPr>
            <w:tcW w:w="9072" w:type="dxa"/>
            <w:tcBorders>
              <w:top w:val="nil"/>
              <w:left w:val="nil"/>
              <w:bottom w:val="nil"/>
              <w:right w:val="nil"/>
            </w:tcBorders>
            <w:noWrap/>
            <w:vAlign w:val="bottom"/>
            <w:hideMark/>
          </w:tcPr>
          <w:p w14:paraId="30CD8C56" w14:textId="77777777" w:rsidR="00960E01" w:rsidRDefault="00821CB5">
            <w:pPr>
              <w:pStyle w:val="P68B1DB1-Normal91"/>
            </w:pPr>
            <w:r>
              <w:t>Canadian Derivatives Clearing Corporation</w:t>
            </w:r>
          </w:p>
        </w:tc>
      </w:tr>
      <w:tr w:rsidR="00960E01" w14:paraId="47A4B165" w14:textId="77777777">
        <w:trPr>
          <w:trHeight w:val="300"/>
        </w:trPr>
        <w:tc>
          <w:tcPr>
            <w:tcW w:w="9072" w:type="dxa"/>
            <w:tcBorders>
              <w:top w:val="nil"/>
              <w:left w:val="nil"/>
              <w:bottom w:val="nil"/>
              <w:right w:val="nil"/>
            </w:tcBorders>
            <w:noWrap/>
            <w:vAlign w:val="bottom"/>
          </w:tcPr>
          <w:p w14:paraId="4B6A49F9" w14:textId="77777777" w:rsidR="00960E01" w:rsidRDefault="00821CB5">
            <w:pPr>
              <w:pStyle w:val="P68B1DB1-Normal91"/>
            </w:pPr>
            <w:r>
              <w:t>Cboe Clear Europe</w:t>
            </w:r>
          </w:p>
        </w:tc>
      </w:tr>
      <w:tr w:rsidR="00960E01" w14:paraId="00F4E07D" w14:textId="77777777">
        <w:trPr>
          <w:trHeight w:val="300"/>
        </w:trPr>
        <w:tc>
          <w:tcPr>
            <w:tcW w:w="9072" w:type="dxa"/>
            <w:tcBorders>
              <w:top w:val="nil"/>
              <w:left w:val="nil"/>
              <w:bottom w:val="nil"/>
              <w:right w:val="nil"/>
            </w:tcBorders>
            <w:noWrap/>
            <w:vAlign w:val="bottom"/>
            <w:hideMark/>
          </w:tcPr>
          <w:p w14:paraId="143644AA" w14:textId="77777777" w:rsidR="00960E01" w:rsidRDefault="00821CB5">
            <w:pPr>
              <w:pStyle w:val="P68B1DB1-Normal91"/>
            </w:pPr>
            <w:r>
              <w:t>CCP Østrig</w:t>
            </w:r>
          </w:p>
        </w:tc>
      </w:tr>
      <w:tr w:rsidR="00960E01" w14:paraId="49668E14" w14:textId="77777777">
        <w:trPr>
          <w:trHeight w:val="300"/>
        </w:trPr>
        <w:tc>
          <w:tcPr>
            <w:tcW w:w="9072" w:type="dxa"/>
            <w:tcBorders>
              <w:top w:val="nil"/>
              <w:left w:val="nil"/>
              <w:bottom w:val="nil"/>
              <w:right w:val="nil"/>
            </w:tcBorders>
            <w:noWrap/>
            <w:vAlign w:val="bottom"/>
            <w:hideMark/>
          </w:tcPr>
          <w:p w14:paraId="4D54CDC3" w14:textId="77777777" w:rsidR="00960E01" w:rsidRDefault="00821CB5">
            <w:pPr>
              <w:pStyle w:val="P68B1DB1-Normal91"/>
            </w:pPr>
            <w:r>
              <w:t>CEC/UCV</w:t>
            </w:r>
          </w:p>
        </w:tc>
      </w:tr>
      <w:tr w:rsidR="00960E01" w14:paraId="13CEB735" w14:textId="77777777">
        <w:trPr>
          <w:trHeight w:val="300"/>
        </w:trPr>
        <w:tc>
          <w:tcPr>
            <w:tcW w:w="9072" w:type="dxa"/>
            <w:tcBorders>
              <w:top w:val="nil"/>
              <w:left w:val="nil"/>
              <w:bottom w:val="nil"/>
              <w:right w:val="nil"/>
            </w:tcBorders>
            <w:noWrap/>
            <w:vAlign w:val="bottom"/>
            <w:hideMark/>
          </w:tcPr>
          <w:p w14:paraId="7E656B34" w14:textId="77777777" w:rsidR="00960E01" w:rsidRDefault="00821CB5">
            <w:pPr>
              <w:pStyle w:val="P68B1DB1-Normal91"/>
            </w:pPr>
            <w:r>
              <w:t>CEESEG AG (Wiener Borse)</w:t>
            </w:r>
          </w:p>
        </w:tc>
      </w:tr>
      <w:tr w:rsidR="00960E01" w14:paraId="38BBF453" w14:textId="77777777">
        <w:trPr>
          <w:trHeight w:val="300"/>
        </w:trPr>
        <w:tc>
          <w:tcPr>
            <w:tcW w:w="9072" w:type="dxa"/>
            <w:tcBorders>
              <w:top w:val="nil"/>
              <w:left w:val="nil"/>
              <w:bottom w:val="nil"/>
              <w:right w:val="nil"/>
            </w:tcBorders>
            <w:noWrap/>
            <w:vAlign w:val="bottom"/>
            <w:hideMark/>
          </w:tcPr>
          <w:p w14:paraId="7C5735E8" w14:textId="77777777" w:rsidR="00960E01" w:rsidRDefault="00821CB5">
            <w:pPr>
              <w:pStyle w:val="P68B1DB1-Normal91"/>
            </w:pPr>
            <w:r>
              <w:t>Central depositarvirksomhed "Clearing Company"</w:t>
            </w:r>
          </w:p>
        </w:tc>
      </w:tr>
      <w:tr w:rsidR="00960E01" w14:paraId="100E6E04" w14:textId="77777777">
        <w:trPr>
          <w:trHeight w:val="300"/>
        </w:trPr>
        <w:tc>
          <w:tcPr>
            <w:tcW w:w="9072" w:type="dxa"/>
            <w:tcBorders>
              <w:top w:val="nil"/>
              <w:left w:val="nil"/>
              <w:bottom w:val="nil"/>
              <w:right w:val="nil"/>
            </w:tcBorders>
            <w:noWrap/>
            <w:vAlign w:val="bottom"/>
            <w:hideMark/>
          </w:tcPr>
          <w:p w14:paraId="1D98F57D" w14:textId="77777777" w:rsidR="00960E01" w:rsidRDefault="00821CB5">
            <w:pPr>
              <w:pStyle w:val="P68B1DB1-Normal91"/>
            </w:pPr>
            <w:r>
              <w:t>Central depositar AD</w:t>
            </w:r>
          </w:p>
        </w:tc>
      </w:tr>
      <w:tr w:rsidR="00960E01" w14:paraId="3E41A5D7" w14:textId="77777777">
        <w:trPr>
          <w:trHeight w:val="300"/>
        </w:trPr>
        <w:tc>
          <w:tcPr>
            <w:tcW w:w="9072" w:type="dxa"/>
            <w:tcBorders>
              <w:top w:val="nil"/>
              <w:left w:val="nil"/>
              <w:bottom w:val="nil"/>
              <w:right w:val="nil"/>
            </w:tcBorders>
            <w:noWrap/>
            <w:vAlign w:val="bottom"/>
            <w:hideMark/>
          </w:tcPr>
          <w:p w14:paraId="149F4C5F" w14:textId="77777777" w:rsidR="00960E01" w:rsidRDefault="00821CB5">
            <w:pPr>
              <w:pStyle w:val="P68B1DB1-Normal91"/>
            </w:pPr>
            <w:r>
              <w:t>Centraldepot og centralregister</w:t>
            </w:r>
          </w:p>
        </w:tc>
      </w:tr>
      <w:tr w:rsidR="00960E01" w14:paraId="1B4CF3CD" w14:textId="77777777">
        <w:trPr>
          <w:trHeight w:val="300"/>
        </w:trPr>
        <w:tc>
          <w:tcPr>
            <w:tcW w:w="9072" w:type="dxa"/>
            <w:tcBorders>
              <w:top w:val="nil"/>
              <w:left w:val="nil"/>
              <w:bottom w:val="nil"/>
              <w:right w:val="nil"/>
            </w:tcBorders>
            <w:noWrap/>
            <w:vAlign w:val="bottom"/>
            <w:hideMark/>
          </w:tcPr>
          <w:p w14:paraId="7783EDF6" w14:textId="77777777" w:rsidR="00960E01" w:rsidRDefault="00821CB5">
            <w:pPr>
              <w:pStyle w:val="P68B1DB1-Normal91"/>
            </w:pPr>
            <w:r>
              <w:t>Centralna klirinško depotna družba (KDD)</w:t>
            </w:r>
          </w:p>
        </w:tc>
      </w:tr>
      <w:tr w:rsidR="00960E01" w14:paraId="7812614A" w14:textId="77777777">
        <w:trPr>
          <w:trHeight w:val="300"/>
        </w:trPr>
        <w:tc>
          <w:tcPr>
            <w:tcW w:w="9072" w:type="dxa"/>
            <w:tcBorders>
              <w:top w:val="nil"/>
              <w:left w:val="nil"/>
              <w:bottom w:val="nil"/>
              <w:right w:val="nil"/>
            </w:tcBorders>
            <w:noWrap/>
            <w:vAlign w:val="bottom"/>
            <w:hideMark/>
          </w:tcPr>
          <w:p w14:paraId="7231B5A5" w14:textId="77777777" w:rsidR="00960E01" w:rsidRDefault="00821CB5">
            <w:pPr>
              <w:pStyle w:val="P68B1DB1-Normal91"/>
            </w:pPr>
            <w:r>
              <w:t>Centrální depozitár cenných papíru SR a.s. (CDCP)/værdipapircentral i Prag</w:t>
            </w:r>
          </w:p>
        </w:tc>
      </w:tr>
      <w:tr w:rsidR="00960E01" w:rsidRPr="00BA6295" w14:paraId="3DFD9976" w14:textId="77777777">
        <w:trPr>
          <w:trHeight w:val="300"/>
        </w:trPr>
        <w:tc>
          <w:tcPr>
            <w:tcW w:w="9072" w:type="dxa"/>
            <w:tcBorders>
              <w:top w:val="nil"/>
              <w:left w:val="nil"/>
              <w:bottom w:val="nil"/>
              <w:right w:val="nil"/>
            </w:tcBorders>
            <w:noWrap/>
            <w:vAlign w:val="bottom"/>
            <w:hideMark/>
          </w:tcPr>
          <w:p w14:paraId="742B58E1" w14:textId="77777777" w:rsidR="00960E01" w:rsidRPr="00BA6295" w:rsidRDefault="00821CB5">
            <w:pPr>
              <w:pStyle w:val="P68B1DB1-Normal91"/>
            </w:pPr>
            <w:r w:rsidRPr="00BA6295">
              <w:t>Centrálny Depositár cenných Papierov (CDCP) SR</w:t>
            </w:r>
          </w:p>
        </w:tc>
      </w:tr>
      <w:tr w:rsidR="00960E01" w14:paraId="0C3666C6" w14:textId="77777777">
        <w:trPr>
          <w:trHeight w:val="300"/>
        </w:trPr>
        <w:tc>
          <w:tcPr>
            <w:tcW w:w="9072" w:type="dxa"/>
            <w:tcBorders>
              <w:top w:val="nil"/>
              <w:left w:val="nil"/>
              <w:bottom w:val="nil"/>
              <w:right w:val="nil"/>
            </w:tcBorders>
            <w:noWrap/>
            <w:vAlign w:val="bottom"/>
            <w:hideMark/>
          </w:tcPr>
          <w:p w14:paraId="44F52918" w14:textId="77777777" w:rsidR="00960E01" w:rsidRDefault="00821CB5">
            <w:pPr>
              <w:pStyle w:val="P68B1DB1-Normal91"/>
            </w:pPr>
            <w:r>
              <w:t>CENTROlink</w:t>
            </w:r>
          </w:p>
        </w:tc>
      </w:tr>
      <w:tr w:rsidR="00960E01" w:rsidRPr="00BA6295" w14:paraId="1BAAD6F5" w14:textId="77777777">
        <w:trPr>
          <w:trHeight w:val="300"/>
        </w:trPr>
        <w:tc>
          <w:tcPr>
            <w:tcW w:w="9072" w:type="dxa"/>
            <w:tcBorders>
              <w:top w:val="nil"/>
              <w:left w:val="nil"/>
              <w:bottom w:val="nil"/>
              <w:right w:val="nil"/>
            </w:tcBorders>
            <w:noWrap/>
            <w:vAlign w:val="bottom"/>
            <w:hideMark/>
          </w:tcPr>
          <w:p w14:paraId="1E11605F" w14:textId="77777777" w:rsidR="00960E01" w:rsidRPr="00BA6295" w:rsidRDefault="00821CB5">
            <w:pPr>
              <w:pStyle w:val="P68B1DB1-Normal91"/>
            </w:pPr>
            <w:r w:rsidRPr="00BA6295">
              <w:t>Certis (Czech Express Real Time Interbank Gross Settlement System)</w:t>
            </w:r>
          </w:p>
        </w:tc>
      </w:tr>
      <w:tr w:rsidR="00960E01" w14:paraId="58D71B59" w14:textId="77777777">
        <w:trPr>
          <w:trHeight w:val="300"/>
        </w:trPr>
        <w:tc>
          <w:tcPr>
            <w:tcW w:w="9072" w:type="dxa"/>
            <w:tcBorders>
              <w:top w:val="nil"/>
              <w:left w:val="nil"/>
              <w:bottom w:val="nil"/>
              <w:right w:val="nil"/>
            </w:tcBorders>
            <w:noWrap/>
            <w:vAlign w:val="bottom"/>
            <w:hideMark/>
          </w:tcPr>
          <w:p w14:paraId="0405428F" w14:textId="77777777" w:rsidR="00960E01" w:rsidRDefault="00821CB5">
            <w:pPr>
              <w:pStyle w:val="P68B1DB1-Normal91"/>
            </w:pPr>
            <w:r>
              <w:t>Chaps (clearinghusets automatiske betalingssystem)</w:t>
            </w:r>
          </w:p>
        </w:tc>
      </w:tr>
      <w:tr w:rsidR="00960E01" w:rsidRPr="00BA6295" w14:paraId="0F052492" w14:textId="77777777">
        <w:trPr>
          <w:trHeight w:val="300"/>
        </w:trPr>
        <w:tc>
          <w:tcPr>
            <w:tcW w:w="9072" w:type="dxa"/>
            <w:tcBorders>
              <w:top w:val="nil"/>
              <w:left w:val="nil"/>
              <w:bottom w:val="nil"/>
              <w:right w:val="nil"/>
            </w:tcBorders>
            <w:noWrap/>
            <w:vAlign w:val="bottom"/>
            <w:hideMark/>
          </w:tcPr>
          <w:p w14:paraId="4F411666" w14:textId="77777777" w:rsidR="00960E01" w:rsidRPr="00BA6295" w:rsidRDefault="00821CB5">
            <w:pPr>
              <w:pStyle w:val="P68B1DB1-Normal91"/>
            </w:pPr>
            <w:r w:rsidRPr="00BA6295">
              <w:t>Cheque "Credit Clearing System Ltd.</w:t>
            </w:r>
          </w:p>
        </w:tc>
      </w:tr>
      <w:tr w:rsidR="00960E01" w14:paraId="0979B652" w14:textId="77777777">
        <w:trPr>
          <w:trHeight w:val="300"/>
        </w:trPr>
        <w:tc>
          <w:tcPr>
            <w:tcW w:w="9072" w:type="dxa"/>
            <w:tcBorders>
              <w:top w:val="nil"/>
              <w:left w:val="nil"/>
              <w:bottom w:val="nil"/>
              <w:right w:val="nil"/>
            </w:tcBorders>
            <w:noWrap/>
            <w:vAlign w:val="bottom"/>
            <w:hideMark/>
          </w:tcPr>
          <w:p w14:paraId="53589C87" w14:textId="77777777" w:rsidR="00960E01" w:rsidRDefault="00821CB5">
            <w:pPr>
              <w:pStyle w:val="P68B1DB1-Normal91"/>
            </w:pPr>
            <w:r>
              <w:lastRenderedPageBreak/>
              <w:t>CHIPS</w:t>
            </w:r>
          </w:p>
        </w:tc>
      </w:tr>
      <w:tr w:rsidR="00960E01" w14:paraId="3FA985BC" w14:textId="77777777">
        <w:trPr>
          <w:trHeight w:val="300"/>
        </w:trPr>
        <w:tc>
          <w:tcPr>
            <w:tcW w:w="9072" w:type="dxa"/>
            <w:tcBorders>
              <w:top w:val="nil"/>
              <w:left w:val="nil"/>
              <w:bottom w:val="nil"/>
              <w:right w:val="nil"/>
            </w:tcBorders>
            <w:noWrap/>
            <w:vAlign w:val="bottom"/>
            <w:hideMark/>
          </w:tcPr>
          <w:p w14:paraId="1D542203" w14:textId="77777777" w:rsidR="00960E01" w:rsidRDefault="00821CB5">
            <w:pPr>
              <w:pStyle w:val="P68B1DB1-Normal91"/>
            </w:pPr>
            <w:r>
              <w:t>Clearingtjeneste Østrig (CSA)</w:t>
            </w:r>
          </w:p>
        </w:tc>
      </w:tr>
      <w:tr w:rsidR="00960E01" w14:paraId="6FFF162D" w14:textId="77777777">
        <w:trPr>
          <w:trHeight w:val="300"/>
        </w:trPr>
        <w:tc>
          <w:tcPr>
            <w:tcW w:w="9072" w:type="dxa"/>
            <w:tcBorders>
              <w:top w:val="nil"/>
              <w:left w:val="nil"/>
              <w:bottom w:val="nil"/>
              <w:right w:val="nil"/>
            </w:tcBorders>
            <w:noWrap/>
            <w:vAlign w:val="bottom"/>
            <w:hideMark/>
          </w:tcPr>
          <w:p w14:paraId="657C636C" w14:textId="77777777" w:rsidR="00960E01" w:rsidRDefault="00821CB5">
            <w:pPr>
              <w:pStyle w:val="P68B1DB1-Normal91"/>
            </w:pPr>
            <w:r>
              <w:t>Clearing Service International (CSI)</w:t>
            </w:r>
          </w:p>
        </w:tc>
      </w:tr>
      <w:tr w:rsidR="00960E01" w14:paraId="086AA89E" w14:textId="77777777">
        <w:trPr>
          <w:trHeight w:val="300"/>
        </w:trPr>
        <w:tc>
          <w:tcPr>
            <w:tcW w:w="9072" w:type="dxa"/>
            <w:tcBorders>
              <w:top w:val="nil"/>
              <w:left w:val="nil"/>
              <w:bottom w:val="nil"/>
              <w:right w:val="nil"/>
            </w:tcBorders>
            <w:noWrap/>
            <w:vAlign w:val="bottom"/>
            <w:hideMark/>
          </w:tcPr>
          <w:p w14:paraId="2802A46D" w14:textId="77777777" w:rsidR="00960E01" w:rsidRDefault="00821CB5">
            <w:pPr>
              <w:pStyle w:val="P68B1DB1-Normal91"/>
            </w:pPr>
            <w:r>
              <w:t>Clearstream Banking AG</w:t>
            </w:r>
          </w:p>
        </w:tc>
      </w:tr>
      <w:tr w:rsidR="00960E01" w14:paraId="0E099AF5" w14:textId="77777777">
        <w:trPr>
          <w:trHeight w:val="300"/>
        </w:trPr>
        <w:tc>
          <w:tcPr>
            <w:tcW w:w="9072" w:type="dxa"/>
            <w:tcBorders>
              <w:top w:val="nil"/>
              <w:left w:val="nil"/>
              <w:bottom w:val="nil"/>
              <w:right w:val="nil"/>
            </w:tcBorders>
            <w:noWrap/>
            <w:vAlign w:val="bottom"/>
            <w:hideMark/>
          </w:tcPr>
          <w:p w14:paraId="7ED35FA8" w14:textId="77777777" w:rsidR="00960E01" w:rsidRDefault="00821CB5">
            <w:pPr>
              <w:pStyle w:val="P68B1DB1-Normal91"/>
            </w:pPr>
            <w:r>
              <w:t>Clearstream Banking Luxembourg</w:t>
            </w:r>
          </w:p>
        </w:tc>
      </w:tr>
      <w:tr w:rsidR="00960E01" w14:paraId="55359EE8" w14:textId="77777777">
        <w:trPr>
          <w:trHeight w:val="300"/>
        </w:trPr>
        <w:tc>
          <w:tcPr>
            <w:tcW w:w="9072" w:type="dxa"/>
            <w:tcBorders>
              <w:top w:val="nil"/>
              <w:left w:val="nil"/>
              <w:bottom w:val="nil"/>
              <w:right w:val="nil"/>
            </w:tcBorders>
            <w:noWrap/>
            <w:vAlign w:val="bottom"/>
            <w:hideMark/>
          </w:tcPr>
          <w:p w14:paraId="218A6446" w14:textId="77777777" w:rsidR="00960E01" w:rsidRDefault="00821CB5">
            <w:pPr>
              <w:pStyle w:val="P68B1DB1-Normal91"/>
            </w:pPr>
            <w:r>
              <w:t>CLS</w:t>
            </w:r>
          </w:p>
        </w:tc>
      </w:tr>
      <w:tr w:rsidR="00960E01" w:rsidRPr="00BA6295" w14:paraId="6A82B717" w14:textId="77777777">
        <w:trPr>
          <w:trHeight w:val="300"/>
        </w:trPr>
        <w:tc>
          <w:tcPr>
            <w:tcW w:w="9072" w:type="dxa"/>
            <w:tcBorders>
              <w:top w:val="nil"/>
              <w:left w:val="nil"/>
              <w:bottom w:val="nil"/>
              <w:right w:val="nil"/>
            </w:tcBorders>
            <w:noWrap/>
            <w:vAlign w:val="bottom"/>
            <w:hideMark/>
          </w:tcPr>
          <w:p w14:paraId="051DFD15" w14:textId="77777777" w:rsidR="00960E01" w:rsidRPr="00BA6295" w:rsidRDefault="00821CB5">
            <w:pPr>
              <w:pStyle w:val="P68B1DB1-Normal91"/>
            </w:pPr>
            <w:r w:rsidRPr="00BA6295">
              <w:t>CME Trade Repository Ltd (CME TR)</w:t>
            </w:r>
          </w:p>
        </w:tc>
      </w:tr>
      <w:tr w:rsidR="00960E01" w14:paraId="06831526" w14:textId="77777777">
        <w:trPr>
          <w:trHeight w:val="300"/>
        </w:trPr>
        <w:tc>
          <w:tcPr>
            <w:tcW w:w="9072" w:type="dxa"/>
            <w:tcBorders>
              <w:top w:val="nil"/>
              <w:left w:val="nil"/>
              <w:bottom w:val="nil"/>
              <w:right w:val="nil"/>
            </w:tcBorders>
            <w:noWrap/>
            <w:vAlign w:val="bottom"/>
            <w:hideMark/>
          </w:tcPr>
          <w:p w14:paraId="33B6CA7E" w14:textId="77777777" w:rsidR="00960E01" w:rsidRDefault="00821CB5">
            <w:pPr>
              <w:pStyle w:val="P68B1DB1-Normal91"/>
            </w:pPr>
            <w:r>
              <w:t>Cyperns clearingcentral</w:t>
            </w:r>
          </w:p>
        </w:tc>
      </w:tr>
      <w:tr w:rsidR="00960E01" w14:paraId="3BB1F880" w14:textId="77777777">
        <w:trPr>
          <w:trHeight w:val="300"/>
        </w:trPr>
        <w:tc>
          <w:tcPr>
            <w:tcW w:w="9072" w:type="dxa"/>
            <w:tcBorders>
              <w:top w:val="nil"/>
              <w:left w:val="nil"/>
              <w:bottom w:val="nil"/>
              <w:right w:val="nil"/>
            </w:tcBorders>
            <w:noWrap/>
            <w:vAlign w:val="bottom"/>
            <w:hideMark/>
          </w:tcPr>
          <w:p w14:paraId="6DCF1051" w14:textId="77777777" w:rsidR="00960E01" w:rsidRDefault="00821CB5">
            <w:pPr>
              <w:pStyle w:val="P68B1DB1-Normal91"/>
            </w:pPr>
            <w:r>
              <w:t>Cyperns Fondsbørs</w:t>
            </w:r>
          </w:p>
        </w:tc>
      </w:tr>
      <w:tr w:rsidR="00960E01" w14:paraId="7F6A962C" w14:textId="77777777">
        <w:trPr>
          <w:trHeight w:val="300"/>
        </w:trPr>
        <w:tc>
          <w:tcPr>
            <w:tcW w:w="9072" w:type="dxa"/>
            <w:tcBorders>
              <w:top w:val="nil"/>
              <w:left w:val="nil"/>
              <w:bottom w:val="nil"/>
              <w:right w:val="nil"/>
            </w:tcBorders>
            <w:noWrap/>
            <w:vAlign w:val="bottom"/>
            <w:hideMark/>
          </w:tcPr>
          <w:p w14:paraId="359710C1" w14:textId="77777777" w:rsidR="00960E01" w:rsidRDefault="00821CB5">
            <w:pPr>
              <w:pStyle w:val="P68B1DB1-Normal91"/>
            </w:pPr>
            <w:r>
              <w:t>Dataclearing</w:t>
            </w:r>
          </w:p>
        </w:tc>
      </w:tr>
      <w:tr w:rsidR="00960E01" w14:paraId="0118AB34" w14:textId="77777777">
        <w:trPr>
          <w:trHeight w:val="300"/>
        </w:trPr>
        <w:tc>
          <w:tcPr>
            <w:tcW w:w="9072" w:type="dxa"/>
            <w:tcBorders>
              <w:top w:val="nil"/>
              <w:left w:val="nil"/>
              <w:bottom w:val="nil"/>
              <w:right w:val="nil"/>
            </w:tcBorders>
            <w:noWrap/>
            <w:vAlign w:val="bottom"/>
            <w:hideMark/>
          </w:tcPr>
          <w:p w14:paraId="371022ED" w14:textId="77777777" w:rsidR="00960E01" w:rsidRDefault="00821CB5">
            <w:pPr>
              <w:pStyle w:val="P68B1DB1-Normal91"/>
            </w:pPr>
            <w:r>
              <w:t>Depozitarul Central S.A.</w:t>
            </w:r>
          </w:p>
        </w:tc>
      </w:tr>
      <w:tr w:rsidR="00960E01" w14:paraId="2356D6E7" w14:textId="77777777">
        <w:trPr>
          <w:trHeight w:val="300"/>
        </w:trPr>
        <w:tc>
          <w:tcPr>
            <w:tcW w:w="9072" w:type="dxa"/>
            <w:tcBorders>
              <w:top w:val="nil"/>
              <w:left w:val="nil"/>
              <w:bottom w:val="nil"/>
              <w:right w:val="nil"/>
            </w:tcBorders>
            <w:noWrap/>
            <w:vAlign w:val="bottom"/>
            <w:hideMark/>
          </w:tcPr>
          <w:p w14:paraId="2A6C99D9" w14:textId="77777777" w:rsidR="00960E01" w:rsidRDefault="00821CB5">
            <w:pPr>
              <w:pStyle w:val="P68B1DB1-Normal91"/>
            </w:pPr>
            <w:r>
              <w:t>Deutsche Börse AG.</w:t>
            </w:r>
          </w:p>
        </w:tc>
      </w:tr>
      <w:tr w:rsidR="00960E01" w:rsidRPr="00BA6295" w14:paraId="086E410F" w14:textId="77777777">
        <w:trPr>
          <w:trHeight w:val="300"/>
        </w:trPr>
        <w:tc>
          <w:tcPr>
            <w:tcW w:w="9072" w:type="dxa"/>
            <w:tcBorders>
              <w:top w:val="nil"/>
              <w:left w:val="nil"/>
              <w:bottom w:val="nil"/>
              <w:right w:val="nil"/>
            </w:tcBorders>
            <w:noWrap/>
            <w:vAlign w:val="bottom"/>
            <w:hideMark/>
          </w:tcPr>
          <w:p w14:paraId="557F1C51" w14:textId="77777777" w:rsidR="00960E01" w:rsidRPr="00BA6295" w:rsidRDefault="00821CB5">
            <w:pPr>
              <w:pStyle w:val="P68B1DB1-Normal91"/>
            </w:pPr>
            <w:r w:rsidRPr="00BA6295">
              <w:t>Dias (Interbank Systems S.A.)</w:t>
            </w:r>
          </w:p>
        </w:tc>
      </w:tr>
      <w:tr w:rsidR="00960E01" w14:paraId="2ADBEB7D" w14:textId="77777777">
        <w:trPr>
          <w:trHeight w:val="300"/>
        </w:trPr>
        <w:tc>
          <w:tcPr>
            <w:tcW w:w="9072" w:type="dxa"/>
            <w:tcBorders>
              <w:top w:val="nil"/>
              <w:left w:val="nil"/>
              <w:bottom w:val="nil"/>
              <w:right w:val="nil"/>
            </w:tcBorders>
            <w:noWrap/>
            <w:vAlign w:val="bottom"/>
            <w:hideMark/>
          </w:tcPr>
          <w:p w14:paraId="08C28E5B" w14:textId="77777777" w:rsidR="00960E01" w:rsidRDefault="00821CB5">
            <w:pPr>
              <w:pStyle w:val="P68B1DB1-Normal91"/>
            </w:pPr>
            <w:r>
              <w:t>DTC (depository Trust Company)</w:t>
            </w:r>
          </w:p>
        </w:tc>
      </w:tr>
      <w:tr w:rsidR="00960E01" w14:paraId="797F9EF8" w14:textId="77777777">
        <w:trPr>
          <w:trHeight w:val="300"/>
        </w:trPr>
        <w:tc>
          <w:tcPr>
            <w:tcW w:w="9072" w:type="dxa"/>
            <w:tcBorders>
              <w:top w:val="nil"/>
              <w:left w:val="nil"/>
              <w:bottom w:val="nil"/>
              <w:right w:val="nil"/>
            </w:tcBorders>
            <w:noWrap/>
            <w:vAlign w:val="bottom"/>
            <w:hideMark/>
          </w:tcPr>
          <w:p w14:paraId="51E5D740" w14:textId="77777777" w:rsidR="00960E01" w:rsidRDefault="00821CB5">
            <w:pPr>
              <w:pStyle w:val="P68B1DB1-Normal91"/>
            </w:pPr>
            <w:r>
              <w:t>DTCC Derivater Repository Plc</w:t>
            </w:r>
          </w:p>
        </w:tc>
      </w:tr>
      <w:tr w:rsidR="00960E01" w14:paraId="6ADFC287" w14:textId="77777777">
        <w:trPr>
          <w:trHeight w:val="300"/>
        </w:trPr>
        <w:tc>
          <w:tcPr>
            <w:tcW w:w="9072" w:type="dxa"/>
            <w:tcBorders>
              <w:top w:val="nil"/>
              <w:left w:val="nil"/>
              <w:bottom w:val="nil"/>
              <w:right w:val="nil"/>
            </w:tcBorders>
            <w:noWrap/>
            <w:vAlign w:val="bottom"/>
            <w:hideMark/>
          </w:tcPr>
          <w:p w14:paraId="30027F70" w14:textId="77777777" w:rsidR="00960E01" w:rsidRDefault="00821CB5">
            <w:pPr>
              <w:pStyle w:val="P68B1DB1-Normal91"/>
            </w:pPr>
            <w:r>
              <w:t>Elektronisk clearingsystem (EKS)</w:t>
            </w:r>
          </w:p>
        </w:tc>
      </w:tr>
      <w:tr w:rsidR="00960E01" w14:paraId="3C13C365" w14:textId="77777777">
        <w:trPr>
          <w:trHeight w:val="300"/>
        </w:trPr>
        <w:tc>
          <w:tcPr>
            <w:tcW w:w="9072" w:type="dxa"/>
            <w:tcBorders>
              <w:top w:val="nil"/>
              <w:left w:val="nil"/>
              <w:bottom w:val="nil"/>
              <w:right w:val="nil"/>
            </w:tcBorders>
            <w:noWrap/>
            <w:vAlign w:val="bottom"/>
            <w:hideMark/>
          </w:tcPr>
          <w:p w14:paraId="2536A2E4" w14:textId="77777777" w:rsidR="00960E01" w:rsidRDefault="00821CB5">
            <w:pPr>
              <w:pStyle w:val="P68B1DB1-Normal91"/>
            </w:pPr>
            <w:r>
              <w:t>ELIKSIR</w:t>
            </w:r>
          </w:p>
        </w:tc>
      </w:tr>
      <w:tr w:rsidR="00960E01" w14:paraId="59490FEF" w14:textId="77777777">
        <w:trPr>
          <w:trHeight w:val="300"/>
        </w:trPr>
        <w:tc>
          <w:tcPr>
            <w:tcW w:w="9072" w:type="dxa"/>
            <w:tcBorders>
              <w:top w:val="nil"/>
              <w:left w:val="nil"/>
              <w:bottom w:val="nil"/>
              <w:right w:val="nil"/>
            </w:tcBorders>
            <w:noWrap/>
            <w:vAlign w:val="bottom"/>
            <w:hideMark/>
          </w:tcPr>
          <w:p w14:paraId="5D3BC6DE" w14:textId="77777777" w:rsidR="00960E01" w:rsidRDefault="00821CB5">
            <w:pPr>
              <w:pStyle w:val="P68B1DB1-Normal91"/>
            </w:pPr>
            <w:r>
              <w:t>Ækvier</w:t>
            </w:r>
          </w:p>
        </w:tc>
      </w:tr>
      <w:tr w:rsidR="00960E01" w14:paraId="7151AAFC" w14:textId="77777777">
        <w:trPr>
          <w:trHeight w:val="300"/>
        </w:trPr>
        <w:tc>
          <w:tcPr>
            <w:tcW w:w="9072" w:type="dxa"/>
            <w:tcBorders>
              <w:top w:val="nil"/>
              <w:left w:val="nil"/>
              <w:bottom w:val="nil"/>
              <w:right w:val="nil"/>
            </w:tcBorders>
            <w:noWrap/>
            <w:vAlign w:val="bottom"/>
            <w:hideMark/>
          </w:tcPr>
          <w:p w14:paraId="62F52322" w14:textId="77777777" w:rsidR="00960E01" w:rsidRDefault="00821CB5">
            <w:pPr>
              <w:pStyle w:val="P68B1DB1-Normal91"/>
            </w:pPr>
            <w:r>
              <w:t>Eurex Clearing AG</w:t>
            </w:r>
          </w:p>
        </w:tc>
      </w:tr>
      <w:tr w:rsidR="00960E01" w14:paraId="20047EE0" w14:textId="77777777">
        <w:trPr>
          <w:trHeight w:val="300"/>
        </w:trPr>
        <w:tc>
          <w:tcPr>
            <w:tcW w:w="9072" w:type="dxa"/>
            <w:tcBorders>
              <w:top w:val="nil"/>
              <w:left w:val="nil"/>
              <w:bottom w:val="nil"/>
              <w:right w:val="nil"/>
            </w:tcBorders>
            <w:noWrap/>
            <w:vAlign w:val="bottom"/>
            <w:hideMark/>
          </w:tcPr>
          <w:p w14:paraId="65198B5E" w14:textId="77777777" w:rsidR="00960E01" w:rsidRDefault="00821CB5">
            <w:pPr>
              <w:pStyle w:val="P68B1DB1-Normal91"/>
            </w:pPr>
            <w:r>
              <w:t>EURO 1</w:t>
            </w:r>
          </w:p>
        </w:tc>
      </w:tr>
      <w:tr w:rsidR="00960E01" w14:paraId="51532B57" w14:textId="77777777">
        <w:trPr>
          <w:trHeight w:val="300"/>
        </w:trPr>
        <w:tc>
          <w:tcPr>
            <w:tcW w:w="9072" w:type="dxa"/>
            <w:tcBorders>
              <w:top w:val="nil"/>
              <w:left w:val="nil"/>
              <w:bottom w:val="nil"/>
              <w:right w:val="nil"/>
            </w:tcBorders>
            <w:noWrap/>
            <w:vAlign w:val="bottom"/>
            <w:hideMark/>
          </w:tcPr>
          <w:p w14:paraId="6784162A" w14:textId="77777777" w:rsidR="00960E01" w:rsidRDefault="00821CB5">
            <w:pPr>
              <w:pStyle w:val="P68B1DB1-Normal91"/>
            </w:pPr>
            <w:r>
              <w:t>Euroclear Bank</w:t>
            </w:r>
          </w:p>
        </w:tc>
      </w:tr>
      <w:tr w:rsidR="00960E01" w14:paraId="1FED107A" w14:textId="77777777">
        <w:trPr>
          <w:trHeight w:val="300"/>
        </w:trPr>
        <w:tc>
          <w:tcPr>
            <w:tcW w:w="9072" w:type="dxa"/>
            <w:tcBorders>
              <w:top w:val="nil"/>
              <w:left w:val="nil"/>
              <w:bottom w:val="nil"/>
              <w:right w:val="nil"/>
            </w:tcBorders>
            <w:noWrap/>
            <w:vAlign w:val="bottom"/>
            <w:hideMark/>
          </w:tcPr>
          <w:p w14:paraId="7EB27986" w14:textId="77777777" w:rsidR="00960E01" w:rsidRDefault="00821CB5">
            <w:pPr>
              <w:pStyle w:val="P68B1DB1-Normal91"/>
            </w:pPr>
            <w:r>
              <w:t>Euroclear Belgium (ESES)</w:t>
            </w:r>
          </w:p>
        </w:tc>
      </w:tr>
      <w:tr w:rsidR="00960E01" w14:paraId="19126F92" w14:textId="77777777">
        <w:trPr>
          <w:trHeight w:val="300"/>
        </w:trPr>
        <w:tc>
          <w:tcPr>
            <w:tcW w:w="9072" w:type="dxa"/>
            <w:tcBorders>
              <w:top w:val="nil"/>
              <w:left w:val="nil"/>
              <w:bottom w:val="nil"/>
              <w:right w:val="nil"/>
            </w:tcBorders>
            <w:noWrap/>
            <w:vAlign w:val="bottom"/>
            <w:hideMark/>
          </w:tcPr>
          <w:p w14:paraId="649DE977" w14:textId="77777777" w:rsidR="00960E01" w:rsidRDefault="00821CB5">
            <w:pPr>
              <w:pStyle w:val="P68B1DB1-Normal91"/>
            </w:pPr>
            <w:r>
              <w:t>Euroclear Finland</w:t>
            </w:r>
          </w:p>
        </w:tc>
      </w:tr>
      <w:tr w:rsidR="00960E01" w14:paraId="37A9A6E1" w14:textId="77777777">
        <w:trPr>
          <w:trHeight w:val="300"/>
        </w:trPr>
        <w:tc>
          <w:tcPr>
            <w:tcW w:w="9072" w:type="dxa"/>
            <w:tcBorders>
              <w:top w:val="nil"/>
              <w:left w:val="nil"/>
              <w:bottom w:val="nil"/>
              <w:right w:val="nil"/>
            </w:tcBorders>
            <w:noWrap/>
            <w:vAlign w:val="bottom"/>
            <w:hideMark/>
          </w:tcPr>
          <w:p w14:paraId="734EF8BF" w14:textId="77777777" w:rsidR="00960E01" w:rsidRDefault="00821CB5">
            <w:pPr>
              <w:pStyle w:val="P68B1DB1-Normal91"/>
            </w:pPr>
            <w:r>
              <w:t>Euroclear France (ESES)</w:t>
            </w:r>
          </w:p>
        </w:tc>
      </w:tr>
      <w:tr w:rsidR="00960E01" w14:paraId="33F2EFD1" w14:textId="77777777">
        <w:trPr>
          <w:trHeight w:val="300"/>
        </w:trPr>
        <w:tc>
          <w:tcPr>
            <w:tcW w:w="9072" w:type="dxa"/>
            <w:tcBorders>
              <w:top w:val="nil"/>
              <w:left w:val="nil"/>
              <w:bottom w:val="nil"/>
              <w:right w:val="nil"/>
            </w:tcBorders>
            <w:noWrap/>
            <w:vAlign w:val="bottom"/>
            <w:hideMark/>
          </w:tcPr>
          <w:p w14:paraId="0273EA5F" w14:textId="77777777" w:rsidR="00960E01" w:rsidRDefault="00821CB5">
            <w:pPr>
              <w:pStyle w:val="P68B1DB1-Normal91"/>
            </w:pPr>
            <w:r>
              <w:t>Euroclear Netherlands (ESES)</w:t>
            </w:r>
          </w:p>
        </w:tc>
      </w:tr>
      <w:tr w:rsidR="00960E01" w14:paraId="7B056DB0" w14:textId="77777777">
        <w:trPr>
          <w:trHeight w:val="300"/>
        </w:trPr>
        <w:tc>
          <w:tcPr>
            <w:tcW w:w="9072" w:type="dxa"/>
            <w:tcBorders>
              <w:top w:val="nil"/>
              <w:left w:val="nil"/>
              <w:bottom w:val="nil"/>
              <w:right w:val="nil"/>
            </w:tcBorders>
            <w:noWrap/>
            <w:vAlign w:val="bottom"/>
            <w:hideMark/>
          </w:tcPr>
          <w:p w14:paraId="09E6EC57" w14:textId="77777777" w:rsidR="00960E01" w:rsidRDefault="00821CB5">
            <w:pPr>
              <w:pStyle w:val="P68B1DB1-Normal91"/>
            </w:pPr>
            <w:r>
              <w:t>Euroclear Sweden AB (VPC-systemet)</w:t>
            </w:r>
          </w:p>
        </w:tc>
      </w:tr>
      <w:tr w:rsidR="00960E01" w:rsidRPr="00BA6295" w14:paraId="3D614022" w14:textId="77777777">
        <w:trPr>
          <w:trHeight w:val="300"/>
        </w:trPr>
        <w:tc>
          <w:tcPr>
            <w:tcW w:w="9072" w:type="dxa"/>
            <w:tcBorders>
              <w:top w:val="nil"/>
              <w:left w:val="nil"/>
              <w:bottom w:val="nil"/>
              <w:right w:val="nil"/>
            </w:tcBorders>
            <w:noWrap/>
            <w:vAlign w:val="bottom"/>
            <w:hideMark/>
          </w:tcPr>
          <w:p w14:paraId="1A4DFFF6" w14:textId="77777777" w:rsidR="00960E01" w:rsidRPr="00BA6295" w:rsidRDefault="00821CB5">
            <w:pPr>
              <w:pStyle w:val="P68B1DB1-Normal91"/>
            </w:pPr>
            <w:r w:rsidRPr="00BA6295">
              <w:t>Euroclear UK and Ireland Limited (EUI) (CREST)</w:t>
            </w:r>
          </w:p>
        </w:tc>
      </w:tr>
      <w:tr w:rsidR="00960E01" w14:paraId="55B08F89" w14:textId="77777777">
        <w:trPr>
          <w:trHeight w:val="300"/>
        </w:trPr>
        <w:tc>
          <w:tcPr>
            <w:tcW w:w="9072" w:type="dxa"/>
            <w:tcBorders>
              <w:top w:val="nil"/>
              <w:left w:val="nil"/>
              <w:bottom w:val="nil"/>
              <w:right w:val="nil"/>
            </w:tcBorders>
            <w:noWrap/>
            <w:vAlign w:val="bottom"/>
            <w:hideMark/>
          </w:tcPr>
          <w:p w14:paraId="56E621EE" w14:textId="77777777" w:rsidR="00960E01" w:rsidRDefault="00821CB5">
            <w:pPr>
              <w:pStyle w:val="P68B1DB1-Normal91"/>
            </w:pPr>
            <w:r>
              <w:t>Euronext Amsterdams kontantmarked</w:t>
            </w:r>
          </w:p>
        </w:tc>
      </w:tr>
      <w:tr w:rsidR="00960E01" w:rsidRPr="00BA6295" w14:paraId="08BE70B5" w14:textId="77777777">
        <w:trPr>
          <w:trHeight w:val="300"/>
        </w:trPr>
        <w:tc>
          <w:tcPr>
            <w:tcW w:w="9072" w:type="dxa"/>
            <w:tcBorders>
              <w:top w:val="nil"/>
              <w:left w:val="nil"/>
              <w:bottom w:val="nil"/>
              <w:right w:val="nil"/>
            </w:tcBorders>
            <w:noWrap/>
            <w:vAlign w:val="bottom"/>
            <w:hideMark/>
          </w:tcPr>
          <w:p w14:paraId="717F6012" w14:textId="77777777" w:rsidR="00960E01" w:rsidRPr="00BA6295" w:rsidRDefault="00821CB5">
            <w:pPr>
              <w:pStyle w:val="P68B1DB1-Normal91"/>
            </w:pPr>
            <w:r w:rsidRPr="00BA6295">
              <w:t>Euronext Brussels SA</w:t>
            </w:r>
          </w:p>
          <w:p w14:paraId="3E95828F" w14:textId="77777777" w:rsidR="00960E01" w:rsidRPr="00BA6295" w:rsidRDefault="00821CB5">
            <w:pPr>
              <w:rPr>
                <w:rFonts w:eastAsia="Times New Roman" w:cs="Calibri"/>
                <w:color w:val="000000"/>
                <w:sz w:val="18"/>
                <w:szCs w:val="18"/>
              </w:rPr>
            </w:pPr>
            <w:r w:rsidRPr="00BA6295">
              <w:rPr>
                <w:rFonts w:eastAsia="Times New Roman" w:cs="Calibri"/>
                <w:color w:val="000000"/>
                <w:sz w:val="18"/>
                <w:szCs w:val="18"/>
              </w:rPr>
              <w:t>Euronext Clearing</w:t>
            </w:r>
            <w:r>
              <w:rPr>
                <w:rStyle w:val="FootnoteReference"/>
                <w:rFonts w:eastAsia="Times New Roman" w:cs="Calibri"/>
                <w:color w:val="000000"/>
                <w:sz w:val="18"/>
              </w:rPr>
              <w:footnoteReference w:id="37"/>
            </w:r>
          </w:p>
        </w:tc>
      </w:tr>
      <w:tr w:rsidR="00960E01" w14:paraId="6A3A4767" w14:textId="77777777">
        <w:trPr>
          <w:trHeight w:val="300"/>
        </w:trPr>
        <w:tc>
          <w:tcPr>
            <w:tcW w:w="9072" w:type="dxa"/>
            <w:tcBorders>
              <w:top w:val="nil"/>
              <w:left w:val="nil"/>
              <w:bottom w:val="nil"/>
              <w:right w:val="nil"/>
            </w:tcBorders>
            <w:noWrap/>
            <w:vAlign w:val="bottom"/>
            <w:hideMark/>
          </w:tcPr>
          <w:p w14:paraId="0CF6918B" w14:textId="77777777" w:rsidR="00960E01" w:rsidRDefault="00821CB5">
            <w:pPr>
              <w:pStyle w:val="P68B1DB1-Normal91"/>
            </w:pPr>
            <w:r>
              <w:t>Euronext Lissabon SA</w:t>
            </w:r>
          </w:p>
        </w:tc>
      </w:tr>
      <w:tr w:rsidR="00960E01" w14:paraId="1114BA7C" w14:textId="77777777">
        <w:trPr>
          <w:trHeight w:val="300"/>
        </w:trPr>
        <w:tc>
          <w:tcPr>
            <w:tcW w:w="9072" w:type="dxa"/>
            <w:tcBorders>
              <w:top w:val="nil"/>
              <w:left w:val="nil"/>
              <w:bottom w:val="nil"/>
              <w:right w:val="nil"/>
            </w:tcBorders>
            <w:noWrap/>
            <w:vAlign w:val="bottom"/>
            <w:hideMark/>
          </w:tcPr>
          <w:p w14:paraId="58D22650" w14:textId="77777777" w:rsidR="00960E01" w:rsidRDefault="00821CB5">
            <w:pPr>
              <w:pStyle w:val="P68B1DB1-Normal91"/>
            </w:pPr>
            <w:r>
              <w:t>Europæisk CCP NV</w:t>
            </w:r>
          </w:p>
        </w:tc>
      </w:tr>
      <w:tr w:rsidR="00960E01" w14:paraId="1758B1C2" w14:textId="77777777">
        <w:trPr>
          <w:trHeight w:val="300"/>
        </w:trPr>
        <w:tc>
          <w:tcPr>
            <w:tcW w:w="9072" w:type="dxa"/>
            <w:tcBorders>
              <w:top w:val="nil"/>
              <w:left w:val="nil"/>
              <w:bottom w:val="nil"/>
              <w:right w:val="nil"/>
            </w:tcBorders>
            <w:noWrap/>
            <w:vAlign w:val="bottom"/>
            <w:hideMark/>
          </w:tcPr>
          <w:p w14:paraId="6342DE58" w14:textId="77777777" w:rsidR="00960E01" w:rsidRDefault="00821CB5">
            <w:pPr>
              <w:pStyle w:val="P68B1DB1-Normal91"/>
            </w:pPr>
            <w:r>
              <w:t>Europæisk råvareclearing (ECC)</w:t>
            </w:r>
          </w:p>
        </w:tc>
      </w:tr>
      <w:tr w:rsidR="00960E01" w14:paraId="0DDA2A90" w14:textId="77777777">
        <w:trPr>
          <w:trHeight w:val="300"/>
        </w:trPr>
        <w:tc>
          <w:tcPr>
            <w:tcW w:w="9072" w:type="dxa"/>
            <w:tcBorders>
              <w:top w:val="nil"/>
              <w:left w:val="nil"/>
              <w:bottom w:val="nil"/>
              <w:right w:val="nil"/>
            </w:tcBorders>
            <w:noWrap/>
            <w:vAlign w:val="bottom"/>
            <w:hideMark/>
          </w:tcPr>
          <w:p w14:paraId="40A82682" w14:textId="77777777" w:rsidR="00960E01" w:rsidRDefault="00821CB5">
            <w:pPr>
              <w:pStyle w:val="P68B1DB1-Normal91"/>
            </w:pPr>
            <w:r>
              <w:t>Ekspres-Elixir</w:t>
            </w:r>
          </w:p>
        </w:tc>
      </w:tr>
      <w:tr w:rsidR="00960E01" w14:paraId="542DFF49" w14:textId="77777777">
        <w:trPr>
          <w:trHeight w:val="300"/>
        </w:trPr>
        <w:tc>
          <w:tcPr>
            <w:tcW w:w="9072" w:type="dxa"/>
            <w:tcBorders>
              <w:top w:val="nil"/>
              <w:left w:val="nil"/>
              <w:bottom w:val="nil"/>
              <w:right w:val="nil"/>
            </w:tcBorders>
            <w:noWrap/>
            <w:vAlign w:val="bottom"/>
            <w:hideMark/>
          </w:tcPr>
          <w:p w14:paraId="059F87EB" w14:textId="77777777" w:rsidR="00960E01" w:rsidRDefault="00821CB5">
            <w:pPr>
              <w:pStyle w:val="P68B1DB1-Normal91"/>
            </w:pPr>
            <w:r>
              <w:t>Hurtigere betalingstjeneste (FPS)</w:t>
            </w:r>
          </w:p>
        </w:tc>
      </w:tr>
      <w:tr w:rsidR="00960E01" w14:paraId="4CFAE77A" w14:textId="77777777">
        <w:trPr>
          <w:trHeight w:val="300"/>
        </w:trPr>
        <w:tc>
          <w:tcPr>
            <w:tcW w:w="9072" w:type="dxa"/>
            <w:tcBorders>
              <w:top w:val="nil"/>
              <w:left w:val="nil"/>
              <w:bottom w:val="nil"/>
              <w:right w:val="nil"/>
            </w:tcBorders>
            <w:noWrap/>
            <w:vAlign w:val="bottom"/>
            <w:hideMark/>
          </w:tcPr>
          <w:p w14:paraId="03A78736" w14:textId="77777777" w:rsidR="00960E01" w:rsidRDefault="00821CB5">
            <w:pPr>
              <w:pStyle w:val="P68B1DB1-Normal91"/>
            </w:pPr>
            <w:r>
              <w:t>FedACH Tjenesteydelser</w:t>
            </w:r>
          </w:p>
        </w:tc>
      </w:tr>
      <w:tr w:rsidR="00960E01" w:rsidRPr="00BA6295" w14:paraId="1A8E545B" w14:textId="77777777">
        <w:trPr>
          <w:trHeight w:val="300"/>
        </w:trPr>
        <w:tc>
          <w:tcPr>
            <w:tcW w:w="9072" w:type="dxa"/>
            <w:tcBorders>
              <w:top w:val="nil"/>
              <w:left w:val="nil"/>
              <w:bottom w:val="nil"/>
              <w:right w:val="nil"/>
            </w:tcBorders>
            <w:noWrap/>
            <w:vAlign w:val="bottom"/>
            <w:hideMark/>
          </w:tcPr>
          <w:p w14:paraId="508F0A63" w14:textId="77777777" w:rsidR="00960E01" w:rsidRPr="00BA6295" w:rsidRDefault="00821CB5">
            <w:pPr>
              <w:pStyle w:val="P68B1DB1-Normal91"/>
            </w:pPr>
            <w:r w:rsidRPr="00BA6295">
              <w:t>Fedtring Funds Service (Fedtring Funds Service)</w:t>
            </w:r>
          </w:p>
        </w:tc>
      </w:tr>
      <w:tr w:rsidR="00960E01" w14:paraId="7603EDE5" w14:textId="77777777">
        <w:trPr>
          <w:trHeight w:val="300"/>
        </w:trPr>
        <w:tc>
          <w:tcPr>
            <w:tcW w:w="9072" w:type="dxa"/>
            <w:tcBorders>
              <w:top w:val="nil"/>
              <w:left w:val="nil"/>
              <w:bottom w:val="nil"/>
              <w:right w:val="nil"/>
            </w:tcBorders>
            <w:noWrap/>
            <w:vAlign w:val="bottom"/>
            <w:hideMark/>
          </w:tcPr>
          <w:p w14:paraId="6146D91C" w14:textId="77777777" w:rsidR="00960E01" w:rsidRDefault="00821CB5">
            <w:pPr>
              <w:pStyle w:val="P68B1DB1-Normal91"/>
            </w:pPr>
            <w:r>
              <w:t>Trådløse værdipapirtjenester</w:t>
            </w:r>
          </w:p>
        </w:tc>
      </w:tr>
      <w:tr w:rsidR="00960E01" w14:paraId="638B9492" w14:textId="77777777">
        <w:trPr>
          <w:trHeight w:val="300"/>
        </w:trPr>
        <w:tc>
          <w:tcPr>
            <w:tcW w:w="9072" w:type="dxa"/>
            <w:tcBorders>
              <w:top w:val="nil"/>
              <w:left w:val="nil"/>
              <w:bottom w:val="nil"/>
              <w:right w:val="nil"/>
            </w:tcBorders>
            <w:noWrap/>
            <w:vAlign w:val="bottom"/>
            <w:hideMark/>
          </w:tcPr>
          <w:p w14:paraId="0FCA6B85" w14:textId="77777777" w:rsidR="00960E01" w:rsidRDefault="00821CB5">
            <w:pPr>
              <w:pStyle w:val="P68B1DB1-Normal91"/>
            </w:pPr>
            <w:r>
              <w:t>Clearing Corp med fast indkomst (FICC)</w:t>
            </w:r>
          </w:p>
        </w:tc>
      </w:tr>
      <w:tr w:rsidR="00960E01" w:rsidRPr="00BA6295" w14:paraId="4384BE65" w14:textId="77777777">
        <w:trPr>
          <w:trHeight w:val="300"/>
        </w:trPr>
        <w:tc>
          <w:tcPr>
            <w:tcW w:w="9072" w:type="dxa"/>
            <w:tcBorders>
              <w:top w:val="nil"/>
              <w:left w:val="nil"/>
              <w:bottom w:val="nil"/>
              <w:right w:val="nil"/>
            </w:tcBorders>
            <w:noWrap/>
            <w:vAlign w:val="bottom"/>
            <w:hideMark/>
          </w:tcPr>
          <w:p w14:paraId="7CCF9B46" w14:textId="77777777" w:rsidR="00960E01" w:rsidRPr="00BA6295" w:rsidRDefault="00821CB5">
            <w:pPr>
              <w:pStyle w:val="P68B1DB1-Normal91"/>
            </w:pPr>
            <w:r w:rsidRPr="00BA6295">
              <w:t>Gielda Papierow Wartosciowych w Warszawie (børsen i Warszawa)</w:t>
            </w:r>
          </w:p>
        </w:tc>
      </w:tr>
      <w:tr w:rsidR="00960E01" w14:paraId="62CB1AB6" w14:textId="77777777">
        <w:trPr>
          <w:trHeight w:val="300"/>
        </w:trPr>
        <w:tc>
          <w:tcPr>
            <w:tcW w:w="9072" w:type="dxa"/>
            <w:tcBorders>
              <w:top w:val="nil"/>
              <w:left w:val="nil"/>
              <w:bottom w:val="nil"/>
              <w:right w:val="nil"/>
            </w:tcBorders>
            <w:noWrap/>
            <w:vAlign w:val="bottom"/>
            <w:hideMark/>
          </w:tcPr>
          <w:p w14:paraId="56890D2B" w14:textId="77777777" w:rsidR="00960E01" w:rsidRDefault="00821CB5">
            <w:pPr>
              <w:pStyle w:val="P68B1DB1-Normal91"/>
            </w:pPr>
            <w:r>
              <w:t>Statslig værdipapircentral (GSD)</w:t>
            </w:r>
          </w:p>
        </w:tc>
      </w:tr>
      <w:tr w:rsidR="00960E01" w14:paraId="5B41050C" w14:textId="77777777">
        <w:trPr>
          <w:trHeight w:val="300"/>
        </w:trPr>
        <w:tc>
          <w:tcPr>
            <w:tcW w:w="9072" w:type="dxa"/>
            <w:tcBorders>
              <w:top w:val="nil"/>
              <w:left w:val="nil"/>
              <w:bottom w:val="nil"/>
              <w:right w:val="nil"/>
            </w:tcBorders>
            <w:noWrap/>
            <w:vAlign w:val="bottom"/>
            <w:hideMark/>
          </w:tcPr>
          <w:p w14:paraId="24CCAE22" w14:textId="77777777" w:rsidR="00960E01" w:rsidRDefault="00821CB5">
            <w:pPr>
              <w:pStyle w:val="P68B1DB1-Normal91"/>
            </w:pPr>
            <w:r>
              <w:t>HSVP (RTGS)</w:t>
            </w:r>
          </w:p>
        </w:tc>
      </w:tr>
      <w:tr w:rsidR="00960E01" w14:paraId="013849A1" w14:textId="77777777">
        <w:trPr>
          <w:trHeight w:val="300"/>
        </w:trPr>
        <w:tc>
          <w:tcPr>
            <w:tcW w:w="9072" w:type="dxa"/>
            <w:tcBorders>
              <w:top w:val="nil"/>
              <w:left w:val="nil"/>
              <w:bottom w:val="nil"/>
              <w:right w:val="nil"/>
            </w:tcBorders>
            <w:noWrap/>
            <w:vAlign w:val="bottom"/>
            <w:hideMark/>
          </w:tcPr>
          <w:p w14:paraId="686B8E20" w14:textId="77777777" w:rsidR="00960E01" w:rsidRDefault="00821CB5">
            <w:pPr>
              <w:pStyle w:val="P68B1DB1-Normal91"/>
            </w:pPr>
            <w:r>
              <w:t>Iberclear</w:t>
            </w:r>
          </w:p>
        </w:tc>
      </w:tr>
      <w:tr w:rsidR="00960E01" w14:paraId="69A745A4" w14:textId="77777777">
        <w:trPr>
          <w:trHeight w:val="300"/>
        </w:trPr>
        <w:tc>
          <w:tcPr>
            <w:tcW w:w="9072" w:type="dxa"/>
            <w:tcBorders>
              <w:top w:val="nil"/>
              <w:left w:val="nil"/>
              <w:bottom w:val="nil"/>
              <w:right w:val="nil"/>
            </w:tcBorders>
            <w:noWrap/>
            <w:vAlign w:val="bottom"/>
            <w:hideMark/>
          </w:tcPr>
          <w:p w14:paraId="676D5D75" w14:textId="77777777" w:rsidR="00960E01" w:rsidRDefault="00821CB5">
            <w:pPr>
              <w:pStyle w:val="P68B1DB1-Normal91"/>
            </w:pPr>
            <w:r>
              <w:t>Is Clart</w:t>
            </w:r>
          </w:p>
        </w:tc>
      </w:tr>
      <w:tr w:rsidR="00960E01" w14:paraId="780088CD" w14:textId="77777777">
        <w:trPr>
          <w:trHeight w:val="300"/>
        </w:trPr>
        <w:tc>
          <w:tcPr>
            <w:tcW w:w="9072" w:type="dxa"/>
            <w:tcBorders>
              <w:top w:val="nil"/>
              <w:left w:val="nil"/>
              <w:bottom w:val="nil"/>
              <w:right w:val="nil"/>
            </w:tcBorders>
            <w:noWrap/>
            <w:vAlign w:val="bottom"/>
            <w:hideMark/>
          </w:tcPr>
          <w:p w14:paraId="51279EB6" w14:textId="77777777" w:rsidR="00960E01" w:rsidRDefault="00821CB5">
            <w:pPr>
              <w:pStyle w:val="P68B1DB1-Normal91"/>
            </w:pPr>
            <w:r>
              <w:lastRenderedPageBreak/>
              <w:t>Ice Clear Europe Limited</w:t>
            </w:r>
          </w:p>
        </w:tc>
      </w:tr>
      <w:tr w:rsidR="00960E01" w14:paraId="0A625316" w14:textId="77777777">
        <w:trPr>
          <w:trHeight w:val="300"/>
        </w:trPr>
        <w:tc>
          <w:tcPr>
            <w:tcW w:w="9072" w:type="dxa"/>
            <w:tcBorders>
              <w:top w:val="nil"/>
              <w:left w:val="nil"/>
              <w:bottom w:val="nil"/>
              <w:right w:val="nil"/>
            </w:tcBorders>
            <w:noWrap/>
            <w:vAlign w:val="bottom"/>
            <w:hideMark/>
          </w:tcPr>
          <w:p w14:paraId="478D14C3" w14:textId="77777777" w:rsidR="00960E01" w:rsidRDefault="00821CB5">
            <w:pPr>
              <w:pStyle w:val="P68B1DB1-Normal91"/>
            </w:pPr>
            <w:r>
              <w:t>Ice Clear Netherlands</w:t>
            </w:r>
          </w:p>
        </w:tc>
      </w:tr>
      <w:tr w:rsidR="00960E01" w:rsidRPr="00BA6295" w14:paraId="7BA736BC" w14:textId="77777777">
        <w:trPr>
          <w:trHeight w:val="300"/>
        </w:trPr>
        <w:tc>
          <w:tcPr>
            <w:tcW w:w="9072" w:type="dxa"/>
            <w:tcBorders>
              <w:top w:val="nil"/>
              <w:left w:val="nil"/>
              <w:bottom w:val="nil"/>
              <w:right w:val="nil"/>
            </w:tcBorders>
            <w:noWrap/>
            <w:vAlign w:val="bottom"/>
            <w:hideMark/>
          </w:tcPr>
          <w:p w14:paraId="791A2916" w14:textId="77777777" w:rsidR="00960E01" w:rsidRPr="00BA6295" w:rsidRDefault="00821CB5">
            <w:pPr>
              <w:pStyle w:val="P68B1DB1-Normal91"/>
            </w:pPr>
            <w:r w:rsidRPr="00BA6295">
              <w:t>Ice Trade Vault Europe Limited (ICE TVEL)</w:t>
            </w:r>
          </w:p>
        </w:tc>
      </w:tr>
      <w:tr w:rsidR="00960E01" w14:paraId="6A1792FC" w14:textId="77777777">
        <w:trPr>
          <w:trHeight w:val="300"/>
        </w:trPr>
        <w:tc>
          <w:tcPr>
            <w:tcW w:w="9072" w:type="dxa"/>
            <w:tcBorders>
              <w:top w:val="nil"/>
              <w:left w:val="nil"/>
              <w:bottom w:val="nil"/>
              <w:right w:val="nil"/>
            </w:tcBorders>
            <w:noWrap/>
            <w:vAlign w:val="bottom"/>
            <w:hideMark/>
          </w:tcPr>
          <w:p w14:paraId="58EBD357" w14:textId="77777777" w:rsidR="00960E01" w:rsidRDefault="00821CB5">
            <w:pPr>
              <w:pStyle w:val="P68B1DB1-Normal91"/>
            </w:pPr>
            <w:r>
              <w:t>ID2S/RSS'ER</w:t>
            </w:r>
          </w:p>
        </w:tc>
      </w:tr>
      <w:tr w:rsidR="00960E01" w14:paraId="23EF91EB" w14:textId="77777777">
        <w:trPr>
          <w:trHeight w:val="300"/>
        </w:trPr>
        <w:tc>
          <w:tcPr>
            <w:tcW w:w="9072" w:type="dxa"/>
            <w:tcBorders>
              <w:top w:val="nil"/>
              <w:left w:val="nil"/>
              <w:bottom w:val="nil"/>
              <w:right w:val="nil"/>
            </w:tcBorders>
            <w:noWrap/>
            <w:vAlign w:val="bottom"/>
            <w:hideMark/>
          </w:tcPr>
          <w:p w14:paraId="256EBA58" w14:textId="77777777" w:rsidR="00960E01" w:rsidRDefault="00821CB5">
            <w:pPr>
              <w:pStyle w:val="P68B1DB1-Normal91"/>
            </w:pPr>
            <w:r>
              <w:t>Interbankclearingsystem (ICS)</w:t>
            </w:r>
          </w:p>
        </w:tc>
      </w:tr>
      <w:tr w:rsidR="00960E01" w14:paraId="61201BD5" w14:textId="77777777">
        <w:trPr>
          <w:trHeight w:val="300"/>
        </w:trPr>
        <w:tc>
          <w:tcPr>
            <w:tcW w:w="9072" w:type="dxa"/>
            <w:tcBorders>
              <w:top w:val="nil"/>
              <w:left w:val="nil"/>
              <w:bottom w:val="nil"/>
              <w:right w:val="nil"/>
            </w:tcBorders>
            <w:noWrap/>
            <w:vAlign w:val="bottom"/>
            <w:hideMark/>
          </w:tcPr>
          <w:p w14:paraId="38BDB6F1" w14:textId="77777777" w:rsidR="00960E01" w:rsidRDefault="00821CB5">
            <w:pPr>
              <w:pStyle w:val="P68B1DB1-Normal91"/>
            </w:pPr>
            <w:r>
              <w:t>INTERBOLSA</w:t>
            </w:r>
          </w:p>
        </w:tc>
      </w:tr>
      <w:tr w:rsidR="00960E01" w14:paraId="3D13BEFD" w14:textId="77777777">
        <w:trPr>
          <w:trHeight w:val="300"/>
        </w:trPr>
        <w:tc>
          <w:tcPr>
            <w:tcW w:w="9072" w:type="dxa"/>
            <w:tcBorders>
              <w:top w:val="nil"/>
              <w:left w:val="nil"/>
              <w:bottom w:val="nil"/>
              <w:right w:val="nil"/>
            </w:tcBorders>
            <w:noWrap/>
            <w:vAlign w:val="bottom"/>
            <w:hideMark/>
          </w:tcPr>
          <w:p w14:paraId="27D8A3E1" w14:textId="77777777" w:rsidR="00960E01" w:rsidRDefault="00821CB5">
            <w:pPr>
              <w:pStyle w:val="P68B1DB1-Normal91"/>
            </w:pPr>
            <w:r>
              <w:t>IntradagClearing</w:t>
            </w:r>
          </w:p>
        </w:tc>
      </w:tr>
      <w:tr w:rsidR="00960E01" w14:paraId="4CA95B12" w14:textId="77777777">
        <w:trPr>
          <w:trHeight w:val="300"/>
        </w:trPr>
        <w:tc>
          <w:tcPr>
            <w:tcW w:w="9072" w:type="dxa"/>
            <w:tcBorders>
              <w:top w:val="nil"/>
              <w:left w:val="nil"/>
              <w:bottom w:val="nil"/>
              <w:right w:val="nil"/>
            </w:tcBorders>
            <w:noWrap/>
            <w:vAlign w:val="bottom"/>
            <w:hideMark/>
          </w:tcPr>
          <w:p w14:paraId="3992B7FE" w14:textId="77777777" w:rsidR="00960E01" w:rsidRDefault="00821CB5">
            <w:pPr>
              <w:pStyle w:val="P68B1DB1-Normal91"/>
            </w:pPr>
            <w:r>
              <w:t>IRGiT Izba Rozliczeniowa Giełd Towarowych S.A (Clearingcentret for råvarer</w:t>
            </w:r>
          </w:p>
        </w:tc>
      </w:tr>
      <w:tr w:rsidR="00960E01" w:rsidRPr="00BA6295" w14:paraId="5F42EC4B" w14:textId="77777777">
        <w:trPr>
          <w:trHeight w:val="300"/>
        </w:trPr>
        <w:tc>
          <w:tcPr>
            <w:tcW w:w="9072" w:type="dxa"/>
            <w:tcBorders>
              <w:top w:val="nil"/>
              <w:left w:val="nil"/>
              <w:bottom w:val="nil"/>
              <w:right w:val="nil"/>
            </w:tcBorders>
            <w:noWrap/>
            <w:vAlign w:val="bottom"/>
            <w:hideMark/>
          </w:tcPr>
          <w:p w14:paraId="1817AC8A" w14:textId="77777777" w:rsidR="00960E01" w:rsidRPr="00BA6295" w:rsidRDefault="00821CB5">
            <w:pPr>
              <w:pStyle w:val="P68B1DB1-Normal91"/>
            </w:pPr>
            <w:r w:rsidRPr="00BA6295">
              <w:t>Irish Paper Clearing Company (IPCC)</w:t>
            </w:r>
          </w:p>
        </w:tc>
      </w:tr>
      <w:tr w:rsidR="00960E01" w14:paraId="503DCAED" w14:textId="77777777">
        <w:trPr>
          <w:trHeight w:val="300"/>
        </w:trPr>
        <w:tc>
          <w:tcPr>
            <w:tcW w:w="9072" w:type="dxa"/>
            <w:tcBorders>
              <w:top w:val="nil"/>
              <w:left w:val="nil"/>
              <w:bottom w:val="nil"/>
              <w:right w:val="nil"/>
            </w:tcBorders>
            <w:noWrap/>
            <w:vAlign w:val="bottom"/>
            <w:hideMark/>
          </w:tcPr>
          <w:p w14:paraId="256FE1FF" w14:textId="77777777" w:rsidR="00960E01" w:rsidRDefault="00821CB5">
            <w:pPr>
              <w:pStyle w:val="P68B1DB1-Normal91"/>
            </w:pPr>
            <w:r>
              <w:t>Irish Stock Exchange Ltd. (Den irske fondsbørs)</w:t>
            </w:r>
          </w:p>
        </w:tc>
      </w:tr>
      <w:tr w:rsidR="00960E01" w14:paraId="01B9E362" w14:textId="77777777">
        <w:trPr>
          <w:trHeight w:val="300"/>
        </w:trPr>
        <w:tc>
          <w:tcPr>
            <w:tcW w:w="9072" w:type="dxa"/>
            <w:tcBorders>
              <w:top w:val="nil"/>
              <w:left w:val="nil"/>
              <w:bottom w:val="nil"/>
              <w:right w:val="nil"/>
            </w:tcBorders>
            <w:noWrap/>
            <w:vAlign w:val="bottom"/>
            <w:hideMark/>
          </w:tcPr>
          <w:p w14:paraId="6D9ED763" w14:textId="77777777" w:rsidR="00960E01" w:rsidRDefault="00821CB5">
            <w:pPr>
              <w:pStyle w:val="P68B1DB1-Normal91"/>
            </w:pPr>
            <w:r>
              <w:t>Japan Securities Clearing Corporation</w:t>
            </w:r>
          </w:p>
        </w:tc>
      </w:tr>
      <w:tr w:rsidR="00960E01" w14:paraId="7B5B6AA0" w14:textId="77777777">
        <w:trPr>
          <w:trHeight w:val="300"/>
        </w:trPr>
        <w:tc>
          <w:tcPr>
            <w:tcW w:w="9072" w:type="dxa"/>
            <w:tcBorders>
              <w:top w:val="nil"/>
              <w:left w:val="nil"/>
              <w:bottom w:val="nil"/>
              <w:right w:val="nil"/>
            </w:tcBorders>
            <w:noWrap/>
            <w:vAlign w:val="bottom"/>
            <w:hideMark/>
          </w:tcPr>
          <w:p w14:paraId="5354E82A" w14:textId="77777777" w:rsidR="00960E01" w:rsidRDefault="00821CB5">
            <w:pPr>
              <w:pStyle w:val="P68B1DB1-Normal91"/>
            </w:pPr>
            <w:r>
              <w:t>JASDEC</w:t>
            </w:r>
          </w:p>
        </w:tc>
      </w:tr>
      <w:tr w:rsidR="00960E01" w14:paraId="5F2E7C68" w14:textId="77777777">
        <w:trPr>
          <w:trHeight w:val="300"/>
        </w:trPr>
        <w:tc>
          <w:tcPr>
            <w:tcW w:w="9072" w:type="dxa"/>
            <w:tcBorders>
              <w:top w:val="nil"/>
              <w:left w:val="nil"/>
              <w:bottom w:val="nil"/>
              <w:right w:val="nil"/>
            </w:tcBorders>
            <w:noWrap/>
            <w:vAlign w:val="bottom"/>
            <w:hideMark/>
          </w:tcPr>
          <w:p w14:paraId="7D166505" w14:textId="77777777" w:rsidR="00960E01" w:rsidRDefault="00821CB5">
            <w:pPr>
              <w:pStyle w:val="P68B1DB1-Normal91"/>
            </w:pPr>
            <w:r>
              <w:t>JASDEC DVP</w:t>
            </w:r>
          </w:p>
        </w:tc>
      </w:tr>
      <w:tr w:rsidR="00960E01" w14:paraId="4048BA0D" w14:textId="77777777">
        <w:trPr>
          <w:trHeight w:val="300"/>
        </w:trPr>
        <w:tc>
          <w:tcPr>
            <w:tcW w:w="9072" w:type="dxa"/>
            <w:tcBorders>
              <w:top w:val="nil"/>
              <w:left w:val="nil"/>
              <w:bottom w:val="nil"/>
              <w:right w:val="nil"/>
            </w:tcBorders>
            <w:noWrap/>
            <w:vAlign w:val="bottom"/>
            <w:hideMark/>
          </w:tcPr>
          <w:p w14:paraId="15678AE9" w14:textId="77777777" w:rsidR="00960E01" w:rsidRDefault="00821CB5">
            <w:pPr>
              <w:pStyle w:val="P68B1DB1-Normal91"/>
            </w:pPr>
            <w:r>
              <w:t>BLANDEDE RÅDGIVENDE UDVALG</w:t>
            </w:r>
          </w:p>
        </w:tc>
      </w:tr>
      <w:tr w:rsidR="00960E01" w14:paraId="12A3C713" w14:textId="77777777">
        <w:trPr>
          <w:trHeight w:val="300"/>
        </w:trPr>
        <w:tc>
          <w:tcPr>
            <w:tcW w:w="9072" w:type="dxa"/>
            <w:tcBorders>
              <w:top w:val="nil"/>
              <w:left w:val="nil"/>
              <w:bottom w:val="nil"/>
              <w:right w:val="nil"/>
            </w:tcBorders>
            <w:noWrap/>
            <w:vAlign w:val="bottom"/>
            <w:hideMark/>
          </w:tcPr>
          <w:p w14:paraId="41166169" w14:textId="77777777" w:rsidR="00960E01" w:rsidRDefault="00821CB5">
            <w:pPr>
              <w:pStyle w:val="P68B1DB1-Normal91"/>
            </w:pPr>
            <w:r>
              <w:t>KDPW S.A.</w:t>
            </w:r>
          </w:p>
        </w:tc>
      </w:tr>
      <w:tr w:rsidR="00960E01" w14:paraId="43817C1E" w14:textId="77777777">
        <w:trPr>
          <w:trHeight w:val="300"/>
        </w:trPr>
        <w:tc>
          <w:tcPr>
            <w:tcW w:w="9072" w:type="dxa"/>
            <w:tcBorders>
              <w:top w:val="nil"/>
              <w:left w:val="nil"/>
              <w:bottom w:val="nil"/>
              <w:right w:val="nil"/>
            </w:tcBorders>
            <w:noWrap/>
            <w:vAlign w:val="bottom"/>
            <w:hideMark/>
          </w:tcPr>
          <w:p w14:paraId="3018D3C8" w14:textId="77777777" w:rsidR="00960E01" w:rsidRDefault="00821CB5">
            <w:pPr>
              <w:pStyle w:val="P68B1DB1-Normal91"/>
            </w:pPr>
            <w:r>
              <w:t>KDPW_CCP S.A.</w:t>
            </w:r>
          </w:p>
        </w:tc>
      </w:tr>
      <w:tr w:rsidR="00960E01" w14:paraId="21912EC4" w14:textId="77777777">
        <w:trPr>
          <w:trHeight w:val="300"/>
        </w:trPr>
        <w:tc>
          <w:tcPr>
            <w:tcW w:w="9072" w:type="dxa"/>
            <w:tcBorders>
              <w:top w:val="nil"/>
              <w:left w:val="nil"/>
              <w:bottom w:val="nil"/>
              <w:right w:val="nil"/>
            </w:tcBorders>
            <w:noWrap/>
            <w:vAlign w:val="bottom"/>
            <w:hideMark/>
          </w:tcPr>
          <w:p w14:paraId="59836A48" w14:textId="77777777" w:rsidR="00960E01" w:rsidRDefault="00821CB5">
            <w:pPr>
              <w:pStyle w:val="P68B1DB1-Normal91"/>
            </w:pPr>
            <w:r>
              <w:t>KDPW-TR</w:t>
            </w:r>
          </w:p>
        </w:tc>
      </w:tr>
      <w:tr w:rsidR="00960E01" w14:paraId="14480A4D" w14:textId="77777777">
        <w:trPr>
          <w:trHeight w:val="300"/>
        </w:trPr>
        <w:tc>
          <w:tcPr>
            <w:tcW w:w="9072" w:type="dxa"/>
            <w:tcBorders>
              <w:top w:val="nil"/>
              <w:left w:val="nil"/>
              <w:bottom w:val="nil"/>
              <w:right w:val="nil"/>
            </w:tcBorders>
            <w:noWrap/>
            <w:vAlign w:val="bottom"/>
            <w:hideMark/>
          </w:tcPr>
          <w:p w14:paraId="59BBCA2D" w14:textId="77777777" w:rsidR="00960E01" w:rsidRDefault="00821CB5">
            <w:pPr>
              <w:pStyle w:val="P68B1DB1-Normal91"/>
            </w:pPr>
            <w:r>
              <w:t>KELER CCP</w:t>
            </w:r>
          </w:p>
        </w:tc>
      </w:tr>
      <w:tr w:rsidR="00960E01" w14:paraId="1D005B0E" w14:textId="77777777">
        <w:trPr>
          <w:trHeight w:val="300"/>
        </w:trPr>
        <w:tc>
          <w:tcPr>
            <w:tcW w:w="9072" w:type="dxa"/>
            <w:tcBorders>
              <w:top w:val="nil"/>
              <w:left w:val="nil"/>
              <w:bottom w:val="nil"/>
              <w:right w:val="nil"/>
            </w:tcBorders>
            <w:noWrap/>
            <w:vAlign w:val="bottom"/>
            <w:hideMark/>
          </w:tcPr>
          <w:p w14:paraId="2ABFD94E" w14:textId="77777777" w:rsidR="00960E01" w:rsidRDefault="00821CB5">
            <w:pPr>
              <w:pStyle w:val="P68B1DB1-Normal91"/>
            </w:pPr>
            <w:r>
              <w:t>KELER CSD</w:t>
            </w:r>
          </w:p>
        </w:tc>
      </w:tr>
      <w:tr w:rsidR="00960E01" w14:paraId="13D5C039" w14:textId="77777777">
        <w:trPr>
          <w:trHeight w:val="300"/>
        </w:trPr>
        <w:tc>
          <w:tcPr>
            <w:tcW w:w="9072" w:type="dxa"/>
            <w:tcBorders>
              <w:top w:val="nil"/>
              <w:left w:val="nil"/>
              <w:bottom w:val="nil"/>
              <w:right w:val="nil"/>
            </w:tcBorders>
            <w:noWrap/>
            <w:vAlign w:val="bottom"/>
            <w:hideMark/>
          </w:tcPr>
          <w:p w14:paraId="31B1FA22" w14:textId="77777777" w:rsidR="00960E01" w:rsidRDefault="00821CB5">
            <w:pPr>
              <w:pStyle w:val="P68B1DB1-Normal91"/>
            </w:pPr>
            <w:r>
              <w:t>KRONOS</w:t>
            </w:r>
          </w:p>
        </w:tc>
      </w:tr>
      <w:tr w:rsidR="00960E01" w14:paraId="3B7ED824" w14:textId="77777777">
        <w:trPr>
          <w:trHeight w:val="300"/>
        </w:trPr>
        <w:tc>
          <w:tcPr>
            <w:tcW w:w="9072" w:type="dxa"/>
            <w:tcBorders>
              <w:top w:val="nil"/>
              <w:left w:val="nil"/>
              <w:bottom w:val="nil"/>
              <w:right w:val="nil"/>
            </w:tcBorders>
            <w:noWrap/>
            <w:vAlign w:val="bottom"/>
            <w:hideMark/>
          </w:tcPr>
          <w:p w14:paraId="0A3C0455" w14:textId="77777777" w:rsidR="00960E01" w:rsidRDefault="00821CB5">
            <w:pPr>
              <w:pStyle w:val="P68B1DB1-Normal91"/>
            </w:pPr>
            <w:r>
              <w:t>KUBAS</w:t>
            </w:r>
          </w:p>
        </w:tc>
      </w:tr>
      <w:tr w:rsidR="00960E01" w14:paraId="2B1C9B26" w14:textId="77777777">
        <w:trPr>
          <w:trHeight w:val="300"/>
        </w:trPr>
        <w:tc>
          <w:tcPr>
            <w:tcW w:w="9072" w:type="dxa"/>
            <w:tcBorders>
              <w:top w:val="nil"/>
              <w:left w:val="nil"/>
              <w:bottom w:val="nil"/>
              <w:right w:val="nil"/>
            </w:tcBorders>
            <w:noWrap/>
            <w:vAlign w:val="bottom"/>
            <w:hideMark/>
          </w:tcPr>
          <w:p w14:paraId="0C36BDD0" w14:textId="77777777" w:rsidR="00960E01" w:rsidRDefault="00821CB5">
            <w:pPr>
              <w:pStyle w:val="P68B1DB1-Normal91"/>
            </w:pPr>
            <w:r>
              <w:t>System til overførsel af stor værdi (LVTS)</w:t>
            </w:r>
          </w:p>
        </w:tc>
      </w:tr>
      <w:tr w:rsidR="00960E01" w14:paraId="494438D8" w14:textId="77777777">
        <w:trPr>
          <w:trHeight w:val="300"/>
        </w:trPr>
        <w:tc>
          <w:tcPr>
            <w:tcW w:w="9072" w:type="dxa"/>
            <w:tcBorders>
              <w:top w:val="nil"/>
              <w:left w:val="nil"/>
              <w:bottom w:val="nil"/>
              <w:right w:val="nil"/>
            </w:tcBorders>
            <w:noWrap/>
            <w:vAlign w:val="bottom"/>
            <w:hideMark/>
          </w:tcPr>
          <w:p w14:paraId="0378B855" w14:textId="77777777" w:rsidR="00960E01" w:rsidRDefault="00821CB5">
            <w:pPr>
              <w:pStyle w:val="P68B1DB1-Normal91"/>
            </w:pPr>
            <w:r>
              <w:t>LCH Ltd</w:t>
            </w:r>
          </w:p>
        </w:tc>
      </w:tr>
      <w:tr w:rsidR="00960E01" w14:paraId="5DD1EBF4" w14:textId="77777777">
        <w:trPr>
          <w:trHeight w:val="300"/>
        </w:trPr>
        <w:tc>
          <w:tcPr>
            <w:tcW w:w="9072" w:type="dxa"/>
            <w:tcBorders>
              <w:top w:val="nil"/>
              <w:left w:val="nil"/>
              <w:bottom w:val="nil"/>
              <w:right w:val="nil"/>
            </w:tcBorders>
            <w:noWrap/>
            <w:vAlign w:val="bottom"/>
            <w:hideMark/>
          </w:tcPr>
          <w:p w14:paraId="59459780" w14:textId="77777777" w:rsidR="00960E01" w:rsidRDefault="00821CB5">
            <w:pPr>
              <w:pStyle w:val="P68B1DB1-Normal91"/>
            </w:pPr>
            <w:r>
              <w:t>LCH SA</w:t>
            </w:r>
          </w:p>
        </w:tc>
      </w:tr>
      <w:tr w:rsidR="00960E01" w14:paraId="4F01D89C" w14:textId="77777777">
        <w:trPr>
          <w:trHeight w:val="300"/>
        </w:trPr>
        <w:tc>
          <w:tcPr>
            <w:tcW w:w="9072" w:type="dxa"/>
            <w:tcBorders>
              <w:top w:val="nil"/>
              <w:left w:val="nil"/>
              <w:bottom w:val="nil"/>
              <w:right w:val="nil"/>
            </w:tcBorders>
            <w:noWrap/>
            <w:vAlign w:val="bottom"/>
            <w:hideMark/>
          </w:tcPr>
          <w:p w14:paraId="5955E367" w14:textId="77777777" w:rsidR="00960E01" w:rsidRDefault="00821CB5">
            <w:pPr>
              <w:pStyle w:val="P68B1DB1-Normal91"/>
            </w:pPr>
            <w:r>
              <w:t>Ljubljana Fondsbørs</w:t>
            </w:r>
          </w:p>
        </w:tc>
      </w:tr>
      <w:tr w:rsidR="00960E01" w14:paraId="63C7A928" w14:textId="77777777">
        <w:trPr>
          <w:trHeight w:val="300"/>
        </w:trPr>
        <w:tc>
          <w:tcPr>
            <w:tcW w:w="9072" w:type="dxa"/>
            <w:tcBorders>
              <w:top w:val="nil"/>
              <w:left w:val="nil"/>
              <w:bottom w:val="nil"/>
              <w:right w:val="nil"/>
            </w:tcBorders>
            <w:noWrap/>
            <w:vAlign w:val="bottom"/>
            <w:hideMark/>
          </w:tcPr>
          <w:p w14:paraId="14DFAB9F" w14:textId="77777777" w:rsidR="00960E01" w:rsidRDefault="00821CB5">
            <w:pPr>
              <w:pStyle w:val="P68B1DB1-Normal91"/>
            </w:pPr>
            <w:r>
              <w:t>LME Clear Limited</w:t>
            </w:r>
          </w:p>
        </w:tc>
      </w:tr>
      <w:tr w:rsidR="00960E01" w:rsidRPr="00BA6295" w14:paraId="188E3D82" w14:textId="77777777">
        <w:trPr>
          <w:trHeight w:val="300"/>
        </w:trPr>
        <w:tc>
          <w:tcPr>
            <w:tcW w:w="9072" w:type="dxa"/>
            <w:tcBorders>
              <w:top w:val="nil"/>
              <w:left w:val="nil"/>
              <w:bottom w:val="nil"/>
              <w:right w:val="nil"/>
            </w:tcBorders>
            <w:noWrap/>
            <w:vAlign w:val="bottom"/>
            <w:hideMark/>
          </w:tcPr>
          <w:p w14:paraId="7DB15EC9" w14:textId="77777777" w:rsidR="00960E01" w:rsidRPr="00BA6295" w:rsidRDefault="00821CB5">
            <w:pPr>
              <w:pStyle w:val="P68B1DB1-Normal91"/>
            </w:pPr>
            <w:r w:rsidRPr="00BA6295">
              <w:t>London Stock Exchange Ltd (LSE)</w:t>
            </w:r>
          </w:p>
        </w:tc>
      </w:tr>
      <w:tr w:rsidR="00960E01" w14:paraId="0AD660E5" w14:textId="77777777">
        <w:trPr>
          <w:trHeight w:val="300"/>
        </w:trPr>
        <w:tc>
          <w:tcPr>
            <w:tcW w:w="9072" w:type="dxa"/>
            <w:tcBorders>
              <w:top w:val="nil"/>
              <w:left w:val="nil"/>
              <w:bottom w:val="nil"/>
              <w:right w:val="nil"/>
            </w:tcBorders>
            <w:noWrap/>
            <w:vAlign w:val="bottom"/>
            <w:hideMark/>
          </w:tcPr>
          <w:p w14:paraId="23DA5AB4" w14:textId="77777777" w:rsidR="00960E01" w:rsidRDefault="00821CB5">
            <w:pPr>
              <w:pStyle w:val="P68B1DB1-Normal91"/>
            </w:pPr>
            <w:r>
              <w:t>LUX-CSD</w:t>
            </w:r>
          </w:p>
        </w:tc>
      </w:tr>
      <w:tr w:rsidR="00960E01" w14:paraId="5B3E1A3A" w14:textId="77777777">
        <w:trPr>
          <w:trHeight w:val="300"/>
        </w:trPr>
        <w:tc>
          <w:tcPr>
            <w:tcW w:w="9072" w:type="dxa"/>
            <w:tcBorders>
              <w:top w:val="nil"/>
              <w:left w:val="nil"/>
              <w:bottom w:val="nil"/>
              <w:right w:val="nil"/>
            </w:tcBorders>
            <w:noWrap/>
            <w:vAlign w:val="bottom"/>
            <w:hideMark/>
          </w:tcPr>
          <w:p w14:paraId="5D4FD8D4" w14:textId="77777777" w:rsidR="00960E01" w:rsidRDefault="00821CB5">
            <w:pPr>
              <w:pStyle w:val="P68B1DB1-Normal91"/>
            </w:pPr>
            <w:r>
              <w:t>Maltas clearingcentral</w:t>
            </w:r>
          </w:p>
        </w:tc>
      </w:tr>
      <w:tr w:rsidR="00960E01" w14:paraId="0739CAE8" w14:textId="77777777">
        <w:trPr>
          <w:trHeight w:val="300"/>
        </w:trPr>
        <w:tc>
          <w:tcPr>
            <w:tcW w:w="9072" w:type="dxa"/>
            <w:tcBorders>
              <w:top w:val="nil"/>
              <w:left w:val="nil"/>
              <w:bottom w:val="nil"/>
              <w:right w:val="nil"/>
            </w:tcBorders>
            <w:noWrap/>
            <w:vAlign w:val="bottom"/>
            <w:hideMark/>
          </w:tcPr>
          <w:p w14:paraId="7880FB68" w14:textId="77777777" w:rsidR="00960E01" w:rsidRDefault="00821CB5">
            <w:pPr>
              <w:pStyle w:val="P68B1DB1-Normal91"/>
            </w:pPr>
            <w:r>
              <w:t>Maltas Fondsbørs</w:t>
            </w:r>
          </w:p>
        </w:tc>
      </w:tr>
      <w:tr w:rsidR="00960E01" w14:paraId="1462AFD7" w14:textId="77777777">
        <w:trPr>
          <w:trHeight w:val="300"/>
        </w:trPr>
        <w:tc>
          <w:tcPr>
            <w:tcW w:w="9072" w:type="dxa"/>
            <w:tcBorders>
              <w:top w:val="nil"/>
              <w:left w:val="nil"/>
              <w:bottom w:val="nil"/>
              <w:right w:val="nil"/>
            </w:tcBorders>
            <w:noWrap/>
            <w:vAlign w:val="bottom"/>
            <w:hideMark/>
          </w:tcPr>
          <w:p w14:paraId="4F29DF27" w14:textId="77777777" w:rsidR="00960E01" w:rsidRDefault="00821CB5">
            <w:pPr>
              <w:pStyle w:val="P68B1DB1-Normal91"/>
            </w:pPr>
            <w:r>
              <w:t>Malta Stock Exchange CSD</w:t>
            </w:r>
          </w:p>
        </w:tc>
      </w:tr>
      <w:tr w:rsidR="00960E01" w:rsidRPr="00BA6295" w14:paraId="147A9AFE" w14:textId="77777777">
        <w:trPr>
          <w:trHeight w:val="300"/>
        </w:trPr>
        <w:tc>
          <w:tcPr>
            <w:tcW w:w="9072" w:type="dxa"/>
            <w:tcBorders>
              <w:top w:val="nil"/>
              <w:left w:val="nil"/>
              <w:bottom w:val="nil"/>
              <w:right w:val="nil"/>
            </w:tcBorders>
            <w:noWrap/>
            <w:vAlign w:val="bottom"/>
            <w:hideMark/>
          </w:tcPr>
          <w:p w14:paraId="29008853" w14:textId="77777777" w:rsidR="00960E01" w:rsidRPr="00BA6295" w:rsidRDefault="00821CB5">
            <w:pPr>
              <w:pStyle w:val="P68B1DB1-Normal91"/>
            </w:pPr>
            <w:r w:rsidRPr="00BA6295">
              <w:t>MEFF Sociedad Rectora de Productos Derivados S. A.</w:t>
            </w:r>
          </w:p>
        </w:tc>
      </w:tr>
      <w:tr w:rsidR="00960E01" w14:paraId="03A3D6E0" w14:textId="77777777">
        <w:trPr>
          <w:trHeight w:val="300"/>
        </w:trPr>
        <w:tc>
          <w:tcPr>
            <w:tcW w:w="9072" w:type="dxa"/>
            <w:tcBorders>
              <w:top w:val="nil"/>
              <w:left w:val="nil"/>
              <w:bottom w:val="nil"/>
              <w:right w:val="nil"/>
            </w:tcBorders>
            <w:noWrap/>
            <w:vAlign w:val="bottom"/>
            <w:hideMark/>
          </w:tcPr>
          <w:p w14:paraId="3E98B6A6" w14:textId="77777777" w:rsidR="00960E01" w:rsidRDefault="00821CB5">
            <w:pPr>
              <w:pStyle w:val="P68B1DB1-Normal91"/>
            </w:pPr>
            <w:r>
              <w:t>Mercado de Deuda Pública en Anotaciones</w:t>
            </w:r>
          </w:p>
        </w:tc>
      </w:tr>
      <w:tr w:rsidR="00960E01" w14:paraId="51FA8AC8" w14:textId="77777777">
        <w:trPr>
          <w:trHeight w:val="300"/>
        </w:trPr>
        <w:tc>
          <w:tcPr>
            <w:tcW w:w="9072" w:type="dxa"/>
            <w:tcBorders>
              <w:top w:val="nil"/>
              <w:left w:val="nil"/>
              <w:bottom w:val="nil"/>
              <w:right w:val="nil"/>
            </w:tcBorders>
            <w:noWrap/>
            <w:vAlign w:val="bottom"/>
            <w:hideMark/>
          </w:tcPr>
          <w:p w14:paraId="3F76F750" w14:textId="77777777" w:rsidR="00960E01" w:rsidRDefault="00821CB5">
            <w:pPr>
              <w:pStyle w:val="P68B1DB1-Normal91"/>
            </w:pPr>
            <w:r>
              <w:t>Monte Titoli</w:t>
            </w:r>
          </w:p>
        </w:tc>
      </w:tr>
      <w:tr w:rsidR="00960E01" w14:paraId="23805AA2" w14:textId="77777777">
        <w:trPr>
          <w:trHeight w:val="300"/>
        </w:trPr>
        <w:tc>
          <w:tcPr>
            <w:tcW w:w="9072" w:type="dxa"/>
            <w:tcBorders>
              <w:top w:val="nil"/>
              <w:left w:val="nil"/>
              <w:bottom w:val="nil"/>
              <w:right w:val="nil"/>
            </w:tcBorders>
            <w:noWrap/>
            <w:vAlign w:val="bottom"/>
            <w:hideMark/>
          </w:tcPr>
          <w:p w14:paraId="13AB08E1" w14:textId="77777777" w:rsidR="00960E01" w:rsidRDefault="00821CB5">
            <w:pPr>
              <w:pStyle w:val="P68B1DB1-Normal91"/>
            </w:pPr>
            <w:r>
              <w:t>MTS</w:t>
            </w:r>
          </w:p>
        </w:tc>
      </w:tr>
      <w:tr w:rsidR="00960E01" w14:paraId="4149713C" w14:textId="77777777">
        <w:trPr>
          <w:trHeight w:val="300"/>
        </w:trPr>
        <w:tc>
          <w:tcPr>
            <w:tcW w:w="9072" w:type="dxa"/>
            <w:tcBorders>
              <w:top w:val="nil"/>
              <w:left w:val="nil"/>
              <w:bottom w:val="nil"/>
              <w:right w:val="nil"/>
            </w:tcBorders>
            <w:noWrap/>
            <w:vAlign w:val="bottom"/>
            <w:hideMark/>
          </w:tcPr>
          <w:p w14:paraId="0E21C9DA" w14:textId="77777777" w:rsidR="00960E01" w:rsidRDefault="00821CB5">
            <w:pPr>
              <w:pStyle w:val="P68B1DB1-Normal91"/>
            </w:pPr>
            <w:r>
              <w:t>Národný Centralny Depositar Cennych Papierov (nCDCP) som</w:t>
            </w:r>
          </w:p>
        </w:tc>
      </w:tr>
      <w:tr w:rsidR="00960E01" w14:paraId="7826A921" w14:textId="77777777">
        <w:trPr>
          <w:trHeight w:val="300"/>
        </w:trPr>
        <w:tc>
          <w:tcPr>
            <w:tcW w:w="9072" w:type="dxa"/>
            <w:tcBorders>
              <w:top w:val="nil"/>
              <w:left w:val="nil"/>
              <w:bottom w:val="nil"/>
              <w:right w:val="nil"/>
            </w:tcBorders>
            <w:noWrap/>
            <w:vAlign w:val="bottom"/>
            <w:hideMark/>
          </w:tcPr>
          <w:p w14:paraId="3989D7C0" w14:textId="77777777" w:rsidR="00960E01" w:rsidRDefault="00821CB5">
            <w:pPr>
              <w:pStyle w:val="P68B1DB1-Normal91"/>
            </w:pPr>
            <w:r>
              <w:t>Nasdaq CSD SE</w:t>
            </w:r>
          </w:p>
        </w:tc>
      </w:tr>
      <w:tr w:rsidR="00960E01" w14:paraId="0F9127FC" w14:textId="77777777">
        <w:trPr>
          <w:trHeight w:val="300"/>
        </w:trPr>
        <w:tc>
          <w:tcPr>
            <w:tcW w:w="9072" w:type="dxa"/>
            <w:tcBorders>
              <w:top w:val="nil"/>
              <w:left w:val="nil"/>
              <w:bottom w:val="nil"/>
              <w:right w:val="nil"/>
            </w:tcBorders>
            <w:noWrap/>
            <w:vAlign w:val="bottom"/>
            <w:hideMark/>
          </w:tcPr>
          <w:p w14:paraId="7E3342A8" w14:textId="77777777" w:rsidR="00960E01" w:rsidRDefault="00821CB5">
            <w:pPr>
              <w:pStyle w:val="P68B1DB1-Normal91"/>
            </w:pPr>
            <w:r>
              <w:t>Nasdaq Helsingfors</w:t>
            </w:r>
          </w:p>
        </w:tc>
      </w:tr>
      <w:tr w:rsidR="00960E01" w14:paraId="794AA9C2" w14:textId="77777777">
        <w:trPr>
          <w:trHeight w:val="300"/>
        </w:trPr>
        <w:tc>
          <w:tcPr>
            <w:tcW w:w="9072" w:type="dxa"/>
            <w:tcBorders>
              <w:top w:val="nil"/>
              <w:left w:val="nil"/>
              <w:bottom w:val="nil"/>
              <w:right w:val="nil"/>
            </w:tcBorders>
            <w:noWrap/>
            <w:vAlign w:val="bottom"/>
            <w:hideMark/>
          </w:tcPr>
          <w:p w14:paraId="4EB7B940" w14:textId="77777777" w:rsidR="00960E01" w:rsidRDefault="00821CB5">
            <w:pPr>
              <w:pStyle w:val="P68B1DB1-Normal91"/>
            </w:pPr>
            <w:r>
              <w:t>Nasdaq OMX Clearing</w:t>
            </w:r>
          </w:p>
        </w:tc>
      </w:tr>
      <w:tr w:rsidR="00960E01" w14:paraId="27B334A7" w14:textId="77777777">
        <w:trPr>
          <w:trHeight w:val="300"/>
        </w:trPr>
        <w:tc>
          <w:tcPr>
            <w:tcW w:w="9072" w:type="dxa"/>
            <w:tcBorders>
              <w:top w:val="nil"/>
              <w:left w:val="nil"/>
              <w:bottom w:val="nil"/>
              <w:right w:val="nil"/>
            </w:tcBorders>
            <w:noWrap/>
            <w:vAlign w:val="bottom"/>
            <w:hideMark/>
          </w:tcPr>
          <w:p w14:paraId="405F6BB1" w14:textId="77777777" w:rsidR="00960E01" w:rsidRDefault="00821CB5">
            <w:pPr>
              <w:pStyle w:val="P68B1DB1-Normal91"/>
            </w:pPr>
            <w:r>
              <w:t>Nasdaq OMX Stockholm</w:t>
            </w:r>
          </w:p>
        </w:tc>
      </w:tr>
      <w:tr w:rsidR="00960E01" w:rsidRPr="00BA6295" w14:paraId="5888CB72" w14:textId="77777777">
        <w:trPr>
          <w:trHeight w:val="300"/>
        </w:trPr>
        <w:tc>
          <w:tcPr>
            <w:tcW w:w="9072" w:type="dxa"/>
            <w:tcBorders>
              <w:top w:val="nil"/>
              <w:left w:val="nil"/>
              <w:bottom w:val="nil"/>
              <w:right w:val="nil"/>
            </w:tcBorders>
            <w:noWrap/>
            <w:vAlign w:val="bottom"/>
            <w:hideMark/>
          </w:tcPr>
          <w:p w14:paraId="20F7ABDC" w14:textId="77777777" w:rsidR="00960E01" w:rsidRPr="00BA6295" w:rsidRDefault="00821CB5">
            <w:pPr>
              <w:pStyle w:val="P68B1DB1-Normal91"/>
            </w:pPr>
            <w:r w:rsidRPr="00BA6295">
              <w:t>National Securities Clearing Corp. (NSCC)</w:t>
            </w:r>
          </w:p>
        </w:tc>
      </w:tr>
      <w:tr w:rsidR="00960E01" w14:paraId="5E9C8F6D" w14:textId="77777777">
        <w:trPr>
          <w:trHeight w:val="300"/>
        </w:trPr>
        <w:tc>
          <w:tcPr>
            <w:tcW w:w="9072" w:type="dxa"/>
            <w:tcBorders>
              <w:top w:val="nil"/>
              <w:left w:val="nil"/>
              <w:bottom w:val="nil"/>
              <w:right w:val="nil"/>
            </w:tcBorders>
            <w:noWrap/>
            <w:vAlign w:val="bottom"/>
            <w:hideMark/>
          </w:tcPr>
          <w:p w14:paraId="12F1BAEB" w14:textId="77777777" w:rsidR="00960E01" w:rsidRDefault="00821CB5">
            <w:pPr>
              <w:pStyle w:val="P68B1DB1-Normal91"/>
            </w:pPr>
            <w:r>
              <w:t>NBB SSS</w:t>
            </w:r>
          </w:p>
        </w:tc>
      </w:tr>
      <w:tr w:rsidR="00960E01" w14:paraId="5DFC5D23" w14:textId="77777777">
        <w:trPr>
          <w:trHeight w:val="300"/>
        </w:trPr>
        <w:tc>
          <w:tcPr>
            <w:tcW w:w="9072" w:type="dxa"/>
            <w:tcBorders>
              <w:top w:val="nil"/>
              <w:left w:val="nil"/>
              <w:bottom w:val="nil"/>
              <w:right w:val="nil"/>
            </w:tcBorders>
            <w:noWrap/>
            <w:vAlign w:val="bottom"/>
            <w:hideMark/>
          </w:tcPr>
          <w:p w14:paraId="3737426F" w14:textId="77777777" w:rsidR="00960E01" w:rsidRDefault="00821CB5">
            <w:pPr>
              <w:pStyle w:val="P68B1DB1-Normal91"/>
            </w:pPr>
            <w:r>
              <w:t>NBP-veksler og skatkammerregister</w:t>
            </w:r>
          </w:p>
        </w:tc>
      </w:tr>
      <w:tr w:rsidR="00960E01" w:rsidRPr="00BA6295" w14:paraId="1FC22E5F" w14:textId="77777777">
        <w:trPr>
          <w:trHeight w:val="300"/>
        </w:trPr>
        <w:tc>
          <w:tcPr>
            <w:tcW w:w="9072" w:type="dxa"/>
            <w:tcBorders>
              <w:top w:val="nil"/>
              <w:left w:val="nil"/>
              <w:bottom w:val="nil"/>
              <w:right w:val="nil"/>
            </w:tcBorders>
            <w:noWrap/>
            <w:vAlign w:val="bottom"/>
            <w:hideMark/>
          </w:tcPr>
          <w:p w14:paraId="358DE620" w14:textId="77777777" w:rsidR="00960E01" w:rsidRPr="00BA6295" w:rsidRDefault="00821CB5">
            <w:pPr>
              <w:pStyle w:val="P68B1DB1-Normal91"/>
            </w:pPr>
            <w:r w:rsidRPr="00BA6295">
              <w:t>NEX Abide Trade Repository AB (NEX Abide Trade Repository AB)</w:t>
            </w:r>
          </w:p>
        </w:tc>
      </w:tr>
      <w:tr w:rsidR="00960E01" w:rsidRPr="00BA6295" w14:paraId="1362AFBF" w14:textId="77777777">
        <w:trPr>
          <w:trHeight w:val="300"/>
        </w:trPr>
        <w:tc>
          <w:tcPr>
            <w:tcW w:w="9072" w:type="dxa"/>
            <w:tcBorders>
              <w:top w:val="nil"/>
              <w:left w:val="nil"/>
              <w:bottom w:val="nil"/>
              <w:right w:val="nil"/>
            </w:tcBorders>
            <w:noWrap/>
            <w:vAlign w:val="bottom"/>
            <w:hideMark/>
          </w:tcPr>
          <w:p w14:paraId="7779B6B2" w14:textId="77777777" w:rsidR="00960E01" w:rsidRPr="00BA6295" w:rsidRDefault="00821CB5">
            <w:pPr>
              <w:pStyle w:val="P68B1DB1-Normal91"/>
            </w:pPr>
            <w:r w:rsidRPr="00BA6295">
              <w:t>NIC (Norwegian Inter Bank Clearing System)</w:t>
            </w:r>
          </w:p>
        </w:tc>
      </w:tr>
      <w:tr w:rsidR="00960E01" w14:paraId="403EDEA1" w14:textId="77777777">
        <w:trPr>
          <w:trHeight w:val="300"/>
        </w:trPr>
        <w:tc>
          <w:tcPr>
            <w:tcW w:w="9072" w:type="dxa"/>
            <w:tcBorders>
              <w:top w:val="nil"/>
              <w:left w:val="nil"/>
              <w:bottom w:val="nil"/>
              <w:right w:val="nil"/>
            </w:tcBorders>
            <w:noWrap/>
            <w:vAlign w:val="bottom"/>
            <w:hideMark/>
          </w:tcPr>
          <w:p w14:paraId="4BFCE736" w14:textId="77777777" w:rsidR="00960E01" w:rsidRDefault="00821CB5">
            <w:pPr>
              <w:pStyle w:val="P68B1DB1-Normal91"/>
            </w:pPr>
            <w:r>
              <w:lastRenderedPageBreak/>
              <w:t>NKS (det nationale clearingsystem)/EuroNKS</w:t>
            </w:r>
          </w:p>
        </w:tc>
      </w:tr>
      <w:tr w:rsidR="00960E01" w14:paraId="72370490" w14:textId="77777777">
        <w:trPr>
          <w:trHeight w:val="300"/>
        </w:trPr>
        <w:tc>
          <w:tcPr>
            <w:tcW w:w="9072" w:type="dxa"/>
            <w:tcBorders>
              <w:top w:val="nil"/>
              <w:left w:val="nil"/>
              <w:bottom w:val="nil"/>
              <w:right w:val="nil"/>
            </w:tcBorders>
            <w:noWrap/>
            <w:vAlign w:val="bottom"/>
            <w:hideMark/>
          </w:tcPr>
          <w:p w14:paraId="46EFA26D" w14:textId="77777777" w:rsidR="00960E01" w:rsidRDefault="00821CB5">
            <w:pPr>
              <w:pStyle w:val="P68B1DB1-Normal91"/>
            </w:pPr>
            <w:r>
              <w:t>NYSE Euronext Paris</w:t>
            </w:r>
          </w:p>
        </w:tc>
      </w:tr>
      <w:tr w:rsidR="00960E01" w14:paraId="5FB1C2FE" w14:textId="77777777">
        <w:trPr>
          <w:trHeight w:val="300"/>
        </w:trPr>
        <w:tc>
          <w:tcPr>
            <w:tcW w:w="9072" w:type="dxa"/>
            <w:tcBorders>
              <w:top w:val="nil"/>
              <w:left w:val="nil"/>
              <w:bottom w:val="nil"/>
              <w:right w:val="nil"/>
            </w:tcBorders>
            <w:noWrap/>
            <w:vAlign w:val="bottom"/>
            <w:hideMark/>
          </w:tcPr>
          <w:p w14:paraId="43B707C4" w14:textId="77777777" w:rsidR="00960E01" w:rsidRDefault="00821CB5">
            <w:pPr>
              <w:pStyle w:val="P68B1DB1-Normal91"/>
            </w:pPr>
            <w:r>
              <w:t>OeKB CSD GmbH (WSB System)</w:t>
            </w:r>
          </w:p>
        </w:tc>
      </w:tr>
      <w:tr w:rsidR="00960E01" w14:paraId="297ECE0B" w14:textId="77777777">
        <w:trPr>
          <w:trHeight w:val="300"/>
        </w:trPr>
        <w:tc>
          <w:tcPr>
            <w:tcW w:w="9072" w:type="dxa"/>
            <w:tcBorders>
              <w:top w:val="nil"/>
              <w:left w:val="nil"/>
              <w:bottom w:val="nil"/>
              <w:right w:val="nil"/>
            </w:tcBorders>
            <w:noWrap/>
            <w:vAlign w:val="bottom"/>
            <w:hideMark/>
          </w:tcPr>
          <w:p w14:paraId="41926D7B" w14:textId="77777777" w:rsidR="00960E01" w:rsidRDefault="00821CB5">
            <w:pPr>
              <w:pStyle w:val="P68B1DB1-Normal91"/>
            </w:pPr>
            <w:r>
              <w:t>OMI Klar</w:t>
            </w:r>
          </w:p>
        </w:tc>
      </w:tr>
      <w:tr w:rsidR="00960E01" w14:paraId="786A0182" w14:textId="77777777">
        <w:trPr>
          <w:trHeight w:val="300"/>
        </w:trPr>
        <w:tc>
          <w:tcPr>
            <w:tcW w:w="9072" w:type="dxa"/>
            <w:tcBorders>
              <w:top w:val="nil"/>
              <w:left w:val="nil"/>
              <w:bottom w:val="nil"/>
              <w:right w:val="nil"/>
            </w:tcBorders>
            <w:noWrap/>
            <w:vAlign w:val="bottom"/>
            <w:hideMark/>
          </w:tcPr>
          <w:p w14:paraId="00B344FB" w14:textId="77777777" w:rsidR="00960E01" w:rsidRDefault="00821CB5">
            <w:pPr>
              <w:pStyle w:val="P68B1DB1-Normal91"/>
            </w:pPr>
            <w:r>
              <w:t>POP'ER</w:t>
            </w:r>
          </w:p>
        </w:tc>
      </w:tr>
      <w:tr w:rsidR="00960E01" w14:paraId="560CA6B2" w14:textId="77777777">
        <w:trPr>
          <w:trHeight w:val="300"/>
        </w:trPr>
        <w:tc>
          <w:tcPr>
            <w:tcW w:w="9072" w:type="dxa"/>
            <w:tcBorders>
              <w:top w:val="nil"/>
              <w:left w:val="nil"/>
              <w:bottom w:val="nil"/>
              <w:right w:val="nil"/>
            </w:tcBorders>
            <w:noWrap/>
            <w:vAlign w:val="bottom"/>
            <w:hideMark/>
          </w:tcPr>
          <w:p w14:paraId="15C8DE81" w14:textId="77777777" w:rsidR="00960E01" w:rsidRDefault="00821CB5">
            <w:pPr>
              <w:pStyle w:val="P68B1DB1-Normal91"/>
            </w:pPr>
            <w:r>
              <w:t>REGIS</w:t>
            </w:r>
          </w:p>
        </w:tc>
      </w:tr>
      <w:tr w:rsidR="00960E01" w14:paraId="185A7956" w14:textId="77777777">
        <w:trPr>
          <w:trHeight w:val="300"/>
        </w:trPr>
        <w:tc>
          <w:tcPr>
            <w:tcW w:w="9072" w:type="dxa"/>
            <w:tcBorders>
              <w:top w:val="nil"/>
              <w:left w:val="nil"/>
              <w:bottom w:val="nil"/>
              <w:right w:val="nil"/>
            </w:tcBorders>
            <w:noWrap/>
            <w:vAlign w:val="bottom"/>
            <w:hideMark/>
          </w:tcPr>
          <w:p w14:paraId="3E63DE78" w14:textId="77777777" w:rsidR="00960E01" w:rsidRDefault="00821CB5">
            <w:pPr>
              <w:pStyle w:val="P68B1DB1-Normal91"/>
            </w:pPr>
            <w:r>
              <w:t>Registrering-TR</w:t>
            </w:r>
          </w:p>
        </w:tc>
      </w:tr>
      <w:tr w:rsidR="00960E01" w:rsidRPr="00BA6295" w14:paraId="751DD516" w14:textId="77777777">
        <w:trPr>
          <w:trHeight w:val="300"/>
        </w:trPr>
        <w:tc>
          <w:tcPr>
            <w:tcW w:w="9072" w:type="dxa"/>
            <w:tcBorders>
              <w:top w:val="nil"/>
              <w:left w:val="nil"/>
              <w:bottom w:val="nil"/>
              <w:right w:val="nil"/>
            </w:tcBorders>
            <w:noWrap/>
            <w:vAlign w:val="bottom"/>
            <w:hideMark/>
          </w:tcPr>
          <w:p w14:paraId="61EDA69E" w14:textId="77777777" w:rsidR="00960E01" w:rsidRPr="00BA6295" w:rsidRDefault="00821CB5">
            <w:pPr>
              <w:pStyle w:val="P68B1DB1-Normal91"/>
            </w:pPr>
            <w:r w:rsidRPr="00BA6295">
              <w:t>Ringe (Real-time interbank gross-settlement System)</w:t>
            </w:r>
          </w:p>
        </w:tc>
      </w:tr>
      <w:tr w:rsidR="00960E01" w14:paraId="3DA52EFD" w14:textId="77777777">
        <w:trPr>
          <w:trHeight w:val="300"/>
        </w:trPr>
        <w:tc>
          <w:tcPr>
            <w:tcW w:w="9072" w:type="dxa"/>
            <w:tcBorders>
              <w:top w:val="nil"/>
              <w:left w:val="nil"/>
              <w:bottom w:val="nil"/>
              <w:right w:val="nil"/>
            </w:tcBorders>
            <w:noWrap/>
            <w:vAlign w:val="bottom"/>
            <w:hideMark/>
          </w:tcPr>
          <w:p w14:paraId="14849718" w14:textId="77777777" w:rsidR="00960E01" w:rsidRDefault="00821CB5">
            <w:pPr>
              <w:pStyle w:val="P68B1DB1-Normal91"/>
            </w:pPr>
            <w:r>
              <w:t>RIX</w:t>
            </w:r>
          </w:p>
        </w:tc>
      </w:tr>
      <w:tr w:rsidR="00960E01" w14:paraId="2F5941C3" w14:textId="77777777">
        <w:trPr>
          <w:trHeight w:val="300"/>
        </w:trPr>
        <w:tc>
          <w:tcPr>
            <w:tcW w:w="9072" w:type="dxa"/>
            <w:tcBorders>
              <w:top w:val="nil"/>
              <w:left w:val="nil"/>
              <w:bottom w:val="nil"/>
              <w:right w:val="nil"/>
            </w:tcBorders>
            <w:noWrap/>
            <w:vAlign w:val="bottom"/>
            <w:hideMark/>
          </w:tcPr>
          <w:p w14:paraId="05086D64" w14:textId="77777777" w:rsidR="00960E01" w:rsidRDefault="00821CB5">
            <w:pPr>
              <w:pStyle w:val="P68B1DB1-Normal91"/>
            </w:pPr>
            <w:r>
              <w:t>RM-System Tjekkiets fondsbørs</w:t>
            </w:r>
          </w:p>
        </w:tc>
      </w:tr>
      <w:tr w:rsidR="00960E01" w14:paraId="4785EAE5" w14:textId="77777777">
        <w:trPr>
          <w:trHeight w:val="300"/>
        </w:trPr>
        <w:tc>
          <w:tcPr>
            <w:tcW w:w="9072" w:type="dxa"/>
            <w:tcBorders>
              <w:top w:val="nil"/>
              <w:left w:val="nil"/>
              <w:bottom w:val="nil"/>
              <w:right w:val="nil"/>
            </w:tcBorders>
            <w:noWrap/>
            <w:vAlign w:val="bottom"/>
            <w:hideMark/>
          </w:tcPr>
          <w:p w14:paraId="0E3CA4AB" w14:textId="77777777" w:rsidR="00960E01" w:rsidRDefault="00821CB5">
            <w:pPr>
              <w:pStyle w:val="P68B1DB1-Normal91"/>
            </w:pPr>
            <w:r>
              <w:t>RoClear</w:t>
            </w:r>
          </w:p>
        </w:tc>
      </w:tr>
      <w:tr w:rsidR="00960E01" w14:paraId="16348C32" w14:textId="77777777">
        <w:trPr>
          <w:trHeight w:val="300"/>
        </w:trPr>
        <w:tc>
          <w:tcPr>
            <w:tcW w:w="9072" w:type="dxa"/>
            <w:tcBorders>
              <w:top w:val="nil"/>
              <w:left w:val="nil"/>
              <w:bottom w:val="nil"/>
              <w:right w:val="nil"/>
            </w:tcBorders>
            <w:noWrap/>
            <w:vAlign w:val="bottom"/>
            <w:hideMark/>
          </w:tcPr>
          <w:p w14:paraId="7791248F" w14:textId="77777777" w:rsidR="00960E01" w:rsidRDefault="00821CB5">
            <w:pPr>
              <w:pStyle w:val="P68B1DB1-Normal91"/>
            </w:pPr>
            <w:r>
              <w:t>FORSKRIFTSPROCEDUREN MED KONTROL</w:t>
            </w:r>
          </w:p>
        </w:tc>
      </w:tr>
      <w:tr w:rsidR="00960E01" w14:paraId="201CD5B7" w14:textId="77777777">
        <w:trPr>
          <w:trHeight w:val="300"/>
        </w:trPr>
        <w:tc>
          <w:tcPr>
            <w:tcW w:w="9072" w:type="dxa"/>
            <w:tcBorders>
              <w:top w:val="nil"/>
              <w:left w:val="nil"/>
              <w:bottom w:val="nil"/>
              <w:right w:val="nil"/>
            </w:tcBorders>
            <w:noWrap/>
            <w:vAlign w:val="bottom"/>
            <w:hideMark/>
          </w:tcPr>
          <w:p w14:paraId="78F31295" w14:textId="77777777" w:rsidR="00960E01" w:rsidRDefault="00821CB5">
            <w:pPr>
              <w:pStyle w:val="P68B1DB1-Normal91"/>
            </w:pPr>
            <w:r>
              <w:t>RT1</w:t>
            </w:r>
          </w:p>
        </w:tc>
      </w:tr>
      <w:tr w:rsidR="00960E01" w14:paraId="5D6D4D2F" w14:textId="77777777">
        <w:trPr>
          <w:trHeight w:val="300"/>
        </w:trPr>
        <w:tc>
          <w:tcPr>
            <w:tcW w:w="9072" w:type="dxa"/>
            <w:tcBorders>
              <w:top w:val="nil"/>
              <w:left w:val="nil"/>
              <w:bottom w:val="nil"/>
              <w:right w:val="nil"/>
            </w:tcBorders>
            <w:noWrap/>
            <w:vAlign w:val="bottom"/>
            <w:hideMark/>
          </w:tcPr>
          <w:p w14:paraId="0D3FA36D" w14:textId="77777777" w:rsidR="00960E01" w:rsidRDefault="00821CB5">
            <w:pPr>
              <w:pStyle w:val="P68B1DB1-Normal91"/>
            </w:pPr>
            <w:r>
              <w:t>SAFIR</w:t>
            </w:r>
          </w:p>
        </w:tc>
      </w:tr>
      <w:tr w:rsidR="00960E01" w14:paraId="683945A8" w14:textId="77777777">
        <w:trPr>
          <w:trHeight w:val="300"/>
        </w:trPr>
        <w:tc>
          <w:tcPr>
            <w:tcW w:w="9072" w:type="dxa"/>
            <w:tcBorders>
              <w:top w:val="nil"/>
              <w:left w:val="nil"/>
              <w:bottom w:val="nil"/>
              <w:right w:val="nil"/>
            </w:tcBorders>
            <w:noWrap/>
            <w:vAlign w:val="bottom"/>
            <w:hideMark/>
          </w:tcPr>
          <w:p w14:paraId="4536F3F1" w14:textId="77777777" w:rsidR="00960E01" w:rsidRDefault="00821CB5">
            <w:pPr>
              <w:pStyle w:val="P68B1DB1-Normal91"/>
            </w:pPr>
            <w:r>
              <w:t>DATERET</w:t>
            </w:r>
          </w:p>
        </w:tc>
      </w:tr>
      <w:tr w:rsidR="00960E01" w14:paraId="37207CC9" w14:textId="77777777">
        <w:trPr>
          <w:trHeight w:val="300"/>
        </w:trPr>
        <w:tc>
          <w:tcPr>
            <w:tcW w:w="9072" w:type="dxa"/>
            <w:tcBorders>
              <w:top w:val="nil"/>
              <w:left w:val="nil"/>
              <w:bottom w:val="nil"/>
              <w:right w:val="nil"/>
            </w:tcBorders>
            <w:noWrap/>
            <w:vAlign w:val="bottom"/>
            <w:hideMark/>
          </w:tcPr>
          <w:p w14:paraId="78322774" w14:textId="77777777" w:rsidR="00960E01" w:rsidRDefault="00821CB5">
            <w:pPr>
              <w:pStyle w:val="P68B1DB1-Normal91"/>
            </w:pPr>
            <w:r>
              <w:t>SICOI</w:t>
            </w:r>
          </w:p>
        </w:tc>
      </w:tr>
      <w:tr w:rsidR="00960E01" w14:paraId="20A1D4E0" w14:textId="77777777">
        <w:trPr>
          <w:trHeight w:val="300"/>
        </w:trPr>
        <w:tc>
          <w:tcPr>
            <w:tcW w:w="9072" w:type="dxa"/>
            <w:tcBorders>
              <w:top w:val="nil"/>
              <w:left w:val="nil"/>
              <w:bottom w:val="nil"/>
              <w:right w:val="nil"/>
            </w:tcBorders>
            <w:noWrap/>
            <w:vAlign w:val="bottom"/>
            <w:hideMark/>
          </w:tcPr>
          <w:p w14:paraId="745FF75E" w14:textId="77777777" w:rsidR="00960E01" w:rsidRDefault="00821CB5">
            <w:pPr>
              <w:pStyle w:val="P68B1DB1-Normal91"/>
            </w:pPr>
            <w:r>
              <w:t>SIMP — PS</w:t>
            </w:r>
          </w:p>
        </w:tc>
      </w:tr>
      <w:tr w:rsidR="00960E01" w14:paraId="1F8A8F25" w14:textId="77777777">
        <w:trPr>
          <w:trHeight w:val="300"/>
        </w:trPr>
        <w:tc>
          <w:tcPr>
            <w:tcW w:w="9072" w:type="dxa"/>
            <w:tcBorders>
              <w:top w:val="nil"/>
              <w:left w:val="nil"/>
              <w:bottom w:val="nil"/>
              <w:right w:val="nil"/>
            </w:tcBorders>
            <w:noWrap/>
            <w:vAlign w:val="bottom"/>
            <w:hideMark/>
          </w:tcPr>
          <w:p w14:paraId="7B70556F" w14:textId="77777777" w:rsidR="00960E01" w:rsidRDefault="00821CB5">
            <w:pPr>
              <w:pStyle w:val="P68B1DB1-Normal91"/>
            </w:pPr>
            <w:r>
              <w:t>SIP SPlatobný systém</w:t>
            </w:r>
          </w:p>
        </w:tc>
      </w:tr>
      <w:tr w:rsidR="00960E01" w14:paraId="661159A9" w14:textId="77777777">
        <w:trPr>
          <w:trHeight w:val="300"/>
        </w:trPr>
        <w:tc>
          <w:tcPr>
            <w:tcW w:w="9072" w:type="dxa"/>
            <w:tcBorders>
              <w:top w:val="nil"/>
              <w:left w:val="nil"/>
              <w:bottom w:val="nil"/>
              <w:right w:val="nil"/>
            </w:tcBorders>
            <w:noWrap/>
            <w:vAlign w:val="bottom"/>
            <w:hideMark/>
          </w:tcPr>
          <w:p w14:paraId="21A22FD2" w14:textId="77777777" w:rsidR="00960E01" w:rsidRDefault="00821CB5">
            <w:pPr>
              <w:pStyle w:val="P68B1DB1-Normal91"/>
            </w:pPr>
            <w:r>
              <w:t>SIX</w:t>
            </w:r>
          </w:p>
        </w:tc>
      </w:tr>
      <w:tr w:rsidR="00960E01" w14:paraId="01B00784" w14:textId="77777777">
        <w:trPr>
          <w:trHeight w:val="300"/>
        </w:trPr>
        <w:tc>
          <w:tcPr>
            <w:tcW w:w="9072" w:type="dxa"/>
            <w:tcBorders>
              <w:top w:val="nil"/>
              <w:left w:val="nil"/>
              <w:bottom w:val="nil"/>
              <w:right w:val="nil"/>
            </w:tcBorders>
            <w:noWrap/>
            <w:vAlign w:val="bottom"/>
            <w:hideMark/>
          </w:tcPr>
          <w:p w14:paraId="42A9A872" w14:textId="77777777" w:rsidR="00960E01" w:rsidRDefault="00821CB5">
            <w:pPr>
              <w:pStyle w:val="P68B1DB1-Normal91"/>
            </w:pPr>
            <w:r>
              <w:t>Seks InterbankClearing (SIC)/EuroSIC</w:t>
            </w:r>
          </w:p>
        </w:tc>
      </w:tr>
      <w:tr w:rsidR="00960E01" w14:paraId="4AB76E2F" w14:textId="77777777">
        <w:trPr>
          <w:trHeight w:val="300"/>
        </w:trPr>
        <w:tc>
          <w:tcPr>
            <w:tcW w:w="9072" w:type="dxa"/>
            <w:tcBorders>
              <w:top w:val="nil"/>
              <w:left w:val="nil"/>
              <w:bottom w:val="nil"/>
              <w:right w:val="nil"/>
            </w:tcBorders>
            <w:noWrap/>
            <w:vAlign w:val="bottom"/>
            <w:hideMark/>
          </w:tcPr>
          <w:p w14:paraId="591D0E38" w14:textId="77777777" w:rsidR="00960E01" w:rsidRDefault="00821CB5">
            <w:pPr>
              <w:pStyle w:val="P68B1DB1-Normal91"/>
            </w:pPr>
            <w:r>
              <w:t>SIX Swiss Exchange</w:t>
            </w:r>
          </w:p>
        </w:tc>
      </w:tr>
      <w:tr w:rsidR="00960E01" w14:paraId="0FE15923" w14:textId="77777777">
        <w:trPr>
          <w:trHeight w:val="300"/>
        </w:trPr>
        <w:tc>
          <w:tcPr>
            <w:tcW w:w="9072" w:type="dxa"/>
            <w:tcBorders>
              <w:top w:val="nil"/>
              <w:left w:val="nil"/>
              <w:bottom w:val="nil"/>
              <w:right w:val="nil"/>
            </w:tcBorders>
            <w:noWrap/>
            <w:vAlign w:val="bottom"/>
            <w:hideMark/>
          </w:tcPr>
          <w:p w14:paraId="7A0AEADF" w14:textId="77777777" w:rsidR="00960E01" w:rsidRDefault="00821CB5">
            <w:pPr>
              <w:pStyle w:val="P68B1DB1-Normal91"/>
            </w:pPr>
            <w:r>
              <w:t>Seks x-klare</w:t>
            </w:r>
          </w:p>
        </w:tc>
      </w:tr>
      <w:tr w:rsidR="00960E01" w14:paraId="58C9ED3B" w14:textId="77777777">
        <w:trPr>
          <w:trHeight w:val="300"/>
        </w:trPr>
        <w:tc>
          <w:tcPr>
            <w:tcW w:w="9072" w:type="dxa"/>
            <w:tcBorders>
              <w:top w:val="nil"/>
              <w:left w:val="nil"/>
              <w:bottom w:val="nil"/>
              <w:right w:val="nil"/>
            </w:tcBorders>
            <w:noWrap/>
            <w:vAlign w:val="bottom"/>
            <w:hideMark/>
          </w:tcPr>
          <w:p w14:paraId="53254B63" w14:textId="77777777" w:rsidR="00960E01" w:rsidRDefault="00821CB5">
            <w:pPr>
              <w:pStyle w:val="P68B1DB1-Normal91"/>
            </w:pPr>
            <w:r>
              <w:t>SKD (system med kortfristede obligationer)</w:t>
            </w:r>
          </w:p>
        </w:tc>
      </w:tr>
      <w:tr w:rsidR="00960E01" w:rsidRPr="00BA6295" w14:paraId="479A72E9" w14:textId="77777777">
        <w:trPr>
          <w:trHeight w:val="300"/>
        </w:trPr>
        <w:tc>
          <w:tcPr>
            <w:tcW w:w="9072" w:type="dxa"/>
            <w:tcBorders>
              <w:top w:val="nil"/>
              <w:left w:val="nil"/>
              <w:bottom w:val="nil"/>
              <w:right w:val="nil"/>
            </w:tcBorders>
            <w:noWrap/>
            <w:vAlign w:val="bottom"/>
            <w:hideMark/>
          </w:tcPr>
          <w:p w14:paraId="559EC939" w14:textId="77777777" w:rsidR="00960E01" w:rsidRPr="00BA6295" w:rsidRDefault="00821CB5">
            <w:pPr>
              <w:pStyle w:val="P68B1DB1-Normal91"/>
            </w:pPr>
            <w:r w:rsidRPr="00BA6295">
              <w:t>SNCE (Sistema Nacional de Compensación Electrónica)</w:t>
            </w:r>
          </w:p>
        </w:tc>
      </w:tr>
      <w:tr w:rsidR="00960E01" w14:paraId="61D37C20" w14:textId="77777777">
        <w:trPr>
          <w:trHeight w:val="300"/>
        </w:trPr>
        <w:tc>
          <w:tcPr>
            <w:tcW w:w="9072" w:type="dxa"/>
            <w:tcBorders>
              <w:top w:val="nil"/>
              <w:left w:val="nil"/>
              <w:bottom w:val="nil"/>
              <w:right w:val="nil"/>
            </w:tcBorders>
            <w:noWrap/>
            <w:vAlign w:val="bottom"/>
            <w:hideMark/>
          </w:tcPr>
          <w:p w14:paraId="0B37415E" w14:textId="77777777" w:rsidR="00960E01" w:rsidRDefault="00821CB5">
            <w:pPr>
              <w:pStyle w:val="P68B1DB1-Normal91"/>
            </w:pPr>
            <w:r>
              <w:t>Société de la Bourse du Luxembourg SA</w:t>
            </w:r>
          </w:p>
        </w:tc>
      </w:tr>
      <w:tr w:rsidR="00960E01" w14:paraId="09E4F71F" w14:textId="77777777">
        <w:trPr>
          <w:trHeight w:val="300"/>
        </w:trPr>
        <w:tc>
          <w:tcPr>
            <w:tcW w:w="9072" w:type="dxa"/>
            <w:tcBorders>
              <w:top w:val="nil"/>
              <w:left w:val="nil"/>
              <w:bottom w:val="nil"/>
              <w:right w:val="nil"/>
            </w:tcBorders>
            <w:noWrap/>
            <w:vAlign w:val="bottom"/>
            <w:hideMark/>
          </w:tcPr>
          <w:p w14:paraId="094DD4AF" w14:textId="77777777" w:rsidR="00960E01" w:rsidRDefault="00821CB5">
            <w:pPr>
              <w:pStyle w:val="P68B1DB1-Normal91"/>
            </w:pPr>
            <w:r>
              <w:t>SORBNET2</w:t>
            </w:r>
          </w:p>
        </w:tc>
      </w:tr>
      <w:tr w:rsidR="00960E01" w14:paraId="1E86EA3A" w14:textId="77777777">
        <w:trPr>
          <w:trHeight w:val="300"/>
        </w:trPr>
        <w:tc>
          <w:tcPr>
            <w:tcW w:w="9072" w:type="dxa"/>
            <w:tcBorders>
              <w:top w:val="nil"/>
              <w:left w:val="nil"/>
              <w:bottom w:val="nil"/>
              <w:right w:val="nil"/>
            </w:tcBorders>
            <w:noWrap/>
            <w:vAlign w:val="bottom"/>
            <w:hideMark/>
          </w:tcPr>
          <w:p w14:paraId="2FE926EC" w14:textId="77777777" w:rsidR="00960E01" w:rsidRDefault="00821CB5">
            <w:pPr>
              <w:pStyle w:val="P68B1DB1-Normal91"/>
            </w:pPr>
            <w:r>
              <w:t>TRIN 1</w:t>
            </w:r>
          </w:p>
        </w:tc>
      </w:tr>
      <w:tr w:rsidR="00960E01" w14:paraId="4A3D7A33" w14:textId="77777777">
        <w:trPr>
          <w:trHeight w:val="300"/>
        </w:trPr>
        <w:tc>
          <w:tcPr>
            <w:tcW w:w="9072" w:type="dxa"/>
            <w:tcBorders>
              <w:top w:val="nil"/>
              <w:left w:val="nil"/>
              <w:bottom w:val="nil"/>
              <w:right w:val="nil"/>
            </w:tcBorders>
            <w:noWrap/>
            <w:vAlign w:val="bottom"/>
            <w:hideMark/>
          </w:tcPr>
          <w:p w14:paraId="38D47947" w14:textId="77777777" w:rsidR="00960E01" w:rsidRDefault="00821CB5">
            <w:pPr>
              <w:pStyle w:val="P68B1DB1-Normal91"/>
            </w:pPr>
            <w:r>
              <w:t>TRIN 2</w:t>
            </w:r>
          </w:p>
        </w:tc>
      </w:tr>
      <w:tr w:rsidR="00960E01" w14:paraId="305AEF07" w14:textId="77777777">
        <w:trPr>
          <w:trHeight w:val="300"/>
        </w:trPr>
        <w:tc>
          <w:tcPr>
            <w:tcW w:w="9072" w:type="dxa"/>
            <w:tcBorders>
              <w:top w:val="nil"/>
              <w:left w:val="nil"/>
              <w:bottom w:val="nil"/>
              <w:right w:val="nil"/>
            </w:tcBorders>
            <w:noWrap/>
            <w:vAlign w:val="bottom"/>
            <w:hideMark/>
          </w:tcPr>
          <w:p w14:paraId="3385D576" w14:textId="77777777" w:rsidR="00960E01" w:rsidRDefault="00821CB5">
            <w:pPr>
              <w:pStyle w:val="P68B1DB1-Normal91"/>
            </w:pPr>
            <w:r>
              <w:t>STET/KERNE</w:t>
            </w:r>
          </w:p>
        </w:tc>
      </w:tr>
      <w:tr w:rsidR="00960E01" w14:paraId="68530B39" w14:textId="77777777">
        <w:trPr>
          <w:trHeight w:val="300"/>
        </w:trPr>
        <w:tc>
          <w:tcPr>
            <w:tcW w:w="9072" w:type="dxa"/>
            <w:tcBorders>
              <w:top w:val="nil"/>
              <w:left w:val="nil"/>
              <w:bottom w:val="nil"/>
              <w:right w:val="nil"/>
            </w:tcBorders>
            <w:noWrap/>
            <w:vAlign w:val="bottom"/>
            <w:hideMark/>
          </w:tcPr>
          <w:p w14:paraId="2B90AD3F" w14:textId="77777777" w:rsidR="00960E01" w:rsidRDefault="00821CB5">
            <w:pPr>
              <w:pStyle w:val="P68B1DB1-Normal91"/>
            </w:pPr>
            <w:r>
              <w:t>Straksclearingen</w:t>
            </w:r>
          </w:p>
        </w:tc>
      </w:tr>
      <w:tr w:rsidR="00960E01" w14:paraId="0E50A9AB" w14:textId="77777777">
        <w:trPr>
          <w:trHeight w:val="300"/>
        </w:trPr>
        <w:tc>
          <w:tcPr>
            <w:tcW w:w="9072" w:type="dxa"/>
            <w:tcBorders>
              <w:top w:val="nil"/>
              <w:left w:val="nil"/>
              <w:bottom w:val="nil"/>
              <w:right w:val="nil"/>
            </w:tcBorders>
            <w:noWrap/>
            <w:vAlign w:val="bottom"/>
            <w:hideMark/>
          </w:tcPr>
          <w:p w14:paraId="54E27288" w14:textId="77777777" w:rsidR="00960E01" w:rsidRDefault="00821CB5">
            <w:pPr>
              <w:pStyle w:val="P68B1DB1-Normal91"/>
            </w:pPr>
            <w:r>
              <w:t>Sumclearingen</w:t>
            </w:r>
          </w:p>
        </w:tc>
      </w:tr>
      <w:tr w:rsidR="00960E01" w14:paraId="0C6135E4" w14:textId="77777777">
        <w:trPr>
          <w:trHeight w:val="300"/>
        </w:trPr>
        <w:tc>
          <w:tcPr>
            <w:tcW w:w="9072" w:type="dxa"/>
            <w:tcBorders>
              <w:top w:val="nil"/>
              <w:left w:val="nil"/>
              <w:bottom w:val="nil"/>
              <w:right w:val="nil"/>
            </w:tcBorders>
            <w:noWrap/>
            <w:vAlign w:val="bottom"/>
            <w:hideMark/>
          </w:tcPr>
          <w:p w14:paraId="4789CBEE" w14:textId="77777777" w:rsidR="00960E01" w:rsidRDefault="00821CB5">
            <w:pPr>
              <w:pStyle w:val="P68B1DB1-Normal91"/>
            </w:pPr>
            <w:r>
              <w:t>T2S (SSS — kun for direkte konnektivitet)</w:t>
            </w:r>
          </w:p>
        </w:tc>
      </w:tr>
      <w:tr w:rsidR="00960E01" w14:paraId="791932E6" w14:textId="77777777">
        <w:trPr>
          <w:trHeight w:val="300"/>
        </w:trPr>
        <w:tc>
          <w:tcPr>
            <w:tcW w:w="9072" w:type="dxa"/>
            <w:tcBorders>
              <w:top w:val="nil"/>
              <w:left w:val="nil"/>
              <w:bottom w:val="nil"/>
              <w:right w:val="nil"/>
            </w:tcBorders>
            <w:noWrap/>
            <w:vAlign w:val="bottom"/>
            <w:hideMark/>
          </w:tcPr>
          <w:p w14:paraId="085D29CC" w14:textId="77777777" w:rsidR="00960E01" w:rsidRDefault="00821CB5">
            <w:pPr>
              <w:pStyle w:val="P68B1DB1-Normal91"/>
            </w:pPr>
            <w:r>
              <w:t>TARGET2</w:t>
            </w:r>
          </w:p>
        </w:tc>
      </w:tr>
      <w:tr w:rsidR="00960E01" w14:paraId="0379A497" w14:textId="77777777">
        <w:trPr>
          <w:trHeight w:val="300"/>
        </w:trPr>
        <w:tc>
          <w:tcPr>
            <w:tcW w:w="9072" w:type="dxa"/>
            <w:tcBorders>
              <w:top w:val="nil"/>
              <w:left w:val="nil"/>
              <w:bottom w:val="nil"/>
              <w:right w:val="nil"/>
            </w:tcBorders>
            <w:noWrap/>
            <w:vAlign w:val="bottom"/>
            <w:hideMark/>
          </w:tcPr>
          <w:p w14:paraId="56C29FCF" w14:textId="77777777" w:rsidR="00960E01" w:rsidRDefault="00821CB5">
            <w:pPr>
              <w:pStyle w:val="P68B1DB1-Normal91"/>
            </w:pPr>
            <w:r>
              <w:t>TIPS</w:t>
            </w:r>
          </w:p>
        </w:tc>
      </w:tr>
      <w:tr w:rsidR="00960E01" w14:paraId="19C63903" w14:textId="77777777">
        <w:trPr>
          <w:trHeight w:val="300"/>
        </w:trPr>
        <w:tc>
          <w:tcPr>
            <w:tcW w:w="9072" w:type="dxa"/>
            <w:tcBorders>
              <w:top w:val="nil"/>
              <w:left w:val="nil"/>
              <w:bottom w:val="nil"/>
              <w:right w:val="nil"/>
            </w:tcBorders>
            <w:noWrap/>
            <w:vAlign w:val="bottom"/>
            <w:hideMark/>
          </w:tcPr>
          <w:p w14:paraId="6CABE6E8" w14:textId="77777777" w:rsidR="00960E01" w:rsidRDefault="00821CB5">
            <w:pPr>
              <w:pStyle w:val="P68B1DB1-Normal91"/>
            </w:pPr>
            <w:r>
              <w:t>UnaVista Limited</w:t>
            </w:r>
          </w:p>
        </w:tc>
      </w:tr>
      <w:tr w:rsidR="00960E01" w14:paraId="7E731946" w14:textId="77777777">
        <w:trPr>
          <w:trHeight w:val="300"/>
        </w:trPr>
        <w:tc>
          <w:tcPr>
            <w:tcW w:w="9072" w:type="dxa"/>
            <w:tcBorders>
              <w:top w:val="nil"/>
              <w:left w:val="nil"/>
              <w:bottom w:val="nil"/>
              <w:right w:val="nil"/>
            </w:tcBorders>
            <w:noWrap/>
            <w:vAlign w:val="bottom"/>
            <w:hideMark/>
          </w:tcPr>
          <w:p w14:paraId="6485DCC3" w14:textId="77777777" w:rsidR="00960E01" w:rsidRDefault="00821CB5">
            <w:pPr>
              <w:pStyle w:val="P68B1DB1-Normal91"/>
            </w:pPr>
            <w:r>
              <w:t>Verdipapirsentralen (VPS)</w:t>
            </w:r>
          </w:p>
        </w:tc>
      </w:tr>
      <w:tr w:rsidR="00960E01" w14:paraId="599BD0C0" w14:textId="77777777">
        <w:trPr>
          <w:trHeight w:val="300"/>
        </w:trPr>
        <w:tc>
          <w:tcPr>
            <w:tcW w:w="9072" w:type="dxa"/>
            <w:tcBorders>
              <w:top w:val="nil"/>
              <w:left w:val="nil"/>
              <w:bottom w:val="nil"/>
              <w:right w:val="nil"/>
            </w:tcBorders>
            <w:noWrap/>
            <w:vAlign w:val="bottom"/>
            <w:hideMark/>
          </w:tcPr>
          <w:p w14:paraId="209D9CF9" w14:textId="77777777" w:rsidR="00960E01" w:rsidRDefault="00821CB5">
            <w:pPr>
              <w:pStyle w:val="P68B1DB1-Normal91"/>
            </w:pPr>
            <w:r>
              <w:t>VIBER</w:t>
            </w:r>
          </w:p>
        </w:tc>
      </w:tr>
      <w:tr w:rsidR="00960E01" w14:paraId="3CBF4EA3" w14:textId="77777777">
        <w:trPr>
          <w:trHeight w:val="300"/>
        </w:trPr>
        <w:tc>
          <w:tcPr>
            <w:tcW w:w="9072" w:type="dxa"/>
            <w:tcBorders>
              <w:top w:val="nil"/>
              <w:left w:val="nil"/>
              <w:bottom w:val="nil"/>
              <w:right w:val="nil"/>
            </w:tcBorders>
            <w:noWrap/>
            <w:vAlign w:val="bottom"/>
            <w:hideMark/>
          </w:tcPr>
          <w:p w14:paraId="49A43CDA" w14:textId="77777777" w:rsidR="00960E01" w:rsidRDefault="00821CB5">
            <w:pPr>
              <w:pStyle w:val="P68B1DB1-Normal91"/>
            </w:pPr>
            <w:r>
              <w:t>Næstformand Lux</w:t>
            </w:r>
          </w:p>
        </w:tc>
      </w:tr>
      <w:tr w:rsidR="00960E01" w14:paraId="20C89571" w14:textId="77777777">
        <w:trPr>
          <w:trHeight w:val="300"/>
        </w:trPr>
        <w:tc>
          <w:tcPr>
            <w:tcW w:w="9072" w:type="dxa"/>
            <w:tcBorders>
              <w:top w:val="nil"/>
              <w:left w:val="nil"/>
              <w:bottom w:val="nil"/>
              <w:right w:val="nil"/>
            </w:tcBorders>
            <w:noWrap/>
            <w:vAlign w:val="bottom"/>
            <w:hideMark/>
          </w:tcPr>
          <w:p w14:paraId="12389C15" w14:textId="77777777" w:rsidR="00960E01" w:rsidRDefault="00821CB5">
            <w:pPr>
              <w:pStyle w:val="P68B1DB1-Normal91"/>
            </w:pPr>
            <w:r>
              <w:t>VP Securities A/S</w:t>
            </w:r>
          </w:p>
        </w:tc>
      </w:tr>
    </w:tbl>
    <w:p w14:paraId="1E4D7216" w14:textId="77777777" w:rsidR="00960E01" w:rsidRDefault="00960E01">
      <w:pPr>
        <w:pStyle w:val="body"/>
        <w:rPr>
          <w:rFonts w:ascii="Times New Roman" w:hAnsi="Times New Roman" w:cs="Times New Roman"/>
          <w:sz w:val="20"/>
          <w:szCs w:val="20"/>
        </w:rPr>
      </w:pPr>
    </w:p>
    <w:sectPr w:rsidR="00960E01">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960E01" w:rsidRDefault="00821CB5">
      <w:r>
        <w:separator/>
      </w:r>
    </w:p>
  </w:endnote>
  <w:endnote w:type="continuationSeparator" w:id="0">
    <w:p w14:paraId="6597FB1C" w14:textId="77777777" w:rsidR="00960E01" w:rsidRDefault="00821CB5">
      <w:r>
        <w:continuationSeparator/>
      </w:r>
    </w:p>
  </w:endnote>
  <w:endnote w:type="continuationNotice" w:id="1">
    <w:p w14:paraId="3A49FE7B" w14:textId="77777777" w:rsidR="00960E01" w:rsidRDefault="00960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960E01" w:rsidRDefault="00821CB5">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960E01" w:rsidRDefault="0096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960E01" w:rsidRDefault="00821CB5">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Tekstboks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960E01" w:rsidRDefault="00821CB5">
                          <w:pPr>
                            <w:pStyle w:val="P68B1DB1-Normal92"/>
                            <w:rPr>
                              <w:bCs/>
                            </w:rPr>
                          </w:pPr>
                          <w:r>
                            <w:t>Disse instrukser blev oprindeligt udarbejdet på engelsk. Oversættelsen til de andre officielle EU-sprog sker via eTranslation — Europa-Kommissionens maskinoversættelsestjeneste efter bedste evne.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Tekstboks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960E01" w:rsidRDefault="00821CB5">
                    <w:pPr>
                      <w:pStyle w:val="P68B1DB1-Normal92"/>
                      <w:rPr>
                        <w:bCs/>
                      </w:rPr>
                    </w:pPr>
                    <w:r>
                      <w:t>Disse instrukser blev oprindeligt udarbejdet på engelsk. Oversættelsen til de andre officielle EU-sprog sker via eTranslation — Europa-Kommissionens maskinoversættelsestjeneste efter bedste evne.</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960E01" w:rsidRDefault="00821CB5">
      <w:r>
        <w:separator/>
      </w:r>
    </w:p>
  </w:footnote>
  <w:footnote w:type="continuationSeparator" w:id="0">
    <w:p w14:paraId="1BFD6958" w14:textId="77777777" w:rsidR="00960E01" w:rsidRDefault="00821CB5">
      <w:r>
        <w:continuationSeparator/>
      </w:r>
    </w:p>
  </w:footnote>
  <w:footnote w:type="continuationNotice" w:id="1">
    <w:p w14:paraId="34EA159C" w14:textId="77777777" w:rsidR="00960E01" w:rsidRDefault="00960E01"/>
  </w:footnote>
  <w:footnote w:id="2">
    <w:p w14:paraId="0A3F5404" w14:textId="77777777" w:rsidR="00960E01" w:rsidRDefault="00821CB5">
      <w:pPr>
        <w:pStyle w:val="FootnoteText"/>
      </w:pPr>
      <w:r>
        <w:rPr>
          <w:rStyle w:val="FootnoteReference"/>
        </w:rPr>
        <w:footnoteRef/>
      </w:r>
      <w:r>
        <w:t xml:space="preserve"> Kommissionens gennemførelsesforordning (EU) 2024/3117 af 29. november 2024 om gennemførelsesmæssige tekniske standarder for anvendelsen af Europa-Parlamentets og Rådets forordning (EU) nr. 575/2013 for så vidt angår institutters indberetning med henblik på tilsyn og om ophævelse af Kommissionens gennemførelsesforordning (EU) 2021/451 (</w:t>
      </w:r>
      <w:r>
        <w:rPr>
          <w:i/>
        </w:rPr>
        <w:t>EUT 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960E01" w:rsidRDefault="00821CB5">
      <w:pPr>
        <w:pStyle w:val="FootnoteText"/>
      </w:pPr>
      <w:r>
        <w:rPr>
          <w:rStyle w:val="FootnoteReference"/>
          <w:rFonts w:ascii="Times New Roman" w:hAnsi="Times New Roman"/>
        </w:rPr>
        <w:footnoteRef/>
      </w:r>
      <w:r>
        <w:t xml:space="preserve"> Europa-Parlamentets og Rådets forordning (EF) nr. 1606/2002 af 19. juli 2002 om anvendelse af internationale regnskabsstandarder (EFT L 243 af 11.9.2002, s. 1).</w:t>
      </w:r>
    </w:p>
  </w:footnote>
  <w:footnote w:id="4">
    <w:p w14:paraId="7FE1D259" w14:textId="77777777" w:rsidR="00960E01" w:rsidRDefault="00821CB5">
      <w:pPr>
        <w:pStyle w:val="FootnoteText"/>
      </w:pPr>
      <w:r>
        <w:rPr>
          <w:rStyle w:val="FootnoteReference"/>
          <w:rFonts w:ascii="Times New Roman" w:hAnsi="Times New Roman"/>
        </w:rPr>
        <w:footnoteRef/>
      </w:r>
      <w:r>
        <w:t xml:space="preserve"> Europa-Parlamentets og Rådets forordning (EF) nr. 1606/2002 af 19. juli 2002 om anvendelse af internationale regnskabsstandarder (EFT L 243 af 11.9.2002, s. 1).</w:t>
      </w:r>
    </w:p>
  </w:footnote>
  <w:footnote w:id="5">
    <w:p w14:paraId="7FE1D25A" w14:textId="77777777" w:rsidR="00960E01" w:rsidRDefault="00821CB5">
      <w:pPr>
        <w:pStyle w:val="FootnoteText"/>
      </w:pPr>
      <w:r>
        <w:rPr>
          <w:rStyle w:val="FootnoteReference"/>
          <w:rFonts w:ascii="Times New Roman" w:hAnsi="Times New Roman"/>
        </w:rPr>
        <w:footnoteRef/>
      </w:r>
      <w:r>
        <w:t xml:space="preserve"> Rådets direktiv 86/635/EØF af 8. december 1986 om bankers og andre penge- og finansieringsinstitutters årsregnskaber og konsoliderede regnskaber (EFT L 372 af 31.12.1986, s. 1).</w:t>
      </w:r>
    </w:p>
  </w:footnote>
  <w:footnote w:id="6">
    <w:p w14:paraId="06EB0A65" w14:textId="77777777" w:rsidR="00960E01" w:rsidRDefault="00821CB5">
      <w:pPr>
        <w:pStyle w:val="FootnoteText"/>
      </w:pPr>
      <w:r>
        <w:rPr>
          <w:rStyle w:val="FootnoteReference"/>
          <w:rFonts w:ascii="Times New Roman" w:hAnsi="Times New Roman"/>
        </w:rPr>
        <w:footnoteRef/>
      </w:r>
      <w:r>
        <w:t xml:space="preserve"> Europa-Parlamentets og Rådets forordning (EU) nr. 575/2013 af 26. juni 2013 om tilsynsmæssige krav til kreditinstitutter og investeringsselskaber og om ændring af forordning (EU) nr. 648/2012 (EUT L 176 af 27.6.2013, s. 1).</w:t>
      </w:r>
    </w:p>
  </w:footnote>
  <w:footnote w:id="7">
    <w:p w14:paraId="7FE1D25C" w14:textId="77777777" w:rsidR="00960E01" w:rsidRDefault="00821CB5">
      <w:pPr>
        <w:pStyle w:val="FootnoteText"/>
      </w:pPr>
      <w:r>
        <w:rPr>
          <w:rStyle w:val="FootnoteReference"/>
        </w:rPr>
        <w:footnoteRef/>
      </w:r>
      <w:r>
        <w:t xml:space="preserve"> Europa-Parlamentets og Rådets direktiv 2013/36/EU af 26. juni 2013 om adgang til at udøve virksomhed som kreditinstitut og om tilsyn med kreditinstitutter og investeringsselskaber, om ændring af direktiv 2002/87/EF og om ophævelse af direktiv 2006/48/EF og 2006/49/EF (EUT L 176 af 27.6.2013, s. 338).</w:t>
      </w:r>
    </w:p>
  </w:footnote>
  <w:footnote w:id="8">
    <w:p w14:paraId="7FE1D25D" w14:textId="77777777" w:rsidR="00960E01" w:rsidRDefault="00821CB5">
      <w:pPr>
        <w:pStyle w:val="FootnoteText"/>
      </w:pPr>
      <w:r>
        <w:rPr>
          <w:rStyle w:val="FootnoteReference"/>
        </w:rPr>
        <w:footnoteRef/>
      </w:r>
      <w:r>
        <w:t xml:space="preserve"> Europa-Parlamentets og Rådets forordning (EU) 2019/2033 af 27. november 2019 om tilsynsmæssige krav til investeringsselskaber og om ændring af forordning (EU) nr. 1093/2010, (EU) nr. 575/2013, (EU) nr. 600/2014 og (EU) nr. 806/2014 (EUT L 314 af 5.12.2019, s. 1).</w:t>
      </w:r>
    </w:p>
  </w:footnote>
  <w:footnote w:id="9">
    <w:p w14:paraId="7FE1D25E" w14:textId="77777777" w:rsidR="00960E01" w:rsidRDefault="00821CB5">
      <w:pPr>
        <w:pStyle w:val="FootnoteText"/>
      </w:pPr>
      <w:r>
        <w:rPr>
          <w:rStyle w:val="FootnoteReference"/>
        </w:rPr>
        <w:footnoteRef/>
      </w:r>
      <w:r>
        <w:t xml:space="preserve"> Europa-Parlamentets og Rådets direktiv (EU) 2019/2034 af 27. november 2019 om tilsyn med investeringsselskaber og om ændring af direktiv 2002/87/EF, 2009/65/EF, 2011/61/EU, 2013/36/EU, 2014/59/EU og 2014/65/EU (EUT L 314 af 5.12.2019, s. 64)</w:t>
      </w:r>
    </w:p>
  </w:footnote>
  <w:footnote w:id="10">
    <w:p w14:paraId="7FE1D25F" w14:textId="77777777" w:rsidR="00960E01" w:rsidRDefault="00821CB5">
      <w:pPr>
        <w:pStyle w:val="FootnoteText"/>
      </w:pPr>
      <w:r>
        <w:rPr>
          <w:rStyle w:val="FootnoteReference"/>
          <w:rFonts w:ascii="Times New Roman" w:hAnsi="Times New Roman"/>
        </w:rPr>
        <w:footnoteRef/>
      </w:r>
      <w:r>
        <w:t xml:space="preserve"> Europa-Parlamentets og Rådets direktiv 2009/138/EF af 25. november 2009 om adgang til og udøvelse af forsikrings- og genforsikringsvirksomhed (Solvens II) (EØS-relevant tekst) (EUT L 335 af 17.12.2009, s. 1).</w:t>
      </w:r>
    </w:p>
  </w:footnote>
  <w:footnote w:id="11">
    <w:p w14:paraId="7FE1D260" w14:textId="2ADC4F18" w:rsidR="00960E01" w:rsidRDefault="00821CB5">
      <w:pPr>
        <w:pStyle w:val="FootnoteText"/>
      </w:pPr>
      <w:r>
        <w:rPr>
          <w:rStyle w:val="FootnoteReference"/>
          <w:rFonts w:ascii="Times New Roman" w:hAnsi="Times New Roman"/>
        </w:rPr>
        <w:footnoteRef/>
      </w:r>
      <w:r>
        <w:t xml:space="preserve"> Den Europæiske Centralbanks forordning (EU) 2021/379 om den konsoliderede balance i MFI-sektoren (monetære finansielle institutioner) (omarbejdning) (EUT L 297 af 7.11.2013, s. 1).</w:t>
      </w:r>
    </w:p>
  </w:footnote>
  <w:footnote w:id="12">
    <w:p w14:paraId="7FE1D261" w14:textId="77777777" w:rsidR="00960E01" w:rsidRDefault="00821CB5">
      <w:pPr>
        <w:pStyle w:val="FootnoteText"/>
      </w:pPr>
      <w:r>
        <w:rPr>
          <w:rStyle w:val="FootnoteReference"/>
          <w:rFonts w:ascii="Times New Roman" w:hAnsi="Times New Roman"/>
        </w:rPr>
        <w:footnoteRef/>
      </w:r>
      <w:r>
        <w:t xml:space="preserve"> Kommissionens henstilling af 6. maj 2003 om definitionen af mikrovirksomheder, små og mellemstore virksomheder (meddelt under nummer C(2003) 1422) (EUT L 124 af 20.5.2003, s. 36).</w:t>
      </w:r>
    </w:p>
  </w:footnote>
  <w:footnote w:id="13">
    <w:p w14:paraId="74BC1C09" w14:textId="2C5E1052" w:rsidR="00960E01" w:rsidRDefault="00821CB5">
      <w:pPr>
        <w:pStyle w:val="FootnoteText"/>
      </w:pPr>
      <w:r>
        <w:rPr>
          <w:rStyle w:val="FootnoteReference"/>
        </w:rPr>
        <w:footnoteRef/>
      </w:r>
      <w:r>
        <w:t xml:space="preserve"> Europa-Parlamentets og Rådets direktiv 2014/65/EU af 15. maj 2014 om markeder for finansielle instrumenter ( </w:t>
      </w:r>
      <w:r>
        <w:rPr>
          <w:rFonts w:hint="eastAsia"/>
        </w:rPr>
        <w:t>EUT L 173 af 12.6.2014, s. 349)</w:t>
      </w:r>
      <w:r>
        <w:t>.</w:t>
      </w:r>
    </w:p>
  </w:footnote>
  <w:footnote w:id="14">
    <w:p w14:paraId="7FE1D263" w14:textId="77777777" w:rsidR="00960E01" w:rsidRDefault="00821CB5">
      <w:pPr>
        <w:pStyle w:val="FootnoteText"/>
      </w:pPr>
      <w:r>
        <w:rPr>
          <w:rStyle w:val="FootnoteReference"/>
        </w:rPr>
        <w:footnoteRef/>
      </w:r>
      <w:r>
        <w:t xml:space="preserve"> Europa-Parlamentets og Rådets direktiv 2014/59/EU af 15. maj 2014 om et regelsæt for genopretning og afvikling af kreditinstitutter og investeringsselskaber og om ændring af Rådets direktiv 82/891/EØF, af Europa-Parlamentets og Rådets direktiv 2001/24/EF, 2002/47/EF, 2004/25/EF, 2005/56/EF, 2007/36/EF og 2011/35/EU, 2012/30/EU og 2013/36/EU samt forordning (EU) nr. 1093/2010 og (EU) nr. 648/2012 (EUT L 173 af 12.6.2014, s. 190).</w:t>
      </w:r>
    </w:p>
  </w:footnote>
  <w:footnote w:id="15">
    <w:p w14:paraId="7FE1D264" w14:textId="77777777" w:rsidR="00960E01" w:rsidRDefault="00821CB5">
      <w:pPr>
        <w:pStyle w:val="FootnoteText"/>
      </w:pPr>
      <w:r>
        <w:rPr>
          <w:rStyle w:val="FootnoteReference"/>
        </w:rPr>
        <w:footnoteRef/>
      </w:r>
      <w:r>
        <w:t xml:space="preserve"> Europa-Parlamentets og Rådets direktiv 2014/49/EU af 16. april 2014 om indskudsgarantiordninger (EUT L 173 af 12.6.2014, s. 149).</w:t>
      </w:r>
    </w:p>
  </w:footnote>
  <w:footnote w:id="16">
    <w:p w14:paraId="7FE1D267" w14:textId="77777777" w:rsidR="00960E01" w:rsidRDefault="00821CB5">
      <w:pPr>
        <w:pStyle w:val="FootnoteText"/>
      </w:pPr>
      <w:r>
        <w:rPr>
          <w:rStyle w:val="FootnoteReference"/>
        </w:rPr>
        <w:footnoteRef/>
      </w:r>
      <w:r>
        <w:t xml:space="preserve"> Kommissionens delegerede forordning (EU) 2016/1401 af 23. maj 2016 om supplerende regler til Europa-Parlamentets og Rådets direktiv 2014/59/EU om et regelsæt for genopretning og afvikling af kreditinstitutter og investeringsselskaber for så vidt angår reguleringsmæssige tekniske standarder for metoder og principper for værdiansættelse af passiver hidrørende fra derivater (EUT L 228 af 23.8.2016, s. 7).</w:t>
      </w:r>
    </w:p>
  </w:footnote>
  <w:footnote w:id="17">
    <w:p w14:paraId="7FE1D268" w14:textId="77777777" w:rsidR="00960E01" w:rsidRDefault="00821CB5">
      <w:pPr>
        <w:pStyle w:val="FootnoteText"/>
      </w:pPr>
      <w:r>
        <w:rPr>
          <w:rStyle w:val="FootnoteReference"/>
        </w:rPr>
        <w:footnoteRef/>
      </w:r>
      <w:r>
        <w:t xml:space="preserve"> Kapitalbevaringsbufferens størrelse, jf. artikel 129 i direktiv 2013/36/EU</w:t>
      </w:r>
    </w:p>
  </w:footnote>
  <w:footnote w:id="18">
    <w:p w14:paraId="7FE1D269" w14:textId="77777777" w:rsidR="00960E01" w:rsidRDefault="00821CB5">
      <w:pPr>
        <w:pStyle w:val="FootnoteText"/>
      </w:pPr>
      <w:r>
        <w:rPr>
          <w:rStyle w:val="FootnoteReference"/>
        </w:rPr>
        <w:footnoteRef/>
      </w:r>
      <w:r>
        <w:t xml:space="preserve"> Kommissionens delegerede forordning (EU) 2016/778 af 2. februar 2016 om supplerende regler til Europa-Parlamentets og Rådets direktiv 2014/59/EU for så vidt angår de forhold og betingelser, under hvilke betalingen af ekstraordinære ex post-bidrag helt eller delvis kan udskydes, og kriterierne for fastsættelse af aktiviteter, ydelser og transaktioner med hensyn til kritiske funktioner og for fastsættelse af forretningsområder og hertil knyttede ydelser med hensyn til centrale forretningsområder (EUT L 131 af 20.5.2016, s. 41).</w:t>
      </w:r>
    </w:p>
  </w:footnote>
  <w:footnote w:id="19">
    <w:p w14:paraId="7FE1D26D" w14:textId="77777777" w:rsidR="00960E01" w:rsidRDefault="00821CB5">
      <w:pPr>
        <w:pStyle w:val="FootnoteText"/>
      </w:pPr>
      <w:r>
        <w:rPr>
          <w:rStyle w:val="FootnoteReference"/>
        </w:rPr>
        <w:footnoteRef/>
      </w:r>
      <w:r>
        <w:t xml:space="preserve"> Europa-Parlamentets og Rådets direktiv (EU) 2015/2366 af 25. november 2015 om betalingstjenester i det indre marked, om ændring af direktiv 2002/65/EF, 2009/110/EF og 2013/36/EU og forordning (EU) nr. 1093/2010 og om ophævelse af direktiv 2007/64/EF (EUT L 337 af 23.12.2015, s. 35).</w:t>
      </w:r>
    </w:p>
  </w:footnote>
  <w:footnote w:id="20">
    <w:p w14:paraId="7FE1D26E" w14:textId="77777777" w:rsidR="00960E01" w:rsidRDefault="00821CB5">
      <w:pPr>
        <w:pStyle w:val="FootnoteText"/>
      </w:pPr>
      <w:r>
        <w:rPr>
          <w:rStyle w:val="FootnoteReference"/>
        </w:rPr>
        <w:footnoteRef/>
      </w:r>
      <w:r>
        <w:t xml:space="preserve"> Europa-Parlamentets og Rådets forordning (EU) nr. 648/2012 af 4. juli 2012 om OTC-derivater, centrale modparter og transaktionsregistre (EUT L 201 af 27.7.2012, s. 1).</w:t>
      </w:r>
    </w:p>
  </w:footnote>
  <w:footnote w:id="21">
    <w:p w14:paraId="4F37B111" w14:textId="77777777" w:rsidR="00960E01" w:rsidRDefault="00821CB5">
      <w:pPr>
        <w:pStyle w:val="FootnoteText"/>
      </w:pPr>
      <w:r>
        <w:rPr>
          <w:rStyle w:val="FootnoteReference"/>
        </w:rPr>
        <w:footnoteRef/>
      </w:r>
      <w:r>
        <w:t xml:space="preserve"> Ifølge artikel 1(2) af retningslinje (EU) 2021/835 af Den Europæiske Centralbank af 26. marts 2021, der ophæver retningslinje ECB/2014/15 om penge- og finansielle statistikker (ECB/2021/16), skal henvisninger til den ophævede retningslinje forstås som henvisninger til retningslinje (EU) 2021/830 (ECB/2021/11), retningslinje (EU) 2021/831 (ECB/2021/12), retningslinje (EU) 2021/833 (ECB/2021/14), retningslinje (EU) 2021/832 (ECB/2021/13) og retningslinje (EU) 2021/834 (ECB/2021/15) alt efter, hvad der er relevant</w:t>
      </w:r>
    </w:p>
    <w:p w14:paraId="2690BEDB" w14:textId="77777777" w:rsidR="00960E01" w:rsidRDefault="00960E01">
      <w:pPr>
        <w:pStyle w:val="FootnoteText"/>
      </w:pPr>
    </w:p>
  </w:footnote>
  <w:footnote w:id="22">
    <w:p w14:paraId="7FE1D272" w14:textId="77777777" w:rsidR="00960E01" w:rsidRDefault="00821CB5">
      <w:pPr>
        <w:pStyle w:val="FootnoteText"/>
      </w:pPr>
      <w:r>
        <w:footnoteRef/>
      </w:r>
      <w:r>
        <w:t xml:space="preserve"> Som defineret i punkt 13 i EBA's retningslinjer for afviklingsmuligheder.</w:t>
      </w:r>
    </w:p>
  </w:footnote>
  <w:footnote w:id="23">
    <w:p w14:paraId="7FE1D273" w14:textId="60D312AD" w:rsidR="00960E01" w:rsidRDefault="00821CB5">
      <w:pPr>
        <w:pStyle w:val="FootnoteText"/>
      </w:pPr>
      <w:r>
        <w:rPr>
          <w:rStyle w:val="FootnoteReference"/>
          <w:rFonts w:ascii="Verdana" w:hAnsi="Verdana"/>
          <w:sz w:val="16"/>
          <w:szCs w:val="16"/>
        </w:rPr>
        <w:footnoteRef/>
      </w:r>
      <w:r>
        <w:t xml:space="preserve"> Kommissionens delegerede forordning (EU) 2016/778, artikel 6 og betragtning (8).</w:t>
      </w:r>
    </w:p>
  </w:footnote>
  <w:footnote w:id="24">
    <w:p w14:paraId="7FE1D274" w14:textId="1C805137" w:rsidR="00960E01" w:rsidRDefault="00821CB5">
      <w:pPr>
        <w:pStyle w:val="FootnoteText"/>
      </w:pPr>
      <w:r>
        <w:rPr>
          <w:rStyle w:val="FootnoteReference"/>
          <w:rFonts w:ascii="Verdana" w:hAnsi="Verdana"/>
          <w:sz w:val="16"/>
          <w:szCs w:val="16"/>
        </w:rPr>
        <w:footnoteRef/>
      </w:r>
      <w:r>
        <w:t xml:space="preserve"> Kommissionens delegerede forordning (EU) 2016/778, artikel 7. </w:t>
      </w:r>
    </w:p>
  </w:footnote>
  <w:footnote w:id="25">
    <w:p w14:paraId="7FE1D275" w14:textId="77777777" w:rsidR="00960E01" w:rsidRDefault="00821CB5">
      <w:pPr>
        <w:pStyle w:val="FootnoteText"/>
      </w:pPr>
      <w:r>
        <w:footnoteRef/>
      </w:r>
      <w:r>
        <w:t xml:space="preserve"> Videreførelsen af væsentlige tjenester kan være nødvendig for at nå andre afviklingsmål end opretholdelse af kritiske funktioner (f.eks. finansiel stabilitet ved at sikre levedygtigheden af enheden efter afviklingen). </w:t>
      </w:r>
    </w:p>
    <w:p w14:paraId="7FE1D276" w14:textId="77777777" w:rsidR="00960E01" w:rsidRDefault="00960E01">
      <w:pPr>
        <w:pStyle w:val="FootnoteText"/>
      </w:pPr>
    </w:p>
  </w:footnote>
  <w:footnote w:id="26">
    <w:p w14:paraId="7FE1D27C" w14:textId="77777777" w:rsidR="00960E01" w:rsidRDefault="00821CB5">
      <w:pPr>
        <w:pStyle w:val="FootnoteText"/>
        <w:rPr>
          <w:rFonts w:ascii="Segoe UI" w:hAnsi="Segoe UI" w:cs="Segoe UI"/>
        </w:rPr>
      </w:pPr>
      <w:r>
        <w:footnoteRef/>
      </w:r>
      <w:r>
        <w:t xml:space="preserve"> Bestemmelserne i afsnit IV, kapitel VI, i direktivet om genopretning og afvikling af banker indeholder bestemmelser om afviklingsmodstandsdygtighed, navnlig i forbindelse med afviklingsmyndighedens udøvelse af beføjelser, med undtagelse af gennemførelsen af virksomhedsomlægningsplanerne.</w:t>
      </w:r>
    </w:p>
  </w:footnote>
  <w:footnote w:id="27">
    <w:p w14:paraId="3F998E2E" w14:textId="7BDE8075" w:rsidR="00960E01" w:rsidRDefault="00821CB5">
      <w:pPr>
        <w:pStyle w:val="FootnoteText"/>
      </w:pPr>
      <w:r>
        <w:rPr>
          <w:rStyle w:val="FootnoteReference"/>
        </w:rPr>
        <w:footnoteRef/>
      </w:r>
      <w:r>
        <w:t xml:space="preserve"> Europa-Parlamentets og Rådets forordning (EU) 2022/2554 af 14. december 2022 om digital operationel modstandsdygtighed i den finansielle sektor og om ændring af forordning (EF) nr. 1060/2009, (EU) nr. 648/2012, (EU) nr. 600/2014, (EU) nr. 909/2014 og (EU) 2016/1011</w:t>
      </w:r>
    </w:p>
    <w:p w14:paraId="3A2C28B9" w14:textId="00F04738" w:rsidR="00960E01" w:rsidRDefault="00960E01">
      <w:pPr>
        <w:pStyle w:val="FootnoteText"/>
      </w:pPr>
    </w:p>
  </w:footnote>
  <w:footnote w:id="28">
    <w:p w14:paraId="7FE1D27F" w14:textId="77777777" w:rsidR="00960E01" w:rsidRDefault="00821CB5">
      <w:pPr>
        <w:pStyle w:val="FootnoteText"/>
        <w:rPr>
          <w:rFonts w:ascii="Segoe UI" w:hAnsi="Segoe UI" w:cs="Segoe UI"/>
        </w:rPr>
      </w:pPr>
      <w:r>
        <w:footnoteRef/>
      </w:r>
      <w:r>
        <w:t xml:space="preserve"> Bestemmelserne i afsnit IV, kapitel VI, i direktivet om genopretning og afvikling af banker indeholder bestemmelser om afviklingsmodstandsdygtighed, navnlig i forbindelse med afviklingsmyndighedens udøvelse af beføjelser, med undtagelse af gennemførelsen af virksomhedsomlægningsplanerne.</w:t>
      </w:r>
    </w:p>
  </w:footnote>
  <w:footnote w:id="29">
    <w:p w14:paraId="7FE1D280" w14:textId="77777777" w:rsidR="00960E01" w:rsidRDefault="00821CB5">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Gældsinstrumenter, aktier og andre værdipapirer, repo.</w:t>
      </w:r>
    </w:p>
  </w:footnote>
  <w:footnote w:id="30">
    <w:p w14:paraId="7FE1D281" w14:textId="77777777" w:rsidR="00960E01" w:rsidRDefault="00821CB5">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Multilaterale systemer eller faciliteter, hvor forskellige tredjemænds købs- og salgsinteresser i finansielle instrumenter kan interagere i systemet. For systemer beliggende i EØS omfatter denne definition regulerede markeder, MHF'er og OHF'er.</w:t>
      </w:r>
    </w:p>
  </w:footnote>
  <w:footnote w:id="31">
    <w:p w14:paraId="7FE1D282" w14:textId="77777777" w:rsidR="00960E01" w:rsidRDefault="00821CB5">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Cfr. ECB's betalings- og markedsordliste: Direkte deltager: "en deltager i et [...] system, der kan udføre alle de aktiviteter, der er tilladt i systemet, uden at anvende en mellemmand (herunder navnlig direkte indlæsning af ordrer i systemet og gennemførelse af afviklingsoperationer)." Indirekte deltager: "en deltager i et [...] system med en prioriteringsordning, der anvender en direkte deltager som formidler til at udføre nogle af de aktiviteter, som systemet muliggør (især afvikling)".</w:t>
      </w:r>
    </w:p>
    <w:p w14:paraId="7FE1D283" w14:textId="77777777" w:rsidR="00960E01" w:rsidRDefault="00960E01">
      <w:pPr>
        <w:pStyle w:val="FootnoteText"/>
      </w:pPr>
    </w:p>
  </w:footnote>
  <w:footnote w:id="32">
    <w:p w14:paraId="7FE1D284" w14:textId="77777777" w:rsidR="00960E01" w:rsidRDefault="00821CB5">
      <w:pPr>
        <w:pStyle w:val="FootnoteText"/>
      </w:pPr>
      <w:r>
        <w:rPr>
          <w:rStyle w:val="FootnoteReference"/>
        </w:rPr>
        <w:footnoteRef/>
      </w:r>
      <w:r>
        <w:t xml:space="preserve"> For så vidt angår definitionen af modstandsdygtighed over for afvikling i denne rapport henvises til Z.08.01, kolonne 150.</w:t>
      </w:r>
    </w:p>
  </w:footnote>
  <w:footnote w:id="33">
    <w:p w14:paraId="7FE1D285" w14:textId="50A26E27" w:rsidR="00960E01" w:rsidRDefault="00821CB5">
      <w:pPr>
        <w:pStyle w:val="FootnoteText"/>
      </w:pPr>
      <w:r>
        <w:rPr>
          <w:rStyle w:val="FootnoteReference"/>
        </w:rPr>
        <w:footnoteRef/>
      </w:r>
      <w:r>
        <w:t xml:space="preserve"> Med henblik på relevante parametre for indberetning sidestilles "kortordninger" med "betalingstjenester". "NA" sidestilles med "værdipapircentraler", hvis de handler med værdipapirer, og "betalingssystemer", hvis de beskæftiger sig med kontanttjenester.</w:t>
      </w:r>
    </w:p>
  </w:footnote>
  <w:footnote w:id="34">
    <w:p w14:paraId="7FE1D286" w14:textId="77777777" w:rsidR="00960E01" w:rsidRDefault="00821CB5">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I denne rapport bør betydningen af kontotyper fortolkes i overensstemmelse med artikel 39 (4) og (5) i EMIR. Holdningens betydning bør fortolkes i overensstemmelse med artikel 2 (3), 39 (4) og 39 (5) i EMIR. Kundekonti: kun indberetning, hvis den juridiske enhed giver indirekte adgang til FMI'en.</w:t>
      </w:r>
    </w:p>
  </w:footnote>
  <w:footnote w:id="35">
    <w:p w14:paraId="7FE1D287" w14:textId="21F2F8F9" w:rsidR="00960E01" w:rsidRDefault="00821CB5">
      <w:pPr>
        <w:pStyle w:val="FootnoteText"/>
      </w:pPr>
      <w:r>
        <w:rPr>
          <w:rStyle w:val="FootnoteReference"/>
        </w:rPr>
        <w:footnoteRef/>
      </w:r>
      <w:r>
        <w:t xml:space="preserve"> Cfr. ECB's metodologiske noter om værdipapirhandel, -clearing og -afviklingsstatistik.</w:t>
      </w:r>
    </w:p>
  </w:footnote>
  <w:footnote w:id="36">
    <w:p w14:paraId="7FE1D289" w14:textId="77777777" w:rsidR="00960E01" w:rsidRDefault="00821CB5">
      <w:pPr>
        <w:pStyle w:val="FootnoteText"/>
      </w:pPr>
      <w:r>
        <w:rPr>
          <w:rStyle w:val="FootnoteReference"/>
        </w:rPr>
        <w:footnoteRef/>
      </w:r>
      <w:r>
        <w:t xml:space="preserve"> Visse egenkapitalinstrumenter, såsom andelsbeviser, falder ikke ind under definitionen af værdipapirer, men skal stadig indberettes her.</w:t>
      </w:r>
    </w:p>
  </w:footnote>
  <w:footnote w:id="37">
    <w:p w14:paraId="4A19D249" w14:textId="77777777" w:rsidR="00960E01" w:rsidRDefault="00821CB5">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er det nye handelsnavn for Cassa Compensazione e Garanzia.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960E01" w:rsidRDefault="00821CB5">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kstboks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960E01" w:rsidRDefault="00821CB5">
                          <w:pPr>
                            <w:pStyle w:val="P68B1DB1-Normal93"/>
                          </w:pPr>
                          <w:r>
                            <w:t>EBA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kstboks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960E01" w:rsidRDefault="00821CB5">
                    <w:pPr>
                      <w:pStyle w:val="P68B1DB1-Normal93"/>
                    </w:pPr>
                    <w:r>
                      <w:t>EBA almindelig brug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960E01" w:rsidRDefault="00821CB5">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kstboks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960E01" w:rsidRDefault="00960E01">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kstboks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960E01" w:rsidRDefault="00960E01">
                    <w:pPr>
                      <w:rPr>
                        <w:rFonts w:ascii="Calibri" w:eastAsia="Calibri" w:hAnsi="Calibri" w:cs="Calibri"/>
                        <w:color w:val="000000"/>
                        <w:sz w:val="24"/>
                      </w:rPr>
                    </w:pPr>
                  </w:p>
                </w:txbxContent>
              </v:textbox>
              <w10:wrap type="square" anchorx="margin"/>
            </v:shape>
          </w:pict>
        </mc:Fallback>
      </mc:AlternateContent>
    </w:r>
    <w:r>
      <w:t>EN</w:t>
    </w:r>
  </w:p>
  <w:p w14:paraId="7FE1D24D" w14:textId="77777777" w:rsidR="00960E01" w:rsidRDefault="00821CB5">
    <w:pPr>
      <w:pStyle w:val="P68B1DB1-Header94"/>
      <w:jc w:val="center"/>
    </w:pPr>
    <w:r>
      <w:t>BILAG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960E01" w:rsidRDefault="00821CB5">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kstboks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960E01" w:rsidRDefault="00960E01">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kstboks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960E01" w:rsidRDefault="00960E01">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DA8840A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7A3A7C94">
      <w:start w:val="80"/>
      <w:numFmt w:val="bullet"/>
      <w:lvlText w:val="—"/>
      <w:lvlJc w:val="left"/>
      <w:pPr>
        <w:ind w:left="3234" w:hanging="360"/>
      </w:pPr>
      <w:rPr>
        <w:rFonts w:ascii="Times New Roman" w:eastAsia="Times New Roman" w:hAnsi="Times New Roman" w:cs="Times New Roman" w:hint="default"/>
      </w:r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0F4F6F"/>
    <w:rsid w:val="00124735"/>
    <w:rsid w:val="001310BC"/>
    <w:rsid w:val="00151BE4"/>
    <w:rsid w:val="0016454D"/>
    <w:rsid w:val="00164AB4"/>
    <w:rsid w:val="001767FA"/>
    <w:rsid w:val="00181496"/>
    <w:rsid w:val="00191356"/>
    <w:rsid w:val="001B0D4C"/>
    <w:rsid w:val="001B542E"/>
    <w:rsid w:val="001B654F"/>
    <w:rsid w:val="001D45AF"/>
    <w:rsid w:val="001E11D9"/>
    <w:rsid w:val="001E1500"/>
    <w:rsid w:val="001E1972"/>
    <w:rsid w:val="001F0302"/>
    <w:rsid w:val="00200EED"/>
    <w:rsid w:val="00202CEF"/>
    <w:rsid w:val="00202F1E"/>
    <w:rsid w:val="00204A18"/>
    <w:rsid w:val="00223B8E"/>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0858"/>
    <w:rsid w:val="002D6061"/>
    <w:rsid w:val="002F61BB"/>
    <w:rsid w:val="00304D62"/>
    <w:rsid w:val="00314438"/>
    <w:rsid w:val="0032366B"/>
    <w:rsid w:val="0032589B"/>
    <w:rsid w:val="0034370D"/>
    <w:rsid w:val="0036700A"/>
    <w:rsid w:val="00376C55"/>
    <w:rsid w:val="003932C1"/>
    <w:rsid w:val="00393D7F"/>
    <w:rsid w:val="00394CEC"/>
    <w:rsid w:val="003A172A"/>
    <w:rsid w:val="003E102B"/>
    <w:rsid w:val="003E4C28"/>
    <w:rsid w:val="003F79E6"/>
    <w:rsid w:val="00417791"/>
    <w:rsid w:val="00421F26"/>
    <w:rsid w:val="00425EF9"/>
    <w:rsid w:val="00434529"/>
    <w:rsid w:val="0046145A"/>
    <w:rsid w:val="00474B54"/>
    <w:rsid w:val="00475F09"/>
    <w:rsid w:val="00483AA9"/>
    <w:rsid w:val="004949AC"/>
    <w:rsid w:val="00496767"/>
    <w:rsid w:val="004A26C1"/>
    <w:rsid w:val="004B5F95"/>
    <w:rsid w:val="004B735F"/>
    <w:rsid w:val="004C3C09"/>
    <w:rsid w:val="004C4E50"/>
    <w:rsid w:val="004E1A73"/>
    <w:rsid w:val="004E372E"/>
    <w:rsid w:val="005020C0"/>
    <w:rsid w:val="0050242D"/>
    <w:rsid w:val="00531F46"/>
    <w:rsid w:val="005327AD"/>
    <w:rsid w:val="00541BD5"/>
    <w:rsid w:val="00555315"/>
    <w:rsid w:val="00577491"/>
    <w:rsid w:val="00584116"/>
    <w:rsid w:val="00591328"/>
    <w:rsid w:val="005A126D"/>
    <w:rsid w:val="005B0C74"/>
    <w:rsid w:val="005B2566"/>
    <w:rsid w:val="005D3243"/>
    <w:rsid w:val="005E4C5E"/>
    <w:rsid w:val="005F7477"/>
    <w:rsid w:val="006277CC"/>
    <w:rsid w:val="00632077"/>
    <w:rsid w:val="00642CE2"/>
    <w:rsid w:val="00644061"/>
    <w:rsid w:val="00661443"/>
    <w:rsid w:val="00681B11"/>
    <w:rsid w:val="006827D4"/>
    <w:rsid w:val="00695A00"/>
    <w:rsid w:val="006A352F"/>
    <w:rsid w:val="006C1571"/>
    <w:rsid w:val="006C57D3"/>
    <w:rsid w:val="006C5E0F"/>
    <w:rsid w:val="006C5EF9"/>
    <w:rsid w:val="006E1646"/>
    <w:rsid w:val="006F00E1"/>
    <w:rsid w:val="00725BF8"/>
    <w:rsid w:val="00730DE1"/>
    <w:rsid w:val="00737DF9"/>
    <w:rsid w:val="00747FA6"/>
    <w:rsid w:val="00765889"/>
    <w:rsid w:val="00783C45"/>
    <w:rsid w:val="00785F50"/>
    <w:rsid w:val="00793939"/>
    <w:rsid w:val="007956E0"/>
    <w:rsid w:val="007A4721"/>
    <w:rsid w:val="007B0136"/>
    <w:rsid w:val="007C03B1"/>
    <w:rsid w:val="007C64F6"/>
    <w:rsid w:val="00821CB5"/>
    <w:rsid w:val="00821FB1"/>
    <w:rsid w:val="00826ED8"/>
    <w:rsid w:val="00875E09"/>
    <w:rsid w:val="008827A2"/>
    <w:rsid w:val="00882D03"/>
    <w:rsid w:val="00884A0A"/>
    <w:rsid w:val="00887021"/>
    <w:rsid w:val="008959FF"/>
    <w:rsid w:val="00895FA4"/>
    <w:rsid w:val="008A017A"/>
    <w:rsid w:val="008A0CAD"/>
    <w:rsid w:val="008A1F77"/>
    <w:rsid w:val="008A683F"/>
    <w:rsid w:val="008B0FBE"/>
    <w:rsid w:val="008B4771"/>
    <w:rsid w:val="008C6287"/>
    <w:rsid w:val="008D2A6E"/>
    <w:rsid w:val="00904640"/>
    <w:rsid w:val="00911BEF"/>
    <w:rsid w:val="0092703F"/>
    <w:rsid w:val="00942CB0"/>
    <w:rsid w:val="00956AFD"/>
    <w:rsid w:val="009570EA"/>
    <w:rsid w:val="00960E01"/>
    <w:rsid w:val="009825D6"/>
    <w:rsid w:val="00990404"/>
    <w:rsid w:val="009A5C0C"/>
    <w:rsid w:val="009B5BE4"/>
    <w:rsid w:val="009D3041"/>
    <w:rsid w:val="009E5123"/>
    <w:rsid w:val="009F3EBB"/>
    <w:rsid w:val="009F5B93"/>
    <w:rsid w:val="00A22012"/>
    <w:rsid w:val="00A23095"/>
    <w:rsid w:val="00A23AD2"/>
    <w:rsid w:val="00A23F4B"/>
    <w:rsid w:val="00A338B7"/>
    <w:rsid w:val="00A4142A"/>
    <w:rsid w:val="00A5354C"/>
    <w:rsid w:val="00A953AC"/>
    <w:rsid w:val="00A968A9"/>
    <w:rsid w:val="00AB25B9"/>
    <w:rsid w:val="00AB3A47"/>
    <w:rsid w:val="00AB7545"/>
    <w:rsid w:val="00AD694F"/>
    <w:rsid w:val="00AE4741"/>
    <w:rsid w:val="00AE75AC"/>
    <w:rsid w:val="00AE774B"/>
    <w:rsid w:val="00B11DF8"/>
    <w:rsid w:val="00B549AA"/>
    <w:rsid w:val="00B72EA2"/>
    <w:rsid w:val="00B82609"/>
    <w:rsid w:val="00B9253F"/>
    <w:rsid w:val="00BA6295"/>
    <w:rsid w:val="00BB7638"/>
    <w:rsid w:val="00BC4FE7"/>
    <w:rsid w:val="00BDE510"/>
    <w:rsid w:val="00C16DB1"/>
    <w:rsid w:val="00C175F1"/>
    <w:rsid w:val="00C21B3E"/>
    <w:rsid w:val="00C22F1A"/>
    <w:rsid w:val="00C27BAD"/>
    <w:rsid w:val="00C37465"/>
    <w:rsid w:val="00C37F49"/>
    <w:rsid w:val="00C718D3"/>
    <w:rsid w:val="00C937F1"/>
    <w:rsid w:val="00C94070"/>
    <w:rsid w:val="00CA03F1"/>
    <w:rsid w:val="00CC0A94"/>
    <w:rsid w:val="00CC359C"/>
    <w:rsid w:val="00CE06F0"/>
    <w:rsid w:val="00CE3C84"/>
    <w:rsid w:val="00CE7459"/>
    <w:rsid w:val="00CF5FE7"/>
    <w:rsid w:val="00CF774B"/>
    <w:rsid w:val="00D0705D"/>
    <w:rsid w:val="00D16E28"/>
    <w:rsid w:val="00D23505"/>
    <w:rsid w:val="00D31247"/>
    <w:rsid w:val="00D34E5E"/>
    <w:rsid w:val="00D51B29"/>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6459F"/>
    <w:rsid w:val="00ED6B02"/>
    <w:rsid w:val="00EE30B2"/>
    <w:rsid w:val="00EF5B83"/>
    <w:rsid w:val="00F01961"/>
    <w:rsid w:val="00F04D9A"/>
    <w:rsid w:val="00F406E1"/>
    <w:rsid w:val="00F56521"/>
    <w:rsid w:val="00F61ED3"/>
    <w:rsid w:val="00F70BE6"/>
    <w:rsid w:val="00F8598D"/>
    <w:rsid w:val="00F86B79"/>
    <w:rsid w:val="00F87AA6"/>
    <w:rsid w:val="00FB1DE9"/>
    <w:rsid w:val="00FB425E"/>
    <w:rsid w:val="00FB6BAE"/>
    <w:rsid w:val="00FC05A4"/>
    <w:rsid w:val="00FD00F2"/>
    <w:rsid w:val="00FD0421"/>
    <w:rsid w:val="00FD55E0"/>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da-DK"/>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129</TotalTime>
  <Pages>108</Pages>
  <Words>38436</Words>
  <Characters>219090</Characters>
  <Application>Microsoft Office Word</Application>
  <DocSecurity>0</DocSecurity>
  <Lines>1825</Lines>
  <Paragraphs>514</Paragraphs>
  <ScaleCrop>false</ScaleCrop>
  <Company/>
  <LinksUpToDate>false</LinksUpToDate>
  <CharactersWithSpaces>257012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Mejser Nielsen (FT)</dc:creator>
  <cp:keywords/>
  <cp:lastModifiedBy>Kornelia Wilinska</cp:lastModifiedBy>
  <cp:revision>38</cp:revision>
  <dcterms:created xsi:type="dcterms:W3CDTF">2025-09-23T08:45:00Z</dcterms:created>
  <dcterms:modified xsi:type="dcterms:W3CDTF">2025-09-23T11:52:00Z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