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E535" w14:textId="77777777" w:rsidR="00201CDE" w:rsidRDefault="00201CDE" w:rsidP="00201CDE">
      <w:pPr>
        <w:pStyle w:val="P68B1DB1-ListParagraph1"/>
        <w:jc w:val="center"/>
        <w:rPr>
          <w:noProof/>
        </w:rPr>
      </w:pPr>
      <w:r>
        <w:rPr>
          <w:noProof/>
        </w:rPr>
        <w:t>Anexo II: Instrucciones</w:t>
      </w:r>
    </w:p>
    <w:p w14:paraId="1AD2DA6A" w14:textId="77777777" w:rsidR="00201CDE" w:rsidRDefault="00201CDE">
      <w:pPr>
        <w:pStyle w:val="TOC2"/>
      </w:pPr>
    </w:p>
    <w:p w14:paraId="7624F069" w14:textId="180F378D" w:rsidR="00201CDE" w:rsidRDefault="00904E1A">
      <w:pPr>
        <w:pStyle w:val="TOC2"/>
        <w:rPr>
          <w:noProof/>
          <w:kern w:val="2"/>
          <w:sz w:val="24"/>
          <w:szCs w:val="24"/>
          <w:lang w:val="es-ES" w:eastAsia="es-ES"/>
          <w14:ligatures w14:val="standardContextual"/>
        </w:rPr>
      </w:pPr>
      <w:r>
        <w:fldChar w:fldCharType="begin"/>
      </w:r>
      <w:r w:rsidRPr="42EA079E">
        <w:rPr>
          <w:sz w:val="20"/>
          <w:szCs w:val="20"/>
        </w:rPr>
        <w:instrText xml:space="preserve"> TOC \o "1-3" \h \z \t "Numbered tile level 1,1,Numbered title level 2,2" </w:instrText>
      </w:r>
      <w:r>
        <w:fldChar w:fldCharType="separate"/>
      </w:r>
      <w:hyperlink w:anchor="_Toc211525904" w:history="1">
        <w:r w:rsidR="00201CDE" w:rsidRPr="000853D4">
          <w:rPr>
            <w:rStyle w:val="Hyperlink"/>
            <w:noProof/>
          </w:rPr>
          <w:t>I.</w:t>
        </w:r>
        <w:r w:rsidR="00201CDE">
          <w:rPr>
            <w:noProof/>
            <w:kern w:val="2"/>
            <w:sz w:val="24"/>
            <w:szCs w:val="24"/>
            <w:lang w:val="es-ES" w:eastAsia="es-ES"/>
            <w14:ligatures w14:val="standardContextual"/>
          </w:rPr>
          <w:tab/>
        </w:r>
        <w:r w:rsidR="00201CDE" w:rsidRPr="000853D4">
          <w:rPr>
            <w:rStyle w:val="Hyperlink"/>
            <w:noProof/>
          </w:rPr>
          <w:t>Instrucciones generales</w:t>
        </w:r>
        <w:r w:rsidR="00201CDE">
          <w:rPr>
            <w:noProof/>
            <w:webHidden/>
          </w:rPr>
          <w:tab/>
        </w:r>
        <w:r w:rsidR="00201CDE">
          <w:rPr>
            <w:noProof/>
            <w:webHidden/>
          </w:rPr>
          <w:fldChar w:fldCharType="begin"/>
        </w:r>
        <w:r w:rsidR="00201CDE">
          <w:rPr>
            <w:noProof/>
            <w:webHidden/>
          </w:rPr>
          <w:instrText xml:space="preserve"> PAGEREF _Toc211525904 \h </w:instrText>
        </w:r>
        <w:r w:rsidR="00201CDE">
          <w:rPr>
            <w:noProof/>
            <w:webHidden/>
          </w:rPr>
        </w:r>
        <w:r w:rsidR="00201CDE">
          <w:rPr>
            <w:noProof/>
            <w:webHidden/>
          </w:rPr>
          <w:fldChar w:fldCharType="separate"/>
        </w:r>
        <w:r w:rsidR="00201CDE">
          <w:rPr>
            <w:noProof/>
            <w:webHidden/>
          </w:rPr>
          <w:t>8</w:t>
        </w:r>
        <w:r w:rsidR="00201CDE">
          <w:rPr>
            <w:noProof/>
            <w:webHidden/>
          </w:rPr>
          <w:fldChar w:fldCharType="end"/>
        </w:r>
      </w:hyperlink>
    </w:p>
    <w:p w14:paraId="0227D0A1" w14:textId="51037DA1" w:rsidR="00201CDE" w:rsidRDefault="00201CDE">
      <w:pPr>
        <w:pStyle w:val="TOC2"/>
        <w:rPr>
          <w:noProof/>
          <w:kern w:val="2"/>
          <w:sz w:val="24"/>
          <w:szCs w:val="24"/>
          <w:lang w:val="es-ES" w:eastAsia="es-ES"/>
          <w14:ligatures w14:val="standardContextual"/>
        </w:rPr>
      </w:pPr>
      <w:hyperlink w:anchor="_Toc211525905" w:history="1">
        <w:r w:rsidRPr="000853D4">
          <w:rPr>
            <w:rStyle w:val="Hyperlink"/>
            <w:noProof/>
          </w:rPr>
          <w:t>I.1</w:t>
        </w:r>
        <w:r>
          <w:rPr>
            <w:noProof/>
            <w:kern w:val="2"/>
            <w:sz w:val="24"/>
            <w:szCs w:val="24"/>
            <w:lang w:val="es-ES" w:eastAsia="es-ES"/>
            <w14:ligatures w14:val="standardContextual"/>
          </w:rPr>
          <w:tab/>
        </w:r>
        <w:r w:rsidRPr="000853D4">
          <w:rPr>
            <w:rStyle w:val="Hyperlink"/>
            <w:noProof/>
          </w:rPr>
          <w:t>Estructura</w:t>
        </w:r>
        <w:r>
          <w:rPr>
            <w:noProof/>
            <w:webHidden/>
          </w:rPr>
          <w:tab/>
        </w:r>
        <w:r>
          <w:rPr>
            <w:noProof/>
            <w:webHidden/>
          </w:rPr>
          <w:fldChar w:fldCharType="begin"/>
        </w:r>
        <w:r>
          <w:rPr>
            <w:noProof/>
            <w:webHidden/>
          </w:rPr>
          <w:instrText xml:space="preserve"> PAGEREF _Toc211525905 \h </w:instrText>
        </w:r>
        <w:r>
          <w:rPr>
            <w:noProof/>
            <w:webHidden/>
          </w:rPr>
        </w:r>
        <w:r>
          <w:rPr>
            <w:noProof/>
            <w:webHidden/>
          </w:rPr>
          <w:fldChar w:fldCharType="separate"/>
        </w:r>
        <w:r>
          <w:rPr>
            <w:noProof/>
            <w:webHidden/>
          </w:rPr>
          <w:t>8</w:t>
        </w:r>
        <w:r>
          <w:rPr>
            <w:noProof/>
            <w:webHidden/>
          </w:rPr>
          <w:fldChar w:fldCharType="end"/>
        </w:r>
      </w:hyperlink>
    </w:p>
    <w:p w14:paraId="4C7B53EE" w14:textId="68BE2743" w:rsidR="00201CDE" w:rsidRDefault="00201CDE">
      <w:pPr>
        <w:pStyle w:val="TOC2"/>
        <w:rPr>
          <w:noProof/>
          <w:kern w:val="2"/>
          <w:sz w:val="24"/>
          <w:szCs w:val="24"/>
          <w:lang w:val="es-ES" w:eastAsia="es-ES"/>
          <w14:ligatures w14:val="standardContextual"/>
        </w:rPr>
      </w:pPr>
      <w:hyperlink w:anchor="_Toc211525906" w:history="1">
        <w:r w:rsidRPr="000853D4">
          <w:rPr>
            <w:rStyle w:val="Hyperlink"/>
            <w:noProof/>
          </w:rPr>
          <w:t>I.2</w:t>
        </w:r>
        <w:r>
          <w:rPr>
            <w:noProof/>
            <w:kern w:val="2"/>
            <w:sz w:val="24"/>
            <w:szCs w:val="24"/>
            <w:lang w:val="es-ES" w:eastAsia="es-ES"/>
            <w14:ligatures w14:val="standardContextual"/>
          </w:rPr>
          <w:tab/>
        </w:r>
        <w:r w:rsidRPr="000853D4">
          <w:rPr>
            <w:rStyle w:val="Hyperlink"/>
            <w:noProof/>
          </w:rPr>
          <w:t>Referencias</w:t>
        </w:r>
        <w:r>
          <w:rPr>
            <w:noProof/>
            <w:webHidden/>
          </w:rPr>
          <w:tab/>
        </w:r>
        <w:r>
          <w:rPr>
            <w:noProof/>
            <w:webHidden/>
          </w:rPr>
          <w:fldChar w:fldCharType="begin"/>
        </w:r>
        <w:r>
          <w:rPr>
            <w:noProof/>
            <w:webHidden/>
          </w:rPr>
          <w:instrText xml:space="preserve"> PAGEREF _Toc211525906 \h </w:instrText>
        </w:r>
        <w:r>
          <w:rPr>
            <w:noProof/>
            <w:webHidden/>
          </w:rPr>
        </w:r>
        <w:r>
          <w:rPr>
            <w:noProof/>
            <w:webHidden/>
          </w:rPr>
          <w:fldChar w:fldCharType="separate"/>
        </w:r>
        <w:r>
          <w:rPr>
            <w:noProof/>
            <w:webHidden/>
          </w:rPr>
          <w:t>9</w:t>
        </w:r>
        <w:r>
          <w:rPr>
            <w:noProof/>
            <w:webHidden/>
          </w:rPr>
          <w:fldChar w:fldCharType="end"/>
        </w:r>
      </w:hyperlink>
    </w:p>
    <w:p w14:paraId="324FA815" w14:textId="11FDC1C1" w:rsidR="00201CDE" w:rsidRDefault="00201CDE">
      <w:pPr>
        <w:pStyle w:val="TOC2"/>
        <w:rPr>
          <w:noProof/>
          <w:kern w:val="2"/>
          <w:sz w:val="24"/>
          <w:szCs w:val="24"/>
          <w:lang w:val="es-ES" w:eastAsia="es-ES"/>
          <w14:ligatures w14:val="standardContextual"/>
        </w:rPr>
      </w:pPr>
      <w:hyperlink w:anchor="_Toc211525907" w:history="1">
        <w:r w:rsidRPr="000853D4">
          <w:rPr>
            <w:rStyle w:val="Hyperlink"/>
            <w:noProof/>
          </w:rPr>
          <w:t>I.3</w:t>
        </w:r>
        <w:r>
          <w:rPr>
            <w:noProof/>
            <w:kern w:val="2"/>
            <w:sz w:val="24"/>
            <w:szCs w:val="24"/>
            <w:lang w:val="es-ES" w:eastAsia="es-ES"/>
            <w14:ligatures w14:val="standardContextual"/>
          </w:rPr>
          <w:tab/>
        </w:r>
        <w:r w:rsidRPr="000853D4">
          <w:rPr>
            <w:rStyle w:val="Hyperlink"/>
            <w:noProof/>
          </w:rPr>
          <w:t>Normas contables</w:t>
        </w:r>
        <w:r>
          <w:rPr>
            <w:noProof/>
            <w:webHidden/>
          </w:rPr>
          <w:tab/>
        </w:r>
        <w:r>
          <w:rPr>
            <w:noProof/>
            <w:webHidden/>
          </w:rPr>
          <w:fldChar w:fldCharType="begin"/>
        </w:r>
        <w:r>
          <w:rPr>
            <w:noProof/>
            <w:webHidden/>
          </w:rPr>
          <w:instrText xml:space="preserve"> PAGEREF _Toc211525907 \h </w:instrText>
        </w:r>
        <w:r>
          <w:rPr>
            <w:noProof/>
            <w:webHidden/>
          </w:rPr>
        </w:r>
        <w:r>
          <w:rPr>
            <w:noProof/>
            <w:webHidden/>
          </w:rPr>
          <w:fldChar w:fldCharType="separate"/>
        </w:r>
        <w:r>
          <w:rPr>
            <w:noProof/>
            <w:webHidden/>
          </w:rPr>
          <w:t>11</w:t>
        </w:r>
        <w:r>
          <w:rPr>
            <w:noProof/>
            <w:webHidden/>
          </w:rPr>
          <w:fldChar w:fldCharType="end"/>
        </w:r>
      </w:hyperlink>
    </w:p>
    <w:p w14:paraId="34EFF736" w14:textId="11EA6B7E" w:rsidR="00201CDE" w:rsidRDefault="00201CDE">
      <w:pPr>
        <w:pStyle w:val="TOC2"/>
        <w:rPr>
          <w:noProof/>
          <w:kern w:val="2"/>
          <w:sz w:val="24"/>
          <w:szCs w:val="24"/>
          <w:lang w:val="es-ES" w:eastAsia="es-ES"/>
          <w14:ligatures w14:val="standardContextual"/>
        </w:rPr>
      </w:pPr>
      <w:hyperlink w:anchor="_Toc211525908" w:history="1">
        <w:r w:rsidRPr="000853D4">
          <w:rPr>
            <w:rStyle w:val="Hyperlink"/>
            <w:noProof/>
          </w:rPr>
          <w:t>I.4</w:t>
        </w:r>
        <w:r>
          <w:rPr>
            <w:noProof/>
            <w:kern w:val="2"/>
            <w:sz w:val="24"/>
            <w:szCs w:val="24"/>
            <w:lang w:val="es-ES" w:eastAsia="es-ES"/>
            <w14:ligatures w14:val="standardContextual"/>
          </w:rPr>
          <w:tab/>
        </w:r>
        <w:r w:rsidRPr="000853D4">
          <w:rPr>
            <w:rStyle w:val="Hyperlink"/>
            <w:noProof/>
            <w:lang w:val="es-ES"/>
          </w:rPr>
          <w:t xml:space="preserve">Comunicación de </w:t>
        </w:r>
        <w:r w:rsidR="00686AB5">
          <w:rPr>
            <w:rStyle w:val="Hyperlink"/>
            <w:noProof/>
            <w:lang w:val="es-ES"/>
          </w:rPr>
          <w:t>datos</w:t>
        </w:r>
        <w:r w:rsidRPr="000853D4">
          <w:rPr>
            <w:rStyle w:val="Hyperlink"/>
            <w:noProof/>
            <w:lang w:val="es-ES"/>
          </w:rPr>
          <w:t xml:space="preserve"> con fines de supervisión</w:t>
        </w:r>
        <w:r>
          <w:rPr>
            <w:noProof/>
            <w:webHidden/>
          </w:rPr>
          <w:tab/>
        </w:r>
        <w:r>
          <w:rPr>
            <w:noProof/>
            <w:webHidden/>
          </w:rPr>
          <w:fldChar w:fldCharType="begin"/>
        </w:r>
        <w:r>
          <w:rPr>
            <w:noProof/>
            <w:webHidden/>
          </w:rPr>
          <w:instrText xml:space="preserve"> PAGEREF _Toc211525908 \h </w:instrText>
        </w:r>
        <w:r>
          <w:rPr>
            <w:noProof/>
            <w:webHidden/>
          </w:rPr>
        </w:r>
        <w:r>
          <w:rPr>
            <w:noProof/>
            <w:webHidden/>
          </w:rPr>
          <w:fldChar w:fldCharType="separate"/>
        </w:r>
        <w:r>
          <w:rPr>
            <w:noProof/>
            <w:webHidden/>
          </w:rPr>
          <w:t>11</w:t>
        </w:r>
        <w:r>
          <w:rPr>
            <w:noProof/>
            <w:webHidden/>
          </w:rPr>
          <w:fldChar w:fldCharType="end"/>
        </w:r>
      </w:hyperlink>
    </w:p>
    <w:p w14:paraId="74EB9454" w14:textId="33363612" w:rsidR="00201CDE" w:rsidRDefault="00201CDE">
      <w:pPr>
        <w:pStyle w:val="TOC2"/>
        <w:rPr>
          <w:noProof/>
          <w:kern w:val="2"/>
          <w:sz w:val="24"/>
          <w:szCs w:val="24"/>
          <w:lang w:val="es-ES" w:eastAsia="es-ES"/>
          <w14:ligatures w14:val="standardContextual"/>
        </w:rPr>
      </w:pPr>
      <w:hyperlink w:anchor="_Toc211525909" w:history="1">
        <w:r w:rsidRPr="000853D4">
          <w:rPr>
            <w:rStyle w:val="Hyperlink"/>
            <w:noProof/>
          </w:rPr>
          <w:t>I.5</w:t>
        </w:r>
        <w:r>
          <w:rPr>
            <w:noProof/>
            <w:kern w:val="2"/>
            <w:sz w:val="24"/>
            <w:szCs w:val="24"/>
            <w:lang w:val="es-ES" w:eastAsia="es-ES"/>
            <w14:ligatures w14:val="standardContextual"/>
          </w:rPr>
          <w:tab/>
        </w:r>
        <w:r w:rsidRPr="000853D4">
          <w:rPr>
            <w:rStyle w:val="Hyperlink"/>
            <w:noProof/>
          </w:rPr>
          <w:t>Ámbito de consolidación</w:t>
        </w:r>
        <w:r>
          <w:rPr>
            <w:noProof/>
            <w:webHidden/>
          </w:rPr>
          <w:tab/>
        </w:r>
        <w:r>
          <w:rPr>
            <w:noProof/>
            <w:webHidden/>
          </w:rPr>
          <w:fldChar w:fldCharType="begin"/>
        </w:r>
        <w:r>
          <w:rPr>
            <w:noProof/>
            <w:webHidden/>
          </w:rPr>
          <w:instrText xml:space="preserve"> PAGEREF _Toc211525909 \h </w:instrText>
        </w:r>
        <w:r>
          <w:rPr>
            <w:noProof/>
            <w:webHidden/>
          </w:rPr>
        </w:r>
        <w:r>
          <w:rPr>
            <w:noProof/>
            <w:webHidden/>
          </w:rPr>
          <w:fldChar w:fldCharType="separate"/>
        </w:r>
        <w:r>
          <w:rPr>
            <w:noProof/>
            <w:webHidden/>
          </w:rPr>
          <w:t>11</w:t>
        </w:r>
        <w:r>
          <w:rPr>
            <w:noProof/>
            <w:webHidden/>
          </w:rPr>
          <w:fldChar w:fldCharType="end"/>
        </w:r>
      </w:hyperlink>
    </w:p>
    <w:p w14:paraId="0CA63FD2" w14:textId="445678A4" w:rsidR="00201CDE" w:rsidRDefault="00201CDE">
      <w:pPr>
        <w:pStyle w:val="TOC2"/>
        <w:rPr>
          <w:noProof/>
          <w:kern w:val="2"/>
          <w:sz w:val="24"/>
          <w:szCs w:val="24"/>
          <w:lang w:val="es-ES" w:eastAsia="es-ES"/>
          <w14:ligatures w14:val="standardContextual"/>
        </w:rPr>
      </w:pPr>
      <w:hyperlink w:anchor="_Toc211525910" w:history="1">
        <w:r w:rsidRPr="000853D4">
          <w:rPr>
            <w:rStyle w:val="Hyperlink"/>
            <w:noProof/>
          </w:rPr>
          <w:t>I.6</w:t>
        </w:r>
        <w:r>
          <w:rPr>
            <w:noProof/>
            <w:kern w:val="2"/>
            <w:sz w:val="24"/>
            <w:szCs w:val="24"/>
            <w:lang w:val="es-ES" w:eastAsia="es-ES"/>
            <w14:ligatures w14:val="standardContextual"/>
          </w:rPr>
          <w:tab/>
        </w:r>
        <w:r w:rsidRPr="000853D4">
          <w:rPr>
            <w:rStyle w:val="Hyperlink"/>
            <w:noProof/>
          </w:rPr>
          <w:t>Numeración y demás convenciones</w:t>
        </w:r>
        <w:r>
          <w:rPr>
            <w:noProof/>
            <w:webHidden/>
          </w:rPr>
          <w:tab/>
        </w:r>
        <w:r>
          <w:rPr>
            <w:noProof/>
            <w:webHidden/>
          </w:rPr>
          <w:fldChar w:fldCharType="begin"/>
        </w:r>
        <w:r>
          <w:rPr>
            <w:noProof/>
            <w:webHidden/>
          </w:rPr>
          <w:instrText xml:space="preserve"> PAGEREF _Toc211525910 \h </w:instrText>
        </w:r>
        <w:r>
          <w:rPr>
            <w:noProof/>
            <w:webHidden/>
          </w:rPr>
        </w:r>
        <w:r>
          <w:rPr>
            <w:noProof/>
            <w:webHidden/>
          </w:rPr>
          <w:fldChar w:fldCharType="separate"/>
        </w:r>
        <w:r>
          <w:rPr>
            <w:noProof/>
            <w:webHidden/>
          </w:rPr>
          <w:t>11</w:t>
        </w:r>
        <w:r>
          <w:rPr>
            <w:noProof/>
            <w:webHidden/>
          </w:rPr>
          <w:fldChar w:fldCharType="end"/>
        </w:r>
      </w:hyperlink>
    </w:p>
    <w:p w14:paraId="60EB24F1" w14:textId="0EEC2E30" w:rsidR="00201CDE" w:rsidRDefault="00201CDE">
      <w:pPr>
        <w:pStyle w:val="TOC2"/>
        <w:rPr>
          <w:noProof/>
          <w:kern w:val="2"/>
          <w:sz w:val="24"/>
          <w:szCs w:val="24"/>
          <w:lang w:val="es-ES" w:eastAsia="es-ES"/>
          <w14:ligatures w14:val="standardContextual"/>
        </w:rPr>
      </w:pPr>
      <w:hyperlink w:anchor="_Toc211525911" w:history="1">
        <w:r w:rsidRPr="000853D4">
          <w:rPr>
            <w:rStyle w:val="Hyperlink"/>
            <w:noProof/>
          </w:rPr>
          <w:t>II.</w:t>
        </w:r>
        <w:r>
          <w:rPr>
            <w:noProof/>
            <w:kern w:val="2"/>
            <w:sz w:val="24"/>
            <w:szCs w:val="24"/>
            <w:lang w:val="es-ES" w:eastAsia="es-ES"/>
            <w14:ligatures w14:val="standardContextual"/>
          </w:rPr>
          <w:tab/>
        </w:r>
        <w:r w:rsidRPr="000853D4">
          <w:rPr>
            <w:rStyle w:val="Hyperlink"/>
            <w:noProof/>
          </w:rPr>
          <w:t>Instrucciones relativas a las plantillas</w:t>
        </w:r>
        <w:r>
          <w:rPr>
            <w:noProof/>
            <w:webHidden/>
          </w:rPr>
          <w:tab/>
        </w:r>
        <w:r>
          <w:rPr>
            <w:noProof/>
            <w:webHidden/>
          </w:rPr>
          <w:fldChar w:fldCharType="begin"/>
        </w:r>
        <w:r>
          <w:rPr>
            <w:noProof/>
            <w:webHidden/>
          </w:rPr>
          <w:instrText xml:space="preserve"> PAGEREF _Toc211525911 \h </w:instrText>
        </w:r>
        <w:r>
          <w:rPr>
            <w:noProof/>
            <w:webHidden/>
          </w:rPr>
        </w:r>
        <w:r>
          <w:rPr>
            <w:noProof/>
            <w:webHidden/>
          </w:rPr>
          <w:fldChar w:fldCharType="separate"/>
        </w:r>
        <w:r>
          <w:rPr>
            <w:noProof/>
            <w:webHidden/>
          </w:rPr>
          <w:t>12</w:t>
        </w:r>
        <w:r>
          <w:rPr>
            <w:noProof/>
            <w:webHidden/>
          </w:rPr>
          <w:fldChar w:fldCharType="end"/>
        </w:r>
      </w:hyperlink>
    </w:p>
    <w:p w14:paraId="37F52098" w14:textId="53DA7179" w:rsidR="00201CDE" w:rsidRDefault="00201CDE">
      <w:pPr>
        <w:pStyle w:val="TOC2"/>
        <w:rPr>
          <w:noProof/>
          <w:kern w:val="2"/>
          <w:sz w:val="24"/>
          <w:szCs w:val="24"/>
          <w:lang w:val="es-ES" w:eastAsia="es-ES"/>
          <w14:ligatures w14:val="standardContextual"/>
        </w:rPr>
      </w:pPr>
      <w:hyperlink w:anchor="_Toc211525912" w:history="1">
        <w:r w:rsidRPr="000853D4">
          <w:rPr>
            <w:rStyle w:val="Hyperlink"/>
            <w:noProof/>
          </w:rPr>
          <w:t>II.1</w:t>
        </w:r>
        <w:r>
          <w:rPr>
            <w:noProof/>
            <w:kern w:val="2"/>
            <w:sz w:val="24"/>
            <w:szCs w:val="24"/>
            <w:lang w:val="es-ES" w:eastAsia="es-ES"/>
            <w14:ligatures w14:val="standardContextual"/>
          </w:rPr>
          <w:tab/>
        </w:r>
        <w:r w:rsidRPr="000853D4">
          <w:rPr>
            <w:rStyle w:val="Hyperlink"/>
            <w:noProof/>
            <w:lang w:val="es-ES"/>
          </w:rPr>
          <w:t>Z 01.01. Entes jurídicos (ORG 1)</w:t>
        </w:r>
        <w:r>
          <w:rPr>
            <w:noProof/>
            <w:webHidden/>
          </w:rPr>
          <w:tab/>
        </w:r>
        <w:r>
          <w:rPr>
            <w:noProof/>
            <w:webHidden/>
          </w:rPr>
          <w:fldChar w:fldCharType="begin"/>
        </w:r>
        <w:r>
          <w:rPr>
            <w:noProof/>
            <w:webHidden/>
          </w:rPr>
          <w:instrText xml:space="preserve"> PAGEREF _Toc211525912 \h </w:instrText>
        </w:r>
        <w:r>
          <w:rPr>
            <w:noProof/>
            <w:webHidden/>
          </w:rPr>
        </w:r>
        <w:r>
          <w:rPr>
            <w:noProof/>
            <w:webHidden/>
          </w:rPr>
          <w:fldChar w:fldCharType="separate"/>
        </w:r>
        <w:r>
          <w:rPr>
            <w:noProof/>
            <w:webHidden/>
          </w:rPr>
          <w:t>12</w:t>
        </w:r>
        <w:r>
          <w:rPr>
            <w:noProof/>
            <w:webHidden/>
          </w:rPr>
          <w:fldChar w:fldCharType="end"/>
        </w:r>
      </w:hyperlink>
    </w:p>
    <w:p w14:paraId="51F04866" w14:textId="7DB5E0D2" w:rsidR="00201CDE" w:rsidRDefault="00201CDE">
      <w:pPr>
        <w:pStyle w:val="TOC2"/>
        <w:rPr>
          <w:noProof/>
          <w:kern w:val="2"/>
          <w:sz w:val="24"/>
          <w:szCs w:val="24"/>
          <w:lang w:val="es-ES" w:eastAsia="es-ES"/>
          <w14:ligatures w14:val="standardContextual"/>
        </w:rPr>
      </w:pPr>
      <w:hyperlink w:anchor="_Toc211525913" w:history="1">
        <w:r w:rsidRPr="000853D4">
          <w:rPr>
            <w:rStyle w:val="Hyperlink"/>
            <w:noProof/>
          </w:rPr>
          <w:t>II.2</w:t>
        </w:r>
        <w:r>
          <w:rPr>
            <w:noProof/>
            <w:kern w:val="2"/>
            <w:sz w:val="24"/>
            <w:szCs w:val="24"/>
            <w:lang w:val="es-ES" w:eastAsia="es-ES"/>
            <w14:ligatures w14:val="standardContextual"/>
          </w:rPr>
          <w:tab/>
        </w:r>
        <w:r w:rsidRPr="000853D4">
          <w:rPr>
            <w:rStyle w:val="Hyperlink"/>
            <w:noProof/>
            <w:lang w:val="es-ES"/>
          </w:rPr>
          <w:t>Z 01.02. Estructura de propiedad (ORG 2)</w:t>
        </w:r>
        <w:r>
          <w:rPr>
            <w:noProof/>
            <w:webHidden/>
          </w:rPr>
          <w:tab/>
        </w:r>
        <w:r>
          <w:rPr>
            <w:noProof/>
            <w:webHidden/>
          </w:rPr>
          <w:fldChar w:fldCharType="begin"/>
        </w:r>
        <w:r>
          <w:rPr>
            <w:noProof/>
            <w:webHidden/>
          </w:rPr>
          <w:instrText xml:space="preserve"> PAGEREF _Toc211525913 \h </w:instrText>
        </w:r>
        <w:r>
          <w:rPr>
            <w:noProof/>
            <w:webHidden/>
          </w:rPr>
        </w:r>
        <w:r>
          <w:rPr>
            <w:noProof/>
            <w:webHidden/>
          </w:rPr>
          <w:fldChar w:fldCharType="separate"/>
        </w:r>
        <w:r>
          <w:rPr>
            <w:noProof/>
            <w:webHidden/>
          </w:rPr>
          <w:t>15</w:t>
        </w:r>
        <w:r>
          <w:rPr>
            <w:noProof/>
            <w:webHidden/>
          </w:rPr>
          <w:fldChar w:fldCharType="end"/>
        </w:r>
      </w:hyperlink>
    </w:p>
    <w:p w14:paraId="0A166173" w14:textId="2FD0D9AD" w:rsidR="00201CDE" w:rsidRDefault="00201CDE">
      <w:pPr>
        <w:pStyle w:val="TOC2"/>
        <w:rPr>
          <w:noProof/>
          <w:kern w:val="2"/>
          <w:sz w:val="24"/>
          <w:szCs w:val="24"/>
          <w:lang w:val="es-ES" w:eastAsia="es-ES"/>
          <w14:ligatures w14:val="standardContextual"/>
        </w:rPr>
      </w:pPr>
      <w:hyperlink w:anchor="_Toc211525914" w:history="1">
        <w:r w:rsidRPr="000853D4">
          <w:rPr>
            <w:rStyle w:val="Hyperlink"/>
            <w:noProof/>
          </w:rPr>
          <w:t>II.3</w:t>
        </w:r>
        <w:r>
          <w:rPr>
            <w:noProof/>
            <w:kern w:val="2"/>
            <w:sz w:val="24"/>
            <w:szCs w:val="24"/>
            <w:lang w:val="es-ES" w:eastAsia="es-ES"/>
            <w14:ligatures w14:val="standardContextual"/>
          </w:rPr>
          <w:tab/>
        </w:r>
        <w:r w:rsidRPr="000853D4">
          <w:rPr>
            <w:rStyle w:val="Hyperlink"/>
            <w:noProof/>
            <w:lang w:val="es-ES"/>
          </w:rPr>
          <w:t>Z 02.00. Estructura del pasivo (LIAB 1)</w:t>
        </w:r>
        <w:r>
          <w:rPr>
            <w:noProof/>
            <w:webHidden/>
          </w:rPr>
          <w:tab/>
        </w:r>
        <w:r>
          <w:rPr>
            <w:noProof/>
            <w:webHidden/>
          </w:rPr>
          <w:fldChar w:fldCharType="begin"/>
        </w:r>
        <w:r>
          <w:rPr>
            <w:noProof/>
            <w:webHidden/>
          </w:rPr>
          <w:instrText xml:space="preserve"> PAGEREF _Toc211525914 \h </w:instrText>
        </w:r>
        <w:r>
          <w:rPr>
            <w:noProof/>
            <w:webHidden/>
          </w:rPr>
        </w:r>
        <w:r>
          <w:rPr>
            <w:noProof/>
            <w:webHidden/>
          </w:rPr>
          <w:fldChar w:fldCharType="separate"/>
        </w:r>
        <w:r>
          <w:rPr>
            <w:noProof/>
            <w:webHidden/>
          </w:rPr>
          <w:t>17</w:t>
        </w:r>
        <w:r>
          <w:rPr>
            <w:noProof/>
            <w:webHidden/>
          </w:rPr>
          <w:fldChar w:fldCharType="end"/>
        </w:r>
      </w:hyperlink>
    </w:p>
    <w:p w14:paraId="17A53DF0" w14:textId="580D8BEF" w:rsidR="00201CDE" w:rsidRDefault="00201CDE">
      <w:pPr>
        <w:pStyle w:val="TOC2"/>
        <w:rPr>
          <w:noProof/>
          <w:kern w:val="2"/>
          <w:sz w:val="24"/>
          <w:szCs w:val="24"/>
          <w:lang w:val="es-ES" w:eastAsia="es-ES"/>
          <w14:ligatures w14:val="standardContextual"/>
        </w:rPr>
      </w:pPr>
      <w:hyperlink w:anchor="_Toc211525915" w:history="1">
        <w:r w:rsidRPr="000853D4">
          <w:rPr>
            <w:rStyle w:val="Hyperlink"/>
            <w:noProof/>
          </w:rPr>
          <w:t>II.4</w:t>
        </w:r>
        <w:r>
          <w:rPr>
            <w:noProof/>
            <w:kern w:val="2"/>
            <w:sz w:val="24"/>
            <w:szCs w:val="24"/>
            <w:lang w:val="es-ES" w:eastAsia="es-ES"/>
            <w14:ligatures w14:val="standardContextual"/>
          </w:rPr>
          <w:tab/>
        </w:r>
        <w:r w:rsidRPr="000853D4">
          <w:rPr>
            <w:rStyle w:val="Hyperlink"/>
            <w:noProof/>
          </w:rPr>
          <w:t>Z 03.01. Requisitos de fondos propios — Entidades de crédito (LIAB 2)</w:t>
        </w:r>
        <w:r>
          <w:rPr>
            <w:noProof/>
            <w:webHidden/>
          </w:rPr>
          <w:tab/>
        </w:r>
        <w:r>
          <w:rPr>
            <w:noProof/>
            <w:webHidden/>
          </w:rPr>
          <w:fldChar w:fldCharType="begin"/>
        </w:r>
        <w:r>
          <w:rPr>
            <w:noProof/>
            <w:webHidden/>
          </w:rPr>
          <w:instrText xml:space="preserve"> PAGEREF _Toc211525915 \h </w:instrText>
        </w:r>
        <w:r>
          <w:rPr>
            <w:noProof/>
            <w:webHidden/>
          </w:rPr>
        </w:r>
        <w:r>
          <w:rPr>
            <w:noProof/>
            <w:webHidden/>
          </w:rPr>
          <w:fldChar w:fldCharType="separate"/>
        </w:r>
        <w:r>
          <w:rPr>
            <w:noProof/>
            <w:webHidden/>
          </w:rPr>
          <w:t>26</w:t>
        </w:r>
        <w:r>
          <w:rPr>
            <w:noProof/>
            <w:webHidden/>
          </w:rPr>
          <w:fldChar w:fldCharType="end"/>
        </w:r>
      </w:hyperlink>
    </w:p>
    <w:p w14:paraId="3945ECC4" w14:textId="0C2EB1FC" w:rsidR="00201CDE" w:rsidRDefault="00201CDE">
      <w:pPr>
        <w:pStyle w:val="TOC2"/>
        <w:rPr>
          <w:noProof/>
          <w:kern w:val="2"/>
          <w:sz w:val="24"/>
          <w:szCs w:val="24"/>
          <w:lang w:val="es-ES" w:eastAsia="es-ES"/>
          <w14:ligatures w14:val="standardContextual"/>
        </w:rPr>
      </w:pPr>
      <w:hyperlink w:anchor="_Toc211525916" w:history="1">
        <w:r w:rsidRPr="000853D4">
          <w:rPr>
            <w:rStyle w:val="Hyperlink"/>
            <w:noProof/>
          </w:rPr>
          <w:t>II.5</w:t>
        </w:r>
        <w:r>
          <w:rPr>
            <w:noProof/>
            <w:kern w:val="2"/>
            <w:sz w:val="24"/>
            <w:szCs w:val="24"/>
            <w:lang w:val="es-ES" w:eastAsia="es-ES"/>
            <w14:ligatures w14:val="standardContextual"/>
          </w:rPr>
          <w:tab/>
        </w:r>
        <w:r w:rsidRPr="000853D4">
          <w:rPr>
            <w:rStyle w:val="Hyperlink"/>
            <w:noProof/>
          </w:rPr>
          <w:t>Z 03.02. Requisitos de fondos propios — Empresas de servicios de inversión (LIAB 3)</w:t>
        </w:r>
        <w:r>
          <w:rPr>
            <w:noProof/>
            <w:webHidden/>
          </w:rPr>
          <w:tab/>
        </w:r>
        <w:r>
          <w:rPr>
            <w:noProof/>
            <w:webHidden/>
          </w:rPr>
          <w:fldChar w:fldCharType="begin"/>
        </w:r>
        <w:r>
          <w:rPr>
            <w:noProof/>
            <w:webHidden/>
          </w:rPr>
          <w:instrText xml:space="preserve"> PAGEREF _Toc211525916 \h </w:instrText>
        </w:r>
        <w:r>
          <w:rPr>
            <w:noProof/>
            <w:webHidden/>
          </w:rPr>
        </w:r>
        <w:r>
          <w:rPr>
            <w:noProof/>
            <w:webHidden/>
          </w:rPr>
          <w:fldChar w:fldCharType="separate"/>
        </w:r>
        <w:r>
          <w:rPr>
            <w:noProof/>
            <w:webHidden/>
          </w:rPr>
          <w:t>29</w:t>
        </w:r>
        <w:r>
          <w:rPr>
            <w:noProof/>
            <w:webHidden/>
          </w:rPr>
          <w:fldChar w:fldCharType="end"/>
        </w:r>
      </w:hyperlink>
    </w:p>
    <w:p w14:paraId="4A98E71B" w14:textId="13FB197E" w:rsidR="00201CDE" w:rsidRDefault="00201CDE">
      <w:pPr>
        <w:pStyle w:val="TOC2"/>
        <w:rPr>
          <w:noProof/>
          <w:kern w:val="2"/>
          <w:sz w:val="24"/>
          <w:szCs w:val="24"/>
          <w:lang w:val="es-ES" w:eastAsia="es-ES"/>
          <w14:ligatures w14:val="standardContextual"/>
        </w:rPr>
      </w:pPr>
      <w:hyperlink w:anchor="_Toc211525917" w:history="1">
        <w:r w:rsidRPr="000853D4">
          <w:rPr>
            <w:rStyle w:val="Hyperlink"/>
            <w:noProof/>
          </w:rPr>
          <w:t>II.6</w:t>
        </w:r>
        <w:r>
          <w:rPr>
            <w:noProof/>
            <w:kern w:val="2"/>
            <w:sz w:val="24"/>
            <w:szCs w:val="24"/>
            <w:lang w:val="es-ES" w:eastAsia="es-ES"/>
            <w14:ligatures w14:val="standardContextual"/>
          </w:rPr>
          <w:tab/>
        </w:r>
        <w:r w:rsidRPr="000853D4">
          <w:rPr>
            <w:rStyle w:val="Hyperlink"/>
            <w:noProof/>
            <w:lang w:val="es-ES"/>
          </w:rPr>
          <w:t>Z 04.00. Interconexiones financieras intragrupo (LIAB 4)</w:t>
        </w:r>
        <w:r>
          <w:rPr>
            <w:noProof/>
            <w:webHidden/>
          </w:rPr>
          <w:tab/>
        </w:r>
        <w:r>
          <w:rPr>
            <w:noProof/>
            <w:webHidden/>
          </w:rPr>
          <w:fldChar w:fldCharType="begin"/>
        </w:r>
        <w:r>
          <w:rPr>
            <w:noProof/>
            <w:webHidden/>
          </w:rPr>
          <w:instrText xml:space="preserve"> PAGEREF _Toc211525917 \h </w:instrText>
        </w:r>
        <w:r>
          <w:rPr>
            <w:noProof/>
            <w:webHidden/>
          </w:rPr>
        </w:r>
        <w:r>
          <w:rPr>
            <w:noProof/>
            <w:webHidden/>
          </w:rPr>
          <w:fldChar w:fldCharType="separate"/>
        </w:r>
        <w:r>
          <w:rPr>
            <w:noProof/>
            <w:webHidden/>
          </w:rPr>
          <w:t>30</w:t>
        </w:r>
        <w:r>
          <w:rPr>
            <w:noProof/>
            <w:webHidden/>
          </w:rPr>
          <w:fldChar w:fldCharType="end"/>
        </w:r>
      </w:hyperlink>
    </w:p>
    <w:p w14:paraId="66E6D0B8" w14:textId="5CC23C82" w:rsidR="00201CDE" w:rsidRDefault="00201CDE">
      <w:pPr>
        <w:pStyle w:val="TOC2"/>
        <w:rPr>
          <w:noProof/>
          <w:kern w:val="2"/>
          <w:sz w:val="24"/>
          <w:szCs w:val="24"/>
          <w:lang w:val="es-ES" w:eastAsia="es-ES"/>
          <w14:ligatures w14:val="standardContextual"/>
        </w:rPr>
      </w:pPr>
      <w:hyperlink w:anchor="_Toc211525918" w:history="1">
        <w:r w:rsidRPr="000853D4">
          <w:rPr>
            <w:rStyle w:val="Hyperlink"/>
            <w:noProof/>
          </w:rPr>
          <w:t>II.7</w:t>
        </w:r>
        <w:r>
          <w:rPr>
            <w:noProof/>
            <w:kern w:val="2"/>
            <w:sz w:val="24"/>
            <w:szCs w:val="24"/>
            <w:lang w:val="es-ES" w:eastAsia="es-ES"/>
            <w14:ligatures w14:val="standardContextual"/>
          </w:rPr>
          <w:tab/>
        </w:r>
        <w:r w:rsidRPr="000853D4">
          <w:rPr>
            <w:rStyle w:val="Hyperlink"/>
            <w:noProof/>
            <w:lang w:val="es-ES"/>
          </w:rPr>
          <w:t xml:space="preserve"> Contrapartes principales (LIAB 5-6)</w:t>
        </w:r>
        <w:r>
          <w:rPr>
            <w:noProof/>
            <w:webHidden/>
          </w:rPr>
          <w:tab/>
        </w:r>
        <w:r>
          <w:rPr>
            <w:noProof/>
            <w:webHidden/>
          </w:rPr>
          <w:fldChar w:fldCharType="begin"/>
        </w:r>
        <w:r>
          <w:rPr>
            <w:noProof/>
            <w:webHidden/>
          </w:rPr>
          <w:instrText xml:space="preserve"> PAGEREF _Toc211525918 \h </w:instrText>
        </w:r>
        <w:r>
          <w:rPr>
            <w:noProof/>
            <w:webHidden/>
          </w:rPr>
        </w:r>
        <w:r>
          <w:rPr>
            <w:noProof/>
            <w:webHidden/>
          </w:rPr>
          <w:fldChar w:fldCharType="separate"/>
        </w:r>
        <w:r>
          <w:rPr>
            <w:noProof/>
            <w:webHidden/>
          </w:rPr>
          <w:t>33</w:t>
        </w:r>
        <w:r>
          <w:rPr>
            <w:noProof/>
            <w:webHidden/>
          </w:rPr>
          <w:fldChar w:fldCharType="end"/>
        </w:r>
      </w:hyperlink>
    </w:p>
    <w:p w14:paraId="3FE221D9" w14:textId="44A8F346" w:rsidR="00201CDE" w:rsidRDefault="00201CDE">
      <w:pPr>
        <w:pStyle w:val="TOC2"/>
        <w:rPr>
          <w:noProof/>
          <w:kern w:val="2"/>
          <w:sz w:val="24"/>
          <w:szCs w:val="24"/>
          <w:lang w:val="es-ES" w:eastAsia="es-ES"/>
          <w14:ligatures w14:val="standardContextual"/>
        </w:rPr>
      </w:pPr>
      <w:hyperlink w:anchor="_Toc211525919" w:history="1">
        <w:r w:rsidRPr="000853D4">
          <w:rPr>
            <w:rStyle w:val="Hyperlink"/>
            <w:noProof/>
          </w:rPr>
          <w:t>II.8</w:t>
        </w:r>
        <w:r>
          <w:rPr>
            <w:noProof/>
            <w:kern w:val="2"/>
            <w:sz w:val="24"/>
            <w:szCs w:val="24"/>
            <w:lang w:val="es-ES" w:eastAsia="es-ES"/>
            <w14:ligatures w14:val="standardContextual"/>
          </w:rPr>
          <w:tab/>
        </w:r>
        <w:r w:rsidRPr="000853D4">
          <w:rPr>
            <w:rStyle w:val="Hyperlink"/>
            <w:noProof/>
            <w:lang w:val="es-ES"/>
          </w:rPr>
          <w:t>Z 05.01. Contrapartes principales del pasivo (LIAB 5)</w:t>
        </w:r>
        <w:r>
          <w:rPr>
            <w:noProof/>
            <w:webHidden/>
          </w:rPr>
          <w:tab/>
        </w:r>
        <w:r>
          <w:rPr>
            <w:noProof/>
            <w:webHidden/>
          </w:rPr>
          <w:fldChar w:fldCharType="begin"/>
        </w:r>
        <w:r>
          <w:rPr>
            <w:noProof/>
            <w:webHidden/>
          </w:rPr>
          <w:instrText xml:space="preserve"> PAGEREF _Toc211525919 \h </w:instrText>
        </w:r>
        <w:r>
          <w:rPr>
            <w:noProof/>
            <w:webHidden/>
          </w:rPr>
        </w:r>
        <w:r>
          <w:rPr>
            <w:noProof/>
            <w:webHidden/>
          </w:rPr>
          <w:fldChar w:fldCharType="separate"/>
        </w:r>
        <w:r>
          <w:rPr>
            <w:noProof/>
            <w:webHidden/>
          </w:rPr>
          <w:t>33</w:t>
        </w:r>
        <w:r>
          <w:rPr>
            <w:noProof/>
            <w:webHidden/>
          </w:rPr>
          <w:fldChar w:fldCharType="end"/>
        </w:r>
      </w:hyperlink>
    </w:p>
    <w:p w14:paraId="61395719" w14:textId="5B3606FA" w:rsidR="00201CDE" w:rsidRDefault="00201CDE">
      <w:pPr>
        <w:pStyle w:val="TOC2"/>
        <w:rPr>
          <w:noProof/>
          <w:kern w:val="2"/>
          <w:sz w:val="24"/>
          <w:szCs w:val="24"/>
          <w:lang w:val="es-ES" w:eastAsia="es-ES"/>
          <w14:ligatures w14:val="standardContextual"/>
        </w:rPr>
      </w:pPr>
      <w:hyperlink w:anchor="_Toc211525920" w:history="1">
        <w:r w:rsidRPr="000853D4">
          <w:rPr>
            <w:rStyle w:val="Hyperlink"/>
            <w:noProof/>
          </w:rPr>
          <w:t>II.9</w:t>
        </w:r>
        <w:r>
          <w:rPr>
            <w:noProof/>
            <w:kern w:val="2"/>
            <w:sz w:val="24"/>
            <w:szCs w:val="24"/>
            <w:lang w:val="es-ES" w:eastAsia="es-ES"/>
            <w14:ligatures w14:val="standardContextual"/>
          </w:rPr>
          <w:tab/>
        </w:r>
        <w:r w:rsidRPr="000853D4">
          <w:rPr>
            <w:rStyle w:val="Hyperlink"/>
            <w:noProof/>
            <w:lang w:val="es-ES"/>
          </w:rPr>
          <w:t>Z 05.02. Contrapartes principales fuera de balance (LIAB 6)</w:t>
        </w:r>
        <w:r>
          <w:rPr>
            <w:noProof/>
            <w:webHidden/>
          </w:rPr>
          <w:tab/>
        </w:r>
        <w:r>
          <w:rPr>
            <w:noProof/>
            <w:webHidden/>
          </w:rPr>
          <w:fldChar w:fldCharType="begin"/>
        </w:r>
        <w:r>
          <w:rPr>
            <w:noProof/>
            <w:webHidden/>
          </w:rPr>
          <w:instrText xml:space="preserve"> PAGEREF _Toc211525920 \h </w:instrText>
        </w:r>
        <w:r>
          <w:rPr>
            <w:noProof/>
            <w:webHidden/>
          </w:rPr>
        </w:r>
        <w:r>
          <w:rPr>
            <w:noProof/>
            <w:webHidden/>
          </w:rPr>
          <w:fldChar w:fldCharType="separate"/>
        </w:r>
        <w:r>
          <w:rPr>
            <w:noProof/>
            <w:webHidden/>
          </w:rPr>
          <w:t>35</w:t>
        </w:r>
        <w:r>
          <w:rPr>
            <w:noProof/>
            <w:webHidden/>
          </w:rPr>
          <w:fldChar w:fldCharType="end"/>
        </w:r>
      </w:hyperlink>
    </w:p>
    <w:p w14:paraId="6FCF4F0B" w14:textId="7145071C" w:rsidR="00201CDE" w:rsidRDefault="00201CDE">
      <w:pPr>
        <w:pStyle w:val="TOC2"/>
        <w:rPr>
          <w:noProof/>
          <w:kern w:val="2"/>
          <w:sz w:val="24"/>
          <w:szCs w:val="24"/>
          <w:lang w:val="es-ES" w:eastAsia="es-ES"/>
          <w14:ligatures w14:val="standardContextual"/>
        </w:rPr>
      </w:pPr>
      <w:hyperlink w:anchor="_Toc211525921" w:history="1">
        <w:r w:rsidRPr="000853D4">
          <w:rPr>
            <w:rStyle w:val="Hyperlink"/>
            <w:noProof/>
          </w:rPr>
          <w:t>II.10</w:t>
        </w:r>
        <w:r>
          <w:rPr>
            <w:noProof/>
            <w:kern w:val="2"/>
            <w:sz w:val="24"/>
            <w:szCs w:val="24"/>
            <w:lang w:val="es-ES" w:eastAsia="es-ES"/>
            <w14:ligatures w14:val="standardContextual"/>
          </w:rPr>
          <w:tab/>
        </w:r>
        <w:r w:rsidRPr="000853D4">
          <w:rPr>
            <w:rStyle w:val="Hyperlink"/>
            <w:noProof/>
            <w:lang w:val="es-ES"/>
          </w:rPr>
          <w:t>Z 06.00. Garantía de depósitos (LIAB 7)</w:t>
        </w:r>
        <w:r>
          <w:rPr>
            <w:noProof/>
            <w:webHidden/>
          </w:rPr>
          <w:tab/>
        </w:r>
        <w:r>
          <w:rPr>
            <w:noProof/>
            <w:webHidden/>
          </w:rPr>
          <w:fldChar w:fldCharType="begin"/>
        </w:r>
        <w:r>
          <w:rPr>
            <w:noProof/>
            <w:webHidden/>
          </w:rPr>
          <w:instrText xml:space="preserve"> PAGEREF _Toc211525921 \h </w:instrText>
        </w:r>
        <w:r>
          <w:rPr>
            <w:noProof/>
            <w:webHidden/>
          </w:rPr>
        </w:r>
        <w:r>
          <w:rPr>
            <w:noProof/>
            <w:webHidden/>
          </w:rPr>
          <w:fldChar w:fldCharType="separate"/>
        </w:r>
        <w:r>
          <w:rPr>
            <w:noProof/>
            <w:webHidden/>
          </w:rPr>
          <w:t>36</w:t>
        </w:r>
        <w:r>
          <w:rPr>
            <w:noProof/>
            <w:webHidden/>
          </w:rPr>
          <w:fldChar w:fldCharType="end"/>
        </w:r>
      </w:hyperlink>
    </w:p>
    <w:p w14:paraId="7F184796" w14:textId="1CDBD559" w:rsidR="00201CDE" w:rsidRDefault="00201CDE">
      <w:pPr>
        <w:pStyle w:val="TOC2"/>
        <w:rPr>
          <w:noProof/>
          <w:kern w:val="2"/>
          <w:sz w:val="24"/>
          <w:szCs w:val="24"/>
          <w:lang w:val="es-ES" w:eastAsia="es-ES"/>
          <w14:ligatures w14:val="standardContextual"/>
        </w:rPr>
      </w:pPr>
      <w:hyperlink w:anchor="_Toc211525922" w:history="1">
        <w:r w:rsidRPr="000853D4">
          <w:rPr>
            <w:rStyle w:val="Hyperlink"/>
            <w:noProof/>
          </w:rPr>
          <w:t>II.11</w:t>
        </w:r>
        <w:r>
          <w:rPr>
            <w:noProof/>
            <w:kern w:val="2"/>
            <w:sz w:val="24"/>
            <w:szCs w:val="24"/>
            <w:lang w:val="es-ES" w:eastAsia="es-ES"/>
            <w14:ligatures w14:val="standardContextual"/>
          </w:rPr>
          <w:tab/>
        </w:r>
        <w:r w:rsidRPr="000853D4">
          <w:rPr>
            <w:rStyle w:val="Hyperlink"/>
            <w:noProof/>
            <w:lang w:val="es-ES"/>
          </w:rPr>
          <w:t xml:space="preserve">Funciones </w:t>
        </w:r>
        <w:r w:rsidRPr="000853D4">
          <w:rPr>
            <w:rStyle w:val="Hyperlink"/>
            <w:noProof/>
          </w:rPr>
          <w:t>esenciales</w:t>
        </w:r>
        <w:r w:rsidRPr="000853D4">
          <w:rPr>
            <w:rStyle w:val="Hyperlink"/>
            <w:noProof/>
            <w:lang w:val="es-ES"/>
          </w:rPr>
          <w:t xml:space="preserve"> y ramas de actividad principales</w:t>
        </w:r>
        <w:r>
          <w:rPr>
            <w:noProof/>
            <w:webHidden/>
          </w:rPr>
          <w:tab/>
        </w:r>
        <w:r>
          <w:rPr>
            <w:noProof/>
            <w:webHidden/>
          </w:rPr>
          <w:fldChar w:fldCharType="begin"/>
        </w:r>
        <w:r>
          <w:rPr>
            <w:noProof/>
            <w:webHidden/>
          </w:rPr>
          <w:instrText xml:space="preserve"> PAGEREF _Toc211525922 \h </w:instrText>
        </w:r>
        <w:r>
          <w:rPr>
            <w:noProof/>
            <w:webHidden/>
          </w:rPr>
        </w:r>
        <w:r>
          <w:rPr>
            <w:noProof/>
            <w:webHidden/>
          </w:rPr>
          <w:fldChar w:fldCharType="separate"/>
        </w:r>
        <w:r>
          <w:rPr>
            <w:noProof/>
            <w:webHidden/>
          </w:rPr>
          <w:t>39</w:t>
        </w:r>
        <w:r>
          <w:rPr>
            <w:noProof/>
            <w:webHidden/>
          </w:rPr>
          <w:fldChar w:fldCharType="end"/>
        </w:r>
      </w:hyperlink>
    </w:p>
    <w:p w14:paraId="617F4997" w14:textId="328473BB" w:rsidR="00201CDE" w:rsidRDefault="00201CDE">
      <w:pPr>
        <w:pStyle w:val="TOC2"/>
        <w:rPr>
          <w:noProof/>
          <w:kern w:val="2"/>
          <w:sz w:val="24"/>
          <w:szCs w:val="24"/>
          <w:lang w:val="es-ES" w:eastAsia="es-ES"/>
          <w14:ligatures w14:val="standardContextual"/>
        </w:rPr>
      </w:pPr>
      <w:hyperlink w:anchor="_Toc211525923" w:history="1">
        <w:r w:rsidRPr="000853D4">
          <w:rPr>
            <w:rStyle w:val="Hyperlink"/>
            <w:noProof/>
          </w:rPr>
          <w:t>II.12</w:t>
        </w:r>
        <w:r>
          <w:rPr>
            <w:noProof/>
            <w:kern w:val="2"/>
            <w:sz w:val="24"/>
            <w:szCs w:val="24"/>
            <w:lang w:val="es-ES" w:eastAsia="es-ES"/>
            <w14:ligatures w14:val="standardContextual"/>
          </w:rPr>
          <w:tab/>
        </w:r>
        <w:r w:rsidRPr="000853D4">
          <w:rPr>
            <w:rStyle w:val="Hyperlink"/>
            <w:noProof/>
            <w:lang w:val="es-ES"/>
          </w:rPr>
          <w:t>Z 07.01. Evaluación del carácter esencial de las funciones económicas (FUNC 1)</w:t>
        </w:r>
        <w:r>
          <w:rPr>
            <w:noProof/>
            <w:webHidden/>
          </w:rPr>
          <w:tab/>
        </w:r>
        <w:r>
          <w:rPr>
            <w:noProof/>
            <w:webHidden/>
          </w:rPr>
          <w:fldChar w:fldCharType="begin"/>
        </w:r>
        <w:r>
          <w:rPr>
            <w:noProof/>
            <w:webHidden/>
          </w:rPr>
          <w:instrText xml:space="preserve"> PAGEREF _Toc211525923 \h </w:instrText>
        </w:r>
        <w:r>
          <w:rPr>
            <w:noProof/>
            <w:webHidden/>
          </w:rPr>
        </w:r>
        <w:r>
          <w:rPr>
            <w:noProof/>
            <w:webHidden/>
          </w:rPr>
          <w:fldChar w:fldCharType="separate"/>
        </w:r>
        <w:r>
          <w:rPr>
            <w:noProof/>
            <w:webHidden/>
          </w:rPr>
          <w:t>42</w:t>
        </w:r>
        <w:r>
          <w:rPr>
            <w:noProof/>
            <w:webHidden/>
          </w:rPr>
          <w:fldChar w:fldCharType="end"/>
        </w:r>
      </w:hyperlink>
    </w:p>
    <w:p w14:paraId="6B3708AF" w14:textId="47F4C345" w:rsidR="00201CDE" w:rsidRDefault="00201CDE">
      <w:pPr>
        <w:pStyle w:val="TOC2"/>
        <w:rPr>
          <w:noProof/>
          <w:kern w:val="2"/>
          <w:sz w:val="24"/>
          <w:szCs w:val="24"/>
          <w:lang w:val="es-ES" w:eastAsia="es-ES"/>
          <w14:ligatures w14:val="standardContextual"/>
        </w:rPr>
      </w:pPr>
      <w:hyperlink w:anchor="_Toc211525924" w:history="1">
        <w:r w:rsidRPr="000853D4">
          <w:rPr>
            <w:rStyle w:val="Hyperlink"/>
            <w:noProof/>
          </w:rPr>
          <w:t>II.13</w:t>
        </w:r>
        <w:r>
          <w:rPr>
            <w:noProof/>
            <w:kern w:val="2"/>
            <w:sz w:val="24"/>
            <w:szCs w:val="24"/>
            <w:lang w:val="es-ES" w:eastAsia="es-ES"/>
            <w14:ligatures w14:val="standardContextual"/>
          </w:rPr>
          <w:tab/>
        </w:r>
        <w:r w:rsidRPr="000853D4">
          <w:rPr>
            <w:rStyle w:val="Hyperlink"/>
            <w:noProof/>
          </w:rPr>
          <w:t>Z 07.01.1 FUNC 1 DEP</w:t>
        </w:r>
        <w:r>
          <w:rPr>
            <w:noProof/>
            <w:webHidden/>
          </w:rPr>
          <w:tab/>
        </w:r>
        <w:r>
          <w:rPr>
            <w:noProof/>
            <w:webHidden/>
          </w:rPr>
          <w:fldChar w:fldCharType="begin"/>
        </w:r>
        <w:r>
          <w:rPr>
            <w:noProof/>
            <w:webHidden/>
          </w:rPr>
          <w:instrText xml:space="preserve"> PAGEREF _Toc211525924 \h </w:instrText>
        </w:r>
        <w:r>
          <w:rPr>
            <w:noProof/>
            <w:webHidden/>
          </w:rPr>
        </w:r>
        <w:r>
          <w:rPr>
            <w:noProof/>
            <w:webHidden/>
          </w:rPr>
          <w:fldChar w:fldCharType="separate"/>
        </w:r>
        <w:r>
          <w:rPr>
            <w:noProof/>
            <w:webHidden/>
          </w:rPr>
          <w:t>45</w:t>
        </w:r>
        <w:r>
          <w:rPr>
            <w:noProof/>
            <w:webHidden/>
          </w:rPr>
          <w:fldChar w:fldCharType="end"/>
        </w:r>
      </w:hyperlink>
    </w:p>
    <w:p w14:paraId="395511D1" w14:textId="11D7D85D" w:rsidR="00201CDE" w:rsidRDefault="00201CDE">
      <w:pPr>
        <w:pStyle w:val="TOC2"/>
        <w:rPr>
          <w:noProof/>
          <w:kern w:val="2"/>
          <w:sz w:val="24"/>
          <w:szCs w:val="24"/>
          <w:lang w:val="es-ES" w:eastAsia="es-ES"/>
          <w14:ligatures w14:val="standardContextual"/>
        </w:rPr>
      </w:pPr>
      <w:hyperlink w:anchor="_Toc211525925" w:history="1">
        <w:r w:rsidRPr="000853D4">
          <w:rPr>
            <w:rStyle w:val="Hyperlink"/>
            <w:noProof/>
          </w:rPr>
          <w:t>II.14</w:t>
        </w:r>
        <w:r>
          <w:rPr>
            <w:noProof/>
            <w:kern w:val="2"/>
            <w:sz w:val="24"/>
            <w:szCs w:val="24"/>
            <w:lang w:val="es-ES" w:eastAsia="es-ES"/>
            <w14:ligatures w14:val="standardContextual"/>
          </w:rPr>
          <w:tab/>
        </w:r>
        <w:r w:rsidRPr="000853D4">
          <w:rPr>
            <w:rStyle w:val="Hyperlink"/>
            <w:noProof/>
          </w:rPr>
          <w:t>Z 07.01.2 FUNC 1 LEN</w:t>
        </w:r>
        <w:r>
          <w:rPr>
            <w:noProof/>
            <w:webHidden/>
          </w:rPr>
          <w:tab/>
        </w:r>
        <w:r>
          <w:rPr>
            <w:noProof/>
            <w:webHidden/>
          </w:rPr>
          <w:fldChar w:fldCharType="begin"/>
        </w:r>
        <w:r>
          <w:rPr>
            <w:noProof/>
            <w:webHidden/>
          </w:rPr>
          <w:instrText xml:space="preserve"> PAGEREF _Toc211525925 \h </w:instrText>
        </w:r>
        <w:r>
          <w:rPr>
            <w:noProof/>
            <w:webHidden/>
          </w:rPr>
        </w:r>
        <w:r>
          <w:rPr>
            <w:noProof/>
            <w:webHidden/>
          </w:rPr>
          <w:fldChar w:fldCharType="separate"/>
        </w:r>
        <w:r>
          <w:rPr>
            <w:noProof/>
            <w:webHidden/>
          </w:rPr>
          <w:t>51</w:t>
        </w:r>
        <w:r>
          <w:rPr>
            <w:noProof/>
            <w:webHidden/>
          </w:rPr>
          <w:fldChar w:fldCharType="end"/>
        </w:r>
      </w:hyperlink>
    </w:p>
    <w:p w14:paraId="0F995CAA" w14:textId="6F61EE6E" w:rsidR="00201CDE" w:rsidRDefault="00201CDE">
      <w:pPr>
        <w:pStyle w:val="TOC2"/>
        <w:rPr>
          <w:noProof/>
          <w:kern w:val="2"/>
          <w:sz w:val="24"/>
          <w:szCs w:val="24"/>
          <w:lang w:val="es-ES" w:eastAsia="es-ES"/>
          <w14:ligatures w14:val="standardContextual"/>
        </w:rPr>
      </w:pPr>
      <w:hyperlink w:anchor="_Toc211525926" w:history="1">
        <w:r w:rsidRPr="000853D4">
          <w:rPr>
            <w:rStyle w:val="Hyperlink"/>
            <w:noProof/>
          </w:rPr>
          <w:t>II.15</w:t>
        </w:r>
        <w:r>
          <w:rPr>
            <w:noProof/>
            <w:kern w:val="2"/>
            <w:sz w:val="24"/>
            <w:szCs w:val="24"/>
            <w:lang w:val="es-ES" w:eastAsia="es-ES"/>
            <w14:ligatures w14:val="standardContextual"/>
          </w:rPr>
          <w:tab/>
        </w:r>
        <w:r w:rsidRPr="000853D4">
          <w:rPr>
            <w:rStyle w:val="Hyperlink"/>
            <w:noProof/>
          </w:rPr>
          <w:t>Z 07.01.3 FUNC 1 PAY</w:t>
        </w:r>
        <w:r>
          <w:rPr>
            <w:noProof/>
            <w:webHidden/>
          </w:rPr>
          <w:tab/>
        </w:r>
        <w:r>
          <w:rPr>
            <w:noProof/>
            <w:webHidden/>
          </w:rPr>
          <w:fldChar w:fldCharType="begin"/>
        </w:r>
        <w:r>
          <w:rPr>
            <w:noProof/>
            <w:webHidden/>
          </w:rPr>
          <w:instrText xml:space="preserve"> PAGEREF _Toc211525926 \h </w:instrText>
        </w:r>
        <w:r>
          <w:rPr>
            <w:noProof/>
            <w:webHidden/>
          </w:rPr>
        </w:r>
        <w:r>
          <w:rPr>
            <w:noProof/>
            <w:webHidden/>
          </w:rPr>
          <w:fldChar w:fldCharType="separate"/>
        </w:r>
        <w:r>
          <w:rPr>
            <w:noProof/>
            <w:webHidden/>
          </w:rPr>
          <w:t>57</w:t>
        </w:r>
        <w:r>
          <w:rPr>
            <w:noProof/>
            <w:webHidden/>
          </w:rPr>
          <w:fldChar w:fldCharType="end"/>
        </w:r>
      </w:hyperlink>
    </w:p>
    <w:p w14:paraId="0984A227" w14:textId="237858DF" w:rsidR="00201CDE" w:rsidRDefault="00201CDE">
      <w:pPr>
        <w:pStyle w:val="TOC2"/>
        <w:rPr>
          <w:noProof/>
          <w:kern w:val="2"/>
          <w:sz w:val="24"/>
          <w:szCs w:val="24"/>
          <w:lang w:val="es-ES" w:eastAsia="es-ES"/>
          <w14:ligatures w14:val="standardContextual"/>
        </w:rPr>
      </w:pPr>
      <w:hyperlink w:anchor="_Toc211525927" w:history="1">
        <w:r w:rsidRPr="000853D4">
          <w:rPr>
            <w:rStyle w:val="Hyperlink"/>
            <w:noProof/>
            <w:lang w:val="es-ES"/>
          </w:rPr>
          <w:t>II.13.</w:t>
        </w:r>
        <w:r>
          <w:rPr>
            <w:noProof/>
            <w:kern w:val="2"/>
            <w:sz w:val="24"/>
            <w:szCs w:val="24"/>
            <w:lang w:val="es-ES" w:eastAsia="es-ES"/>
            <w14:ligatures w14:val="standardContextual"/>
          </w:rPr>
          <w:tab/>
        </w:r>
        <w:r w:rsidRPr="000853D4">
          <w:rPr>
            <w:rStyle w:val="Hyperlink"/>
            <w:noProof/>
            <w:lang w:val="es-ES"/>
          </w:rPr>
          <w:t>Z 07.01.4 FUNC 1 CM</w:t>
        </w:r>
        <w:r>
          <w:rPr>
            <w:noProof/>
            <w:webHidden/>
          </w:rPr>
          <w:tab/>
        </w:r>
        <w:r>
          <w:rPr>
            <w:noProof/>
            <w:webHidden/>
          </w:rPr>
          <w:fldChar w:fldCharType="begin"/>
        </w:r>
        <w:r>
          <w:rPr>
            <w:noProof/>
            <w:webHidden/>
          </w:rPr>
          <w:instrText xml:space="preserve"> PAGEREF _Toc211525927 \h </w:instrText>
        </w:r>
        <w:r>
          <w:rPr>
            <w:noProof/>
            <w:webHidden/>
          </w:rPr>
        </w:r>
        <w:r>
          <w:rPr>
            <w:noProof/>
            <w:webHidden/>
          </w:rPr>
          <w:fldChar w:fldCharType="separate"/>
        </w:r>
        <w:r>
          <w:rPr>
            <w:noProof/>
            <w:webHidden/>
          </w:rPr>
          <w:t>64</w:t>
        </w:r>
        <w:r>
          <w:rPr>
            <w:noProof/>
            <w:webHidden/>
          </w:rPr>
          <w:fldChar w:fldCharType="end"/>
        </w:r>
      </w:hyperlink>
    </w:p>
    <w:p w14:paraId="404D7514" w14:textId="31DCFC23" w:rsidR="00201CDE" w:rsidRDefault="00201CDE">
      <w:pPr>
        <w:pStyle w:val="TOC2"/>
        <w:rPr>
          <w:noProof/>
          <w:kern w:val="2"/>
          <w:sz w:val="24"/>
          <w:szCs w:val="24"/>
          <w:lang w:val="es-ES" w:eastAsia="es-ES"/>
          <w14:ligatures w14:val="standardContextual"/>
        </w:rPr>
      </w:pPr>
      <w:hyperlink w:anchor="_Toc211525928" w:history="1">
        <w:r w:rsidRPr="000853D4">
          <w:rPr>
            <w:rStyle w:val="Hyperlink"/>
            <w:noProof/>
            <w:lang w:val="es-ES"/>
          </w:rPr>
          <w:t>II.13.</w:t>
        </w:r>
        <w:r>
          <w:rPr>
            <w:noProof/>
            <w:kern w:val="2"/>
            <w:sz w:val="24"/>
            <w:szCs w:val="24"/>
            <w:lang w:val="es-ES" w:eastAsia="es-ES"/>
            <w14:ligatures w14:val="standardContextual"/>
          </w:rPr>
          <w:tab/>
        </w:r>
        <w:r w:rsidRPr="000853D4">
          <w:rPr>
            <w:rStyle w:val="Hyperlink"/>
            <w:noProof/>
            <w:lang w:val="es-ES"/>
          </w:rPr>
          <w:t>Z 07.01.5 FUNC 1 WF</w:t>
        </w:r>
        <w:r>
          <w:rPr>
            <w:noProof/>
            <w:webHidden/>
          </w:rPr>
          <w:tab/>
        </w:r>
        <w:r>
          <w:rPr>
            <w:noProof/>
            <w:webHidden/>
          </w:rPr>
          <w:fldChar w:fldCharType="begin"/>
        </w:r>
        <w:r>
          <w:rPr>
            <w:noProof/>
            <w:webHidden/>
          </w:rPr>
          <w:instrText xml:space="preserve"> PAGEREF _Toc211525928 \h </w:instrText>
        </w:r>
        <w:r>
          <w:rPr>
            <w:noProof/>
            <w:webHidden/>
          </w:rPr>
        </w:r>
        <w:r>
          <w:rPr>
            <w:noProof/>
            <w:webHidden/>
          </w:rPr>
          <w:fldChar w:fldCharType="separate"/>
        </w:r>
        <w:r>
          <w:rPr>
            <w:noProof/>
            <w:webHidden/>
          </w:rPr>
          <w:t>69</w:t>
        </w:r>
        <w:r>
          <w:rPr>
            <w:noProof/>
            <w:webHidden/>
          </w:rPr>
          <w:fldChar w:fldCharType="end"/>
        </w:r>
      </w:hyperlink>
    </w:p>
    <w:p w14:paraId="769161F8" w14:textId="52E35CB5" w:rsidR="00201CDE" w:rsidRDefault="00201CDE">
      <w:pPr>
        <w:pStyle w:val="TOC2"/>
        <w:rPr>
          <w:noProof/>
          <w:kern w:val="2"/>
          <w:sz w:val="24"/>
          <w:szCs w:val="24"/>
          <w:lang w:val="es-ES" w:eastAsia="es-ES"/>
          <w14:ligatures w14:val="standardContextual"/>
        </w:rPr>
      </w:pPr>
      <w:hyperlink w:anchor="_Toc211525929" w:history="1">
        <w:r w:rsidRPr="000853D4">
          <w:rPr>
            <w:rStyle w:val="Hyperlink"/>
            <w:noProof/>
            <w:lang w:val="es-ES"/>
          </w:rPr>
          <w:t>II.16</w:t>
        </w:r>
        <w:r>
          <w:rPr>
            <w:noProof/>
            <w:kern w:val="2"/>
            <w:sz w:val="24"/>
            <w:szCs w:val="24"/>
            <w:lang w:val="es-ES" w:eastAsia="es-ES"/>
            <w14:ligatures w14:val="standardContextual"/>
          </w:rPr>
          <w:tab/>
        </w:r>
        <w:r w:rsidRPr="000853D4">
          <w:rPr>
            <w:rStyle w:val="Hyperlink"/>
            <w:noProof/>
            <w:lang w:val="es-ES"/>
          </w:rPr>
          <w:t>Z 07.02.</w:t>
        </w:r>
        <w:r w:rsidR="00111FB5">
          <w:rPr>
            <w:rStyle w:val="Hyperlink"/>
            <w:noProof/>
            <w:lang w:val="es-ES"/>
          </w:rPr>
          <w:t xml:space="preserve"> </w:t>
        </w:r>
        <w:r w:rsidRPr="000853D4">
          <w:rPr>
            <w:rStyle w:val="Hyperlink"/>
            <w:noProof/>
            <w:lang w:val="es-ES"/>
          </w:rPr>
          <w:t>Correspondencias de las funciones económicas con los entes jurídicos (FUNC 2)</w:t>
        </w:r>
        <w:r>
          <w:rPr>
            <w:noProof/>
            <w:webHidden/>
          </w:rPr>
          <w:tab/>
        </w:r>
        <w:r>
          <w:rPr>
            <w:noProof/>
            <w:webHidden/>
          </w:rPr>
          <w:fldChar w:fldCharType="begin"/>
        </w:r>
        <w:r>
          <w:rPr>
            <w:noProof/>
            <w:webHidden/>
          </w:rPr>
          <w:instrText xml:space="preserve"> PAGEREF _Toc211525929 \h </w:instrText>
        </w:r>
        <w:r>
          <w:rPr>
            <w:noProof/>
            <w:webHidden/>
          </w:rPr>
        </w:r>
        <w:r>
          <w:rPr>
            <w:noProof/>
            <w:webHidden/>
          </w:rPr>
          <w:fldChar w:fldCharType="separate"/>
        </w:r>
        <w:r>
          <w:rPr>
            <w:noProof/>
            <w:webHidden/>
          </w:rPr>
          <w:t>75</w:t>
        </w:r>
        <w:r>
          <w:rPr>
            <w:noProof/>
            <w:webHidden/>
          </w:rPr>
          <w:fldChar w:fldCharType="end"/>
        </w:r>
      </w:hyperlink>
    </w:p>
    <w:p w14:paraId="426861E7" w14:textId="7AD01ECF" w:rsidR="00201CDE" w:rsidRDefault="00201CDE">
      <w:pPr>
        <w:pStyle w:val="TOC2"/>
        <w:rPr>
          <w:noProof/>
          <w:kern w:val="2"/>
          <w:sz w:val="24"/>
          <w:szCs w:val="24"/>
          <w:lang w:val="es-ES" w:eastAsia="es-ES"/>
          <w14:ligatures w14:val="standardContextual"/>
        </w:rPr>
      </w:pPr>
      <w:hyperlink w:anchor="_Toc211525930" w:history="1">
        <w:r w:rsidRPr="000853D4">
          <w:rPr>
            <w:rStyle w:val="Hyperlink"/>
            <w:noProof/>
            <w:lang w:val="es-ES"/>
          </w:rPr>
          <w:t>II.17</w:t>
        </w:r>
        <w:r>
          <w:rPr>
            <w:noProof/>
            <w:kern w:val="2"/>
            <w:sz w:val="24"/>
            <w:szCs w:val="24"/>
            <w:lang w:val="es-ES" w:eastAsia="es-ES"/>
            <w14:ligatures w14:val="standardContextual"/>
          </w:rPr>
          <w:tab/>
        </w:r>
        <w:r w:rsidRPr="000853D4">
          <w:rPr>
            <w:rStyle w:val="Hyperlink"/>
            <w:noProof/>
            <w:lang w:val="es-ES"/>
          </w:rPr>
          <w:t>Z 07.03.</w:t>
        </w:r>
        <w:r w:rsidR="00111FB5">
          <w:rPr>
            <w:rStyle w:val="Hyperlink"/>
            <w:noProof/>
            <w:lang w:val="es-ES"/>
          </w:rPr>
          <w:t xml:space="preserve"> </w:t>
        </w:r>
        <w:r w:rsidRPr="000853D4">
          <w:rPr>
            <w:rStyle w:val="Hyperlink"/>
            <w:noProof/>
            <w:lang w:val="es-ES"/>
          </w:rPr>
          <w:t>Correspondencias de las ramas de actividad principales por entes jurídicos (FUNC 3)</w:t>
        </w:r>
        <w:r>
          <w:rPr>
            <w:noProof/>
            <w:webHidden/>
          </w:rPr>
          <w:tab/>
        </w:r>
        <w:r>
          <w:rPr>
            <w:noProof/>
            <w:webHidden/>
          </w:rPr>
          <w:fldChar w:fldCharType="begin"/>
        </w:r>
        <w:r>
          <w:rPr>
            <w:noProof/>
            <w:webHidden/>
          </w:rPr>
          <w:instrText xml:space="preserve"> PAGEREF _Toc211525930 \h </w:instrText>
        </w:r>
        <w:r>
          <w:rPr>
            <w:noProof/>
            <w:webHidden/>
          </w:rPr>
        </w:r>
        <w:r>
          <w:rPr>
            <w:noProof/>
            <w:webHidden/>
          </w:rPr>
          <w:fldChar w:fldCharType="separate"/>
        </w:r>
        <w:r>
          <w:rPr>
            <w:noProof/>
            <w:webHidden/>
          </w:rPr>
          <w:t>76</w:t>
        </w:r>
        <w:r>
          <w:rPr>
            <w:noProof/>
            <w:webHidden/>
          </w:rPr>
          <w:fldChar w:fldCharType="end"/>
        </w:r>
      </w:hyperlink>
    </w:p>
    <w:p w14:paraId="3980A9AB" w14:textId="52AAF781" w:rsidR="00201CDE" w:rsidRDefault="00201CDE">
      <w:pPr>
        <w:pStyle w:val="TOC2"/>
        <w:rPr>
          <w:noProof/>
          <w:kern w:val="2"/>
          <w:sz w:val="24"/>
          <w:szCs w:val="24"/>
          <w:lang w:val="es-ES" w:eastAsia="es-ES"/>
          <w14:ligatures w14:val="standardContextual"/>
        </w:rPr>
      </w:pPr>
      <w:hyperlink w:anchor="_Toc211525931" w:history="1">
        <w:r w:rsidRPr="000853D4">
          <w:rPr>
            <w:rStyle w:val="Hyperlink"/>
            <w:noProof/>
            <w:lang w:val="es-ES"/>
          </w:rPr>
          <w:t>II.18</w:t>
        </w:r>
        <w:r>
          <w:rPr>
            <w:noProof/>
            <w:kern w:val="2"/>
            <w:sz w:val="24"/>
            <w:szCs w:val="24"/>
            <w:lang w:val="es-ES" w:eastAsia="es-ES"/>
            <w14:ligatures w14:val="standardContextual"/>
          </w:rPr>
          <w:tab/>
        </w:r>
        <w:r w:rsidRPr="000853D4">
          <w:rPr>
            <w:rStyle w:val="Hyperlink"/>
            <w:noProof/>
            <w:lang w:val="es-ES"/>
          </w:rPr>
          <w:t>Z 07.04.</w:t>
        </w:r>
        <w:r w:rsidR="00111FB5">
          <w:rPr>
            <w:rStyle w:val="Hyperlink"/>
            <w:noProof/>
            <w:lang w:val="es-ES"/>
          </w:rPr>
          <w:t xml:space="preserve"> </w:t>
        </w:r>
        <w:r w:rsidRPr="000853D4">
          <w:rPr>
            <w:rStyle w:val="Hyperlink"/>
            <w:noProof/>
            <w:lang w:val="es-ES"/>
          </w:rPr>
          <w:t>Correspondencias de las funciones económicas con las ramas de actividad principales (FUNC 4)</w:t>
        </w:r>
        <w:r>
          <w:rPr>
            <w:noProof/>
            <w:webHidden/>
          </w:rPr>
          <w:tab/>
        </w:r>
        <w:r>
          <w:rPr>
            <w:noProof/>
            <w:webHidden/>
          </w:rPr>
          <w:fldChar w:fldCharType="begin"/>
        </w:r>
        <w:r>
          <w:rPr>
            <w:noProof/>
            <w:webHidden/>
          </w:rPr>
          <w:instrText xml:space="preserve"> PAGEREF _Toc211525931 \h </w:instrText>
        </w:r>
        <w:r>
          <w:rPr>
            <w:noProof/>
            <w:webHidden/>
          </w:rPr>
        </w:r>
        <w:r>
          <w:rPr>
            <w:noProof/>
            <w:webHidden/>
          </w:rPr>
          <w:fldChar w:fldCharType="separate"/>
        </w:r>
        <w:r>
          <w:rPr>
            <w:noProof/>
            <w:webHidden/>
          </w:rPr>
          <w:t>77</w:t>
        </w:r>
        <w:r>
          <w:rPr>
            <w:noProof/>
            <w:webHidden/>
          </w:rPr>
          <w:fldChar w:fldCharType="end"/>
        </w:r>
      </w:hyperlink>
    </w:p>
    <w:p w14:paraId="17F9DB4B" w14:textId="2239FACE" w:rsidR="00201CDE" w:rsidRDefault="00201CDE">
      <w:pPr>
        <w:pStyle w:val="TOC2"/>
        <w:rPr>
          <w:noProof/>
          <w:kern w:val="2"/>
          <w:sz w:val="24"/>
          <w:szCs w:val="24"/>
          <w:lang w:val="es-ES" w:eastAsia="es-ES"/>
          <w14:ligatures w14:val="standardContextual"/>
        </w:rPr>
      </w:pPr>
      <w:hyperlink w:anchor="_Toc211525932" w:history="1">
        <w:r w:rsidRPr="000853D4">
          <w:rPr>
            <w:rStyle w:val="Hyperlink"/>
            <w:noProof/>
          </w:rPr>
          <w:t>II.19</w:t>
        </w:r>
        <w:r>
          <w:rPr>
            <w:noProof/>
            <w:kern w:val="2"/>
            <w:sz w:val="24"/>
            <w:szCs w:val="24"/>
            <w:lang w:val="es-ES" w:eastAsia="es-ES"/>
            <w14:ligatures w14:val="standardContextual"/>
          </w:rPr>
          <w:tab/>
        </w:r>
        <w:r w:rsidRPr="000853D4">
          <w:rPr>
            <w:rStyle w:val="Hyperlink"/>
            <w:noProof/>
          </w:rPr>
          <w:t>Servicios pertinentes</w:t>
        </w:r>
        <w:r>
          <w:rPr>
            <w:noProof/>
            <w:webHidden/>
          </w:rPr>
          <w:tab/>
        </w:r>
        <w:r>
          <w:rPr>
            <w:noProof/>
            <w:webHidden/>
          </w:rPr>
          <w:fldChar w:fldCharType="begin"/>
        </w:r>
        <w:r>
          <w:rPr>
            <w:noProof/>
            <w:webHidden/>
          </w:rPr>
          <w:instrText xml:space="preserve"> PAGEREF _Toc211525932 \h </w:instrText>
        </w:r>
        <w:r>
          <w:rPr>
            <w:noProof/>
            <w:webHidden/>
          </w:rPr>
        </w:r>
        <w:r>
          <w:rPr>
            <w:noProof/>
            <w:webHidden/>
          </w:rPr>
          <w:fldChar w:fldCharType="separate"/>
        </w:r>
        <w:r>
          <w:rPr>
            <w:noProof/>
            <w:webHidden/>
          </w:rPr>
          <w:t>77</w:t>
        </w:r>
        <w:r>
          <w:rPr>
            <w:noProof/>
            <w:webHidden/>
          </w:rPr>
          <w:fldChar w:fldCharType="end"/>
        </w:r>
      </w:hyperlink>
    </w:p>
    <w:p w14:paraId="675E7B60" w14:textId="56BF6B00" w:rsidR="00201CDE" w:rsidRDefault="00201CDE">
      <w:pPr>
        <w:pStyle w:val="TOC2"/>
        <w:rPr>
          <w:noProof/>
          <w:kern w:val="2"/>
          <w:sz w:val="24"/>
          <w:szCs w:val="24"/>
          <w:lang w:val="es-ES" w:eastAsia="es-ES"/>
          <w14:ligatures w14:val="standardContextual"/>
        </w:rPr>
      </w:pPr>
      <w:hyperlink w:anchor="_Toc211525933" w:history="1">
        <w:r w:rsidRPr="000853D4">
          <w:rPr>
            <w:rStyle w:val="Hyperlink"/>
            <w:rFonts w:eastAsia="Calibri"/>
            <w:noProof/>
            <w:lang w:val="es-ES"/>
          </w:rPr>
          <w:t>II.20</w:t>
        </w:r>
        <w:r>
          <w:rPr>
            <w:noProof/>
            <w:kern w:val="2"/>
            <w:sz w:val="24"/>
            <w:szCs w:val="24"/>
            <w:lang w:val="es-ES" w:eastAsia="es-ES"/>
            <w14:ligatures w14:val="standardContextual"/>
          </w:rPr>
          <w:tab/>
        </w:r>
        <w:r w:rsidRPr="000853D4">
          <w:rPr>
            <w:rStyle w:val="Hyperlink"/>
            <w:noProof/>
            <w:lang w:val="es-ES"/>
          </w:rPr>
          <w:t>Z 08.01.</w:t>
        </w:r>
        <w:r w:rsidR="00111FB5">
          <w:rPr>
            <w:rStyle w:val="Hyperlink"/>
            <w:noProof/>
            <w:lang w:val="es-ES"/>
          </w:rPr>
          <w:t xml:space="preserve"> </w:t>
        </w:r>
        <w:r w:rsidRPr="000853D4">
          <w:rPr>
            <w:rStyle w:val="Hyperlink"/>
            <w:noProof/>
            <w:lang w:val="es-ES"/>
          </w:rPr>
          <w:t>Servicios pertinentes (SERV 1)</w:t>
        </w:r>
        <w:r>
          <w:rPr>
            <w:noProof/>
            <w:webHidden/>
          </w:rPr>
          <w:tab/>
        </w:r>
        <w:r>
          <w:rPr>
            <w:noProof/>
            <w:webHidden/>
          </w:rPr>
          <w:fldChar w:fldCharType="begin"/>
        </w:r>
        <w:r>
          <w:rPr>
            <w:noProof/>
            <w:webHidden/>
          </w:rPr>
          <w:instrText xml:space="preserve"> PAGEREF _Toc211525933 \h </w:instrText>
        </w:r>
        <w:r>
          <w:rPr>
            <w:noProof/>
            <w:webHidden/>
          </w:rPr>
        </w:r>
        <w:r>
          <w:rPr>
            <w:noProof/>
            <w:webHidden/>
          </w:rPr>
          <w:fldChar w:fldCharType="separate"/>
        </w:r>
        <w:r>
          <w:rPr>
            <w:noProof/>
            <w:webHidden/>
          </w:rPr>
          <w:t>77</w:t>
        </w:r>
        <w:r>
          <w:rPr>
            <w:noProof/>
            <w:webHidden/>
          </w:rPr>
          <w:fldChar w:fldCharType="end"/>
        </w:r>
      </w:hyperlink>
    </w:p>
    <w:p w14:paraId="2EAFF562" w14:textId="459D2CC5" w:rsidR="00201CDE" w:rsidRDefault="00201CDE">
      <w:pPr>
        <w:pStyle w:val="TOC2"/>
        <w:rPr>
          <w:noProof/>
          <w:kern w:val="2"/>
          <w:sz w:val="24"/>
          <w:szCs w:val="24"/>
          <w:lang w:val="es-ES" w:eastAsia="es-ES"/>
          <w14:ligatures w14:val="standardContextual"/>
        </w:rPr>
      </w:pPr>
      <w:hyperlink w:anchor="_Toc211525934" w:history="1">
        <w:r w:rsidRPr="000853D4">
          <w:rPr>
            <w:rStyle w:val="Hyperlink"/>
            <w:noProof/>
          </w:rPr>
          <w:t>II.21</w:t>
        </w:r>
        <w:r>
          <w:rPr>
            <w:noProof/>
            <w:kern w:val="2"/>
            <w:sz w:val="24"/>
            <w:szCs w:val="24"/>
            <w:lang w:val="es-ES" w:eastAsia="es-ES"/>
            <w14:ligatures w14:val="standardContextual"/>
          </w:rPr>
          <w:tab/>
        </w:r>
        <w:r w:rsidRPr="000853D4">
          <w:rPr>
            <w:rStyle w:val="Hyperlink"/>
            <w:noProof/>
          </w:rPr>
          <w:t>Z 08.02</w:t>
        </w:r>
        <w:r w:rsidR="00702CCD">
          <w:rPr>
            <w:rStyle w:val="Hyperlink"/>
            <w:noProof/>
          </w:rPr>
          <w:t>.</w:t>
        </w:r>
        <w:r w:rsidRPr="000853D4">
          <w:rPr>
            <w:rStyle w:val="Hyperlink"/>
            <w:noProof/>
          </w:rPr>
          <w:t xml:space="preserve"> Servicios pertinentes: correspondencia con los activos operativos (SERV 2)</w:t>
        </w:r>
        <w:r>
          <w:rPr>
            <w:noProof/>
            <w:webHidden/>
          </w:rPr>
          <w:tab/>
        </w:r>
        <w:r>
          <w:rPr>
            <w:noProof/>
            <w:webHidden/>
          </w:rPr>
          <w:fldChar w:fldCharType="begin"/>
        </w:r>
        <w:r>
          <w:rPr>
            <w:noProof/>
            <w:webHidden/>
          </w:rPr>
          <w:instrText xml:space="preserve"> PAGEREF _Toc211525934 \h </w:instrText>
        </w:r>
        <w:r>
          <w:rPr>
            <w:noProof/>
            <w:webHidden/>
          </w:rPr>
        </w:r>
        <w:r>
          <w:rPr>
            <w:noProof/>
            <w:webHidden/>
          </w:rPr>
          <w:fldChar w:fldCharType="separate"/>
        </w:r>
        <w:r>
          <w:rPr>
            <w:noProof/>
            <w:webHidden/>
          </w:rPr>
          <w:t>84</w:t>
        </w:r>
        <w:r>
          <w:rPr>
            <w:noProof/>
            <w:webHidden/>
          </w:rPr>
          <w:fldChar w:fldCharType="end"/>
        </w:r>
      </w:hyperlink>
    </w:p>
    <w:p w14:paraId="2F656C78" w14:textId="1B98963E" w:rsidR="00201CDE" w:rsidRDefault="00201CDE">
      <w:pPr>
        <w:pStyle w:val="TOC2"/>
        <w:rPr>
          <w:noProof/>
          <w:kern w:val="2"/>
          <w:sz w:val="24"/>
          <w:szCs w:val="24"/>
          <w:lang w:val="es-ES" w:eastAsia="es-ES"/>
          <w14:ligatures w14:val="standardContextual"/>
        </w:rPr>
      </w:pPr>
      <w:hyperlink w:anchor="_Toc211525935" w:history="1">
        <w:r w:rsidRPr="000853D4">
          <w:rPr>
            <w:rStyle w:val="Hyperlink"/>
            <w:rFonts w:eastAsia="Calibri"/>
            <w:noProof/>
          </w:rPr>
          <w:t>II.22</w:t>
        </w:r>
        <w:r>
          <w:rPr>
            <w:noProof/>
            <w:kern w:val="2"/>
            <w:sz w:val="24"/>
            <w:szCs w:val="24"/>
            <w:lang w:val="es-ES" w:eastAsia="es-ES"/>
            <w14:ligatures w14:val="standardContextual"/>
          </w:rPr>
          <w:tab/>
        </w:r>
        <w:r w:rsidRPr="000853D4">
          <w:rPr>
            <w:rStyle w:val="Hyperlink"/>
            <w:noProof/>
          </w:rPr>
          <w:t>Z 08.03</w:t>
        </w:r>
        <w:r w:rsidR="00702CCD">
          <w:rPr>
            <w:rStyle w:val="Hyperlink"/>
            <w:noProof/>
          </w:rPr>
          <w:t>.</w:t>
        </w:r>
        <w:r w:rsidRPr="000853D4">
          <w:rPr>
            <w:rStyle w:val="Hyperlink"/>
            <w:noProof/>
          </w:rPr>
          <w:t xml:space="preserve"> Servicios pertinentes: correspondencia con las funciones (SERV 3)</w:t>
        </w:r>
        <w:r>
          <w:rPr>
            <w:noProof/>
            <w:webHidden/>
          </w:rPr>
          <w:tab/>
        </w:r>
        <w:r>
          <w:rPr>
            <w:noProof/>
            <w:webHidden/>
          </w:rPr>
          <w:fldChar w:fldCharType="begin"/>
        </w:r>
        <w:r>
          <w:rPr>
            <w:noProof/>
            <w:webHidden/>
          </w:rPr>
          <w:instrText xml:space="preserve"> PAGEREF _Toc211525935 \h </w:instrText>
        </w:r>
        <w:r>
          <w:rPr>
            <w:noProof/>
            <w:webHidden/>
          </w:rPr>
        </w:r>
        <w:r>
          <w:rPr>
            <w:noProof/>
            <w:webHidden/>
          </w:rPr>
          <w:fldChar w:fldCharType="separate"/>
        </w:r>
        <w:r>
          <w:rPr>
            <w:noProof/>
            <w:webHidden/>
          </w:rPr>
          <w:t>87</w:t>
        </w:r>
        <w:r>
          <w:rPr>
            <w:noProof/>
            <w:webHidden/>
          </w:rPr>
          <w:fldChar w:fldCharType="end"/>
        </w:r>
      </w:hyperlink>
    </w:p>
    <w:p w14:paraId="60FF1674" w14:textId="5C581A07" w:rsidR="00201CDE" w:rsidRDefault="00201CDE">
      <w:pPr>
        <w:pStyle w:val="TOC2"/>
        <w:rPr>
          <w:noProof/>
          <w:kern w:val="2"/>
          <w:sz w:val="24"/>
          <w:szCs w:val="24"/>
          <w:lang w:val="es-ES" w:eastAsia="es-ES"/>
          <w14:ligatures w14:val="standardContextual"/>
        </w:rPr>
      </w:pPr>
      <w:hyperlink w:anchor="_Toc211525936" w:history="1">
        <w:r w:rsidRPr="000853D4">
          <w:rPr>
            <w:rStyle w:val="Hyperlink"/>
            <w:rFonts w:eastAsia="Calibri"/>
            <w:noProof/>
          </w:rPr>
          <w:t>II.23</w:t>
        </w:r>
        <w:r>
          <w:rPr>
            <w:noProof/>
            <w:kern w:val="2"/>
            <w:sz w:val="24"/>
            <w:szCs w:val="24"/>
            <w:lang w:val="es-ES" w:eastAsia="es-ES"/>
            <w14:ligatures w14:val="standardContextual"/>
          </w:rPr>
          <w:tab/>
        </w:r>
        <w:r w:rsidRPr="000853D4">
          <w:rPr>
            <w:rStyle w:val="Hyperlink"/>
            <w:noProof/>
          </w:rPr>
          <w:t>Z 08.04. Servicios esenciales: correspondencia con las funciones esenciales (SERV 4)</w:t>
        </w:r>
        <w:r>
          <w:rPr>
            <w:noProof/>
            <w:webHidden/>
          </w:rPr>
          <w:tab/>
        </w:r>
        <w:r>
          <w:rPr>
            <w:noProof/>
            <w:webHidden/>
          </w:rPr>
          <w:fldChar w:fldCharType="begin"/>
        </w:r>
        <w:r>
          <w:rPr>
            <w:noProof/>
            <w:webHidden/>
          </w:rPr>
          <w:instrText xml:space="preserve"> PAGEREF _Toc211525936 \h </w:instrText>
        </w:r>
        <w:r>
          <w:rPr>
            <w:noProof/>
            <w:webHidden/>
          </w:rPr>
        </w:r>
        <w:r>
          <w:rPr>
            <w:noProof/>
            <w:webHidden/>
          </w:rPr>
          <w:fldChar w:fldCharType="separate"/>
        </w:r>
        <w:r>
          <w:rPr>
            <w:noProof/>
            <w:webHidden/>
          </w:rPr>
          <w:t>88</w:t>
        </w:r>
        <w:r>
          <w:rPr>
            <w:noProof/>
            <w:webHidden/>
          </w:rPr>
          <w:fldChar w:fldCharType="end"/>
        </w:r>
      </w:hyperlink>
    </w:p>
    <w:p w14:paraId="350D3855" w14:textId="749017E8" w:rsidR="00201CDE" w:rsidRDefault="00201CDE">
      <w:pPr>
        <w:pStyle w:val="TOC2"/>
        <w:rPr>
          <w:noProof/>
          <w:kern w:val="2"/>
          <w:sz w:val="24"/>
          <w:szCs w:val="24"/>
          <w:lang w:val="es-ES" w:eastAsia="es-ES"/>
          <w14:ligatures w14:val="standardContextual"/>
        </w:rPr>
      </w:pPr>
      <w:hyperlink w:anchor="_Toc211525937" w:history="1">
        <w:r w:rsidRPr="000853D4">
          <w:rPr>
            <w:rStyle w:val="Hyperlink"/>
            <w:noProof/>
          </w:rPr>
          <w:t>Instrucciones generales</w:t>
        </w:r>
        <w:r>
          <w:rPr>
            <w:noProof/>
            <w:webHidden/>
          </w:rPr>
          <w:tab/>
        </w:r>
        <w:r>
          <w:rPr>
            <w:noProof/>
            <w:webHidden/>
          </w:rPr>
          <w:fldChar w:fldCharType="begin"/>
        </w:r>
        <w:r>
          <w:rPr>
            <w:noProof/>
            <w:webHidden/>
          </w:rPr>
          <w:instrText xml:space="preserve"> PAGEREF _Toc211525937 \h </w:instrText>
        </w:r>
        <w:r>
          <w:rPr>
            <w:noProof/>
            <w:webHidden/>
          </w:rPr>
        </w:r>
        <w:r>
          <w:rPr>
            <w:noProof/>
            <w:webHidden/>
          </w:rPr>
          <w:fldChar w:fldCharType="separate"/>
        </w:r>
        <w:r>
          <w:rPr>
            <w:noProof/>
            <w:webHidden/>
          </w:rPr>
          <w:t>88</w:t>
        </w:r>
        <w:r>
          <w:rPr>
            <w:noProof/>
            <w:webHidden/>
          </w:rPr>
          <w:fldChar w:fldCharType="end"/>
        </w:r>
      </w:hyperlink>
    </w:p>
    <w:p w14:paraId="5736E6B3" w14:textId="6C3A1371" w:rsidR="00201CDE" w:rsidRDefault="00201CDE">
      <w:pPr>
        <w:pStyle w:val="TOC2"/>
        <w:rPr>
          <w:noProof/>
          <w:kern w:val="2"/>
          <w:sz w:val="24"/>
          <w:szCs w:val="24"/>
          <w:lang w:val="es-ES" w:eastAsia="es-ES"/>
          <w14:ligatures w14:val="standardContextual"/>
        </w:rPr>
      </w:pPr>
      <w:hyperlink w:anchor="_Toc211525938" w:history="1">
        <w:r w:rsidRPr="000853D4">
          <w:rPr>
            <w:rStyle w:val="Hyperlink"/>
            <w:rFonts w:eastAsia="Calibri"/>
            <w:noProof/>
          </w:rPr>
          <w:t>II.24</w:t>
        </w:r>
        <w:r>
          <w:rPr>
            <w:noProof/>
            <w:kern w:val="2"/>
            <w:sz w:val="24"/>
            <w:szCs w:val="24"/>
            <w:lang w:val="es-ES" w:eastAsia="es-ES"/>
            <w14:ligatures w14:val="standardContextual"/>
          </w:rPr>
          <w:tab/>
        </w:r>
        <w:r w:rsidRPr="000853D4">
          <w:rPr>
            <w:rStyle w:val="Hyperlink"/>
            <w:noProof/>
          </w:rPr>
          <w:t>Z 08.05</w:t>
        </w:r>
        <w:r w:rsidR="00702CCD">
          <w:rPr>
            <w:rStyle w:val="Hyperlink"/>
            <w:noProof/>
          </w:rPr>
          <w:t>.</w:t>
        </w:r>
        <w:r w:rsidRPr="000853D4">
          <w:rPr>
            <w:rStyle w:val="Hyperlink"/>
            <w:noProof/>
          </w:rPr>
          <w:t xml:space="preserve"> Servicios principales: correspondencia con las ramas de actividad principales (SERV 5)</w:t>
        </w:r>
        <w:r>
          <w:rPr>
            <w:noProof/>
            <w:webHidden/>
          </w:rPr>
          <w:tab/>
        </w:r>
        <w:r>
          <w:rPr>
            <w:noProof/>
            <w:webHidden/>
          </w:rPr>
          <w:fldChar w:fldCharType="begin"/>
        </w:r>
        <w:r>
          <w:rPr>
            <w:noProof/>
            <w:webHidden/>
          </w:rPr>
          <w:instrText xml:space="preserve"> PAGEREF _Toc211525938 \h </w:instrText>
        </w:r>
        <w:r>
          <w:rPr>
            <w:noProof/>
            <w:webHidden/>
          </w:rPr>
        </w:r>
        <w:r>
          <w:rPr>
            <w:noProof/>
            <w:webHidden/>
          </w:rPr>
          <w:fldChar w:fldCharType="separate"/>
        </w:r>
        <w:r>
          <w:rPr>
            <w:noProof/>
            <w:webHidden/>
          </w:rPr>
          <w:t>89</w:t>
        </w:r>
        <w:r>
          <w:rPr>
            <w:noProof/>
            <w:webHidden/>
          </w:rPr>
          <w:fldChar w:fldCharType="end"/>
        </w:r>
      </w:hyperlink>
    </w:p>
    <w:p w14:paraId="703D485A" w14:textId="1816977D" w:rsidR="00201CDE" w:rsidRDefault="00201CDE">
      <w:pPr>
        <w:pStyle w:val="TOC2"/>
        <w:rPr>
          <w:noProof/>
          <w:kern w:val="2"/>
          <w:sz w:val="24"/>
          <w:szCs w:val="24"/>
          <w:lang w:val="es-ES" w:eastAsia="es-ES"/>
          <w14:ligatures w14:val="standardContextual"/>
        </w:rPr>
      </w:pPr>
      <w:hyperlink w:anchor="_Toc211525939" w:history="1">
        <w:r w:rsidRPr="000853D4">
          <w:rPr>
            <w:rStyle w:val="Hyperlink"/>
            <w:noProof/>
          </w:rPr>
          <w:t>II.25</w:t>
        </w:r>
        <w:r>
          <w:rPr>
            <w:noProof/>
            <w:kern w:val="2"/>
            <w:sz w:val="24"/>
            <w:szCs w:val="24"/>
            <w:lang w:val="es-ES" w:eastAsia="es-ES"/>
            <w14:ligatures w14:val="standardContextual"/>
          </w:rPr>
          <w:tab/>
        </w:r>
        <w:r w:rsidRPr="000853D4">
          <w:rPr>
            <w:rStyle w:val="Hyperlink"/>
            <w:noProof/>
          </w:rPr>
          <w:t>Servicios de IMF</w:t>
        </w:r>
        <w:r>
          <w:rPr>
            <w:noProof/>
            <w:webHidden/>
          </w:rPr>
          <w:tab/>
        </w:r>
        <w:r>
          <w:rPr>
            <w:noProof/>
            <w:webHidden/>
          </w:rPr>
          <w:fldChar w:fldCharType="begin"/>
        </w:r>
        <w:r>
          <w:rPr>
            <w:noProof/>
            <w:webHidden/>
          </w:rPr>
          <w:instrText xml:space="preserve"> PAGEREF _Toc211525939 \h </w:instrText>
        </w:r>
        <w:r>
          <w:rPr>
            <w:noProof/>
            <w:webHidden/>
          </w:rPr>
        </w:r>
        <w:r>
          <w:rPr>
            <w:noProof/>
            <w:webHidden/>
          </w:rPr>
          <w:fldChar w:fldCharType="separate"/>
        </w:r>
        <w:r>
          <w:rPr>
            <w:noProof/>
            <w:webHidden/>
          </w:rPr>
          <w:t>90</w:t>
        </w:r>
        <w:r>
          <w:rPr>
            <w:noProof/>
            <w:webHidden/>
          </w:rPr>
          <w:fldChar w:fldCharType="end"/>
        </w:r>
      </w:hyperlink>
    </w:p>
    <w:p w14:paraId="7A0D910A" w14:textId="288FFB3C" w:rsidR="00201CDE" w:rsidRDefault="00201CDE">
      <w:pPr>
        <w:pStyle w:val="TOC2"/>
        <w:rPr>
          <w:noProof/>
          <w:kern w:val="2"/>
          <w:sz w:val="24"/>
          <w:szCs w:val="24"/>
          <w:lang w:val="es-ES" w:eastAsia="es-ES"/>
          <w14:ligatures w14:val="standardContextual"/>
        </w:rPr>
      </w:pPr>
      <w:hyperlink w:anchor="_Toc211525940" w:history="1">
        <w:r w:rsidRPr="000853D4">
          <w:rPr>
            <w:rStyle w:val="Hyperlink"/>
            <w:noProof/>
          </w:rPr>
          <w:t>II.26</w:t>
        </w:r>
        <w:r>
          <w:rPr>
            <w:noProof/>
            <w:kern w:val="2"/>
            <w:sz w:val="24"/>
            <w:szCs w:val="24"/>
            <w:lang w:val="es-ES" w:eastAsia="es-ES"/>
            <w14:ligatures w14:val="standardContextual"/>
          </w:rPr>
          <w:tab/>
        </w:r>
        <w:r w:rsidRPr="000853D4">
          <w:rPr>
            <w:rStyle w:val="Hyperlink"/>
            <w:noProof/>
          </w:rPr>
          <w:t>Z 09.01</w:t>
        </w:r>
        <w:r w:rsidR="00702CCD">
          <w:rPr>
            <w:rStyle w:val="Hyperlink"/>
            <w:noProof/>
          </w:rPr>
          <w:t>.</w:t>
        </w:r>
        <w:r w:rsidRPr="000853D4">
          <w:rPr>
            <w:rStyle w:val="Hyperlink"/>
            <w:noProof/>
          </w:rPr>
          <w:t xml:space="preserve"> Servicios de IMF — Proveedores y Usuarios (FMI 1)</w:t>
        </w:r>
        <w:r>
          <w:rPr>
            <w:noProof/>
            <w:webHidden/>
          </w:rPr>
          <w:tab/>
        </w:r>
        <w:r>
          <w:rPr>
            <w:noProof/>
            <w:webHidden/>
          </w:rPr>
          <w:fldChar w:fldCharType="begin"/>
        </w:r>
        <w:r>
          <w:rPr>
            <w:noProof/>
            <w:webHidden/>
          </w:rPr>
          <w:instrText xml:space="preserve"> PAGEREF _Toc211525940 \h </w:instrText>
        </w:r>
        <w:r>
          <w:rPr>
            <w:noProof/>
            <w:webHidden/>
          </w:rPr>
        </w:r>
        <w:r>
          <w:rPr>
            <w:noProof/>
            <w:webHidden/>
          </w:rPr>
          <w:fldChar w:fldCharType="separate"/>
        </w:r>
        <w:r>
          <w:rPr>
            <w:noProof/>
            <w:webHidden/>
          </w:rPr>
          <w:t>91</w:t>
        </w:r>
        <w:r>
          <w:rPr>
            <w:noProof/>
            <w:webHidden/>
          </w:rPr>
          <w:fldChar w:fldCharType="end"/>
        </w:r>
      </w:hyperlink>
    </w:p>
    <w:p w14:paraId="75821FA5" w14:textId="35D17F57" w:rsidR="00201CDE" w:rsidRDefault="00201CDE">
      <w:pPr>
        <w:pStyle w:val="TOC2"/>
        <w:rPr>
          <w:noProof/>
          <w:kern w:val="2"/>
          <w:sz w:val="24"/>
          <w:szCs w:val="24"/>
          <w:lang w:val="es-ES" w:eastAsia="es-ES"/>
          <w14:ligatures w14:val="standardContextual"/>
        </w:rPr>
      </w:pPr>
      <w:hyperlink w:anchor="_Toc211525941" w:history="1">
        <w:r w:rsidRPr="000853D4">
          <w:rPr>
            <w:rStyle w:val="Hyperlink"/>
            <w:rFonts w:eastAsia="Calibri"/>
            <w:noProof/>
            <w:lang w:val="es-ES"/>
          </w:rPr>
          <w:t>II.27</w:t>
        </w:r>
        <w:r>
          <w:rPr>
            <w:noProof/>
            <w:kern w:val="2"/>
            <w:sz w:val="24"/>
            <w:szCs w:val="24"/>
            <w:lang w:val="es-ES" w:eastAsia="es-ES"/>
            <w14:ligatures w14:val="standardContextual"/>
          </w:rPr>
          <w:tab/>
        </w:r>
        <w:r w:rsidRPr="000853D4">
          <w:rPr>
            <w:rStyle w:val="Hyperlink"/>
            <w:noProof/>
          </w:rPr>
          <w:t>Z 09.02. Correspondencias con las IMF esenciales y principales  (FMI 2)</w:t>
        </w:r>
        <w:r>
          <w:rPr>
            <w:noProof/>
            <w:webHidden/>
          </w:rPr>
          <w:tab/>
        </w:r>
        <w:r>
          <w:rPr>
            <w:noProof/>
            <w:webHidden/>
          </w:rPr>
          <w:fldChar w:fldCharType="begin"/>
        </w:r>
        <w:r>
          <w:rPr>
            <w:noProof/>
            <w:webHidden/>
          </w:rPr>
          <w:instrText xml:space="preserve"> PAGEREF _Toc211525941 \h </w:instrText>
        </w:r>
        <w:r>
          <w:rPr>
            <w:noProof/>
            <w:webHidden/>
          </w:rPr>
        </w:r>
        <w:r>
          <w:rPr>
            <w:noProof/>
            <w:webHidden/>
          </w:rPr>
          <w:fldChar w:fldCharType="separate"/>
        </w:r>
        <w:r>
          <w:rPr>
            <w:noProof/>
            <w:webHidden/>
          </w:rPr>
          <w:t>94</w:t>
        </w:r>
        <w:r>
          <w:rPr>
            <w:noProof/>
            <w:webHidden/>
          </w:rPr>
          <w:fldChar w:fldCharType="end"/>
        </w:r>
      </w:hyperlink>
    </w:p>
    <w:p w14:paraId="1C04F641" w14:textId="7EB32023" w:rsidR="00201CDE" w:rsidRDefault="00201CDE">
      <w:pPr>
        <w:pStyle w:val="TOC2"/>
        <w:rPr>
          <w:noProof/>
          <w:kern w:val="2"/>
          <w:sz w:val="24"/>
          <w:szCs w:val="24"/>
          <w:lang w:val="es-ES" w:eastAsia="es-ES"/>
          <w14:ligatures w14:val="standardContextual"/>
        </w:rPr>
      </w:pPr>
      <w:hyperlink w:anchor="_Toc211525942" w:history="1">
        <w:r w:rsidRPr="000853D4">
          <w:rPr>
            <w:rStyle w:val="Hyperlink"/>
            <w:noProof/>
          </w:rPr>
          <w:t>II.28</w:t>
        </w:r>
        <w:r>
          <w:rPr>
            <w:noProof/>
            <w:kern w:val="2"/>
            <w:sz w:val="24"/>
            <w:szCs w:val="24"/>
            <w:lang w:val="es-ES" w:eastAsia="es-ES"/>
            <w14:ligatures w14:val="standardContextual"/>
          </w:rPr>
          <w:tab/>
        </w:r>
        <w:r w:rsidRPr="000853D4">
          <w:rPr>
            <w:rStyle w:val="Hyperlink"/>
            <w:noProof/>
            <w:lang w:val="es-ES"/>
          </w:rPr>
          <w:t>Z 09.03</w:t>
        </w:r>
        <w:r w:rsidR="00702CCD">
          <w:rPr>
            <w:rStyle w:val="Hyperlink"/>
            <w:noProof/>
            <w:lang w:val="es-ES"/>
          </w:rPr>
          <w:t>.</w:t>
        </w:r>
        <w:r w:rsidRPr="000853D4">
          <w:rPr>
            <w:rStyle w:val="Hyperlink"/>
            <w:noProof/>
            <w:lang w:val="es-ES"/>
          </w:rPr>
          <w:t xml:space="preserve"> Servicios de IMF — Métricas clave (FMI 3)</w:t>
        </w:r>
        <w:r>
          <w:rPr>
            <w:noProof/>
            <w:webHidden/>
          </w:rPr>
          <w:tab/>
        </w:r>
        <w:r>
          <w:rPr>
            <w:noProof/>
            <w:webHidden/>
          </w:rPr>
          <w:fldChar w:fldCharType="begin"/>
        </w:r>
        <w:r>
          <w:rPr>
            <w:noProof/>
            <w:webHidden/>
          </w:rPr>
          <w:instrText xml:space="preserve"> PAGEREF _Toc211525942 \h </w:instrText>
        </w:r>
        <w:r>
          <w:rPr>
            <w:noProof/>
            <w:webHidden/>
          </w:rPr>
        </w:r>
        <w:r>
          <w:rPr>
            <w:noProof/>
            <w:webHidden/>
          </w:rPr>
          <w:fldChar w:fldCharType="separate"/>
        </w:r>
        <w:r>
          <w:rPr>
            <w:noProof/>
            <w:webHidden/>
          </w:rPr>
          <w:t>96</w:t>
        </w:r>
        <w:r>
          <w:rPr>
            <w:noProof/>
            <w:webHidden/>
          </w:rPr>
          <w:fldChar w:fldCharType="end"/>
        </w:r>
      </w:hyperlink>
    </w:p>
    <w:p w14:paraId="0567D217" w14:textId="03DA8ECC" w:rsidR="00201CDE" w:rsidRDefault="00201CDE">
      <w:pPr>
        <w:pStyle w:val="TOC2"/>
        <w:rPr>
          <w:noProof/>
          <w:kern w:val="2"/>
          <w:sz w:val="24"/>
          <w:szCs w:val="24"/>
          <w:lang w:val="es-ES" w:eastAsia="es-ES"/>
          <w14:ligatures w14:val="standardContextual"/>
        </w:rPr>
      </w:pPr>
      <w:hyperlink w:anchor="_Toc211525943" w:history="1">
        <w:r w:rsidRPr="000853D4">
          <w:rPr>
            <w:rStyle w:val="Hyperlink"/>
            <w:noProof/>
          </w:rPr>
          <w:t>II.29</w:t>
        </w:r>
        <w:r>
          <w:rPr>
            <w:noProof/>
            <w:kern w:val="2"/>
            <w:sz w:val="24"/>
            <w:szCs w:val="24"/>
            <w:lang w:val="es-ES" w:eastAsia="es-ES"/>
            <w14:ligatures w14:val="standardContextual"/>
          </w:rPr>
          <w:tab/>
        </w:r>
        <w:r w:rsidRPr="000853D4">
          <w:rPr>
            <w:rStyle w:val="Hyperlink"/>
            <w:noProof/>
          </w:rPr>
          <w:t>Z 09.04</w:t>
        </w:r>
        <w:r w:rsidR="00702CCD">
          <w:rPr>
            <w:rStyle w:val="Hyperlink"/>
            <w:noProof/>
          </w:rPr>
          <w:t>.</w:t>
        </w:r>
        <w:r w:rsidRPr="000853D4">
          <w:rPr>
            <w:rStyle w:val="Hyperlink"/>
            <w:noProof/>
          </w:rPr>
          <w:t xml:space="preserve"> Servicios de IMF — ECC — Proveedores alternativos (IMF 4)</w:t>
        </w:r>
        <w:r>
          <w:rPr>
            <w:noProof/>
            <w:webHidden/>
          </w:rPr>
          <w:tab/>
        </w:r>
        <w:r>
          <w:rPr>
            <w:noProof/>
            <w:webHidden/>
          </w:rPr>
          <w:fldChar w:fldCharType="begin"/>
        </w:r>
        <w:r>
          <w:rPr>
            <w:noProof/>
            <w:webHidden/>
          </w:rPr>
          <w:instrText xml:space="preserve"> PAGEREF _Toc211525943 \h </w:instrText>
        </w:r>
        <w:r>
          <w:rPr>
            <w:noProof/>
            <w:webHidden/>
          </w:rPr>
        </w:r>
        <w:r>
          <w:rPr>
            <w:noProof/>
            <w:webHidden/>
          </w:rPr>
          <w:fldChar w:fldCharType="separate"/>
        </w:r>
        <w:r>
          <w:rPr>
            <w:noProof/>
            <w:webHidden/>
          </w:rPr>
          <w:t>98</w:t>
        </w:r>
        <w:r>
          <w:rPr>
            <w:noProof/>
            <w:webHidden/>
          </w:rPr>
          <w:fldChar w:fldCharType="end"/>
        </w:r>
      </w:hyperlink>
    </w:p>
    <w:p w14:paraId="7AF371DA" w14:textId="43B66698" w:rsidR="00201CDE" w:rsidRDefault="00201CDE">
      <w:pPr>
        <w:pStyle w:val="TOC2"/>
        <w:rPr>
          <w:noProof/>
          <w:kern w:val="2"/>
          <w:sz w:val="24"/>
          <w:szCs w:val="24"/>
          <w:lang w:val="es-ES" w:eastAsia="es-ES"/>
          <w14:ligatures w14:val="standardContextual"/>
        </w:rPr>
      </w:pPr>
      <w:hyperlink w:anchor="_Toc211525944" w:history="1">
        <w:r w:rsidRPr="000853D4">
          <w:rPr>
            <w:rStyle w:val="Hyperlink"/>
            <w:noProof/>
            <w:lang w:val="es-ES"/>
          </w:rPr>
          <w:t>II.30</w:t>
        </w:r>
        <w:r>
          <w:rPr>
            <w:noProof/>
            <w:kern w:val="2"/>
            <w:sz w:val="24"/>
            <w:szCs w:val="24"/>
            <w:lang w:val="es-ES" w:eastAsia="es-ES"/>
            <w14:ligatures w14:val="standardContextual"/>
          </w:rPr>
          <w:tab/>
        </w:r>
        <w:r w:rsidRPr="000853D4">
          <w:rPr>
            <w:rStyle w:val="Hyperlink"/>
            <w:noProof/>
            <w:lang w:val="es-ES"/>
          </w:rPr>
          <w:t>Análisis d</w:t>
        </w:r>
        <w:r w:rsidRPr="000853D4">
          <w:rPr>
            <w:rStyle w:val="Hyperlink"/>
            <w:noProof/>
          </w:rPr>
          <w:t xml:space="preserve">e </w:t>
        </w:r>
        <w:r w:rsidRPr="000853D4">
          <w:rPr>
            <w:rStyle w:val="Hyperlink"/>
            <w:noProof/>
            <w:lang w:val="es-ES"/>
          </w:rPr>
          <w:t>pasivos</w:t>
        </w:r>
        <w:r>
          <w:rPr>
            <w:noProof/>
            <w:webHidden/>
          </w:rPr>
          <w:tab/>
        </w:r>
        <w:r>
          <w:rPr>
            <w:noProof/>
            <w:webHidden/>
          </w:rPr>
          <w:fldChar w:fldCharType="begin"/>
        </w:r>
        <w:r>
          <w:rPr>
            <w:noProof/>
            <w:webHidden/>
          </w:rPr>
          <w:instrText xml:space="preserve"> PAGEREF _Toc211525944 \h </w:instrText>
        </w:r>
        <w:r>
          <w:rPr>
            <w:noProof/>
            <w:webHidden/>
          </w:rPr>
        </w:r>
        <w:r>
          <w:rPr>
            <w:noProof/>
            <w:webHidden/>
          </w:rPr>
          <w:fldChar w:fldCharType="separate"/>
        </w:r>
        <w:r>
          <w:rPr>
            <w:noProof/>
            <w:webHidden/>
          </w:rPr>
          <w:t>99</w:t>
        </w:r>
        <w:r>
          <w:rPr>
            <w:noProof/>
            <w:webHidden/>
          </w:rPr>
          <w:fldChar w:fldCharType="end"/>
        </w:r>
      </w:hyperlink>
    </w:p>
    <w:p w14:paraId="6863AC8F" w14:textId="05F51925" w:rsidR="00201CDE" w:rsidRDefault="00201CDE">
      <w:pPr>
        <w:pStyle w:val="TOC2"/>
        <w:rPr>
          <w:noProof/>
          <w:kern w:val="2"/>
          <w:sz w:val="24"/>
          <w:szCs w:val="24"/>
          <w:lang w:val="es-ES" w:eastAsia="es-ES"/>
          <w14:ligatures w14:val="standardContextual"/>
        </w:rPr>
      </w:pPr>
      <w:hyperlink w:anchor="_Toc211525945" w:history="1">
        <w:r w:rsidRPr="000853D4">
          <w:rPr>
            <w:rStyle w:val="Hyperlink"/>
            <w:rFonts w:ascii="Times New Roman" w:hAnsi="Times New Roman" w:cs="Times New Roman"/>
            <w:noProof/>
          </w:rPr>
          <w:t>II.31</w:t>
        </w:r>
        <w:r>
          <w:rPr>
            <w:noProof/>
            <w:kern w:val="2"/>
            <w:sz w:val="24"/>
            <w:szCs w:val="24"/>
            <w:lang w:val="es-ES" w:eastAsia="es-ES"/>
            <w14:ligatures w14:val="standardContextual"/>
          </w:rPr>
          <w:tab/>
        </w:r>
        <w:r w:rsidRPr="000853D4">
          <w:rPr>
            <w:rStyle w:val="Hyperlink"/>
            <w:rFonts w:ascii="Times New Roman" w:hAnsi="Times New Roman" w:cs="Times New Roman"/>
            <w:noProof/>
          </w:rPr>
          <w:t>Z 11.00</w:t>
        </w:r>
        <w:r w:rsidR="00702CCD">
          <w:rPr>
            <w:rStyle w:val="Hyperlink"/>
            <w:rFonts w:ascii="Times New Roman" w:hAnsi="Times New Roman" w:cs="Times New Roman"/>
            <w:noProof/>
          </w:rPr>
          <w:t>.</w:t>
        </w:r>
        <w:r w:rsidRPr="000853D4">
          <w:rPr>
            <w:rStyle w:val="Hyperlink"/>
            <w:rFonts w:ascii="Times New Roman" w:hAnsi="Times New Roman" w:cs="Times New Roman"/>
            <w:noProof/>
          </w:rPr>
          <w:t xml:space="preserve"> Pasivos intragrupo</w:t>
        </w:r>
        <w:r w:rsidRPr="000853D4">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_Toc211525945 \h </w:instrText>
        </w:r>
        <w:r>
          <w:rPr>
            <w:noProof/>
            <w:webHidden/>
          </w:rPr>
        </w:r>
        <w:r>
          <w:rPr>
            <w:noProof/>
            <w:webHidden/>
          </w:rPr>
          <w:fldChar w:fldCharType="separate"/>
        </w:r>
        <w:r>
          <w:rPr>
            <w:noProof/>
            <w:webHidden/>
          </w:rPr>
          <w:t>99</w:t>
        </w:r>
        <w:r>
          <w:rPr>
            <w:noProof/>
            <w:webHidden/>
          </w:rPr>
          <w:fldChar w:fldCharType="end"/>
        </w:r>
      </w:hyperlink>
    </w:p>
    <w:p w14:paraId="52DFC73C" w14:textId="2A063ADD" w:rsidR="00201CDE" w:rsidRDefault="00201CDE">
      <w:pPr>
        <w:pStyle w:val="TOC2"/>
        <w:rPr>
          <w:noProof/>
          <w:kern w:val="2"/>
          <w:sz w:val="24"/>
          <w:szCs w:val="24"/>
          <w:lang w:val="es-ES" w:eastAsia="es-ES"/>
          <w14:ligatures w14:val="standardContextual"/>
        </w:rPr>
      </w:pPr>
      <w:hyperlink w:anchor="_Toc211525946" w:history="1">
        <w:r w:rsidRPr="000853D4">
          <w:rPr>
            <w:rStyle w:val="Hyperlink"/>
            <w:rFonts w:ascii="Times New Roman" w:hAnsi="Times New Roman" w:cs="Times New Roman"/>
            <w:noProof/>
            <w:lang w:val="es-ES"/>
          </w:rPr>
          <w:t>II.32</w:t>
        </w:r>
        <w:r>
          <w:rPr>
            <w:noProof/>
            <w:kern w:val="2"/>
            <w:sz w:val="24"/>
            <w:szCs w:val="24"/>
            <w:lang w:val="es-ES" w:eastAsia="es-ES"/>
            <w14:ligatures w14:val="standardContextual"/>
          </w:rPr>
          <w:tab/>
        </w:r>
        <w:r w:rsidRPr="000853D4">
          <w:rPr>
            <w:rStyle w:val="Hyperlink"/>
            <w:rFonts w:ascii="Times New Roman" w:hAnsi="Times New Roman" w:cs="Times New Roman"/>
            <w:noProof/>
            <w:lang w:val="es-ES"/>
          </w:rPr>
          <w:t>Z 12.00</w:t>
        </w:r>
        <w:r w:rsidR="00702CCD">
          <w:rPr>
            <w:rStyle w:val="Hyperlink"/>
            <w:rFonts w:ascii="Times New Roman" w:hAnsi="Times New Roman" w:cs="Times New Roman"/>
            <w:noProof/>
            <w:lang w:val="es-ES"/>
          </w:rPr>
          <w:t>.</w:t>
        </w:r>
        <w:r w:rsidRPr="000853D4">
          <w:rPr>
            <w:rStyle w:val="Hyperlink"/>
            <w:rFonts w:ascii="Times New Roman" w:hAnsi="Times New Roman" w:cs="Times New Roman"/>
            <w:noProof/>
            <w:lang w:val="es-ES"/>
          </w:rPr>
          <w:t xml:space="preserve"> </w:t>
        </w:r>
        <w:r w:rsidRPr="000853D4">
          <w:rPr>
            <w:rStyle w:val="Hyperlink"/>
            <w:noProof/>
          </w:rPr>
          <w:t xml:space="preserve">Valores (incluidos el capital de nivel 1 ordinario (CET1), el capital de nivel 1 adicional (AT1) y los instrumentos de nivel 2 (T2), excepto  intragrupo) </w:t>
        </w:r>
        <w:r w:rsidRPr="000853D4">
          <w:rPr>
            <w:rStyle w:val="Hyperlink"/>
            <w:rFonts w:ascii="Times New Roman" w:eastAsia="Calibri" w:hAnsi="Times New Roman" w:cs="Times New Roman"/>
            <w:noProof/>
            <w:lang w:val="es-ES"/>
          </w:rPr>
          <w:t>(LIAB-G-2)</w:t>
        </w:r>
        <w:r>
          <w:rPr>
            <w:noProof/>
            <w:webHidden/>
          </w:rPr>
          <w:tab/>
        </w:r>
        <w:r>
          <w:rPr>
            <w:noProof/>
            <w:webHidden/>
          </w:rPr>
          <w:fldChar w:fldCharType="begin"/>
        </w:r>
        <w:r>
          <w:rPr>
            <w:noProof/>
            <w:webHidden/>
          </w:rPr>
          <w:instrText xml:space="preserve"> PAGEREF _Toc211525946 \h </w:instrText>
        </w:r>
        <w:r>
          <w:rPr>
            <w:noProof/>
            <w:webHidden/>
          </w:rPr>
        </w:r>
        <w:r>
          <w:rPr>
            <w:noProof/>
            <w:webHidden/>
          </w:rPr>
          <w:fldChar w:fldCharType="separate"/>
        </w:r>
        <w:r>
          <w:rPr>
            <w:noProof/>
            <w:webHidden/>
          </w:rPr>
          <w:t>102</w:t>
        </w:r>
        <w:r>
          <w:rPr>
            <w:noProof/>
            <w:webHidden/>
          </w:rPr>
          <w:fldChar w:fldCharType="end"/>
        </w:r>
      </w:hyperlink>
    </w:p>
    <w:p w14:paraId="6DEB281A" w14:textId="0C15A8DA" w:rsidR="00201CDE" w:rsidRDefault="00201CDE">
      <w:pPr>
        <w:pStyle w:val="TOC2"/>
        <w:rPr>
          <w:noProof/>
          <w:kern w:val="2"/>
          <w:sz w:val="24"/>
          <w:szCs w:val="24"/>
          <w:lang w:val="es-ES" w:eastAsia="es-ES"/>
          <w14:ligatures w14:val="standardContextual"/>
        </w:rPr>
      </w:pPr>
      <w:hyperlink w:anchor="_Toc211525947" w:history="1">
        <w:r w:rsidRPr="000853D4">
          <w:rPr>
            <w:rStyle w:val="Hyperlink"/>
            <w:rFonts w:ascii="Times New Roman" w:hAnsi="Times New Roman" w:cs="Times New Roman"/>
            <w:noProof/>
          </w:rPr>
          <w:t>II.33</w:t>
        </w:r>
        <w:r>
          <w:rPr>
            <w:noProof/>
            <w:kern w:val="2"/>
            <w:sz w:val="24"/>
            <w:szCs w:val="24"/>
            <w:lang w:val="es-ES" w:eastAsia="es-ES"/>
            <w14:ligatures w14:val="standardContextual"/>
          </w:rPr>
          <w:tab/>
        </w:r>
        <w:r w:rsidRPr="000853D4">
          <w:rPr>
            <w:rStyle w:val="Hyperlink"/>
            <w:rFonts w:ascii="Times New Roman" w:hAnsi="Times New Roman" w:cs="Times New Roman"/>
            <w:noProof/>
          </w:rPr>
          <w:t>Z 13.00</w:t>
        </w:r>
        <w:r w:rsidR="00702CCD">
          <w:rPr>
            <w:rStyle w:val="Hyperlink"/>
            <w:rFonts w:ascii="Times New Roman" w:hAnsi="Times New Roman" w:cs="Times New Roman"/>
            <w:noProof/>
          </w:rPr>
          <w:t>.</w:t>
        </w:r>
        <w:r w:rsidRPr="000853D4">
          <w:rPr>
            <w:rStyle w:val="Hyperlink"/>
            <w:rFonts w:ascii="Times New Roman" w:hAnsi="Times New Roman" w:cs="Times New Roman"/>
            <w:noProof/>
          </w:rPr>
          <w:t xml:space="preserve"> Todos los depósitos (excepto intragrupo) </w:t>
        </w:r>
        <w:r w:rsidRPr="000853D4">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_Toc211525947 \h </w:instrText>
        </w:r>
        <w:r>
          <w:rPr>
            <w:noProof/>
            <w:webHidden/>
          </w:rPr>
        </w:r>
        <w:r>
          <w:rPr>
            <w:noProof/>
            <w:webHidden/>
          </w:rPr>
          <w:fldChar w:fldCharType="separate"/>
        </w:r>
        <w:r>
          <w:rPr>
            <w:noProof/>
            <w:webHidden/>
          </w:rPr>
          <w:t>107</w:t>
        </w:r>
        <w:r>
          <w:rPr>
            <w:noProof/>
            <w:webHidden/>
          </w:rPr>
          <w:fldChar w:fldCharType="end"/>
        </w:r>
      </w:hyperlink>
    </w:p>
    <w:p w14:paraId="716E6F71" w14:textId="7DABAB10" w:rsidR="00201CDE" w:rsidRDefault="00201CDE">
      <w:pPr>
        <w:pStyle w:val="TOC2"/>
        <w:rPr>
          <w:noProof/>
          <w:kern w:val="2"/>
          <w:sz w:val="24"/>
          <w:szCs w:val="24"/>
          <w:lang w:val="es-ES" w:eastAsia="es-ES"/>
          <w14:ligatures w14:val="standardContextual"/>
        </w:rPr>
      </w:pPr>
      <w:hyperlink w:anchor="_Toc211525948" w:history="1">
        <w:r w:rsidRPr="000853D4">
          <w:rPr>
            <w:rStyle w:val="Hyperlink"/>
            <w:rFonts w:ascii="Times New Roman" w:hAnsi="Times New Roman" w:cs="Times New Roman"/>
            <w:noProof/>
          </w:rPr>
          <w:t>II.34</w:t>
        </w:r>
        <w:r>
          <w:rPr>
            <w:noProof/>
            <w:kern w:val="2"/>
            <w:sz w:val="24"/>
            <w:szCs w:val="24"/>
            <w:lang w:val="es-ES" w:eastAsia="es-ES"/>
            <w14:ligatures w14:val="standardContextual"/>
          </w:rPr>
          <w:tab/>
        </w:r>
        <w:r w:rsidRPr="000853D4">
          <w:rPr>
            <w:rStyle w:val="Hyperlink"/>
            <w:rFonts w:ascii="Times New Roman" w:hAnsi="Times New Roman" w:cs="Times New Roman"/>
            <w:noProof/>
          </w:rPr>
          <w:t>Z 14.00</w:t>
        </w:r>
        <w:r w:rsidR="00702CCD">
          <w:rPr>
            <w:rStyle w:val="Hyperlink"/>
            <w:rFonts w:ascii="Times New Roman" w:hAnsi="Times New Roman" w:cs="Times New Roman"/>
            <w:noProof/>
          </w:rPr>
          <w:t>.</w:t>
        </w:r>
        <w:r w:rsidRPr="000853D4">
          <w:rPr>
            <w:rStyle w:val="Hyperlink"/>
            <w:rFonts w:ascii="Times New Roman" w:hAnsi="Times New Roman" w:cs="Times New Roman"/>
            <w:noProof/>
          </w:rPr>
          <w:t xml:space="preserve"> Otros pasivos financieros (no incluidos en otras pestañas, excepto intragrupo) </w:t>
        </w:r>
        <w:r w:rsidRPr="000853D4">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_Toc211525948 \h </w:instrText>
        </w:r>
        <w:r>
          <w:rPr>
            <w:noProof/>
            <w:webHidden/>
          </w:rPr>
        </w:r>
        <w:r>
          <w:rPr>
            <w:noProof/>
            <w:webHidden/>
          </w:rPr>
          <w:fldChar w:fldCharType="separate"/>
        </w:r>
        <w:r>
          <w:rPr>
            <w:noProof/>
            <w:webHidden/>
          </w:rPr>
          <w:t>109</w:t>
        </w:r>
        <w:r>
          <w:rPr>
            <w:noProof/>
            <w:webHidden/>
          </w:rPr>
          <w:fldChar w:fldCharType="end"/>
        </w:r>
      </w:hyperlink>
    </w:p>
    <w:p w14:paraId="34B647F3" w14:textId="506AF9B4" w:rsidR="00201CDE" w:rsidRDefault="00201CDE">
      <w:pPr>
        <w:pStyle w:val="TOC2"/>
        <w:rPr>
          <w:noProof/>
          <w:kern w:val="2"/>
          <w:sz w:val="24"/>
          <w:szCs w:val="24"/>
          <w:lang w:val="es-ES" w:eastAsia="es-ES"/>
          <w14:ligatures w14:val="standardContextual"/>
        </w:rPr>
      </w:pPr>
      <w:hyperlink w:anchor="_Toc211525949" w:history="1">
        <w:r w:rsidRPr="000853D4">
          <w:rPr>
            <w:rStyle w:val="Hyperlink"/>
            <w:rFonts w:ascii="Times New Roman" w:hAnsi="Times New Roman" w:cs="Times New Roman"/>
            <w:noProof/>
          </w:rPr>
          <w:t>II.35</w:t>
        </w:r>
        <w:r>
          <w:rPr>
            <w:noProof/>
            <w:kern w:val="2"/>
            <w:sz w:val="24"/>
            <w:szCs w:val="24"/>
            <w:lang w:val="es-ES" w:eastAsia="es-ES"/>
            <w14:ligatures w14:val="standardContextual"/>
          </w:rPr>
          <w:tab/>
        </w:r>
        <w:r w:rsidRPr="000853D4">
          <w:rPr>
            <w:rStyle w:val="Hyperlink"/>
            <w:rFonts w:ascii="Times New Roman" w:hAnsi="Times New Roman" w:cs="Times New Roman"/>
            <w:noProof/>
          </w:rPr>
          <w:t>Z 15.00</w:t>
        </w:r>
        <w:r w:rsidR="00702CCD">
          <w:rPr>
            <w:rStyle w:val="Hyperlink"/>
            <w:rFonts w:ascii="Times New Roman" w:hAnsi="Times New Roman" w:cs="Times New Roman"/>
            <w:noProof/>
          </w:rPr>
          <w:t xml:space="preserve">. </w:t>
        </w:r>
        <w:r w:rsidRPr="000853D4">
          <w:rPr>
            <w:rStyle w:val="Hyperlink"/>
            <w:rFonts w:ascii="Times New Roman" w:hAnsi="Times New Roman" w:cs="Times New Roman"/>
            <w:noProof/>
          </w:rPr>
          <w:t xml:space="preserve">Derivados </w:t>
        </w:r>
        <w:r w:rsidRPr="000853D4">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_Toc211525949 \h </w:instrText>
        </w:r>
        <w:r>
          <w:rPr>
            <w:noProof/>
            <w:webHidden/>
          </w:rPr>
        </w:r>
        <w:r>
          <w:rPr>
            <w:noProof/>
            <w:webHidden/>
          </w:rPr>
          <w:fldChar w:fldCharType="separate"/>
        </w:r>
        <w:r>
          <w:rPr>
            <w:noProof/>
            <w:webHidden/>
          </w:rPr>
          <w:t>112</w:t>
        </w:r>
        <w:r>
          <w:rPr>
            <w:noProof/>
            <w:webHidden/>
          </w:rPr>
          <w:fldChar w:fldCharType="end"/>
        </w:r>
      </w:hyperlink>
    </w:p>
    <w:p w14:paraId="4FF2FF88" w14:textId="406CB71E" w:rsidR="00201CDE" w:rsidRDefault="00201CDE">
      <w:pPr>
        <w:pStyle w:val="TOC2"/>
        <w:rPr>
          <w:noProof/>
          <w:kern w:val="2"/>
          <w:sz w:val="24"/>
          <w:szCs w:val="24"/>
          <w:lang w:val="es-ES" w:eastAsia="es-ES"/>
          <w14:ligatures w14:val="standardContextual"/>
        </w:rPr>
      </w:pPr>
      <w:hyperlink w:anchor="_Toc211525950" w:history="1">
        <w:r w:rsidRPr="000853D4">
          <w:rPr>
            <w:rStyle w:val="Hyperlink"/>
            <w:rFonts w:ascii="Times New Roman" w:hAnsi="Times New Roman" w:cs="Times New Roman"/>
            <w:noProof/>
          </w:rPr>
          <w:t>II.36</w:t>
        </w:r>
        <w:r>
          <w:rPr>
            <w:noProof/>
            <w:kern w:val="2"/>
            <w:sz w:val="24"/>
            <w:szCs w:val="24"/>
            <w:lang w:val="es-ES" w:eastAsia="es-ES"/>
            <w14:ligatures w14:val="standardContextual"/>
          </w:rPr>
          <w:tab/>
        </w:r>
        <w:r w:rsidRPr="000853D4">
          <w:rPr>
            <w:rStyle w:val="Hyperlink"/>
            <w:rFonts w:ascii="Times New Roman" w:hAnsi="Times New Roman" w:cs="Times New Roman"/>
            <w:noProof/>
          </w:rPr>
          <w:t>Z 16.00</w:t>
        </w:r>
        <w:r w:rsidR="00702CCD">
          <w:rPr>
            <w:rStyle w:val="Hyperlink"/>
            <w:rFonts w:ascii="Times New Roman" w:hAnsi="Times New Roman" w:cs="Times New Roman"/>
            <w:noProof/>
          </w:rPr>
          <w:t>.</w:t>
        </w:r>
        <w:r w:rsidRPr="000853D4">
          <w:rPr>
            <w:rStyle w:val="Hyperlink"/>
            <w:rFonts w:ascii="Times New Roman" w:hAnsi="Times New Roman" w:cs="Times New Roman"/>
            <w:noProof/>
          </w:rPr>
          <w:t xml:space="preserve"> Operaciones de financiación garantizada excluidas las intragrupo </w:t>
        </w:r>
        <w:r w:rsidRPr="000853D4">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_Toc211525950 \h </w:instrText>
        </w:r>
        <w:r>
          <w:rPr>
            <w:noProof/>
            <w:webHidden/>
          </w:rPr>
        </w:r>
        <w:r>
          <w:rPr>
            <w:noProof/>
            <w:webHidden/>
          </w:rPr>
          <w:fldChar w:fldCharType="separate"/>
        </w:r>
        <w:r>
          <w:rPr>
            <w:noProof/>
            <w:webHidden/>
          </w:rPr>
          <w:t>114</w:t>
        </w:r>
        <w:r>
          <w:rPr>
            <w:noProof/>
            <w:webHidden/>
          </w:rPr>
          <w:fldChar w:fldCharType="end"/>
        </w:r>
      </w:hyperlink>
    </w:p>
    <w:p w14:paraId="3841DE79" w14:textId="1376044F" w:rsidR="00201CDE" w:rsidRDefault="00201CDE">
      <w:pPr>
        <w:pStyle w:val="TOC2"/>
        <w:rPr>
          <w:noProof/>
          <w:kern w:val="2"/>
          <w:sz w:val="24"/>
          <w:szCs w:val="24"/>
          <w:lang w:val="es-ES" w:eastAsia="es-ES"/>
          <w14:ligatures w14:val="standardContextual"/>
        </w:rPr>
      </w:pPr>
      <w:hyperlink w:anchor="_Toc211525951" w:history="1">
        <w:r w:rsidRPr="000853D4">
          <w:rPr>
            <w:rStyle w:val="Hyperlink"/>
            <w:rFonts w:ascii="Times New Roman" w:hAnsi="Times New Roman" w:cs="Times New Roman"/>
            <w:noProof/>
          </w:rPr>
          <w:t>II.37</w:t>
        </w:r>
        <w:r>
          <w:rPr>
            <w:noProof/>
            <w:kern w:val="2"/>
            <w:sz w:val="24"/>
            <w:szCs w:val="24"/>
            <w:lang w:val="es-ES" w:eastAsia="es-ES"/>
            <w14:ligatures w14:val="standardContextual"/>
          </w:rPr>
          <w:tab/>
        </w:r>
        <w:r w:rsidRPr="000853D4">
          <w:rPr>
            <w:rStyle w:val="Hyperlink"/>
            <w:rFonts w:ascii="Times New Roman" w:hAnsi="Times New Roman" w:cs="Times New Roman"/>
            <w:noProof/>
          </w:rPr>
          <w:t>Z 17.00</w:t>
        </w:r>
        <w:r w:rsidR="00702CCD">
          <w:rPr>
            <w:rStyle w:val="Hyperlink"/>
            <w:rFonts w:ascii="Times New Roman" w:hAnsi="Times New Roman" w:cs="Times New Roman"/>
            <w:noProof/>
          </w:rPr>
          <w:t>.</w:t>
        </w:r>
        <w:r w:rsidRPr="000853D4">
          <w:rPr>
            <w:rStyle w:val="Hyperlink"/>
            <w:rFonts w:ascii="Times New Roman" w:hAnsi="Times New Roman" w:cs="Times New Roman"/>
            <w:noProof/>
          </w:rPr>
          <w:t xml:space="preserve"> Otros pasivos no financieros (no incluidos en otras pestañas, excepto intragrupo) </w:t>
        </w:r>
        <w:r w:rsidRPr="000853D4">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_Toc211525951 \h </w:instrText>
        </w:r>
        <w:r>
          <w:rPr>
            <w:noProof/>
            <w:webHidden/>
          </w:rPr>
        </w:r>
        <w:r>
          <w:rPr>
            <w:noProof/>
            <w:webHidden/>
          </w:rPr>
          <w:fldChar w:fldCharType="separate"/>
        </w:r>
        <w:r>
          <w:rPr>
            <w:noProof/>
            <w:webHidden/>
          </w:rPr>
          <w:t>116</w:t>
        </w:r>
        <w:r>
          <w:rPr>
            <w:noProof/>
            <w:webHidden/>
          </w:rPr>
          <w:fldChar w:fldCharType="end"/>
        </w:r>
      </w:hyperlink>
    </w:p>
    <w:p w14:paraId="5200882B" w14:textId="75B30AAE" w:rsidR="00201CDE" w:rsidRDefault="00201CDE">
      <w:pPr>
        <w:pStyle w:val="TOC2"/>
        <w:rPr>
          <w:noProof/>
          <w:kern w:val="2"/>
          <w:sz w:val="24"/>
          <w:szCs w:val="24"/>
          <w:lang w:val="es-ES" w:eastAsia="es-ES"/>
          <w14:ligatures w14:val="standardContextual"/>
        </w:rPr>
      </w:pPr>
      <w:hyperlink w:anchor="_Toc211525952" w:history="1">
        <w:r w:rsidRPr="000853D4">
          <w:rPr>
            <w:rStyle w:val="Hyperlink"/>
            <w:noProof/>
          </w:rPr>
          <w:t>II.38</w:t>
        </w:r>
        <w:r>
          <w:rPr>
            <w:noProof/>
            <w:kern w:val="2"/>
            <w:sz w:val="24"/>
            <w:szCs w:val="24"/>
            <w:lang w:val="es-ES" w:eastAsia="es-ES"/>
            <w14:ligatures w14:val="standardContextual"/>
          </w:rPr>
          <w:tab/>
        </w:r>
        <w:r w:rsidRPr="000853D4">
          <w:rPr>
            <w:rStyle w:val="Hyperlink"/>
            <w:noProof/>
          </w:rPr>
          <w:t>Anexo I — Lista de IMF que deben utilizarse para Z 09.01 — c0050</w:t>
        </w:r>
        <w:r>
          <w:rPr>
            <w:noProof/>
            <w:webHidden/>
          </w:rPr>
          <w:tab/>
        </w:r>
        <w:r>
          <w:rPr>
            <w:noProof/>
            <w:webHidden/>
          </w:rPr>
          <w:fldChar w:fldCharType="begin"/>
        </w:r>
        <w:r>
          <w:rPr>
            <w:noProof/>
            <w:webHidden/>
          </w:rPr>
          <w:instrText xml:space="preserve"> PAGEREF _Toc211525952 \h </w:instrText>
        </w:r>
        <w:r>
          <w:rPr>
            <w:noProof/>
            <w:webHidden/>
          </w:rPr>
        </w:r>
        <w:r>
          <w:rPr>
            <w:noProof/>
            <w:webHidden/>
          </w:rPr>
          <w:fldChar w:fldCharType="separate"/>
        </w:r>
        <w:r>
          <w:rPr>
            <w:noProof/>
            <w:webHidden/>
          </w:rPr>
          <w:t>119</w:t>
        </w:r>
        <w:r>
          <w:rPr>
            <w:noProof/>
            <w:webHidden/>
          </w:rPr>
          <w:fldChar w:fldCharType="end"/>
        </w:r>
      </w:hyperlink>
    </w:p>
    <w:p w14:paraId="7FE1B2E2" w14:textId="2A1398DF" w:rsidR="00414040" w:rsidRDefault="00904E1A">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414040" w:rsidRDefault="00414040">
      <w:pPr>
        <w:rPr>
          <w:rFonts w:ascii="Times New Roman" w:hAnsi="Times New Roman" w:cs="Times New Roman"/>
          <w:b/>
          <w:color w:val="000000" w:themeColor="text1"/>
          <w:sz w:val="20"/>
          <w:szCs w:val="20"/>
        </w:rPr>
      </w:pPr>
    </w:p>
    <w:p w14:paraId="7FE1B2E4" w14:textId="77777777" w:rsidR="00414040" w:rsidRDefault="00414040">
      <w:pPr>
        <w:pStyle w:val="ListParagraph"/>
        <w:rPr>
          <w:rFonts w:ascii="Times New Roman" w:hAnsi="Times New Roman"/>
          <w:b/>
          <w:color w:val="000000" w:themeColor="text1"/>
          <w:sz w:val="20"/>
          <w:szCs w:val="20"/>
        </w:rPr>
      </w:pPr>
    </w:p>
    <w:p w14:paraId="7FE1B2E5" w14:textId="77777777" w:rsidR="00414040" w:rsidRDefault="00904E1A">
      <w:pPr>
        <w:pStyle w:val="P68B1DB1-Normal3"/>
        <w:spacing w:after="200" w:line="276" w:lineRule="auto"/>
        <w:rPr>
          <w:rFonts w:eastAsiaTheme="majorEastAsia"/>
          <w:kern w:val="28"/>
        </w:rPr>
      </w:pPr>
      <w:bookmarkStart w:id="0" w:name="_Toc492542318"/>
      <w:r>
        <w:br w:type="page"/>
      </w:r>
    </w:p>
    <w:p w14:paraId="7FE1B2E6" w14:textId="77777777" w:rsidR="00414040" w:rsidRDefault="00904E1A">
      <w:pPr>
        <w:pStyle w:val="P68B1DB1-Instructionsberschrift24"/>
        <w:numPr>
          <w:ilvl w:val="0"/>
          <w:numId w:val="49"/>
        </w:numPr>
        <w:ind w:left="357" w:hanging="357"/>
      </w:pPr>
      <w:bookmarkStart w:id="1" w:name="_Toc81454170"/>
      <w:bookmarkStart w:id="2" w:name="_Toc211525904"/>
      <w:r>
        <w:lastRenderedPageBreak/>
        <w:t>Instrucciones generales</w:t>
      </w:r>
      <w:bookmarkEnd w:id="0"/>
      <w:bookmarkEnd w:id="1"/>
      <w:bookmarkEnd w:id="2"/>
    </w:p>
    <w:p w14:paraId="7FE1B2E7" w14:textId="77777777" w:rsidR="00414040" w:rsidRDefault="00904E1A">
      <w:pPr>
        <w:pStyle w:val="P68B1DB1-Instructionsberschrift25"/>
        <w:numPr>
          <w:ilvl w:val="1"/>
          <w:numId w:val="49"/>
        </w:numPr>
        <w:ind w:left="357" w:hanging="357"/>
      </w:pPr>
      <w:bookmarkStart w:id="3" w:name="_Toc81454171"/>
      <w:bookmarkStart w:id="4" w:name="_Toc211525905"/>
      <w:r>
        <w:t>Estructura</w:t>
      </w:r>
      <w:bookmarkEnd w:id="3"/>
      <w:bookmarkEnd w:id="4"/>
    </w:p>
    <w:p w14:paraId="7FE1B2E8" w14:textId="1A0FDB81" w:rsidR="00414040" w:rsidRDefault="5B1A3546">
      <w:pPr>
        <w:pStyle w:val="P68B1DB1-InstructionsText26"/>
        <w:numPr>
          <w:ilvl w:val="0"/>
          <w:numId w:val="71"/>
        </w:numPr>
        <w:spacing w:before="0"/>
        <w:ind w:left="714" w:hanging="357"/>
      </w:pPr>
      <w:r>
        <w:t xml:space="preserve">El marco consta de 29 plantillas, organizadas en 6 </w:t>
      </w:r>
      <w:r w:rsidR="32673436">
        <w:t>bloques</w:t>
      </w:r>
      <w:r w:rsidR="00904E1A">
        <w:t>.</w:t>
      </w:r>
    </w:p>
    <w:p w14:paraId="7FE1B2EA" w14:textId="49A0F8A9" w:rsidR="00414040" w:rsidRDefault="5B1A3546">
      <w:pPr>
        <w:pStyle w:val="P68B1DB1-body7"/>
        <w:numPr>
          <w:ilvl w:val="0"/>
          <w:numId w:val="61"/>
        </w:numPr>
        <w:rPr>
          <w:lang w:val="es-ES"/>
        </w:rPr>
      </w:pPr>
      <w:r w:rsidRPr="6A079B7E">
        <w:rPr>
          <w:lang w:val="es-ES"/>
        </w:rPr>
        <w:t xml:space="preserve">El </w:t>
      </w:r>
      <w:r w:rsidR="1AE126EE" w:rsidRPr="6A079B7E">
        <w:rPr>
          <w:lang w:val="es-ES"/>
        </w:rPr>
        <w:t>bloque</w:t>
      </w:r>
      <w:r w:rsidRPr="6A079B7E">
        <w:rPr>
          <w:lang w:val="es-ES"/>
        </w:rPr>
        <w:t xml:space="preserve"> de «Información general» ofrece una visión de conjunto de la estructura organizativa de un grupo y de sus entes, la distribución de los activos y los importes de la exposición al riesgo. Este </w:t>
      </w:r>
      <w:r w:rsidR="3C6F9B8C" w:rsidRPr="6A079B7E">
        <w:rPr>
          <w:lang w:val="es-ES"/>
        </w:rPr>
        <w:t>bloque</w:t>
      </w:r>
      <w:r w:rsidRPr="6A079B7E">
        <w:rPr>
          <w:lang w:val="es-ES"/>
        </w:rPr>
        <w:t xml:space="preserve"> consta de </w:t>
      </w:r>
      <w:r w:rsidR="6385F1F5" w:rsidRPr="6A079B7E">
        <w:rPr>
          <w:lang w:val="es-ES"/>
        </w:rPr>
        <w:t xml:space="preserve">las </w:t>
      </w:r>
      <w:r w:rsidRPr="6A079B7E">
        <w:rPr>
          <w:lang w:val="es-ES"/>
        </w:rPr>
        <w:t>plantillas:</w:t>
      </w:r>
    </w:p>
    <w:p w14:paraId="7FE1B2EB" w14:textId="3D881E53" w:rsidR="00414040" w:rsidRDefault="5B1A3546">
      <w:pPr>
        <w:pStyle w:val="P68B1DB1-body7"/>
        <w:numPr>
          <w:ilvl w:val="1"/>
          <w:numId w:val="207"/>
        </w:numPr>
      </w:pPr>
      <w:r>
        <w:t>Z 01.01</w:t>
      </w:r>
      <w:r w:rsidR="003D7889">
        <w:t xml:space="preserve">. </w:t>
      </w:r>
      <w:r w:rsidR="27CF300D">
        <w:t>Entes</w:t>
      </w:r>
      <w:r>
        <w:t xml:space="preserve"> jurídic</w:t>
      </w:r>
      <w:r w:rsidR="465D4ABE">
        <w:t>o</w:t>
      </w:r>
      <w:r>
        <w:t>s (ORG 1)»</w:t>
      </w:r>
    </w:p>
    <w:p w14:paraId="7FE1B2EC" w14:textId="397D65A6" w:rsidR="00414040" w:rsidRDefault="00904E1A">
      <w:pPr>
        <w:pStyle w:val="P68B1DB1-body7"/>
        <w:numPr>
          <w:ilvl w:val="1"/>
          <w:numId w:val="207"/>
        </w:numPr>
      </w:pPr>
      <w:r w:rsidRPr="2133F407">
        <w:rPr>
          <w:lang w:val="es-ES"/>
        </w:rPr>
        <w:t>Z 01.02.</w:t>
      </w:r>
      <w:r w:rsidR="003D7889">
        <w:rPr>
          <w:lang w:val="es-ES"/>
        </w:rPr>
        <w:t xml:space="preserve"> </w:t>
      </w:r>
      <w:r w:rsidRPr="2133F407">
        <w:rPr>
          <w:lang w:val="es-ES"/>
        </w:rPr>
        <w:t>Estructura de propiedad (ORG 2)</w:t>
      </w:r>
    </w:p>
    <w:p w14:paraId="7FE1B2ED" w14:textId="0A39C857" w:rsidR="00414040" w:rsidRDefault="5B1A3546">
      <w:pPr>
        <w:pStyle w:val="P68B1DB1-body7"/>
        <w:numPr>
          <w:ilvl w:val="0"/>
          <w:numId w:val="61"/>
        </w:numPr>
      </w:pPr>
      <w:r>
        <w:t xml:space="preserve">El </w:t>
      </w:r>
      <w:r w:rsidR="5EB39C6F">
        <w:t>bloque</w:t>
      </w:r>
      <w:r>
        <w:t xml:space="preserve"> de «</w:t>
      </w:r>
      <w:r w:rsidRPr="00630BC5">
        <w:t>Datos agregados</w:t>
      </w:r>
      <w:r>
        <w:t xml:space="preserve"> sobre las partidas </w:t>
      </w:r>
      <w:r w:rsidR="3FD59CD7">
        <w:t>de</w:t>
      </w:r>
      <w:r w:rsidR="00AD0127">
        <w:t xml:space="preserve"> </w:t>
      </w:r>
      <w:r>
        <w:t xml:space="preserve">balance y fuera de balance» ofrece información financiera sobre los pasivos, los fondos propios, las conexiones financieras entre los entes del grupo, los pasivos frente a las contrapartes principales y las partidas fuera de balance recibidas de las contrapartes principales, y la garantía de depósitos. Este </w:t>
      </w:r>
      <w:r w:rsidR="0093267A">
        <w:t xml:space="preserve">bloque </w:t>
      </w:r>
      <w:r>
        <w:t>consta de siete plantillas:</w:t>
      </w:r>
    </w:p>
    <w:p w14:paraId="7FE1B2EE" w14:textId="77777777" w:rsidR="00414040" w:rsidRDefault="00904E1A">
      <w:pPr>
        <w:pStyle w:val="P68B1DB1-body7"/>
        <w:numPr>
          <w:ilvl w:val="0"/>
          <w:numId w:val="208"/>
        </w:numPr>
      </w:pPr>
      <w:r>
        <w:t>«Z 02.00. Estructura del pasivo (LIAB 1)»;</w:t>
      </w:r>
    </w:p>
    <w:p w14:paraId="7FE1B2EF" w14:textId="584458BC" w:rsidR="00414040" w:rsidRDefault="00904E1A">
      <w:pPr>
        <w:pStyle w:val="P68B1DB1-body7"/>
        <w:numPr>
          <w:ilvl w:val="0"/>
          <w:numId w:val="208"/>
        </w:numPr>
      </w:pPr>
      <w:r>
        <w:t>«Z 03.01. Requisitos de fondos propios para las entidades de crédito (LIAB 2)»;</w:t>
      </w:r>
    </w:p>
    <w:p w14:paraId="7FE1B2F0" w14:textId="65C769F3" w:rsidR="00414040" w:rsidRDefault="00904E1A">
      <w:pPr>
        <w:pStyle w:val="P68B1DB1-body7"/>
        <w:numPr>
          <w:ilvl w:val="0"/>
          <w:numId w:val="208"/>
        </w:numPr>
      </w:pPr>
      <w:r>
        <w:t xml:space="preserve">«Z 03.02. Requisitos de fondos propios para las </w:t>
      </w:r>
      <w:r w:rsidR="4195F5E5">
        <w:t>empresas de servicios</w:t>
      </w:r>
      <w:r>
        <w:t xml:space="preserve"> de inversión (LIAB 3)»;</w:t>
      </w:r>
    </w:p>
    <w:p w14:paraId="7FE1B2F2" w14:textId="77777777" w:rsidR="00414040" w:rsidRDefault="00904E1A">
      <w:pPr>
        <w:pStyle w:val="P68B1DB1-body7"/>
        <w:numPr>
          <w:ilvl w:val="0"/>
          <w:numId w:val="208"/>
        </w:numPr>
      </w:pPr>
      <w:r>
        <w:t>«Z 04.00. Interconexiones financieras intragrupo (LIAB 4)»;</w:t>
      </w:r>
    </w:p>
    <w:p w14:paraId="7FE1B2F3" w14:textId="4ACDED16" w:rsidR="00414040" w:rsidRDefault="00904E1A">
      <w:pPr>
        <w:pStyle w:val="P68B1DB1-body7"/>
        <w:numPr>
          <w:ilvl w:val="0"/>
          <w:numId w:val="208"/>
        </w:numPr>
      </w:pPr>
      <w:r w:rsidRPr="2133F407">
        <w:rPr>
          <w:lang w:val="es-ES"/>
        </w:rPr>
        <w:t>«Z 05.01.</w:t>
      </w:r>
      <w:r w:rsidR="00995EBA">
        <w:rPr>
          <w:lang w:val="es-ES"/>
        </w:rPr>
        <w:t xml:space="preserve"> </w:t>
      </w:r>
      <w:r w:rsidRPr="2133F407">
        <w:rPr>
          <w:lang w:val="es-ES"/>
        </w:rPr>
        <w:t>Contrapartes principales del pasivo (LIAB 5)»;</w:t>
      </w:r>
    </w:p>
    <w:p w14:paraId="7FE1B2F4" w14:textId="488F4E41" w:rsidR="00414040" w:rsidRDefault="00995EBA">
      <w:pPr>
        <w:pStyle w:val="P68B1DB1-body7"/>
        <w:numPr>
          <w:ilvl w:val="0"/>
          <w:numId w:val="208"/>
        </w:numPr>
      </w:pPr>
      <w:r w:rsidRPr="2133F407">
        <w:rPr>
          <w:lang w:val="es-ES"/>
        </w:rPr>
        <w:t>«</w:t>
      </w:r>
      <w:r w:rsidR="00904E1A" w:rsidRPr="2133F407">
        <w:rPr>
          <w:lang w:val="es-ES"/>
        </w:rPr>
        <w:t>Z 05.02.</w:t>
      </w:r>
      <w:r>
        <w:rPr>
          <w:lang w:val="es-ES"/>
        </w:rPr>
        <w:t xml:space="preserve"> </w:t>
      </w:r>
      <w:r w:rsidR="00904E1A" w:rsidRPr="2133F407">
        <w:rPr>
          <w:lang w:val="es-ES"/>
        </w:rPr>
        <w:t xml:space="preserve">Contrapartes principales </w:t>
      </w:r>
      <w:r w:rsidR="3217095C" w:rsidRPr="41346908">
        <w:rPr>
          <w:lang w:val="es-ES"/>
        </w:rPr>
        <w:t>de las partidas</w:t>
      </w:r>
      <w:r w:rsidR="00904E1A" w:rsidRPr="41346908">
        <w:rPr>
          <w:lang w:val="es-ES"/>
        </w:rPr>
        <w:t xml:space="preserve"> </w:t>
      </w:r>
      <w:r w:rsidR="00904E1A" w:rsidRPr="2133F407">
        <w:rPr>
          <w:lang w:val="es-ES"/>
        </w:rPr>
        <w:t>fuera de balance (LIAB 6</w:t>
      </w:r>
      <w:proofErr w:type="gramStart"/>
      <w:r w:rsidR="00904E1A" w:rsidRPr="2133F407">
        <w:rPr>
          <w:lang w:val="es-ES"/>
        </w:rPr>
        <w:t>)</w:t>
      </w:r>
      <w:r w:rsidRPr="00995EBA">
        <w:rPr>
          <w:lang w:val="es-ES"/>
        </w:rPr>
        <w:t xml:space="preserve"> </w:t>
      </w:r>
      <w:r w:rsidRPr="2133F407">
        <w:rPr>
          <w:lang w:val="es-ES"/>
        </w:rPr>
        <w:t>»</w:t>
      </w:r>
      <w:proofErr w:type="gramEnd"/>
      <w:r w:rsidR="00904E1A" w:rsidRPr="2133F407">
        <w:rPr>
          <w:lang w:val="es-ES"/>
        </w:rPr>
        <w:t>;</w:t>
      </w:r>
    </w:p>
    <w:p w14:paraId="7FE1B2F5" w14:textId="762695F7" w:rsidR="00414040" w:rsidRDefault="00904E1A">
      <w:pPr>
        <w:pStyle w:val="P68B1DB1-body7"/>
        <w:numPr>
          <w:ilvl w:val="0"/>
          <w:numId w:val="208"/>
        </w:numPr>
      </w:pPr>
      <w:r>
        <w:t>«Z 06.00. Garantía de depósitos (LIAB 7)».</w:t>
      </w:r>
    </w:p>
    <w:p w14:paraId="7FE1B2F6" w14:textId="1E9AC157" w:rsidR="00414040" w:rsidRDefault="5B1A3546">
      <w:pPr>
        <w:pStyle w:val="P68B1DB1-body7"/>
        <w:numPr>
          <w:ilvl w:val="0"/>
          <w:numId w:val="61"/>
        </w:numPr>
      </w:pPr>
      <w:r>
        <w:t xml:space="preserve">El </w:t>
      </w:r>
      <w:r w:rsidR="2E3D38F7">
        <w:t>bloque</w:t>
      </w:r>
      <w:r>
        <w:t xml:space="preserve"> de «Funciones esenciales» ofrece una visión de conjunto de las funciones esenciales y establece las correspondencias pertinentes con los entes jurídicos</w:t>
      </w:r>
      <w:r w:rsidR="0093267A">
        <w:t xml:space="preserve"> y </w:t>
      </w:r>
      <w:r>
        <w:t xml:space="preserve">las ramas de actividad </w:t>
      </w:r>
      <w:proofErr w:type="gramStart"/>
      <w:r>
        <w:t>principales</w:t>
      </w:r>
      <w:r w:rsidR="710DEE58">
        <w:t>.</w:t>
      </w:r>
      <w:r>
        <w:t>.</w:t>
      </w:r>
      <w:proofErr w:type="gramEnd"/>
      <w:r>
        <w:t xml:space="preserve"> Este </w:t>
      </w:r>
      <w:r w:rsidR="53F35F96">
        <w:t>bloque</w:t>
      </w:r>
      <w:r>
        <w:t xml:space="preserve"> consta de cuatro plantillas:</w:t>
      </w:r>
    </w:p>
    <w:p w14:paraId="7FE1B2F7" w14:textId="52EB5B28" w:rsidR="00414040" w:rsidRDefault="00904E1A">
      <w:pPr>
        <w:pStyle w:val="P68B1DB1-body7"/>
        <w:numPr>
          <w:ilvl w:val="1"/>
          <w:numId w:val="209"/>
        </w:numPr>
      </w:pPr>
      <w:r w:rsidRPr="2133F407">
        <w:rPr>
          <w:lang w:val="es-ES"/>
        </w:rPr>
        <w:t>Z 07.01.</w:t>
      </w:r>
      <w:r w:rsidR="00995EBA">
        <w:rPr>
          <w:lang w:val="es-ES"/>
        </w:rPr>
        <w:t xml:space="preserve"> </w:t>
      </w:r>
      <w:r w:rsidRPr="2133F407">
        <w:rPr>
          <w:lang w:val="es-ES"/>
        </w:rPr>
        <w:t xml:space="preserve">Evaluación del carácter esencial de las funciones económicas (FUNC 1), </w:t>
      </w:r>
    </w:p>
    <w:p w14:paraId="7FE1B2F8" w14:textId="31F7DB48" w:rsidR="00414040" w:rsidRDefault="00904E1A">
      <w:pPr>
        <w:pStyle w:val="P68B1DB1-body7"/>
        <w:numPr>
          <w:ilvl w:val="1"/>
          <w:numId w:val="209"/>
        </w:numPr>
      </w:pPr>
      <w:r w:rsidRPr="2133F407">
        <w:rPr>
          <w:lang w:val="es-ES"/>
        </w:rPr>
        <w:t>Z 07.02.</w:t>
      </w:r>
      <w:r w:rsidR="00995EBA">
        <w:rPr>
          <w:lang w:val="es-ES"/>
        </w:rPr>
        <w:t xml:space="preserve"> </w:t>
      </w:r>
      <w:r w:rsidRPr="2133F407">
        <w:rPr>
          <w:lang w:val="es-ES"/>
        </w:rPr>
        <w:t xml:space="preserve">Correspondencias de las funciones esenciales </w:t>
      </w:r>
      <w:r w:rsidR="5CBE46B0" w:rsidRPr="7ACE38D3">
        <w:rPr>
          <w:lang w:val="es-ES"/>
        </w:rPr>
        <w:t>con los</w:t>
      </w:r>
      <w:r w:rsidRPr="2133F407">
        <w:rPr>
          <w:lang w:val="es-ES"/>
        </w:rPr>
        <w:t xml:space="preserve"> entes jurídicos (FUNC 2) </w:t>
      </w:r>
    </w:p>
    <w:p w14:paraId="7FE1B2F9" w14:textId="3F74E1AE" w:rsidR="00414040" w:rsidRPr="00210421" w:rsidRDefault="00904E1A">
      <w:pPr>
        <w:pStyle w:val="P68B1DB1-body7"/>
        <w:numPr>
          <w:ilvl w:val="1"/>
          <w:numId w:val="209"/>
        </w:numPr>
      </w:pPr>
      <w:r w:rsidRPr="2133F407">
        <w:rPr>
          <w:lang w:val="es-ES"/>
        </w:rPr>
        <w:t>Z 07.03.</w:t>
      </w:r>
      <w:r w:rsidR="00995EBA">
        <w:rPr>
          <w:lang w:val="es-ES"/>
        </w:rPr>
        <w:t xml:space="preserve"> </w:t>
      </w:r>
      <w:r w:rsidRPr="2133F407">
        <w:rPr>
          <w:lang w:val="es-ES"/>
        </w:rPr>
        <w:t xml:space="preserve">Correspondencias de las ramas de actividad principales por entes jurídicos (FUNC 3) </w:t>
      </w:r>
    </w:p>
    <w:p w14:paraId="7FE1B2FB" w14:textId="4DBFDCE9" w:rsidR="00414040" w:rsidRDefault="00904E1A" w:rsidP="00210421">
      <w:pPr>
        <w:pStyle w:val="P68B1DB1-body7"/>
        <w:numPr>
          <w:ilvl w:val="1"/>
          <w:numId w:val="209"/>
        </w:numPr>
      </w:pPr>
      <w:r w:rsidRPr="00BE4F11">
        <w:rPr>
          <w:lang w:val="es-ES"/>
        </w:rPr>
        <w:t>Z 07.04.</w:t>
      </w:r>
      <w:r w:rsidR="00995EBA" w:rsidRPr="00BE4F11">
        <w:rPr>
          <w:lang w:val="es-ES"/>
        </w:rPr>
        <w:t xml:space="preserve"> </w:t>
      </w:r>
      <w:r w:rsidRPr="00BE4F11">
        <w:rPr>
          <w:lang w:val="es-ES"/>
        </w:rPr>
        <w:t>Correspondencias de las funciones esenciales con las ramas de actividad principales (FUNC 4)</w:t>
      </w:r>
    </w:p>
    <w:p w14:paraId="7FE1B2FC" w14:textId="6278E941" w:rsidR="00414040" w:rsidRDefault="5B1A3546">
      <w:pPr>
        <w:pStyle w:val="P68B1DB1-body7"/>
        <w:numPr>
          <w:ilvl w:val="0"/>
          <w:numId w:val="61"/>
        </w:numPr>
      </w:pPr>
      <w:bookmarkStart w:id="5" w:name="_Hlk160696385"/>
      <w:r w:rsidRPr="6A079B7E">
        <w:rPr>
          <w:lang w:val="es-ES"/>
        </w:rPr>
        <w:t>Servicios y ent</w:t>
      </w:r>
      <w:r w:rsidR="144B3802" w:rsidRPr="6A079B7E">
        <w:rPr>
          <w:lang w:val="es-ES"/>
        </w:rPr>
        <w:t>es</w:t>
      </w:r>
      <w:r w:rsidRPr="6A079B7E">
        <w:rPr>
          <w:lang w:val="es-ES"/>
        </w:rPr>
        <w:t xml:space="preserve">, que ofrece un desglose de los usuarios y proveedores de servicios y </w:t>
      </w:r>
      <w:r w:rsidR="46ECBE0B" w:rsidRPr="6A079B7E">
        <w:rPr>
          <w:lang w:val="es-ES"/>
        </w:rPr>
        <w:t xml:space="preserve">su correspondencia con </w:t>
      </w:r>
      <w:r w:rsidRPr="6A079B7E">
        <w:rPr>
          <w:lang w:val="es-ES"/>
        </w:rPr>
        <w:t xml:space="preserve">las funciones económicas y las </w:t>
      </w:r>
      <w:bookmarkEnd w:id="5"/>
      <w:r w:rsidR="00741147">
        <w:rPr>
          <w:lang w:val="es-ES"/>
        </w:rPr>
        <w:t>ramas de actividad</w:t>
      </w:r>
      <w:r w:rsidRPr="6A079B7E">
        <w:rPr>
          <w:lang w:val="es-ES"/>
        </w:rPr>
        <w:t>:</w:t>
      </w:r>
    </w:p>
    <w:p w14:paraId="7FE1B2FD" w14:textId="6E4EAC76" w:rsidR="00414040" w:rsidRDefault="00904E1A">
      <w:pPr>
        <w:pStyle w:val="P68B1DB1-body7"/>
        <w:numPr>
          <w:ilvl w:val="1"/>
          <w:numId w:val="210"/>
        </w:numPr>
      </w:pPr>
      <w:r w:rsidRPr="2133F407">
        <w:rPr>
          <w:lang w:val="es-ES"/>
        </w:rPr>
        <w:t>Z 08.01.</w:t>
      </w:r>
      <w:r w:rsidR="00995EBA">
        <w:rPr>
          <w:lang w:val="es-ES"/>
        </w:rPr>
        <w:t xml:space="preserve"> </w:t>
      </w:r>
      <w:r w:rsidRPr="2133F407">
        <w:rPr>
          <w:lang w:val="es-ES"/>
        </w:rPr>
        <w:t xml:space="preserve">Servicios </w:t>
      </w:r>
      <w:r w:rsidR="008C15E7">
        <w:rPr>
          <w:lang w:val="es-ES"/>
        </w:rPr>
        <w:t>pertinentes</w:t>
      </w:r>
      <w:r w:rsidRPr="2133F407">
        <w:rPr>
          <w:lang w:val="es-ES"/>
        </w:rPr>
        <w:t xml:space="preserve"> (SERV 1)</w:t>
      </w:r>
    </w:p>
    <w:p w14:paraId="7FE1B2FE" w14:textId="489B46CD" w:rsidR="00414040" w:rsidRDefault="5B1A3546">
      <w:pPr>
        <w:pStyle w:val="P68B1DB1-body7"/>
        <w:numPr>
          <w:ilvl w:val="1"/>
          <w:numId w:val="210"/>
        </w:numPr>
      </w:pPr>
      <w:r>
        <w:t>Z 08.02</w:t>
      </w:r>
      <w:r w:rsidR="00995EBA">
        <w:t>.</w:t>
      </w:r>
      <w:r>
        <w:t xml:space="preserve"> Servicios </w:t>
      </w:r>
      <w:r w:rsidR="00904E1A">
        <w:t>pertinentes</w:t>
      </w:r>
      <w:r>
        <w:t xml:space="preserve"> — </w:t>
      </w:r>
      <w:r w:rsidR="00995EBA">
        <w:t>C</w:t>
      </w:r>
      <w:r w:rsidR="1C2CF10F">
        <w:t>orrespondencia con</w:t>
      </w:r>
      <w:r>
        <w:t xml:space="preserve"> los activos (SERV 2)</w:t>
      </w:r>
    </w:p>
    <w:p w14:paraId="7FE1B2FF" w14:textId="776BD957" w:rsidR="00414040" w:rsidRDefault="5B1A3546">
      <w:pPr>
        <w:pStyle w:val="P68B1DB1-body7"/>
        <w:numPr>
          <w:ilvl w:val="1"/>
          <w:numId w:val="210"/>
        </w:numPr>
      </w:pPr>
      <w:r>
        <w:lastRenderedPageBreak/>
        <w:t>Z 08.03</w:t>
      </w:r>
      <w:r w:rsidR="00995EBA">
        <w:t>.</w:t>
      </w:r>
      <w:r>
        <w:t xml:space="preserve"> Servicios </w:t>
      </w:r>
      <w:r w:rsidR="00904E1A">
        <w:t>pertinentes</w:t>
      </w:r>
      <w:r>
        <w:t xml:space="preserve"> — </w:t>
      </w:r>
      <w:r w:rsidR="00995EBA">
        <w:t>C</w:t>
      </w:r>
      <w:r w:rsidR="1BB8283D">
        <w:t>orrespondencia con</w:t>
      </w:r>
      <w:r>
        <w:t xml:space="preserve"> las funciones (SERV 3)</w:t>
      </w:r>
    </w:p>
    <w:p w14:paraId="7FE1B300" w14:textId="1C1F4CAC" w:rsidR="00414040" w:rsidRDefault="5B1A3546">
      <w:pPr>
        <w:pStyle w:val="P68B1DB1-body7"/>
        <w:numPr>
          <w:ilvl w:val="1"/>
          <w:numId w:val="210"/>
        </w:numPr>
      </w:pPr>
      <w:r>
        <w:t>Z 08.04</w:t>
      </w:r>
      <w:r w:rsidR="00995EBA">
        <w:t>.</w:t>
      </w:r>
      <w:r>
        <w:t xml:space="preserve"> Servicios </w:t>
      </w:r>
      <w:r w:rsidR="00E83172">
        <w:t>esenciales</w:t>
      </w:r>
      <w:r>
        <w:t xml:space="preserve"> — </w:t>
      </w:r>
      <w:r w:rsidR="00995EBA">
        <w:t>C</w:t>
      </w:r>
      <w:r w:rsidR="6B9C3DE8">
        <w:t>orrespondencia con</w:t>
      </w:r>
      <w:r>
        <w:t xml:space="preserve"> las funciones esenciales (SERV 4)</w:t>
      </w:r>
    </w:p>
    <w:p w14:paraId="7FE1B301" w14:textId="54B65473" w:rsidR="00414040" w:rsidRDefault="5B1A3546">
      <w:pPr>
        <w:pStyle w:val="P68B1DB1-body7"/>
        <w:numPr>
          <w:ilvl w:val="1"/>
          <w:numId w:val="210"/>
        </w:numPr>
      </w:pPr>
      <w:r>
        <w:t>Z 08.05</w:t>
      </w:r>
      <w:r w:rsidR="00995EBA">
        <w:t xml:space="preserve">. </w:t>
      </w:r>
      <w:r>
        <w:t xml:space="preserve">Servicios </w:t>
      </w:r>
      <w:r w:rsidR="00E83172">
        <w:t>principales</w:t>
      </w:r>
      <w:r>
        <w:t xml:space="preserve"> — </w:t>
      </w:r>
      <w:r w:rsidR="00995EBA">
        <w:t>C</w:t>
      </w:r>
      <w:r w:rsidR="354AC325">
        <w:t>orrespondencia con</w:t>
      </w:r>
      <w:r>
        <w:t xml:space="preserve"> las ramas de actividad principales (SERV 5)</w:t>
      </w:r>
    </w:p>
    <w:p w14:paraId="7FE1B303" w14:textId="397A4C74" w:rsidR="00414040" w:rsidRDefault="00904E1A">
      <w:pPr>
        <w:pStyle w:val="P68B1DB1-body7"/>
        <w:numPr>
          <w:ilvl w:val="0"/>
          <w:numId w:val="61"/>
        </w:numPr>
      </w:pPr>
      <w:r>
        <w:t>Información sobre los servicios de IMF</w:t>
      </w:r>
    </w:p>
    <w:p w14:paraId="7FE1B304" w14:textId="37509497" w:rsidR="00414040" w:rsidRDefault="00904E1A">
      <w:pPr>
        <w:pStyle w:val="P68B1DB1-body7"/>
        <w:numPr>
          <w:ilvl w:val="1"/>
          <w:numId w:val="211"/>
        </w:numPr>
      </w:pPr>
      <w:r>
        <w:t>Z 09.01</w:t>
      </w:r>
      <w:r w:rsidR="00995EBA">
        <w:t>.</w:t>
      </w:r>
      <w:r>
        <w:t xml:space="preserve"> Servicios de IMF — Proveedores y </w:t>
      </w:r>
      <w:r w:rsidR="00995EBA">
        <w:t xml:space="preserve">usuarios </w:t>
      </w:r>
      <w:r>
        <w:t>(FMI 1)</w:t>
      </w:r>
    </w:p>
    <w:p w14:paraId="7FE1B305" w14:textId="2F2C5B7D" w:rsidR="00414040" w:rsidRDefault="60688621">
      <w:pPr>
        <w:pStyle w:val="P68B1DB1-body7"/>
        <w:numPr>
          <w:ilvl w:val="1"/>
          <w:numId w:val="211"/>
        </w:numPr>
      </w:pPr>
      <w:r>
        <w:t>Z 09.02</w:t>
      </w:r>
      <w:r w:rsidR="00995EBA">
        <w:t>.</w:t>
      </w:r>
      <w:r>
        <w:t xml:space="preserve"> Servicios de IMF — </w:t>
      </w:r>
      <w:r w:rsidR="00995EBA">
        <w:t>C</w:t>
      </w:r>
      <w:r w:rsidR="183AD4F2">
        <w:t xml:space="preserve">orrespondencia con </w:t>
      </w:r>
      <w:r>
        <w:t xml:space="preserve">las IMF </w:t>
      </w:r>
      <w:r w:rsidR="715024A4">
        <w:t>esenciales</w:t>
      </w:r>
      <w:r>
        <w:t xml:space="preserve"> y </w:t>
      </w:r>
      <w:r w:rsidR="6FE655E9">
        <w:t>principales</w:t>
      </w:r>
      <w:r>
        <w:t xml:space="preserve"> (IMF 2)</w:t>
      </w:r>
    </w:p>
    <w:p w14:paraId="7FE1B306" w14:textId="52234EC5" w:rsidR="00414040" w:rsidRDefault="00904E1A">
      <w:pPr>
        <w:pStyle w:val="P68B1DB1-body7"/>
        <w:numPr>
          <w:ilvl w:val="1"/>
          <w:numId w:val="211"/>
        </w:numPr>
      </w:pPr>
      <w:r>
        <w:t>Z 09.03</w:t>
      </w:r>
      <w:r w:rsidR="00995EBA">
        <w:t>.</w:t>
      </w:r>
      <w:r>
        <w:t xml:space="preserve"> Servicios de IMF — Mét</w:t>
      </w:r>
      <w:r w:rsidR="00303A5D">
        <w:t>ricas</w:t>
      </w:r>
      <w:r>
        <w:t xml:space="preserve"> clave (FMI 3)</w:t>
      </w:r>
    </w:p>
    <w:p w14:paraId="7FE1B307" w14:textId="2F91AE37" w:rsidR="00414040" w:rsidRDefault="482C615A">
      <w:pPr>
        <w:pStyle w:val="P68B1DB1-body7"/>
        <w:numPr>
          <w:ilvl w:val="1"/>
          <w:numId w:val="211"/>
        </w:numPr>
      </w:pPr>
      <w:r>
        <w:t>Z 09.04</w:t>
      </w:r>
      <w:r w:rsidR="00995EBA">
        <w:t>.</w:t>
      </w:r>
      <w:r>
        <w:t xml:space="preserve"> Servicios de IMF — ECC — Proveedores alternativos (IMF 4)</w:t>
      </w:r>
    </w:p>
    <w:p w14:paraId="7FE1B30B" w14:textId="6A232D01" w:rsidR="00414040" w:rsidRDefault="5B7C2934">
      <w:pPr>
        <w:pStyle w:val="P68B1DB1-body7"/>
        <w:numPr>
          <w:ilvl w:val="0"/>
          <w:numId w:val="61"/>
        </w:numPr>
      </w:pPr>
      <w:r>
        <w:t>Desglose de la e</w:t>
      </w:r>
      <w:r w:rsidR="7EE1175C">
        <w:t xml:space="preserve">structura </w:t>
      </w:r>
      <w:r w:rsidR="703E8235" w:rsidRPr="11A44BD7">
        <w:rPr>
          <w:lang w:val="es-ES"/>
        </w:rPr>
        <w:t>del pasivo</w:t>
      </w:r>
      <w:r w:rsidR="42814FD9" w:rsidRPr="11A44BD7">
        <w:rPr>
          <w:lang w:val="es-ES"/>
        </w:rPr>
        <w:t xml:space="preserve"> y fondos propios</w:t>
      </w:r>
      <w:r w:rsidR="703E8235" w:rsidRPr="11A44BD7">
        <w:rPr>
          <w:lang w:val="es-ES"/>
        </w:rPr>
        <w:t xml:space="preserve"> para la recapitalización interna:</w:t>
      </w:r>
    </w:p>
    <w:p w14:paraId="7FE1B30C" w14:textId="62827C91" w:rsidR="00414040" w:rsidRDefault="00904E1A">
      <w:pPr>
        <w:pStyle w:val="P68B1DB1-body7"/>
        <w:numPr>
          <w:ilvl w:val="0"/>
          <w:numId w:val="217"/>
        </w:numPr>
      </w:pPr>
      <w:r>
        <w:t>Z 11.00</w:t>
      </w:r>
      <w:r w:rsidR="004F7718">
        <w:t>.</w:t>
      </w:r>
      <w:r>
        <w:t xml:space="preserve"> Pasivos intragrupo (excluidos derivados) (LIAB-G-1)</w:t>
      </w:r>
    </w:p>
    <w:p w14:paraId="7FE1B30D" w14:textId="57B02451" w:rsidR="00414040" w:rsidRDefault="60688621">
      <w:pPr>
        <w:pStyle w:val="P68B1DB1-body7"/>
        <w:numPr>
          <w:ilvl w:val="0"/>
          <w:numId w:val="217"/>
        </w:numPr>
      </w:pPr>
      <w:r>
        <w:t>Z 12.00</w:t>
      </w:r>
      <w:r w:rsidR="004F7718">
        <w:t>.</w:t>
      </w:r>
      <w:r>
        <w:t xml:space="preserve"> Valores (incluidos el capital de nivel 1 ordinario</w:t>
      </w:r>
      <w:r w:rsidR="00461CDB">
        <w:t xml:space="preserve"> (CET1)</w:t>
      </w:r>
      <w:r>
        <w:t>, el capital de nivel 1 adicional</w:t>
      </w:r>
      <w:r w:rsidR="00461CDB">
        <w:t xml:space="preserve"> (AT1)</w:t>
      </w:r>
      <w:r w:rsidR="00F26256">
        <w:t xml:space="preserve"> </w:t>
      </w:r>
      <w:r w:rsidR="00461CDB">
        <w:t>y los instrumentos</w:t>
      </w:r>
      <w:r w:rsidR="00F26256">
        <w:t xml:space="preserve"> de nivel 2</w:t>
      </w:r>
      <w:r w:rsidR="00461CDB">
        <w:t xml:space="preserve"> (T2)</w:t>
      </w:r>
      <w:r>
        <w:t xml:space="preserve">, </w:t>
      </w:r>
      <w:r w:rsidR="0B379086">
        <w:t xml:space="preserve">excepto </w:t>
      </w:r>
      <w:r>
        <w:t>intragrupo) (LIAB-G-2)</w:t>
      </w:r>
    </w:p>
    <w:p w14:paraId="7FE1B30E" w14:textId="1B6E15FD" w:rsidR="00414040" w:rsidRDefault="00904E1A">
      <w:pPr>
        <w:pStyle w:val="P68B1DB1-body7"/>
        <w:numPr>
          <w:ilvl w:val="0"/>
          <w:numId w:val="217"/>
        </w:numPr>
      </w:pPr>
      <w:r>
        <w:t>Z 13.00</w:t>
      </w:r>
      <w:r w:rsidR="004F7718">
        <w:t>.</w:t>
      </w:r>
      <w:r>
        <w:t xml:space="preserve"> Todos los depósitos (excepto intragrupo) (LIAB-G-3)</w:t>
      </w:r>
    </w:p>
    <w:p w14:paraId="7FE1B30F" w14:textId="694E473A" w:rsidR="00414040" w:rsidRDefault="00904E1A">
      <w:pPr>
        <w:pStyle w:val="P68B1DB1-body7"/>
        <w:numPr>
          <w:ilvl w:val="0"/>
          <w:numId w:val="217"/>
        </w:numPr>
      </w:pPr>
      <w:r>
        <w:t>Z 14.00</w:t>
      </w:r>
      <w:r w:rsidR="004F7718">
        <w:t>.</w:t>
      </w:r>
      <w:r>
        <w:t xml:space="preserve"> Otros pasivos financieros (LIAB-G-4)</w:t>
      </w:r>
    </w:p>
    <w:p w14:paraId="7FE1B310" w14:textId="7B0F5E5F" w:rsidR="00414040" w:rsidRDefault="00904E1A">
      <w:pPr>
        <w:pStyle w:val="P68B1DB1-body7"/>
        <w:numPr>
          <w:ilvl w:val="1"/>
          <w:numId w:val="211"/>
        </w:numPr>
      </w:pPr>
      <w:r>
        <w:t>Z 15.00</w:t>
      </w:r>
      <w:r w:rsidR="004F7718">
        <w:t>.</w:t>
      </w:r>
      <w:r>
        <w:t xml:space="preserve"> Derivados (LIAB-G-5)</w:t>
      </w:r>
    </w:p>
    <w:p w14:paraId="7FE1B311" w14:textId="17A46EB5" w:rsidR="00414040" w:rsidRDefault="00904E1A">
      <w:pPr>
        <w:pStyle w:val="P68B1DB1-body7"/>
        <w:numPr>
          <w:ilvl w:val="1"/>
          <w:numId w:val="211"/>
        </w:numPr>
      </w:pPr>
      <w:r>
        <w:t>Z 16.00</w:t>
      </w:r>
      <w:r w:rsidR="004F7718">
        <w:t>.</w:t>
      </w:r>
      <w:r>
        <w:t xml:space="preserve"> Financiación garantizada, excluida la financiación intragrupo (LIAB-G-6)</w:t>
      </w:r>
    </w:p>
    <w:p w14:paraId="7FE1B312" w14:textId="1A37C38A" w:rsidR="00414040" w:rsidRDefault="00904E1A">
      <w:pPr>
        <w:pStyle w:val="P68B1DB1-body7"/>
        <w:numPr>
          <w:ilvl w:val="1"/>
          <w:numId w:val="211"/>
        </w:numPr>
      </w:pPr>
      <w:r>
        <w:t>Z 17.00</w:t>
      </w:r>
      <w:r w:rsidR="00715C68">
        <w:t>.</w:t>
      </w:r>
      <w:r>
        <w:t xml:space="preserve"> Otros pasivos no financieros (LIAB-G-7)</w:t>
      </w:r>
    </w:p>
    <w:p w14:paraId="7FE1B313" w14:textId="77777777" w:rsidR="00414040" w:rsidRDefault="00414040">
      <w:pPr>
        <w:pStyle w:val="body"/>
        <w:ind w:left="426"/>
        <w:rPr>
          <w:rFonts w:ascii="Times New Roman" w:hAnsi="Times New Roman" w:cs="Times New Roman"/>
          <w:color w:val="000000" w:themeColor="text1"/>
          <w:sz w:val="20"/>
          <w:szCs w:val="20"/>
        </w:rPr>
      </w:pPr>
    </w:p>
    <w:p w14:paraId="7FE1B314" w14:textId="77777777" w:rsidR="00414040" w:rsidRDefault="00904E1A">
      <w:pPr>
        <w:pStyle w:val="P68B1DB1-Instructionsberschrift25"/>
        <w:numPr>
          <w:ilvl w:val="1"/>
          <w:numId w:val="49"/>
        </w:numPr>
        <w:ind w:left="357" w:hanging="357"/>
      </w:pPr>
      <w:bookmarkStart w:id="6" w:name="_Toc81454172"/>
      <w:bookmarkStart w:id="7" w:name="_Toc211525906"/>
      <w:r>
        <w:t>Referencias</w:t>
      </w:r>
      <w:bookmarkEnd w:id="6"/>
      <w:bookmarkEnd w:id="7"/>
    </w:p>
    <w:p w14:paraId="7FE1B315" w14:textId="77777777" w:rsidR="00414040" w:rsidRDefault="00904E1A">
      <w:pPr>
        <w:pStyle w:val="P68B1DB1-InstructionsText26"/>
        <w:numPr>
          <w:ilvl w:val="0"/>
          <w:numId w:val="225"/>
        </w:numPr>
        <w:spacing w:before="0"/>
      </w:pPr>
      <w:r>
        <w:t>A efectos del presente anexo, se aplicarán las abreviaturas siguientes:</w:t>
      </w:r>
    </w:p>
    <w:p w14:paraId="7FE1B317" w14:textId="685537EF" w:rsidR="00414040" w:rsidRDefault="00904E1A">
      <w:pPr>
        <w:pStyle w:val="P68B1DB1-ListParagraph8"/>
        <w:numPr>
          <w:ilvl w:val="0"/>
          <w:numId w:val="60"/>
        </w:numPr>
        <w:ind w:left="1074"/>
        <w:jc w:val="both"/>
      </w:pPr>
      <w:r>
        <w:t>«CPIM»</w:t>
      </w:r>
      <w:r w:rsidR="006F2221">
        <w:t>:</w:t>
      </w:r>
      <w:r>
        <w:t xml:space="preserve"> Comité de Pagos e Infraestructuras del Mercado, del Banco de Pagos Internacionales;</w:t>
      </w:r>
    </w:p>
    <w:p w14:paraId="7FE1B318" w14:textId="23D93F1B" w:rsidR="00414040" w:rsidRDefault="00904E1A">
      <w:pPr>
        <w:pStyle w:val="ListParagraph"/>
        <w:numPr>
          <w:ilvl w:val="0"/>
          <w:numId w:val="60"/>
        </w:numPr>
        <w:ind w:left="1074"/>
        <w:jc w:val="both"/>
        <w:rPr>
          <w:rFonts w:ascii="Times New Roman" w:hAnsi="Times New Roman"/>
          <w:color w:val="000000" w:themeColor="text1"/>
          <w:sz w:val="20"/>
          <w:szCs w:val="20"/>
          <w:lang w:val="es-ES"/>
        </w:rPr>
      </w:pPr>
      <w:r w:rsidRPr="2133F407">
        <w:rPr>
          <w:rFonts w:ascii="Times New Roman" w:hAnsi="Times New Roman"/>
          <w:color w:val="000000" w:themeColor="text1"/>
          <w:sz w:val="20"/>
          <w:szCs w:val="20"/>
          <w:lang w:val="es-ES"/>
        </w:rPr>
        <w:t>«FINREP»: plantillas FINREP incluidas en el anexo I del Reglamento de Ejecución (UE) 2024/3117 de la Comisión</w:t>
      </w:r>
      <w:r w:rsidR="002D6FF8" w:rsidRPr="2133F407">
        <w:rPr>
          <w:rStyle w:val="FootnoteReference"/>
          <w:rFonts w:ascii="Times New Roman" w:hAnsi="Times New Roman"/>
          <w:sz w:val="20"/>
          <w:szCs w:val="20"/>
          <w:lang w:val="es-ES"/>
        </w:rPr>
        <w:footnoteReference w:id="2"/>
      </w:r>
      <w:r w:rsidRPr="2133F407">
        <w:rPr>
          <w:rFonts w:ascii="Times New Roman" w:hAnsi="Times New Roman"/>
          <w:color w:val="000000" w:themeColor="text1"/>
          <w:sz w:val="20"/>
          <w:szCs w:val="20"/>
          <w:lang w:val="es-ES"/>
        </w:rPr>
        <w:t>;</w:t>
      </w:r>
    </w:p>
    <w:p w14:paraId="7FE1B319" w14:textId="5E436E82" w:rsidR="00414040" w:rsidRDefault="00904E1A">
      <w:pPr>
        <w:pStyle w:val="P68B1DB1-ListParagraph8"/>
        <w:numPr>
          <w:ilvl w:val="0"/>
          <w:numId w:val="60"/>
        </w:numPr>
        <w:ind w:left="1074"/>
        <w:jc w:val="both"/>
      </w:pPr>
      <w:r>
        <w:t>«COREP (OF)»: plantillas COREP (OF) incluidas en el anexo I del Reglamento de Ejecución (UE) 2024/3117 de la Comisión;</w:t>
      </w:r>
    </w:p>
    <w:p w14:paraId="7FE1B31A" w14:textId="50106017" w:rsidR="00414040" w:rsidRDefault="00904E1A">
      <w:pPr>
        <w:pStyle w:val="P68B1DB1-ListParagraph8"/>
        <w:numPr>
          <w:ilvl w:val="0"/>
          <w:numId w:val="60"/>
        </w:numPr>
        <w:ind w:left="1074"/>
        <w:jc w:val="both"/>
      </w:pPr>
      <w:r>
        <w:t>«COREP (LR)»: plantillas COREP (LR) incluidas en el anexo I del Reglamento de Ejecución (UE) 2024/3117 de la Comisión;</w:t>
      </w:r>
    </w:p>
    <w:p w14:paraId="7FE1B31B" w14:textId="1F433FAE" w:rsidR="00414040" w:rsidRDefault="00904E1A">
      <w:pPr>
        <w:pStyle w:val="P68B1DB1-ListParagraph8"/>
        <w:numPr>
          <w:ilvl w:val="0"/>
          <w:numId w:val="60"/>
        </w:numPr>
        <w:ind w:left="1074"/>
        <w:jc w:val="both"/>
      </w:pPr>
      <w:r>
        <w:t>«CEF»</w:t>
      </w:r>
      <w:r w:rsidR="006F2221">
        <w:t>:</w:t>
      </w:r>
      <w:r>
        <w:t xml:space="preserve"> Consejo de Estabilidad Financiera;</w:t>
      </w:r>
    </w:p>
    <w:p w14:paraId="7FE1B31C" w14:textId="71EEAA35" w:rsidR="00414040" w:rsidRDefault="00904E1A">
      <w:pPr>
        <w:pStyle w:val="P68B1DB1-ListParagraph9"/>
        <w:numPr>
          <w:ilvl w:val="0"/>
          <w:numId w:val="60"/>
        </w:numPr>
        <w:ind w:left="1074"/>
        <w:jc w:val="both"/>
        <w:rPr>
          <w:color w:val="000000" w:themeColor="text1"/>
          <w:sz w:val="20"/>
          <w:szCs w:val="20"/>
        </w:rPr>
      </w:pPr>
      <w:r>
        <w:rPr>
          <w:color w:val="000000" w:themeColor="text1"/>
          <w:sz w:val="20"/>
          <w:szCs w:val="20"/>
        </w:rPr>
        <w:lastRenderedPageBreak/>
        <w:t>«NIC»</w:t>
      </w:r>
      <w:r w:rsidR="006F2221">
        <w:rPr>
          <w:color w:val="000000" w:themeColor="text1"/>
          <w:sz w:val="20"/>
          <w:szCs w:val="20"/>
        </w:rPr>
        <w:t>:</w:t>
      </w:r>
      <w:r>
        <w:rPr>
          <w:color w:val="000000" w:themeColor="text1"/>
          <w:sz w:val="20"/>
          <w:szCs w:val="20"/>
        </w:rPr>
        <w:t xml:space="preserve"> Normas Internacionales de Contabilidad conforme a la definición del artículo 2 del Reglamento (CE) n.º 1606/2002 del Parlamento Europeo y del Consejo</w:t>
      </w:r>
      <w:r w:rsidRPr="00210421">
        <w:rPr>
          <w:vertAlign w:val="superscript"/>
        </w:rPr>
        <w:footnoteReference w:id="3"/>
      </w:r>
      <w:r>
        <w:rPr>
          <w:color w:val="000000" w:themeColor="text1"/>
          <w:sz w:val="20"/>
          <w:szCs w:val="20"/>
        </w:rPr>
        <w:t>;</w:t>
      </w:r>
    </w:p>
    <w:p w14:paraId="7FE1B31D" w14:textId="6C04B5B4" w:rsidR="00414040" w:rsidRDefault="00904E1A">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«NIIF»</w:t>
      </w:r>
      <w:r w:rsidR="006F2221">
        <w:rPr>
          <w:rFonts w:ascii="Times New Roman" w:hAnsi="Times New Roman"/>
          <w:color w:val="000000" w:themeColor="text1"/>
          <w:sz w:val="20"/>
          <w:szCs w:val="20"/>
        </w:rPr>
        <w:t>:</w:t>
      </w:r>
      <w:r>
        <w:rPr>
          <w:rFonts w:ascii="Times New Roman" w:hAnsi="Times New Roman"/>
          <w:color w:val="000000" w:themeColor="text1"/>
          <w:sz w:val="20"/>
          <w:szCs w:val="20"/>
        </w:rPr>
        <w:t xml:space="preserve"> Normas Internacionales de Información Financiera conforme a la definición del artículo 2 del Reglamento (CE) n.º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28ECF5CA" w:rsidR="00414040" w:rsidRDefault="00904E1A">
      <w:pPr>
        <w:pStyle w:val="ListParagraph"/>
        <w:numPr>
          <w:ilvl w:val="0"/>
          <w:numId w:val="60"/>
        </w:numPr>
        <w:ind w:left="1074"/>
        <w:jc w:val="both"/>
        <w:rPr>
          <w:rFonts w:ascii="Times New Roman" w:hAnsi="Times New Roman"/>
          <w:color w:val="000000" w:themeColor="text1"/>
          <w:sz w:val="20"/>
          <w:szCs w:val="20"/>
          <w:lang w:val="es-ES"/>
        </w:rPr>
      </w:pPr>
      <w:r w:rsidRPr="222AA09B">
        <w:rPr>
          <w:rFonts w:ascii="Times New Roman" w:hAnsi="Times New Roman"/>
          <w:color w:val="000000" w:themeColor="text1"/>
          <w:sz w:val="20"/>
          <w:szCs w:val="20"/>
          <w:lang w:val="es-ES"/>
        </w:rPr>
        <w:t>«Código LEI»</w:t>
      </w:r>
      <w:r w:rsidR="006F2221" w:rsidRPr="222AA09B">
        <w:rPr>
          <w:rFonts w:ascii="Times New Roman" w:hAnsi="Times New Roman"/>
          <w:color w:val="000000" w:themeColor="text1"/>
          <w:sz w:val="20"/>
          <w:szCs w:val="20"/>
          <w:lang w:val="es-ES"/>
        </w:rPr>
        <w:t>:</w:t>
      </w:r>
      <w:r w:rsidRPr="222AA09B">
        <w:rPr>
          <w:rFonts w:ascii="Times New Roman" w:hAnsi="Times New Roman"/>
          <w:color w:val="000000" w:themeColor="text1"/>
          <w:sz w:val="20"/>
          <w:szCs w:val="20"/>
          <w:lang w:val="es-ES"/>
        </w:rPr>
        <w:t xml:space="preserve"> código de identificación de entidad jurídica que garantiza la identificación única, a escala mundial, de las partes involucradas en las operaciones financieras, propuesto por el Consejo de Estabilidad Financiera y aprobado por el G20</w:t>
      </w:r>
      <w:r w:rsidR="002D6FF8" w:rsidRPr="222AA09B">
        <w:rPr>
          <w:rFonts w:ascii="Times New Roman" w:hAnsi="Times New Roman"/>
          <w:color w:val="000000" w:themeColor="text1"/>
          <w:sz w:val="20"/>
          <w:szCs w:val="20"/>
          <w:lang w:val="es-ES"/>
        </w:rPr>
        <w:t>.</w:t>
      </w:r>
      <w:r w:rsidRPr="222AA09B">
        <w:rPr>
          <w:rFonts w:ascii="Times New Roman" w:hAnsi="Times New Roman"/>
          <w:color w:val="000000" w:themeColor="text1"/>
          <w:sz w:val="20"/>
          <w:szCs w:val="20"/>
          <w:lang w:val="es-ES"/>
        </w:rPr>
        <w:t xml:space="preserve"> Mientras el sistema LEI mundial no esté plenamente operativo, las contrapartes reciben códigos pre-LEI de una Unidad Operativa Local aprobada por el </w:t>
      </w:r>
      <w:proofErr w:type="spellStart"/>
      <w:r w:rsidR="007A496F">
        <w:rPr>
          <w:rFonts w:ascii="Times New Roman" w:hAnsi="Times New Roman"/>
          <w:color w:val="000000" w:themeColor="text1"/>
          <w:sz w:val="20"/>
          <w:szCs w:val="20"/>
          <w:lang w:val="es-ES"/>
        </w:rPr>
        <w:t>Regulatory</w:t>
      </w:r>
      <w:proofErr w:type="spellEnd"/>
      <w:r w:rsidR="007A496F">
        <w:rPr>
          <w:rFonts w:ascii="Times New Roman" w:hAnsi="Times New Roman"/>
          <w:color w:val="000000" w:themeColor="text1"/>
          <w:sz w:val="20"/>
          <w:szCs w:val="20"/>
          <w:lang w:val="es-ES"/>
        </w:rPr>
        <w:t xml:space="preserve"> </w:t>
      </w:r>
      <w:proofErr w:type="spellStart"/>
      <w:r w:rsidR="007A496F">
        <w:rPr>
          <w:rFonts w:ascii="Times New Roman" w:hAnsi="Times New Roman"/>
          <w:color w:val="000000" w:themeColor="text1"/>
          <w:sz w:val="20"/>
          <w:szCs w:val="20"/>
          <w:lang w:val="es-ES"/>
        </w:rPr>
        <w:t>Oversight</w:t>
      </w:r>
      <w:proofErr w:type="spellEnd"/>
      <w:r w:rsidR="007A496F">
        <w:rPr>
          <w:rFonts w:ascii="Times New Roman" w:hAnsi="Times New Roman"/>
          <w:color w:val="000000" w:themeColor="text1"/>
          <w:sz w:val="20"/>
          <w:szCs w:val="20"/>
          <w:lang w:val="es-ES"/>
        </w:rPr>
        <w:t xml:space="preserve"> Committee</w:t>
      </w:r>
      <w:r w:rsidRPr="222AA09B">
        <w:rPr>
          <w:rFonts w:ascii="Times New Roman" w:hAnsi="Times New Roman"/>
          <w:color w:val="000000" w:themeColor="text1"/>
          <w:sz w:val="20"/>
          <w:szCs w:val="20"/>
          <w:lang w:val="es-ES"/>
        </w:rPr>
        <w:t xml:space="preserve"> (ROC, </w:t>
      </w:r>
      <w:r w:rsidR="002D6FF8" w:rsidRPr="222AA09B">
        <w:rPr>
          <w:rFonts w:ascii="Times New Roman" w:hAnsi="Times New Roman"/>
          <w:color w:val="000000" w:themeColor="text1"/>
          <w:sz w:val="20"/>
          <w:szCs w:val="20"/>
          <w:lang w:val="es-ES"/>
        </w:rPr>
        <w:t>con</w:t>
      </w:r>
      <w:r w:rsidRPr="222AA09B">
        <w:rPr>
          <w:rFonts w:ascii="Times New Roman" w:hAnsi="Times New Roman"/>
          <w:color w:val="000000" w:themeColor="text1"/>
          <w:sz w:val="20"/>
          <w:szCs w:val="20"/>
          <w:lang w:val="es-ES"/>
        </w:rPr>
        <w:t xml:space="preserve"> información detallada en el siguiente sitio web: </w:t>
      </w:r>
      <w:hyperlink r:id="rId11">
        <w:r w:rsidRPr="222AA09B">
          <w:rPr>
            <w:rStyle w:val="Hyperlink"/>
            <w:rFonts w:ascii="Times New Roman" w:hAnsi="Times New Roman"/>
            <w:color w:val="000000" w:themeColor="text1"/>
            <w:sz w:val="20"/>
            <w:szCs w:val="20"/>
            <w:lang w:val="es-ES"/>
          </w:rPr>
          <w:t>www.leiroc.org</w:t>
        </w:r>
      </w:hyperlink>
      <w:r w:rsidRPr="222AA09B">
        <w:rPr>
          <w:rFonts w:ascii="Times New Roman" w:hAnsi="Times New Roman"/>
          <w:color w:val="000000" w:themeColor="text1"/>
          <w:sz w:val="20"/>
          <w:szCs w:val="20"/>
          <w:lang w:val="es-ES"/>
        </w:rPr>
        <w:t>). Cuando ya exista un código LEI para una determinada contraparte, dicho código se utilizará para identificar a esa contraparte;</w:t>
      </w:r>
    </w:p>
    <w:p w14:paraId="7FE1B31F" w14:textId="3CA34F43" w:rsidR="00414040" w:rsidRDefault="00904E1A">
      <w:pPr>
        <w:pStyle w:val="P68B1DB1-ListParagraph8"/>
        <w:numPr>
          <w:ilvl w:val="0"/>
          <w:numId w:val="60"/>
        </w:numPr>
        <w:ind w:left="1074"/>
        <w:jc w:val="both"/>
      </w:pPr>
      <w:r>
        <w:t>«</w:t>
      </w:r>
      <w:r w:rsidR="00072284">
        <w:t xml:space="preserve">Identificador </w:t>
      </w:r>
      <w:r>
        <w:t>de la IFM» o «</w:t>
      </w:r>
      <w:r w:rsidR="00B744AC">
        <w:t xml:space="preserve">identificador de la </w:t>
      </w:r>
      <w:r>
        <w:t>institución financiera monetaria»: código de identificación único de una IFM de la lista de IFM mantenida y publicada por el BCE a efectos estadísticos de conformidad con el Reglamento (UE) 2021/379 del Banco Central Europeo, de 22 de enero de 2021, sobre las partidas de balance de las entidades de crédito y del sector de las instituciones financieras monetarias (refundición) (ECB/2021/2), que debe comunicarse cuando no exista ya un código LEI.</w:t>
      </w:r>
    </w:p>
    <w:p w14:paraId="7FE1B320" w14:textId="2948B85C" w:rsidR="00414040" w:rsidRDefault="00904E1A">
      <w:pPr>
        <w:pStyle w:val="ListParagraph"/>
        <w:numPr>
          <w:ilvl w:val="0"/>
          <w:numId w:val="60"/>
        </w:numPr>
        <w:ind w:left="1074"/>
        <w:jc w:val="both"/>
        <w:rPr>
          <w:rFonts w:ascii="Times New Roman" w:hAnsi="Times New Roman"/>
          <w:color w:val="000000" w:themeColor="text1"/>
          <w:sz w:val="20"/>
          <w:szCs w:val="20"/>
          <w:lang w:val="es-ES"/>
        </w:rPr>
      </w:pPr>
      <w:r w:rsidRPr="5EC4445B">
        <w:rPr>
          <w:rFonts w:ascii="Times New Roman" w:hAnsi="Times New Roman"/>
          <w:color w:val="000000" w:themeColor="text1"/>
          <w:sz w:val="20"/>
          <w:szCs w:val="20"/>
          <w:lang w:val="es-ES"/>
        </w:rPr>
        <w:t>«</w:t>
      </w:r>
      <w:proofErr w:type="spellStart"/>
      <w:r w:rsidR="00AC6109" w:rsidRPr="5EC4445B">
        <w:rPr>
          <w:rFonts w:ascii="Times New Roman" w:hAnsi="Times New Roman"/>
          <w:color w:val="000000" w:themeColor="text1"/>
          <w:sz w:val="20"/>
          <w:szCs w:val="20"/>
          <w:lang w:val="es-ES"/>
        </w:rPr>
        <w:t>PCGA</w:t>
      </w:r>
      <w:r w:rsidR="00AC6109">
        <w:rPr>
          <w:rFonts w:ascii="Times New Roman" w:hAnsi="Times New Roman"/>
          <w:color w:val="000000" w:themeColor="text1"/>
          <w:sz w:val="20"/>
          <w:szCs w:val="20"/>
          <w:lang w:val="es-ES"/>
        </w:rPr>
        <w:t>n</w:t>
      </w:r>
      <w:proofErr w:type="spellEnd"/>
      <w:r w:rsidRPr="5EC4445B">
        <w:rPr>
          <w:rFonts w:ascii="Times New Roman" w:hAnsi="Times New Roman"/>
          <w:color w:val="000000" w:themeColor="text1"/>
          <w:sz w:val="20"/>
          <w:szCs w:val="20"/>
          <w:lang w:val="es-ES"/>
        </w:rPr>
        <w:t>» o «principios contables generalmente aceptados</w:t>
      </w:r>
      <w:r w:rsidR="007A496F">
        <w:rPr>
          <w:rFonts w:ascii="Times New Roman" w:hAnsi="Times New Roman"/>
          <w:color w:val="000000" w:themeColor="text1"/>
          <w:sz w:val="20"/>
          <w:szCs w:val="20"/>
          <w:lang w:val="es-ES"/>
        </w:rPr>
        <w:t xml:space="preserve"> a escala nacional</w:t>
      </w:r>
      <w:r w:rsidRPr="5EC4445B">
        <w:rPr>
          <w:rFonts w:ascii="Times New Roman" w:hAnsi="Times New Roman"/>
          <w:color w:val="000000" w:themeColor="text1"/>
          <w:sz w:val="20"/>
          <w:szCs w:val="20"/>
          <w:lang w:val="es-ES"/>
        </w:rPr>
        <w:t>»</w:t>
      </w:r>
      <w:r w:rsidR="006F2221" w:rsidRPr="5EC4445B">
        <w:rPr>
          <w:rFonts w:ascii="Times New Roman" w:hAnsi="Times New Roman"/>
          <w:color w:val="000000" w:themeColor="text1"/>
          <w:sz w:val="20"/>
          <w:szCs w:val="20"/>
          <w:lang w:val="es-ES"/>
        </w:rPr>
        <w:t>:</w:t>
      </w:r>
      <w:r w:rsidRPr="5EC4445B">
        <w:rPr>
          <w:rFonts w:ascii="Times New Roman" w:hAnsi="Times New Roman"/>
          <w:color w:val="000000" w:themeColor="text1"/>
          <w:sz w:val="20"/>
          <w:szCs w:val="20"/>
          <w:lang w:val="es-ES"/>
        </w:rPr>
        <w:t xml:space="preserve"> marcos contables nacionales elaborados con arreglo a la Directiva 86/635/CEE</w:t>
      </w:r>
      <w:r w:rsidRPr="5EC4445B">
        <w:rPr>
          <w:rStyle w:val="FootnoteReference"/>
          <w:rFonts w:ascii="Times New Roman" w:hAnsi="Times New Roman"/>
          <w:color w:val="000000" w:themeColor="text1"/>
          <w:lang w:val="es-ES"/>
        </w:rPr>
        <w:footnoteReference w:id="5"/>
      </w:r>
      <w:r w:rsidRPr="5EC4445B">
        <w:rPr>
          <w:rFonts w:ascii="Times New Roman" w:hAnsi="Times New Roman"/>
          <w:color w:val="000000" w:themeColor="text1"/>
          <w:sz w:val="20"/>
          <w:szCs w:val="20"/>
          <w:lang w:val="es-ES"/>
        </w:rPr>
        <w:t>.</w:t>
      </w:r>
    </w:p>
    <w:p w14:paraId="7FE1B321" w14:textId="6C10066B" w:rsidR="00414040" w:rsidRDefault="5B1A3546">
      <w:pPr>
        <w:pStyle w:val="P68B1DB1-ListParagraph8"/>
        <w:numPr>
          <w:ilvl w:val="0"/>
          <w:numId w:val="60"/>
        </w:numPr>
        <w:ind w:left="1074"/>
        <w:jc w:val="both"/>
      </w:pPr>
      <w:r>
        <w:t xml:space="preserve">«Activo operativo»: activo que no es un activo financiero y que es necesario para prestar servicios </w:t>
      </w:r>
      <w:r w:rsidR="00904E1A">
        <w:t>pertinentes,</w:t>
      </w:r>
      <w:r>
        <w:t xml:space="preserve"> como bienes inmuebles; propiedad intelectual, incluidas las marcas comerciales, las patentes y los programas informáticos; hardware; </w:t>
      </w:r>
      <w:r w:rsidR="00854C92">
        <w:t xml:space="preserve">sistemas </w:t>
      </w:r>
      <w:r w:rsidR="007A496F">
        <w:t>de TI</w:t>
      </w:r>
      <w:r>
        <w:t xml:space="preserve"> y aplicaciones; y almacenes de datos. Los activos operativos son esenciales o </w:t>
      </w:r>
      <w:r w:rsidR="2DD61E7A">
        <w:t>principales</w:t>
      </w:r>
      <w:r>
        <w:t xml:space="preserve"> cuando el acceso a ellos es necesario para prestar un servicio </w:t>
      </w:r>
      <w:r w:rsidR="312B50C3">
        <w:t>esencial</w:t>
      </w:r>
      <w:r>
        <w:t>/</w:t>
      </w:r>
      <w:r w:rsidR="10AB9097">
        <w:t>principal.</w:t>
      </w:r>
    </w:p>
    <w:p w14:paraId="7FE1B322" w14:textId="3DD33A98" w:rsidR="00414040" w:rsidRDefault="5B1A3546">
      <w:pPr>
        <w:pStyle w:val="P68B1DB1-ListParagraph8"/>
        <w:numPr>
          <w:ilvl w:val="0"/>
          <w:numId w:val="60"/>
        </w:numPr>
        <w:ind w:left="1074"/>
        <w:jc w:val="both"/>
        <w:rPr>
          <w:lang w:val="es-ES"/>
        </w:rPr>
      </w:pPr>
      <w:r w:rsidRPr="6A079B7E">
        <w:rPr>
          <w:lang w:val="es-ES"/>
        </w:rPr>
        <w:t xml:space="preserve">«Servicios </w:t>
      </w:r>
      <w:r w:rsidR="00904E1A" w:rsidRPr="6A079B7E">
        <w:rPr>
          <w:lang w:val="es-ES"/>
        </w:rPr>
        <w:t>pertinentes»</w:t>
      </w:r>
      <w:r w:rsidRPr="6A079B7E">
        <w:rPr>
          <w:lang w:val="es-ES"/>
        </w:rPr>
        <w:t xml:space="preserve">: servicios que sustentan i) las funciones esenciales del banco para la economía (servicios esenciales) y </w:t>
      </w:r>
      <w:proofErr w:type="spellStart"/>
      <w:r w:rsidRPr="6A079B7E">
        <w:rPr>
          <w:lang w:val="es-ES"/>
        </w:rPr>
        <w:t>ii</w:t>
      </w:r>
      <w:proofErr w:type="spellEnd"/>
      <w:r w:rsidRPr="6A079B7E">
        <w:rPr>
          <w:lang w:val="es-ES"/>
        </w:rPr>
        <w:t xml:space="preserve">) las ramas de actividad principales (servicios </w:t>
      </w:r>
      <w:r w:rsidR="44E29CE9" w:rsidRPr="00867E1E">
        <w:rPr>
          <w:lang w:val="es-ES"/>
        </w:rPr>
        <w:t>principales</w:t>
      </w:r>
      <w:r w:rsidRPr="6A079B7E">
        <w:rPr>
          <w:lang w:val="es-ES"/>
        </w:rPr>
        <w:t>) para las que es necesaria la continuidad para la aplicación efectiva de la estrategia de resolución. Estas categorías pueden solaparse. Esto se aplica por analogía a los activos operativos y al personal.</w:t>
      </w:r>
    </w:p>
    <w:p w14:paraId="7FE1B323" w14:textId="05740266" w:rsidR="00414040" w:rsidRDefault="5B1A3546">
      <w:pPr>
        <w:pStyle w:val="P68B1DB1-ListParagraph8"/>
        <w:numPr>
          <w:ilvl w:val="0"/>
          <w:numId w:val="60"/>
        </w:numPr>
        <w:ind w:left="1074"/>
        <w:jc w:val="both"/>
      </w:pPr>
      <w:r>
        <w:t xml:space="preserve">«Funciones </w:t>
      </w:r>
      <w:r w:rsidR="00904E1A">
        <w:t>pertinentes</w:t>
      </w:r>
      <w:r>
        <w:t>»</w:t>
      </w:r>
      <w:r w:rsidR="006F2221">
        <w:t>:</w:t>
      </w:r>
      <w:r>
        <w:t xml:space="preserve"> </w:t>
      </w:r>
      <w:r w:rsidR="006F2221">
        <w:t xml:space="preserve">funciones </w:t>
      </w:r>
      <w:r>
        <w:t>profesionales cuya vacante en la resolución puede suponer un obstáculo para la continuidad de las funciones esenciales y las ramas de actividad principales necesarias para la aplicación efectiva de la estrategia de resolución y cualquier reestructuración consiguiente.</w:t>
      </w:r>
    </w:p>
    <w:p w14:paraId="7FE1B324" w14:textId="77777777" w:rsidR="00414040" w:rsidRDefault="00414040">
      <w:pPr>
        <w:pStyle w:val="ListParagraph"/>
        <w:ind w:left="1074"/>
        <w:rPr>
          <w:rFonts w:ascii="Times New Roman" w:hAnsi="Times New Roman"/>
          <w:color w:val="000000" w:themeColor="text1"/>
          <w:sz w:val="20"/>
          <w:szCs w:val="20"/>
        </w:rPr>
      </w:pPr>
    </w:p>
    <w:p w14:paraId="7FE1B325" w14:textId="77777777" w:rsidR="00414040" w:rsidRDefault="00904E1A">
      <w:pPr>
        <w:pStyle w:val="P68B1DB1-Instructionsberschrift25"/>
        <w:numPr>
          <w:ilvl w:val="1"/>
          <w:numId w:val="49"/>
        </w:numPr>
        <w:ind w:left="357" w:hanging="357"/>
      </w:pPr>
      <w:bookmarkStart w:id="8" w:name="_Toc81454173"/>
      <w:bookmarkStart w:id="9" w:name="_Toc211525907"/>
      <w:r>
        <w:t>Normas contables</w:t>
      </w:r>
      <w:bookmarkEnd w:id="8"/>
      <w:bookmarkEnd w:id="9"/>
    </w:p>
    <w:p w14:paraId="7FE1B326" w14:textId="6C573E68" w:rsidR="00414040" w:rsidRDefault="00904E1A">
      <w:pPr>
        <w:pStyle w:val="P68B1DB1-InstructionsText26"/>
        <w:numPr>
          <w:ilvl w:val="0"/>
          <w:numId w:val="71"/>
        </w:numPr>
        <w:spacing w:before="0"/>
        <w:ind w:left="714" w:hanging="357"/>
      </w:pPr>
      <w:r>
        <w:t xml:space="preserve">Salvo que se especifique otra cosa en las presentes instrucciones, las entidades comunicarán todos los importes sobre la base del marco contable que utilicen para la comunicación de información financiera de conformidad con los artículos 9 a 11 del Reglamento de Ejecución (UE) 2024/3117. Las entidades que no estén obligadas a comunicar información financiera de conformidad con el Reglamento de Ejecución (UE) 2024/3117 aplicarán las normas de su correspondiente marco contable. </w:t>
      </w:r>
    </w:p>
    <w:p w14:paraId="7FE1B327" w14:textId="4E8CB46F" w:rsidR="00414040" w:rsidRDefault="00904E1A">
      <w:pPr>
        <w:pStyle w:val="P68B1DB1-InstructionsText26"/>
        <w:numPr>
          <w:ilvl w:val="0"/>
          <w:numId w:val="227"/>
        </w:numPr>
        <w:spacing w:before="0"/>
      </w:pPr>
      <w:r w:rsidRPr="0F9BE4E7">
        <w:rPr>
          <w:lang w:val="es-ES"/>
        </w:rPr>
        <w:t xml:space="preserve">Se han introducido referencias a las NIIF pertinentes para las entidades que </w:t>
      </w:r>
      <w:r w:rsidR="37877D72" w:rsidRPr="0F9BE4E7">
        <w:rPr>
          <w:lang w:val="es-ES"/>
        </w:rPr>
        <w:t>presenten la información</w:t>
      </w:r>
      <w:r w:rsidRPr="0F9BE4E7">
        <w:rPr>
          <w:lang w:val="es-ES"/>
        </w:rPr>
        <w:t xml:space="preserve"> con arreglo a las Normas Internacionales de Información Financiera.</w:t>
      </w:r>
    </w:p>
    <w:p w14:paraId="7FE1B328" w14:textId="2CD6B0B8" w:rsidR="00414040" w:rsidRDefault="00904E1A">
      <w:pPr>
        <w:pStyle w:val="P68B1DB1-Instructionsberschrift25"/>
        <w:numPr>
          <w:ilvl w:val="1"/>
          <w:numId w:val="49"/>
        </w:numPr>
        <w:ind w:left="357" w:hanging="357"/>
      </w:pPr>
      <w:bookmarkStart w:id="10" w:name="_Toc211525908"/>
      <w:bookmarkStart w:id="11" w:name="_Hlk167181695"/>
      <w:bookmarkStart w:id="12" w:name="_Toc81454174"/>
      <w:r w:rsidRPr="1D5F9C02">
        <w:rPr>
          <w:lang w:val="es-ES"/>
        </w:rPr>
        <w:t xml:space="preserve">Comunicación de datos </w:t>
      </w:r>
      <w:r w:rsidR="45DA4219" w:rsidRPr="1D5F9C02">
        <w:rPr>
          <w:lang w:val="es-ES"/>
        </w:rPr>
        <w:t xml:space="preserve">con fines </w:t>
      </w:r>
      <w:r w:rsidR="007A496F">
        <w:rPr>
          <w:lang w:val="es-ES"/>
        </w:rPr>
        <w:t>de supervisión</w:t>
      </w:r>
      <w:bookmarkEnd w:id="10"/>
    </w:p>
    <w:p w14:paraId="7FE1B329" w14:textId="6843E6EF" w:rsidR="00414040" w:rsidRDefault="00904E1A">
      <w:pPr>
        <w:pStyle w:val="P68B1DB1-Instructionsberschrift310"/>
        <w:numPr>
          <w:ilvl w:val="4"/>
          <w:numId w:val="49"/>
        </w:numPr>
      </w:pPr>
      <w:r>
        <w:t xml:space="preserve">Cuando </w:t>
      </w:r>
      <w:r w:rsidR="00BE10E4">
        <w:t>el ente</w:t>
      </w:r>
      <w:r>
        <w:t xml:space="preserve"> declarante esté </w:t>
      </w:r>
      <w:r w:rsidR="00BE10E4">
        <w:t xml:space="preserve">sujeto </w:t>
      </w:r>
      <w:r>
        <w:t xml:space="preserve">a </w:t>
      </w:r>
      <w:r w:rsidR="00851725">
        <w:t xml:space="preserve">la </w:t>
      </w:r>
      <w:r>
        <w:t>comunicación de información con fines de supervisión</w:t>
      </w:r>
      <w:r w:rsidR="00AD0127">
        <w:t xml:space="preserve"> </w:t>
      </w:r>
      <w:r>
        <w:t>en virtud del Reglamento (UE) n.º 575/2013</w:t>
      </w:r>
      <w:r w:rsidR="00851725" w:rsidRPr="000847FE">
        <w:rPr>
          <w:vertAlign w:val="superscript"/>
        </w:rPr>
        <w:footnoteReference w:id="6"/>
      </w:r>
      <w:r>
        <w:t xml:space="preserve"> a nivel consolidado o individual en la fecha de referencia solicitada para la planificación de la resolución, </w:t>
      </w:r>
      <w:r w:rsidR="00BE10E4">
        <w:t>el ente</w:t>
      </w:r>
      <w:r>
        <w:t xml:space="preserve"> no estará </w:t>
      </w:r>
      <w:r w:rsidR="00BE10E4">
        <w:t xml:space="preserve">obligado </w:t>
      </w:r>
      <w:r>
        <w:t xml:space="preserve">a declarar los puntos de </w:t>
      </w:r>
      <w:r>
        <w:lastRenderedPageBreak/>
        <w:t xml:space="preserve">datos que ya se hayan comunicado. Las autoridades de resolución obtendrán estos puntos de datos directamente de </w:t>
      </w:r>
      <w:r w:rsidR="3BF46802">
        <w:t>las plantillas supervisoras</w:t>
      </w:r>
      <w:r>
        <w:t xml:space="preserve"> ya </w:t>
      </w:r>
      <w:r w:rsidR="00851725">
        <w:t xml:space="preserve">declaradas </w:t>
      </w:r>
      <w:r>
        <w:t xml:space="preserve">por </w:t>
      </w:r>
      <w:r w:rsidR="00BE10E4">
        <w:t>el ente</w:t>
      </w:r>
      <w:r>
        <w:t xml:space="preserve"> </w:t>
      </w:r>
      <w:r w:rsidR="6B94E3E9">
        <w:t>declarante</w:t>
      </w:r>
      <w:r>
        <w:t>.</w:t>
      </w:r>
    </w:p>
    <w:p w14:paraId="7FE1B32A" w14:textId="2C6B0767" w:rsidR="00414040" w:rsidRDefault="00904E1A" w:rsidP="00210421">
      <w:pPr>
        <w:pStyle w:val="P68B1DB1-Instructionsberschrift310"/>
        <w:numPr>
          <w:ilvl w:val="4"/>
          <w:numId w:val="49"/>
        </w:numPr>
        <w:rPr>
          <w:lang w:val="es-ES"/>
        </w:rPr>
      </w:pPr>
      <w:r w:rsidRPr="00E741AD">
        <w:rPr>
          <w:lang w:val="es-ES"/>
        </w:rPr>
        <w:t xml:space="preserve">Cuando </w:t>
      </w:r>
      <w:r w:rsidR="00BE10E4">
        <w:rPr>
          <w:lang w:val="es-ES"/>
        </w:rPr>
        <w:t>el ente</w:t>
      </w:r>
      <w:r w:rsidRPr="00E741AD">
        <w:rPr>
          <w:lang w:val="es-ES"/>
        </w:rPr>
        <w:t xml:space="preserve"> no esté </w:t>
      </w:r>
      <w:r w:rsidR="00BE10E4" w:rsidRPr="00E741AD">
        <w:rPr>
          <w:lang w:val="es-ES"/>
        </w:rPr>
        <w:t>sujet</w:t>
      </w:r>
      <w:r w:rsidR="00BE10E4">
        <w:rPr>
          <w:lang w:val="es-ES"/>
        </w:rPr>
        <w:t>o</w:t>
      </w:r>
      <w:r w:rsidR="00BE10E4" w:rsidRPr="00E741AD">
        <w:rPr>
          <w:lang w:val="es-ES"/>
        </w:rPr>
        <w:t xml:space="preserve"> </w:t>
      </w:r>
      <w:r w:rsidRPr="00E741AD">
        <w:rPr>
          <w:lang w:val="es-ES"/>
        </w:rPr>
        <w:t xml:space="preserve">a </w:t>
      </w:r>
      <w:r w:rsidR="00851725" w:rsidRPr="4941412B">
        <w:rPr>
          <w:lang w:val="es-ES"/>
        </w:rPr>
        <w:t xml:space="preserve">la </w:t>
      </w:r>
      <w:r w:rsidRPr="00E741AD">
        <w:rPr>
          <w:lang w:val="es-ES"/>
        </w:rPr>
        <w:t xml:space="preserve">comunicación de información con fines de supervisión en la fecha de referencia determinada, estará </w:t>
      </w:r>
      <w:r w:rsidR="00BE10E4" w:rsidRPr="00E741AD">
        <w:rPr>
          <w:lang w:val="es-ES"/>
        </w:rPr>
        <w:t>obligad</w:t>
      </w:r>
      <w:r w:rsidR="00BE10E4">
        <w:rPr>
          <w:lang w:val="es-ES"/>
        </w:rPr>
        <w:t>o</w:t>
      </w:r>
      <w:r w:rsidR="00BE10E4" w:rsidRPr="00E741AD">
        <w:rPr>
          <w:lang w:val="es-ES"/>
        </w:rPr>
        <w:t xml:space="preserve"> </w:t>
      </w:r>
      <w:r w:rsidRPr="00E741AD">
        <w:rPr>
          <w:lang w:val="es-ES"/>
        </w:rPr>
        <w:t xml:space="preserve">a declarar estos puntos de datos de conformidad con el Reglamento de Ejecución (UE) </w:t>
      </w:r>
      <w:r w:rsidR="003078D5" w:rsidRPr="00E741AD">
        <w:rPr>
          <w:lang w:val="es-ES"/>
        </w:rPr>
        <w:t>n</w:t>
      </w:r>
      <w:r w:rsidR="003078D5">
        <w:rPr>
          <w:lang w:val="es-ES"/>
        </w:rPr>
        <w:t>.</w:t>
      </w:r>
      <w:r w:rsidR="003078D5" w:rsidRPr="003078D5">
        <w:t xml:space="preserve"> </w:t>
      </w:r>
      <w:r w:rsidR="003078D5">
        <w:t>º</w:t>
      </w:r>
      <w:r w:rsidR="003078D5" w:rsidRPr="00E741AD">
        <w:rPr>
          <w:lang w:val="es-ES"/>
        </w:rPr>
        <w:t xml:space="preserve"> </w:t>
      </w:r>
      <w:r w:rsidRPr="00E741AD">
        <w:rPr>
          <w:highlight w:val="yellow"/>
          <w:lang w:val="es-ES"/>
        </w:rPr>
        <w:t>20XX/XXX</w:t>
      </w:r>
      <w:r w:rsidRPr="00E741AD">
        <w:rPr>
          <w:lang w:val="es-ES"/>
        </w:rPr>
        <w:t>.</w:t>
      </w:r>
    </w:p>
    <w:p w14:paraId="7FE1B32B" w14:textId="77777777" w:rsidR="00414040" w:rsidRDefault="00904E1A">
      <w:pPr>
        <w:pStyle w:val="P68B1DB1-Instructionsberschrift25"/>
        <w:numPr>
          <w:ilvl w:val="1"/>
          <w:numId w:val="49"/>
        </w:numPr>
        <w:ind w:left="357" w:hanging="357"/>
      </w:pPr>
      <w:bookmarkStart w:id="13" w:name="_Toc211525909"/>
      <w:bookmarkEnd w:id="11"/>
      <w:r>
        <w:t>Ámbito de consolidación</w:t>
      </w:r>
      <w:bookmarkEnd w:id="12"/>
      <w:bookmarkEnd w:id="13"/>
    </w:p>
    <w:p w14:paraId="7FE1B32C" w14:textId="77777777" w:rsidR="00414040" w:rsidRDefault="00904E1A">
      <w:pPr>
        <w:pStyle w:val="P68B1DB1-InstructionsText26"/>
        <w:numPr>
          <w:ilvl w:val="0"/>
          <w:numId w:val="228"/>
        </w:numPr>
        <w:spacing w:before="0"/>
      </w:pPr>
      <w:r>
        <w:t>Este marco se refiere, en función de la plantilla, a:</w:t>
      </w:r>
    </w:p>
    <w:p w14:paraId="7FE1B32D" w14:textId="77777777" w:rsidR="00414040" w:rsidRPr="00210421" w:rsidRDefault="00904E1A">
      <w:pPr>
        <w:pStyle w:val="P68B1DB1-numberedparagraph11"/>
        <w:numPr>
          <w:ilvl w:val="0"/>
          <w:numId w:val="81"/>
        </w:numPr>
        <w:rPr>
          <w:rFonts w:eastAsiaTheme="majorEastAsia"/>
          <w:sz w:val="20"/>
          <w:szCs w:val="20"/>
        </w:rPr>
      </w:pPr>
      <w:r w:rsidRPr="00210421">
        <w:rPr>
          <w:sz w:val="20"/>
          <w:szCs w:val="20"/>
        </w:rPr>
        <w:t>la consolidación sobre la base de la consolidación contable (entes incluidos en los estados financieros consolidados con arreglo al marco contable aplicable);</w:t>
      </w:r>
    </w:p>
    <w:p w14:paraId="7FE1B32E" w14:textId="6E54156C" w:rsidR="00414040" w:rsidRPr="00210421" w:rsidRDefault="00904E1A">
      <w:pPr>
        <w:pStyle w:val="P68B1DB1-numberedparagraph11"/>
        <w:numPr>
          <w:ilvl w:val="0"/>
          <w:numId w:val="81"/>
        </w:numPr>
        <w:rPr>
          <w:rFonts w:eastAsiaTheme="majorEastAsia"/>
          <w:sz w:val="20"/>
          <w:szCs w:val="20"/>
        </w:rPr>
      </w:pPr>
      <w:r w:rsidRPr="00210421">
        <w:rPr>
          <w:sz w:val="20"/>
          <w:szCs w:val="20"/>
        </w:rPr>
        <w:t xml:space="preserve">la consolidación prudencial [entes incluidos en el ámbito de consolidación con arreglo a la parte primera, título II, capítulo 2, del Reglamento (UE) n.º 575/2013] al nivel de la empresa matriz de la Unión; </w:t>
      </w:r>
    </w:p>
    <w:p w14:paraId="7FE1B32F" w14:textId="2AC6CCD7" w:rsidR="00414040" w:rsidRPr="00210421" w:rsidRDefault="00904E1A">
      <w:pPr>
        <w:pStyle w:val="P68B1DB1-numberedparagraph11"/>
        <w:numPr>
          <w:ilvl w:val="0"/>
          <w:numId w:val="81"/>
        </w:numPr>
        <w:rPr>
          <w:rFonts w:eastAsiaTheme="majorEastAsia"/>
          <w:sz w:val="20"/>
          <w:szCs w:val="20"/>
        </w:rPr>
      </w:pPr>
      <w:r w:rsidRPr="00210421">
        <w:rPr>
          <w:sz w:val="20"/>
          <w:szCs w:val="20"/>
        </w:rPr>
        <w:t>la consolidación al nivel del ente objeto de resolución para el grupo</w:t>
      </w:r>
      <w:r w:rsidR="00915267" w:rsidRPr="00210421">
        <w:rPr>
          <w:sz w:val="20"/>
          <w:szCs w:val="20"/>
        </w:rPr>
        <w:t xml:space="preserve"> </w:t>
      </w:r>
      <w:r w:rsidRPr="00210421">
        <w:rPr>
          <w:sz w:val="20"/>
          <w:szCs w:val="20"/>
        </w:rPr>
        <w:t>de resolución.</w:t>
      </w:r>
    </w:p>
    <w:p w14:paraId="7FE1B330" w14:textId="214A9EAE" w:rsidR="00414040" w:rsidRDefault="00904E1A">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Para cada plantilla, las entidades seguirán la base o bases de consolidación aplicables de conformidad con </w:t>
      </w:r>
      <w:r w:rsidR="00D04D9D">
        <w:rPr>
          <w:rFonts w:ascii="Times New Roman" w:hAnsi="Times New Roman" w:cs="Times New Roman"/>
          <w:sz w:val="20"/>
          <w:szCs w:val="20"/>
        </w:rPr>
        <w:t xml:space="preserve">los </w:t>
      </w:r>
      <w:r>
        <w:rPr>
          <w:rFonts w:ascii="Times New Roman" w:hAnsi="Times New Roman" w:cs="Times New Roman"/>
          <w:sz w:val="20"/>
          <w:szCs w:val="20"/>
        </w:rPr>
        <w:t>artículo</w:t>
      </w:r>
      <w:r w:rsidR="00D04D9D">
        <w:rPr>
          <w:rFonts w:ascii="Times New Roman" w:hAnsi="Times New Roman" w:cs="Times New Roman"/>
          <w:sz w:val="20"/>
          <w:szCs w:val="20"/>
        </w:rPr>
        <w:t>s</w:t>
      </w:r>
      <w:r>
        <w:rPr>
          <w:rFonts w:ascii="Times New Roman" w:hAnsi="Times New Roman" w:cs="Times New Roman"/>
          <w:sz w:val="20"/>
          <w:szCs w:val="20"/>
        </w:rPr>
        <w:t xml:space="preserve"> 2 </w:t>
      </w:r>
      <w:r w:rsidR="00D04D9D">
        <w:rPr>
          <w:rFonts w:ascii="Times New Roman" w:hAnsi="Times New Roman" w:cs="Times New Roman"/>
          <w:sz w:val="20"/>
          <w:szCs w:val="20"/>
        </w:rPr>
        <w:t>a</w:t>
      </w:r>
      <w:r>
        <w:rPr>
          <w:rFonts w:ascii="Times New Roman" w:hAnsi="Times New Roman" w:cs="Times New Roman"/>
          <w:sz w:val="20"/>
          <w:szCs w:val="20"/>
        </w:rPr>
        <w:t> 5 del Reglamento de Ejecución (UE</w:t>
      </w:r>
      <w:r>
        <w:rPr>
          <w:rFonts w:ascii="Times New Roman" w:hAnsi="Times New Roman" w:cs="Times New Roman"/>
          <w:sz w:val="20"/>
          <w:szCs w:val="20"/>
          <w:highlight w:val="yellow"/>
        </w:rPr>
        <w:t>)</w:t>
      </w:r>
      <w:r w:rsidR="00E843A0">
        <w:rPr>
          <w:rFonts w:ascii="Times New Roman" w:hAnsi="Times New Roman" w:cs="Times New Roman"/>
          <w:sz w:val="20"/>
          <w:szCs w:val="20"/>
          <w:highlight w:val="yellow"/>
        </w:rPr>
        <w:t xml:space="preserve"> </w:t>
      </w:r>
      <w:r w:rsidR="00D04D9D">
        <w:rPr>
          <w:highlight w:val="yellow"/>
        </w:rPr>
        <w:t>n.</w:t>
      </w:r>
      <w:r w:rsidR="00D04D9D" w:rsidRPr="00D04D9D">
        <w:t xml:space="preserve"> </w:t>
      </w:r>
      <w:r w:rsidR="001C637B">
        <w:t>º</w:t>
      </w:r>
      <w:r w:rsidR="00D04D9D">
        <w:rPr>
          <w:rFonts w:ascii="Times New Roman" w:hAnsi="Times New Roman" w:cs="Times New Roman"/>
          <w:sz w:val="20"/>
          <w:szCs w:val="20"/>
          <w:highlight w:val="yellow"/>
        </w:rPr>
        <w:t xml:space="preserve"> 20</w:t>
      </w:r>
      <w:r w:rsidR="00D04D9D">
        <w:rPr>
          <w:highlight w:val="yellow"/>
        </w:rPr>
        <w:t>XX</w:t>
      </w:r>
      <w:r w:rsidR="00D04D9D">
        <w:rPr>
          <w:rFonts w:ascii="Times New Roman" w:hAnsi="Times New Roman" w:cs="Times New Roman"/>
          <w:sz w:val="20"/>
          <w:szCs w:val="20"/>
        </w:rPr>
        <w:t xml:space="preserve"> </w:t>
      </w:r>
      <w:r>
        <w:rPr>
          <w:rFonts w:ascii="Times New Roman" w:hAnsi="Times New Roman" w:cs="Times New Roman"/>
          <w:sz w:val="20"/>
          <w:szCs w:val="20"/>
        </w:rPr>
        <w:t>/</w:t>
      </w:r>
      <w:r>
        <w:rPr>
          <w:highlight w:val="yellow"/>
        </w:rPr>
        <w:t xml:space="preserve"> XXX.</w:t>
      </w:r>
    </w:p>
    <w:p w14:paraId="7FE1B331" w14:textId="77777777" w:rsidR="00414040" w:rsidRDefault="00904E1A">
      <w:pPr>
        <w:pStyle w:val="P68B1DB1-Instructionsberschrift25"/>
        <w:numPr>
          <w:ilvl w:val="1"/>
          <w:numId w:val="49"/>
        </w:numPr>
        <w:ind w:left="357" w:hanging="357"/>
      </w:pPr>
      <w:bookmarkStart w:id="14" w:name="_Toc81454175"/>
      <w:bookmarkStart w:id="15" w:name="_Toc211525910"/>
      <w:r>
        <w:t>Numeración y demás convenciones</w:t>
      </w:r>
      <w:bookmarkEnd w:id="14"/>
      <w:bookmarkEnd w:id="15"/>
    </w:p>
    <w:p w14:paraId="7FE1B332" w14:textId="46B62A70" w:rsidR="00414040" w:rsidRDefault="00904E1A">
      <w:pPr>
        <w:pStyle w:val="P68B1DB1-InstructionsText26"/>
        <w:numPr>
          <w:ilvl w:val="0"/>
          <w:numId w:val="230"/>
        </w:numPr>
        <w:spacing w:before="0"/>
      </w:pPr>
      <w:r>
        <w:t xml:space="preserve">Estas instrucciones siguen la convención sobre designación que se detalla en los apartados siguientes en lo que se refiere a las columnas, filas y </w:t>
      </w:r>
      <w:r w:rsidR="3AE0C5B4">
        <w:t>celdas</w:t>
      </w:r>
      <w:r>
        <w:t xml:space="preserve"> de las plantillas. Estos códigos numéricos se utilizan ampliamente en las normas de validación.</w:t>
      </w:r>
    </w:p>
    <w:p w14:paraId="7FE1B333" w14:textId="3CC434F5" w:rsidR="00414040" w:rsidRDefault="5B1A3546">
      <w:pPr>
        <w:pStyle w:val="P68B1DB1-InstructionsText26"/>
        <w:numPr>
          <w:ilvl w:val="0"/>
          <w:numId w:val="230"/>
        </w:numPr>
        <w:spacing w:before="0"/>
      </w:pPr>
      <w:r>
        <w:t xml:space="preserve">Para remitir a las columnas, filas y </w:t>
      </w:r>
      <w:r w:rsidR="002874BF">
        <w:t xml:space="preserve">celdas </w:t>
      </w:r>
      <w:r>
        <w:t xml:space="preserve">de las plantillas, en las presentes instrucciones se utiliza la siguiente notación general: {Plantilla; </w:t>
      </w:r>
      <w:r w:rsidR="791B30D0">
        <w:t>Fila</w:t>
      </w:r>
      <w:r>
        <w:t xml:space="preserve">; </w:t>
      </w:r>
      <w:r w:rsidR="4CC46823">
        <w:t>C</w:t>
      </w:r>
      <w:r>
        <w:t>olumna}.</w:t>
      </w:r>
    </w:p>
    <w:p w14:paraId="7FE1B334" w14:textId="4E305D51" w:rsidR="00414040" w:rsidRDefault="00904E1A">
      <w:pPr>
        <w:pStyle w:val="P68B1DB1-InstructionsText26"/>
        <w:numPr>
          <w:ilvl w:val="0"/>
          <w:numId w:val="230"/>
        </w:numPr>
        <w:spacing w:before="0"/>
      </w:pPr>
      <w:r>
        <w:t xml:space="preserve">En el caso de validaciones dentro de una plantilla en las que solo se utilicen puntos de datos de esa plantilla, las notaciones no hacen referencia a la plantilla: </w:t>
      </w:r>
      <w:r w:rsidR="00063E46">
        <w:t>Fila</w:t>
      </w:r>
      <w:r>
        <w:t>; Columna.</w:t>
      </w:r>
    </w:p>
    <w:p w14:paraId="7FE1B335" w14:textId="22EDE0CD" w:rsidR="00414040" w:rsidRDefault="5B1A3546">
      <w:pPr>
        <w:pStyle w:val="P68B1DB1-InstructionsText26"/>
        <w:numPr>
          <w:ilvl w:val="0"/>
          <w:numId w:val="230"/>
        </w:numPr>
        <w:spacing w:before="0"/>
      </w:pPr>
      <w:r>
        <w:t xml:space="preserve">En el caso de plantillas con una única columna, solo se hace referencia a las filas: </w:t>
      </w:r>
      <w:r w:rsidR="791B30D0">
        <w:t>Plantilla</w:t>
      </w:r>
      <w:r>
        <w:t xml:space="preserve">; </w:t>
      </w:r>
      <w:r w:rsidR="7A2C4327">
        <w:t>F</w:t>
      </w:r>
      <w:r>
        <w:t>ila:</w:t>
      </w:r>
    </w:p>
    <w:p w14:paraId="7FE1B336" w14:textId="77777777" w:rsidR="00414040" w:rsidRDefault="00904E1A">
      <w:pPr>
        <w:pStyle w:val="P68B1DB1-InstructionsText26"/>
        <w:numPr>
          <w:ilvl w:val="0"/>
          <w:numId w:val="230"/>
        </w:numPr>
        <w:spacing w:before="0"/>
      </w:pPr>
      <w:r>
        <w:t>Se utiliza un asterisco para expresar que la validación se efectúa para las filas o las columnas especificadas.</w:t>
      </w:r>
    </w:p>
    <w:p w14:paraId="7FE1B337" w14:textId="77777777" w:rsidR="00414040" w:rsidRDefault="00904E1A">
      <w:pPr>
        <w:pStyle w:val="P68B1DB1-InstructionsText26"/>
        <w:numPr>
          <w:ilvl w:val="0"/>
          <w:numId w:val="230"/>
        </w:numPr>
        <w:spacing w:before="0"/>
      </w:pPr>
      <w:r>
        <w:t>Cuando un dato no sea pertinente en relación con los entes sobre los que se presente la información, el campo correspondiente se dejará en blanco.</w:t>
      </w:r>
    </w:p>
    <w:p w14:paraId="7FE1B338" w14:textId="1A9E712E" w:rsidR="00414040" w:rsidRDefault="00904E1A">
      <w:pPr>
        <w:pStyle w:val="P68B1DB1-InstructionsText26"/>
        <w:numPr>
          <w:ilvl w:val="0"/>
          <w:numId w:val="230"/>
        </w:numPr>
        <w:spacing w:before="0"/>
      </w:pPr>
      <w:r w:rsidRPr="2133F407">
        <w:rPr>
          <w:lang w:val="es-ES"/>
        </w:rPr>
        <w:t>Cuando estas instrucciones remita</w:t>
      </w:r>
      <w:r w:rsidR="00CC6BED">
        <w:rPr>
          <w:lang w:val="es-ES"/>
        </w:rPr>
        <w:t>n</w:t>
      </w:r>
      <w:r w:rsidRPr="2133F407">
        <w:rPr>
          <w:lang w:val="es-ES"/>
        </w:rPr>
        <w:t xml:space="preserve"> a una clave principal, se entenderá que se hace referencia a una columna o combinación de columnas designadas para identificar de manera inequívoca todas las filas de la plantilla. Una clave principal contendrá un valor único para cada fila de la plantilla. No podrá contener un valor nulo.</w:t>
      </w:r>
    </w:p>
    <w:p w14:paraId="7FE1B339" w14:textId="77777777" w:rsidR="00414040" w:rsidRDefault="00904E1A">
      <w:pPr>
        <w:pStyle w:val="P68B1DB1-Instructionsberschrift24"/>
        <w:numPr>
          <w:ilvl w:val="0"/>
          <w:numId w:val="49"/>
        </w:numPr>
        <w:ind w:left="357" w:hanging="357"/>
      </w:pPr>
      <w:bookmarkStart w:id="16" w:name="_Toc492542319"/>
      <w:bookmarkStart w:id="17" w:name="_Toc81454176"/>
      <w:bookmarkStart w:id="18" w:name="_Toc211525911"/>
      <w:r>
        <w:t>Instrucciones relativas a las plantillas</w:t>
      </w:r>
      <w:bookmarkEnd w:id="16"/>
      <w:bookmarkEnd w:id="17"/>
      <w:bookmarkEnd w:id="18"/>
    </w:p>
    <w:p w14:paraId="7FE1B33A" w14:textId="64D6D4DD" w:rsidR="00414040" w:rsidRDefault="00904E1A">
      <w:pPr>
        <w:pStyle w:val="P68B1DB1-Instructionsberschrift25"/>
        <w:numPr>
          <w:ilvl w:val="1"/>
          <w:numId w:val="49"/>
        </w:numPr>
        <w:ind w:left="357" w:hanging="357"/>
      </w:pPr>
      <w:bookmarkStart w:id="19" w:name="_Toc493236007"/>
      <w:bookmarkStart w:id="20" w:name="_Toc81454177"/>
      <w:bookmarkStart w:id="21" w:name="_Toc211525912"/>
      <w:bookmarkEnd w:id="19"/>
      <w:r w:rsidRPr="11A44BD7">
        <w:rPr>
          <w:lang w:val="es-ES"/>
        </w:rPr>
        <w:t>Z 01.01.</w:t>
      </w:r>
      <w:r w:rsidR="0027792A">
        <w:rPr>
          <w:lang w:val="es-ES"/>
        </w:rPr>
        <w:t xml:space="preserve"> </w:t>
      </w:r>
      <w:r w:rsidR="00915267">
        <w:rPr>
          <w:lang w:val="es-ES"/>
        </w:rPr>
        <w:t xml:space="preserve">Entes </w:t>
      </w:r>
      <w:r w:rsidR="207B3E19" w:rsidRPr="11A44BD7">
        <w:rPr>
          <w:lang w:val="es-ES"/>
        </w:rPr>
        <w:t>jurídicos</w:t>
      </w:r>
      <w:r w:rsidRPr="11A44BD7">
        <w:rPr>
          <w:lang w:val="es-ES"/>
        </w:rPr>
        <w:t xml:space="preserve"> (ORG 1)</w:t>
      </w:r>
      <w:bookmarkEnd w:id="20"/>
      <w:bookmarkEnd w:id="21"/>
    </w:p>
    <w:p w14:paraId="7FE1B33B" w14:textId="77777777" w:rsidR="00414040" w:rsidRDefault="00904E1A">
      <w:pPr>
        <w:pStyle w:val="Instructionsberschrift3"/>
      </w:pPr>
      <w:r>
        <w:t>Observaciones generales</w:t>
      </w:r>
    </w:p>
    <w:p w14:paraId="7FE1B33C" w14:textId="49091A76" w:rsidR="00414040" w:rsidRDefault="00904E1A">
      <w:pPr>
        <w:pStyle w:val="P68B1DB1-InstructionsText26"/>
        <w:numPr>
          <w:ilvl w:val="0"/>
          <w:numId w:val="231"/>
        </w:numPr>
        <w:spacing w:before="0"/>
      </w:pPr>
      <w:r w:rsidRPr="2BBA0212">
        <w:rPr>
          <w:lang w:val="es-ES"/>
        </w:rPr>
        <w:t>Se presentará una plantilla única en relación con tod</w:t>
      </w:r>
      <w:r w:rsidR="00951916">
        <w:rPr>
          <w:lang w:val="es-ES"/>
        </w:rPr>
        <w:t>o</w:t>
      </w:r>
      <w:r w:rsidRPr="2BBA0212">
        <w:rPr>
          <w:lang w:val="es-ES"/>
        </w:rPr>
        <w:t>s l</w:t>
      </w:r>
      <w:r w:rsidR="00951916">
        <w:rPr>
          <w:lang w:val="es-ES"/>
        </w:rPr>
        <w:t>o</w:t>
      </w:r>
      <w:r w:rsidRPr="2BBA0212">
        <w:rPr>
          <w:lang w:val="es-ES"/>
        </w:rPr>
        <w:t xml:space="preserve">s </w:t>
      </w:r>
      <w:r w:rsidR="50598216" w:rsidRPr="2BBA0212">
        <w:rPr>
          <w:lang w:val="es-ES"/>
        </w:rPr>
        <w:t>entes</w:t>
      </w:r>
      <w:r w:rsidRPr="2BBA0212">
        <w:rPr>
          <w:lang w:val="es-ES"/>
        </w:rPr>
        <w:t xml:space="preserve"> del grupo incluid</w:t>
      </w:r>
      <w:r w:rsidR="00951916">
        <w:rPr>
          <w:lang w:val="es-ES"/>
        </w:rPr>
        <w:t>o</w:t>
      </w:r>
      <w:r w:rsidRPr="2BBA0212">
        <w:rPr>
          <w:lang w:val="es-ES"/>
        </w:rPr>
        <w:t xml:space="preserve">s en el ámbito de consolidación contable. En esta plantilla solo deberán </w:t>
      </w:r>
      <w:r w:rsidR="247B00DA" w:rsidRPr="50750AEF">
        <w:rPr>
          <w:lang w:val="es-ES"/>
        </w:rPr>
        <w:t>incluirse</w:t>
      </w:r>
      <w:r w:rsidRPr="2BBA0212">
        <w:rPr>
          <w:lang w:val="es-ES"/>
        </w:rPr>
        <w:t xml:space="preserve"> entes jurídicos. </w:t>
      </w:r>
    </w:p>
    <w:p w14:paraId="7FE1B33D" w14:textId="500029A4" w:rsidR="00414040" w:rsidRDefault="5B1A3546">
      <w:pPr>
        <w:pStyle w:val="P68B1DB1-InstructionsText26"/>
        <w:numPr>
          <w:ilvl w:val="0"/>
          <w:numId w:val="231"/>
        </w:numPr>
        <w:spacing w:before="0"/>
      </w:pPr>
      <w:r>
        <w:lastRenderedPageBreak/>
        <w:t xml:space="preserve">El concepto de </w:t>
      </w:r>
      <w:r w:rsidR="60024783">
        <w:t>entes</w:t>
      </w:r>
      <w:r>
        <w:t xml:space="preserve"> jurídic</w:t>
      </w:r>
      <w:r w:rsidR="19161AC8">
        <w:t>o</w:t>
      </w:r>
      <w:r>
        <w:t xml:space="preserve">s </w:t>
      </w:r>
      <w:r w:rsidR="00904E1A">
        <w:t>pertinentes</w:t>
      </w:r>
      <w:r>
        <w:t xml:space="preserve"> no se limita únicamente a las operaciones bancarias, sino que también incluye </w:t>
      </w:r>
      <w:r w:rsidR="63CD33FA">
        <w:t xml:space="preserve">otros entes </w:t>
      </w:r>
      <w:r>
        <w:t xml:space="preserve">que son </w:t>
      </w:r>
      <w:r w:rsidR="63CD33FA">
        <w:t xml:space="preserve">necesarios </w:t>
      </w:r>
      <w:r>
        <w:t xml:space="preserve">para apoyar las operaciones del grupo bancario de manera sustancial. Esto incluye a los proveedores de servicios para funciones esenciales y ramas de actividad sustanciales, a </w:t>
      </w:r>
      <w:r w:rsidR="60D3912C">
        <w:t>los entes</w:t>
      </w:r>
      <w:r>
        <w:t xml:space="preserve"> que proporcionan financiación y a </w:t>
      </w:r>
      <w:r w:rsidR="53797C09">
        <w:t>otros</w:t>
      </w:r>
      <w:r>
        <w:t xml:space="preserve"> </w:t>
      </w:r>
      <w:r w:rsidR="6DA49145">
        <w:t>entes</w:t>
      </w:r>
      <w:r>
        <w:t xml:space="preserve"> que están muy interrelacionad</w:t>
      </w:r>
      <w:r w:rsidR="1A8FE0DF">
        <w:t>o</w:t>
      </w:r>
      <w:r>
        <w:t>s (económicamente) con el grupo. Se espera que la identificación de est</w:t>
      </w:r>
      <w:r w:rsidR="00295F59">
        <w:t>o</w:t>
      </w:r>
      <w:r>
        <w:t xml:space="preserve">s </w:t>
      </w:r>
      <w:r w:rsidR="00295F59">
        <w:t xml:space="preserve">entes </w:t>
      </w:r>
      <w:r>
        <w:t>adicionales se guíe por los requisitos de la estrategia de resolución, que son definidos por las autoridades de resolución.</w:t>
      </w:r>
    </w:p>
    <w:p w14:paraId="7FE1B33E" w14:textId="77777777" w:rsidR="00414040" w:rsidRDefault="00904E1A">
      <w:pPr>
        <w:pStyle w:val="P68B1DB1-Instructionsberschrift312"/>
      </w:pPr>
      <w:r>
        <w:t>Instrucciones relativas a posiciones concretas</w:t>
      </w:r>
    </w:p>
    <w:p w14:paraId="7FE1B33F" w14:textId="77777777" w:rsidR="00414040" w:rsidRDefault="00414040">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57"/>
        <w:gridCol w:w="8069"/>
      </w:tblGrid>
      <w:tr w:rsidR="00414040" w14:paraId="7FE1B342" w14:textId="77777777" w:rsidTr="73DD02DC">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414040" w:rsidRDefault="00904E1A">
            <w:pPr>
              <w:pStyle w:val="P68B1DB1-TableParagraph13"/>
              <w:spacing w:before="66"/>
              <w:rPr>
                <w:rFonts w:eastAsia="Cambria"/>
              </w:rPr>
            </w:pPr>
            <w:r>
              <w:t>Columnas</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414040" w:rsidRDefault="00904E1A">
            <w:pPr>
              <w:pStyle w:val="P68B1DB1-TableParagraph13"/>
              <w:spacing w:before="66"/>
              <w:ind w:right="1"/>
              <w:jc w:val="center"/>
              <w:rPr>
                <w:rFonts w:eastAsia="Cambria"/>
              </w:rPr>
            </w:pPr>
            <w:r>
              <w:t>Instrucciones</w:t>
            </w:r>
          </w:p>
        </w:tc>
      </w:tr>
      <w:tr w:rsidR="00414040" w14:paraId="7FE1B349" w14:textId="77777777" w:rsidTr="73DD02DC">
        <w:tc>
          <w:tcPr>
            <w:tcW w:w="0" w:type="auto"/>
            <w:tcBorders>
              <w:top w:val="single" w:sz="4" w:space="0" w:color="1A171C"/>
              <w:left w:val="nil"/>
              <w:bottom w:val="single" w:sz="4" w:space="0" w:color="1A171C"/>
              <w:right w:val="single" w:sz="4" w:space="0" w:color="1A171C"/>
            </w:tcBorders>
          </w:tcPr>
          <w:p w14:paraId="7FE1B346" w14:textId="77777777" w:rsidR="00414040" w:rsidRDefault="00904E1A">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314A6BAB" w:rsidR="00414040" w:rsidRDefault="0930E9D3">
            <w:pPr>
              <w:pStyle w:val="P68B1DB1-TableParagraph14"/>
              <w:spacing w:before="108"/>
              <w:ind w:left="85"/>
            </w:pPr>
            <w:r>
              <w:t>Nombre</w:t>
            </w:r>
          </w:p>
          <w:p w14:paraId="7FE1B348" w14:textId="72774D25" w:rsidR="00414040" w:rsidRDefault="00904E1A" w:rsidP="00630BC5">
            <w:pPr>
              <w:pStyle w:val="P68B1DB1-TableParagraph15"/>
              <w:spacing w:before="108"/>
              <w:ind w:left="85"/>
              <w:rPr>
                <w:lang w:val="es-ES"/>
              </w:rPr>
            </w:pPr>
            <w:r w:rsidRPr="11A44BD7">
              <w:rPr>
                <w:lang w:val="es-ES"/>
              </w:rPr>
              <w:t>Nombre del ente. Denominación oficial tal como figure en los estatutos sociales, incluida la indicación de la forma jurídica.</w:t>
            </w:r>
          </w:p>
        </w:tc>
      </w:tr>
      <w:tr w:rsidR="00414040" w14:paraId="7FE1B34E" w14:textId="77777777" w:rsidTr="73DD02DC">
        <w:tc>
          <w:tcPr>
            <w:tcW w:w="0" w:type="auto"/>
            <w:tcBorders>
              <w:top w:val="single" w:sz="4" w:space="0" w:color="1A171C"/>
              <w:left w:val="nil"/>
              <w:bottom w:val="single" w:sz="4" w:space="0" w:color="1A171C"/>
              <w:right w:val="single" w:sz="4" w:space="0" w:color="1A171C"/>
            </w:tcBorders>
          </w:tcPr>
          <w:p w14:paraId="7FE1B34A" w14:textId="77777777" w:rsidR="00414040" w:rsidRDefault="00904E1A">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414040" w:rsidRDefault="00904E1A">
            <w:pPr>
              <w:pStyle w:val="P68B1DB1-TableParagraph14"/>
              <w:spacing w:before="108"/>
              <w:ind w:left="85"/>
            </w:pPr>
            <w:r>
              <w:t>Código</w:t>
            </w:r>
          </w:p>
          <w:p w14:paraId="7FE1B34C" w14:textId="1208E989" w:rsidR="00414040" w:rsidRDefault="00904E1A">
            <w:pPr>
              <w:pStyle w:val="P68B1DB1-TableParagraph13"/>
              <w:spacing w:before="108"/>
              <w:ind w:left="85"/>
            </w:pPr>
            <w:r>
              <w:t xml:space="preserve">Código del ente. En el caso de las entidades será el código </w:t>
            </w:r>
            <w:r w:rsidR="000D2FBC">
              <w:t xml:space="preserve">LEI </w:t>
            </w:r>
            <w:r>
              <w:t xml:space="preserve">alfanumérico de 20 </w:t>
            </w:r>
            <w:r w:rsidR="002D65FE">
              <w:t>dígitos</w:t>
            </w:r>
            <w:r>
              <w:t xml:space="preserve">. En el caso de </w:t>
            </w:r>
            <w:r w:rsidR="79A2AF84">
              <w:t>otros entes</w:t>
            </w:r>
            <w:r>
              <w:t xml:space="preserve">, el código será el código LEI alfanumérico de 20 dígitos o, si no se dispone de él, el identificador de la IFM o un código </w:t>
            </w:r>
            <w:r w:rsidR="007D72F6">
              <w:t>conforme</w:t>
            </w:r>
            <w:r>
              <w:t xml:space="preserve"> a una codificación uniforme aplicable en la Unión.</w:t>
            </w:r>
          </w:p>
          <w:p w14:paraId="7FE1B34D" w14:textId="77777777" w:rsidR="00414040" w:rsidRDefault="00904E1A">
            <w:pPr>
              <w:pStyle w:val="P68B1DB1-TableParagraph13"/>
              <w:spacing w:before="108"/>
              <w:ind w:left="85"/>
            </w:pPr>
            <w:r>
              <w:t>El código será único y se utilizará de manera coherente en las distintas plantillas. El código tendrá siempre un valor.</w:t>
            </w:r>
          </w:p>
        </w:tc>
      </w:tr>
      <w:tr w:rsidR="00414040" w14:paraId="7FE1B354" w14:textId="77777777" w:rsidTr="73DD02DC">
        <w:tc>
          <w:tcPr>
            <w:tcW w:w="0" w:type="auto"/>
            <w:tcBorders>
              <w:top w:val="single" w:sz="4" w:space="0" w:color="1A171C"/>
              <w:left w:val="nil"/>
              <w:bottom w:val="single" w:sz="4" w:space="0" w:color="1A171C"/>
              <w:right w:val="single" w:sz="4" w:space="0" w:color="1A171C"/>
            </w:tcBorders>
          </w:tcPr>
          <w:p w14:paraId="7FE1B34F" w14:textId="77777777" w:rsidR="00414040" w:rsidRDefault="00904E1A">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7AF3F8BE" w:rsidR="00414040" w:rsidRDefault="00904E1A">
            <w:pPr>
              <w:pStyle w:val="P68B1DB1-TableParagraph14"/>
              <w:spacing w:before="108"/>
              <w:ind w:left="85"/>
              <w:jc w:val="both"/>
            </w:pPr>
            <w:r>
              <w:t>Tipo de código</w:t>
            </w:r>
          </w:p>
          <w:p w14:paraId="7FE1B352" w14:textId="7C9FB737" w:rsidR="00414040" w:rsidRDefault="00904E1A">
            <w:pPr>
              <w:pStyle w:val="P68B1DB1-TableParagraph13"/>
              <w:spacing w:before="108"/>
            </w:pPr>
            <w:r>
              <w:t>Se seleccionará una de las opciones siguientes: «Código LEI», «Código de IFM» o «Tipo de identificador: distinto del código LEI o de IFM».</w:t>
            </w:r>
          </w:p>
          <w:p w14:paraId="7FE1B353" w14:textId="7C9A9844" w:rsidR="00414040" w:rsidRDefault="5B1A3546" w:rsidP="6A079B7E">
            <w:pPr>
              <w:pStyle w:val="P68B1DB1-TableParagraph13"/>
              <w:spacing w:before="108"/>
              <w:ind w:left="85"/>
              <w:jc w:val="both"/>
              <w:rPr>
                <w:b/>
                <w:bCs/>
              </w:rPr>
            </w:pPr>
            <w:r>
              <w:t xml:space="preserve">La identificación de </w:t>
            </w:r>
            <w:r w:rsidR="25AE60F3">
              <w:t>los entes</w:t>
            </w:r>
            <w:r>
              <w:t xml:space="preserve"> se hará de manera coherente en todas las plantillas.</w:t>
            </w:r>
          </w:p>
        </w:tc>
      </w:tr>
      <w:tr w:rsidR="00414040" w14:paraId="7FE1B372" w14:textId="77777777" w:rsidTr="73DD02DC">
        <w:tc>
          <w:tcPr>
            <w:tcW w:w="0" w:type="auto"/>
            <w:tcBorders>
              <w:top w:val="single" w:sz="4" w:space="0" w:color="1A171C"/>
              <w:left w:val="nil"/>
              <w:bottom w:val="single" w:sz="4" w:space="0" w:color="1A171C"/>
              <w:right w:val="single" w:sz="4" w:space="0" w:color="1A171C"/>
            </w:tcBorders>
          </w:tcPr>
          <w:p w14:paraId="7FE1B359" w14:textId="77777777" w:rsidR="00414040" w:rsidRDefault="00904E1A">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414040" w:rsidRDefault="00904E1A">
            <w:pPr>
              <w:pStyle w:val="P68B1DB1-TableParagraph14"/>
              <w:spacing w:before="108"/>
              <w:ind w:left="85"/>
            </w:pPr>
            <w:r>
              <w:t>Tipo de ente</w:t>
            </w:r>
          </w:p>
          <w:p w14:paraId="7FE1B35B" w14:textId="77777777" w:rsidR="00414040" w:rsidRDefault="00904E1A">
            <w:pPr>
              <w:pStyle w:val="P68B1DB1-TableParagraph13"/>
              <w:spacing w:before="108"/>
              <w:ind w:left="85"/>
            </w:pPr>
            <w:r>
              <w:t>Será uno de los siguientes, por orden secuencial de prioridad:</w:t>
            </w:r>
          </w:p>
          <w:p w14:paraId="7FE1B35C" w14:textId="77777777" w:rsidR="00414040" w:rsidRDefault="00904E1A">
            <w:pPr>
              <w:pStyle w:val="P68B1DB1-TableParagraph13"/>
              <w:numPr>
                <w:ilvl w:val="0"/>
                <w:numId w:val="67"/>
              </w:numPr>
              <w:spacing w:before="108"/>
            </w:pPr>
            <w:r>
              <w:t>«Entidad de crédito»</w:t>
            </w:r>
          </w:p>
          <w:p w14:paraId="7FE1B35D" w14:textId="653C7762" w:rsidR="00414040" w:rsidRDefault="00904E1A">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Esta categoría comprenderá las entidades de crédito según se definen en el artículo 4, apartado 1, punto 1, del Reglamento (UE) n.º 575/2013, sin incluir los entes contemplados en el artículo 2, apartado 5, de la Directiva (UE) 2013/36/UE</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414040" w:rsidRDefault="00904E1A">
            <w:pPr>
              <w:pStyle w:val="P68B1DB1-TableParagraph13"/>
              <w:numPr>
                <w:ilvl w:val="0"/>
                <w:numId w:val="67"/>
              </w:numPr>
              <w:spacing w:before="108"/>
            </w:pPr>
            <w:r>
              <w:t>«Empresa de servicios de inversión sujeta al requisito de capital inicial establecido en el artículo 9, apartado 1, de la Directiva (UE) 2019/2034»</w:t>
            </w:r>
          </w:p>
          <w:p w14:paraId="7FE1B35F" w14:textId="3246B488" w:rsidR="00414040" w:rsidRDefault="00904E1A">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Esta categoría comprenderá las empresas de servicios de inversión según se definen en el artículo 4, apartado 1, punto 22, del Reglamento (UE)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que estén sujetas al requisito de capital inicial establecido en el artículo 9, apartado 1, de la Directiva (UE)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414040" w:rsidRDefault="00904E1A">
            <w:pPr>
              <w:pStyle w:val="P68B1DB1-TableParagraph13"/>
              <w:numPr>
                <w:ilvl w:val="0"/>
                <w:numId w:val="67"/>
              </w:numPr>
              <w:spacing w:before="108"/>
            </w:pPr>
            <w:r>
              <w:lastRenderedPageBreak/>
              <w:t>«Empresa de servicios de inversión no sujeta al requisito de capital inicial establecido en el artículo 9, apartado 1, de la Directiva (UE) 2019/2034»</w:t>
            </w:r>
          </w:p>
          <w:p w14:paraId="7FE1B361" w14:textId="77777777" w:rsidR="00414040" w:rsidRDefault="00904E1A">
            <w:pPr>
              <w:pStyle w:val="P68B1DB1-TableParagraph13"/>
              <w:numPr>
                <w:ilvl w:val="0"/>
                <w:numId w:val="67"/>
              </w:numPr>
              <w:spacing w:before="108"/>
            </w:pPr>
            <w:r>
              <w:t>«Entidad financiera»</w:t>
            </w:r>
          </w:p>
          <w:p w14:paraId="7FE1B362" w14:textId="624C26EE" w:rsidR="00414040" w:rsidRDefault="00904E1A">
            <w:pPr>
              <w:pStyle w:val="P68B1DB1-TableParagraph13"/>
              <w:spacing w:before="108"/>
              <w:ind w:left="445"/>
            </w:pPr>
            <w:r>
              <w:t xml:space="preserve">Esta categoría abarcará las entidades financieras según se definen en el artículo 4, apartado 1, punto 26, del Reglamento (UE) n.º 575/2013 distintas de las clasificadas como </w:t>
            </w:r>
            <w:r w:rsidR="008C7C49">
              <w:t>«</w:t>
            </w:r>
            <w:r>
              <w:t>sociedades de cartera</w:t>
            </w:r>
            <w:r w:rsidR="008C7C49">
              <w:t>»</w:t>
            </w:r>
            <w:r>
              <w:t xml:space="preserve"> según se describen a continuación en la letra e).</w:t>
            </w:r>
          </w:p>
          <w:p w14:paraId="7FE1B363" w14:textId="77777777" w:rsidR="00414040" w:rsidRDefault="00904E1A">
            <w:pPr>
              <w:pStyle w:val="P68B1DB1-TableParagraph13"/>
              <w:numPr>
                <w:ilvl w:val="0"/>
                <w:numId w:val="67"/>
              </w:numPr>
              <w:spacing w:before="108"/>
            </w:pPr>
            <w:r>
              <w:t>«Sociedad de cartera»</w:t>
            </w:r>
          </w:p>
          <w:p w14:paraId="7FE1B364" w14:textId="77777777" w:rsidR="00414040" w:rsidRDefault="00904E1A">
            <w:pPr>
              <w:pStyle w:val="P68B1DB1-TableParagraph13"/>
              <w:spacing w:before="108"/>
              <w:ind w:left="445"/>
            </w:pPr>
            <w:r>
              <w:t>Esta categoría abarcará las sociedades siguientes:</w:t>
            </w:r>
          </w:p>
          <w:p w14:paraId="7FE1B365" w14:textId="77777777" w:rsidR="00414040" w:rsidRDefault="00904E1A">
            <w:pPr>
              <w:pStyle w:val="P68B1DB1-TableParagraph13"/>
              <w:numPr>
                <w:ilvl w:val="0"/>
                <w:numId w:val="68"/>
              </w:numPr>
              <w:spacing w:before="108"/>
            </w:pPr>
            <w:r>
              <w:t>Sociedades financieras de cartera según se definen en el artículo 4, apartado 1, punto 20, del Reglamento (UE) n.º 575/2013;</w:t>
            </w:r>
          </w:p>
          <w:p w14:paraId="7FE1B366" w14:textId="77777777" w:rsidR="00414040" w:rsidRDefault="00904E1A">
            <w:pPr>
              <w:pStyle w:val="P68B1DB1-TableParagraph13"/>
              <w:numPr>
                <w:ilvl w:val="0"/>
                <w:numId w:val="68"/>
              </w:numPr>
              <w:spacing w:before="108"/>
            </w:pPr>
            <w:r>
              <w:t>Sociedades financieras mixtas de cartera según se definen en el artículo 4, apartado 1, punto 21, del Reglamento (UE) n.º 575/2013;</w:t>
            </w:r>
          </w:p>
          <w:p w14:paraId="7FE1B367" w14:textId="77777777" w:rsidR="00414040" w:rsidRDefault="00904E1A">
            <w:pPr>
              <w:pStyle w:val="P68B1DB1-TableParagraph13"/>
              <w:numPr>
                <w:ilvl w:val="0"/>
                <w:numId w:val="68"/>
              </w:numPr>
              <w:spacing w:before="108"/>
            </w:pPr>
            <w:r>
              <w:t>Sociedades mixtas de cartera según se definen en el artículo 4, apartado 1, punto 22, del Reglamento (UE) n.º 575/2013;</w:t>
            </w:r>
          </w:p>
          <w:p w14:paraId="7FE1B368" w14:textId="77777777" w:rsidR="00414040" w:rsidRDefault="00904E1A">
            <w:pPr>
              <w:pStyle w:val="P68B1DB1-TableParagraph13"/>
              <w:numPr>
                <w:ilvl w:val="0"/>
                <w:numId w:val="68"/>
              </w:numPr>
              <w:spacing w:before="108"/>
            </w:pPr>
            <w:r>
              <w:t>Sociedades financieras de cartera matrices según se definen en el artículo 4, apartado 1, punto 30, del Reglamento (UE) n.º 575/2013;</w:t>
            </w:r>
          </w:p>
          <w:p w14:paraId="7FE1B369" w14:textId="77777777" w:rsidR="00414040" w:rsidRDefault="5B1A3546">
            <w:pPr>
              <w:pStyle w:val="P68B1DB1-TableParagraph13"/>
              <w:numPr>
                <w:ilvl w:val="0"/>
                <w:numId w:val="68"/>
              </w:numPr>
              <w:spacing w:before="108"/>
            </w:pPr>
            <w:r>
              <w:t>Sociedades financieras de cartera matrices de la Unión según se definen en el artículo 4, apartado 1, punto 31, del Reglamento (UE) n.º 575/2013;</w:t>
            </w:r>
          </w:p>
          <w:p w14:paraId="7FE1B36A" w14:textId="77777777" w:rsidR="00414040" w:rsidRDefault="00904E1A">
            <w:pPr>
              <w:pStyle w:val="P68B1DB1-TableParagraph13"/>
              <w:numPr>
                <w:ilvl w:val="0"/>
                <w:numId w:val="68"/>
              </w:numPr>
              <w:spacing w:before="108"/>
            </w:pPr>
            <w:r>
              <w:t>Sociedades financieras mixtas de cartera matrices de un Estado miembro según se definen en el artículo 4, apartado 1, punto 32, del Reglamento (UE) n.º 575/2013;</w:t>
            </w:r>
          </w:p>
          <w:p w14:paraId="7FE1B36B" w14:textId="77777777" w:rsidR="00414040" w:rsidRDefault="00904E1A">
            <w:pPr>
              <w:pStyle w:val="P68B1DB1-TableParagraph13"/>
              <w:numPr>
                <w:ilvl w:val="0"/>
                <w:numId w:val="68"/>
              </w:numPr>
              <w:spacing w:before="108"/>
            </w:pPr>
            <w:r>
              <w:t>Sociedades financieras mixtas de cartera matrices de la Unión según se definen en el artículo 4, apartado 1, punto 33, del Reglamento (UE) n.º 575/2013.</w:t>
            </w:r>
          </w:p>
          <w:p w14:paraId="7FE1B36C" w14:textId="0F68F780" w:rsidR="00414040" w:rsidRDefault="00904E1A">
            <w:pPr>
              <w:pStyle w:val="P68B1DB1-TableParagraph13"/>
              <w:numPr>
                <w:ilvl w:val="0"/>
                <w:numId w:val="67"/>
              </w:numPr>
              <w:spacing w:before="108"/>
            </w:pPr>
            <w:r>
              <w:t>«Empresa de seguros»</w:t>
            </w:r>
          </w:p>
          <w:p w14:paraId="7FE1B36D" w14:textId="77777777" w:rsidR="00414040" w:rsidRDefault="00904E1A">
            <w:pPr>
              <w:pStyle w:val="P68B1DB1-TableParagraph16"/>
              <w:numPr>
                <w:ilvl w:val="0"/>
                <w:numId w:val="68"/>
              </w:numPr>
              <w:spacing w:before="108"/>
              <w:rPr>
                <w:color w:val="000000" w:themeColor="text1"/>
                <w:sz w:val="20"/>
                <w:szCs w:val="20"/>
              </w:rPr>
            </w:pPr>
            <w:r>
              <w:rPr>
                <w:color w:val="000000" w:themeColor="text1"/>
                <w:sz w:val="20"/>
                <w:szCs w:val="20"/>
              </w:rPr>
              <w:t>Esta categoría abarcará las empresas de seguros según se definen en el artículo 13 de la Directiva 2009/138/CE del Parlamento Europeo y del Consejo</w:t>
            </w:r>
            <w:r w:rsidRPr="00210421">
              <w:rPr>
                <w:vertAlign w:val="superscript"/>
              </w:rPr>
              <w:footnoteReference w:id="10"/>
            </w:r>
            <w:r>
              <w:rPr>
                <w:color w:val="000000" w:themeColor="text1"/>
                <w:sz w:val="20"/>
                <w:szCs w:val="20"/>
              </w:rPr>
              <w:t>.</w:t>
            </w:r>
          </w:p>
          <w:p w14:paraId="7FE1B36E" w14:textId="42C6CAD7" w:rsidR="00414040" w:rsidRDefault="5B1A3546">
            <w:pPr>
              <w:pStyle w:val="P68B1DB1-TableParagraph13"/>
              <w:numPr>
                <w:ilvl w:val="0"/>
                <w:numId w:val="67"/>
              </w:numPr>
              <w:spacing w:before="108"/>
            </w:pPr>
            <w:r>
              <w:t xml:space="preserve">«Proveedor de servicios </w:t>
            </w:r>
            <w:r w:rsidR="00904E1A">
              <w:t>pertinente</w:t>
            </w:r>
            <w:r>
              <w:t xml:space="preserve">» dentro del grupo, conectado a funciones esenciales </w:t>
            </w:r>
            <w:r w:rsidR="4B995CCC">
              <w:t>y/</w:t>
            </w:r>
            <w:r>
              <w:t>o a operaciones económicas significativas.</w:t>
            </w:r>
          </w:p>
          <w:p w14:paraId="7FE1B370" w14:textId="77777777" w:rsidR="00414040" w:rsidRDefault="00414040">
            <w:pPr>
              <w:pStyle w:val="TableParagraph"/>
              <w:spacing w:before="108"/>
              <w:rPr>
                <w:rFonts w:ascii="Times New Roman" w:hAnsi="Times New Roman" w:cs="Times New Roman"/>
                <w:color w:val="000000" w:themeColor="text1"/>
                <w:sz w:val="20"/>
                <w:szCs w:val="20"/>
              </w:rPr>
            </w:pPr>
          </w:p>
          <w:p w14:paraId="7FE1B371" w14:textId="428C2715" w:rsidR="00414040" w:rsidRDefault="00904E1A">
            <w:pPr>
              <w:pStyle w:val="P68B1DB1-TableParagraph16"/>
              <w:numPr>
                <w:ilvl w:val="0"/>
                <w:numId w:val="67"/>
              </w:numPr>
              <w:spacing w:before="108"/>
              <w:rPr>
                <w:color w:val="000000" w:themeColor="text1"/>
                <w:sz w:val="20"/>
                <w:szCs w:val="20"/>
              </w:rPr>
            </w:pPr>
            <w:r>
              <w:rPr>
                <w:color w:val="000000" w:themeColor="text1"/>
                <w:sz w:val="20"/>
                <w:szCs w:val="20"/>
              </w:rPr>
              <w:t>«Otro tipo de ente», cuando no quepa incluir el ente en ninguna de las categorías antes mencionadas</w:t>
            </w:r>
            <w:r w:rsidR="005A4BEF">
              <w:rPr>
                <w:color w:val="000000" w:themeColor="text1"/>
                <w:sz w:val="20"/>
                <w:szCs w:val="20"/>
              </w:rPr>
              <w:t xml:space="preserve"> </w:t>
            </w:r>
            <w:r>
              <w:rPr>
                <w:color w:val="000000" w:themeColor="text1"/>
                <w:sz w:val="20"/>
                <w:szCs w:val="20"/>
              </w:rPr>
              <w:t>(es decir, proveedor de financiación importante)</w:t>
            </w:r>
          </w:p>
        </w:tc>
      </w:tr>
      <w:tr w:rsidR="00414040" w14:paraId="7FE1B376" w14:textId="77777777" w:rsidTr="73DD02DC">
        <w:tc>
          <w:tcPr>
            <w:tcW w:w="0" w:type="auto"/>
            <w:tcBorders>
              <w:top w:val="single" w:sz="4" w:space="0" w:color="1A171C"/>
              <w:left w:val="nil"/>
              <w:bottom w:val="single" w:sz="4" w:space="0" w:color="1A171C"/>
              <w:right w:val="single" w:sz="4" w:space="0" w:color="1A171C"/>
            </w:tcBorders>
          </w:tcPr>
          <w:p w14:paraId="7FE1B373" w14:textId="77777777" w:rsidR="00414040" w:rsidRDefault="00904E1A">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414040" w:rsidRDefault="00904E1A">
            <w:pPr>
              <w:pStyle w:val="P68B1DB1-TableParagraph14"/>
              <w:spacing w:before="108"/>
              <w:ind w:left="85"/>
            </w:pPr>
            <w:r>
              <w:t>País</w:t>
            </w:r>
          </w:p>
          <w:p w14:paraId="7FE1B375" w14:textId="77777777" w:rsidR="00414040" w:rsidRDefault="00904E1A">
            <w:pPr>
              <w:pStyle w:val="P68B1DB1-TableParagraph13"/>
              <w:spacing w:before="108"/>
              <w:ind w:left="85"/>
              <w:jc w:val="both"/>
            </w:pPr>
            <w:r>
              <w:t>Código ISO 3166-1-alfa-2 del país de constitución del ente, que puede ser un Estado miembro o un tercer país.</w:t>
            </w:r>
          </w:p>
        </w:tc>
      </w:tr>
      <w:tr w:rsidR="00414040" w14:paraId="7FE1B37A" w14:textId="77777777" w:rsidTr="73DD02DC">
        <w:tc>
          <w:tcPr>
            <w:tcW w:w="0" w:type="auto"/>
            <w:tcBorders>
              <w:top w:val="single" w:sz="4" w:space="0" w:color="1A171C"/>
              <w:left w:val="nil"/>
              <w:bottom w:val="single" w:sz="4" w:space="0" w:color="1A171C"/>
              <w:right w:val="single" w:sz="4" w:space="0" w:color="1A171C"/>
            </w:tcBorders>
          </w:tcPr>
          <w:p w14:paraId="7FE1B377" w14:textId="77777777" w:rsidR="00414040" w:rsidRDefault="00904E1A">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1FD503D5" w:rsidR="00414040" w:rsidRDefault="00904E1A">
            <w:pPr>
              <w:pStyle w:val="P68B1DB1-TableParagraph14"/>
              <w:spacing w:before="108"/>
              <w:ind w:left="85"/>
            </w:pPr>
            <w:r w:rsidRPr="41346908">
              <w:rPr>
                <w:lang w:val="es-ES"/>
              </w:rPr>
              <w:t xml:space="preserve">LEI del </w:t>
            </w:r>
            <w:r w:rsidR="005A4BEF">
              <w:rPr>
                <w:lang w:val="es-ES"/>
              </w:rPr>
              <w:t>p</w:t>
            </w:r>
            <w:r w:rsidR="0E3F816C" w:rsidRPr="41346908">
              <w:rPr>
                <w:lang w:val="es-ES"/>
              </w:rPr>
              <w:t>unto de entrada</w:t>
            </w:r>
            <w:r w:rsidR="4A303D6E" w:rsidRPr="41346908">
              <w:rPr>
                <w:lang w:val="es-ES"/>
              </w:rPr>
              <w:t xml:space="preserve"> (</w:t>
            </w:r>
            <w:r w:rsidRPr="41346908">
              <w:rPr>
                <w:lang w:val="es-ES"/>
              </w:rPr>
              <w:t>POE</w:t>
            </w:r>
            <w:r w:rsidR="27A5099A" w:rsidRPr="41346908">
              <w:rPr>
                <w:lang w:val="es-ES"/>
              </w:rPr>
              <w:t>,</w:t>
            </w:r>
            <w:r w:rsidR="00915267">
              <w:rPr>
                <w:lang w:val="es-ES"/>
              </w:rPr>
              <w:t xml:space="preserve"> </w:t>
            </w:r>
            <w:r w:rsidR="27A5099A" w:rsidRPr="41346908">
              <w:rPr>
                <w:lang w:val="es-ES"/>
              </w:rPr>
              <w:t xml:space="preserve">por sus siglas en inglés) </w:t>
            </w:r>
            <w:r w:rsidRPr="41346908">
              <w:rPr>
                <w:lang w:val="es-ES"/>
              </w:rPr>
              <w:t>del Grupo de Resolución</w:t>
            </w:r>
          </w:p>
          <w:p w14:paraId="7FE1B379" w14:textId="18B1FFB5" w:rsidR="00414040" w:rsidRDefault="00904E1A">
            <w:pPr>
              <w:pStyle w:val="P68B1DB1-TableParagraph13"/>
              <w:spacing w:before="108"/>
              <w:ind w:left="85"/>
              <w:rPr>
                <w:bCs/>
              </w:rPr>
            </w:pPr>
            <w:r>
              <w:t xml:space="preserve">Código LEI que identifica el punto de entrada del grupo de resolución al que pertenece </w:t>
            </w:r>
            <w:r w:rsidR="00C01CF2">
              <w:t>el ente</w:t>
            </w:r>
            <w:r>
              <w:t xml:space="preserve"> identificad</w:t>
            </w:r>
            <w:r w:rsidR="00C01CF2">
              <w:t>o</w:t>
            </w:r>
            <w:r>
              <w:t xml:space="preserve"> en el punto 0010.</w:t>
            </w:r>
          </w:p>
        </w:tc>
      </w:tr>
      <w:tr w:rsidR="00414040" w14:paraId="7FE1B386" w14:textId="77777777" w:rsidTr="73DD02DC">
        <w:tc>
          <w:tcPr>
            <w:tcW w:w="0" w:type="auto"/>
            <w:tcBorders>
              <w:top w:val="single" w:sz="4" w:space="0" w:color="1A171C"/>
              <w:left w:val="nil"/>
              <w:bottom w:val="single" w:sz="4" w:space="0" w:color="1A171C"/>
              <w:right w:val="single" w:sz="4" w:space="0" w:color="1A171C"/>
            </w:tcBorders>
          </w:tcPr>
          <w:p w14:paraId="7FE1B381" w14:textId="77777777" w:rsidR="00414040" w:rsidRDefault="00904E1A">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414040" w:rsidRDefault="00904E1A">
            <w:pPr>
              <w:pStyle w:val="P68B1DB1-TableParagraph14"/>
              <w:spacing w:before="108"/>
              <w:ind w:left="85"/>
              <w:jc w:val="both"/>
            </w:pPr>
            <w:r>
              <w:t>Dispensa del artículo 7 del RRC</w:t>
            </w:r>
          </w:p>
          <w:p w14:paraId="55D9E117" w14:textId="7E8F5C82" w:rsidR="00414040" w:rsidRPr="00210421" w:rsidRDefault="4D8F6C6F" w:rsidP="517CC703">
            <w:pPr>
              <w:pStyle w:val="TableParagraph"/>
              <w:spacing w:before="108"/>
              <w:jc w:val="both"/>
              <w:rPr>
                <w:rFonts w:ascii="Times New Roman" w:hAnsi="Times New Roman" w:cs="Times New Roman"/>
                <w:color w:val="000000" w:themeColor="text1"/>
                <w:sz w:val="20"/>
                <w:szCs w:val="20"/>
              </w:rPr>
            </w:pPr>
            <w:r w:rsidRPr="00210421">
              <w:rPr>
                <w:rFonts w:ascii="Times New Roman" w:hAnsi="Times New Roman" w:cs="Times New Roman"/>
                <w:color w:val="000000" w:themeColor="text1"/>
                <w:sz w:val="20"/>
                <w:szCs w:val="20"/>
              </w:rPr>
              <w:t xml:space="preserve">Se indicará alguna de las abreviaturas siguientes: </w:t>
            </w:r>
          </w:p>
          <w:p w14:paraId="7FE1B384" w14:textId="01692A6D" w:rsidR="00414040" w:rsidRDefault="5B1A3546">
            <w:pPr>
              <w:pStyle w:val="P68B1DB1-TableParagraph13"/>
              <w:spacing w:before="108"/>
              <w:ind w:left="85"/>
              <w:jc w:val="both"/>
            </w:pPr>
            <w:r>
              <w:t>Sí</w:t>
            </w:r>
            <w:r w:rsidR="70FE02F5">
              <w:t xml:space="preserve"> </w:t>
            </w:r>
            <w:r w:rsidR="00C01CF2">
              <w:t>–</w:t>
            </w:r>
            <w:r>
              <w:t xml:space="preserve"> si la autoridad competente ha renunciado a la aplicación del artículo 6, apartado 1, del Reglamento (UE) n.º 575/2013 de conformidad con el artículo 7 de ese Reglamento;</w:t>
            </w:r>
          </w:p>
          <w:p w14:paraId="7FE1B385" w14:textId="5957EBA5" w:rsidR="00414040" w:rsidRDefault="00904E1A" w:rsidP="74CB774A">
            <w:pPr>
              <w:pStyle w:val="P68B1DB1-TableParagraph13"/>
              <w:spacing w:before="108"/>
              <w:ind w:left="85"/>
              <w:jc w:val="both"/>
              <w:rPr>
                <w:b/>
                <w:bCs/>
                <w:lang w:val="es-ES"/>
              </w:rPr>
            </w:pPr>
            <w:r w:rsidRPr="74CB774A">
              <w:rPr>
                <w:lang w:val="es-ES"/>
              </w:rPr>
              <w:lastRenderedPageBreak/>
              <w:t>No</w:t>
            </w:r>
            <w:r w:rsidR="7EE937DC" w:rsidRPr="74CB774A">
              <w:rPr>
                <w:lang w:val="es-ES"/>
              </w:rPr>
              <w:t xml:space="preserve"> </w:t>
            </w:r>
            <w:r w:rsidR="00C01CF2">
              <w:rPr>
                <w:lang w:val="es-ES"/>
              </w:rPr>
              <w:t>–</w:t>
            </w:r>
            <w:r w:rsidRPr="74CB774A">
              <w:rPr>
                <w:lang w:val="es-ES"/>
              </w:rPr>
              <w:t xml:space="preserve"> en caso contrario.</w:t>
            </w:r>
          </w:p>
        </w:tc>
      </w:tr>
      <w:tr w:rsidR="00414040" w14:paraId="7FE1B38D" w14:textId="77777777" w:rsidTr="73DD02DC">
        <w:tc>
          <w:tcPr>
            <w:tcW w:w="1064" w:type="dxa"/>
            <w:tcBorders>
              <w:top w:val="single" w:sz="4" w:space="0" w:color="1A171C"/>
              <w:left w:val="nil"/>
              <w:bottom w:val="single" w:sz="4" w:space="0" w:color="1A171C"/>
              <w:right w:val="single" w:sz="4" w:space="0" w:color="1A171C"/>
            </w:tcBorders>
          </w:tcPr>
          <w:p w14:paraId="7FE1B387" w14:textId="77777777" w:rsidR="00414040" w:rsidRDefault="00904E1A">
            <w:pPr>
              <w:pStyle w:val="P68B1DB1-TableParagraph13"/>
            </w:pPr>
            <w:r>
              <w:lastRenderedPageBreak/>
              <w:t>0080</w:t>
            </w:r>
          </w:p>
        </w:tc>
        <w:tc>
          <w:tcPr>
            <w:tcW w:w="7962" w:type="dxa"/>
            <w:tcBorders>
              <w:top w:val="single" w:sz="4" w:space="0" w:color="1A171C"/>
              <w:left w:val="single" w:sz="4" w:space="0" w:color="1A171C"/>
              <w:bottom w:val="single" w:sz="4" w:space="0" w:color="1A171C"/>
              <w:right w:val="nil"/>
            </w:tcBorders>
          </w:tcPr>
          <w:p w14:paraId="7FE1B388" w14:textId="77777777" w:rsidR="00414040" w:rsidRDefault="00904E1A">
            <w:pPr>
              <w:pStyle w:val="P68B1DB1-TableParagraph14"/>
              <w:jc w:val="both"/>
              <w:rPr>
                <w:bCs/>
              </w:rPr>
            </w:pPr>
            <w:r>
              <w:t>Dispensa del artículo 8 del RRC</w:t>
            </w:r>
          </w:p>
          <w:p w14:paraId="7FE1B389" w14:textId="7E8F5C82" w:rsidR="00414040" w:rsidRPr="00210421" w:rsidRDefault="0C11508D">
            <w:pPr>
              <w:pStyle w:val="TableParagraph"/>
              <w:jc w:val="both"/>
              <w:rPr>
                <w:rFonts w:ascii="Times New Roman" w:hAnsi="Times New Roman" w:cs="Times New Roman"/>
                <w:color w:val="000000" w:themeColor="text1"/>
                <w:sz w:val="20"/>
                <w:szCs w:val="20"/>
              </w:rPr>
            </w:pPr>
            <w:r w:rsidRPr="00210421">
              <w:rPr>
                <w:rFonts w:ascii="Times New Roman" w:hAnsi="Times New Roman" w:cs="Times New Roman"/>
                <w:color w:val="000000" w:themeColor="text1"/>
                <w:sz w:val="20"/>
                <w:szCs w:val="20"/>
              </w:rPr>
              <w:t xml:space="preserve">Se indicará alguna de las abreviaturas siguientes: </w:t>
            </w:r>
          </w:p>
          <w:p w14:paraId="7FE1B38A" w14:textId="6F3253F0" w:rsidR="00414040" w:rsidRDefault="00414040">
            <w:pPr>
              <w:pStyle w:val="P68B1DB1-TableParagraph13"/>
              <w:spacing w:before="108"/>
              <w:ind w:left="85"/>
              <w:jc w:val="both"/>
            </w:pPr>
          </w:p>
          <w:p w14:paraId="7FE1B38B" w14:textId="1A52822A" w:rsidR="00414040" w:rsidRDefault="00904E1A">
            <w:pPr>
              <w:pStyle w:val="P68B1DB1-TableParagraph13"/>
              <w:spacing w:before="108"/>
              <w:ind w:left="85"/>
              <w:jc w:val="both"/>
            </w:pPr>
            <w:r w:rsidRPr="74CB774A">
              <w:rPr>
                <w:lang w:val="es-ES"/>
              </w:rPr>
              <w:t>Sí</w:t>
            </w:r>
            <w:r w:rsidR="0C1CE443" w:rsidRPr="74CB774A">
              <w:rPr>
                <w:lang w:val="es-ES"/>
              </w:rPr>
              <w:t xml:space="preserve"> </w:t>
            </w:r>
            <w:r w:rsidR="00867D44">
              <w:rPr>
                <w:lang w:val="es-ES"/>
              </w:rPr>
              <w:t xml:space="preserve">– </w:t>
            </w:r>
            <w:r w:rsidRPr="74CB774A">
              <w:rPr>
                <w:lang w:val="es-ES"/>
              </w:rPr>
              <w:t>si la autoridad competente ha renunciado a la aplicación de la Parte Seis del Reglamento (UE) n.º 575/2013 de conformidad con el artículo 8 de ese Reglamento;</w:t>
            </w:r>
          </w:p>
          <w:p w14:paraId="7FE1B38C" w14:textId="56B8E821" w:rsidR="00414040" w:rsidRDefault="00904E1A">
            <w:pPr>
              <w:pStyle w:val="P68B1DB1-TableParagraph13"/>
              <w:jc w:val="both"/>
              <w:rPr>
                <w:b/>
                <w:bCs/>
              </w:rPr>
            </w:pPr>
            <w:r>
              <w:t>No</w:t>
            </w:r>
            <w:r w:rsidR="1F61EF98">
              <w:t xml:space="preserve"> </w:t>
            </w:r>
            <w:r w:rsidR="00867D44">
              <w:t>–</w:t>
            </w:r>
            <w:r>
              <w:t xml:space="preserve"> en caso contrario.</w:t>
            </w:r>
          </w:p>
        </w:tc>
      </w:tr>
      <w:tr w:rsidR="00414040" w14:paraId="7FE1B395" w14:textId="77777777" w:rsidTr="73DD02DC">
        <w:tc>
          <w:tcPr>
            <w:tcW w:w="1064" w:type="dxa"/>
            <w:tcBorders>
              <w:top w:val="single" w:sz="4" w:space="0" w:color="1A171C"/>
              <w:left w:val="nil"/>
              <w:bottom w:val="single" w:sz="4" w:space="0" w:color="1A171C"/>
              <w:right w:val="single" w:sz="4" w:space="0" w:color="1A171C"/>
            </w:tcBorders>
          </w:tcPr>
          <w:p w14:paraId="7FE1B38E" w14:textId="77777777" w:rsidR="00414040" w:rsidRDefault="00904E1A">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4BE848AA" w:rsidR="00414040" w:rsidRDefault="74D9E6CD" w:rsidP="720541E3">
            <w:pPr>
              <w:pStyle w:val="P68B1DB1-TableParagraph14"/>
              <w:jc w:val="both"/>
            </w:pPr>
            <w:r>
              <w:t>Sujeto al</w:t>
            </w:r>
            <w:r w:rsidR="00904E1A">
              <w:t xml:space="preserve"> artículo 9 del RRC</w:t>
            </w:r>
          </w:p>
          <w:p w14:paraId="7FE1B391" w14:textId="2938820B" w:rsidR="00414040" w:rsidRDefault="00867D44">
            <w:pPr>
              <w:pStyle w:val="P68B1DB1-TableParagraph13"/>
              <w:spacing w:before="108"/>
              <w:ind w:left="85"/>
              <w:jc w:val="both"/>
            </w:pPr>
            <w:r>
              <w:t>Se indicará alguna de las abreviaturas siguientes:</w:t>
            </w:r>
          </w:p>
          <w:p w14:paraId="7FE1B392" w14:textId="52D6FF36" w:rsidR="00414040" w:rsidRDefault="00904E1A">
            <w:pPr>
              <w:pStyle w:val="P68B1DB1-TableParagraph13"/>
              <w:spacing w:before="108"/>
              <w:ind w:left="85"/>
              <w:jc w:val="both"/>
              <w:rPr>
                <w:lang w:val="es-ES"/>
              </w:rPr>
            </w:pPr>
            <w:r w:rsidRPr="720541E3">
              <w:rPr>
                <w:lang w:val="es-ES"/>
              </w:rPr>
              <w:t>Sí</w:t>
            </w:r>
            <w:r w:rsidR="46369B54" w:rsidRPr="720541E3">
              <w:rPr>
                <w:lang w:val="es-ES"/>
              </w:rPr>
              <w:t xml:space="preserve"> </w:t>
            </w:r>
            <w:r w:rsidR="00867D44">
              <w:rPr>
                <w:lang w:val="es-ES"/>
              </w:rPr>
              <w:t>–</w:t>
            </w:r>
            <w:r w:rsidRPr="720541E3">
              <w:rPr>
                <w:lang w:val="es-ES"/>
              </w:rPr>
              <w:t xml:space="preserve"> si el ente cumple las condiciones establecidas en el artículo 7, apartado 1, letras c) y d), y sus </w:t>
            </w:r>
            <w:proofErr w:type="gramStart"/>
            <w:r w:rsidRPr="720541E3">
              <w:rPr>
                <w:lang w:val="es-ES"/>
              </w:rPr>
              <w:t>exposiciones significativas o pasivos significativos</w:t>
            </w:r>
            <w:proofErr w:type="gramEnd"/>
            <w:r w:rsidRPr="720541E3">
              <w:rPr>
                <w:lang w:val="es-ES"/>
              </w:rPr>
              <w:t xml:space="preserve"> son frente a la entidad matriz, de conformidad con el artículo 8 del Reglamento (UE) n.º 575/2013, y, por tanto, se incorporan al cálculo del requisito de la entidad matriz con arreglo al artículo 6, apartado 1.</w:t>
            </w:r>
          </w:p>
          <w:p w14:paraId="7FE1B393" w14:textId="158B076B" w:rsidR="00414040" w:rsidRDefault="00904E1A">
            <w:pPr>
              <w:pStyle w:val="P68B1DB1-TableParagraph13"/>
              <w:jc w:val="both"/>
              <w:rPr>
                <w:b/>
                <w:bCs/>
              </w:rPr>
            </w:pPr>
            <w:r>
              <w:t>No</w:t>
            </w:r>
            <w:r w:rsidR="18480576">
              <w:t xml:space="preserve"> </w:t>
            </w:r>
            <w:r w:rsidR="00867D44">
              <w:t>–</w:t>
            </w:r>
            <w:r>
              <w:t xml:space="preserve"> en caso contrario.</w:t>
            </w:r>
          </w:p>
          <w:p w14:paraId="7FE1B394" w14:textId="77777777" w:rsidR="00414040" w:rsidRDefault="00414040">
            <w:pPr>
              <w:pStyle w:val="TableParagraph"/>
              <w:jc w:val="both"/>
              <w:rPr>
                <w:rFonts w:ascii="Times New Roman" w:hAnsi="Times New Roman" w:cs="Times New Roman"/>
                <w:b/>
                <w:bCs/>
                <w:color w:val="000000" w:themeColor="text1"/>
                <w:sz w:val="20"/>
                <w:szCs w:val="20"/>
              </w:rPr>
            </w:pPr>
          </w:p>
        </w:tc>
      </w:tr>
      <w:tr w:rsidR="00414040" w14:paraId="7FE1B39B" w14:textId="77777777" w:rsidTr="73DD02DC">
        <w:tc>
          <w:tcPr>
            <w:tcW w:w="0" w:type="auto"/>
            <w:tcBorders>
              <w:top w:val="single" w:sz="4" w:space="0" w:color="1A171C"/>
              <w:left w:val="nil"/>
              <w:bottom w:val="single" w:sz="4" w:space="0" w:color="1A171C"/>
              <w:right w:val="single" w:sz="4" w:space="0" w:color="1A171C"/>
            </w:tcBorders>
          </w:tcPr>
          <w:p w14:paraId="7FE1B396" w14:textId="5DE190C9" w:rsidR="00414040" w:rsidRDefault="00904E1A">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414040" w:rsidRDefault="00904E1A">
            <w:pPr>
              <w:pStyle w:val="P68B1DB1-TableParagraph14"/>
              <w:spacing w:before="108"/>
              <w:ind w:left="85"/>
              <w:jc w:val="both"/>
            </w:pPr>
            <w:r>
              <w:t>Dispensa del artículo 10 del RRC</w:t>
            </w:r>
          </w:p>
          <w:p w14:paraId="7FE1B398" w14:textId="003EAD94" w:rsidR="00414040" w:rsidRDefault="00414040">
            <w:pPr>
              <w:pStyle w:val="P68B1DB1-TableParagraph13"/>
              <w:spacing w:before="108"/>
              <w:ind w:left="85"/>
              <w:jc w:val="both"/>
            </w:pPr>
          </w:p>
          <w:p w14:paraId="53D021BD" w14:textId="20165792" w:rsidR="6CCDE3AF" w:rsidRDefault="6CCDE3AF" w:rsidP="720541E3">
            <w:pPr>
              <w:pStyle w:val="P68B1DB1-TableParagraph13"/>
              <w:spacing w:before="108"/>
              <w:ind w:left="85"/>
              <w:jc w:val="both"/>
            </w:pPr>
            <w:r>
              <w:t>Se indicará alguna de las abreviaturas siguientes:</w:t>
            </w:r>
          </w:p>
          <w:p w14:paraId="7FE1B399" w14:textId="2B1450DC" w:rsidR="00414040" w:rsidRDefault="00904E1A">
            <w:pPr>
              <w:pStyle w:val="P68B1DB1-TableParagraph13"/>
              <w:spacing w:before="108"/>
              <w:ind w:left="85"/>
              <w:jc w:val="both"/>
            </w:pPr>
            <w:r>
              <w:t>Sí</w:t>
            </w:r>
            <w:r w:rsidR="0DD1165C">
              <w:t xml:space="preserve"> </w:t>
            </w:r>
            <w:r w:rsidR="00867D44">
              <w:t>–</w:t>
            </w:r>
            <w:r>
              <w:t xml:space="preserve"> si la autoridad competente ha aplicado una dispensa con arreglo al artículo 10 del Reglamento (UE) n.º 575/2013;</w:t>
            </w:r>
          </w:p>
          <w:p w14:paraId="7FE1B39A" w14:textId="44F83FA4" w:rsidR="00414040" w:rsidRDefault="00904E1A" w:rsidP="720541E3">
            <w:pPr>
              <w:pStyle w:val="P68B1DB1-TableParagraph13"/>
              <w:spacing w:before="108"/>
              <w:ind w:left="85"/>
              <w:jc w:val="both"/>
              <w:rPr>
                <w:b/>
                <w:bCs/>
              </w:rPr>
            </w:pPr>
            <w:r>
              <w:t>No</w:t>
            </w:r>
            <w:r w:rsidR="049490EF">
              <w:t xml:space="preserve"> </w:t>
            </w:r>
            <w:r w:rsidR="00867D44">
              <w:t>–</w:t>
            </w:r>
            <w:r>
              <w:t xml:space="preserve"> en caso contrario.</w:t>
            </w:r>
          </w:p>
        </w:tc>
      </w:tr>
      <w:tr w:rsidR="00414040" w14:paraId="7FE1B39F" w14:textId="77777777" w:rsidTr="73DD02DC">
        <w:tc>
          <w:tcPr>
            <w:tcW w:w="0" w:type="auto"/>
            <w:tcBorders>
              <w:top w:val="single" w:sz="4" w:space="0" w:color="1A171C"/>
              <w:left w:val="nil"/>
              <w:bottom w:val="single" w:sz="4" w:space="0" w:color="1A171C"/>
              <w:right w:val="single" w:sz="4" w:space="0" w:color="1A171C"/>
            </w:tcBorders>
          </w:tcPr>
          <w:p w14:paraId="7FE1B39C" w14:textId="317C5200" w:rsidR="00414040" w:rsidRDefault="00904E1A">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414040" w:rsidRDefault="00904E1A">
            <w:pPr>
              <w:pStyle w:val="P68B1DB1-TableParagraph14"/>
              <w:spacing w:before="108"/>
              <w:jc w:val="both"/>
            </w:pPr>
            <w:r>
              <w:t>Activos totales</w:t>
            </w:r>
          </w:p>
          <w:p w14:paraId="7FE1B39E" w14:textId="72110468" w:rsidR="00414040" w:rsidRDefault="00904E1A">
            <w:pPr>
              <w:pStyle w:val="P68B1DB1-TableParagraph13"/>
              <w:spacing w:before="108"/>
              <w:jc w:val="both"/>
              <w:rPr>
                <w:b/>
              </w:rPr>
            </w:pPr>
            <w:r>
              <w:t xml:space="preserve">Activos totales según se definen a efectos </w:t>
            </w:r>
            <w:proofErr w:type="gramStart"/>
            <w:r>
              <w:t>de  FINREP</w:t>
            </w:r>
            <w:proofErr w:type="gramEnd"/>
            <w:r>
              <w:t xml:space="preserve"> {F 01.01;</w:t>
            </w:r>
            <w:r w:rsidR="00221527">
              <w:t xml:space="preserve"> </w:t>
            </w:r>
            <w:r>
              <w:t>380</w:t>
            </w:r>
            <w:r w:rsidR="00221527">
              <w:t xml:space="preserve">; </w:t>
            </w:r>
            <w:r>
              <w:t>010}</w:t>
            </w:r>
          </w:p>
        </w:tc>
      </w:tr>
      <w:tr w:rsidR="00414040" w14:paraId="7FE1B3AC" w14:textId="77777777" w:rsidTr="73DD02DC">
        <w:tc>
          <w:tcPr>
            <w:tcW w:w="0" w:type="auto"/>
            <w:tcBorders>
              <w:top w:val="single" w:sz="4" w:space="0" w:color="1A171C"/>
              <w:left w:val="nil"/>
              <w:bottom w:val="single" w:sz="4" w:space="0" w:color="1A171C"/>
              <w:right w:val="single" w:sz="4" w:space="0" w:color="1A171C"/>
            </w:tcBorders>
          </w:tcPr>
          <w:p w14:paraId="7FE1B3A8" w14:textId="69999557" w:rsidR="00414040" w:rsidRDefault="00904E1A">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5338966B" w:rsidR="00414040" w:rsidRDefault="00904E1A">
            <w:pPr>
              <w:pStyle w:val="P68B1DB1-TableParagraph14"/>
              <w:spacing w:before="108"/>
              <w:jc w:val="both"/>
            </w:pPr>
            <w:r>
              <w:t xml:space="preserve">Importe total de </w:t>
            </w:r>
            <w:r w:rsidR="596E7FF2">
              <w:t>la</w:t>
            </w:r>
            <w:r>
              <w:t xml:space="preserve"> exposición al riesgo</w:t>
            </w:r>
          </w:p>
          <w:p w14:paraId="7FE1B3AA" w14:textId="13A9398E" w:rsidR="00414040" w:rsidRDefault="00904E1A">
            <w:pPr>
              <w:pStyle w:val="P68B1DB1-TableParagraph13"/>
              <w:spacing w:before="108"/>
              <w:jc w:val="both"/>
            </w:pPr>
            <w:r>
              <w:t xml:space="preserve">Importe total de la exposición al riesgo según se define a efectos de COREP (OF): </w:t>
            </w:r>
            <w:r w:rsidR="00867D44">
              <w:t>{</w:t>
            </w:r>
            <w:r>
              <w:t>C 02.00; 010; 010</w:t>
            </w:r>
            <w:r w:rsidR="00867D44">
              <w:t>}</w:t>
            </w:r>
          </w:p>
          <w:p w14:paraId="7FE1B3AB" w14:textId="5E11B335" w:rsidR="00414040" w:rsidRDefault="60688621" w:rsidP="6A079B7E">
            <w:pPr>
              <w:pStyle w:val="P68B1DB1-TableParagraph13"/>
              <w:spacing w:before="108"/>
              <w:jc w:val="both"/>
              <w:rPr>
                <w:b/>
                <w:bCs/>
                <w:lang w:val="es-ES"/>
              </w:rPr>
            </w:pPr>
            <w:r w:rsidRPr="11A44BD7">
              <w:rPr>
                <w:lang w:val="es-ES"/>
              </w:rPr>
              <w:t xml:space="preserve">Esta partida no se </w:t>
            </w:r>
            <w:r w:rsidR="0B005F1E" w:rsidRPr="11A44BD7">
              <w:rPr>
                <w:lang w:val="es-ES"/>
              </w:rPr>
              <w:t>informará</w:t>
            </w:r>
            <w:r w:rsidRPr="11A44BD7">
              <w:rPr>
                <w:lang w:val="es-ES"/>
              </w:rPr>
              <w:t xml:space="preserve"> en el caso de los entes que no sean entidades o</w:t>
            </w:r>
            <w:r w:rsidR="3BDB5A6D" w:rsidRPr="11A44BD7">
              <w:rPr>
                <w:lang w:val="es-ES"/>
              </w:rPr>
              <w:t xml:space="preserve"> entes</w:t>
            </w:r>
            <w:r w:rsidRPr="11A44BD7">
              <w:rPr>
                <w:lang w:val="es-ES"/>
              </w:rPr>
              <w:t xml:space="preserve"> que se beneficien de una dispensa de conformidad con los artículos 7 o 10 del Reglamento (UE) n.º 575/2013.</w:t>
            </w:r>
          </w:p>
        </w:tc>
      </w:tr>
      <w:tr w:rsidR="00414040" w14:paraId="7FE1B3B1" w14:textId="77777777" w:rsidTr="73DD02DC">
        <w:tc>
          <w:tcPr>
            <w:tcW w:w="0" w:type="auto"/>
            <w:tcBorders>
              <w:top w:val="single" w:sz="4" w:space="0" w:color="1A171C"/>
              <w:left w:val="nil"/>
              <w:bottom w:val="single" w:sz="4" w:space="0" w:color="1A171C"/>
              <w:right w:val="single" w:sz="4" w:space="0" w:color="1A171C"/>
            </w:tcBorders>
          </w:tcPr>
          <w:p w14:paraId="7FE1B3AD" w14:textId="47BF222F" w:rsidR="00414040" w:rsidRDefault="00904E1A">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414040" w:rsidRDefault="00904E1A">
            <w:pPr>
              <w:pStyle w:val="P68B1DB1-TableParagraph14"/>
              <w:spacing w:before="108"/>
              <w:ind w:left="85"/>
              <w:jc w:val="both"/>
            </w:pPr>
            <w:r>
              <w:t>Medida de la exposición total</w:t>
            </w:r>
          </w:p>
          <w:p w14:paraId="7FE1B3AF" w14:textId="2AFED142" w:rsidR="00414040" w:rsidRDefault="00904E1A">
            <w:pPr>
              <w:pStyle w:val="P68B1DB1-TableParagraph13"/>
              <w:spacing w:before="108"/>
              <w:ind w:left="85"/>
              <w:jc w:val="both"/>
            </w:pPr>
            <w:r w:rsidRPr="2133F407">
              <w:rPr>
                <w:lang w:val="es-ES"/>
              </w:rPr>
              <w:t xml:space="preserve">Medida de la exposición total </w:t>
            </w:r>
            <w:r w:rsidR="00382B07">
              <w:rPr>
                <w:lang w:val="es-ES"/>
              </w:rPr>
              <w:t>de la</w:t>
            </w:r>
            <w:r w:rsidR="00382B07" w:rsidRPr="2133F407">
              <w:rPr>
                <w:lang w:val="es-ES"/>
              </w:rPr>
              <w:t xml:space="preserve"> </w:t>
            </w:r>
            <w:r w:rsidRPr="2133F407">
              <w:rPr>
                <w:lang w:val="es-ES"/>
              </w:rPr>
              <w:t xml:space="preserve">ratio de apalancamiento, tal como se define para COREP (LR): </w:t>
            </w:r>
            <w:r w:rsidR="00382B07">
              <w:t>{</w:t>
            </w:r>
            <w:r w:rsidRPr="2133F407">
              <w:rPr>
                <w:lang w:val="es-ES"/>
              </w:rPr>
              <w:t>C 47.00; 0290; 0010</w:t>
            </w:r>
            <w:r w:rsidR="00382B07">
              <w:t>}</w:t>
            </w:r>
          </w:p>
          <w:p w14:paraId="7FE1B3B0" w14:textId="0CAEADE4" w:rsidR="00414040" w:rsidRDefault="60688621">
            <w:pPr>
              <w:pStyle w:val="P68B1DB1-TableParagraph13"/>
              <w:spacing w:before="108"/>
              <w:ind w:left="85"/>
              <w:jc w:val="both"/>
            </w:pPr>
            <w:r w:rsidRPr="11A44BD7">
              <w:rPr>
                <w:lang w:val="es-ES"/>
              </w:rPr>
              <w:t xml:space="preserve">Esta partida no se </w:t>
            </w:r>
            <w:r w:rsidR="00F4B815" w:rsidRPr="11A44BD7">
              <w:rPr>
                <w:lang w:val="es-ES"/>
              </w:rPr>
              <w:t>informará</w:t>
            </w:r>
            <w:r w:rsidRPr="11A44BD7">
              <w:rPr>
                <w:lang w:val="es-ES"/>
              </w:rPr>
              <w:t xml:space="preserve"> en el caso de los entes que no sean entidades o </w:t>
            </w:r>
            <w:r w:rsidR="3D9F9BE1" w:rsidRPr="11A44BD7">
              <w:rPr>
                <w:lang w:val="es-ES"/>
              </w:rPr>
              <w:t xml:space="preserve">entes </w:t>
            </w:r>
            <w:r w:rsidRPr="11A44BD7">
              <w:rPr>
                <w:lang w:val="es-ES"/>
              </w:rPr>
              <w:t>que se beneficien de una dispensa de conformidad con los artículos 7 o 10 del Reglamento (UE) n.º 575/2013.</w:t>
            </w:r>
          </w:p>
        </w:tc>
      </w:tr>
      <w:tr w:rsidR="00414040" w14:paraId="7FE1B3B7" w14:textId="77777777" w:rsidTr="73DD02DC">
        <w:tc>
          <w:tcPr>
            <w:tcW w:w="1064" w:type="dxa"/>
            <w:tcBorders>
              <w:top w:val="single" w:sz="4" w:space="0" w:color="1A171C"/>
              <w:left w:val="nil"/>
              <w:bottom w:val="single" w:sz="4" w:space="0" w:color="1A171C"/>
              <w:right w:val="single" w:sz="4" w:space="0" w:color="1A171C"/>
            </w:tcBorders>
          </w:tcPr>
          <w:p w14:paraId="7FE1B3B2" w14:textId="3946F821" w:rsidR="00414040" w:rsidRDefault="00904E1A">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414040" w:rsidRDefault="00904E1A">
            <w:pPr>
              <w:pStyle w:val="P68B1DB1-TableParagraph14"/>
              <w:jc w:val="both"/>
              <w:rPr>
                <w:bCs/>
              </w:rPr>
            </w:pPr>
            <w:proofErr w:type="gramStart"/>
            <w:r w:rsidRPr="2133F407">
              <w:rPr>
                <w:lang w:val="es-ES"/>
              </w:rPr>
              <w:t>Total</w:t>
            </w:r>
            <w:proofErr w:type="gramEnd"/>
            <w:r w:rsidRPr="2133F407">
              <w:rPr>
                <w:lang w:val="es-ES"/>
              </w:rPr>
              <w:t xml:space="preserve"> ingresos de explotación</w:t>
            </w:r>
          </w:p>
          <w:p w14:paraId="7FE1B3B4" w14:textId="77777777" w:rsidR="00414040" w:rsidRDefault="00414040">
            <w:pPr>
              <w:pStyle w:val="TableParagraph"/>
              <w:jc w:val="both"/>
              <w:rPr>
                <w:rFonts w:ascii="Times New Roman" w:hAnsi="Times New Roman" w:cs="Times New Roman"/>
                <w:b/>
                <w:bCs/>
                <w:color w:val="000000" w:themeColor="text1"/>
                <w:sz w:val="20"/>
                <w:szCs w:val="20"/>
              </w:rPr>
            </w:pPr>
          </w:p>
          <w:p w14:paraId="7FE1B3B5" w14:textId="6F4AED7C" w:rsidR="00414040" w:rsidRDefault="00904E1A">
            <w:pPr>
              <w:pStyle w:val="P68B1DB1-TableParagraph13"/>
              <w:jc w:val="both"/>
              <w:rPr>
                <w:lang w:val="es-ES"/>
              </w:rPr>
            </w:pPr>
            <w:proofErr w:type="gramStart"/>
            <w:r w:rsidRPr="2133F407">
              <w:rPr>
                <w:lang w:val="es-ES"/>
              </w:rPr>
              <w:t>Total</w:t>
            </w:r>
            <w:proofErr w:type="gramEnd"/>
            <w:r w:rsidRPr="2133F407">
              <w:rPr>
                <w:lang w:val="es-ES"/>
              </w:rPr>
              <w:t xml:space="preserve"> de los ingresos de explotación, tal como se definen en FINREP </w:t>
            </w:r>
            <w:r w:rsidR="00382B07">
              <w:t>{</w:t>
            </w:r>
            <w:r w:rsidRPr="2133F407">
              <w:rPr>
                <w:lang w:val="es-ES"/>
              </w:rPr>
              <w:t>F 02.00; 355; 010</w:t>
            </w:r>
            <w:r w:rsidR="00382B07">
              <w:t>}</w:t>
            </w:r>
          </w:p>
          <w:p w14:paraId="7FE1B3B6" w14:textId="77777777" w:rsidR="00414040" w:rsidRDefault="00414040">
            <w:pPr>
              <w:pStyle w:val="TableParagraph"/>
              <w:jc w:val="both"/>
              <w:rPr>
                <w:rFonts w:ascii="Times New Roman" w:hAnsi="Times New Roman" w:cs="Times New Roman"/>
                <w:b/>
                <w:bCs/>
                <w:color w:val="000000" w:themeColor="text1"/>
                <w:sz w:val="20"/>
                <w:szCs w:val="20"/>
              </w:rPr>
            </w:pPr>
          </w:p>
        </w:tc>
      </w:tr>
      <w:tr w:rsidR="00414040" w14:paraId="7FE1B3C2" w14:textId="77777777" w:rsidTr="73DD02DC">
        <w:tc>
          <w:tcPr>
            <w:tcW w:w="0" w:type="auto"/>
            <w:tcBorders>
              <w:top w:val="single" w:sz="4" w:space="0" w:color="1A171C"/>
              <w:left w:val="nil"/>
              <w:bottom w:val="single" w:sz="4" w:space="0" w:color="1A171C"/>
              <w:right w:val="single" w:sz="4" w:space="0" w:color="1A171C"/>
            </w:tcBorders>
          </w:tcPr>
          <w:p w14:paraId="7FE1B3BD" w14:textId="66D829AD" w:rsidR="00414040" w:rsidRDefault="00904E1A">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414040" w:rsidRDefault="00904E1A">
            <w:pPr>
              <w:pStyle w:val="P68B1DB1-TableParagraph14"/>
              <w:spacing w:before="108"/>
              <w:jc w:val="both"/>
            </w:pPr>
            <w:r>
              <w:t>Norma contable</w:t>
            </w:r>
          </w:p>
          <w:p w14:paraId="7FE1B3BF" w14:textId="2885B1FF" w:rsidR="00414040" w:rsidRDefault="00904E1A">
            <w:pPr>
              <w:pStyle w:val="P68B1DB1-TableParagraph13"/>
              <w:spacing w:before="108"/>
              <w:jc w:val="both"/>
            </w:pPr>
            <w:r>
              <w:t xml:space="preserve">Normas contables aplicadas por el ente. </w:t>
            </w:r>
            <w:r w:rsidR="45FE27E4">
              <w:t>Se indicará alguna de las abreviaturas siguientes:</w:t>
            </w:r>
          </w:p>
          <w:p w14:paraId="7FE1B3C0" w14:textId="77777777" w:rsidR="00414040" w:rsidRDefault="00904E1A">
            <w:pPr>
              <w:pStyle w:val="P68B1DB1-TableParagraph13"/>
              <w:numPr>
                <w:ilvl w:val="0"/>
                <w:numId w:val="68"/>
              </w:numPr>
              <w:spacing w:before="108"/>
              <w:jc w:val="both"/>
            </w:pPr>
            <w:r>
              <w:t>NIIF</w:t>
            </w:r>
          </w:p>
          <w:p w14:paraId="7FE1B3C1" w14:textId="77777777" w:rsidR="00414040" w:rsidRDefault="00904E1A">
            <w:pPr>
              <w:pStyle w:val="P68B1DB1-TableParagraph13"/>
              <w:numPr>
                <w:ilvl w:val="0"/>
                <w:numId w:val="68"/>
              </w:numPr>
              <w:spacing w:before="108"/>
              <w:jc w:val="both"/>
            </w:pPr>
            <w:proofErr w:type="spellStart"/>
            <w:r w:rsidRPr="2133F407">
              <w:rPr>
                <w:lang w:val="es-ES"/>
              </w:rPr>
              <w:t>PCGAn</w:t>
            </w:r>
            <w:proofErr w:type="spellEnd"/>
          </w:p>
        </w:tc>
      </w:tr>
      <w:tr w:rsidR="00414040" w14:paraId="7FE1B3D6" w14:textId="77777777" w:rsidTr="73DD02DC">
        <w:tc>
          <w:tcPr>
            <w:tcW w:w="0" w:type="auto"/>
            <w:tcBorders>
              <w:top w:val="single" w:sz="4" w:space="0" w:color="1A171C"/>
              <w:left w:val="nil"/>
              <w:bottom w:val="single" w:sz="4" w:space="0" w:color="1A171C"/>
              <w:right w:val="single" w:sz="4" w:space="0" w:color="1A171C"/>
            </w:tcBorders>
          </w:tcPr>
          <w:p w14:paraId="7FE1B3D3" w14:textId="4630F860" w:rsidR="00414040" w:rsidRDefault="00904E1A">
            <w:pPr>
              <w:pStyle w:val="P68B1DB1-TableParagraph13"/>
              <w:spacing w:before="106"/>
              <w:ind w:left="-1"/>
            </w:pPr>
            <w:r>
              <w:lastRenderedPageBreak/>
              <w:t>0260</w:t>
            </w:r>
          </w:p>
        </w:tc>
        <w:tc>
          <w:tcPr>
            <w:tcW w:w="0" w:type="auto"/>
            <w:tcBorders>
              <w:top w:val="single" w:sz="4" w:space="0" w:color="1A171C"/>
              <w:left w:val="single" w:sz="4" w:space="0" w:color="1A171C"/>
              <w:bottom w:val="single" w:sz="4" w:space="0" w:color="1A171C"/>
              <w:right w:val="nil"/>
            </w:tcBorders>
          </w:tcPr>
          <w:p w14:paraId="7FE1B3D4" w14:textId="5FB54654" w:rsidR="00414040" w:rsidRDefault="00904E1A">
            <w:pPr>
              <w:pStyle w:val="P68B1DB1-TableParagraph14"/>
              <w:spacing w:before="108"/>
              <w:jc w:val="both"/>
            </w:pPr>
            <w:r>
              <w:t xml:space="preserve">Contribución al importe total de la exposición al riesgo consolidada </w:t>
            </w:r>
          </w:p>
          <w:p w14:paraId="7FE1B3D5" w14:textId="2C0A5888" w:rsidR="00414040" w:rsidRDefault="00904E1A" w:rsidP="73DD02DC">
            <w:pPr>
              <w:pStyle w:val="P68B1DB1-TableParagraph13"/>
              <w:spacing w:before="108"/>
              <w:jc w:val="both"/>
              <w:rPr>
                <w:b/>
                <w:bCs/>
                <w:lang w:val="es-ES"/>
              </w:rPr>
            </w:pPr>
            <w:r w:rsidRPr="73DD02DC">
              <w:rPr>
                <w:lang w:val="es-ES"/>
              </w:rPr>
              <w:t xml:space="preserve">Importe que el ente aporta al importe total de la exposición al riesgo consolidada del grupo al que se refiere </w:t>
            </w:r>
            <w:r w:rsidR="007D0411">
              <w:rPr>
                <w:lang w:val="es-ES"/>
              </w:rPr>
              <w:t>la plantilla</w:t>
            </w:r>
            <w:r w:rsidRPr="73DD02DC">
              <w:rPr>
                <w:lang w:val="es-ES"/>
              </w:rPr>
              <w:t xml:space="preserve">. </w:t>
            </w:r>
          </w:p>
        </w:tc>
      </w:tr>
      <w:tr w:rsidR="00414040" w14:paraId="7FE1B3DA" w14:textId="77777777" w:rsidTr="73DD02DC">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414040" w:rsidRDefault="00904E1A">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414040" w:rsidRDefault="00904E1A">
            <w:pPr>
              <w:pStyle w:val="P68B1DB1-TableParagraph14"/>
              <w:spacing w:before="108"/>
              <w:ind w:left="85"/>
              <w:jc w:val="both"/>
            </w:pPr>
            <w:r>
              <w:t>Contribución a la medida de la exposición total consolidada</w:t>
            </w:r>
          </w:p>
          <w:p w14:paraId="7FE1B3D9" w14:textId="23F32B88" w:rsidR="00414040" w:rsidRDefault="00904E1A" w:rsidP="73DD02DC">
            <w:pPr>
              <w:pStyle w:val="P68B1DB1-TableParagraph13"/>
              <w:spacing w:before="108"/>
              <w:ind w:left="85"/>
              <w:jc w:val="both"/>
              <w:rPr>
                <w:b/>
                <w:bCs/>
                <w:lang w:val="es-ES"/>
              </w:rPr>
            </w:pPr>
            <w:r w:rsidRPr="73DD02DC">
              <w:rPr>
                <w:lang w:val="es-ES"/>
              </w:rPr>
              <w:t>Importe que el ente aporta a la medida de</w:t>
            </w:r>
            <w:r w:rsidRPr="56ADFFF4">
              <w:rPr>
                <w:lang w:val="es-ES"/>
              </w:rPr>
              <w:t xml:space="preserve"> </w:t>
            </w:r>
            <w:r w:rsidR="6B348E5F" w:rsidRPr="56ADFFF4">
              <w:rPr>
                <w:lang w:val="es-ES"/>
              </w:rPr>
              <w:t>la</w:t>
            </w:r>
            <w:r w:rsidRPr="73DD02DC">
              <w:rPr>
                <w:lang w:val="es-ES"/>
              </w:rPr>
              <w:t xml:space="preserve"> exposición total del grupo al que se refiere </w:t>
            </w:r>
            <w:r w:rsidR="007D0411">
              <w:rPr>
                <w:lang w:val="es-ES"/>
              </w:rPr>
              <w:t>la plantilla</w:t>
            </w:r>
            <w:r w:rsidRPr="73DD02DC">
              <w:rPr>
                <w:lang w:val="es-ES"/>
              </w:rPr>
              <w:t>.</w:t>
            </w:r>
          </w:p>
        </w:tc>
      </w:tr>
      <w:tr w:rsidR="00414040" w14:paraId="7FE1B3DF" w14:textId="77777777" w:rsidTr="73DD02DC">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414040" w:rsidRDefault="00904E1A">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414040" w:rsidRDefault="00904E1A">
            <w:pPr>
              <w:pStyle w:val="P68B1DB1-TableParagraph14"/>
              <w:jc w:val="both"/>
              <w:rPr>
                <w:bCs/>
              </w:rPr>
            </w:pPr>
            <w:r>
              <w:t>Contribución a los ingresos de explotación consolidados</w:t>
            </w:r>
          </w:p>
          <w:p w14:paraId="7FE1B3DD" w14:textId="77777777" w:rsidR="00414040" w:rsidRDefault="00414040">
            <w:pPr>
              <w:pStyle w:val="TableParagraph"/>
              <w:jc w:val="both"/>
              <w:rPr>
                <w:rFonts w:ascii="Times New Roman" w:hAnsi="Times New Roman" w:cs="Times New Roman"/>
                <w:color w:val="000000" w:themeColor="text1"/>
                <w:sz w:val="20"/>
                <w:szCs w:val="20"/>
              </w:rPr>
            </w:pPr>
          </w:p>
          <w:p w14:paraId="7FE1B3DE" w14:textId="42D9B6E1" w:rsidR="00414040" w:rsidRDefault="00904E1A">
            <w:pPr>
              <w:pStyle w:val="P68B1DB1-TableParagraph13"/>
              <w:jc w:val="both"/>
            </w:pPr>
            <w:r>
              <w:t xml:space="preserve">El importe que </w:t>
            </w:r>
            <w:r w:rsidR="00BE10E4">
              <w:t>el ente</w:t>
            </w:r>
            <w:r>
              <w:t xml:space="preserve"> contribuye al importe total de los ingresos de explotación contables consolidados del grupo.</w:t>
            </w:r>
          </w:p>
        </w:tc>
      </w:tr>
      <w:tr w:rsidR="00414040" w14:paraId="7FE1B3F3" w14:textId="77777777" w:rsidTr="73DD02DC">
        <w:tc>
          <w:tcPr>
            <w:tcW w:w="0" w:type="auto"/>
            <w:tcBorders>
              <w:top w:val="single" w:sz="4" w:space="0" w:color="1A171C"/>
              <w:left w:val="nil"/>
              <w:bottom w:val="single" w:sz="4" w:space="0" w:color="1A171C"/>
              <w:right w:val="single" w:sz="4" w:space="0" w:color="1A171C"/>
            </w:tcBorders>
          </w:tcPr>
          <w:p w14:paraId="7FE1B3EF" w14:textId="434D8A04" w:rsidR="00414040" w:rsidRDefault="00904E1A">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117CFD04" w:rsidR="00414040" w:rsidRDefault="5B1A3546">
            <w:pPr>
              <w:pStyle w:val="P68B1DB1-TableParagraph14"/>
              <w:spacing w:before="108"/>
              <w:ind w:left="85"/>
              <w:jc w:val="both"/>
            </w:pPr>
            <w:r>
              <w:t xml:space="preserve">Ente jurídico </w:t>
            </w:r>
            <w:r w:rsidR="00904E1A">
              <w:t>pertinente</w:t>
            </w:r>
          </w:p>
          <w:p w14:paraId="7FE1B3F1" w14:textId="1C675D71" w:rsidR="00414040" w:rsidRDefault="5B1A3546">
            <w:pPr>
              <w:pStyle w:val="P68B1DB1-TableParagraph13"/>
              <w:spacing w:before="108"/>
              <w:jc w:val="both"/>
            </w:pPr>
            <w:r w:rsidRPr="6A079B7E">
              <w:rPr>
                <w:lang w:val="es-ES"/>
              </w:rPr>
              <w:t xml:space="preserve">Si el ente constituye un ente jurídico </w:t>
            </w:r>
            <w:r w:rsidR="00904E1A" w:rsidRPr="6A079B7E">
              <w:rPr>
                <w:lang w:val="es-ES"/>
              </w:rPr>
              <w:t>pertinente</w:t>
            </w:r>
            <w:r w:rsidRPr="6A079B7E">
              <w:rPr>
                <w:lang w:val="es-ES"/>
              </w:rPr>
              <w:t xml:space="preserve"> con arreglo a la definición que figura en el artículo 1 del presente Reglamento.</w:t>
            </w:r>
          </w:p>
          <w:p w14:paraId="7FE1B3F2" w14:textId="0E42CD28" w:rsidR="00414040" w:rsidRDefault="00414040">
            <w:pPr>
              <w:pStyle w:val="TableParagraph"/>
              <w:spacing w:before="108"/>
              <w:jc w:val="both"/>
              <w:rPr>
                <w:rFonts w:ascii="Times New Roman" w:hAnsi="Times New Roman" w:cs="Times New Roman"/>
                <w:color w:val="000000" w:themeColor="text1"/>
                <w:sz w:val="20"/>
                <w:szCs w:val="20"/>
              </w:rPr>
            </w:pPr>
          </w:p>
        </w:tc>
      </w:tr>
    </w:tbl>
    <w:p w14:paraId="7FE1B491" w14:textId="77777777" w:rsidR="00414040" w:rsidRDefault="00414040">
      <w:pPr>
        <w:rPr>
          <w:rFonts w:ascii="Times New Roman" w:hAnsi="Times New Roman" w:cs="Times New Roman"/>
        </w:rPr>
      </w:pPr>
    </w:p>
    <w:p w14:paraId="7FE1B492" w14:textId="7697A970" w:rsidR="00414040" w:rsidRDefault="00904E1A">
      <w:pPr>
        <w:pStyle w:val="P68B1DB1-Instructionsberschrift25"/>
        <w:numPr>
          <w:ilvl w:val="1"/>
          <w:numId w:val="49"/>
        </w:numPr>
        <w:ind w:left="357" w:hanging="357"/>
      </w:pPr>
      <w:bookmarkStart w:id="22" w:name="_Toc81454178"/>
      <w:bookmarkStart w:id="23" w:name="_Toc211525913"/>
      <w:r w:rsidRPr="2133F407">
        <w:rPr>
          <w:lang w:val="es-ES"/>
        </w:rPr>
        <w:t>Z 01.02.</w:t>
      </w:r>
      <w:r w:rsidR="0027792A">
        <w:rPr>
          <w:lang w:val="es-ES"/>
        </w:rPr>
        <w:t xml:space="preserve"> </w:t>
      </w:r>
      <w:r w:rsidRPr="2133F407">
        <w:rPr>
          <w:lang w:val="es-ES"/>
        </w:rPr>
        <w:t>Estructura de propiedad (ORG 2)</w:t>
      </w:r>
      <w:bookmarkEnd w:id="22"/>
      <w:bookmarkEnd w:id="23"/>
    </w:p>
    <w:p w14:paraId="7FE1B493" w14:textId="77777777" w:rsidR="00414040" w:rsidRDefault="00904E1A">
      <w:pPr>
        <w:pStyle w:val="Instructionsberschrift3"/>
      </w:pPr>
      <w:r>
        <w:t>Observaciones generales</w:t>
      </w:r>
    </w:p>
    <w:p w14:paraId="50A00AA9" w14:textId="64759EE1" w:rsidR="00414040" w:rsidRDefault="00904E1A">
      <w:pPr>
        <w:pStyle w:val="P68B1DB1-InstructionsText26"/>
        <w:numPr>
          <w:ilvl w:val="0"/>
          <w:numId w:val="234"/>
        </w:numPr>
        <w:spacing w:before="0"/>
      </w:pPr>
      <w:r w:rsidRPr="2133F407">
        <w:rPr>
          <w:lang w:val="es-ES"/>
        </w:rPr>
        <w:t xml:space="preserve">Esta plantilla ofrece una visión general de la estructura jurídica y de propiedad del grupo. Se presentará una </w:t>
      </w:r>
      <w:r w:rsidR="00D46CA2">
        <w:t xml:space="preserve">única </w:t>
      </w:r>
      <w:r w:rsidRPr="2133F407">
        <w:rPr>
          <w:lang w:val="es-ES"/>
        </w:rPr>
        <w:t xml:space="preserve">plantilla en relación con </w:t>
      </w:r>
      <w:r>
        <w:t>tod</w:t>
      </w:r>
      <w:r w:rsidR="00D46CA2">
        <w:t>o</w:t>
      </w:r>
      <w:r>
        <w:t>s l</w:t>
      </w:r>
      <w:r w:rsidR="00F1091F">
        <w:t>o</w:t>
      </w:r>
      <w:r>
        <w:t xml:space="preserve">s </w:t>
      </w:r>
      <w:r w:rsidR="00F1091F">
        <w:t>entes</w:t>
      </w:r>
      <w:r w:rsidR="00E56A6D">
        <w:t xml:space="preserve"> </w:t>
      </w:r>
      <w:r w:rsidRPr="2133F407">
        <w:rPr>
          <w:lang w:val="es-ES"/>
        </w:rPr>
        <w:t xml:space="preserve">del grupo </w:t>
      </w:r>
      <w:r>
        <w:t>incluid</w:t>
      </w:r>
      <w:r w:rsidR="00F1091F">
        <w:t>o</w:t>
      </w:r>
      <w:r>
        <w:t>s</w:t>
      </w:r>
      <w:r w:rsidRPr="2133F407">
        <w:rPr>
          <w:lang w:val="es-ES"/>
        </w:rPr>
        <w:t xml:space="preserve"> en el ámbito de consolidación contable. </w:t>
      </w:r>
    </w:p>
    <w:p w14:paraId="7FE1B494" w14:textId="293F6BD8" w:rsidR="00414040" w:rsidRDefault="00F1091F">
      <w:pPr>
        <w:pStyle w:val="P68B1DB1-InstructionsText26"/>
        <w:numPr>
          <w:ilvl w:val="0"/>
          <w:numId w:val="234"/>
        </w:numPr>
        <w:spacing w:before="0"/>
      </w:pPr>
      <w:r>
        <w:t>L</w:t>
      </w:r>
      <w:r w:rsidR="00904E1A">
        <w:t xml:space="preserve">as entidades de resolución que no formen parte de un grupo sujeto a supervisión consolidada </w:t>
      </w:r>
      <w:r>
        <w:t>presentarán también</w:t>
      </w:r>
      <w:r w:rsidR="00417CA3">
        <w:t xml:space="preserve"> </w:t>
      </w:r>
      <w:r w:rsidR="00904E1A">
        <w:t>est</w:t>
      </w:r>
      <w:r>
        <w:t>a</w:t>
      </w:r>
      <w:r w:rsidR="00417CA3">
        <w:t xml:space="preserve"> </w:t>
      </w:r>
      <w:r>
        <w:t>plantilla</w:t>
      </w:r>
      <w:r w:rsidR="00904E1A">
        <w:t xml:space="preserve">. </w:t>
      </w:r>
    </w:p>
    <w:p w14:paraId="7FE1B496" w14:textId="6D7B0F85" w:rsidR="00414040" w:rsidRDefault="00904E1A">
      <w:pPr>
        <w:pStyle w:val="P68B1DB1-InstructionsText26"/>
        <w:numPr>
          <w:ilvl w:val="0"/>
          <w:numId w:val="234"/>
        </w:numPr>
        <w:spacing w:before="0"/>
      </w:pPr>
      <w:r>
        <w:t>En esta plantilla se enumerarán todos los accionistas (o equivalentes) de l</w:t>
      </w:r>
      <w:r w:rsidR="004B1882">
        <w:t>o</w:t>
      </w:r>
      <w:r>
        <w:t>s entes del grupo con más del 2 % de capital social (o equivalente) o derechos de voto, y todas las participaciones (o equivalentes) que posean l</w:t>
      </w:r>
      <w:r w:rsidR="00BD30DC">
        <w:t>o</w:t>
      </w:r>
      <w:r>
        <w:t>s</w:t>
      </w:r>
      <w:r w:rsidR="00BD30DC">
        <w:t xml:space="preserve"> entes</w:t>
      </w:r>
      <w:r>
        <w:t xml:space="preserve"> del grupo.</w:t>
      </w:r>
    </w:p>
    <w:p w14:paraId="7FE1B497" w14:textId="77777777" w:rsidR="00414040" w:rsidRDefault="00904E1A">
      <w:pPr>
        <w:pStyle w:val="P68B1DB1-Instructionsberschrift312"/>
      </w:pPr>
      <w:r>
        <w:t>Instrucciones relativas a posiciones concretas</w:t>
      </w:r>
    </w:p>
    <w:tbl>
      <w:tblPr>
        <w:tblW w:w="0" w:type="auto"/>
        <w:tblCellMar>
          <w:top w:w="57" w:type="dxa"/>
          <w:left w:w="57" w:type="dxa"/>
          <w:bottom w:w="57" w:type="dxa"/>
          <w:right w:w="0" w:type="dxa"/>
        </w:tblCellMar>
        <w:tblLook w:val="01E0" w:firstRow="1" w:lastRow="1" w:firstColumn="1" w:lastColumn="1" w:noHBand="0" w:noVBand="0"/>
      </w:tblPr>
      <w:tblGrid>
        <w:gridCol w:w="886"/>
        <w:gridCol w:w="8140"/>
      </w:tblGrid>
      <w:tr w:rsidR="00414040" w14:paraId="7FE1B49B" w14:textId="77777777" w:rsidTr="11A44BD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414040" w:rsidRDefault="00904E1A">
            <w:pPr>
              <w:pStyle w:val="P68B1DB1-TableParagraph13"/>
              <w:spacing w:before="66"/>
              <w:rPr>
                <w:rFonts w:eastAsia="Cambria"/>
              </w:rPr>
            </w:pPr>
            <w:r>
              <w:t>Columnas</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414040" w:rsidRDefault="00904E1A">
            <w:pPr>
              <w:pStyle w:val="P68B1DB1-TableParagraph13"/>
              <w:spacing w:before="66"/>
              <w:ind w:right="1"/>
              <w:jc w:val="center"/>
              <w:rPr>
                <w:rFonts w:eastAsia="Cambria"/>
              </w:rPr>
            </w:pPr>
            <w:r>
              <w:t>Instrucciones</w:t>
            </w:r>
          </w:p>
        </w:tc>
      </w:tr>
      <w:tr w:rsidR="00414040" w14:paraId="7FE1B49E" w14:textId="77777777" w:rsidTr="11A44BD7">
        <w:tc>
          <w:tcPr>
            <w:tcW w:w="0" w:type="auto"/>
            <w:tcBorders>
              <w:top w:val="single" w:sz="4" w:space="0" w:color="1A171C"/>
              <w:left w:val="nil"/>
              <w:bottom w:val="single" w:sz="4" w:space="0" w:color="1A171C"/>
              <w:right w:val="single" w:sz="4" w:space="0" w:color="1A171C"/>
            </w:tcBorders>
          </w:tcPr>
          <w:p w14:paraId="7FE1B49C" w14:textId="77777777" w:rsidR="00414040" w:rsidRDefault="00904E1A">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414040" w:rsidRDefault="00904E1A">
            <w:pPr>
              <w:pStyle w:val="P68B1DB1-TableParagraph14"/>
              <w:spacing w:before="108"/>
              <w:ind w:left="85"/>
            </w:pPr>
            <w:r>
              <w:t>Inversor</w:t>
            </w:r>
          </w:p>
        </w:tc>
      </w:tr>
      <w:tr w:rsidR="00414040" w14:paraId="7FE1B4A2" w14:textId="77777777" w:rsidTr="11A44BD7">
        <w:tc>
          <w:tcPr>
            <w:tcW w:w="0" w:type="auto"/>
            <w:tcBorders>
              <w:top w:val="single" w:sz="4" w:space="0" w:color="1A171C"/>
              <w:left w:val="nil"/>
              <w:bottom w:val="single" w:sz="4" w:space="0" w:color="1A171C"/>
              <w:right w:val="single" w:sz="4" w:space="0" w:color="1A171C"/>
            </w:tcBorders>
          </w:tcPr>
          <w:p w14:paraId="7FE1B49F" w14:textId="77777777" w:rsidR="00414040" w:rsidRDefault="00904E1A">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250F4F77" w:rsidR="00414040" w:rsidRDefault="00F1091F">
            <w:pPr>
              <w:pStyle w:val="P68B1DB1-TableParagraph14"/>
              <w:spacing w:before="108"/>
              <w:ind w:left="85"/>
              <w:jc w:val="both"/>
              <w:rPr>
                <w:bCs/>
              </w:rPr>
            </w:pPr>
            <w:r>
              <w:t>Nombre</w:t>
            </w:r>
          </w:p>
          <w:p w14:paraId="7FE1B4A1" w14:textId="77777777" w:rsidR="00414040" w:rsidRDefault="00904E1A">
            <w:pPr>
              <w:pStyle w:val="P68B1DB1-TableParagraph17"/>
              <w:spacing w:before="108"/>
              <w:ind w:left="85"/>
              <w:rPr>
                <w:rFonts w:eastAsia="Book Antiqua"/>
              </w:rPr>
            </w:pPr>
            <w:r>
              <w:t>El nombre completo o la designación del inversor.</w:t>
            </w:r>
          </w:p>
        </w:tc>
      </w:tr>
      <w:tr w:rsidR="00414040" w14:paraId="7FE1B4AA" w14:textId="77777777" w:rsidTr="11A44BD7">
        <w:tc>
          <w:tcPr>
            <w:tcW w:w="0" w:type="auto"/>
            <w:tcBorders>
              <w:top w:val="single" w:sz="4" w:space="0" w:color="1A171C"/>
              <w:left w:val="nil"/>
              <w:bottom w:val="single" w:sz="4" w:space="0" w:color="1A171C"/>
              <w:right w:val="single" w:sz="4" w:space="0" w:color="1A171C"/>
            </w:tcBorders>
          </w:tcPr>
          <w:p w14:paraId="7FE1B4A3" w14:textId="77777777" w:rsidR="00414040" w:rsidRDefault="00904E1A">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414040" w:rsidRDefault="00904E1A">
            <w:pPr>
              <w:pStyle w:val="P68B1DB1-TableParagraph14"/>
              <w:spacing w:before="108"/>
              <w:ind w:left="85"/>
              <w:jc w:val="both"/>
              <w:rPr>
                <w:bCs/>
              </w:rPr>
            </w:pPr>
            <w:r>
              <w:t xml:space="preserve">Código </w:t>
            </w:r>
          </w:p>
          <w:p w14:paraId="7FE1B4A5" w14:textId="77777777" w:rsidR="00414040" w:rsidRDefault="00904E1A">
            <w:pPr>
              <w:pStyle w:val="P68B1DB1-TableParagraph17"/>
              <w:spacing w:before="108"/>
              <w:ind w:left="85"/>
            </w:pPr>
            <w:r>
              <w:t>Identificador único del ente jurídico o inversor que figura en la columna 0010.</w:t>
            </w:r>
          </w:p>
          <w:p w14:paraId="7FE1B4A6" w14:textId="57683C4E" w:rsidR="00414040" w:rsidRDefault="00904E1A">
            <w:pPr>
              <w:pStyle w:val="P68B1DB1-TableParagraph17"/>
              <w:spacing w:before="108"/>
              <w:ind w:left="85"/>
            </w:pPr>
            <w:r>
              <w:t xml:space="preserve">Cuando el inversor sea un ente del grupo, el código será el mismo que el </w:t>
            </w:r>
            <w:r w:rsidR="001D0CDC">
              <w:t xml:space="preserve">informado </w:t>
            </w:r>
            <w:r>
              <w:t xml:space="preserve">en la plantilla Z 01.01 (ORG 1). Cuando el inversor no sea un </w:t>
            </w:r>
            <w:r w:rsidRPr="00951D34">
              <w:t>ente</w:t>
            </w:r>
            <w:r>
              <w:t xml:space="preserve"> del grupo, el código será:</w:t>
            </w:r>
          </w:p>
          <w:p w14:paraId="7FE1B4A7" w14:textId="54DE5F64" w:rsidR="00414040" w:rsidRDefault="00904E1A">
            <w:pPr>
              <w:pStyle w:val="P68B1DB1-TableParagraph17"/>
              <w:numPr>
                <w:ilvl w:val="0"/>
                <w:numId w:val="64"/>
              </w:numPr>
              <w:spacing w:before="108"/>
            </w:pPr>
            <w:r>
              <w:t xml:space="preserve">en el caso de las </w:t>
            </w:r>
            <w:r w:rsidRPr="00951D34">
              <w:t>entidades</w:t>
            </w:r>
            <w:r>
              <w:t xml:space="preserve"> con un identificador de entidad jurídica (LEI), el código </w:t>
            </w:r>
            <w:r w:rsidR="00C06129">
              <w:t xml:space="preserve">LEI </w:t>
            </w:r>
            <w:r>
              <w:t>alfanumérico de 20 dígitos;</w:t>
            </w:r>
          </w:p>
          <w:p w14:paraId="7FE1B4A8" w14:textId="466D4FC2" w:rsidR="00414040" w:rsidRDefault="00904E1A">
            <w:pPr>
              <w:pStyle w:val="P68B1DB1-TableParagraph17"/>
              <w:numPr>
                <w:ilvl w:val="0"/>
                <w:numId w:val="64"/>
              </w:numPr>
              <w:spacing w:before="108"/>
            </w:pPr>
            <w:r>
              <w:t xml:space="preserve">si no se dispone de </w:t>
            </w:r>
            <w:r w:rsidR="00114858">
              <w:t>LEI</w:t>
            </w:r>
            <w:r>
              <w:t xml:space="preserve">, </w:t>
            </w:r>
            <w:r w:rsidR="00260011">
              <w:t>se deberá utilizar</w:t>
            </w:r>
            <w:r>
              <w:t xml:space="preserve"> el código </w:t>
            </w:r>
            <w:r w:rsidR="003475D2">
              <w:t xml:space="preserve">de </w:t>
            </w:r>
            <w:r>
              <w:t>IFM</w:t>
            </w:r>
            <w:r w:rsidR="0056592B">
              <w:t xml:space="preserve"> (</w:t>
            </w:r>
            <w:r w:rsidR="0056592B" w:rsidRPr="00630BC5">
              <w:t>MFI</w:t>
            </w:r>
            <w:r w:rsidR="0056592B" w:rsidRPr="00882468">
              <w:t>,</w:t>
            </w:r>
            <w:r w:rsidR="00B56683">
              <w:t xml:space="preserve"> por </w:t>
            </w:r>
            <w:r w:rsidR="00B51BE3">
              <w:t xml:space="preserve">sus siglas </w:t>
            </w:r>
            <w:r w:rsidR="00C82E4E">
              <w:t>en inglés)</w:t>
            </w:r>
            <w:r>
              <w:t xml:space="preserve"> o un código con arreglo a una codificación uniforme aplicable en la Unión.</w:t>
            </w:r>
          </w:p>
          <w:p w14:paraId="7FE1B4A9" w14:textId="77777777" w:rsidR="00414040" w:rsidRDefault="00904E1A">
            <w:pPr>
              <w:pStyle w:val="P68B1DB1-TableParagraph17"/>
              <w:spacing w:before="108"/>
              <w:ind w:left="85"/>
            </w:pPr>
            <w:r>
              <w:t>En ambos casos, el código será único y se utilizará de manera coherente en las distintas plantillas.</w:t>
            </w:r>
          </w:p>
        </w:tc>
      </w:tr>
      <w:tr w:rsidR="00414040" w14:paraId="7FE1B4B3" w14:textId="77777777" w:rsidTr="11A44BD7">
        <w:tc>
          <w:tcPr>
            <w:tcW w:w="0" w:type="auto"/>
            <w:tcBorders>
              <w:top w:val="single" w:sz="4" w:space="0" w:color="1A171C"/>
              <w:left w:val="nil"/>
              <w:bottom w:val="single" w:sz="4" w:space="0" w:color="1A171C"/>
              <w:right w:val="single" w:sz="4" w:space="0" w:color="1A171C"/>
            </w:tcBorders>
          </w:tcPr>
          <w:p w14:paraId="7FE1B4AB" w14:textId="77777777" w:rsidR="00414040" w:rsidRDefault="00904E1A">
            <w:pPr>
              <w:pStyle w:val="P68B1DB1-TableParagraph13"/>
              <w:spacing w:before="106"/>
              <w:ind w:left="-1"/>
            </w:pPr>
            <w:r>
              <w:lastRenderedPageBreak/>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414040" w:rsidRDefault="00904E1A">
            <w:pPr>
              <w:pStyle w:val="P68B1DB1-TableParagraph14"/>
              <w:spacing w:before="108"/>
              <w:ind w:left="85"/>
              <w:jc w:val="both"/>
              <w:rPr>
                <w:bCs/>
              </w:rPr>
            </w:pPr>
            <w:r>
              <w:t>Tipo de código</w:t>
            </w:r>
          </w:p>
          <w:p w14:paraId="560AED27" w14:textId="6A999B6B" w:rsidR="00414040" w:rsidRDefault="00904E1A">
            <w:pPr>
              <w:pStyle w:val="P68B1DB1-Normal18"/>
            </w:pPr>
            <w:r>
              <w:t xml:space="preserve">Cuando el inversor sea un ente del grupo, el código será el mismo que el </w:t>
            </w:r>
            <w:r w:rsidR="4CFFD02E">
              <w:t>informado</w:t>
            </w:r>
            <w:r>
              <w:t xml:space="preserve"> en la plantilla Z 01.01 (ORG 1). </w:t>
            </w:r>
          </w:p>
          <w:p w14:paraId="2DC78FBF" w14:textId="77777777" w:rsidR="00414040" w:rsidRDefault="00414040">
            <w:pPr>
              <w:rPr>
                <w:rFonts w:ascii="Times New Roman" w:hAnsi="Times New Roman" w:cs="Times New Roman"/>
                <w:sz w:val="20"/>
                <w:szCs w:val="20"/>
              </w:rPr>
            </w:pPr>
          </w:p>
          <w:p w14:paraId="3C91DA4D" w14:textId="535D128A" w:rsidR="00414040" w:rsidRDefault="00904E1A">
            <w:pPr>
              <w:pStyle w:val="P68B1DB1-Normal19"/>
              <w:rPr>
                <w:rFonts w:eastAsiaTheme="minorHAnsi"/>
              </w:rPr>
            </w:pPr>
            <w:r>
              <w:t>Se seleccionará una de las opciones siguientes: «Código LEI», «Código de IFM» o «Tipo de identificador: distinto del código LEI o de IFM».</w:t>
            </w:r>
          </w:p>
          <w:p w14:paraId="7FE1B4B2" w14:textId="48CD37A4" w:rsidR="00414040" w:rsidRDefault="00904E1A">
            <w:pPr>
              <w:pStyle w:val="P68B1DB1-TableParagraph17"/>
              <w:spacing w:before="108"/>
            </w:pPr>
            <w:r>
              <w:t>Para la identificación de</w:t>
            </w:r>
            <w:r w:rsidR="00BE499B">
              <w:t xml:space="preserve"> los</w:t>
            </w:r>
            <w:r>
              <w:t xml:space="preserve"> </w:t>
            </w:r>
            <w:r w:rsidR="00507D42">
              <w:t>entes</w:t>
            </w:r>
            <w:r w:rsidR="00290818">
              <w:t xml:space="preserve"> </w:t>
            </w:r>
            <w:r>
              <w:t xml:space="preserve">o inversores, </w:t>
            </w:r>
            <w:r w:rsidR="00507D42">
              <w:t>la combinación</w:t>
            </w:r>
            <w:r w:rsidR="00CD0C88">
              <w:t xml:space="preserve"> </w:t>
            </w:r>
            <w:r>
              <w:t>de código y tipo</w:t>
            </w:r>
            <w:r w:rsidR="00507D42">
              <w:t xml:space="preserve"> de código</w:t>
            </w:r>
            <w:r>
              <w:t xml:space="preserve"> se utilizará de manera coherente en todas las plantillas.</w:t>
            </w:r>
          </w:p>
        </w:tc>
      </w:tr>
      <w:tr w:rsidR="00414040" w14:paraId="7FE1B4B6" w14:textId="77777777" w:rsidTr="11A44BD7">
        <w:tc>
          <w:tcPr>
            <w:tcW w:w="0" w:type="auto"/>
            <w:tcBorders>
              <w:top w:val="single" w:sz="4" w:space="0" w:color="1A171C"/>
              <w:left w:val="nil"/>
              <w:bottom w:val="single" w:sz="4" w:space="0" w:color="1A171C"/>
              <w:right w:val="single" w:sz="4" w:space="0" w:color="1A171C"/>
            </w:tcBorders>
          </w:tcPr>
          <w:p w14:paraId="7FE1B4B4" w14:textId="106DD83A" w:rsidR="00414040" w:rsidRDefault="00904E1A">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414040" w:rsidRDefault="00904E1A">
            <w:pPr>
              <w:pStyle w:val="P68B1DB1-TableParagraph14"/>
              <w:spacing w:before="108"/>
              <w:ind w:left="85"/>
              <w:jc w:val="both"/>
              <w:rPr>
                <w:bCs/>
              </w:rPr>
            </w:pPr>
            <w:r>
              <w:t>Participada</w:t>
            </w:r>
          </w:p>
        </w:tc>
      </w:tr>
      <w:tr w:rsidR="00414040" w14:paraId="7FE1B4BA" w14:textId="77777777" w:rsidTr="11A44BD7">
        <w:tc>
          <w:tcPr>
            <w:tcW w:w="0" w:type="auto"/>
            <w:tcBorders>
              <w:top w:val="single" w:sz="4" w:space="0" w:color="1A171C"/>
              <w:left w:val="nil"/>
              <w:bottom w:val="single" w:sz="4" w:space="0" w:color="1A171C"/>
              <w:right w:val="single" w:sz="4" w:space="0" w:color="1A171C"/>
            </w:tcBorders>
          </w:tcPr>
          <w:p w14:paraId="7FE1B4B7" w14:textId="610CD32E" w:rsidR="00414040" w:rsidRDefault="00904E1A">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03DC57DD" w:rsidR="00414040" w:rsidRDefault="00507D42">
            <w:pPr>
              <w:pStyle w:val="P68B1DB1-TableParagraph14"/>
              <w:spacing w:before="108"/>
              <w:ind w:left="85"/>
              <w:jc w:val="both"/>
              <w:rPr>
                <w:bCs/>
              </w:rPr>
            </w:pPr>
            <w:r>
              <w:t>Nombre</w:t>
            </w:r>
          </w:p>
          <w:p w14:paraId="7FE1B4B9" w14:textId="37235F20" w:rsidR="00414040" w:rsidRDefault="00904E1A">
            <w:pPr>
              <w:pStyle w:val="P68B1DB1-TableParagraph13"/>
              <w:spacing w:before="108"/>
              <w:ind w:left="85"/>
              <w:jc w:val="both"/>
              <w:rPr>
                <w:bCs/>
              </w:rPr>
            </w:pPr>
            <w:r>
              <w:t>El nombre completo o la designación de</w:t>
            </w:r>
            <w:r w:rsidR="003F4F9B">
              <w:t xml:space="preserve"> la participada</w:t>
            </w:r>
            <w:r>
              <w:t>.</w:t>
            </w:r>
          </w:p>
        </w:tc>
      </w:tr>
      <w:tr w:rsidR="00414040" w14:paraId="7FE1B4C2" w14:textId="77777777" w:rsidTr="11A44BD7">
        <w:tc>
          <w:tcPr>
            <w:tcW w:w="0" w:type="auto"/>
            <w:tcBorders>
              <w:top w:val="single" w:sz="4" w:space="0" w:color="1A171C"/>
              <w:left w:val="nil"/>
              <w:bottom w:val="single" w:sz="4" w:space="0" w:color="1A171C"/>
              <w:right w:val="single" w:sz="4" w:space="0" w:color="1A171C"/>
            </w:tcBorders>
          </w:tcPr>
          <w:p w14:paraId="7FE1B4BB" w14:textId="440E68B2" w:rsidR="00414040" w:rsidRDefault="00904E1A">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414040" w:rsidRDefault="00904E1A">
            <w:pPr>
              <w:pStyle w:val="P68B1DB1-TableParagraph14"/>
              <w:spacing w:before="108"/>
              <w:ind w:left="85"/>
              <w:jc w:val="both"/>
              <w:rPr>
                <w:bCs/>
              </w:rPr>
            </w:pPr>
            <w:r>
              <w:t xml:space="preserve">Código </w:t>
            </w:r>
          </w:p>
          <w:p w14:paraId="7FE1B4BD" w14:textId="229D93E3" w:rsidR="00414040" w:rsidRDefault="00904E1A">
            <w:pPr>
              <w:pStyle w:val="P68B1DB1-TableParagraph13"/>
              <w:spacing w:before="108"/>
              <w:ind w:left="85"/>
              <w:jc w:val="both"/>
              <w:rPr>
                <w:bCs/>
              </w:rPr>
            </w:pPr>
            <w:r>
              <w:t>Identificador único del ente jurídico o inversor que figura en la columna 0010.</w:t>
            </w:r>
          </w:p>
          <w:p w14:paraId="7FE1B4BE" w14:textId="074EAE82" w:rsidR="00414040" w:rsidRDefault="00904E1A">
            <w:pPr>
              <w:pStyle w:val="P68B1DB1-TableParagraph13"/>
              <w:spacing w:before="108"/>
              <w:ind w:left="85"/>
              <w:jc w:val="both"/>
            </w:pPr>
            <w:r>
              <w:t xml:space="preserve">Cuando </w:t>
            </w:r>
            <w:r w:rsidR="0B318E56">
              <w:t>la participada</w:t>
            </w:r>
            <w:r w:rsidR="00521007">
              <w:t xml:space="preserve"> </w:t>
            </w:r>
            <w:r>
              <w:t xml:space="preserve">sea un ente del grupo, el código será el mismo que el </w:t>
            </w:r>
            <w:r w:rsidR="7295E343">
              <w:t>informado</w:t>
            </w:r>
            <w:r>
              <w:t xml:space="preserve"> en la plantilla Z 01.01 (ORG 1). Cuando </w:t>
            </w:r>
            <w:r w:rsidR="0B318E56">
              <w:t>la participada</w:t>
            </w:r>
            <w:r w:rsidR="00521007">
              <w:t xml:space="preserve"> </w:t>
            </w:r>
            <w:r>
              <w:t>no sea un ente del grupo, el código será:</w:t>
            </w:r>
          </w:p>
          <w:p w14:paraId="4B3351AF" w14:textId="708971BD" w:rsidR="00414040" w:rsidRDefault="00904E1A">
            <w:pPr>
              <w:pStyle w:val="P68B1DB1-TableParagraph13"/>
              <w:numPr>
                <w:ilvl w:val="0"/>
                <w:numId w:val="64"/>
              </w:numPr>
              <w:spacing w:before="108"/>
              <w:rPr>
                <w:bCs/>
              </w:rPr>
            </w:pPr>
            <w:r>
              <w:t xml:space="preserve">en el caso de las entidades con un identificador de entidad jurídica (LEI), el código </w:t>
            </w:r>
            <w:r w:rsidR="00C06129">
              <w:t xml:space="preserve">LEI </w:t>
            </w:r>
            <w:r>
              <w:t>alfanumérico de 20 dígitos;</w:t>
            </w:r>
          </w:p>
          <w:p w14:paraId="7FE1B4C0" w14:textId="19D653DC" w:rsidR="00414040" w:rsidRDefault="00904E1A">
            <w:pPr>
              <w:pStyle w:val="P68B1DB1-TableParagraph13"/>
              <w:numPr>
                <w:ilvl w:val="0"/>
                <w:numId w:val="64"/>
              </w:numPr>
              <w:spacing w:before="108"/>
              <w:rPr>
                <w:bCs/>
              </w:rPr>
            </w:pPr>
            <w:r w:rsidRPr="3FD92C2E">
              <w:rPr>
                <w:lang w:val="es-ES"/>
              </w:rPr>
              <w:t xml:space="preserve">si no se dispone de </w:t>
            </w:r>
            <w:r w:rsidR="00AB6F6D" w:rsidRPr="3FD92C2E">
              <w:rPr>
                <w:lang w:val="es-ES"/>
              </w:rPr>
              <w:t>LEI</w:t>
            </w:r>
            <w:r w:rsidRPr="3FD92C2E">
              <w:rPr>
                <w:lang w:val="es-ES"/>
              </w:rPr>
              <w:t xml:space="preserve">, </w:t>
            </w:r>
            <w:r w:rsidR="00AB6F6D" w:rsidRPr="3FD92C2E">
              <w:rPr>
                <w:lang w:val="es-ES"/>
              </w:rPr>
              <w:t xml:space="preserve">se deberá utilizar </w:t>
            </w:r>
            <w:r w:rsidRPr="3FD92C2E">
              <w:rPr>
                <w:lang w:val="es-ES"/>
              </w:rPr>
              <w:t xml:space="preserve">el </w:t>
            </w:r>
            <w:r w:rsidRPr="006A676F">
              <w:rPr>
                <w:lang w:val="es-ES"/>
              </w:rPr>
              <w:t xml:space="preserve">código </w:t>
            </w:r>
            <w:r w:rsidR="006A676F" w:rsidRPr="00521007">
              <w:rPr>
                <w:lang w:val="es-ES"/>
              </w:rPr>
              <w:t>de</w:t>
            </w:r>
            <w:r w:rsidR="006A676F">
              <w:rPr>
                <w:lang w:val="es-ES"/>
              </w:rPr>
              <w:t xml:space="preserve"> </w:t>
            </w:r>
            <w:r w:rsidRPr="006A676F">
              <w:rPr>
                <w:lang w:val="es-ES"/>
              </w:rPr>
              <w:t>IFM</w:t>
            </w:r>
            <w:r w:rsidRPr="3FD92C2E">
              <w:rPr>
                <w:lang w:val="es-ES"/>
              </w:rPr>
              <w:t xml:space="preserve"> </w:t>
            </w:r>
            <w:r w:rsidR="00983D42" w:rsidRPr="3FD92C2E">
              <w:rPr>
                <w:lang w:val="es-ES"/>
              </w:rPr>
              <w:t>(MFI, por sus siglas en inglés)</w:t>
            </w:r>
            <w:r w:rsidR="00CD50A8">
              <w:rPr>
                <w:lang w:val="es-ES"/>
              </w:rPr>
              <w:t xml:space="preserve"> </w:t>
            </w:r>
            <w:r w:rsidRPr="3FD92C2E">
              <w:rPr>
                <w:lang w:val="es-ES"/>
              </w:rPr>
              <w:t>o un código con arreglo a una codificación uniforme aplicable en la Unión.</w:t>
            </w:r>
          </w:p>
          <w:p w14:paraId="7FE1B4C1" w14:textId="77777777" w:rsidR="00414040" w:rsidRDefault="00904E1A">
            <w:pPr>
              <w:pStyle w:val="P68B1DB1-TableParagraph13"/>
              <w:spacing w:before="108"/>
              <w:ind w:left="85"/>
              <w:jc w:val="both"/>
              <w:rPr>
                <w:b/>
                <w:bCs/>
              </w:rPr>
            </w:pPr>
            <w:r>
              <w:t>En ambos casos, el código será único y se utilizará de manera coherente en las distintas plantillas.</w:t>
            </w:r>
          </w:p>
        </w:tc>
      </w:tr>
      <w:tr w:rsidR="00414040" w14:paraId="7FE1B4CC" w14:textId="77777777" w:rsidTr="11A44BD7">
        <w:tc>
          <w:tcPr>
            <w:tcW w:w="0" w:type="auto"/>
            <w:tcBorders>
              <w:top w:val="single" w:sz="4" w:space="0" w:color="1A171C"/>
              <w:left w:val="nil"/>
              <w:bottom w:val="single" w:sz="4" w:space="0" w:color="1A171C"/>
              <w:right w:val="single" w:sz="4" w:space="0" w:color="1A171C"/>
            </w:tcBorders>
          </w:tcPr>
          <w:p w14:paraId="7FE1B4C3" w14:textId="5A24D200" w:rsidR="00414040" w:rsidRDefault="00904E1A">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414040" w:rsidRDefault="00904E1A">
            <w:pPr>
              <w:pStyle w:val="P68B1DB1-TableParagraph14"/>
              <w:spacing w:before="108"/>
              <w:ind w:left="85"/>
              <w:jc w:val="both"/>
              <w:rPr>
                <w:bCs/>
              </w:rPr>
            </w:pPr>
            <w:r>
              <w:t>Tipo de código</w:t>
            </w:r>
          </w:p>
          <w:p w14:paraId="7FE1B4C5" w14:textId="2DF084CB" w:rsidR="00414040" w:rsidRDefault="00904E1A">
            <w:pPr>
              <w:pStyle w:val="P68B1DB1-TableParagraph13"/>
              <w:spacing w:before="108"/>
              <w:ind w:left="85"/>
              <w:jc w:val="both"/>
              <w:rPr>
                <w:bCs/>
              </w:rPr>
            </w:pPr>
            <w:r>
              <w:t xml:space="preserve">Cuando </w:t>
            </w:r>
            <w:r w:rsidR="0033289E">
              <w:t>la participada</w:t>
            </w:r>
            <w:r w:rsidR="00521007">
              <w:t xml:space="preserve"> </w:t>
            </w:r>
            <w:r>
              <w:t xml:space="preserve">sea un ente del grupo, el código será el mismo que el </w:t>
            </w:r>
            <w:r w:rsidR="00A12D5E">
              <w:t xml:space="preserve">informado </w:t>
            </w:r>
            <w:r>
              <w:t xml:space="preserve">en la plantilla Z 01.01 (ORG 1). </w:t>
            </w:r>
          </w:p>
          <w:p w14:paraId="783CEC76" w14:textId="7F232A72" w:rsidR="00414040" w:rsidRDefault="00904E1A">
            <w:pPr>
              <w:pStyle w:val="P68B1DB1-TableParagraph13"/>
              <w:spacing w:before="108"/>
              <w:ind w:left="85"/>
              <w:jc w:val="both"/>
              <w:rPr>
                <w:bCs/>
              </w:rPr>
            </w:pPr>
            <w:r>
              <w:t>Se seleccionará una de las opciones siguientes: «Código LEI», «Código de IFM» o «Tipo de identificador distinto del código LEI o de IFM».</w:t>
            </w:r>
          </w:p>
          <w:p w14:paraId="7FE1B4CA" w14:textId="092DA599" w:rsidR="00414040" w:rsidRDefault="00904E1A">
            <w:pPr>
              <w:pStyle w:val="P68B1DB1-TableParagraph17"/>
              <w:spacing w:before="108"/>
            </w:pPr>
            <w:r>
              <w:t>Siempre se comunicará el tipo de código.</w:t>
            </w:r>
          </w:p>
          <w:p w14:paraId="7FE1B4CB" w14:textId="6B17D29D" w:rsidR="00414040" w:rsidRDefault="00904E1A">
            <w:pPr>
              <w:pStyle w:val="P68B1DB1-TableParagraph13"/>
              <w:spacing w:before="108"/>
              <w:ind w:left="85"/>
              <w:rPr>
                <w:b/>
                <w:lang w:val="es-ES"/>
              </w:rPr>
            </w:pPr>
            <w:r w:rsidRPr="5264726E">
              <w:rPr>
                <w:lang w:val="es-ES"/>
              </w:rPr>
              <w:t xml:space="preserve">Para la identificación de </w:t>
            </w:r>
            <w:r w:rsidR="00212BD7" w:rsidRPr="5264726E">
              <w:rPr>
                <w:lang w:val="es-ES"/>
              </w:rPr>
              <w:t>los entes</w:t>
            </w:r>
            <w:r w:rsidR="00521007">
              <w:rPr>
                <w:lang w:val="es-ES"/>
              </w:rPr>
              <w:t xml:space="preserve"> </w:t>
            </w:r>
            <w:r w:rsidRPr="5264726E">
              <w:rPr>
                <w:lang w:val="es-ES"/>
              </w:rPr>
              <w:t xml:space="preserve">o las participadas, </w:t>
            </w:r>
            <w:r w:rsidR="00212BD7" w:rsidRPr="5264726E">
              <w:rPr>
                <w:lang w:val="es-ES"/>
              </w:rPr>
              <w:t>la combinación</w:t>
            </w:r>
            <w:r w:rsidR="0045010F">
              <w:rPr>
                <w:lang w:val="es-ES"/>
              </w:rPr>
              <w:t xml:space="preserve"> </w:t>
            </w:r>
            <w:r w:rsidRPr="5264726E">
              <w:rPr>
                <w:lang w:val="es-ES"/>
              </w:rPr>
              <w:t>de código y tipo</w:t>
            </w:r>
            <w:r w:rsidR="00212BD7" w:rsidRPr="5264726E">
              <w:rPr>
                <w:lang w:val="es-ES"/>
              </w:rPr>
              <w:t xml:space="preserve"> de código</w:t>
            </w:r>
            <w:r w:rsidRPr="5264726E">
              <w:rPr>
                <w:lang w:val="es-ES"/>
              </w:rPr>
              <w:t xml:space="preserve"> se utilizará de forma coherente en todas las plantillas.</w:t>
            </w:r>
          </w:p>
        </w:tc>
      </w:tr>
      <w:tr w:rsidR="00414040" w14:paraId="7FE1B4D2" w14:textId="77777777" w:rsidTr="11A44BD7">
        <w:tc>
          <w:tcPr>
            <w:tcW w:w="0" w:type="auto"/>
            <w:tcBorders>
              <w:top w:val="single" w:sz="4" w:space="0" w:color="1A171C"/>
              <w:left w:val="nil"/>
              <w:bottom w:val="single" w:sz="4" w:space="0" w:color="1A171C"/>
              <w:right w:val="single" w:sz="4" w:space="0" w:color="1A171C"/>
            </w:tcBorders>
          </w:tcPr>
          <w:p w14:paraId="7FE1B4CD" w14:textId="77777777" w:rsidR="00414040" w:rsidRDefault="00904E1A">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414040" w:rsidRDefault="00904E1A">
            <w:pPr>
              <w:pStyle w:val="P68B1DB1-TableParagraph14"/>
              <w:spacing w:before="108"/>
              <w:ind w:left="85"/>
            </w:pPr>
            <w:r>
              <w:t>Sucursal internacional</w:t>
            </w:r>
          </w:p>
          <w:p w14:paraId="065E9BDC" w14:textId="40161C46" w:rsidR="00F86C69" w:rsidRDefault="00F86C69" w:rsidP="00F86C69">
            <w:pPr>
              <w:pStyle w:val="P68B1DB1-TableParagraph13"/>
              <w:spacing w:before="108"/>
              <w:ind w:left="85"/>
              <w:jc w:val="both"/>
            </w:pPr>
            <w:r w:rsidRPr="000B0B3D">
              <w:t>Se indicará alguna de las abreviaturas siguientes:</w:t>
            </w:r>
          </w:p>
          <w:p w14:paraId="7FE1B4D0" w14:textId="3A430404" w:rsidR="00414040" w:rsidRDefault="00904E1A">
            <w:pPr>
              <w:pStyle w:val="P68B1DB1-TableParagraph13"/>
              <w:spacing w:before="108"/>
              <w:ind w:left="85"/>
              <w:jc w:val="both"/>
            </w:pPr>
            <w:r w:rsidRPr="2133F407">
              <w:rPr>
                <w:lang w:val="es-ES"/>
              </w:rPr>
              <w:t xml:space="preserve">Sí — en el caso de que </w:t>
            </w:r>
            <w:r w:rsidR="00F86C69">
              <w:rPr>
                <w:lang w:val="es-ES"/>
              </w:rPr>
              <w:t>la participada</w:t>
            </w:r>
            <w:r w:rsidR="0045010F">
              <w:rPr>
                <w:lang w:val="es-ES"/>
              </w:rPr>
              <w:t xml:space="preserve"> </w:t>
            </w:r>
            <w:r w:rsidRPr="2133F407">
              <w:rPr>
                <w:lang w:val="es-ES"/>
              </w:rPr>
              <w:t>sea una sucursal internacional del inversor.</w:t>
            </w:r>
          </w:p>
          <w:p w14:paraId="7FE1B4D1" w14:textId="20B92FC7" w:rsidR="00414040" w:rsidRDefault="00904E1A">
            <w:pPr>
              <w:pStyle w:val="P68B1DB1-TableParagraph13"/>
              <w:spacing w:before="108"/>
              <w:ind w:left="85"/>
              <w:jc w:val="both"/>
              <w:rPr>
                <w:b/>
                <w:bCs/>
              </w:rPr>
            </w:pPr>
            <w:r>
              <w:t xml:space="preserve">No — si se trata de </w:t>
            </w:r>
            <w:r w:rsidR="0027792A">
              <w:t>un ente</w:t>
            </w:r>
            <w:r>
              <w:t xml:space="preserve"> jurídic</w:t>
            </w:r>
            <w:r w:rsidR="0027792A">
              <w:t>o</w:t>
            </w:r>
            <w:r>
              <w:t>.</w:t>
            </w:r>
          </w:p>
        </w:tc>
      </w:tr>
      <w:tr w:rsidR="00414040" w14:paraId="7FE1B4D5" w14:textId="77777777" w:rsidTr="11A44BD7">
        <w:tc>
          <w:tcPr>
            <w:tcW w:w="0" w:type="auto"/>
            <w:tcBorders>
              <w:top w:val="single" w:sz="4" w:space="0" w:color="1A171C"/>
              <w:left w:val="nil"/>
              <w:bottom w:val="single" w:sz="4" w:space="0" w:color="1A171C"/>
              <w:right w:val="single" w:sz="4" w:space="0" w:color="1A171C"/>
            </w:tcBorders>
          </w:tcPr>
          <w:p w14:paraId="7FE1B4D3" w14:textId="44267444" w:rsidR="00414040" w:rsidRDefault="00904E1A">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414040" w:rsidRDefault="00904E1A">
            <w:pPr>
              <w:pStyle w:val="P68B1DB1-TableParagraph14"/>
              <w:spacing w:before="108"/>
              <w:ind w:left="85"/>
              <w:jc w:val="both"/>
              <w:rPr>
                <w:bCs/>
              </w:rPr>
            </w:pPr>
            <w:r>
              <w:t>Propiedad</w:t>
            </w:r>
          </w:p>
        </w:tc>
      </w:tr>
      <w:tr w:rsidR="00414040" w14:paraId="7FE1B4D9" w14:textId="77777777" w:rsidTr="11A44BD7">
        <w:tc>
          <w:tcPr>
            <w:tcW w:w="0" w:type="auto"/>
            <w:tcBorders>
              <w:top w:val="single" w:sz="4" w:space="0" w:color="1A171C"/>
              <w:left w:val="nil"/>
              <w:bottom w:val="single" w:sz="4" w:space="0" w:color="1A171C"/>
              <w:right w:val="single" w:sz="4" w:space="0" w:color="1A171C"/>
            </w:tcBorders>
          </w:tcPr>
          <w:p w14:paraId="7FE1B4D6" w14:textId="124739DC" w:rsidR="00414040" w:rsidRDefault="00904E1A">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414040" w:rsidRDefault="00904E1A">
            <w:pPr>
              <w:pStyle w:val="P68B1DB1-TableParagraph14"/>
              <w:spacing w:before="108"/>
              <w:ind w:left="85"/>
              <w:jc w:val="both"/>
            </w:pPr>
            <w:r>
              <w:t>Capital social</w:t>
            </w:r>
          </w:p>
          <w:p w14:paraId="7FE1B4D8" w14:textId="77777777" w:rsidR="00414040" w:rsidRDefault="00904E1A">
            <w:pPr>
              <w:pStyle w:val="P68B1DB1-TableParagraph17"/>
              <w:spacing w:before="108"/>
              <w:ind w:left="85"/>
              <w:jc w:val="both"/>
            </w:pPr>
            <w:r>
              <w:t>Importe del capital social del ente mantenido por el inversor, excluidas las reservas. En el caso de una sucursal internacional, el campo deberá estar vacío.</w:t>
            </w:r>
          </w:p>
        </w:tc>
      </w:tr>
      <w:tr w:rsidR="00414040" w14:paraId="7FE1B4DD" w14:textId="77777777" w:rsidTr="11A44BD7">
        <w:tc>
          <w:tcPr>
            <w:tcW w:w="0" w:type="auto"/>
            <w:tcBorders>
              <w:top w:val="single" w:sz="4" w:space="0" w:color="1A171C"/>
              <w:left w:val="nil"/>
              <w:bottom w:val="single" w:sz="4" w:space="0" w:color="1A171C"/>
              <w:right w:val="single" w:sz="4" w:space="0" w:color="1A171C"/>
            </w:tcBorders>
          </w:tcPr>
          <w:p w14:paraId="7FE1B4DA" w14:textId="518368A4" w:rsidR="00414040" w:rsidRDefault="00904E1A">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414040" w:rsidRDefault="00904E1A">
            <w:pPr>
              <w:pStyle w:val="P68B1DB1-TableParagraph14"/>
              <w:spacing w:before="108"/>
              <w:ind w:left="85"/>
              <w:rPr>
                <w:rFonts w:eastAsia="Book Antiqua"/>
              </w:rPr>
            </w:pPr>
            <w:r>
              <w:t>Derechos de voto en el ente</w:t>
            </w:r>
          </w:p>
          <w:p w14:paraId="7FE1B4DC" w14:textId="7B6A9E3C" w:rsidR="00414040" w:rsidRDefault="00904E1A">
            <w:pPr>
              <w:pStyle w:val="P68B1DB1-TableParagraph17"/>
              <w:spacing w:before="108"/>
              <w:ind w:left="85"/>
              <w:jc w:val="both"/>
              <w:rPr>
                <w:b/>
              </w:rPr>
            </w:pPr>
            <w:r>
              <w:t xml:space="preserve">Porcentaje de derechos de voto </w:t>
            </w:r>
            <w:r w:rsidR="00F86C69">
              <w:t>que posee</w:t>
            </w:r>
            <w:r w:rsidR="0045010F">
              <w:t xml:space="preserve"> </w:t>
            </w:r>
            <w:r>
              <w:t>el inversor. Esta información solo será necesaria cuando una acción no equivalga a un voto (y, por tanto, cuando los derechos de voto no coincidan con el capital social). En el caso de una sucursal internacional, el campo deberá estar vacío.</w:t>
            </w:r>
          </w:p>
        </w:tc>
      </w:tr>
    </w:tbl>
    <w:p w14:paraId="7FE1B4DE" w14:textId="77777777" w:rsidR="00414040" w:rsidRDefault="00414040">
      <w:pPr>
        <w:rPr>
          <w:rFonts w:ascii="Times New Roman" w:hAnsi="Times New Roman" w:cs="Times New Roman"/>
        </w:rPr>
      </w:pPr>
    </w:p>
    <w:p w14:paraId="7FE1B4DF" w14:textId="77777777" w:rsidR="00414040" w:rsidRDefault="00414040">
      <w:pPr>
        <w:rPr>
          <w:rFonts w:ascii="Times New Roman" w:hAnsi="Times New Roman" w:cs="Times New Roman"/>
        </w:rPr>
      </w:pPr>
    </w:p>
    <w:p w14:paraId="7FE1B4E1" w14:textId="5159A18E" w:rsidR="00414040" w:rsidRDefault="00904E1A">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1152591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2133F407">
        <w:rPr>
          <w:lang w:val="es-ES"/>
        </w:rPr>
        <w:t>Z 02.00.</w:t>
      </w:r>
      <w:r w:rsidR="0027792A">
        <w:rPr>
          <w:lang w:val="es-ES"/>
        </w:rPr>
        <w:t xml:space="preserve"> </w:t>
      </w:r>
      <w:r w:rsidRPr="2133F407">
        <w:rPr>
          <w:lang w:val="es-ES"/>
        </w:rPr>
        <w:t>Estructura del pasivo (LIAB 1)</w:t>
      </w:r>
      <w:bookmarkEnd w:id="54"/>
      <w:bookmarkEnd w:id="55"/>
      <w:bookmarkEnd w:id="56"/>
    </w:p>
    <w:p w14:paraId="7FE1B4E2" w14:textId="77777777" w:rsidR="00414040" w:rsidRDefault="00904E1A">
      <w:pPr>
        <w:pStyle w:val="Instructionsberschrift3"/>
      </w:pPr>
      <w:r>
        <w:t>Observaciones generales</w:t>
      </w:r>
    </w:p>
    <w:p w14:paraId="7FE1B4E3" w14:textId="04081208" w:rsidR="00414040" w:rsidRDefault="00904E1A">
      <w:pPr>
        <w:pStyle w:val="P68B1DB1-InstructionsText26"/>
        <w:numPr>
          <w:ilvl w:val="0"/>
          <w:numId w:val="233"/>
        </w:numPr>
        <w:spacing w:before="0"/>
      </w:pPr>
      <w:r>
        <w:t xml:space="preserve">En esta plantilla se </w:t>
      </w:r>
      <w:r w:rsidR="3903689E">
        <w:t>indica</w:t>
      </w:r>
      <w:r>
        <w:t xml:space="preserve"> información detallada sobre la estructura del pasivo del ente o el grupo. Los pasivos se desglosan entre pasivos excluidos y no excluidos a efectos de una recapitalización interna. Se facilitan otros desgloses por categorías de pasivo, contraparte y vencimiento residual.</w:t>
      </w:r>
    </w:p>
    <w:p w14:paraId="7FE1B4E4" w14:textId="77777777" w:rsidR="00414040" w:rsidRDefault="00904E1A">
      <w:pPr>
        <w:pStyle w:val="P68B1DB1-InstructionsText26"/>
        <w:numPr>
          <w:ilvl w:val="0"/>
          <w:numId w:val="233"/>
        </w:numPr>
        <w:spacing w:before="0"/>
      </w:pPr>
      <w:r>
        <w:t>Cuando en la plantilla se realice un desglose por vencimientos, el vencimiento residual será el plazo hasta el vencimiento contractual. Como excepción a lo anterior:</w:t>
      </w:r>
    </w:p>
    <w:p w14:paraId="7FE1B4E5" w14:textId="16A899DE" w:rsidR="00414040" w:rsidRDefault="482C615A">
      <w:pPr>
        <w:pStyle w:val="P68B1DB1-InstructionsText26"/>
        <w:numPr>
          <w:ilvl w:val="1"/>
          <w:numId w:val="233"/>
        </w:numPr>
        <w:spacing w:before="0"/>
      </w:pPr>
      <w:r w:rsidRPr="73DD02DC">
        <w:rPr>
          <w:lang w:val="es-ES"/>
        </w:rPr>
        <w:t xml:space="preserve">cuando un instrumento de pasivos incluya una opción de </w:t>
      </w:r>
      <w:r w:rsidR="17F5D58C" w:rsidRPr="29CE031D">
        <w:rPr>
          <w:lang w:val="es-ES"/>
        </w:rPr>
        <w:t>amortización</w:t>
      </w:r>
      <w:r w:rsidRPr="73DD02DC">
        <w:rPr>
          <w:lang w:val="es-ES"/>
        </w:rPr>
        <w:t xml:space="preserve"> del </w:t>
      </w:r>
      <w:r w:rsidR="608F535B" w:rsidRPr="73DD02DC">
        <w:rPr>
          <w:lang w:val="es-ES"/>
        </w:rPr>
        <w:t>tenedor</w:t>
      </w:r>
      <w:r w:rsidRPr="73DD02DC">
        <w:rPr>
          <w:lang w:val="es-ES"/>
        </w:rPr>
        <w:t xml:space="preserve"> ejercitable antes del vencimiento original declarado del instrumento, el vencimiento del instrumento se definirá como la fecha más temprana posible en la que el </w:t>
      </w:r>
      <w:r w:rsidR="00904E1A" w:rsidRPr="73DD02DC">
        <w:rPr>
          <w:lang w:val="es-ES"/>
        </w:rPr>
        <w:t xml:space="preserve">tenedor </w:t>
      </w:r>
      <w:r w:rsidRPr="73DD02DC">
        <w:rPr>
          <w:lang w:val="es-ES"/>
        </w:rPr>
        <w:t xml:space="preserve">pueda ejercer la opción de </w:t>
      </w:r>
      <w:r w:rsidR="3A222973" w:rsidRPr="73DD02DC">
        <w:rPr>
          <w:lang w:val="es-ES"/>
        </w:rPr>
        <w:t>amortización</w:t>
      </w:r>
      <w:r w:rsidRPr="73DD02DC">
        <w:rPr>
          <w:lang w:val="es-ES"/>
        </w:rPr>
        <w:t xml:space="preserve"> y solicitar </w:t>
      </w:r>
      <w:r w:rsidR="1E23FB71" w:rsidRPr="73DD02DC">
        <w:rPr>
          <w:lang w:val="es-ES"/>
        </w:rPr>
        <w:t>la amortización</w:t>
      </w:r>
      <w:r w:rsidRPr="73DD02DC">
        <w:rPr>
          <w:lang w:val="es-ES"/>
        </w:rPr>
        <w:t xml:space="preserve"> o el reembolso del instrumento;</w:t>
      </w:r>
    </w:p>
    <w:p w14:paraId="7FE1B4E6" w14:textId="77777777" w:rsidR="00414040" w:rsidRDefault="00904E1A">
      <w:pPr>
        <w:pStyle w:val="P68B1DB1-InstructionsText26"/>
        <w:numPr>
          <w:ilvl w:val="1"/>
          <w:numId w:val="233"/>
        </w:numPr>
        <w:spacing w:before="0"/>
      </w:pPr>
      <w:r>
        <w:t>cuando un instrumento de pasivos incluya un incentivo para que el emisor rescate, amortice, reembolse o recompre el instrumento con anterioridad al vencimiento original declarado del mismo, el vencimiento de este será la fecha más temprana posible en la que el emisor pueda ejercer tal opción y solicitar la amortización o el reembolso del instrumento;</w:t>
      </w:r>
    </w:p>
    <w:p w14:paraId="7FE1B4E8" w14:textId="77777777" w:rsidR="00414040" w:rsidRDefault="00904E1A">
      <w:pPr>
        <w:pStyle w:val="P68B1DB1-InstructionsText26"/>
        <w:numPr>
          <w:ilvl w:val="0"/>
          <w:numId w:val="233"/>
        </w:numPr>
        <w:spacing w:before="0"/>
      </w:pPr>
      <w:r>
        <w:t>En caso de pagos intermedios de principal, el principal se dividirá y se asignará a los períodos de vencimiento correspondientes. En su caso, se considerarán por separado el vencimiento del importe del principal y el de los intereses devengados.</w:t>
      </w:r>
    </w:p>
    <w:p w14:paraId="7FE1B4E9" w14:textId="37403DEE" w:rsidR="00414040" w:rsidRDefault="00904E1A">
      <w:pPr>
        <w:pStyle w:val="P68B1DB1-InstructionsText26"/>
        <w:numPr>
          <w:ilvl w:val="0"/>
          <w:numId w:val="233"/>
        </w:numPr>
        <w:spacing w:before="0"/>
      </w:pPr>
      <w:r w:rsidRPr="255C86D6">
        <w:rPr>
          <w:lang w:val="es-ES"/>
        </w:rPr>
        <w:t xml:space="preserve">En algunos casos específicos, el vencimiento de un determinado instrumento depende de factores externos, en los que la entidad </w:t>
      </w:r>
      <w:r w:rsidR="251BA8CD" w:rsidRPr="255C86D6">
        <w:rPr>
          <w:lang w:val="es-ES"/>
        </w:rPr>
        <w:t>tiene</w:t>
      </w:r>
      <w:r w:rsidR="00FF032D">
        <w:rPr>
          <w:lang w:val="es-ES"/>
        </w:rPr>
        <w:t xml:space="preserve"> </w:t>
      </w:r>
      <w:r w:rsidRPr="255C86D6">
        <w:rPr>
          <w:lang w:val="es-ES"/>
        </w:rPr>
        <w:t xml:space="preserve">poca o ninguna influencia. En tales casos, la primera fecha en la que tales hechos puedan dar lugar al reembolso se considerará la fecha de </w:t>
      </w:r>
      <w:r w:rsidR="74C97B31" w:rsidRPr="255C86D6">
        <w:rPr>
          <w:lang w:val="es-ES"/>
        </w:rPr>
        <w:t>amortización</w:t>
      </w:r>
      <w:r w:rsidRPr="255C86D6">
        <w:rPr>
          <w:lang w:val="es-ES"/>
        </w:rPr>
        <w:t xml:space="preserve"> más temprana.</w:t>
      </w:r>
    </w:p>
    <w:p w14:paraId="7FE1B4EA" w14:textId="7CE98142" w:rsidR="00414040" w:rsidRDefault="00904E1A">
      <w:pPr>
        <w:pStyle w:val="P68B1DB1-InstructionsText26"/>
        <w:numPr>
          <w:ilvl w:val="0"/>
          <w:numId w:val="233"/>
        </w:numPr>
        <w:spacing w:before="0"/>
      </w:pPr>
      <w:r>
        <w:t xml:space="preserve">En otros casos, los contratos no prevén ninguna fecha de vencimiento específica, como los depósitos a la vista o </w:t>
      </w:r>
      <w:r w:rsidR="0CD4E89D">
        <w:t>a un día</w:t>
      </w:r>
      <w:r>
        <w:t xml:space="preserve">. En esos casos, deberá considerarse que los pasivos tienen un vencimiento potencial en la primera fecha posible, es decir, el siguiente día o un día después de la fecha de </w:t>
      </w:r>
      <w:r w:rsidR="00C100A2">
        <w:t xml:space="preserve">referencia </w:t>
      </w:r>
      <w:r>
        <w:t>de la información.</w:t>
      </w:r>
    </w:p>
    <w:p w14:paraId="7FE1B4EB" w14:textId="0F17B027" w:rsidR="00414040" w:rsidRDefault="00904E1A">
      <w:pPr>
        <w:pStyle w:val="P68B1DB1-InstructionsText26"/>
        <w:numPr>
          <w:ilvl w:val="0"/>
          <w:numId w:val="233"/>
        </w:numPr>
        <w:spacing w:before="0"/>
      </w:pPr>
      <w:r w:rsidRPr="720541E3">
        <w:rPr>
          <w:lang w:val="es-ES"/>
        </w:rPr>
        <w:t xml:space="preserve">En el caso de los depósitos, la cobertura por la DSGD no distingue necesariamente entre los vencimientos que se consideran cubiertos si existen diferentes vencimientos. </w:t>
      </w:r>
      <w:r w:rsidR="00E33E20">
        <w:rPr>
          <w:lang w:val="es-ES"/>
        </w:rPr>
        <w:t>Por tanto</w:t>
      </w:r>
      <w:r w:rsidRPr="720541E3">
        <w:rPr>
          <w:lang w:val="es-ES"/>
        </w:rPr>
        <w:t xml:space="preserve">, para dividir la parte no cubierta en períodos de vencimiento, se pide a las entidades que apliquen un método de prorrateo para la cobertura total y distribuyan la parte no cubierta en </w:t>
      </w:r>
      <w:r w:rsidR="2D6E21BB">
        <w:t>consonancia con el</w:t>
      </w:r>
      <w:r w:rsidRPr="720541E3">
        <w:rPr>
          <w:lang w:val="es-ES"/>
        </w:rPr>
        <w:t xml:space="preserve"> vencimiento de los depósitos subyacentes, a menos que sean aplicables disposiciones específicas derivadas de la transposición de la Directiva 2014/49/UE al Derecho nacional.</w:t>
      </w:r>
    </w:p>
    <w:p w14:paraId="7FE1B4EC" w14:textId="71580999" w:rsidR="00414040" w:rsidRDefault="00904E1A">
      <w:pPr>
        <w:pStyle w:val="P68B1DB1-InstructionsText26"/>
        <w:numPr>
          <w:ilvl w:val="0"/>
          <w:numId w:val="233"/>
        </w:numPr>
        <w:spacing w:before="0"/>
      </w:pPr>
      <w:r>
        <w:t xml:space="preserve">Cuando un pasivo cumpla varios criterios y pueda </w:t>
      </w:r>
      <w:r w:rsidR="31496ECA">
        <w:t>informarse</w:t>
      </w:r>
      <w:r>
        <w:t xml:space="preserve"> en varias filas </w:t>
      </w:r>
      <w:r w:rsidR="00E33E20">
        <w:t>del</w:t>
      </w:r>
      <w:r>
        <w:t xml:space="preserve"> intervalo de r0110 a r0210, se </w:t>
      </w:r>
      <w:r w:rsidR="669EF05A">
        <w:t>informará</w:t>
      </w:r>
      <w:r>
        <w:t xml:space="preserve"> solo en una fila, </w:t>
      </w:r>
      <w:r w:rsidR="009F7AF8">
        <w:t xml:space="preserve">que será </w:t>
      </w:r>
      <w:r>
        <w:t>la que tenga el número de fila más bajo de esta plantilla.</w:t>
      </w:r>
    </w:p>
    <w:p w14:paraId="7FE1B4ED" w14:textId="27F3CFE5" w:rsidR="00414040" w:rsidRDefault="00904E1A">
      <w:pPr>
        <w:pStyle w:val="P68B1DB1-InstructionsText26"/>
        <w:numPr>
          <w:ilvl w:val="0"/>
          <w:numId w:val="233"/>
        </w:numPr>
      </w:pPr>
      <w:r>
        <w:t xml:space="preserve">Los importes de esta plantilla se </w:t>
      </w:r>
      <w:r w:rsidR="7B147810">
        <w:t>informarán</w:t>
      </w:r>
      <w:r>
        <w:t xml:space="preserve"> como </w:t>
      </w:r>
      <w:r w:rsidR="530BA2A8">
        <w:t>importes pendientes</w:t>
      </w:r>
      <w:r>
        <w:t xml:space="preserve"> </w:t>
      </w:r>
      <w:r w:rsidR="00E33E20">
        <w:t>e</w:t>
      </w:r>
      <w:r>
        <w:t xml:space="preserve"> importes en libros:</w:t>
      </w:r>
    </w:p>
    <w:p w14:paraId="7FE1B4EE" w14:textId="77777777" w:rsidR="00414040" w:rsidRDefault="00904E1A">
      <w:pPr>
        <w:pStyle w:val="P68B1DB1-InstructionsText26"/>
        <w:numPr>
          <w:ilvl w:val="1"/>
          <w:numId w:val="233"/>
        </w:numPr>
      </w:pPr>
      <w:r>
        <w:t xml:space="preserve">El importe pendiente de un crédito o instrumento es la suma del principal y los intereses devengados por el mismo. El importe pendiente adeudado es igual al valor del crédito que el acreedor presenta en el marco del procedimiento de insolvencia, sin considerar las disposiciones de compensación por insolvencia, y no incluye primas ni descuentos sobre los instrumentos de pasivo. En los casos en que no se presente ningún crédito en el marco de un procedimiento de insolvencia, se espera que el importe pendiente sea igual a cero. </w:t>
      </w:r>
    </w:p>
    <w:p w14:paraId="7FE1B4EF" w14:textId="4F7B4BBF" w:rsidR="00414040" w:rsidRDefault="00904E1A" w:rsidP="0B2D3916">
      <w:pPr>
        <w:pStyle w:val="P68B1DB1-InstructionsText26"/>
        <w:numPr>
          <w:ilvl w:val="1"/>
          <w:numId w:val="233"/>
        </w:numPr>
        <w:rPr>
          <w:lang w:val="es-ES"/>
        </w:rPr>
      </w:pPr>
      <w:r w:rsidRPr="0B2D3916">
        <w:rPr>
          <w:lang w:val="es-ES"/>
        </w:rPr>
        <w:lastRenderedPageBreak/>
        <w:t xml:space="preserve">El importe en libros será el así definido a efectos de FINREP, bien con arreglo a las NIIF o a los </w:t>
      </w:r>
      <w:proofErr w:type="spellStart"/>
      <w:r w:rsidRPr="0B2D3916">
        <w:rPr>
          <w:lang w:val="es-ES"/>
        </w:rPr>
        <w:t>PCGAn</w:t>
      </w:r>
      <w:proofErr w:type="spellEnd"/>
      <w:r w:rsidRPr="0B2D3916">
        <w:rPr>
          <w:lang w:val="es-ES"/>
        </w:rPr>
        <w:t>, según proceda. De lo contrario se utilizarán</w:t>
      </w:r>
      <w:r w:rsidR="35613777" w:rsidRPr="0B2D3916">
        <w:rPr>
          <w:lang w:val="es-ES"/>
        </w:rPr>
        <w:t xml:space="preserve"> las</w:t>
      </w:r>
      <w:r w:rsidRPr="0B2D3916">
        <w:rPr>
          <w:lang w:val="es-ES"/>
        </w:rPr>
        <w:t xml:space="preserve"> cifras conforme a los sistemas de presentación de información de los </w:t>
      </w:r>
      <w:proofErr w:type="spellStart"/>
      <w:r w:rsidRPr="0B2D3916">
        <w:rPr>
          <w:lang w:val="es-ES"/>
        </w:rPr>
        <w:t>PCGAn</w:t>
      </w:r>
      <w:proofErr w:type="spellEnd"/>
      <w:r w:rsidRPr="0B2D3916">
        <w:rPr>
          <w:lang w:val="es-ES"/>
        </w:rPr>
        <w:t xml:space="preserve">. </w:t>
      </w:r>
    </w:p>
    <w:p w14:paraId="7FE1B4F1" w14:textId="3D06F67B" w:rsidR="00414040" w:rsidRDefault="007D0411" w:rsidP="00D3ECB6">
      <w:pPr>
        <w:pStyle w:val="P68B1DB1-InstructionsText26"/>
        <w:numPr>
          <w:ilvl w:val="0"/>
          <w:numId w:val="233"/>
        </w:numPr>
        <w:spacing w:before="0"/>
        <w:rPr>
          <w:lang w:val="es-ES"/>
        </w:rPr>
      </w:pPr>
      <w:r>
        <w:rPr>
          <w:lang w:val="es-ES"/>
        </w:rPr>
        <w:t>La</w:t>
      </w:r>
      <w:r w:rsidRPr="3E4E0AEA">
        <w:rPr>
          <w:lang w:val="es-ES"/>
        </w:rPr>
        <w:t xml:space="preserve"> </w:t>
      </w:r>
      <w:r w:rsidR="00904E1A" w:rsidRPr="3E4E0AEA">
        <w:rPr>
          <w:lang w:val="es-ES"/>
        </w:rPr>
        <w:t xml:space="preserve">presente </w:t>
      </w:r>
      <w:r>
        <w:rPr>
          <w:lang w:val="es-ES"/>
        </w:rPr>
        <w:t>plantilla</w:t>
      </w:r>
      <w:r w:rsidRPr="3E4E0AEA">
        <w:rPr>
          <w:lang w:val="es-ES"/>
        </w:rPr>
        <w:t xml:space="preserve"> </w:t>
      </w:r>
      <w:r w:rsidR="00904E1A" w:rsidRPr="3E4E0AEA">
        <w:rPr>
          <w:lang w:val="es-ES"/>
        </w:rPr>
        <w:t xml:space="preserve">hace referencia a puntos de datos que </w:t>
      </w:r>
      <w:r w:rsidR="00BE10E4">
        <w:rPr>
          <w:lang w:val="es-ES"/>
        </w:rPr>
        <w:t>el ente</w:t>
      </w:r>
      <w:r w:rsidR="00904E1A" w:rsidRPr="3E4E0AEA">
        <w:rPr>
          <w:lang w:val="es-ES"/>
        </w:rPr>
        <w:t xml:space="preserve"> puede haber notificado ya en FINREP y COREP para la misma fecha de referencia y el mismo ámbito de </w:t>
      </w:r>
      <w:r w:rsidR="74E579C7" w:rsidRPr="3E4E0AEA">
        <w:rPr>
          <w:lang w:val="es-ES"/>
        </w:rPr>
        <w:t>consolidación</w:t>
      </w:r>
      <w:r w:rsidR="00904E1A" w:rsidRPr="3E4E0AEA">
        <w:rPr>
          <w:lang w:val="es-ES"/>
        </w:rPr>
        <w:t xml:space="preserve"> (véanse las referencias </w:t>
      </w:r>
      <w:r w:rsidR="0001344D">
        <w:rPr>
          <w:lang w:val="es-ES"/>
        </w:rPr>
        <w:t xml:space="preserve">a </w:t>
      </w:r>
      <w:r w:rsidR="00904E1A" w:rsidRPr="3E4E0AEA">
        <w:rPr>
          <w:lang w:val="es-ES"/>
        </w:rPr>
        <w:t xml:space="preserve">COREP/FINREP en las instrucciones). En tal caso, </w:t>
      </w:r>
      <w:r w:rsidR="00BE10E4">
        <w:rPr>
          <w:lang w:val="es-ES"/>
        </w:rPr>
        <w:t>el ente</w:t>
      </w:r>
      <w:r w:rsidR="00904E1A" w:rsidRPr="3E4E0AEA">
        <w:rPr>
          <w:lang w:val="es-ES"/>
        </w:rPr>
        <w:t xml:space="preserve"> </w:t>
      </w:r>
      <w:r w:rsidR="052F1C2E" w:rsidRPr="3E4E0AEA">
        <w:rPr>
          <w:lang w:val="es-ES"/>
        </w:rPr>
        <w:t>declarante</w:t>
      </w:r>
      <w:r w:rsidR="00904E1A" w:rsidRPr="3E4E0AEA">
        <w:rPr>
          <w:lang w:val="es-ES"/>
        </w:rPr>
        <w:t xml:space="preserve"> no tendrá que comunicar estos datos por segunda vez. Por ejemplo, los puntos de datos COREP/FINREP deben </w:t>
      </w:r>
      <w:r w:rsidR="37A30D27" w:rsidRPr="3E4E0AEA">
        <w:rPr>
          <w:lang w:val="es-ES"/>
        </w:rPr>
        <w:t xml:space="preserve">informarse </w:t>
      </w:r>
      <w:r w:rsidR="00904E1A" w:rsidRPr="3E4E0AEA">
        <w:rPr>
          <w:lang w:val="es-ES"/>
        </w:rPr>
        <w:t xml:space="preserve">aquí cuando </w:t>
      </w:r>
      <w:r w:rsidR="00BE10E4">
        <w:rPr>
          <w:lang w:val="es-ES"/>
        </w:rPr>
        <w:t>el ente</w:t>
      </w:r>
      <w:r w:rsidR="00904E1A" w:rsidRPr="3E4E0AEA">
        <w:rPr>
          <w:lang w:val="es-ES"/>
        </w:rPr>
        <w:t xml:space="preserve"> declarante haya sido </w:t>
      </w:r>
      <w:proofErr w:type="gramStart"/>
      <w:r w:rsidR="00904E1A" w:rsidRPr="3E4E0AEA">
        <w:rPr>
          <w:lang w:val="es-ES"/>
        </w:rPr>
        <w:t>eximida</w:t>
      </w:r>
      <w:proofErr w:type="gramEnd"/>
      <w:r w:rsidR="00904E1A" w:rsidRPr="3E4E0AEA">
        <w:rPr>
          <w:lang w:val="es-ES"/>
        </w:rPr>
        <w:t xml:space="preserve"> de las obligaciones de información financiera o prudencial, en cuyo caso la única fuente de datos para las autoridades de resolución para estos puntos de datos es </w:t>
      </w:r>
      <w:r>
        <w:rPr>
          <w:lang w:val="es-ES"/>
        </w:rPr>
        <w:t>la</w:t>
      </w:r>
      <w:r w:rsidRPr="3E4E0AEA">
        <w:rPr>
          <w:lang w:val="es-ES"/>
        </w:rPr>
        <w:t xml:space="preserve"> </w:t>
      </w:r>
      <w:r w:rsidR="00904E1A" w:rsidRPr="3E4E0AEA">
        <w:rPr>
          <w:lang w:val="es-ES"/>
        </w:rPr>
        <w:t xml:space="preserve">presente </w:t>
      </w:r>
      <w:r>
        <w:rPr>
          <w:lang w:val="es-ES"/>
        </w:rPr>
        <w:t>plantilla</w:t>
      </w:r>
      <w:r w:rsidR="00904E1A" w:rsidRPr="3E4E0AEA">
        <w:rPr>
          <w:lang w:val="es-ES"/>
        </w:rPr>
        <w:t>.</w:t>
      </w:r>
    </w:p>
    <w:p w14:paraId="7FE1B4F2" w14:textId="77777777" w:rsidR="00414040" w:rsidRDefault="00904E1A">
      <w:pPr>
        <w:pStyle w:val="P68B1DB1-Instructionsberschrift312"/>
      </w:pPr>
      <w:r>
        <w:t>Instrucciones relativas a posiciones concretas</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414040" w14:paraId="7FE1B4F5" w14:textId="77777777" w:rsidTr="3E4E0AEA">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414040" w:rsidRDefault="00904E1A">
            <w:pPr>
              <w:pStyle w:val="P68B1DB1-TableParagraph13"/>
              <w:spacing w:before="66"/>
              <w:rPr>
                <w:rFonts w:eastAsia="Cambria"/>
              </w:rPr>
            </w:pPr>
            <w:r>
              <w:t>Columnas</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414040" w:rsidRDefault="00904E1A">
            <w:pPr>
              <w:pStyle w:val="P68B1DB1-TableParagraph13"/>
              <w:spacing w:before="66"/>
              <w:ind w:right="1"/>
              <w:jc w:val="center"/>
              <w:rPr>
                <w:rFonts w:eastAsia="Cambria"/>
              </w:rPr>
            </w:pPr>
            <w:r>
              <w:t>Instrucciones</w:t>
            </w:r>
          </w:p>
        </w:tc>
      </w:tr>
      <w:tr w:rsidR="00414040" w14:paraId="7FE1B4FA" w14:textId="77777777" w:rsidTr="3E4E0AEA">
        <w:tc>
          <w:tcPr>
            <w:tcW w:w="908" w:type="dxa"/>
            <w:tcBorders>
              <w:top w:val="single" w:sz="4" w:space="0" w:color="1A171C"/>
              <w:left w:val="nil"/>
              <w:bottom w:val="single" w:sz="4" w:space="0" w:color="1A171C"/>
              <w:right w:val="single" w:sz="4" w:space="0" w:color="1A171C"/>
            </w:tcBorders>
            <w:vAlign w:val="center"/>
          </w:tcPr>
          <w:p w14:paraId="7FE1B4F6" w14:textId="77777777" w:rsidR="00414040" w:rsidRDefault="00904E1A">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414040" w:rsidRDefault="00904E1A">
            <w:pPr>
              <w:pStyle w:val="P68B1DB1-TableParagraph14"/>
              <w:spacing w:before="108"/>
              <w:ind w:left="85"/>
              <w:jc w:val="both"/>
            </w:pPr>
            <w:r>
              <w:t>Hogares</w:t>
            </w:r>
          </w:p>
          <w:p w14:paraId="7FE1B4F8" w14:textId="77777777" w:rsidR="00414040" w:rsidRDefault="00904E1A">
            <w:pPr>
              <w:pStyle w:val="P68B1DB1-TableParagraph17"/>
              <w:spacing w:before="108"/>
              <w:ind w:left="85"/>
              <w:jc w:val="both"/>
            </w:pPr>
            <w:r>
              <w:t xml:space="preserve">FINREP, anexo V, parte 1, apartado 42, letra f) </w:t>
            </w:r>
          </w:p>
          <w:p w14:paraId="7FE1B4F9" w14:textId="2129799E" w:rsidR="00414040" w:rsidRDefault="00904E1A" w:rsidP="00D3ECB6">
            <w:pPr>
              <w:pStyle w:val="P68B1DB1-TableParagraph17"/>
              <w:spacing w:before="108"/>
              <w:ind w:left="85"/>
              <w:jc w:val="both"/>
              <w:rPr>
                <w:b/>
                <w:bCs/>
                <w:lang w:val="es-ES"/>
              </w:rPr>
            </w:pPr>
            <w:r w:rsidRPr="00D3ECB6">
              <w:rPr>
                <w:lang w:val="es-ES"/>
              </w:rPr>
              <w:t>Personas o grupos de personas</w:t>
            </w:r>
            <w:r w:rsidR="0878FC6A" w:rsidRPr="00D3ECB6">
              <w:rPr>
                <w:lang w:val="es-ES"/>
              </w:rPr>
              <w:t xml:space="preserve"> en calidad de</w:t>
            </w:r>
            <w:r w:rsidRPr="00D3ECB6">
              <w:rPr>
                <w:lang w:val="es-ES"/>
              </w:rPr>
              <w:t xml:space="preserve"> consumidores y productores de bienes y servicios no financieros exclusivamente para su propio consumo final, y en </w:t>
            </w:r>
            <w:r w:rsidR="00991EFD">
              <w:rPr>
                <w:lang w:val="es-ES"/>
              </w:rPr>
              <w:t>su calidad de</w:t>
            </w:r>
            <w:r w:rsidRPr="00D3ECB6">
              <w:rPr>
                <w:lang w:val="es-ES"/>
              </w:rPr>
              <w:t xml:space="preserve"> productores de bienes de mercado y servicios financieros y no financieros, siempre que sus actividades no sean las de las </w:t>
            </w:r>
            <w:proofErr w:type="spellStart"/>
            <w:r w:rsidRPr="00D3ECB6">
              <w:rPr>
                <w:lang w:val="es-ES"/>
              </w:rPr>
              <w:t>cuasisociedades</w:t>
            </w:r>
            <w:proofErr w:type="spellEnd"/>
            <w:r w:rsidRPr="00D3ECB6">
              <w:rPr>
                <w:lang w:val="es-ES"/>
              </w:rPr>
              <w:t xml:space="preserve">. Se incluirán las </w:t>
            </w:r>
            <w:r w:rsidR="52758D51" w:rsidRPr="00D3ECB6">
              <w:rPr>
                <w:lang w:val="es-ES"/>
              </w:rPr>
              <w:t>entidades</w:t>
            </w:r>
            <w:r w:rsidRPr="00D3ECB6">
              <w:rPr>
                <w:lang w:val="es-ES"/>
              </w:rPr>
              <w:t xml:space="preserve"> sin fines de lucro al servicio de los hogares que se dediquen principalmente a la producción de bienes y la prestación de servicios no destinados al mercado dirigidos a determinados grupos de hogares.</w:t>
            </w:r>
          </w:p>
        </w:tc>
      </w:tr>
      <w:tr w:rsidR="00414040" w14:paraId="7FE1B501" w14:textId="77777777" w:rsidTr="3E4E0AEA">
        <w:tc>
          <w:tcPr>
            <w:tcW w:w="908" w:type="dxa"/>
            <w:tcBorders>
              <w:top w:val="single" w:sz="4" w:space="0" w:color="1A171C"/>
              <w:left w:val="nil"/>
              <w:bottom w:val="single" w:sz="4" w:space="0" w:color="1A171C"/>
              <w:right w:val="single" w:sz="4" w:space="0" w:color="1A171C"/>
            </w:tcBorders>
            <w:vAlign w:val="center"/>
          </w:tcPr>
          <w:p w14:paraId="7FE1B4FB" w14:textId="77777777" w:rsidR="00414040" w:rsidRDefault="00904E1A">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5D3B40DB" w:rsidR="00414040" w:rsidRDefault="00904E1A">
            <w:pPr>
              <w:pStyle w:val="P68B1DB1-TableParagraph14"/>
              <w:spacing w:before="108"/>
              <w:ind w:left="85"/>
              <w:jc w:val="both"/>
            </w:pPr>
            <w:r>
              <w:t>Sociedades no financieras (pymes)</w:t>
            </w:r>
          </w:p>
          <w:p w14:paraId="7FE1B4FD" w14:textId="77777777" w:rsidR="00414040" w:rsidRDefault="00904E1A">
            <w:pPr>
              <w:pStyle w:val="P68B1DB1-TableParagraph17"/>
              <w:spacing w:before="108"/>
              <w:ind w:left="85"/>
              <w:jc w:val="both"/>
            </w:pPr>
            <w:r>
              <w:t>FINREP, anexo V, parte 1, apartado 42, letra e)</w:t>
            </w:r>
          </w:p>
          <w:p w14:paraId="7FE1B4FE" w14:textId="63BC5223" w:rsidR="00414040" w:rsidRDefault="00904E1A">
            <w:pPr>
              <w:pStyle w:val="P68B1DB1-TableParagraph13"/>
              <w:spacing w:before="108"/>
              <w:ind w:left="85"/>
              <w:jc w:val="both"/>
              <w:rPr>
                <w:rFonts w:eastAsia="Cambria"/>
                <w:lang w:val="es-ES"/>
              </w:rPr>
            </w:pPr>
            <w:r w:rsidRPr="2133F407">
              <w:rPr>
                <w:lang w:val="es-ES"/>
              </w:rPr>
              <w:t xml:space="preserve">Sociedades y </w:t>
            </w:r>
            <w:proofErr w:type="spellStart"/>
            <w:r w:rsidRPr="2133F407">
              <w:rPr>
                <w:lang w:val="es-ES"/>
              </w:rPr>
              <w:t>cuasisociedades</w:t>
            </w:r>
            <w:proofErr w:type="spellEnd"/>
            <w:r w:rsidRPr="2133F407">
              <w:rPr>
                <w:lang w:val="es-ES"/>
              </w:rPr>
              <w:t xml:space="preserve"> que no </w:t>
            </w:r>
            <w:r w:rsidRPr="2C94C293">
              <w:rPr>
                <w:lang w:val="es-ES"/>
              </w:rPr>
              <w:t>se dedican a</w:t>
            </w:r>
            <w:r w:rsidRPr="2133F407">
              <w:rPr>
                <w:lang w:val="es-ES"/>
              </w:rPr>
              <w:t xml:space="preserve"> la intermediación financiera, sino principalmente </w:t>
            </w:r>
            <w:r w:rsidRPr="2C94C293">
              <w:rPr>
                <w:lang w:val="es-ES"/>
              </w:rPr>
              <w:t>a</w:t>
            </w:r>
            <w:r w:rsidRPr="2133F407">
              <w:rPr>
                <w:lang w:val="es-ES"/>
              </w:rPr>
              <w:t xml:space="preserve"> la producción de bienes de mercado y servicios no financieros de conformidad con el Reglamento (UE) 2021/379 del Banco Central Europeo</w:t>
            </w:r>
            <w:r w:rsidR="00991EFD" w:rsidRPr="00210421">
              <w:rPr>
                <w:vertAlign w:val="superscript"/>
                <w:lang w:val="es-ES"/>
              </w:rPr>
              <w:footnoteReference w:id="11"/>
            </w:r>
            <w:r w:rsidR="00991EFD">
              <w:rPr>
                <w:lang w:val="es-ES"/>
              </w:rPr>
              <w:t>, que</w:t>
            </w:r>
            <w:r w:rsidRPr="2133F407">
              <w:rPr>
                <w:lang w:val="es-ES"/>
              </w:rPr>
              <w:t xml:space="preserve"> también se ajustan a la siguiente definición de pyme:</w:t>
            </w:r>
          </w:p>
          <w:p w14:paraId="7FE1B4FF" w14:textId="77777777" w:rsidR="00414040" w:rsidRDefault="00904E1A">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Anexo, título I, artículo 2, apartado 1, de la Recomendación de la Comisión de 6 de mayo de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anexo V, parte 1, apartado 5, letra i).</w:t>
            </w:r>
          </w:p>
          <w:p w14:paraId="7FE1B500" w14:textId="77777777" w:rsidR="00414040" w:rsidRDefault="00904E1A">
            <w:pPr>
              <w:pStyle w:val="P68B1DB1-TableParagraph17"/>
              <w:spacing w:before="108"/>
              <w:ind w:left="85"/>
              <w:jc w:val="both"/>
              <w:rPr>
                <w:rFonts w:eastAsia="Book Antiqua"/>
              </w:rPr>
            </w:pPr>
            <w:r>
              <w:t>Empresas que ocupan a menos de 250 personas y cuyo volumen de negocios anual no excede de 50 millones EUR o cuyo balance anual total no excede de 43 millones EUR.</w:t>
            </w:r>
          </w:p>
        </w:tc>
      </w:tr>
      <w:tr w:rsidR="00414040" w14:paraId="7FE1B507" w14:textId="77777777" w:rsidTr="3E4E0AEA">
        <w:tc>
          <w:tcPr>
            <w:tcW w:w="908" w:type="dxa"/>
            <w:tcBorders>
              <w:top w:val="single" w:sz="4" w:space="0" w:color="1A171C"/>
              <w:left w:val="nil"/>
              <w:bottom w:val="single" w:sz="4" w:space="0" w:color="1A171C"/>
              <w:right w:val="single" w:sz="4" w:space="0" w:color="1A171C"/>
            </w:tcBorders>
            <w:vAlign w:val="center"/>
          </w:tcPr>
          <w:p w14:paraId="7FE1B502" w14:textId="77777777" w:rsidR="00414040" w:rsidRDefault="00904E1A">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414040" w:rsidRDefault="00904E1A">
            <w:pPr>
              <w:pStyle w:val="P68B1DB1-TableParagraph14"/>
              <w:spacing w:before="108"/>
              <w:ind w:left="85"/>
              <w:jc w:val="both"/>
            </w:pPr>
            <w:r>
              <w:t>Sociedades no financieras (no pymes)</w:t>
            </w:r>
          </w:p>
          <w:p w14:paraId="7FE1B504" w14:textId="77777777" w:rsidR="00414040" w:rsidRDefault="00904E1A">
            <w:pPr>
              <w:pStyle w:val="P68B1DB1-TableParagraph17"/>
              <w:spacing w:before="108"/>
              <w:ind w:left="85"/>
              <w:jc w:val="both"/>
            </w:pPr>
            <w:r>
              <w:t>FINREP, anexo V, parte 1, apartado 42, letra e)</w:t>
            </w:r>
          </w:p>
          <w:p w14:paraId="7FE1B505" w14:textId="506437B0" w:rsidR="00414040" w:rsidRDefault="00904E1A">
            <w:pPr>
              <w:pStyle w:val="P68B1DB1-TableParagraph13"/>
              <w:spacing w:before="108"/>
              <w:ind w:left="85"/>
              <w:jc w:val="both"/>
              <w:rPr>
                <w:rFonts w:eastAsia="Cambria"/>
                <w:lang w:val="es-ES"/>
              </w:rPr>
            </w:pPr>
            <w:r w:rsidRPr="2133F407">
              <w:rPr>
                <w:lang w:val="es-ES"/>
              </w:rPr>
              <w:t xml:space="preserve">Sociedades y </w:t>
            </w:r>
            <w:proofErr w:type="spellStart"/>
            <w:r w:rsidRPr="2133F407">
              <w:rPr>
                <w:lang w:val="es-ES"/>
              </w:rPr>
              <w:t>cuasisociedades</w:t>
            </w:r>
            <w:proofErr w:type="spellEnd"/>
            <w:r w:rsidRPr="2133F407">
              <w:rPr>
                <w:lang w:val="es-ES"/>
              </w:rPr>
              <w:t xml:space="preserve"> que no </w:t>
            </w:r>
            <w:r w:rsidR="00CD2D95">
              <w:rPr>
                <w:lang w:val="es-ES"/>
              </w:rPr>
              <w:t>se dedican a</w:t>
            </w:r>
            <w:r w:rsidRPr="2133F407">
              <w:rPr>
                <w:lang w:val="es-ES"/>
              </w:rPr>
              <w:t xml:space="preserve"> la intermediación financiera, sino principalmente </w:t>
            </w:r>
            <w:r w:rsidR="00CD2D95">
              <w:rPr>
                <w:lang w:val="es-ES"/>
              </w:rPr>
              <w:t>a</w:t>
            </w:r>
            <w:r w:rsidR="00CD2D95" w:rsidRPr="2133F407">
              <w:rPr>
                <w:lang w:val="es-ES"/>
              </w:rPr>
              <w:t xml:space="preserve"> </w:t>
            </w:r>
            <w:r w:rsidRPr="2133F407">
              <w:rPr>
                <w:lang w:val="es-ES"/>
              </w:rPr>
              <w:t>la producción de bienes y la prestación de servicios no financieros para el mercado con arreglo al Reglamento (UE) 2021/379 del Banco Central Europeo.</w:t>
            </w:r>
          </w:p>
          <w:p w14:paraId="7FE1B506" w14:textId="2FB93A3F" w:rsidR="00414040" w:rsidRDefault="00904E1A">
            <w:pPr>
              <w:pStyle w:val="P68B1DB1-TableParagraph17"/>
              <w:spacing w:before="108"/>
              <w:ind w:left="85"/>
              <w:jc w:val="both"/>
              <w:rPr>
                <w:b/>
                <w:bCs/>
              </w:rPr>
            </w:pPr>
            <w:r>
              <w:t xml:space="preserve">Quedan excluidas las «pymes» </w:t>
            </w:r>
            <w:r w:rsidR="0C6D5CEF">
              <w:t xml:space="preserve">informadas </w:t>
            </w:r>
            <w:r>
              <w:t xml:space="preserve">en la columna 0020. </w:t>
            </w:r>
          </w:p>
        </w:tc>
      </w:tr>
      <w:tr w:rsidR="00414040" w14:paraId="7FE1B50C" w14:textId="77777777" w:rsidTr="3E4E0AEA">
        <w:tc>
          <w:tcPr>
            <w:tcW w:w="908" w:type="dxa"/>
            <w:tcBorders>
              <w:top w:val="single" w:sz="4" w:space="0" w:color="1A171C"/>
              <w:left w:val="nil"/>
              <w:bottom w:val="single" w:sz="4" w:space="0" w:color="1A171C"/>
              <w:right w:val="single" w:sz="4" w:space="0" w:color="1A171C"/>
            </w:tcBorders>
            <w:vAlign w:val="center"/>
          </w:tcPr>
          <w:p w14:paraId="7FE1B508" w14:textId="77777777" w:rsidR="00414040" w:rsidRDefault="00904E1A">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414040" w:rsidRDefault="00904E1A">
            <w:pPr>
              <w:pStyle w:val="P68B1DB1-TableParagraph14"/>
              <w:spacing w:before="108"/>
              <w:ind w:left="85"/>
              <w:jc w:val="both"/>
            </w:pPr>
            <w:r>
              <w:t>Entidades de crédito</w:t>
            </w:r>
          </w:p>
          <w:p w14:paraId="7FE1B50A" w14:textId="77777777" w:rsidR="00414040" w:rsidRDefault="00904E1A">
            <w:pPr>
              <w:pStyle w:val="P68B1DB1-TableParagraph17"/>
              <w:spacing w:before="108"/>
              <w:ind w:left="85"/>
              <w:jc w:val="both"/>
            </w:pPr>
            <w:r>
              <w:t>FINREP, anexo V, parte 1, apartado 42, letra c)</w:t>
            </w:r>
          </w:p>
          <w:p w14:paraId="7FE1B50B" w14:textId="77777777" w:rsidR="00414040" w:rsidRDefault="00904E1A">
            <w:pPr>
              <w:pStyle w:val="P68B1DB1-TableParagraph13"/>
              <w:spacing w:before="108"/>
              <w:ind w:left="85"/>
              <w:jc w:val="both"/>
              <w:rPr>
                <w:b/>
                <w:bCs/>
              </w:rPr>
            </w:pPr>
            <w:r>
              <w:t>Entidades de crédito a efectos del artículo 4, apartado 1, punto 1, del Reglamento (UE) n.º 575/2013 y bancos multilaterales de desarrollo.</w:t>
            </w:r>
          </w:p>
        </w:tc>
      </w:tr>
      <w:tr w:rsidR="00414040" w14:paraId="7FE1B511" w14:textId="77777777" w:rsidTr="3E4E0AEA">
        <w:tc>
          <w:tcPr>
            <w:tcW w:w="908" w:type="dxa"/>
            <w:tcBorders>
              <w:top w:val="single" w:sz="4" w:space="0" w:color="1A171C"/>
              <w:left w:val="nil"/>
              <w:bottom w:val="single" w:sz="4" w:space="0" w:color="1A171C"/>
              <w:right w:val="single" w:sz="4" w:space="0" w:color="1A171C"/>
            </w:tcBorders>
            <w:vAlign w:val="center"/>
          </w:tcPr>
          <w:p w14:paraId="7FE1B50D" w14:textId="0A55540C" w:rsidR="00414040" w:rsidRDefault="00904E1A">
            <w:pPr>
              <w:pStyle w:val="P68B1DB1-TableParagraph13"/>
              <w:spacing w:before="106"/>
              <w:ind w:left="-1"/>
            </w:pPr>
            <w:r>
              <w:lastRenderedPageBreak/>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414040" w:rsidRDefault="00904E1A">
            <w:pPr>
              <w:pStyle w:val="P68B1DB1-TableParagraph14"/>
              <w:spacing w:before="108"/>
              <w:ind w:left="85"/>
              <w:jc w:val="both"/>
            </w:pPr>
            <w:r>
              <w:t>Otras sociedades financieras</w:t>
            </w:r>
          </w:p>
          <w:p w14:paraId="7FE1B50F" w14:textId="77777777" w:rsidR="00414040" w:rsidRDefault="00904E1A">
            <w:pPr>
              <w:pStyle w:val="P68B1DB1-TableParagraph17"/>
              <w:spacing w:before="108"/>
              <w:ind w:left="85"/>
              <w:jc w:val="both"/>
            </w:pPr>
            <w:r>
              <w:t>FINREP, anexo V, parte 1, apartado 42, letra d)</w:t>
            </w:r>
          </w:p>
          <w:p w14:paraId="7FE1B510" w14:textId="527420CE" w:rsidR="00414040" w:rsidRDefault="00904E1A">
            <w:pPr>
              <w:pStyle w:val="P68B1DB1-TableParagraph17"/>
              <w:spacing w:before="108"/>
              <w:ind w:left="85"/>
              <w:jc w:val="both"/>
              <w:rPr>
                <w:b/>
                <w:lang w:val="es-ES"/>
              </w:rPr>
            </w:pPr>
            <w:r w:rsidRPr="2133F407">
              <w:rPr>
                <w:lang w:val="es-ES"/>
              </w:rPr>
              <w:t xml:space="preserve">Todas las sociedades y </w:t>
            </w:r>
            <w:proofErr w:type="spellStart"/>
            <w:r w:rsidRPr="2133F407">
              <w:rPr>
                <w:lang w:val="es-ES"/>
              </w:rPr>
              <w:t>cuasisociedades</w:t>
            </w:r>
            <w:proofErr w:type="spellEnd"/>
            <w:r w:rsidRPr="2133F407">
              <w:rPr>
                <w:lang w:val="es-ES"/>
              </w:rPr>
              <w:t xml:space="preserve"> financieras distintas de las entidades de crédito, como empresas de servicios de inversión, fondos de inversión, compañías de seguros, fondos de pensiones, organismos de inversión colectiva y cámaras de compensación, así como los restantes intermediarios financieros, auxiliares financieros, entidades financieras de ámbito limitado y prestamistas de dinero.</w:t>
            </w:r>
          </w:p>
        </w:tc>
      </w:tr>
      <w:tr w:rsidR="00414040" w14:paraId="7FE1B515" w14:textId="77777777" w:rsidTr="3E4E0AEA">
        <w:tc>
          <w:tcPr>
            <w:tcW w:w="908" w:type="dxa"/>
            <w:tcBorders>
              <w:top w:val="single" w:sz="4" w:space="0" w:color="1A171C"/>
              <w:left w:val="nil"/>
              <w:bottom w:val="single" w:sz="4" w:space="0" w:color="1A171C"/>
              <w:right w:val="single" w:sz="4" w:space="0" w:color="1A171C"/>
            </w:tcBorders>
            <w:vAlign w:val="center"/>
          </w:tcPr>
          <w:p w14:paraId="7FE1B512" w14:textId="77777777" w:rsidR="00414040" w:rsidRDefault="00904E1A">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6FFC5E85" w:rsidR="00414040" w:rsidRDefault="00904E1A">
            <w:pPr>
              <w:pStyle w:val="P68B1DB1-TableParagraph14"/>
              <w:spacing w:before="108"/>
              <w:ind w:left="85"/>
              <w:jc w:val="both"/>
            </w:pPr>
            <w:r>
              <w:t>De l</w:t>
            </w:r>
            <w:r w:rsidR="00B36617">
              <w:t>a</w:t>
            </w:r>
            <w:r>
              <w:t>s cuales, compañías de seguros y fondos de pensiones</w:t>
            </w:r>
          </w:p>
          <w:p w14:paraId="7FE1B514" w14:textId="3ACE9A70" w:rsidR="00414040" w:rsidRDefault="13BB1AB6" w:rsidP="3E4E0AEA">
            <w:pPr>
              <w:pStyle w:val="P68B1DB1-TableParagraph17"/>
              <w:spacing w:before="108"/>
              <w:ind w:left="85"/>
              <w:jc w:val="both"/>
              <w:rPr>
                <w:b/>
                <w:bCs/>
              </w:rPr>
            </w:pPr>
            <w:r>
              <w:t>Empresas</w:t>
            </w:r>
            <w:r w:rsidR="00904E1A">
              <w:t xml:space="preserve"> de seguros, </w:t>
            </w:r>
            <w:r w:rsidR="0001344D">
              <w:t xml:space="preserve">empresas </w:t>
            </w:r>
            <w:r w:rsidR="00904E1A">
              <w:t>de reaseguros (a las que se refiere el artículo 13, apartados 1 a 6 de la Directiva 2009/138/CE del Parlamento Europeo y del Consejo) y fondos de pensiones y de jubilación.</w:t>
            </w:r>
          </w:p>
        </w:tc>
      </w:tr>
      <w:tr w:rsidR="00414040" w14:paraId="7FE1B51A" w14:textId="77777777" w:rsidTr="3E4E0AEA">
        <w:tc>
          <w:tcPr>
            <w:tcW w:w="908" w:type="dxa"/>
            <w:tcBorders>
              <w:top w:val="single" w:sz="4" w:space="0" w:color="1A171C"/>
              <w:left w:val="nil"/>
              <w:bottom w:val="single" w:sz="4" w:space="0" w:color="1A171C"/>
              <w:right w:val="single" w:sz="4" w:space="0" w:color="1A171C"/>
            </w:tcBorders>
            <w:vAlign w:val="center"/>
          </w:tcPr>
          <w:p w14:paraId="7FE1B516" w14:textId="77777777" w:rsidR="00414040" w:rsidRDefault="00904E1A">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414040" w:rsidRDefault="00904E1A">
            <w:pPr>
              <w:pStyle w:val="P68B1DB1-TableParagraph14"/>
              <w:spacing w:before="108"/>
              <w:ind w:left="85"/>
              <w:jc w:val="both"/>
            </w:pPr>
            <w:r>
              <w:t>Administraciones públicas y bancos centrales</w:t>
            </w:r>
          </w:p>
          <w:p w14:paraId="7FE1B518" w14:textId="77777777" w:rsidR="00414040" w:rsidRDefault="00904E1A">
            <w:pPr>
              <w:pStyle w:val="P68B1DB1-TableParagraph17"/>
              <w:spacing w:before="108"/>
              <w:ind w:left="85"/>
              <w:jc w:val="both"/>
            </w:pPr>
            <w:r>
              <w:t>FINREP, anexo V, parte 1, apartado 42, letras a) y b)</w:t>
            </w:r>
          </w:p>
          <w:p w14:paraId="7FE1B519" w14:textId="77777777" w:rsidR="00414040" w:rsidRDefault="00904E1A">
            <w:pPr>
              <w:pStyle w:val="P68B1DB1-TableParagraph17"/>
              <w:spacing w:before="108"/>
              <w:ind w:left="85"/>
              <w:jc w:val="both"/>
              <w:rPr>
                <w:b/>
                <w:lang w:val="es-ES"/>
              </w:rPr>
            </w:pPr>
            <w:r w:rsidRPr="2133F407">
              <w:rPr>
                <w:lang w:val="es-ES"/>
              </w:rPr>
              <w:t>Bancos centrales y administraciones centrales, administraciones estatales o regionales y corporaciones locales, incluidos los organismos administrativos y las empresas no mercantiles, pero excluidas las empresas públicas y privadas mantenidas por dichas administraciones que desarrollen una actividad mercantil (que se clasificarán como «entidades de crédito», «otras sociedades financieras» o «sociedades no financieras», dependiendo de su actividad); administraciones de la Seguridad Social; y organizaciones internacionales, como la Unión Europea, el Fondo Monetario Internacional y el Banco de Pagos Internacionales.</w:t>
            </w:r>
          </w:p>
        </w:tc>
      </w:tr>
      <w:tr w:rsidR="00414040" w14:paraId="7FE1B51E" w14:textId="77777777" w:rsidTr="3E4E0AEA">
        <w:tc>
          <w:tcPr>
            <w:tcW w:w="908" w:type="dxa"/>
            <w:tcBorders>
              <w:top w:val="single" w:sz="4" w:space="0" w:color="1A171C"/>
              <w:left w:val="nil"/>
              <w:bottom w:val="single" w:sz="4" w:space="0" w:color="1A171C"/>
              <w:right w:val="single" w:sz="4" w:space="0" w:color="1A171C"/>
            </w:tcBorders>
            <w:vAlign w:val="center"/>
          </w:tcPr>
          <w:p w14:paraId="7FE1B51B" w14:textId="77777777" w:rsidR="00414040" w:rsidRDefault="00904E1A">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414040" w:rsidRDefault="00904E1A">
            <w:pPr>
              <w:pStyle w:val="P68B1DB1-TableParagraph14"/>
              <w:spacing w:before="108"/>
              <w:ind w:left="85"/>
              <w:jc w:val="both"/>
            </w:pPr>
            <w:r>
              <w:t>No identificadas, con cotización en centros de negociación</w:t>
            </w:r>
          </w:p>
          <w:p w14:paraId="7FE1B51D" w14:textId="768BDD2F" w:rsidR="00414040" w:rsidRDefault="00904E1A">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 xml:space="preserve">En esta columna se </w:t>
            </w:r>
            <w:r w:rsidR="5FE7739D">
              <w:rPr>
                <w:rFonts w:ascii="Times New Roman" w:hAnsi="Times New Roman" w:cs="Times New Roman"/>
                <w:color w:val="000000" w:themeColor="text1"/>
                <w:sz w:val="20"/>
                <w:szCs w:val="20"/>
              </w:rPr>
              <w:t>informarán</w:t>
            </w:r>
            <w:r w:rsidR="00A8449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los importes correspondientes a los valores de titulares cuya identidad no se conozca al cotizar los valores en centros de negociación</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según se definen en la Directiva 2014/65/UE.</w:t>
            </w:r>
          </w:p>
        </w:tc>
      </w:tr>
      <w:tr w:rsidR="00414040" w14:paraId="7FE1B522" w14:textId="77777777" w:rsidTr="3E4E0AEA">
        <w:tc>
          <w:tcPr>
            <w:tcW w:w="908" w:type="dxa"/>
            <w:tcBorders>
              <w:top w:val="single" w:sz="4" w:space="0" w:color="1A171C"/>
              <w:left w:val="nil"/>
              <w:bottom w:val="single" w:sz="4" w:space="0" w:color="1A171C"/>
              <w:right w:val="single" w:sz="4" w:space="0" w:color="1A171C"/>
            </w:tcBorders>
            <w:vAlign w:val="center"/>
          </w:tcPr>
          <w:p w14:paraId="7FE1B51F" w14:textId="77777777" w:rsidR="00414040" w:rsidRDefault="00904E1A">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414040" w:rsidRDefault="00904E1A">
            <w:pPr>
              <w:pStyle w:val="P68B1DB1-TableParagraph14"/>
              <w:spacing w:before="108"/>
              <w:ind w:left="85"/>
              <w:jc w:val="both"/>
            </w:pPr>
            <w:r>
              <w:t>No identificadas, sin cotización en centros de negociación</w:t>
            </w:r>
          </w:p>
          <w:p w14:paraId="7FE1B521" w14:textId="6EB14B5C" w:rsidR="00414040" w:rsidRDefault="00904E1A">
            <w:pPr>
              <w:pStyle w:val="P68B1DB1-TableParagraph17"/>
              <w:spacing w:before="108"/>
              <w:ind w:left="85"/>
              <w:jc w:val="both"/>
            </w:pPr>
            <w:r>
              <w:t xml:space="preserve">Cuando la identidad del titular de un valor no se conozca, sin que los valores coticen en centros de negociación, los importes se </w:t>
            </w:r>
            <w:r w:rsidR="065165A1">
              <w:t>informarán</w:t>
            </w:r>
            <w:r>
              <w:t xml:space="preserve"> en esta columna sin que se requiera un desglose por contrapartes. Se velará al máximo por identificar a las contrapartes y limitar el uso de esta columna.</w:t>
            </w:r>
          </w:p>
        </w:tc>
      </w:tr>
      <w:tr w:rsidR="00414040" w14:paraId="7FE1B525" w14:textId="77777777" w:rsidTr="3E4E0AEA">
        <w:tc>
          <w:tcPr>
            <w:tcW w:w="908" w:type="dxa"/>
            <w:tcBorders>
              <w:top w:val="single" w:sz="4" w:space="0" w:color="1A171C"/>
              <w:left w:val="nil"/>
              <w:bottom w:val="single" w:sz="4" w:space="0" w:color="1A171C"/>
              <w:right w:val="single" w:sz="4" w:space="0" w:color="1A171C"/>
            </w:tcBorders>
            <w:vAlign w:val="center"/>
          </w:tcPr>
          <w:p w14:paraId="7FE1B523" w14:textId="42079B1B" w:rsidR="00414040" w:rsidRDefault="00904E1A">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414040" w:rsidRDefault="00904E1A">
            <w:pPr>
              <w:pStyle w:val="P68B1DB1-TableParagraph14"/>
              <w:spacing w:before="108"/>
              <w:ind w:left="85"/>
              <w:jc w:val="both"/>
              <w:rPr>
                <w:bCs/>
              </w:rPr>
            </w:pPr>
            <w:r>
              <w:t>Total</w:t>
            </w:r>
          </w:p>
        </w:tc>
      </w:tr>
      <w:tr w:rsidR="00414040" w14:paraId="7FE1B529" w14:textId="77777777" w:rsidTr="3E4E0AEA">
        <w:tc>
          <w:tcPr>
            <w:tcW w:w="908" w:type="dxa"/>
            <w:tcBorders>
              <w:top w:val="single" w:sz="4" w:space="0" w:color="1A171C"/>
              <w:left w:val="nil"/>
              <w:bottom w:val="single" w:sz="4" w:space="0" w:color="1A171C"/>
              <w:right w:val="single" w:sz="4" w:space="0" w:color="1A171C"/>
            </w:tcBorders>
            <w:vAlign w:val="center"/>
          </w:tcPr>
          <w:p w14:paraId="7FE1B526" w14:textId="77777777" w:rsidR="00414040" w:rsidRDefault="00904E1A">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22A4E8DB" w:rsidR="00414040" w:rsidRDefault="2D18121D">
            <w:pPr>
              <w:pStyle w:val="P68B1DB1-TableParagraph14"/>
              <w:spacing w:before="108"/>
              <w:ind w:left="85"/>
              <w:jc w:val="both"/>
            </w:pPr>
            <w:r>
              <w:t>Del cual</w:t>
            </w:r>
            <w:r w:rsidR="00904E1A">
              <w:t>: intragrupo</w:t>
            </w:r>
          </w:p>
          <w:p w14:paraId="7FE1B528" w14:textId="1BF72D2B" w:rsidR="00414040" w:rsidRDefault="00904E1A">
            <w:pPr>
              <w:pStyle w:val="P68B1DB1-TableParagraph13"/>
              <w:spacing w:before="108"/>
              <w:ind w:left="85"/>
              <w:jc w:val="both"/>
              <w:rPr>
                <w:rFonts w:eastAsia="Times New Roman"/>
              </w:rPr>
            </w:pPr>
            <w:r>
              <w:t xml:space="preserve">Pasivos frente a entes incluidos en el ámbito contable de consolidación del ente matriz último (en contraposición con el ámbito prudencial de consolidación). </w:t>
            </w:r>
          </w:p>
        </w:tc>
      </w:tr>
      <w:tr w:rsidR="00414040" w14:paraId="7FE1B52E" w14:textId="77777777" w:rsidTr="3E4E0AEA">
        <w:tc>
          <w:tcPr>
            <w:tcW w:w="908" w:type="dxa"/>
            <w:tcBorders>
              <w:top w:val="single" w:sz="4" w:space="0" w:color="1A171C"/>
              <w:left w:val="nil"/>
              <w:bottom w:val="single" w:sz="4" w:space="0" w:color="1A171C"/>
              <w:right w:val="single" w:sz="4" w:space="0" w:color="1A171C"/>
            </w:tcBorders>
            <w:vAlign w:val="center"/>
          </w:tcPr>
          <w:p w14:paraId="7FE1B52A" w14:textId="77777777" w:rsidR="00414040" w:rsidRDefault="00904E1A">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2B85EAB5" w:rsidR="00414040" w:rsidRDefault="4B0A5000">
            <w:pPr>
              <w:pStyle w:val="P68B1DB1-TableParagraph14"/>
              <w:spacing w:before="108"/>
              <w:ind w:left="85"/>
              <w:jc w:val="both"/>
            </w:pPr>
            <w:r>
              <w:t>Del cual</w:t>
            </w:r>
            <w:r w:rsidR="00904E1A">
              <w:t>: pasivos regulados por la normativa de un tercer país, con exclusión de los pasivos intragrupo</w:t>
            </w:r>
          </w:p>
          <w:p w14:paraId="7FE1B52C" w14:textId="77777777" w:rsidR="00414040" w:rsidRDefault="00904E1A">
            <w:pPr>
              <w:pStyle w:val="P68B1DB1-TableParagraph17"/>
              <w:spacing w:before="108"/>
              <w:ind w:left="85"/>
              <w:jc w:val="both"/>
            </w:pPr>
            <w:r>
              <w:t>Se incluirán los importes brutos de los pasivos regulados por la normativa de un tercer país o emitidos por entes del grupo establecidos en terceros países. No se incluirán los pasivos intragrupo.</w:t>
            </w:r>
          </w:p>
          <w:p w14:paraId="7FE1B52D" w14:textId="4B89F0BA" w:rsidR="00414040" w:rsidRDefault="00904E1A" w:rsidP="11A44BD7">
            <w:pPr>
              <w:pStyle w:val="TableParagraph"/>
              <w:spacing w:before="108"/>
              <w:ind w:left="85"/>
              <w:jc w:val="both"/>
              <w:rPr>
                <w:rFonts w:ascii="Times New Roman" w:hAnsi="Times New Roman" w:cs="Times New Roman"/>
                <w:b/>
                <w:bCs/>
                <w:color w:val="000000" w:themeColor="text1"/>
                <w:sz w:val="20"/>
                <w:szCs w:val="20"/>
                <w:lang w:val="es-ES"/>
              </w:rPr>
            </w:pPr>
            <w:r w:rsidRPr="2133F407">
              <w:rPr>
                <w:rFonts w:ascii="Times New Roman" w:eastAsia="Cambria" w:hAnsi="Times New Roman" w:cs="Times New Roman"/>
                <w:color w:val="000000" w:themeColor="text1"/>
                <w:sz w:val="20"/>
                <w:szCs w:val="20"/>
                <w:lang w:val="es-ES"/>
              </w:rPr>
              <w:t>Cuando la autoridad de resolución haya confirmado su convencimiento, con arreglo al artículo 55, apartado 3, de la Directiva 2014/59/UE del Parlamento Europeo y del Consejo</w:t>
            </w:r>
            <w:r w:rsidR="00687BB2" w:rsidRPr="2133F407">
              <w:rPr>
                <w:rStyle w:val="FootnoteReference"/>
                <w:rFonts w:ascii="Times New Roman" w:eastAsia="Cambria" w:hAnsi="Times New Roman" w:cs="Times New Roman"/>
                <w:color w:val="000000" w:themeColor="text1"/>
                <w:lang w:val="es-ES"/>
              </w:rPr>
              <w:footnoteReference w:id="14"/>
            </w:r>
            <w:r w:rsidRPr="2133F407">
              <w:rPr>
                <w:rFonts w:ascii="Times New Roman" w:eastAsia="Cambria" w:hAnsi="Times New Roman" w:cs="Times New Roman"/>
                <w:color w:val="000000" w:themeColor="text1"/>
                <w:sz w:val="20"/>
                <w:szCs w:val="20"/>
                <w:lang w:val="es-ES"/>
              </w:rPr>
              <w:t xml:space="preserve">, de </w:t>
            </w:r>
            <w:r w:rsidR="00687BB2">
              <w:rPr>
                <w:rFonts w:ascii="Times New Roman" w:eastAsia="Cambria" w:hAnsi="Times New Roman" w:cs="Times New Roman"/>
                <w:color w:val="000000" w:themeColor="text1"/>
                <w:sz w:val="20"/>
                <w:szCs w:val="20"/>
                <w:lang w:val="es-ES"/>
              </w:rPr>
              <w:t xml:space="preserve">que </w:t>
            </w:r>
            <w:r w:rsidRPr="2133F407">
              <w:rPr>
                <w:rFonts w:ascii="Times New Roman" w:eastAsia="Cambria" w:hAnsi="Times New Roman" w:cs="Times New Roman"/>
                <w:color w:val="000000" w:themeColor="text1"/>
                <w:sz w:val="20"/>
                <w:szCs w:val="20"/>
                <w:lang w:val="es-ES"/>
              </w:rPr>
              <w:t xml:space="preserve">toda </w:t>
            </w:r>
            <w:r w:rsidRPr="2133F407">
              <w:rPr>
                <w:rFonts w:ascii="Times New Roman" w:eastAsia="Cambria" w:hAnsi="Times New Roman" w:cs="Times New Roman"/>
                <w:color w:val="000000" w:themeColor="text1"/>
                <w:sz w:val="20"/>
                <w:szCs w:val="20"/>
                <w:lang w:val="es-ES"/>
              </w:rPr>
              <w:lastRenderedPageBreak/>
              <w:t xml:space="preserve">decisión de una autoridad de resolución consistente en amortizar o convertir un pasivo sería efectiva con arreglo a la normativa de dicho tercer país, dicho pasivo no se </w:t>
            </w:r>
            <w:r w:rsidR="079F09B6" w:rsidRPr="2133F407">
              <w:rPr>
                <w:rFonts w:ascii="Times New Roman" w:eastAsia="Cambria" w:hAnsi="Times New Roman" w:cs="Times New Roman"/>
                <w:color w:val="000000" w:themeColor="text1"/>
                <w:sz w:val="20"/>
                <w:szCs w:val="20"/>
                <w:lang w:val="es-ES"/>
              </w:rPr>
              <w:t>informará</w:t>
            </w:r>
            <w:r w:rsidRPr="2133F407">
              <w:rPr>
                <w:rFonts w:ascii="Times New Roman" w:eastAsia="Cambria" w:hAnsi="Times New Roman" w:cs="Times New Roman"/>
                <w:color w:val="000000" w:themeColor="text1"/>
                <w:sz w:val="20"/>
                <w:szCs w:val="20"/>
                <w:lang w:val="es-ES"/>
              </w:rPr>
              <w:t xml:space="preserve"> en esta columna.</w:t>
            </w:r>
          </w:p>
        </w:tc>
      </w:tr>
    </w:tbl>
    <w:p w14:paraId="7FE1B532" w14:textId="77777777" w:rsidR="00414040" w:rsidRDefault="00414040">
      <w:pPr>
        <w:rPr>
          <w:rFonts w:ascii="Times New Roman" w:hAnsi="Times New Roman" w:cs="Times New Roman"/>
        </w:rPr>
      </w:pPr>
    </w:p>
    <w:p w14:paraId="7FE1B533" w14:textId="77777777" w:rsidR="00414040" w:rsidRDefault="00414040">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414040" w14:paraId="7FE1B536" w14:textId="77777777" w:rsidTr="3E4E0AEA">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414040" w:rsidRDefault="00904E1A">
            <w:pPr>
              <w:pStyle w:val="P68B1DB1-TableParagraph13"/>
              <w:spacing w:before="66"/>
              <w:rPr>
                <w:rFonts w:eastAsia="Cambria"/>
              </w:rPr>
            </w:pPr>
            <w:r>
              <w:t>Filas</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414040" w:rsidRDefault="00904E1A">
            <w:pPr>
              <w:pStyle w:val="P68B1DB1-TableParagraph13"/>
              <w:spacing w:before="66"/>
              <w:ind w:right="1"/>
              <w:jc w:val="center"/>
              <w:rPr>
                <w:rFonts w:eastAsia="Cambria"/>
              </w:rPr>
            </w:pPr>
            <w:r>
              <w:t>Instrucciones</w:t>
            </w:r>
          </w:p>
        </w:tc>
      </w:tr>
      <w:tr w:rsidR="00414040" w14:paraId="7FE1B53B" w14:textId="77777777" w:rsidTr="3E4E0AEA">
        <w:tc>
          <w:tcPr>
            <w:tcW w:w="905" w:type="dxa"/>
            <w:tcBorders>
              <w:top w:val="single" w:sz="4" w:space="0" w:color="1A171C"/>
              <w:left w:val="nil"/>
              <w:bottom w:val="single" w:sz="4" w:space="0" w:color="1A171C"/>
              <w:right w:val="single" w:sz="4" w:space="0" w:color="1A171C"/>
            </w:tcBorders>
            <w:vAlign w:val="center"/>
          </w:tcPr>
          <w:p w14:paraId="7FE1B537" w14:textId="77777777" w:rsidR="00414040" w:rsidRDefault="00904E1A">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414040" w:rsidRDefault="00904E1A">
            <w:pPr>
              <w:pStyle w:val="P68B1DB1-TableParagraph14"/>
              <w:spacing w:before="108"/>
              <w:ind w:left="85"/>
              <w:jc w:val="both"/>
            </w:pPr>
            <w:r>
              <w:t>Pasivos excluidos de la recapitalización interna</w:t>
            </w:r>
          </w:p>
          <w:p w14:paraId="7FE1B53A" w14:textId="5A5F469A" w:rsidR="00414040" w:rsidRDefault="00904E1A">
            <w:pPr>
              <w:pStyle w:val="P68B1DB1-TableParagraph17"/>
              <w:spacing w:before="108"/>
              <w:jc w:val="both"/>
              <w:rPr>
                <w:lang w:val="es-ES"/>
              </w:rPr>
            </w:pPr>
            <w:r w:rsidRPr="69E604A3">
              <w:rPr>
                <w:lang w:val="es-ES"/>
              </w:rPr>
              <w:t xml:space="preserve">El importe de los pasivos respecto de los cuales las autoridades de resolución no ejercerán las competencias de amortización o conversión de conformidad con el artículo 44, apartado 2, de la Directiva 2014/59/UE. </w:t>
            </w:r>
          </w:p>
        </w:tc>
      </w:tr>
      <w:tr w:rsidR="00414040" w14:paraId="7FE1B53F" w14:textId="77777777" w:rsidTr="3E4E0AEA">
        <w:tc>
          <w:tcPr>
            <w:tcW w:w="905" w:type="dxa"/>
            <w:tcBorders>
              <w:top w:val="single" w:sz="4" w:space="0" w:color="1A171C"/>
              <w:left w:val="nil"/>
              <w:bottom w:val="single" w:sz="4" w:space="0" w:color="1A171C"/>
              <w:right w:val="single" w:sz="4" w:space="0" w:color="1A171C"/>
            </w:tcBorders>
            <w:vAlign w:val="center"/>
          </w:tcPr>
          <w:p w14:paraId="7FE1B53C" w14:textId="77777777" w:rsidR="00414040" w:rsidRDefault="00904E1A">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414040" w:rsidRDefault="00904E1A">
            <w:pPr>
              <w:pStyle w:val="P68B1DB1-TableParagraph14"/>
              <w:spacing w:before="108"/>
              <w:ind w:left="85"/>
              <w:jc w:val="both"/>
            </w:pPr>
            <w:r>
              <w:t>Depósitos con cobertura</w:t>
            </w:r>
          </w:p>
          <w:p w14:paraId="7FE1B53E" w14:textId="05E4FAA6" w:rsidR="00414040" w:rsidRDefault="00904E1A">
            <w:pPr>
              <w:pStyle w:val="TableParagraph"/>
              <w:spacing w:before="108"/>
              <w:ind w:left="85"/>
              <w:jc w:val="both"/>
              <w:rPr>
                <w:rFonts w:ascii="Times New Roman" w:eastAsia="Book Antiqua" w:hAnsi="Times New Roman" w:cs="Times New Roman"/>
                <w:color w:val="000000" w:themeColor="text1"/>
                <w:sz w:val="20"/>
                <w:szCs w:val="20"/>
                <w:lang w:val="es-ES"/>
              </w:rPr>
            </w:pPr>
            <w:r w:rsidRPr="69E604A3">
              <w:rPr>
                <w:rFonts w:ascii="Times New Roman" w:hAnsi="Times New Roman" w:cs="Times New Roman"/>
                <w:color w:val="000000" w:themeColor="text1"/>
                <w:sz w:val="20"/>
                <w:szCs w:val="20"/>
                <w:lang w:val="es-ES"/>
              </w:rPr>
              <w:t>Importe de los depósitos con cobertura, según se definen en el artículo 2, apartado 1, punto 5, de la Directiva 2014/49/UE del Parlamento Europeo y del Consejo</w:t>
            </w:r>
            <w:r w:rsidRPr="69E604A3">
              <w:rPr>
                <w:rStyle w:val="FootnoteReference"/>
                <w:rFonts w:ascii="Times New Roman" w:hAnsi="Times New Roman" w:cs="Times New Roman"/>
                <w:color w:val="000000" w:themeColor="text1"/>
                <w:lang w:val="es-ES"/>
              </w:rPr>
              <w:footnoteReference w:id="15"/>
            </w:r>
            <w:r w:rsidR="00B36617">
              <w:rPr>
                <w:rFonts w:ascii="Times New Roman" w:hAnsi="Times New Roman" w:cs="Times New Roman"/>
                <w:color w:val="000000" w:themeColor="text1"/>
                <w:lang w:val="es-ES"/>
              </w:rPr>
              <w:t xml:space="preserve"> </w:t>
            </w:r>
            <w:r w:rsidRPr="69E604A3">
              <w:rPr>
                <w:rFonts w:ascii="Times New Roman" w:eastAsia="Cambria" w:hAnsi="Times New Roman" w:cs="Times New Roman"/>
                <w:color w:val="000000" w:themeColor="text1"/>
                <w:sz w:val="20"/>
                <w:szCs w:val="20"/>
                <w:lang w:val="es-ES"/>
              </w:rPr>
              <w:t>con exclusión de los saldos temporalmente elevados, según se definen en el artículo 6, apartado 2, de dicha Directiva.</w:t>
            </w:r>
          </w:p>
        </w:tc>
      </w:tr>
      <w:tr w:rsidR="00414040" w14:paraId="7FE1B546" w14:textId="77777777" w:rsidTr="3E4E0AEA">
        <w:tc>
          <w:tcPr>
            <w:tcW w:w="905" w:type="dxa"/>
            <w:tcBorders>
              <w:top w:val="single" w:sz="4" w:space="0" w:color="1A171C"/>
              <w:left w:val="nil"/>
              <w:bottom w:val="single" w:sz="4" w:space="0" w:color="1A171C"/>
              <w:right w:val="single" w:sz="4" w:space="0" w:color="1A171C"/>
            </w:tcBorders>
            <w:vAlign w:val="center"/>
          </w:tcPr>
          <w:p w14:paraId="7FE1B540" w14:textId="77777777" w:rsidR="00414040" w:rsidRDefault="00904E1A">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416D8B7D" w:rsidR="00414040" w:rsidRDefault="00904E1A">
            <w:pPr>
              <w:pStyle w:val="P68B1DB1-TableParagraph14"/>
              <w:spacing w:before="108"/>
              <w:ind w:left="85"/>
              <w:jc w:val="both"/>
              <w:rPr>
                <w:lang w:val="es-ES"/>
              </w:rPr>
            </w:pPr>
            <w:r w:rsidRPr="69E604A3">
              <w:rPr>
                <w:lang w:val="es-ES"/>
              </w:rPr>
              <w:t>Pasivos garantizados:</w:t>
            </w:r>
            <w:r w:rsidR="423FC40C" w:rsidRPr="41A04560">
              <w:rPr>
                <w:lang w:val="es-ES"/>
              </w:rPr>
              <w:t xml:space="preserve"> </w:t>
            </w:r>
            <w:r w:rsidRPr="69E604A3">
              <w:rPr>
                <w:lang w:val="es-ES"/>
              </w:rPr>
              <w:t>parte cubierta con garantías reales</w:t>
            </w:r>
          </w:p>
          <w:p w14:paraId="7FE1B542" w14:textId="14245B0A" w:rsidR="00414040" w:rsidRDefault="00904E1A">
            <w:pPr>
              <w:pStyle w:val="P68B1DB1-TableParagraph17"/>
              <w:spacing w:before="108"/>
              <w:ind w:left="85"/>
              <w:jc w:val="both"/>
            </w:pPr>
            <w:r>
              <w:t>El importe de los pasivos a que se refiere el artículo 44, apartado 2, letra b), de la Directiva 2014/59/UE.</w:t>
            </w:r>
          </w:p>
          <w:p w14:paraId="7FE1B543" w14:textId="77777777" w:rsidR="00414040" w:rsidRDefault="00904E1A">
            <w:pPr>
              <w:pStyle w:val="P68B1DB1-TableParagraph17"/>
              <w:spacing w:before="108"/>
              <w:ind w:left="85"/>
              <w:jc w:val="both"/>
            </w:pPr>
            <w:r>
              <w:t>Pasivos garantizados, incluidos los acuerdos de recompra (repos), los bonos garantizados y los pasivos en forma de instrumentos financieros que formen parte integrante del conjunto de cobertura y que, con arreglo a la normativa nacional, estén garantizados de un modo similar al de los bonos garantizados.</w:t>
            </w:r>
          </w:p>
          <w:p w14:paraId="7FE1B544" w14:textId="3C705512" w:rsidR="00414040" w:rsidRDefault="00904E1A">
            <w:pPr>
              <w:pStyle w:val="P68B1DB1-TableParagraph17"/>
              <w:spacing w:before="108"/>
              <w:ind w:left="85"/>
              <w:jc w:val="both"/>
            </w:pPr>
            <w:r w:rsidRPr="11A44BD7">
              <w:rPr>
                <w:lang w:val="es-ES"/>
              </w:rPr>
              <w:t xml:space="preserve">Ni la obligación de velar por que todos los activos garantizados relacionados con un conjunto de cobertura de bonos garantizados permanezcan inmutables y segregados y dispongan de financiación suficiente, ni la exclusión del artículo 44, apartado 2, letra b), de la Directiva 2014/59/UE, impedirán que, cuando proceda, las autoridades de resolución ejerzan esas facultades respecto de cualquier parte de un pasivo garantizado o de un pasivo al que se hubiera prestado una garantía real que exceda del valor de los activos, la pignoración, la prenda o la garantía real con los que esté asegurado. Tal importe sin cobertura de esos pasivos garantizados no se </w:t>
            </w:r>
            <w:r w:rsidR="0AEAA38C" w:rsidRPr="11A44BD7">
              <w:rPr>
                <w:lang w:val="es-ES"/>
              </w:rPr>
              <w:t>informará</w:t>
            </w:r>
            <w:r w:rsidRPr="11A44BD7">
              <w:rPr>
                <w:lang w:val="es-ES"/>
              </w:rPr>
              <w:t xml:space="preserve"> en esta fila, sino en la fila 0340, con un desglose adicional.</w:t>
            </w:r>
          </w:p>
          <w:p w14:paraId="7FE1B545" w14:textId="76219708" w:rsidR="00414040" w:rsidRDefault="00904E1A">
            <w:pPr>
              <w:pStyle w:val="P68B1DB1-TableParagraph20"/>
              <w:spacing w:before="108"/>
              <w:ind w:left="85"/>
              <w:jc w:val="both"/>
              <w:rPr>
                <w:color w:val="000000" w:themeColor="text1"/>
                <w:lang w:val="es-ES"/>
              </w:rPr>
            </w:pPr>
            <w:r w:rsidRPr="3E4E0AEA">
              <w:rPr>
                <w:color w:val="000000" w:themeColor="text1"/>
                <w:lang w:val="es-ES"/>
              </w:rPr>
              <w:t>Los pasivos frente a bancos centrales que estén cubiertos por un conjunto de garantías reales</w:t>
            </w:r>
            <w:r w:rsidR="0FBAD898" w:rsidRPr="3E4E0AEA">
              <w:rPr>
                <w:color w:val="000000" w:themeColor="text1"/>
                <w:lang w:val="es-ES"/>
              </w:rPr>
              <w:t xml:space="preserve"> </w:t>
            </w:r>
            <w:r w:rsidRPr="3E4E0AEA">
              <w:rPr>
                <w:color w:val="1A171C"/>
                <w:lang w:val="es-ES"/>
              </w:rPr>
              <w:t>(por ejemplo, operaciones principales de refinanciación, operaciones de refinanciación a largo plazo, operaciones de refinanciación a plazo más largo con objetivo específico, etc.</w:t>
            </w:r>
            <w:r w:rsidRPr="3E4E0AEA">
              <w:rPr>
                <w:color w:val="000000" w:themeColor="text1"/>
                <w:lang w:val="es-ES"/>
              </w:rPr>
              <w:t xml:space="preserve">) serán considerados pasivos garantizados. </w:t>
            </w:r>
          </w:p>
        </w:tc>
      </w:tr>
      <w:tr w:rsidR="00414040" w14:paraId="7FE1B54B" w14:textId="77777777" w:rsidTr="3E4E0AEA">
        <w:tc>
          <w:tcPr>
            <w:tcW w:w="905" w:type="dxa"/>
            <w:tcBorders>
              <w:top w:val="single" w:sz="4" w:space="0" w:color="1A171C"/>
              <w:left w:val="nil"/>
              <w:bottom w:val="single" w:sz="4" w:space="0" w:color="1A171C"/>
              <w:right w:val="single" w:sz="4" w:space="0" w:color="1A171C"/>
            </w:tcBorders>
            <w:vAlign w:val="center"/>
          </w:tcPr>
          <w:p w14:paraId="7FE1B547" w14:textId="77777777" w:rsidR="00414040" w:rsidRDefault="00904E1A">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414040" w:rsidRDefault="00904E1A">
            <w:pPr>
              <w:pStyle w:val="P68B1DB1-TableParagraph14"/>
              <w:spacing w:before="108"/>
              <w:ind w:left="85"/>
              <w:jc w:val="both"/>
            </w:pPr>
            <w:r>
              <w:t>Pasivos respecto de clientes, si están protegidos en caso de insolvencia</w:t>
            </w:r>
          </w:p>
          <w:p w14:paraId="7FE1B54A" w14:textId="2F60701C" w:rsidR="00414040" w:rsidRDefault="00904E1A">
            <w:pPr>
              <w:pStyle w:val="P68B1DB1-TableParagraph17"/>
              <w:spacing w:before="108"/>
              <w:ind w:left="85"/>
              <w:jc w:val="both"/>
              <w:rPr>
                <w:b/>
                <w:bCs/>
              </w:rPr>
            </w:pPr>
            <w:r>
              <w:t>El importe de los pasivos a que se refiere el artículo 44, apartado 2, letra c), de la Directiva 2014/59/UE.</w:t>
            </w:r>
          </w:p>
        </w:tc>
      </w:tr>
      <w:tr w:rsidR="00414040" w14:paraId="7FE1B550" w14:textId="77777777" w:rsidTr="3E4E0AEA">
        <w:tc>
          <w:tcPr>
            <w:tcW w:w="905" w:type="dxa"/>
            <w:tcBorders>
              <w:top w:val="single" w:sz="4" w:space="0" w:color="1A171C"/>
              <w:left w:val="nil"/>
              <w:bottom w:val="single" w:sz="4" w:space="0" w:color="1A171C"/>
              <w:right w:val="single" w:sz="4" w:space="0" w:color="1A171C"/>
            </w:tcBorders>
            <w:vAlign w:val="center"/>
          </w:tcPr>
          <w:p w14:paraId="7FE1B54C" w14:textId="77777777" w:rsidR="00414040" w:rsidRDefault="00904E1A">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414040" w:rsidRDefault="00904E1A">
            <w:pPr>
              <w:pStyle w:val="P68B1DB1-TableParagraph14"/>
              <w:spacing w:before="108"/>
              <w:ind w:left="85"/>
              <w:jc w:val="both"/>
            </w:pPr>
            <w:r>
              <w:t>Pasivos fiduciarios, si están protegidos en caso de insolvencia</w:t>
            </w:r>
          </w:p>
          <w:p w14:paraId="7FE1B54F" w14:textId="76B21996" w:rsidR="00414040" w:rsidRDefault="00904E1A">
            <w:pPr>
              <w:pStyle w:val="P68B1DB1-TableParagraph17"/>
              <w:spacing w:before="108"/>
              <w:ind w:left="85"/>
              <w:jc w:val="both"/>
              <w:rPr>
                <w:b/>
                <w:bCs/>
              </w:rPr>
            </w:pPr>
            <w:r>
              <w:t>El importe de los pasivos a que se refiere el artículo 44, apartado 2, letra d), de la Directiva 2014/59/UE.</w:t>
            </w:r>
          </w:p>
        </w:tc>
      </w:tr>
      <w:tr w:rsidR="00414040" w14:paraId="7FE1B555" w14:textId="77777777" w:rsidTr="3E4E0AEA">
        <w:tc>
          <w:tcPr>
            <w:tcW w:w="905" w:type="dxa"/>
            <w:tcBorders>
              <w:top w:val="single" w:sz="4" w:space="0" w:color="1A171C"/>
              <w:left w:val="nil"/>
              <w:bottom w:val="single" w:sz="4" w:space="0" w:color="1A171C"/>
              <w:right w:val="single" w:sz="4" w:space="0" w:color="1A171C"/>
            </w:tcBorders>
            <w:vAlign w:val="center"/>
          </w:tcPr>
          <w:p w14:paraId="7FE1B551" w14:textId="77777777" w:rsidR="00414040" w:rsidRDefault="00904E1A">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3C7C782B" w:rsidR="00414040" w:rsidRDefault="00904E1A">
            <w:pPr>
              <w:pStyle w:val="P68B1DB1-TableParagraph14"/>
              <w:spacing w:before="108"/>
              <w:ind w:left="85"/>
              <w:jc w:val="both"/>
            </w:pPr>
            <w:r>
              <w:t xml:space="preserve">Pasivos de la entidad </w:t>
            </w:r>
            <w:r w:rsidR="640A0A1B">
              <w:t>&lt;</w:t>
            </w:r>
            <w:r>
              <w:t xml:space="preserve"> 7 días </w:t>
            </w:r>
          </w:p>
          <w:p w14:paraId="7FE1B554" w14:textId="175AD873" w:rsidR="00414040" w:rsidRDefault="00904E1A">
            <w:pPr>
              <w:pStyle w:val="P68B1DB1-TableParagraph17"/>
              <w:spacing w:before="108"/>
              <w:ind w:left="85"/>
              <w:jc w:val="both"/>
              <w:rPr>
                <w:b/>
                <w:bCs/>
              </w:rPr>
            </w:pPr>
            <w:r>
              <w:t>El importe de los pasivos a que se refiere el artículo 44, apartado 2, letra e), de la Directiva 2014/59/UE.</w:t>
            </w:r>
          </w:p>
        </w:tc>
      </w:tr>
      <w:tr w:rsidR="00414040" w14:paraId="7FE1B559" w14:textId="77777777" w:rsidTr="3E4E0AEA">
        <w:tc>
          <w:tcPr>
            <w:tcW w:w="905" w:type="dxa"/>
            <w:tcBorders>
              <w:top w:val="single" w:sz="4" w:space="0" w:color="1A171C"/>
              <w:left w:val="nil"/>
              <w:bottom w:val="single" w:sz="4" w:space="0" w:color="1A171C"/>
              <w:right w:val="single" w:sz="4" w:space="0" w:color="1A171C"/>
            </w:tcBorders>
            <w:vAlign w:val="center"/>
          </w:tcPr>
          <w:p w14:paraId="7FE1B556" w14:textId="77777777" w:rsidR="00414040" w:rsidRDefault="00904E1A">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414040" w:rsidRDefault="00904E1A">
            <w:pPr>
              <w:pStyle w:val="P68B1DB1-TableParagraph14"/>
              <w:spacing w:before="108"/>
              <w:ind w:left="85"/>
              <w:jc w:val="both"/>
            </w:pPr>
            <w:r>
              <w:t>Pasivos respecto de sistemas, operadores de sistemas y ECC &lt; 7 días</w:t>
            </w:r>
          </w:p>
          <w:p w14:paraId="7FE1B558" w14:textId="79B15273" w:rsidR="00414040" w:rsidRDefault="00904E1A">
            <w:pPr>
              <w:pStyle w:val="P68B1DB1-TableParagraph17"/>
              <w:spacing w:before="108"/>
              <w:ind w:left="85"/>
              <w:jc w:val="both"/>
              <w:rPr>
                <w:b/>
                <w:lang w:val="es-ES"/>
              </w:rPr>
            </w:pPr>
            <w:r w:rsidRPr="69E604A3">
              <w:rPr>
                <w:lang w:val="es-ES"/>
              </w:rPr>
              <w:t xml:space="preserve">El importe de los pasivos a que se refiere el artículo 44, apartado 2, letra f), de la Directiva </w:t>
            </w:r>
            <w:r w:rsidRPr="69E604A3">
              <w:rPr>
                <w:lang w:val="es-ES"/>
              </w:rPr>
              <w:lastRenderedPageBreak/>
              <w:t xml:space="preserve">2014/59/UE, incluidos los sistemas de pago y liquidación de valores y las cámaras de compensación, así como los derivados compensados por ECC con un vencimiento inferior a 7 días. </w:t>
            </w:r>
          </w:p>
        </w:tc>
      </w:tr>
      <w:tr w:rsidR="00414040" w14:paraId="7FE1B55E" w14:textId="77777777" w:rsidTr="3E4E0AEA">
        <w:tc>
          <w:tcPr>
            <w:tcW w:w="905" w:type="dxa"/>
            <w:tcBorders>
              <w:top w:val="single" w:sz="4" w:space="0" w:color="1A171C"/>
              <w:left w:val="nil"/>
              <w:bottom w:val="single" w:sz="4" w:space="0" w:color="1A171C"/>
              <w:right w:val="single" w:sz="4" w:space="0" w:color="1A171C"/>
            </w:tcBorders>
            <w:vAlign w:val="center"/>
          </w:tcPr>
          <w:p w14:paraId="7FE1B55A" w14:textId="77777777" w:rsidR="00414040" w:rsidRDefault="00904E1A">
            <w:pPr>
              <w:pStyle w:val="P68B1DB1-TableParagraph13"/>
              <w:spacing w:before="106"/>
              <w:ind w:left="-1"/>
            </w:pPr>
            <w:r>
              <w:lastRenderedPageBreak/>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414040" w:rsidRDefault="00904E1A">
            <w:pPr>
              <w:pStyle w:val="P68B1DB1-TableParagraph14"/>
              <w:spacing w:before="108"/>
              <w:ind w:left="85"/>
              <w:jc w:val="both"/>
            </w:pPr>
            <w:r>
              <w:t>Pasivos respecto de empleados</w:t>
            </w:r>
          </w:p>
          <w:p w14:paraId="7FE1B55C" w14:textId="77777777" w:rsidR="00414040" w:rsidRDefault="00904E1A">
            <w:pPr>
              <w:pStyle w:val="P68B1DB1-TableParagraph17"/>
              <w:spacing w:before="108"/>
              <w:ind w:left="85"/>
              <w:jc w:val="both"/>
            </w:pPr>
            <w:r>
              <w:t>El importe de los pasivos a que se refiere el artículo 44, apartado 2, letra g), inciso i), de la Directiva 2014/59/UE.</w:t>
            </w:r>
          </w:p>
          <w:p w14:paraId="7FE1B55D" w14:textId="5E096C8F" w:rsidR="00414040" w:rsidRDefault="00904E1A">
            <w:pPr>
              <w:pStyle w:val="P68B1DB1-TableParagraph17"/>
              <w:spacing w:before="108"/>
              <w:ind w:left="85"/>
              <w:jc w:val="both"/>
              <w:rPr>
                <w:b/>
                <w:lang w:val="es-ES"/>
              </w:rPr>
            </w:pPr>
            <w:r w:rsidRPr="2AE12A84">
              <w:rPr>
                <w:lang w:val="es-ES"/>
              </w:rPr>
              <w:t>Pasivos contraídos con empleados, en relación con salarios, pensiones u otras retribuciones fijas devengadas, excepto si se trata del componente variable de la retribución que no está regulado por un acuerdo de negociación colectiva. No obstante, lo anterior no se aplicará al componente variable de la retribución de los empleados que asuman riesgos significativos, según lo indicado en el artículo 92, apartado 2, de la Directiva 2013/36/UE.</w:t>
            </w:r>
          </w:p>
        </w:tc>
      </w:tr>
      <w:tr w:rsidR="00414040" w14:paraId="7FE1B563" w14:textId="77777777" w:rsidTr="3E4E0AEA">
        <w:tc>
          <w:tcPr>
            <w:tcW w:w="905" w:type="dxa"/>
            <w:tcBorders>
              <w:top w:val="single" w:sz="4" w:space="0" w:color="1A171C"/>
              <w:left w:val="nil"/>
              <w:bottom w:val="single" w:sz="4" w:space="0" w:color="1A171C"/>
              <w:right w:val="single" w:sz="4" w:space="0" w:color="1A171C"/>
            </w:tcBorders>
            <w:vAlign w:val="center"/>
          </w:tcPr>
          <w:p w14:paraId="7FE1B55F" w14:textId="77777777" w:rsidR="00414040" w:rsidRDefault="00904E1A">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414040" w:rsidRDefault="00904E1A">
            <w:pPr>
              <w:pStyle w:val="P68B1DB1-TableParagraph14"/>
              <w:spacing w:before="108"/>
              <w:ind w:left="85"/>
              <w:jc w:val="both"/>
            </w:pPr>
            <w:r>
              <w:t>Pasivos esenciales para el desarrollo cotidiano de la actividad</w:t>
            </w:r>
          </w:p>
          <w:p w14:paraId="7FE1B562" w14:textId="61C90413" w:rsidR="00414040" w:rsidRDefault="00904E1A">
            <w:pPr>
              <w:pStyle w:val="P68B1DB1-TableParagraph17"/>
              <w:spacing w:before="108"/>
              <w:ind w:left="85"/>
              <w:jc w:val="both"/>
              <w:rPr>
                <w:b/>
                <w:lang w:val="es-ES"/>
              </w:rPr>
            </w:pPr>
            <w:r w:rsidRPr="69E604A3">
              <w:rPr>
                <w:lang w:val="es-ES"/>
              </w:rPr>
              <w:t xml:space="preserve">El importe de los pasivos a que se refiere el artículo 44, apartado 2, letra g), inciso </w:t>
            </w:r>
            <w:proofErr w:type="spellStart"/>
            <w:r w:rsidRPr="69E604A3">
              <w:rPr>
                <w:lang w:val="es-ES"/>
              </w:rPr>
              <w:t>ii</w:t>
            </w:r>
            <w:proofErr w:type="spellEnd"/>
            <w:r w:rsidRPr="69E604A3">
              <w:rPr>
                <w:lang w:val="es-ES"/>
              </w:rPr>
              <w:t>), de la Directiva 2014/59/UE.</w:t>
            </w:r>
          </w:p>
        </w:tc>
      </w:tr>
      <w:tr w:rsidR="00414040" w14:paraId="7FE1B568" w14:textId="77777777" w:rsidTr="3E4E0AEA">
        <w:tc>
          <w:tcPr>
            <w:tcW w:w="905" w:type="dxa"/>
            <w:tcBorders>
              <w:top w:val="single" w:sz="4" w:space="0" w:color="1A171C"/>
              <w:left w:val="nil"/>
              <w:bottom w:val="single" w:sz="4" w:space="0" w:color="1A171C"/>
              <w:right w:val="single" w:sz="4" w:space="0" w:color="1A171C"/>
            </w:tcBorders>
            <w:vAlign w:val="center"/>
          </w:tcPr>
          <w:p w14:paraId="7FE1B564" w14:textId="77777777" w:rsidR="00414040" w:rsidRDefault="00904E1A">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414040" w:rsidRDefault="00904E1A">
            <w:pPr>
              <w:pStyle w:val="P68B1DB1-TableParagraph14"/>
              <w:spacing w:before="108"/>
              <w:ind w:left="85"/>
              <w:jc w:val="both"/>
            </w:pPr>
            <w:r>
              <w:t>Pasivos respecto de administraciones fiscales o de la seguridad social, si tienen carácter preferente</w:t>
            </w:r>
          </w:p>
          <w:p w14:paraId="7FE1B567" w14:textId="46841715" w:rsidR="00414040" w:rsidRDefault="00904E1A">
            <w:pPr>
              <w:pStyle w:val="P68B1DB1-TableParagraph17"/>
              <w:spacing w:before="108"/>
              <w:ind w:left="85"/>
              <w:jc w:val="both"/>
              <w:rPr>
                <w:b/>
                <w:lang w:val="es-ES"/>
              </w:rPr>
            </w:pPr>
            <w:r w:rsidRPr="69E604A3">
              <w:rPr>
                <w:lang w:val="es-ES"/>
              </w:rPr>
              <w:t xml:space="preserve">El importe de los pasivos a que se refiere el artículo 44, apartado 2, letra g), inciso </w:t>
            </w:r>
            <w:proofErr w:type="spellStart"/>
            <w:r w:rsidRPr="69E604A3">
              <w:rPr>
                <w:lang w:val="es-ES"/>
              </w:rPr>
              <w:t>iii</w:t>
            </w:r>
            <w:proofErr w:type="spellEnd"/>
            <w:r w:rsidRPr="69E604A3">
              <w:rPr>
                <w:lang w:val="es-ES"/>
              </w:rPr>
              <w:t>), de la Directiva 2014/59/UE.</w:t>
            </w:r>
          </w:p>
        </w:tc>
      </w:tr>
      <w:tr w:rsidR="00414040" w14:paraId="7FE1B56D" w14:textId="77777777" w:rsidTr="3E4E0AEA">
        <w:tc>
          <w:tcPr>
            <w:tcW w:w="905" w:type="dxa"/>
            <w:tcBorders>
              <w:top w:val="single" w:sz="4" w:space="0" w:color="1A171C"/>
              <w:left w:val="nil"/>
              <w:bottom w:val="single" w:sz="4" w:space="0" w:color="1A171C"/>
              <w:right w:val="single" w:sz="4" w:space="0" w:color="1A171C"/>
            </w:tcBorders>
            <w:vAlign w:val="center"/>
          </w:tcPr>
          <w:p w14:paraId="7FE1B569" w14:textId="77777777" w:rsidR="00414040" w:rsidRDefault="00904E1A">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414040" w:rsidRDefault="00904E1A">
            <w:pPr>
              <w:pStyle w:val="P68B1DB1-TableParagraph14"/>
              <w:spacing w:before="108"/>
              <w:ind w:left="85"/>
              <w:jc w:val="both"/>
            </w:pPr>
            <w:r>
              <w:t>Pasivos respecto de SGD</w:t>
            </w:r>
          </w:p>
          <w:p w14:paraId="7FE1B56C" w14:textId="69555433" w:rsidR="00414040" w:rsidRDefault="00904E1A">
            <w:pPr>
              <w:pStyle w:val="P68B1DB1-TableParagraph17"/>
              <w:spacing w:before="108"/>
              <w:ind w:left="85"/>
              <w:jc w:val="both"/>
              <w:rPr>
                <w:b/>
                <w:lang w:val="es-ES"/>
              </w:rPr>
            </w:pPr>
            <w:r w:rsidRPr="69E604A3">
              <w:rPr>
                <w:lang w:val="es-ES"/>
              </w:rPr>
              <w:t xml:space="preserve">El importe de los pasivos a que se refiere el artículo 44, apartado 2, letra g), inciso </w:t>
            </w:r>
            <w:proofErr w:type="spellStart"/>
            <w:r w:rsidRPr="69E604A3">
              <w:rPr>
                <w:lang w:val="es-ES"/>
              </w:rPr>
              <w:t>iv</w:t>
            </w:r>
            <w:proofErr w:type="spellEnd"/>
            <w:r w:rsidRPr="69E604A3">
              <w:rPr>
                <w:lang w:val="es-ES"/>
              </w:rPr>
              <w:t>), de la Directiva 2014/59/UE.</w:t>
            </w:r>
          </w:p>
        </w:tc>
      </w:tr>
      <w:tr w:rsidR="00414040" w14:paraId="7FE1B574" w14:textId="77777777" w:rsidTr="3E4E0AEA">
        <w:tc>
          <w:tcPr>
            <w:tcW w:w="905" w:type="dxa"/>
            <w:tcBorders>
              <w:top w:val="single" w:sz="4" w:space="0" w:color="1A171C"/>
              <w:left w:val="nil"/>
              <w:bottom w:val="single" w:sz="4" w:space="0" w:color="1A171C"/>
              <w:right w:val="single" w:sz="4" w:space="0" w:color="1A171C"/>
            </w:tcBorders>
            <w:vAlign w:val="center"/>
          </w:tcPr>
          <w:p w14:paraId="7FE1B56E" w14:textId="77777777" w:rsidR="00414040" w:rsidRDefault="00904E1A">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0E1AE14A" w:rsidR="00414040" w:rsidRDefault="00904E1A">
            <w:pPr>
              <w:pStyle w:val="P68B1DB1-TableParagraph14"/>
              <w:spacing w:before="108"/>
              <w:ind w:left="85"/>
              <w:jc w:val="both"/>
            </w:pPr>
            <w:r>
              <w:t>Pasivos frente a otros entes del grupo de resolución</w:t>
            </w:r>
          </w:p>
          <w:p w14:paraId="7FE1B570" w14:textId="77777777" w:rsidR="00414040" w:rsidRDefault="00904E1A">
            <w:pPr>
              <w:pStyle w:val="P68B1DB1-TableParagraph17"/>
              <w:spacing w:before="108"/>
              <w:ind w:left="85"/>
              <w:jc w:val="both"/>
            </w:pPr>
            <w:r>
              <w:t>El importe de los pasivos a que se refiere el artículo 44, apartado 2, letra h), de la Directiva 2014/59/UE.</w:t>
            </w:r>
          </w:p>
          <w:p w14:paraId="7FE1B571" w14:textId="38419B4A" w:rsidR="00414040" w:rsidRDefault="00904E1A">
            <w:pPr>
              <w:pStyle w:val="P68B1DB1-TableParagraph17"/>
              <w:spacing w:before="108"/>
              <w:ind w:left="85"/>
              <w:jc w:val="both"/>
              <w:rPr>
                <w:lang w:val="es-ES"/>
              </w:rPr>
            </w:pPr>
            <w:r w:rsidRPr="69E604A3">
              <w:rPr>
                <w:lang w:val="es-ES"/>
              </w:rPr>
              <w:t>Cuando el pasivo excluido sea un pasivo por derivados, las posiciones deudoras netas teniendo en cuenta las normas de compensación prudencial del artículo 429 </w:t>
            </w:r>
            <w:proofErr w:type="spellStart"/>
            <w:r w:rsidRPr="00210421">
              <w:rPr>
                <w:i/>
                <w:iCs/>
                <w:lang w:val="es-ES"/>
              </w:rPr>
              <w:t>quater</w:t>
            </w:r>
            <w:proofErr w:type="spellEnd"/>
            <w:r w:rsidRPr="69E604A3">
              <w:rPr>
                <w:lang w:val="es-ES"/>
              </w:rPr>
              <w:t xml:space="preserve"> del Reglamento (UE) n.º 575/2013 se comunicarán para las columnas relativas al «importe pendiente» (como en la fila r0334). Para las columnas relativas al «importe en libros», se comunicarán los pasivos de balance surgidos de derivados (como en la fila r0330).</w:t>
            </w:r>
          </w:p>
          <w:p w14:paraId="7FE1B572" w14:textId="29763A4C" w:rsidR="00414040" w:rsidRDefault="00904E1A">
            <w:pPr>
              <w:pStyle w:val="P68B1DB1-TableParagraph17"/>
              <w:spacing w:before="108"/>
              <w:ind w:left="85"/>
              <w:jc w:val="both"/>
              <w:rPr>
                <w:lang w:val="es-ES"/>
              </w:rPr>
            </w:pPr>
            <w:r w:rsidRPr="3E4E0AEA">
              <w:rPr>
                <w:lang w:val="es-ES"/>
              </w:rPr>
              <w:t xml:space="preserve">Cuando </w:t>
            </w:r>
            <w:r w:rsidR="30482CF5" w:rsidRPr="3E4E0AEA">
              <w:rPr>
                <w:lang w:val="es-ES"/>
              </w:rPr>
              <w:t>el ente</w:t>
            </w:r>
            <w:r w:rsidRPr="3E4E0AEA">
              <w:rPr>
                <w:lang w:val="es-ES"/>
              </w:rPr>
              <w:t xml:space="preserve"> declarante no esté identificad</w:t>
            </w:r>
            <w:r w:rsidR="2CFABF24" w:rsidRPr="3E4E0AEA">
              <w:rPr>
                <w:lang w:val="es-ES"/>
              </w:rPr>
              <w:t>o</w:t>
            </w:r>
            <w:r w:rsidRPr="3E4E0AEA">
              <w:rPr>
                <w:lang w:val="es-ES"/>
              </w:rPr>
              <w:t xml:space="preserve"> como </w:t>
            </w:r>
            <w:r w:rsidR="51974AFC" w:rsidRPr="3E4E0AEA">
              <w:rPr>
                <w:lang w:val="es-ES"/>
              </w:rPr>
              <w:t>ente</w:t>
            </w:r>
            <w:r w:rsidRPr="3E4E0AEA">
              <w:rPr>
                <w:lang w:val="es-ES"/>
              </w:rPr>
              <w:t xml:space="preserve"> de resolución en sí mism</w:t>
            </w:r>
            <w:r w:rsidR="0E3EB720" w:rsidRPr="3E4E0AEA">
              <w:rPr>
                <w:lang w:val="es-ES"/>
              </w:rPr>
              <w:t>o</w:t>
            </w:r>
            <w:r w:rsidRPr="3E4E0AEA">
              <w:rPr>
                <w:lang w:val="es-ES"/>
              </w:rPr>
              <w:t xml:space="preserve">, solo deberá </w:t>
            </w:r>
            <w:proofErr w:type="gramStart"/>
            <w:r w:rsidRPr="3E4E0AEA">
              <w:rPr>
                <w:lang w:val="es-ES"/>
              </w:rPr>
              <w:t>comunicar  los</w:t>
            </w:r>
            <w:proofErr w:type="gramEnd"/>
            <w:r w:rsidRPr="3E4E0AEA">
              <w:rPr>
                <w:lang w:val="es-ES"/>
              </w:rPr>
              <w:t xml:space="preserve"> pasivos contemplados en el artículo 44, apartado 2, letra h), de la DRRB </w:t>
            </w:r>
            <w:r w:rsidR="3E9CF900" w:rsidRPr="3E4E0AEA">
              <w:rPr>
                <w:lang w:val="es-ES"/>
              </w:rPr>
              <w:t xml:space="preserve">(BRRD, por sus siglas en inglés) </w:t>
            </w:r>
            <w:r w:rsidRPr="3E4E0AEA">
              <w:rPr>
                <w:lang w:val="es-ES"/>
              </w:rPr>
              <w:t xml:space="preserve">que estén en poder de sus filiales que no sean también </w:t>
            </w:r>
            <w:r w:rsidR="463A27A4" w:rsidRPr="3E4E0AEA">
              <w:rPr>
                <w:lang w:val="es-ES"/>
              </w:rPr>
              <w:t>entes</w:t>
            </w:r>
            <w:r w:rsidRPr="3E4E0AEA">
              <w:rPr>
                <w:lang w:val="es-ES"/>
              </w:rPr>
              <w:t xml:space="preserve"> de resolución, pero que formen parte del mismo grupo de resolución que </w:t>
            </w:r>
            <w:r w:rsidR="00C029FF">
              <w:rPr>
                <w:lang w:val="es-ES"/>
              </w:rPr>
              <w:t>el ente</w:t>
            </w:r>
            <w:r w:rsidRPr="3E4E0AEA">
              <w:rPr>
                <w:lang w:val="es-ES"/>
              </w:rPr>
              <w:t xml:space="preserve"> declarante.</w:t>
            </w:r>
          </w:p>
          <w:p w14:paraId="7FE1B573" w14:textId="37A74C01" w:rsidR="00414040" w:rsidRDefault="00904E1A" w:rsidP="74CB774A">
            <w:pPr>
              <w:pStyle w:val="P68B1DB1-TableParagraph17"/>
              <w:spacing w:before="108"/>
              <w:ind w:left="85"/>
              <w:jc w:val="both"/>
              <w:rPr>
                <w:lang w:val="es-ES"/>
              </w:rPr>
            </w:pPr>
            <w:r w:rsidRPr="11A44BD7">
              <w:rPr>
                <w:lang w:val="es-ES"/>
              </w:rPr>
              <w:t xml:space="preserve">Los pasivos intragrupo de entes establecidos fuera de la UE no se </w:t>
            </w:r>
            <w:r w:rsidR="65B68C35" w:rsidRPr="11A44BD7">
              <w:rPr>
                <w:lang w:val="es-ES"/>
              </w:rPr>
              <w:t>informarán</w:t>
            </w:r>
            <w:r w:rsidRPr="11A44BD7">
              <w:rPr>
                <w:lang w:val="es-ES"/>
              </w:rPr>
              <w:t xml:space="preserve"> en esta fila, de conformidad con el artículo 1, apartado 1, letras b), c) o d), de la DRRB</w:t>
            </w:r>
            <w:r w:rsidR="636724F6" w:rsidRPr="11A44BD7">
              <w:rPr>
                <w:lang w:val="es-ES"/>
              </w:rPr>
              <w:t xml:space="preserve"> (BRRD, por sus siglas en inglés)</w:t>
            </w:r>
            <w:r w:rsidRPr="11A44BD7">
              <w:rPr>
                <w:lang w:val="es-ES"/>
              </w:rPr>
              <w:t xml:space="preserve"> a que se refiere el artículo 44, apartado 2, letra h), de la DRRB</w:t>
            </w:r>
            <w:r w:rsidR="1342C09A" w:rsidRPr="11A44BD7">
              <w:rPr>
                <w:lang w:val="es-ES"/>
              </w:rPr>
              <w:t xml:space="preserve"> (BRRD, por sus siglas en inglés)</w:t>
            </w:r>
            <w:r w:rsidRPr="11A44BD7">
              <w:rPr>
                <w:lang w:val="es-ES"/>
              </w:rPr>
              <w:t xml:space="preserve">. </w:t>
            </w:r>
          </w:p>
        </w:tc>
      </w:tr>
      <w:tr w:rsidR="00414040" w14:paraId="7FE1B578" w14:textId="77777777" w:rsidTr="3E4E0AEA">
        <w:tc>
          <w:tcPr>
            <w:tcW w:w="905" w:type="dxa"/>
            <w:tcBorders>
              <w:top w:val="single" w:sz="4" w:space="0" w:color="1A171C"/>
              <w:left w:val="nil"/>
              <w:bottom w:val="single" w:sz="4" w:space="0" w:color="1A171C"/>
              <w:right w:val="single" w:sz="4" w:space="0" w:color="1A171C"/>
            </w:tcBorders>
            <w:vAlign w:val="center"/>
          </w:tcPr>
          <w:p w14:paraId="7FE1B575" w14:textId="77777777" w:rsidR="00414040" w:rsidRDefault="00904E1A">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414040" w:rsidRDefault="00904E1A">
            <w:pPr>
              <w:pStyle w:val="P68B1DB1-TableParagraph14"/>
              <w:spacing w:before="108"/>
              <w:ind w:left="85"/>
              <w:jc w:val="both"/>
            </w:pPr>
            <w:r>
              <w:t>Pasivos no excluidos de la recapitalización interna</w:t>
            </w:r>
          </w:p>
          <w:p w14:paraId="7FE1B577" w14:textId="6A963784" w:rsidR="00414040" w:rsidRDefault="00904E1A">
            <w:pPr>
              <w:pStyle w:val="P68B1DB1-TableParagraph17"/>
              <w:spacing w:before="108"/>
              <w:ind w:left="85"/>
              <w:jc w:val="both"/>
              <w:rPr>
                <w:b/>
                <w:bCs/>
              </w:rPr>
            </w:pPr>
            <w:r>
              <w:t xml:space="preserve">El importe de los pasivos susceptibles de recapitalización interna, tal como se definen en el artículo 2, </w:t>
            </w:r>
            <w:r w:rsidR="004B1AB2">
              <w:t>apartado </w:t>
            </w:r>
            <w:r>
              <w:t>1,</w:t>
            </w:r>
            <w:r w:rsidR="004B1AB2">
              <w:t xml:space="preserve"> punto 71),</w:t>
            </w:r>
            <w:r>
              <w:t xml:space="preserve"> de la Directiva 2014/59/UE. Es la suma de las filas 0310, 0320, 0330, 0334, 0340, 0350, 0360, 0365, 0370, 0380, 0390 y 0400.</w:t>
            </w:r>
          </w:p>
        </w:tc>
      </w:tr>
      <w:tr w:rsidR="00414040" w14:paraId="7FE1B57D" w14:textId="77777777" w:rsidTr="3E4E0AEA">
        <w:tc>
          <w:tcPr>
            <w:tcW w:w="905" w:type="dxa"/>
            <w:tcBorders>
              <w:top w:val="single" w:sz="4" w:space="0" w:color="1A171C"/>
              <w:left w:val="nil"/>
              <w:bottom w:val="single" w:sz="4" w:space="0" w:color="1A171C"/>
              <w:right w:val="single" w:sz="4" w:space="0" w:color="1A171C"/>
            </w:tcBorders>
            <w:vAlign w:val="center"/>
          </w:tcPr>
          <w:p w14:paraId="7FE1B579" w14:textId="77777777" w:rsidR="00414040" w:rsidRDefault="00904E1A">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414040" w:rsidRDefault="00904E1A">
            <w:pPr>
              <w:pStyle w:val="P68B1DB1-TableParagraph14"/>
              <w:spacing w:before="108"/>
              <w:ind w:left="85"/>
              <w:jc w:val="both"/>
            </w:pPr>
            <w:r w:rsidRPr="69E604A3">
              <w:rPr>
                <w:lang w:val="es-ES"/>
              </w:rPr>
              <w:t xml:space="preserve">Depósitos sin </w:t>
            </w:r>
            <w:proofErr w:type="gramStart"/>
            <w:r w:rsidRPr="69E604A3">
              <w:rPr>
                <w:lang w:val="es-ES"/>
              </w:rPr>
              <w:t>cobertura</w:t>
            </w:r>
            <w:proofErr w:type="gramEnd"/>
            <w:r w:rsidRPr="69E604A3">
              <w:rPr>
                <w:lang w:val="es-ES"/>
              </w:rPr>
              <w:t xml:space="preserve"> pero preferentes</w:t>
            </w:r>
          </w:p>
          <w:p w14:paraId="7FE1B57B" w14:textId="77777777" w:rsidR="00414040" w:rsidRDefault="00904E1A">
            <w:pPr>
              <w:pStyle w:val="P68B1DB1-TableParagraph17"/>
              <w:spacing w:before="108"/>
              <w:ind w:left="85"/>
              <w:jc w:val="both"/>
            </w:pPr>
            <w:r>
              <w:t>Artículo 108 de la Directiva 2014/59/UE.</w:t>
            </w:r>
          </w:p>
          <w:p w14:paraId="7FE1B57C" w14:textId="32E4C4DA" w:rsidR="00414040" w:rsidRDefault="00904E1A">
            <w:pPr>
              <w:pStyle w:val="P68B1DB1-TableParagraph17"/>
              <w:spacing w:before="108"/>
              <w:ind w:left="85"/>
              <w:jc w:val="both"/>
              <w:rPr>
                <w:b/>
                <w:lang w:val="es-ES"/>
              </w:rPr>
            </w:pPr>
            <w:r w:rsidRPr="69E604A3">
              <w:rPr>
                <w:lang w:val="es-ES"/>
              </w:rPr>
              <w:t xml:space="preserve">Los depósitos definidos en el artículo 2, apartado 1, punto 3, de la Directiva 2014/49/UE que no puedan ser excluidos a efectos de la recapitalización interna [artículo 44, apartado 2, letra a), de la </w:t>
            </w:r>
            <w:r w:rsidRPr="69E604A3">
              <w:rPr>
                <w:lang w:val="es-ES"/>
              </w:rPr>
              <w:lastRenderedPageBreak/>
              <w:t xml:space="preserve">Directiva 2014/59/UE] pero para los que se prevea un trato preferente de conformidad con el artículo 108 de la Directiva 2014/59/UE. </w:t>
            </w:r>
          </w:p>
        </w:tc>
      </w:tr>
      <w:tr w:rsidR="00414040" w14:paraId="7FE1B581" w14:textId="77777777" w:rsidTr="3E4E0AEA">
        <w:tc>
          <w:tcPr>
            <w:tcW w:w="905" w:type="dxa"/>
            <w:tcBorders>
              <w:top w:val="single" w:sz="4" w:space="0" w:color="1A171C"/>
              <w:left w:val="nil"/>
              <w:bottom w:val="single" w:sz="4" w:space="0" w:color="1A171C"/>
              <w:right w:val="single" w:sz="4" w:space="0" w:color="1A171C"/>
            </w:tcBorders>
            <w:vAlign w:val="center"/>
          </w:tcPr>
          <w:p w14:paraId="7FE1B57E" w14:textId="77777777" w:rsidR="00414040" w:rsidRDefault="00904E1A">
            <w:pPr>
              <w:pStyle w:val="P68B1DB1-TableParagraph13"/>
              <w:spacing w:before="106"/>
              <w:ind w:left="-1"/>
            </w:pPr>
            <w:r>
              <w:lastRenderedPageBreak/>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414040" w:rsidRDefault="00904E1A">
            <w:pPr>
              <w:pStyle w:val="P68B1DB1-TableParagraph14"/>
              <w:spacing w:before="108"/>
              <w:ind w:left="85"/>
              <w:jc w:val="both"/>
            </w:pPr>
            <w:r>
              <w:t>Depósitos sin cobertura no preferentes</w:t>
            </w:r>
          </w:p>
          <w:p w14:paraId="7FE1B580" w14:textId="0D609C91" w:rsidR="00414040" w:rsidRDefault="00904E1A">
            <w:pPr>
              <w:pStyle w:val="P68B1DB1-TableParagraph17"/>
              <w:spacing w:before="108"/>
              <w:ind w:left="85"/>
              <w:jc w:val="both"/>
              <w:rPr>
                <w:b/>
                <w:lang w:val="es-ES"/>
              </w:rPr>
            </w:pPr>
            <w:r w:rsidRPr="69E604A3">
              <w:rPr>
                <w:lang w:val="es-ES"/>
              </w:rPr>
              <w:t>Los depósitos definidos en el artículo 2, apartado 1, punto 3, de la Directiva 2014/49/UE que no puedan ser excluidos a efectos de la recapitalización interna ni recibir trato preferente en aplicación del artículo 44, apartado 2, letra a), o del artículo 108, de la Directiva 2014/59/UE.</w:t>
            </w:r>
          </w:p>
        </w:tc>
      </w:tr>
      <w:tr w:rsidR="00414040" w14:paraId="7FE1B585" w14:textId="77777777" w:rsidTr="3E4E0AEA">
        <w:tc>
          <w:tcPr>
            <w:tcW w:w="905" w:type="dxa"/>
            <w:tcBorders>
              <w:top w:val="single" w:sz="4" w:space="0" w:color="1A171C"/>
              <w:left w:val="nil"/>
              <w:bottom w:val="single" w:sz="4" w:space="0" w:color="1A171C"/>
              <w:right w:val="single" w:sz="4" w:space="0" w:color="1A171C"/>
            </w:tcBorders>
            <w:vAlign w:val="center"/>
          </w:tcPr>
          <w:p w14:paraId="7FE1B582" w14:textId="77777777" w:rsidR="00414040" w:rsidRDefault="00904E1A">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1FDCBD9D" w:rsidR="00414040" w:rsidRDefault="00904E1A">
            <w:pPr>
              <w:pStyle w:val="P68B1DB1-TableParagraph14"/>
              <w:spacing w:before="108"/>
              <w:ind w:left="85"/>
              <w:jc w:val="both"/>
            </w:pPr>
            <w:r>
              <w:t xml:space="preserve">Pasivos </w:t>
            </w:r>
            <w:r w:rsidR="005A767B">
              <w:t>de</w:t>
            </w:r>
            <w:r>
              <w:t xml:space="preserve"> balance surgidos de derivados</w:t>
            </w:r>
          </w:p>
          <w:p w14:paraId="625CF843" w14:textId="77777777" w:rsidR="00414040" w:rsidRDefault="00904E1A">
            <w:pPr>
              <w:pStyle w:val="P68B1DB1-TableParagraph17"/>
              <w:spacing w:before="108"/>
              <w:ind w:left="85"/>
              <w:jc w:val="both"/>
            </w:pPr>
            <w:r>
              <w:t xml:space="preserve">Valor contable de los pasivos surgidos de derivados. </w:t>
            </w:r>
          </w:p>
          <w:p w14:paraId="7FE1B584" w14:textId="7262F0C5" w:rsidR="00414040" w:rsidRDefault="00904E1A">
            <w:pPr>
              <w:pStyle w:val="P68B1DB1-TableParagraph17"/>
              <w:spacing w:before="108"/>
              <w:ind w:left="85"/>
              <w:jc w:val="both"/>
              <w:rPr>
                <w:b/>
                <w:bCs/>
              </w:rPr>
            </w:pPr>
            <w:r>
              <w:t xml:space="preserve">Solo se </w:t>
            </w:r>
            <w:r w:rsidR="640427CF">
              <w:t>informarán</w:t>
            </w:r>
            <w:r>
              <w:t xml:space="preserve"> los valores en el campo «importe en libros».</w:t>
            </w:r>
          </w:p>
        </w:tc>
      </w:tr>
      <w:tr w:rsidR="00414040" w14:paraId="7FE1B589" w14:textId="77777777" w:rsidTr="3E4E0AEA">
        <w:tc>
          <w:tcPr>
            <w:tcW w:w="905" w:type="dxa"/>
            <w:tcBorders>
              <w:top w:val="single" w:sz="4" w:space="0" w:color="1A171C"/>
              <w:left w:val="nil"/>
              <w:bottom w:val="single" w:sz="4" w:space="0" w:color="1A171C"/>
              <w:right w:val="single" w:sz="4" w:space="0" w:color="1A171C"/>
            </w:tcBorders>
            <w:vAlign w:val="center"/>
          </w:tcPr>
          <w:p w14:paraId="7FE1B586" w14:textId="77777777" w:rsidR="00414040" w:rsidRDefault="00904E1A">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414040" w:rsidRDefault="00904E1A">
            <w:pPr>
              <w:pStyle w:val="P68B1DB1-TableParagraph14"/>
              <w:spacing w:before="108"/>
              <w:ind w:left="85"/>
              <w:jc w:val="both"/>
            </w:pPr>
            <w:r>
              <w:t>Suma de las posiciones deudoras netas teniendo en cuenta los conjuntos contractuales de operaciones compensables, tras los ajustes de valoración a precios de mercado, antes de la compensación de las garantías reales</w:t>
            </w:r>
          </w:p>
          <w:p w14:paraId="43E2EAD9" w14:textId="77777777" w:rsidR="00414040" w:rsidRDefault="00904E1A">
            <w:pPr>
              <w:pStyle w:val="P68B1DB1-TableParagraph17"/>
              <w:spacing w:before="108"/>
              <w:ind w:left="85"/>
              <w:jc w:val="both"/>
            </w:pPr>
            <w:r w:rsidRPr="69E604A3">
              <w:rPr>
                <w:lang w:val="es-ES"/>
              </w:rPr>
              <w:t xml:space="preserve">Por defecto, la suma de todos los valores netos de mercado de los pasivos por derivados por conjunto contractual de operaciones compensables. Solo se comunicarán los conjuntos de operaciones compensables cuyo valor neto de mercado sea un pasivo. A tal fin, los derivados que no estén sujetos a acuerdos de compensación serán tratados como un único contrato, es decir, como si se tratase de un conjunto de operaciones compensables con un único derivado. </w:t>
            </w:r>
          </w:p>
          <w:p w14:paraId="7FE1B588" w14:textId="58BBB35F" w:rsidR="00414040" w:rsidRDefault="00290C38">
            <w:pPr>
              <w:pStyle w:val="P68B1DB1-TableParagraph17"/>
              <w:spacing w:before="108"/>
              <w:ind w:left="85"/>
              <w:jc w:val="both"/>
              <w:rPr>
                <w:b/>
                <w:bCs/>
              </w:rPr>
            </w:pPr>
            <w:r>
              <w:t xml:space="preserve">Informar </w:t>
            </w:r>
            <w:r w:rsidR="00904E1A">
              <w:t>únicamente los valores en el campo «Importe pendiente».</w:t>
            </w:r>
          </w:p>
        </w:tc>
      </w:tr>
      <w:tr w:rsidR="00414040" w14:paraId="7FE1B58D" w14:textId="77777777" w:rsidTr="3E4E0AEA">
        <w:tc>
          <w:tcPr>
            <w:tcW w:w="905" w:type="dxa"/>
            <w:tcBorders>
              <w:top w:val="single" w:sz="4" w:space="0" w:color="1A171C"/>
              <w:left w:val="nil"/>
              <w:bottom w:val="single" w:sz="4" w:space="0" w:color="1A171C"/>
              <w:right w:val="single" w:sz="4" w:space="0" w:color="1A171C"/>
            </w:tcBorders>
            <w:vAlign w:val="center"/>
          </w:tcPr>
          <w:p w14:paraId="7FE1B58A" w14:textId="77777777" w:rsidR="00414040" w:rsidRDefault="00904E1A">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414040" w:rsidRDefault="00904E1A">
            <w:pPr>
              <w:pStyle w:val="P68B1DB1-TableParagraph14"/>
              <w:spacing w:before="108"/>
              <w:ind w:left="85"/>
              <w:jc w:val="both"/>
            </w:pPr>
            <w:r>
              <w:t>Suma de las posiciones deudoras netas teniendo en cuenta los conjuntos contractuales de operaciones compensables, tras los ajustes de valoración a precios de mercado y la compensación de las garantías reales</w:t>
            </w:r>
          </w:p>
          <w:p w14:paraId="5A26CA7C" w14:textId="5A075BEC" w:rsidR="00414040" w:rsidRDefault="00904E1A">
            <w:pPr>
              <w:pStyle w:val="P68B1DB1-TableParagraph17"/>
              <w:spacing w:before="108"/>
              <w:ind w:left="85"/>
              <w:jc w:val="both"/>
            </w:pPr>
            <w:r>
              <w:t xml:space="preserve">El valor </w:t>
            </w:r>
            <w:r w:rsidR="33C3BB78">
              <w:t>informado</w:t>
            </w:r>
            <w:r>
              <w:t xml:space="preserve"> en la fila 0331 es objeto de un ajuste por las garantías reales constituidas para garantizar esta exposición, lo que se traduce en la suma de estos valores netos de mercado después de la compensación del valor de mercado de las garantías reales. Solo aquellos conjuntos contractuales de operaciones compensables para los que la posición deudora tras los ajustes de valoración a precios de mercado y la compensación de las garantías reales sea un importe positivo deberán </w:t>
            </w:r>
            <w:r w:rsidR="3F4021B3">
              <w:t>informarse</w:t>
            </w:r>
            <w:r>
              <w:t xml:space="preserve"> en esta fila, es decir, solo cuando el valor neto a precio de mercado (c0120 de Z15.00) sea superior al valor de la garantía neta real depositada (c0130 de Z15.00). </w:t>
            </w:r>
          </w:p>
          <w:p w14:paraId="7FE1B58C" w14:textId="675E62BF" w:rsidR="00414040" w:rsidRDefault="00290C38">
            <w:pPr>
              <w:pStyle w:val="P68B1DB1-TableParagraph17"/>
              <w:spacing w:before="108"/>
              <w:ind w:left="85"/>
              <w:jc w:val="both"/>
            </w:pPr>
            <w:r>
              <w:t xml:space="preserve">Informar </w:t>
            </w:r>
            <w:r w:rsidR="00904E1A">
              <w:t>únicamente los valores en el campo «Importe pendiente».</w:t>
            </w:r>
          </w:p>
        </w:tc>
      </w:tr>
      <w:tr w:rsidR="00414040" w14:paraId="7FE1B592" w14:textId="77777777" w:rsidTr="3E4E0AEA">
        <w:tc>
          <w:tcPr>
            <w:tcW w:w="905" w:type="dxa"/>
            <w:tcBorders>
              <w:top w:val="single" w:sz="4" w:space="0" w:color="1A171C"/>
              <w:left w:val="nil"/>
              <w:bottom w:val="single" w:sz="4" w:space="0" w:color="1A171C"/>
              <w:right w:val="single" w:sz="4" w:space="0" w:color="1A171C"/>
            </w:tcBorders>
            <w:vAlign w:val="center"/>
          </w:tcPr>
          <w:p w14:paraId="7FE1B58E" w14:textId="77777777" w:rsidR="00414040" w:rsidRDefault="00904E1A">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414040" w:rsidRDefault="00904E1A">
            <w:pPr>
              <w:pStyle w:val="P68B1DB1-TableParagraph14"/>
              <w:spacing w:before="108"/>
              <w:ind w:left="85"/>
              <w:jc w:val="both"/>
            </w:pPr>
            <w:r>
              <w:t>Suma de las posiciones deudoras netas teniendo en cuenta los conjuntos contractuales de operaciones compensables, tras los ajustes de valoración a precios de mercado y la compensación de las garantías reales, incorporando los importes de liquidación estimados</w:t>
            </w:r>
          </w:p>
          <w:p w14:paraId="7FE1B590" w14:textId="170D042F" w:rsidR="00414040" w:rsidRDefault="00904E1A">
            <w:pPr>
              <w:pStyle w:val="TableParagraph"/>
              <w:spacing w:before="108"/>
              <w:ind w:left="85"/>
              <w:jc w:val="both"/>
              <w:rPr>
                <w:rFonts w:ascii="Times New Roman" w:eastAsia="Cambria" w:hAnsi="Times New Roman" w:cs="Times New Roman"/>
                <w:color w:val="000000" w:themeColor="text1"/>
                <w:sz w:val="20"/>
                <w:szCs w:val="20"/>
                <w:lang w:val="es-ES"/>
              </w:rPr>
            </w:pPr>
            <w:r w:rsidRPr="69E604A3">
              <w:rPr>
                <w:rFonts w:ascii="Times New Roman" w:eastAsia="Cambria" w:hAnsi="Times New Roman" w:cs="Times New Roman"/>
                <w:color w:val="000000" w:themeColor="text1"/>
                <w:sz w:val="20"/>
                <w:szCs w:val="20"/>
                <w:lang w:val="es-ES"/>
              </w:rPr>
              <w:t xml:space="preserve">De conformidad con el Reglamento </w:t>
            </w:r>
            <w:proofErr w:type="gramStart"/>
            <w:r w:rsidRPr="69E604A3">
              <w:rPr>
                <w:rFonts w:ascii="Times New Roman" w:eastAsia="Cambria" w:hAnsi="Times New Roman" w:cs="Times New Roman"/>
                <w:color w:val="000000" w:themeColor="text1"/>
                <w:sz w:val="20"/>
                <w:szCs w:val="20"/>
                <w:lang w:val="es-ES"/>
              </w:rPr>
              <w:t>Delegado</w:t>
            </w:r>
            <w:proofErr w:type="gramEnd"/>
            <w:r w:rsidRPr="69E604A3">
              <w:rPr>
                <w:rFonts w:ascii="Times New Roman" w:eastAsia="Cambria" w:hAnsi="Times New Roman" w:cs="Times New Roman"/>
                <w:color w:val="000000" w:themeColor="text1"/>
                <w:sz w:val="20"/>
                <w:szCs w:val="20"/>
                <w:lang w:val="es-ES"/>
              </w:rPr>
              <w:t xml:space="preserve"> 2016/1401 de la Comisión</w:t>
            </w:r>
            <w:r w:rsidR="00CF1EF0" w:rsidRPr="69E604A3">
              <w:rPr>
                <w:rStyle w:val="FootnoteReference"/>
                <w:rFonts w:ascii="Times New Roman" w:eastAsia="Cambria" w:hAnsi="Times New Roman" w:cs="Times New Roman"/>
                <w:color w:val="1A171C"/>
                <w:lang w:val="es-ES"/>
              </w:rPr>
              <w:footnoteReference w:id="16"/>
            </w:r>
            <w:r w:rsidRPr="69E604A3">
              <w:rPr>
                <w:rFonts w:ascii="Times New Roman" w:eastAsia="Cambria" w:hAnsi="Times New Roman" w:cs="Times New Roman"/>
                <w:color w:val="000000" w:themeColor="text1"/>
                <w:sz w:val="20"/>
                <w:szCs w:val="20"/>
                <w:lang w:val="es-ES"/>
              </w:rPr>
              <w:t xml:space="preserve">, sobre la valoración de los pasivos surgidos de derivados, un importe de liquidación </w:t>
            </w:r>
            <w:r w:rsidR="3804F07C" w:rsidRPr="69E604A3">
              <w:rPr>
                <w:rFonts w:ascii="Times New Roman" w:eastAsia="Cambria" w:hAnsi="Times New Roman" w:cs="Times New Roman"/>
                <w:color w:val="000000" w:themeColor="text1"/>
                <w:sz w:val="20"/>
                <w:szCs w:val="20"/>
                <w:lang w:val="es-ES"/>
              </w:rPr>
              <w:t>adicional</w:t>
            </w:r>
            <w:r w:rsidRPr="69E604A3">
              <w:rPr>
                <w:rFonts w:ascii="Times New Roman" w:eastAsia="Cambria" w:hAnsi="Times New Roman" w:cs="Times New Roman"/>
                <w:color w:val="000000" w:themeColor="text1"/>
                <w:sz w:val="20"/>
                <w:szCs w:val="20"/>
                <w:lang w:val="es-ES"/>
              </w:rPr>
              <w:t xml:space="preserve"> que cubra el importe de las pérdidas o los costes en que incurran las contrapartes de los derivados, o las ganancias realizadas por ellas, al sustituir u obtener el equivalente económico </w:t>
            </w:r>
            <w:r w:rsidR="008C6BCD">
              <w:rPr>
                <w:rFonts w:ascii="Times New Roman" w:eastAsia="Cambria" w:hAnsi="Times New Roman" w:cs="Times New Roman"/>
                <w:color w:val="000000" w:themeColor="text1"/>
                <w:sz w:val="20"/>
                <w:szCs w:val="20"/>
                <w:lang w:val="es-ES"/>
              </w:rPr>
              <w:t>en términos sustanciales</w:t>
            </w:r>
            <w:r w:rsidRPr="69E604A3">
              <w:rPr>
                <w:rFonts w:ascii="Times New Roman" w:eastAsia="Cambria" w:hAnsi="Times New Roman" w:cs="Times New Roman"/>
                <w:color w:val="000000" w:themeColor="text1"/>
                <w:sz w:val="20"/>
                <w:szCs w:val="20"/>
                <w:lang w:val="es-ES"/>
              </w:rPr>
              <w:t xml:space="preserve"> de los contratos y los derechos de opción de las partes en relación con los contratos finalizados.</w:t>
            </w:r>
          </w:p>
          <w:p w14:paraId="00480641" w14:textId="1A7092CE" w:rsidR="00414040" w:rsidRDefault="00904E1A">
            <w:pPr>
              <w:pStyle w:val="TableParagraph"/>
              <w:spacing w:before="108"/>
              <w:ind w:left="85"/>
              <w:jc w:val="both"/>
              <w:rPr>
                <w:rFonts w:ascii="Times New Roman" w:eastAsia="Cambria" w:hAnsi="Times New Roman" w:cs="Times New Roman"/>
                <w:color w:val="000000" w:themeColor="text1"/>
                <w:sz w:val="20"/>
                <w:szCs w:val="20"/>
              </w:rPr>
            </w:pPr>
            <w:r w:rsidRPr="11A44BD7">
              <w:rPr>
                <w:rFonts w:ascii="Times New Roman" w:eastAsia="Cambria" w:hAnsi="Times New Roman" w:cs="Times New Roman"/>
                <w:color w:val="000000" w:themeColor="text1"/>
                <w:sz w:val="20"/>
                <w:szCs w:val="20"/>
              </w:rPr>
              <w:t>Las estimaciones necesarias para determinar un importe de liquidación de conformidad con el citado Reglamento pueden resultar bastante difíciles a escala individual. Por ello, en su lugar pueden utilizarse valores aproximativos basados</w:t>
            </w:r>
            <w:r w:rsidR="00146E7F">
              <w:rPr>
                <w:rFonts w:ascii="Times New Roman" w:eastAsia="Cambria" w:hAnsi="Times New Roman" w:cs="Times New Roman"/>
                <w:color w:val="000000" w:themeColor="text1"/>
                <w:sz w:val="20"/>
                <w:szCs w:val="20"/>
              </w:rPr>
              <w:t>,</w:t>
            </w:r>
            <w:r w:rsidRPr="11A44BD7">
              <w:rPr>
                <w:rFonts w:ascii="Times New Roman" w:eastAsia="Cambria" w:hAnsi="Times New Roman" w:cs="Times New Roman"/>
                <w:color w:val="000000" w:themeColor="text1"/>
                <w:sz w:val="20"/>
                <w:szCs w:val="20"/>
              </w:rPr>
              <w:t xml:space="preserve"> en su caso</w:t>
            </w:r>
            <w:r w:rsidR="00146E7F">
              <w:rPr>
                <w:rFonts w:ascii="Times New Roman" w:eastAsia="Cambria" w:hAnsi="Times New Roman" w:cs="Times New Roman"/>
                <w:color w:val="000000" w:themeColor="text1"/>
                <w:sz w:val="20"/>
                <w:szCs w:val="20"/>
              </w:rPr>
              <w:t>,</w:t>
            </w:r>
            <w:r w:rsidRPr="11A44BD7">
              <w:rPr>
                <w:rFonts w:ascii="Times New Roman" w:eastAsia="Cambria" w:hAnsi="Times New Roman" w:cs="Times New Roman"/>
                <w:color w:val="000000" w:themeColor="text1"/>
                <w:sz w:val="20"/>
                <w:szCs w:val="20"/>
              </w:rPr>
              <w:t xml:space="preserve"> en datos disponibles, como los requisitos prudenciales por riesgo de mercado. Si resulta imposible calcular el importe de liquidación para los pasivos por derivados, el importe </w:t>
            </w:r>
            <w:r w:rsidR="31C9124D" w:rsidRPr="11A44BD7">
              <w:rPr>
                <w:rFonts w:ascii="Times New Roman" w:eastAsia="Cambria" w:hAnsi="Times New Roman" w:cs="Times New Roman"/>
                <w:color w:val="000000" w:themeColor="text1"/>
                <w:sz w:val="20"/>
                <w:szCs w:val="20"/>
              </w:rPr>
              <w:t>informado</w:t>
            </w:r>
            <w:r w:rsidRPr="11A44BD7">
              <w:rPr>
                <w:rFonts w:ascii="Times New Roman" w:eastAsia="Cambria" w:hAnsi="Times New Roman" w:cs="Times New Roman"/>
                <w:color w:val="000000" w:themeColor="text1"/>
                <w:sz w:val="20"/>
                <w:szCs w:val="20"/>
              </w:rPr>
              <w:t xml:space="preserve"> debe ser igual al </w:t>
            </w:r>
            <w:r w:rsidR="390629B9" w:rsidRPr="11A44BD7">
              <w:rPr>
                <w:rFonts w:ascii="Times New Roman" w:eastAsia="Cambria" w:hAnsi="Times New Roman" w:cs="Times New Roman"/>
                <w:color w:val="000000" w:themeColor="text1"/>
                <w:sz w:val="20"/>
                <w:szCs w:val="20"/>
              </w:rPr>
              <w:t>informado</w:t>
            </w:r>
            <w:r w:rsidRPr="11A44BD7">
              <w:rPr>
                <w:rFonts w:ascii="Times New Roman" w:eastAsia="Cambria" w:hAnsi="Times New Roman" w:cs="Times New Roman"/>
                <w:color w:val="000000" w:themeColor="text1"/>
                <w:sz w:val="20"/>
                <w:szCs w:val="20"/>
              </w:rPr>
              <w:t xml:space="preserve"> en la fila 0332.</w:t>
            </w:r>
            <w:r>
              <w:t xml:space="preserve"> </w:t>
            </w:r>
            <w:r w:rsidRPr="11A44BD7">
              <w:rPr>
                <w:rFonts w:ascii="Times New Roman" w:eastAsia="Cambria" w:hAnsi="Times New Roman" w:cs="Times New Roman"/>
                <w:color w:val="000000" w:themeColor="text1"/>
                <w:sz w:val="20"/>
                <w:szCs w:val="20"/>
              </w:rPr>
              <w:t xml:space="preserve">Solo aquellos conjuntos contractuales de operaciones compensables para los que la posición deudora tras los </w:t>
            </w:r>
            <w:r w:rsidRPr="11A44BD7">
              <w:rPr>
                <w:rFonts w:ascii="Times New Roman" w:eastAsia="Cambria" w:hAnsi="Times New Roman" w:cs="Times New Roman"/>
                <w:color w:val="000000" w:themeColor="text1"/>
                <w:sz w:val="20"/>
                <w:szCs w:val="20"/>
              </w:rPr>
              <w:lastRenderedPageBreak/>
              <w:t xml:space="preserve">ajustes de valoración a precio de mercado, la compensación de las garantías reales y la incorporación de los importes de liquidación estimados sea un importe positivo deberán </w:t>
            </w:r>
            <w:r w:rsidR="50881399" w:rsidRPr="11A44BD7">
              <w:rPr>
                <w:rFonts w:ascii="Times New Roman" w:eastAsia="Cambria" w:hAnsi="Times New Roman" w:cs="Times New Roman"/>
                <w:color w:val="000000" w:themeColor="text1"/>
                <w:sz w:val="20"/>
                <w:szCs w:val="20"/>
              </w:rPr>
              <w:t>informarse</w:t>
            </w:r>
            <w:r w:rsidRPr="11A44BD7">
              <w:rPr>
                <w:rFonts w:ascii="Times New Roman" w:eastAsia="Cambria" w:hAnsi="Times New Roman" w:cs="Times New Roman"/>
                <w:color w:val="000000" w:themeColor="text1"/>
                <w:sz w:val="20"/>
                <w:szCs w:val="20"/>
              </w:rPr>
              <w:t xml:space="preserve"> en esta fila, es decir, solo cuando el importe estimado de </w:t>
            </w:r>
            <w:r w:rsidR="003B7871">
              <w:rPr>
                <w:rFonts w:ascii="Times New Roman" w:eastAsia="Cambria" w:hAnsi="Times New Roman" w:cs="Times New Roman"/>
                <w:color w:val="000000" w:themeColor="text1"/>
                <w:sz w:val="20"/>
                <w:szCs w:val="20"/>
              </w:rPr>
              <w:t>la resolución</w:t>
            </w:r>
            <w:r w:rsidR="003B7871" w:rsidRPr="11A44BD7">
              <w:rPr>
                <w:rFonts w:ascii="Times New Roman" w:eastAsia="Cambria" w:hAnsi="Times New Roman" w:cs="Times New Roman"/>
                <w:color w:val="000000" w:themeColor="text1"/>
                <w:sz w:val="20"/>
                <w:szCs w:val="20"/>
              </w:rPr>
              <w:t xml:space="preserve"> </w:t>
            </w:r>
            <w:r w:rsidRPr="11A44BD7">
              <w:rPr>
                <w:rFonts w:ascii="Times New Roman" w:eastAsia="Cambria" w:hAnsi="Times New Roman" w:cs="Times New Roman"/>
                <w:color w:val="000000" w:themeColor="text1"/>
                <w:sz w:val="20"/>
                <w:szCs w:val="20"/>
              </w:rPr>
              <w:t>anticipada (c0150 de Z15.00) sea positivo.</w:t>
            </w:r>
          </w:p>
          <w:p w14:paraId="7FE1B591" w14:textId="6BBCAF0B" w:rsidR="00414040" w:rsidRDefault="00290C38">
            <w:pPr>
              <w:pStyle w:val="P68B1DB1-TableParagraph17"/>
              <w:spacing w:before="108"/>
              <w:ind w:left="85"/>
              <w:jc w:val="both"/>
            </w:pPr>
            <w:r>
              <w:t xml:space="preserve">Informar </w:t>
            </w:r>
            <w:r w:rsidR="00904E1A">
              <w:t>únicamente los valores en el campo «Importe pendiente».</w:t>
            </w:r>
          </w:p>
        </w:tc>
      </w:tr>
      <w:tr w:rsidR="00414040" w14:paraId="7FE1B596" w14:textId="77777777" w:rsidTr="3E4E0AEA">
        <w:tc>
          <w:tcPr>
            <w:tcW w:w="905" w:type="dxa"/>
            <w:tcBorders>
              <w:top w:val="single" w:sz="4" w:space="0" w:color="1A171C"/>
              <w:left w:val="nil"/>
              <w:bottom w:val="single" w:sz="4" w:space="0" w:color="1A171C"/>
              <w:right w:val="single" w:sz="4" w:space="0" w:color="1A171C"/>
            </w:tcBorders>
            <w:vAlign w:val="center"/>
          </w:tcPr>
          <w:p w14:paraId="7FE1B593" w14:textId="77777777" w:rsidR="00414040" w:rsidRDefault="00904E1A">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414040" w:rsidRDefault="00904E1A">
            <w:pPr>
              <w:pStyle w:val="P68B1DB1-TableParagraph14"/>
              <w:spacing w:before="108"/>
              <w:ind w:left="85"/>
              <w:jc w:val="both"/>
              <w:rPr>
                <w:bCs/>
              </w:rPr>
            </w:pPr>
            <w:r>
              <w:t>Suma de las posiciones deudoras netas teniendo en cuenta las normas de compensación prudencial</w:t>
            </w:r>
          </w:p>
          <w:p w14:paraId="225BC2D2" w14:textId="19711BDB" w:rsidR="00414040" w:rsidRDefault="00904E1A">
            <w:pPr>
              <w:pStyle w:val="P68B1DB1-TableParagraph17"/>
              <w:spacing w:before="108"/>
              <w:ind w:left="85"/>
              <w:jc w:val="both"/>
            </w:pPr>
            <w:r>
              <w:t xml:space="preserve">Se </w:t>
            </w:r>
            <w:r w:rsidR="381ACE15">
              <w:t>informarán</w:t>
            </w:r>
            <w:r>
              <w:t xml:space="preserve"> las posiciones deudoras netas por derivados teniendo en cuenta las normas de compensación prudencial del artículo 429 del Reglamento (UE) n.º 575/2013 (relacionadas con el cálculo de la medida de la exposición total correspondiente a la ratio de apalancamiento).</w:t>
            </w:r>
          </w:p>
          <w:p w14:paraId="7FE1B595" w14:textId="6000C1AD" w:rsidR="00414040" w:rsidRDefault="6D806306">
            <w:pPr>
              <w:pStyle w:val="P68B1DB1-TableParagraph17"/>
              <w:spacing w:before="108"/>
              <w:ind w:left="85"/>
              <w:jc w:val="both"/>
              <w:rPr>
                <w:b/>
                <w:bCs/>
              </w:rPr>
            </w:pPr>
            <w:r>
              <w:t xml:space="preserve">Informar </w:t>
            </w:r>
            <w:r w:rsidR="00904E1A">
              <w:t>únicamente los valores en el campo «Importe pendiente».</w:t>
            </w:r>
          </w:p>
        </w:tc>
      </w:tr>
      <w:tr w:rsidR="00414040" w14:paraId="7FE1B59A" w14:textId="77777777" w:rsidTr="3E4E0AEA">
        <w:tc>
          <w:tcPr>
            <w:tcW w:w="905" w:type="dxa"/>
            <w:tcBorders>
              <w:top w:val="single" w:sz="4" w:space="0" w:color="1A171C"/>
              <w:left w:val="nil"/>
              <w:bottom w:val="single" w:sz="4" w:space="0" w:color="1A171C"/>
              <w:right w:val="single" w:sz="4" w:space="0" w:color="1A171C"/>
            </w:tcBorders>
            <w:vAlign w:val="center"/>
          </w:tcPr>
          <w:p w14:paraId="7FE1B597" w14:textId="77777777" w:rsidR="00414040" w:rsidRDefault="00904E1A">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414040" w:rsidRDefault="00904E1A">
            <w:pPr>
              <w:pStyle w:val="P68B1DB1-TableParagraph14"/>
              <w:spacing w:before="108"/>
              <w:ind w:left="85"/>
              <w:jc w:val="both"/>
              <w:rPr>
                <w:bCs/>
              </w:rPr>
            </w:pPr>
            <w:r>
              <w:t>Pasivos garantizados sin garantías reales</w:t>
            </w:r>
          </w:p>
          <w:p w14:paraId="7FE1B599" w14:textId="77777777" w:rsidR="00414040" w:rsidRDefault="00904E1A">
            <w:pPr>
              <w:pStyle w:val="P68B1DB1-TableParagraph13"/>
              <w:spacing w:before="108"/>
              <w:ind w:left="85"/>
              <w:jc w:val="both"/>
              <w:rPr>
                <w:b/>
                <w:lang w:val="es-ES"/>
              </w:rPr>
            </w:pPr>
            <w:r w:rsidRPr="69E604A3">
              <w:rPr>
                <w:lang w:val="es-ES"/>
              </w:rPr>
              <w:t xml:space="preserve">El importe de los pasivos garantizados o los pasivos para los que se hayan constituido garantías reales que exceda del valor de los activos, la pignoración, la prenda o la garantía real con los que estén asegurados. Deberá reflejar la parte «sin garantías reales» de los pasivos respaldados por tales garantías, por </w:t>
            </w:r>
            <w:proofErr w:type="gramStart"/>
            <w:r w:rsidRPr="69E604A3">
              <w:rPr>
                <w:lang w:val="es-ES"/>
              </w:rPr>
              <w:t>ejemplo</w:t>
            </w:r>
            <w:proofErr w:type="gramEnd"/>
            <w:r w:rsidRPr="69E604A3">
              <w:rPr>
                <w:lang w:val="es-ES"/>
              </w:rPr>
              <w:t xml:space="preserve"> la parte sin garantías reales de bonos garantizados u operaciones de recompra.</w:t>
            </w:r>
          </w:p>
        </w:tc>
      </w:tr>
      <w:tr w:rsidR="00414040" w14:paraId="7FE1B59E" w14:textId="77777777" w:rsidTr="3E4E0AEA">
        <w:tc>
          <w:tcPr>
            <w:tcW w:w="905" w:type="dxa"/>
            <w:tcBorders>
              <w:top w:val="single" w:sz="4" w:space="0" w:color="1A171C"/>
              <w:left w:val="nil"/>
              <w:bottom w:val="single" w:sz="4" w:space="0" w:color="1A171C"/>
              <w:right w:val="single" w:sz="4" w:space="0" w:color="1A171C"/>
            </w:tcBorders>
            <w:vAlign w:val="center"/>
          </w:tcPr>
          <w:p w14:paraId="7FE1B59B" w14:textId="77777777" w:rsidR="00414040" w:rsidRDefault="00904E1A">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414040" w:rsidRDefault="00904E1A">
            <w:pPr>
              <w:pStyle w:val="P68B1DB1-TableParagraph14"/>
              <w:spacing w:before="108"/>
              <w:ind w:left="85"/>
              <w:jc w:val="both"/>
              <w:rPr>
                <w:bCs/>
              </w:rPr>
            </w:pPr>
            <w:r>
              <w:t>Bonos estructurados</w:t>
            </w:r>
          </w:p>
          <w:p w14:paraId="7FE1B59D" w14:textId="77777777" w:rsidR="00414040" w:rsidRDefault="00904E1A">
            <w:pPr>
              <w:pStyle w:val="P68B1DB1-TableParagraph17"/>
              <w:spacing w:before="108"/>
              <w:ind w:left="85"/>
              <w:jc w:val="both"/>
              <w:rPr>
                <w:b/>
                <w:lang w:val="es-ES"/>
              </w:rPr>
            </w:pPr>
            <w:r w:rsidRPr="69E604A3">
              <w:rPr>
                <w:lang w:val="es-ES"/>
              </w:rPr>
              <w:t>Los bonos estructurados se definen a estos efectos como obligaciones de deuda con un componente de derivado implícito, con rendimientos vinculados a un valor o índice subyacente (público o específico, como instrumentos de renta fija o variable, créditos o tipos de renta fija, tipos de cambio, materias primas, etc.). No forman parte de los bonos estructurados los instrumentos de deuda que únicamente incluyen opciones de compra o de venta, es decir, cuyo valor no depende de ningún componente de derivado implícito.</w:t>
            </w:r>
          </w:p>
        </w:tc>
      </w:tr>
      <w:tr w:rsidR="00414040" w14:paraId="7FE1B5A2" w14:textId="77777777" w:rsidTr="3E4E0AEA">
        <w:tc>
          <w:tcPr>
            <w:tcW w:w="905" w:type="dxa"/>
            <w:tcBorders>
              <w:top w:val="single" w:sz="4" w:space="0" w:color="1A171C"/>
              <w:left w:val="nil"/>
              <w:bottom w:val="single" w:sz="4" w:space="0" w:color="1A171C"/>
              <w:right w:val="single" w:sz="4" w:space="0" w:color="1A171C"/>
            </w:tcBorders>
            <w:vAlign w:val="center"/>
          </w:tcPr>
          <w:p w14:paraId="7FE1B59F" w14:textId="77777777" w:rsidR="00414040" w:rsidRDefault="00904E1A">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414040" w:rsidRDefault="00904E1A">
            <w:pPr>
              <w:pStyle w:val="P68B1DB1-TableParagraph14"/>
              <w:spacing w:before="108"/>
              <w:ind w:left="85"/>
              <w:jc w:val="both"/>
              <w:rPr>
                <w:bCs/>
              </w:rPr>
            </w:pPr>
            <w:r>
              <w:t>Pasivos no garantizados de rango superior</w:t>
            </w:r>
          </w:p>
          <w:p w14:paraId="7FE1B5A1" w14:textId="2515816B" w:rsidR="00414040" w:rsidRDefault="00904E1A">
            <w:pPr>
              <w:pStyle w:val="P68B1DB1-TableParagraph17"/>
              <w:spacing w:before="108"/>
              <w:ind w:left="85"/>
              <w:jc w:val="both"/>
              <w:rPr>
                <w:b/>
                <w:bCs/>
              </w:rPr>
            </w:pPr>
            <w:r>
              <w:t>Se incluyen aquí todos los instrumentos no garantizados de rango superior no incluidos en otras categorías anteriores.</w:t>
            </w:r>
          </w:p>
        </w:tc>
      </w:tr>
      <w:tr w:rsidR="00414040" w14:paraId="7FE1B5A9" w14:textId="77777777" w:rsidTr="3E4E0AEA">
        <w:tc>
          <w:tcPr>
            <w:tcW w:w="905" w:type="dxa"/>
            <w:tcBorders>
              <w:top w:val="single" w:sz="4" w:space="0" w:color="1A171C"/>
              <w:left w:val="nil"/>
              <w:bottom w:val="single" w:sz="4" w:space="0" w:color="1A171C"/>
              <w:right w:val="single" w:sz="4" w:space="0" w:color="1A171C"/>
            </w:tcBorders>
            <w:vAlign w:val="center"/>
          </w:tcPr>
          <w:p w14:paraId="7FE1B5A3" w14:textId="77777777" w:rsidR="00414040" w:rsidRDefault="00904E1A">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414040" w:rsidRDefault="00904E1A">
            <w:pPr>
              <w:pStyle w:val="P68B1DB1-TableParagraph14"/>
              <w:spacing w:before="108"/>
              <w:ind w:left="85"/>
              <w:jc w:val="both"/>
            </w:pPr>
            <w:r>
              <w:t>Pasivos no preferentes de rango superior</w:t>
            </w:r>
          </w:p>
          <w:p w14:paraId="7FE1B5A5" w14:textId="1812F2AD" w:rsidR="00414040" w:rsidRDefault="00904E1A">
            <w:pPr>
              <w:pStyle w:val="P68B1DB1-TableParagraph13"/>
              <w:spacing w:before="108"/>
              <w:ind w:left="85"/>
              <w:jc w:val="both"/>
            </w:pPr>
            <w:r w:rsidRPr="792F2078">
              <w:rPr>
                <w:lang w:val="es-ES"/>
              </w:rPr>
              <w:t xml:space="preserve">Importe de </w:t>
            </w:r>
            <w:r w:rsidR="56763880" w:rsidRPr="702C56C4">
              <w:rPr>
                <w:lang w:val="es-ES"/>
              </w:rPr>
              <w:t>cualquiera</w:t>
            </w:r>
            <w:r w:rsidR="56763880" w:rsidRPr="792F2078">
              <w:rPr>
                <w:lang w:val="es-ES"/>
              </w:rPr>
              <w:t xml:space="preserve"> de</w:t>
            </w:r>
            <w:r w:rsidR="56763880" w:rsidRPr="702C56C4">
              <w:rPr>
                <w:lang w:val="es-ES"/>
              </w:rPr>
              <w:t xml:space="preserve"> </w:t>
            </w:r>
            <w:r w:rsidRPr="792F2078">
              <w:rPr>
                <w:lang w:val="es-ES"/>
              </w:rPr>
              <w:t>los pasivos siguientes:</w:t>
            </w:r>
          </w:p>
          <w:p w14:paraId="7FE1B5A6" w14:textId="29F48EBF" w:rsidR="00414040" w:rsidRDefault="00904E1A">
            <w:pPr>
              <w:pStyle w:val="P68B1DB1-TableParagraph13"/>
              <w:numPr>
                <w:ilvl w:val="0"/>
                <w:numId w:val="69"/>
              </w:numPr>
              <w:spacing w:before="108"/>
              <w:jc w:val="both"/>
            </w:pPr>
            <w:r>
              <w:t>Los créditos no garantizados derivados de instrumentos de deuda que cumplan las condiciones establecidas en el artículo 108 de la Directiva 2014/59/UE, apartado 2, letras a), b) y c), y apartado 3;</w:t>
            </w:r>
          </w:p>
          <w:p w14:paraId="7FE1B5A7" w14:textId="77777777" w:rsidR="00414040" w:rsidRDefault="00904E1A">
            <w:pPr>
              <w:pStyle w:val="P68B1DB1-TableParagraph13"/>
              <w:numPr>
                <w:ilvl w:val="0"/>
                <w:numId w:val="69"/>
              </w:numPr>
              <w:spacing w:before="108"/>
              <w:jc w:val="both"/>
            </w:pPr>
            <w:r>
              <w:t>Créditos no garantizados derivados de los instrumentos de deuda a que se refiere el artículo 108, apartado 5, primer párrafo, letra b), de la Directiva 2014/59/UE; o</w:t>
            </w:r>
          </w:p>
          <w:p w14:paraId="7FE1B5A8" w14:textId="77777777" w:rsidR="00414040" w:rsidRDefault="00904E1A">
            <w:pPr>
              <w:pStyle w:val="P68B1DB1-TableParagraph13"/>
              <w:numPr>
                <w:ilvl w:val="0"/>
                <w:numId w:val="69"/>
              </w:numPr>
              <w:spacing w:before="108"/>
              <w:jc w:val="both"/>
            </w:pPr>
            <w:r w:rsidRPr="69E604A3">
              <w:rPr>
                <w:lang w:val="es-ES"/>
              </w:rPr>
              <w:t>Instrumentos de deuda con la menor prelación entre los créditos ordinarios no garantizados derivados de los instrumentos de deuda a que se refiere el artículo 108, apartado 7, de la Directiva 2014/59/UE, para los que un Estado miembro haya establecido, de conformidad con dicho apartado, que tienen la misma prelación que los créditos que cumplen las condiciones del artículo 108, apartado 2, letras a), b) y c), y apartado 3, de la Directiva 2014/59/UE.</w:t>
            </w:r>
          </w:p>
        </w:tc>
      </w:tr>
      <w:tr w:rsidR="00414040" w14:paraId="7FE1B5AF" w14:textId="77777777" w:rsidTr="3E4E0AEA">
        <w:tc>
          <w:tcPr>
            <w:tcW w:w="905" w:type="dxa"/>
            <w:tcBorders>
              <w:top w:val="single" w:sz="4" w:space="0" w:color="1A171C"/>
              <w:left w:val="nil"/>
              <w:bottom w:val="single" w:sz="4" w:space="0" w:color="1A171C"/>
              <w:right w:val="single" w:sz="4" w:space="0" w:color="1A171C"/>
            </w:tcBorders>
            <w:vAlign w:val="center"/>
          </w:tcPr>
          <w:p w14:paraId="7FE1B5AA" w14:textId="77777777" w:rsidR="00414040" w:rsidRDefault="00904E1A">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414040" w:rsidRDefault="00904E1A">
            <w:pPr>
              <w:pStyle w:val="P68B1DB1-TableParagraph14"/>
              <w:spacing w:before="108"/>
              <w:ind w:left="85"/>
              <w:jc w:val="both"/>
              <w:rPr>
                <w:bCs/>
              </w:rPr>
            </w:pPr>
            <w:r>
              <w:t>Pasivos subordinados (no reconocidos como fondos propios)</w:t>
            </w:r>
          </w:p>
          <w:p w14:paraId="7FE1B5AC" w14:textId="2614FC32" w:rsidR="00414040" w:rsidRDefault="00904E1A">
            <w:pPr>
              <w:pStyle w:val="P68B1DB1-TableParagraph17"/>
              <w:spacing w:before="108"/>
              <w:ind w:left="85"/>
              <w:jc w:val="both"/>
            </w:pPr>
            <w:r w:rsidRPr="11A44BD7">
              <w:rPr>
                <w:lang w:val="es-ES"/>
              </w:rPr>
              <w:t xml:space="preserve">Pasivos que solo serán reembolsados con arreglo a la normativa nacional de insolvencia después de que se hayan reembolsado en su totalidad las deudas respecto de todas las categorías de acreedores ordinarios y acreedores no preferentes de rango superior. Se incluyen aquí los pasivos subordinados por disposición contractual y legal. En el caso de las sociedades de cartera también pueden </w:t>
            </w:r>
            <w:r w:rsidR="4B258199" w:rsidRPr="11A44BD7">
              <w:rPr>
                <w:lang w:val="es-ES"/>
              </w:rPr>
              <w:t>informarse</w:t>
            </w:r>
            <w:r w:rsidRPr="11A44BD7">
              <w:rPr>
                <w:lang w:val="es-ES"/>
              </w:rPr>
              <w:t xml:space="preserve"> en esta categoría los valores representativos de deuda no subordinados (es decir, subordinación estructural).</w:t>
            </w:r>
          </w:p>
          <w:p w14:paraId="7FE1B5AD" w14:textId="0E1BD698" w:rsidR="00414040" w:rsidRDefault="00904E1A">
            <w:pPr>
              <w:pStyle w:val="P68B1DB1-TableParagraph17"/>
              <w:spacing w:before="108"/>
              <w:ind w:left="85"/>
              <w:jc w:val="both"/>
            </w:pPr>
            <w:r>
              <w:lastRenderedPageBreak/>
              <w:t>Solo se incluirán en esta categoría los instrumentos subordinados que no sean reconocidos como fondos propios.</w:t>
            </w:r>
          </w:p>
          <w:p w14:paraId="7FE1B5AE" w14:textId="77777777" w:rsidR="00414040" w:rsidRDefault="00904E1A">
            <w:pPr>
              <w:pStyle w:val="P68B1DB1-TableParagraph17"/>
              <w:spacing w:before="108"/>
              <w:ind w:left="85"/>
              <w:jc w:val="both"/>
              <w:rPr>
                <w:b/>
                <w:lang w:val="es-ES"/>
              </w:rPr>
            </w:pPr>
            <w:r w:rsidRPr="69E604A3">
              <w:rPr>
                <w:lang w:val="es-ES"/>
              </w:rPr>
              <w:t xml:space="preserve">En esta fila deberá incluirse también la parte de los pasivos subordinados que en principio pueda clasificarse como fondos propios, pero que no se incluya en ellos </w:t>
            </w:r>
            <w:proofErr w:type="gramStart"/>
            <w:r w:rsidRPr="69E604A3">
              <w:rPr>
                <w:lang w:val="es-ES"/>
              </w:rPr>
              <w:t>en razón de</w:t>
            </w:r>
            <w:proofErr w:type="gramEnd"/>
            <w:r w:rsidRPr="69E604A3">
              <w:rPr>
                <w:lang w:val="es-ES"/>
              </w:rPr>
              <w:t xml:space="preserve"> disposiciones de eliminación progresiva como el artículo 64 (vencimiento residual) o la parte décima (efecto de anterioridad) del Reglamento (UE) n.º 575/2013. </w:t>
            </w:r>
          </w:p>
        </w:tc>
      </w:tr>
      <w:tr w:rsidR="00414040" w14:paraId="7FE1B5B3" w14:textId="77777777" w:rsidTr="3E4E0AEA">
        <w:tc>
          <w:tcPr>
            <w:tcW w:w="905" w:type="dxa"/>
            <w:tcBorders>
              <w:top w:val="single" w:sz="4" w:space="0" w:color="1A171C"/>
              <w:left w:val="nil"/>
              <w:bottom w:val="single" w:sz="4" w:space="0" w:color="1A171C"/>
              <w:right w:val="single" w:sz="4" w:space="0" w:color="1A171C"/>
            </w:tcBorders>
            <w:vAlign w:val="center"/>
          </w:tcPr>
          <w:p w14:paraId="7FE1B5B0" w14:textId="77777777" w:rsidR="00414040" w:rsidRDefault="00904E1A">
            <w:pPr>
              <w:pStyle w:val="P68B1DB1-TableParagraph13"/>
              <w:spacing w:before="106"/>
              <w:ind w:left="-1"/>
            </w:pPr>
            <w:r>
              <w:lastRenderedPageBreak/>
              <w:t>0380-0382</w:t>
            </w:r>
          </w:p>
        </w:tc>
        <w:tc>
          <w:tcPr>
            <w:tcW w:w="8121" w:type="dxa"/>
            <w:tcBorders>
              <w:top w:val="single" w:sz="4" w:space="0" w:color="1A171C"/>
              <w:left w:val="single" w:sz="4" w:space="0" w:color="1A171C"/>
              <w:bottom w:val="single" w:sz="4" w:space="0" w:color="1A171C"/>
              <w:right w:val="nil"/>
            </w:tcBorders>
            <w:vAlign w:val="center"/>
          </w:tcPr>
          <w:p w14:paraId="7FE1B5B1" w14:textId="36539144" w:rsidR="00414040" w:rsidRDefault="10A5E5BA">
            <w:pPr>
              <w:pStyle w:val="P68B1DB1-TableParagraph14"/>
              <w:spacing w:before="108"/>
              <w:ind w:left="85"/>
              <w:jc w:val="both"/>
            </w:pPr>
            <w:r>
              <w:t>Otros pasivos admisibles a efectos del MREL</w:t>
            </w:r>
          </w:p>
          <w:p w14:paraId="7FE1B5B2" w14:textId="0792443C" w:rsidR="00414040" w:rsidRDefault="00904E1A">
            <w:pPr>
              <w:pStyle w:val="P68B1DB1-TableParagraph13"/>
              <w:spacing w:before="108"/>
              <w:ind w:left="85"/>
              <w:jc w:val="both"/>
              <w:rPr>
                <w:b/>
                <w:lang w:val="es-ES"/>
              </w:rPr>
            </w:pPr>
            <w:r w:rsidRPr="69E604A3">
              <w:rPr>
                <w:lang w:val="es-ES"/>
              </w:rPr>
              <w:t xml:space="preserve">El importe de los pasivos que son admisibles a efectos del cumplimiento por parte </w:t>
            </w:r>
            <w:r w:rsidR="00BE10E4">
              <w:rPr>
                <w:lang w:val="es-ES"/>
              </w:rPr>
              <w:t>del</w:t>
            </w:r>
            <w:r w:rsidRPr="69E604A3">
              <w:rPr>
                <w:lang w:val="es-ES"/>
              </w:rPr>
              <w:t xml:space="preserve"> </w:t>
            </w:r>
            <w:r w:rsidR="00BE10E4">
              <w:rPr>
                <w:lang w:val="es-ES"/>
              </w:rPr>
              <w:t>ente</w:t>
            </w:r>
            <w:r w:rsidR="00BE10E4" w:rsidRPr="69E604A3">
              <w:rPr>
                <w:lang w:val="es-ES"/>
              </w:rPr>
              <w:t xml:space="preserve"> </w:t>
            </w:r>
            <w:r w:rsidRPr="69E604A3">
              <w:rPr>
                <w:lang w:val="es-ES"/>
              </w:rPr>
              <w:t xml:space="preserve">declarante del requisito del artículo 45 de la Directiva 2014/59/UE de conformidad con sus artículos 45 </w:t>
            </w:r>
            <w:proofErr w:type="spellStart"/>
            <w:r w:rsidRPr="00210421">
              <w:rPr>
                <w:i/>
                <w:iCs/>
                <w:lang w:val="es-ES"/>
              </w:rPr>
              <w:t>sexies</w:t>
            </w:r>
            <w:proofErr w:type="spellEnd"/>
            <w:r w:rsidRPr="69E604A3">
              <w:rPr>
                <w:lang w:val="es-ES"/>
              </w:rPr>
              <w:t xml:space="preserve"> o 45 </w:t>
            </w:r>
            <w:proofErr w:type="spellStart"/>
            <w:r w:rsidRPr="00210421">
              <w:rPr>
                <w:i/>
                <w:iCs/>
                <w:lang w:val="es-ES"/>
              </w:rPr>
              <w:t>septies</w:t>
            </w:r>
            <w:proofErr w:type="spellEnd"/>
            <w:r w:rsidRPr="69E604A3">
              <w:rPr>
                <w:lang w:val="es-ES"/>
              </w:rPr>
              <w:t>, según proceda, pero no se recogen en las filas 0320 y 0340 a 0370.</w:t>
            </w:r>
          </w:p>
        </w:tc>
      </w:tr>
      <w:tr w:rsidR="00414040" w14:paraId="7FE1B5B7" w14:textId="77777777" w:rsidTr="3E4E0AEA">
        <w:tc>
          <w:tcPr>
            <w:tcW w:w="905" w:type="dxa"/>
            <w:tcBorders>
              <w:top w:val="single" w:sz="4" w:space="0" w:color="1A171C"/>
              <w:left w:val="nil"/>
              <w:bottom w:val="single" w:sz="4" w:space="0" w:color="1A171C"/>
              <w:right w:val="single" w:sz="4" w:space="0" w:color="1A171C"/>
            </w:tcBorders>
            <w:vAlign w:val="center"/>
          </w:tcPr>
          <w:p w14:paraId="7FE1B5B4" w14:textId="77777777" w:rsidR="00414040" w:rsidRDefault="00904E1A">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414040" w:rsidRDefault="00904E1A">
            <w:pPr>
              <w:pStyle w:val="P68B1DB1-TableParagraph14"/>
              <w:spacing w:before="108"/>
              <w:ind w:left="85"/>
              <w:jc w:val="both"/>
              <w:rPr>
                <w:bCs/>
              </w:rPr>
            </w:pPr>
            <w:r>
              <w:t>Pasivos no financieros</w:t>
            </w:r>
          </w:p>
          <w:p w14:paraId="7FE1B5B6" w14:textId="66CFC0B1" w:rsidR="00414040" w:rsidRDefault="00904E1A">
            <w:pPr>
              <w:pStyle w:val="P68B1DB1-TableParagraph17"/>
              <w:spacing w:before="108"/>
              <w:ind w:left="85"/>
              <w:jc w:val="both"/>
              <w:rPr>
                <w:b/>
                <w:lang w:val="es-ES"/>
              </w:rPr>
            </w:pPr>
            <w:r w:rsidRPr="5264726E">
              <w:rPr>
                <w:lang w:val="es-ES"/>
              </w:rPr>
              <w:t xml:space="preserve">El importe de los pasivos que no se consideran pasivos financieros en consonancia con el marco contable aplicable, como las provisiones relacionadas con litigios a los que está </w:t>
            </w:r>
            <w:r w:rsidR="0045010F" w:rsidRPr="5264726E">
              <w:rPr>
                <w:lang w:val="es-ES"/>
              </w:rPr>
              <w:t>sujet</w:t>
            </w:r>
            <w:r w:rsidR="0045010F">
              <w:rPr>
                <w:lang w:val="es-ES"/>
              </w:rPr>
              <w:t>o</w:t>
            </w:r>
            <w:r w:rsidR="0045010F" w:rsidRPr="5264726E">
              <w:rPr>
                <w:lang w:val="es-ES"/>
              </w:rPr>
              <w:t xml:space="preserve"> </w:t>
            </w:r>
            <w:r w:rsidR="0CEDDB08" w:rsidRPr="5264726E">
              <w:rPr>
                <w:lang w:val="es-ES"/>
              </w:rPr>
              <w:t>el ente</w:t>
            </w:r>
            <w:r w:rsidRPr="5264726E">
              <w:rPr>
                <w:lang w:val="es-ES"/>
              </w:rPr>
              <w:t xml:space="preserve">. </w:t>
            </w:r>
          </w:p>
        </w:tc>
      </w:tr>
      <w:tr w:rsidR="00414040" w14:paraId="7FE1B5BB" w14:textId="77777777" w:rsidTr="3E4E0AEA">
        <w:tc>
          <w:tcPr>
            <w:tcW w:w="905" w:type="dxa"/>
            <w:tcBorders>
              <w:top w:val="single" w:sz="4" w:space="0" w:color="1A171C"/>
              <w:left w:val="nil"/>
              <w:bottom w:val="single" w:sz="4" w:space="0" w:color="1A171C"/>
              <w:right w:val="single" w:sz="4" w:space="0" w:color="1A171C"/>
            </w:tcBorders>
            <w:vAlign w:val="center"/>
          </w:tcPr>
          <w:p w14:paraId="7FE1B5B8" w14:textId="77777777" w:rsidR="00414040" w:rsidRDefault="00904E1A">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414040" w:rsidRDefault="00904E1A">
            <w:pPr>
              <w:pStyle w:val="P68B1DB1-TableParagraph14"/>
              <w:spacing w:before="108"/>
              <w:ind w:left="85"/>
              <w:jc w:val="both"/>
              <w:rPr>
                <w:bCs/>
              </w:rPr>
            </w:pPr>
            <w:r>
              <w:t>Pasivos residuales</w:t>
            </w:r>
          </w:p>
          <w:p w14:paraId="7FE1B5BA" w14:textId="0CA28296" w:rsidR="00414040" w:rsidRDefault="27A88B51" w:rsidP="11A44BD7">
            <w:pPr>
              <w:pStyle w:val="P68B1DB1-TableParagraph17"/>
              <w:spacing w:before="108"/>
              <w:ind w:left="85"/>
              <w:jc w:val="both"/>
              <w:rPr>
                <w:b/>
                <w:bCs/>
                <w:lang w:val="es-ES"/>
              </w:rPr>
            </w:pPr>
            <w:r w:rsidRPr="11A44BD7">
              <w:rPr>
                <w:lang w:val="es-ES"/>
              </w:rPr>
              <w:t xml:space="preserve">Importe de los pasivos no </w:t>
            </w:r>
            <w:r w:rsidR="1FDB7C5F">
              <w:t>informados</w:t>
            </w:r>
            <w:r w:rsidRPr="11A44BD7">
              <w:rPr>
                <w:lang w:val="es-ES"/>
              </w:rPr>
              <w:t xml:space="preserve"> en las filas 0100 a 0390. </w:t>
            </w:r>
          </w:p>
        </w:tc>
      </w:tr>
      <w:tr w:rsidR="00414040" w14:paraId="7FE1B5C0" w14:textId="77777777" w:rsidTr="3E4E0AEA">
        <w:tc>
          <w:tcPr>
            <w:tcW w:w="905" w:type="dxa"/>
            <w:tcBorders>
              <w:top w:val="single" w:sz="4" w:space="0" w:color="1A171C"/>
              <w:left w:val="nil"/>
              <w:bottom w:val="single" w:sz="4" w:space="0" w:color="1A171C"/>
              <w:right w:val="single" w:sz="4" w:space="0" w:color="1A171C"/>
            </w:tcBorders>
            <w:vAlign w:val="center"/>
          </w:tcPr>
          <w:p w14:paraId="7FE1B5BC" w14:textId="77777777" w:rsidR="00414040" w:rsidRDefault="00904E1A">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414040" w:rsidRDefault="00904E1A">
            <w:pPr>
              <w:pStyle w:val="P68B1DB1-TableParagraph14"/>
              <w:spacing w:before="108"/>
              <w:ind w:left="85"/>
              <w:jc w:val="both"/>
            </w:pPr>
            <w:r>
              <w:t>Fondos propios</w:t>
            </w:r>
          </w:p>
          <w:p w14:paraId="7FE1B5BE" w14:textId="51785CF4" w:rsidR="00414040" w:rsidRDefault="00904E1A">
            <w:pPr>
              <w:pStyle w:val="P68B1DB1-TableParagraph17"/>
              <w:spacing w:before="108"/>
              <w:ind w:left="85"/>
              <w:jc w:val="both"/>
            </w:pPr>
            <w:r>
              <w:t xml:space="preserve">Artículo 4, apartado 1, punto 118, y artículo 72, del Reglamento (UE) </w:t>
            </w:r>
            <w:r w:rsidR="00696FBB">
              <w:t xml:space="preserve">n. º </w:t>
            </w:r>
            <w:r>
              <w:t>575/2013.</w:t>
            </w:r>
          </w:p>
          <w:p w14:paraId="7FE1B5BF" w14:textId="6B56F5A3" w:rsidR="00414040" w:rsidRDefault="00904E1A">
            <w:pPr>
              <w:pStyle w:val="P68B1DB1-TableParagraph17"/>
              <w:spacing w:before="108"/>
              <w:ind w:left="85"/>
              <w:jc w:val="both"/>
            </w:pPr>
            <w:r>
              <w:t xml:space="preserve">Definición igual a la de COREP (OF): </w:t>
            </w:r>
            <w:r w:rsidR="0006581E" w:rsidRPr="0006581E">
              <w:t>{</w:t>
            </w:r>
            <w:r>
              <w:t>C 01.00; 010; 010</w:t>
            </w:r>
            <w:r w:rsidR="0006581E" w:rsidRPr="0006581E">
              <w:t>}</w:t>
            </w:r>
          </w:p>
        </w:tc>
      </w:tr>
      <w:tr w:rsidR="00414040" w14:paraId="7FE1B5C5" w14:textId="77777777" w:rsidTr="3E4E0AEA">
        <w:tc>
          <w:tcPr>
            <w:tcW w:w="905" w:type="dxa"/>
            <w:tcBorders>
              <w:top w:val="single" w:sz="4" w:space="0" w:color="1A171C"/>
              <w:left w:val="nil"/>
              <w:bottom w:val="single" w:sz="4" w:space="0" w:color="1A171C"/>
              <w:right w:val="single" w:sz="4" w:space="0" w:color="1A171C"/>
            </w:tcBorders>
            <w:vAlign w:val="center"/>
          </w:tcPr>
          <w:p w14:paraId="7FE1B5C1" w14:textId="77777777" w:rsidR="00414040" w:rsidRDefault="00904E1A">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414040" w:rsidRDefault="00904E1A">
            <w:pPr>
              <w:pStyle w:val="P68B1DB1-TableParagraph14"/>
              <w:spacing w:before="108"/>
              <w:ind w:left="85"/>
              <w:jc w:val="both"/>
              <w:rPr>
                <w:bCs/>
              </w:rPr>
            </w:pPr>
            <w:r>
              <w:t>Capital de nivel 1 ordinario</w:t>
            </w:r>
          </w:p>
          <w:p w14:paraId="7FE1B5C3" w14:textId="77777777" w:rsidR="00414040" w:rsidRDefault="00904E1A">
            <w:pPr>
              <w:pStyle w:val="P68B1DB1-TableParagraph17"/>
              <w:spacing w:before="108"/>
              <w:ind w:left="85"/>
              <w:jc w:val="both"/>
            </w:pPr>
            <w:r>
              <w:t>Artículo 50 del Reglamento (UE) n.º 575/2013.</w:t>
            </w:r>
          </w:p>
          <w:p w14:paraId="7FE1B5C4" w14:textId="6BFC58C2" w:rsidR="00414040" w:rsidRDefault="00904E1A">
            <w:pPr>
              <w:pStyle w:val="P68B1DB1-TableParagraph17"/>
              <w:spacing w:before="108"/>
              <w:ind w:left="85"/>
              <w:jc w:val="both"/>
              <w:rPr>
                <w:b/>
                <w:bCs/>
              </w:rPr>
            </w:pPr>
            <w:r>
              <w:t xml:space="preserve">Definición igual a la de COREP (OF): </w:t>
            </w:r>
            <w:r w:rsidR="0006581E" w:rsidRPr="0006581E">
              <w:t>{</w:t>
            </w:r>
            <w:r>
              <w:t>C 01.00; 020; 010</w:t>
            </w:r>
            <w:r w:rsidR="0006581E" w:rsidRPr="0006581E">
              <w:t>}</w:t>
            </w:r>
          </w:p>
        </w:tc>
      </w:tr>
      <w:tr w:rsidR="00414040" w14:paraId="7FE1B5CA" w14:textId="77777777" w:rsidTr="3E4E0AEA">
        <w:tc>
          <w:tcPr>
            <w:tcW w:w="905" w:type="dxa"/>
            <w:tcBorders>
              <w:top w:val="single" w:sz="4" w:space="0" w:color="1A171C"/>
              <w:left w:val="nil"/>
              <w:bottom w:val="single" w:sz="4" w:space="0" w:color="1A171C"/>
              <w:right w:val="single" w:sz="4" w:space="0" w:color="1A171C"/>
            </w:tcBorders>
            <w:vAlign w:val="center"/>
          </w:tcPr>
          <w:p w14:paraId="7FE1B5C6" w14:textId="77777777" w:rsidR="00414040" w:rsidRDefault="00904E1A">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4AE6080E" w:rsidR="00414040" w:rsidRDefault="11FC548A">
            <w:pPr>
              <w:pStyle w:val="P68B1DB1-TableParagraph14"/>
              <w:spacing w:before="108"/>
              <w:ind w:left="85"/>
              <w:jc w:val="both"/>
            </w:pPr>
            <w:r>
              <w:t>Del cual</w:t>
            </w:r>
            <w:r w:rsidR="10A5E5BA">
              <w:t>: instrumentos de capital/capital social</w:t>
            </w:r>
          </w:p>
          <w:p w14:paraId="7FE1B5C8" w14:textId="77777777" w:rsidR="00414040" w:rsidRDefault="00904E1A">
            <w:pPr>
              <w:pStyle w:val="P68B1DB1-TableParagraph17"/>
              <w:spacing w:before="108"/>
              <w:ind w:left="85"/>
              <w:jc w:val="both"/>
            </w:pPr>
            <w:r>
              <w:t>Instrumentos jurídicos que constituyen (parte del) capital de nivel 1 ordinario en forma de instrumentos de capital/capital social.</w:t>
            </w:r>
          </w:p>
          <w:p w14:paraId="7FE1B5C9" w14:textId="69375694" w:rsidR="00414040" w:rsidRDefault="10A5E5BA">
            <w:pPr>
              <w:pStyle w:val="P68B1DB1-TableParagraph13"/>
              <w:spacing w:before="108"/>
              <w:ind w:left="85"/>
              <w:jc w:val="both"/>
              <w:rPr>
                <w:lang w:val="es-ES"/>
              </w:rPr>
            </w:pPr>
            <w:r w:rsidRPr="45D41A7B">
              <w:rPr>
                <w:lang w:val="es-ES"/>
              </w:rPr>
              <w:t xml:space="preserve">El importe en libros (FINREP F01.03-020-010 + F01.03-040-010) se entiende como el valor nominal de los instrumentos, mientras que el </w:t>
            </w:r>
            <w:r w:rsidR="2C49290C" w:rsidRPr="42490746">
              <w:rPr>
                <w:lang w:val="es-ES"/>
              </w:rPr>
              <w:t>importe</w:t>
            </w:r>
            <w:r w:rsidRPr="45D41A7B">
              <w:rPr>
                <w:lang w:val="es-ES"/>
              </w:rPr>
              <w:t xml:space="preserve"> </w:t>
            </w:r>
            <w:r w:rsidR="4082E7D2" w:rsidRPr="45D41A7B">
              <w:rPr>
                <w:lang w:val="es-ES"/>
              </w:rPr>
              <w:t>pendiente</w:t>
            </w:r>
            <w:r w:rsidRPr="45D41A7B">
              <w:rPr>
                <w:lang w:val="es-ES"/>
              </w:rPr>
              <w:t xml:space="preserve"> representa el derecho residual de las acciones sobre el patrimonio neto contable total, es decir, incluidas las reservas </w:t>
            </w:r>
            <w:r w:rsidR="00BD0DE2">
              <w:rPr>
                <w:lang w:val="es-ES"/>
              </w:rPr>
              <w:t>del ente</w:t>
            </w:r>
            <w:r w:rsidRPr="45D41A7B">
              <w:rPr>
                <w:lang w:val="es-ES"/>
              </w:rPr>
              <w:t>/grupo.</w:t>
            </w:r>
          </w:p>
        </w:tc>
      </w:tr>
      <w:tr w:rsidR="00414040" w14:paraId="7FE1B5CE" w14:textId="77777777" w:rsidTr="3E4E0AEA">
        <w:tc>
          <w:tcPr>
            <w:tcW w:w="905" w:type="dxa"/>
            <w:tcBorders>
              <w:top w:val="single" w:sz="4" w:space="0" w:color="1A171C"/>
              <w:left w:val="nil"/>
              <w:bottom w:val="single" w:sz="4" w:space="0" w:color="1A171C"/>
              <w:right w:val="single" w:sz="4" w:space="0" w:color="1A171C"/>
            </w:tcBorders>
            <w:vAlign w:val="center"/>
          </w:tcPr>
          <w:p w14:paraId="7FE1B5CB" w14:textId="77777777" w:rsidR="00414040" w:rsidRDefault="00904E1A">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0B014E26" w:rsidR="00414040" w:rsidRDefault="0006581E">
            <w:pPr>
              <w:pStyle w:val="P68B1DB1-TableParagraph14"/>
              <w:spacing w:before="108"/>
              <w:ind w:left="85"/>
              <w:jc w:val="both"/>
              <w:rPr>
                <w:bCs/>
              </w:rPr>
            </w:pPr>
            <w:r>
              <w:t>Del cual</w:t>
            </w:r>
            <w:r w:rsidR="00904E1A">
              <w:t>: instrumentos de igual rango que las acciones ordinarias</w:t>
            </w:r>
          </w:p>
          <w:p w14:paraId="7FE1B5CD" w14:textId="7B37CA1B" w:rsidR="00414040" w:rsidRDefault="10A5E5BA" w:rsidP="45D41A7B">
            <w:pPr>
              <w:pStyle w:val="TableParagraph"/>
              <w:spacing w:before="108"/>
              <w:ind w:left="85"/>
              <w:jc w:val="both"/>
              <w:rPr>
                <w:rFonts w:ascii="Times New Roman" w:hAnsi="Times New Roman" w:cs="Times New Roman"/>
                <w:b/>
                <w:bCs/>
                <w:color w:val="000000" w:themeColor="text1"/>
                <w:sz w:val="20"/>
                <w:szCs w:val="20"/>
                <w:lang w:val="es-ES"/>
              </w:rPr>
            </w:pPr>
            <w:r w:rsidRPr="11A44BD7">
              <w:rPr>
                <w:rFonts w:ascii="Times New Roman" w:eastAsia="Cambria" w:hAnsi="Times New Roman" w:cs="Times New Roman"/>
                <w:color w:val="000000" w:themeColor="text1"/>
                <w:sz w:val="20"/>
                <w:szCs w:val="20"/>
                <w:lang w:val="es-ES"/>
              </w:rPr>
              <w:t>Instrumentos jurídicos que constituyen (parte de los) fondos propios de capital de nivel 1 ordinario en forma de instrumentos distintos de los instrumentos de capital/ capital social, pero de igual rango.</w:t>
            </w:r>
            <w:r w:rsidRPr="11A44BD7">
              <w:rPr>
                <w:rFonts w:ascii="Times New Roman" w:hAnsi="Times New Roman" w:cs="Times New Roman"/>
                <w:lang w:val="es-ES"/>
              </w:rPr>
              <w:t xml:space="preserve"> Las</w:t>
            </w:r>
            <w:r w:rsidR="53F28EAB" w:rsidRPr="11A44BD7">
              <w:rPr>
                <w:rFonts w:ascii="Times New Roman" w:hAnsi="Times New Roman" w:cs="Times New Roman"/>
                <w:lang w:val="es-ES"/>
              </w:rPr>
              <w:t xml:space="preserve"> </w:t>
            </w:r>
            <w:r w:rsidRPr="11A44BD7">
              <w:rPr>
                <w:rFonts w:ascii="Times New Roman" w:eastAsia="Cambria" w:hAnsi="Times New Roman" w:cs="Times New Roman"/>
                <w:color w:val="000000" w:themeColor="text1"/>
                <w:sz w:val="20"/>
                <w:szCs w:val="20"/>
                <w:lang w:val="es-ES"/>
              </w:rPr>
              <w:t xml:space="preserve">reservas y ganancias </w:t>
            </w:r>
            <w:bookmarkStart w:id="57" w:name="_Hlk170122776"/>
            <w:r w:rsidRPr="11A44BD7">
              <w:rPr>
                <w:rFonts w:ascii="Times New Roman" w:eastAsia="Cambria" w:hAnsi="Times New Roman" w:cs="Times New Roman"/>
                <w:color w:val="000000" w:themeColor="text1"/>
                <w:sz w:val="20"/>
                <w:szCs w:val="20"/>
                <w:lang w:val="es-ES"/>
              </w:rPr>
              <w:t xml:space="preserve">acumuladas no deben </w:t>
            </w:r>
            <w:r w:rsidR="0AF0E629" w:rsidRPr="11A44BD7">
              <w:rPr>
                <w:rFonts w:ascii="Times New Roman" w:eastAsia="Cambria" w:hAnsi="Times New Roman" w:cs="Times New Roman"/>
                <w:color w:val="000000" w:themeColor="text1"/>
                <w:sz w:val="20"/>
                <w:szCs w:val="20"/>
                <w:lang w:val="es-ES"/>
              </w:rPr>
              <w:t>informarse</w:t>
            </w:r>
            <w:r w:rsidRPr="11A44BD7">
              <w:rPr>
                <w:rFonts w:ascii="Times New Roman" w:eastAsia="Cambria" w:hAnsi="Times New Roman" w:cs="Times New Roman"/>
                <w:color w:val="000000" w:themeColor="text1"/>
                <w:sz w:val="20"/>
                <w:szCs w:val="20"/>
                <w:lang w:val="es-ES"/>
              </w:rPr>
              <w:t xml:space="preserve"> en esta fila.</w:t>
            </w:r>
            <w:bookmarkEnd w:id="57"/>
          </w:p>
        </w:tc>
      </w:tr>
      <w:tr w:rsidR="00414040" w14:paraId="7FE1B5D3" w14:textId="77777777" w:rsidTr="3E4E0AEA">
        <w:tc>
          <w:tcPr>
            <w:tcW w:w="905" w:type="dxa"/>
            <w:tcBorders>
              <w:top w:val="single" w:sz="4" w:space="0" w:color="1A171C"/>
              <w:left w:val="nil"/>
              <w:bottom w:val="single" w:sz="4" w:space="0" w:color="1A171C"/>
              <w:right w:val="single" w:sz="4" w:space="0" w:color="1A171C"/>
            </w:tcBorders>
            <w:vAlign w:val="center"/>
          </w:tcPr>
          <w:p w14:paraId="7FE1B5CF" w14:textId="77777777" w:rsidR="00414040" w:rsidRDefault="00904E1A">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414040" w:rsidRDefault="00904E1A">
            <w:pPr>
              <w:pStyle w:val="P68B1DB1-TableParagraph14"/>
              <w:spacing w:before="108"/>
              <w:ind w:left="85"/>
              <w:jc w:val="both"/>
              <w:rPr>
                <w:bCs/>
              </w:rPr>
            </w:pPr>
            <w:r>
              <w:t>Capital de nivel 1 adicional</w:t>
            </w:r>
          </w:p>
          <w:p w14:paraId="7FE1B5D1" w14:textId="77777777" w:rsidR="00414040" w:rsidRDefault="00904E1A">
            <w:pPr>
              <w:pStyle w:val="P68B1DB1-TableParagraph17"/>
              <w:spacing w:before="108"/>
              <w:ind w:left="85"/>
              <w:jc w:val="both"/>
            </w:pPr>
            <w:r>
              <w:t>Artículo 61 del Reglamento (UE) n.º 575/2013.</w:t>
            </w:r>
          </w:p>
          <w:p w14:paraId="7FE1B5D2" w14:textId="794A3D03" w:rsidR="00414040" w:rsidRDefault="00904E1A">
            <w:pPr>
              <w:pStyle w:val="P68B1DB1-TableParagraph17"/>
              <w:spacing w:before="108"/>
              <w:ind w:left="85"/>
              <w:jc w:val="both"/>
              <w:rPr>
                <w:b/>
                <w:bCs/>
              </w:rPr>
            </w:pPr>
            <w:r>
              <w:t xml:space="preserve">Definición igual a la de COREP (OF): </w:t>
            </w:r>
            <w:r w:rsidR="0006581E" w:rsidRPr="0006581E">
              <w:t>{</w:t>
            </w:r>
            <w:r>
              <w:t>C 01.00; 530; 010</w:t>
            </w:r>
            <w:r w:rsidR="0006581E" w:rsidRPr="0006581E">
              <w:t>}</w:t>
            </w:r>
          </w:p>
        </w:tc>
      </w:tr>
      <w:tr w:rsidR="00414040" w14:paraId="7FE1B5D7" w14:textId="77777777" w:rsidTr="3E4E0AEA">
        <w:tc>
          <w:tcPr>
            <w:tcW w:w="905" w:type="dxa"/>
            <w:tcBorders>
              <w:top w:val="single" w:sz="4" w:space="0" w:color="1A171C"/>
              <w:left w:val="nil"/>
              <w:bottom w:val="single" w:sz="4" w:space="0" w:color="1A171C"/>
              <w:right w:val="single" w:sz="4" w:space="0" w:color="1A171C"/>
            </w:tcBorders>
            <w:vAlign w:val="center"/>
          </w:tcPr>
          <w:p w14:paraId="7FE1B5D4" w14:textId="77777777" w:rsidR="00414040" w:rsidRDefault="00904E1A">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3E2EE462" w:rsidR="00414040" w:rsidRDefault="01ED1DCE">
            <w:pPr>
              <w:pStyle w:val="P68B1DB1-TableParagraph14"/>
              <w:spacing w:before="108"/>
              <w:ind w:left="85"/>
              <w:jc w:val="both"/>
            </w:pPr>
            <w:r>
              <w:t>De</w:t>
            </w:r>
            <w:r w:rsidR="002D60BE">
              <w:t>l</w:t>
            </w:r>
            <w:r>
              <w:t xml:space="preserve"> cual</w:t>
            </w:r>
            <w:r w:rsidR="10A5E5BA">
              <w:t>: (parte de los) pasivos subordinados reconocidos como fondos propios</w:t>
            </w:r>
          </w:p>
          <w:p w14:paraId="7FE1B5D6" w14:textId="77777777" w:rsidR="00414040" w:rsidRDefault="00904E1A">
            <w:pPr>
              <w:pStyle w:val="P68B1DB1-TableParagraph17"/>
              <w:spacing w:before="108"/>
              <w:ind w:left="85"/>
              <w:jc w:val="both"/>
              <w:rPr>
                <w:b/>
                <w:bCs/>
              </w:rPr>
            </w:pPr>
            <w:r>
              <w:t>Instrumentos jurídicos que constituyen (parte de los) instrumentos de capital de nivel 1 adicional.</w:t>
            </w:r>
          </w:p>
        </w:tc>
      </w:tr>
      <w:tr w:rsidR="00414040" w14:paraId="7FE1B5DC" w14:textId="77777777" w:rsidTr="3E4E0AEA">
        <w:tc>
          <w:tcPr>
            <w:tcW w:w="905" w:type="dxa"/>
            <w:tcBorders>
              <w:top w:val="single" w:sz="4" w:space="0" w:color="1A171C"/>
              <w:left w:val="nil"/>
              <w:bottom w:val="single" w:sz="4" w:space="0" w:color="1A171C"/>
              <w:right w:val="single" w:sz="4" w:space="0" w:color="1A171C"/>
            </w:tcBorders>
            <w:vAlign w:val="center"/>
          </w:tcPr>
          <w:p w14:paraId="7FE1B5D8" w14:textId="77777777" w:rsidR="00414040" w:rsidRDefault="00904E1A">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414040" w:rsidRDefault="00904E1A">
            <w:pPr>
              <w:pStyle w:val="P68B1DB1-TableParagraph14"/>
              <w:spacing w:before="108"/>
              <w:ind w:left="85"/>
              <w:jc w:val="both"/>
              <w:rPr>
                <w:bCs/>
              </w:rPr>
            </w:pPr>
            <w:r>
              <w:t>Capital de nivel 2</w:t>
            </w:r>
          </w:p>
          <w:p w14:paraId="7FE1B5DA" w14:textId="77777777" w:rsidR="00414040" w:rsidRDefault="00904E1A">
            <w:pPr>
              <w:pStyle w:val="P68B1DB1-TableParagraph17"/>
              <w:spacing w:before="108"/>
              <w:ind w:left="85"/>
              <w:jc w:val="both"/>
            </w:pPr>
            <w:r>
              <w:t>Artículo 71 del Reglamento (UE) n.º 575/2013.</w:t>
            </w:r>
          </w:p>
          <w:p w14:paraId="7FE1B5DB" w14:textId="690E3715" w:rsidR="00414040" w:rsidRDefault="00904E1A">
            <w:pPr>
              <w:pStyle w:val="P68B1DB1-TableParagraph17"/>
              <w:spacing w:before="108"/>
              <w:ind w:left="85"/>
              <w:jc w:val="both"/>
              <w:rPr>
                <w:b/>
                <w:bCs/>
              </w:rPr>
            </w:pPr>
            <w:r>
              <w:t xml:space="preserve">Definición igual a la de COREP (OF): </w:t>
            </w:r>
            <w:r w:rsidR="0006581E" w:rsidRPr="0006581E">
              <w:t>{</w:t>
            </w:r>
            <w:r>
              <w:t>C 01.00; 750; 010</w:t>
            </w:r>
            <w:r w:rsidR="0006581E" w:rsidRPr="0006581E">
              <w:t>}</w:t>
            </w:r>
          </w:p>
        </w:tc>
      </w:tr>
      <w:tr w:rsidR="00414040" w14:paraId="7FE1B5E0" w14:textId="77777777" w:rsidTr="3E4E0AEA">
        <w:tc>
          <w:tcPr>
            <w:tcW w:w="905" w:type="dxa"/>
            <w:tcBorders>
              <w:top w:val="single" w:sz="4" w:space="0" w:color="1A171C"/>
              <w:left w:val="nil"/>
              <w:bottom w:val="single" w:sz="4" w:space="0" w:color="1A171C"/>
              <w:right w:val="single" w:sz="4" w:space="0" w:color="1A171C"/>
            </w:tcBorders>
            <w:vAlign w:val="center"/>
          </w:tcPr>
          <w:p w14:paraId="7FE1B5DD" w14:textId="77777777" w:rsidR="00414040" w:rsidRDefault="00904E1A">
            <w:pPr>
              <w:pStyle w:val="P68B1DB1-TableParagraph13"/>
              <w:spacing w:before="106"/>
              <w:ind w:left="-1"/>
            </w:pPr>
            <w:r>
              <w:lastRenderedPageBreak/>
              <w:t>0531</w:t>
            </w:r>
          </w:p>
        </w:tc>
        <w:tc>
          <w:tcPr>
            <w:tcW w:w="8121" w:type="dxa"/>
            <w:tcBorders>
              <w:top w:val="single" w:sz="4" w:space="0" w:color="1A171C"/>
              <w:left w:val="single" w:sz="4" w:space="0" w:color="1A171C"/>
              <w:bottom w:val="single" w:sz="4" w:space="0" w:color="1A171C"/>
              <w:right w:val="nil"/>
            </w:tcBorders>
            <w:vAlign w:val="center"/>
          </w:tcPr>
          <w:p w14:paraId="7FE1B5DE" w14:textId="58A2C4AE" w:rsidR="00414040" w:rsidRDefault="00904E1A">
            <w:pPr>
              <w:pStyle w:val="P68B1DB1-TableParagraph14"/>
              <w:spacing w:before="108"/>
              <w:ind w:left="85"/>
              <w:jc w:val="both"/>
              <w:rPr>
                <w:bCs/>
              </w:rPr>
            </w:pPr>
            <w:r>
              <w:t>De</w:t>
            </w:r>
            <w:r w:rsidR="002D60BE">
              <w:t>l</w:t>
            </w:r>
            <w:r>
              <w:t xml:space="preserve"> cual: (parte de los) pasivos subordinados reconocidos como fondos propios</w:t>
            </w:r>
          </w:p>
          <w:p w14:paraId="7FE1B5DF" w14:textId="77777777" w:rsidR="00414040" w:rsidRDefault="00904E1A">
            <w:pPr>
              <w:pStyle w:val="P68B1DB1-TableParagraph17"/>
              <w:spacing w:before="108"/>
              <w:ind w:left="85"/>
              <w:jc w:val="both"/>
              <w:rPr>
                <w:b/>
                <w:bCs/>
              </w:rPr>
            </w:pPr>
            <w:r>
              <w:t>Este desglose identifica los instrumentos jurídicos que constituyen (parte de los) fondos propios de nivel 2.</w:t>
            </w:r>
          </w:p>
        </w:tc>
      </w:tr>
      <w:tr w:rsidR="00414040" w14:paraId="7FE1B5E4" w14:textId="77777777" w:rsidTr="3E4E0AEA">
        <w:tc>
          <w:tcPr>
            <w:tcW w:w="905" w:type="dxa"/>
            <w:tcBorders>
              <w:top w:val="single" w:sz="4" w:space="0" w:color="1A171C"/>
              <w:left w:val="nil"/>
              <w:bottom w:val="single" w:sz="4" w:space="0" w:color="1A171C"/>
              <w:right w:val="single" w:sz="4" w:space="0" w:color="1A171C"/>
            </w:tcBorders>
            <w:vAlign w:val="center"/>
          </w:tcPr>
          <w:p w14:paraId="7FE1B5E1" w14:textId="77777777" w:rsidR="00414040" w:rsidRDefault="00904E1A">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414040" w:rsidRDefault="00904E1A">
            <w:pPr>
              <w:pStyle w:val="P68B1DB1-TableParagraph14"/>
              <w:spacing w:before="108"/>
              <w:ind w:left="85"/>
              <w:jc w:val="both"/>
              <w:rPr>
                <w:bCs/>
              </w:rPr>
            </w:pPr>
            <w:proofErr w:type="gramStart"/>
            <w:r w:rsidRPr="69E604A3">
              <w:rPr>
                <w:lang w:val="es-ES"/>
              </w:rPr>
              <w:t>Total</w:t>
            </w:r>
            <w:proofErr w:type="gramEnd"/>
            <w:r w:rsidRPr="69E604A3">
              <w:rPr>
                <w:lang w:val="es-ES"/>
              </w:rPr>
              <w:t xml:space="preserve"> de pasivos y fondos propios, incluidos los pasivos por derivados</w:t>
            </w:r>
          </w:p>
          <w:p w14:paraId="7FE1B5E3" w14:textId="62572CE5" w:rsidR="00414040" w:rsidRDefault="00904E1A">
            <w:pPr>
              <w:pStyle w:val="P68B1DB1-TableParagraph17"/>
              <w:spacing w:before="108"/>
              <w:ind w:left="85"/>
              <w:jc w:val="both"/>
              <w:rPr>
                <w:b/>
                <w:bCs/>
              </w:rPr>
            </w:pPr>
            <w:r>
              <w:t xml:space="preserve">Suma de todos los pasivos </w:t>
            </w:r>
            <w:r w:rsidR="10592598">
              <w:t>informados</w:t>
            </w:r>
            <w:r>
              <w:t xml:space="preserve"> en esta plantilla y el importe de los fondos propios </w:t>
            </w:r>
            <w:r w:rsidR="000E7792">
              <w:t>regulatorios</w:t>
            </w:r>
            <w:r>
              <w:t xml:space="preserve">. Se sumarán todos los importes de las líneas anteriores. Con respecto a los derivados, el valor que deberá utilizarse será el </w:t>
            </w:r>
            <w:r w:rsidR="75F0A2F4">
              <w:t>informado</w:t>
            </w:r>
            <w:r>
              <w:t xml:space="preserve"> en la fila 0334 «Suma de las posiciones deudoras netas teniendo en cuenta las normas de compensación prudencial».</w:t>
            </w:r>
          </w:p>
        </w:tc>
      </w:tr>
      <w:tr w:rsidR="00414040" w14:paraId="7FE1B607" w14:textId="77777777" w:rsidTr="3E4E0AEA">
        <w:tc>
          <w:tcPr>
            <w:tcW w:w="905" w:type="dxa"/>
            <w:tcBorders>
              <w:top w:val="single" w:sz="4" w:space="0" w:color="1A171C"/>
              <w:left w:val="nil"/>
              <w:bottom w:val="single" w:sz="4" w:space="0" w:color="1A171C"/>
              <w:right w:val="single" w:sz="4" w:space="0" w:color="1A171C"/>
            </w:tcBorders>
            <w:vAlign w:val="center"/>
          </w:tcPr>
          <w:p w14:paraId="7FE1B602" w14:textId="77777777" w:rsidR="00414040" w:rsidRDefault="00904E1A">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45623A96" w:rsidR="00414040" w:rsidRDefault="00904E1A">
            <w:pPr>
              <w:pStyle w:val="P68B1DB1-TableParagraph14"/>
              <w:jc w:val="both"/>
              <w:rPr>
                <w:lang w:val="es-ES"/>
              </w:rPr>
            </w:pPr>
            <w:proofErr w:type="gramStart"/>
            <w:r w:rsidRPr="69E604A3">
              <w:rPr>
                <w:lang w:val="es-ES"/>
              </w:rPr>
              <w:t>Total</w:t>
            </w:r>
            <w:proofErr w:type="gramEnd"/>
            <w:r w:rsidRPr="69E604A3">
              <w:rPr>
                <w:lang w:val="es-ES"/>
              </w:rPr>
              <w:t xml:space="preserve"> </w:t>
            </w:r>
            <w:r w:rsidR="6EA59C05" w:rsidRPr="3E8C2A20">
              <w:rPr>
                <w:lang w:val="es-ES"/>
              </w:rPr>
              <w:t>patrimonio neto</w:t>
            </w:r>
          </w:p>
          <w:p w14:paraId="7FE1B604" w14:textId="77777777" w:rsidR="00414040" w:rsidRDefault="00904E1A">
            <w:pPr>
              <w:pStyle w:val="P68B1DB1-Normal21"/>
              <w:spacing w:line="276" w:lineRule="auto"/>
              <w:jc w:val="both"/>
            </w:pPr>
            <w:r>
              <w:t>(FINREP F01.03–300–010) para el importe en libros.</w:t>
            </w:r>
          </w:p>
          <w:p w14:paraId="7FE1B605" w14:textId="47FC03AE" w:rsidR="00414040" w:rsidRDefault="00904E1A">
            <w:pPr>
              <w:pStyle w:val="P68B1DB1-Normal21"/>
              <w:spacing w:line="276" w:lineRule="auto"/>
              <w:jc w:val="both"/>
            </w:pPr>
            <w:r>
              <w:t xml:space="preserve">Este total es igual al </w:t>
            </w:r>
            <w:r w:rsidR="4907BE46">
              <w:t>patrimonio neto</w:t>
            </w:r>
            <w:r>
              <w:t xml:space="preserve"> total de </w:t>
            </w:r>
            <w:proofErr w:type="gramStart"/>
            <w:r>
              <w:t>balance .</w:t>
            </w:r>
            <w:proofErr w:type="gramEnd"/>
          </w:p>
          <w:p w14:paraId="7FE1B606" w14:textId="77777777" w:rsidR="00414040" w:rsidRDefault="00414040">
            <w:pPr>
              <w:pStyle w:val="TableParagraph"/>
              <w:jc w:val="both"/>
              <w:rPr>
                <w:rFonts w:ascii="Times New Roman" w:hAnsi="Times New Roman" w:cs="Times New Roman"/>
                <w:b/>
                <w:bCs/>
                <w:color w:val="000000" w:themeColor="text1"/>
                <w:sz w:val="20"/>
                <w:szCs w:val="20"/>
              </w:rPr>
            </w:pPr>
          </w:p>
        </w:tc>
      </w:tr>
    </w:tbl>
    <w:p w14:paraId="7FE1B60E" w14:textId="77777777" w:rsidR="00414040" w:rsidRDefault="00414040">
      <w:pPr>
        <w:rPr>
          <w:rFonts w:ascii="Times New Roman" w:hAnsi="Times New Roman" w:cs="Times New Roman"/>
        </w:rPr>
      </w:pPr>
    </w:p>
    <w:p w14:paraId="7FE1B60F" w14:textId="2A25F79D" w:rsidR="00414040" w:rsidRDefault="00904E1A">
      <w:pPr>
        <w:pStyle w:val="P68B1DB1-Instructionsberschrift25"/>
        <w:numPr>
          <w:ilvl w:val="1"/>
          <w:numId w:val="49"/>
        </w:numPr>
        <w:ind w:left="357" w:hanging="357"/>
      </w:pPr>
      <w:bookmarkStart w:id="58" w:name="_Toc492542323"/>
      <w:bookmarkStart w:id="59" w:name="_Toc81454181"/>
      <w:bookmarkStart w:id="60" w:name="_Toc211525915"/>
      <w:r>
        <w:t>Z 03.01</w:t>
      </w:r>
      <w:r w:rsidR="0034554A">
        <w:t>.</w:t>
      </w:r>
      <w:r>
        <w:t xml:space="preserve"> Requisitos de fondos propios — Entidades de crédito (LIAB 2)</w:t>
      </w:r>
      <w:bookmarkEnd w:id="58"/>
      <w:bookmarkEnd w:id="59"/>
      <w:bookmarkEnd w:id="60"/>
    </w:p>
    <w:p w14:paraId="7FE1B610" w14:textId="77777777" w:rsidR="00414040" w:rsidRDefault="00904E1A">
      <w:pPr>
        <w:pStyle w:val="Instructionsberschrift3"/>
      </w:pPr>
      <w:r>
        <w:t>Observaciones generales</w:t>
      </w:r>
    </w:p>
    <w:p w14:paraId="7FE1B611" w14:textId="77777777" w:rsidR="00414040" w:rsidRDefault="00904E1A">
      <w:pPr>
        <w:pStyle w:val="P68B1DB1-InstructionsText26"/>
        <w:numPr>
          <w:ilvl w:val="0"/>
          <w:numId w:val="232"/>
        </w:numPr>
        <w:spacing w:before="0"/>
      </w:pPr>
      <w:r>
        <w:t>Esta plantilla recoge la información relativa a los requisitos de fondos propios del ente o el grupo.</w:t>
      </w:r>
    </w:p>
    <w:p w14:paraId="7FE1B612" w14:textId="5B58F57B" w:rsidR="00414040" w:rsidRDefault="00904E1A">
      <w:pPr>
        <w:pStyle w:val="P68B1DB1-InstructionsText26"/>
        <w:numPr>
          <w:ilvl w:val="0"/>
          <w:numId w:val="232"/>
        </w:numPr>
        <w:spacing w:before="0"/>
      </w:pPr>
      <w:r>
        <w:t xml:space="preserve">Toda la </w:t>
      </w:r>
      <w:proofErr w:type="gramStart"/>
      <w:r>
        <w:t>información  deberá</w:t>
      </w:r>
      <w:proofErr w:type="gramEnd"/>
      <w:r>
        <w:t xml:space="preserve"> reflejar los requisitos de fondos propios aplicables en la fecha de referencia de la información.</w:t>
      </w:r>
    </w:p>
    <w:p w14:paraId="7FE1B613" w14:textId="3D83A4A6" w:rsidR="00414040" w:rsidRDefault="00904E1A">
      <w:pPr>
        <w:pStyle w:val="P68B1DB1-InstructionsText26"/>
        <w:numPr>
          <w:ilvl w:val="0"/>
          <w:numId w:val="232"/>
        </w:numPr>
        <w:spacing w:before="0"/>
      </w:pPr>
      <w:r w:rsidRPr="11A44BD7">
        <w:rPr>
          <w:lang w:val="es-ES"/>
        </w:rPr>
        <w:t>Como excepción, la información sobre la ratio de</w:t>
      </w:r>
      <w:r w:rsidR="00672FDB">
        <w:rPr>
          <w:lang w:val="es-ES"/>
        </w:rPr>
        <w:t>l requisito de</w:t>
      </w:r>
      <w:r w:rsidRPr="11A44BD7">
        <w:rPr>
          <w:lang w:val="es-ES"/>
        </w:rPr>
        <w:t xml:space="preserve"> </w:t>
      </w:r>
      <w:proofErr w:type="gramStart"/>
      <w:r w:rsidRPr="11A44BD7">
        <w:rPr>
          <w:lang w:val="es-ES"/>
        </w:rPr>
        <w:t>capital  total</w:t>
      </w:r>
      <w:proofErr w:type="gramEnd"/>
      <w:r w:rsidRPr="11A44BD7">
        <w:rPr>
          <w:lang w:val="es-ES"/>
        </w:rPr>
        <w:t xml:space="preserve"> </w:t>
      </w:r>
      <w:r w:rsidR="006512A8">
        <w:rPr>
          <w:lang w:val="es-ES"/>
        </w:rPr>
        <w:t xml:space="preserve">según </w:t>
      </w:r>
      <w:r w:rsidRPr="11A44BD7">
        <w:rPr>
          <w:lang w:val="es-ES"/>
        </w:rPr>
        <w:t>el PRES</w:t>
      </w:r>
      <w:r w:rsidR="2FA6C523" w:rsidRPr="11A44BD7">
        <w:rPr>
          <w:lang w:val="es-ES"/>
        </w:rPr>
        <w:t xml:space="preserve"> (TSCR, por sus siglas en inglés)</w:t>
      </w:r>
      <w:r w:rsidRPr="11A44BD7">
        <w:rPr>
          <w:lang w:val="es-ES"/>
        </w:rPr>
        <w:t xml:space="preserve"> de</w:t>
      </w:r>
      <w:r w:rsidR="003B0F57">
        <w:rPr>
          <w:lang w:val="es-ES"/>
        </w:rPr>
        <w:t xml:space="preserve"> la fila</w:t>
      </w:r>
      <w:r w:rsidR="000E7792">
        <w:rPr>
          <w:lang w:val="es-ES"/>
        </w:rPr>
        <w:t xml:space="preserve"> </w:t>
      </w:r>
      <w:r w:rsidRPr="11A44BD7">
        <w:rPr>
          <w:lang w:val="es-ES"/>
        </w:rPr>
        <w:t xml:space="preserve">0300 </w:t>
      </w:r>
      <w:r w:rsidR="7310DC4D" w:rsidRPr="11A44BD7">
        <w:rPr>
          <w:lang w:val="es-ES"/>
        </w:rPr>
        <w:t>informado</w:t>
      </w:r>
      <w:r w:rsidRPr="11A44BD7">
        <w:rPr>
          <w:lang w:val="es-ES"/>
        </w:rPr>
        <w:t xml:space="preserve"> en esta plantilla se basará en la última decisión oficial disponible del PRES comunicada por la autoridad competente hasta la fecha de envío de</w:t>
      </w:r>
      <w:r w:rsidR="007D0411">
        <w:rPr>
          <w:lang w:val="es-ES"/>
        </w:rPr>
        <w:t xml:space="preserve"> </w:t>
      </w:r>
      <w:r w:rsidRPr="11A44BD7">
        <w:rPr>
          <w:lang w:val="es-ES"/>
        </w:rPr>
        <w:t>l</w:t>
      </w:r>
      <w:r w:rsidR="007D0411">
        <w:rPr>
          <w:lang w:val="es-ES"/>
        </w:rPr>
        <w:t>a</w:t>
      </w:r>
      <w:r w:rsidRPr="11A44BD7">
        <w:rPr>
          <w:lang w:val="es-ES"/>
        </w:rPr>
        <w:t xml:space="preserve"> presente </w:t>
      </w:r>
      <w:r w:rsidR="007D0411">
        <w:rPr>
          <w:lang w:val="es-ES"/>
        </w:rPr>
        <w:t>plantilla</w:t>
      </w:r>
      <w:r w:rsidRPr="11A44BD7">
        <w:rPr>
          <w:lang w:val="es-ES"/>
        </w:rPr>
        <w:t>.</w:t>
      </w:r>
    </w:p>
    <w:p w14:paraId="7FE1B614" w14:textId="578DBD74" w:rsidR="00414040" w:rsidRDefault="10A5E5BA">
      <w:pPr>
        <w:pStyle w:val="P68B1DB1-InstructionsText26"/>
        <w:numPr>
          <w:ilvl w:val="0"/>
          <w:numId w:val="232"/>
        </w:numPr>
        <w:spacing w:before="0"/>
      </w:pPr>
      <w:r w:rsidRPr="45D41A7B">
        <w:rPr>
          <w:lang w:val="es-ES"/>
        </w:rPr>
        <w:t xml:space="preserve">Para la presentación de información en base consolidada o individual, si estos puntos de datos ya han sido </w:t>
      </w:r>
      <w:r w:rsidR="7A955849" w:rsidRPr="64AFE4B4">
        <w:rPr>
          <w:lang w:val="es-ES"/>
        </w:rPr>
        <w:t xml:space="preserve">informados </w:t>
      </w:r>
      <w:r w:rsidRPr="45D41A7B">
        <w:rPr>
          <w:lang w:val="es-ES"/>
        </w:rPr>
        <w:t xml:space="preserve">por </w:t>
      </w:r>
      <w:r w:rsidR="00BE10E4">
        <w:rPr>
          <w:lang w:val="es-ES"/>
        </w:rPr>
        <w:t>el ente</w:t>
      </w:r>
      <w:r w:rsidRPr="45D41A7B">
        <w:rPr>
          <w:lang w:val="es-ES"/>
        </w:rPr>
        <w:t xml:space="preserve"> en FINREP o COREP para la misma fecha de referencia y alcance de la información (véanse las referencias</w:t>
      </w:r>
      <w:r w:rsidR="29729CC9" w:rsidRPr="18E1B7DF">
        <w:rPr>
          <w:lang w:val="es-ES"/>
        </w:rPr>
        <w:t xml:space="preserve"> a</w:t>
      </w:r>
      <w:r w:rsidRPr="45D41A7B">
        <w:rPr>
          <w:lang w:val="es-ES"/>
        </w:rPr>
        <w:t xml:space="preserve"> COREP/FINREP en las instrucciones), </w:t>
      </w:r>
      <w:r w:rsidR="07255B1E" w:rsidRPr="45D41A7B">
        <w:rPr>
          <w:lang w:val="es-ES"/>
        </w:rPr>
        <w:t>el ente</w:t>
      </w:r>
      <w:r w:rsidRPr="45D41A7B">
        <w:rPr>
          <w:lang w:val="es-ES"/>
        </w:rPr>
        <w:t xml:space="preserve"> declarante no tendrá que notificar estos puntos de datos por segunda vez. Los datos solo deben comunicarse, por ejemplo, cuando </w:t>
      </w:r>
      <w:r w:rsidR="4B6F30C2" w:rsidRPr="45D41A7B">
        <w:rPr>
          <w:lang w:val="es-ES"/>
        </w:rPr>
        <w:t>el ente</w:t>
      </w:r>
      <w:r w:rsidRPr="45D41A7B">
        <w:rPr>
          <w:lang w:val="es-ES"/>
        </w:rPr>
        <w:t xml:space="preserve"> declarante haya sido eximid</w:t>
      </w:r>
      <w:r w:rsidR="07224FE4" w:rsidRPr="45D41A7B">
        <w:rPr>
          <w:lang w:val="es-ES"/>
        </w:rPr>
        <w:t>o</w:t>
      </w:r>
      <w:r w:rsidRPr="45D41A7B">
        <w:rPr>
          <w:lang w:val="es-ES"/>
        </w:rPr>
        <w:t xml:space="preserve"> de las obligaciones de información financiera o prudencial, en cuyo caso la única fuente de datos para las autoridades de resolución para estos puntos de datos es </w:t>
      </w:r>
      <w:r w:rsidR="007D0411">
        <w:rPr>
          <w:lang w:val="es-ES"/>
        </w:rPr>
        <w:t>la</w:t>
      </w:r>
      <w:r w:rsidR="007D0411" w:rsidRPr="45D41A7B">
        <w:rPr>
          <w:lang w:val="es-ES"/>
        </w:rPr>
        <w:t xml:space="preserve"> </w:t>
      </w:r>
      <w:r w:rsidRPr="45D41A7B">
        <w:rPr>
          <w:lang w:val="es-ES"/>
        </w:rPr>
        <w:t xml:space="preserve">presente </w:t>
      </w:r>
      <w:r w:rsidR="007D0411">
        <w:rPr>
          <w:lang w:val="es-ES"/>
        </w:rPr>
        <w:t>plantilla</w:t>
      </w:r>
      <w:r w:rsidRPr="45D41A7B">
        <w:rPr>
          <w:lang w:val="es-ES"/>
        </w:rPr>
        <w:t>.</w:t>
      </w:r>
    </w:p>
    <w:p w14:paraId="7FE1B615" w14:textId="77777777" w:rsidR="00414040" w:rsidRDefault="00414040">
      <w:pPr>
        <w:pStyle w:val="InstructionsText2"/>
        <w:numPr>
          <w:ilvl w:val="0"/>
          <w:numId w:val="0"/>
        </w:numPr>
        <w:spacing w:before="0"/>
        <w:ind w:left="1440"/>
        <w:rPr>
          <w:rFonts w:ascii="Times New Roman" w:hAnsi="Times New Roman" w:cs="Times New Roman"/>
          <w:sz w:val="20"/>
          <w:szCs w:val="20"/>
        </w:rPr>
      </w:pPr>
    </w:p>
    <w:p w14:paraId="7FE1B61B" w14:textId="77777777" w:rsidR="00414040" w:rsidRDefault="00904E1A">
      <w:pPr>
        <w:pStyle w:val="Instructionsberschrift3"/>
      </w:pPr>
      <w:r>
        <w:t>Instrucciones relativas a posiciones concretas</w:t>
      </w:r>
    </w:p>
    <w:p w14:paraId="7FE1B61C" w14:textId="77777777" w:rsidR="00414040" w:rsidRDefault="00414040">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414040" w14:paraId="7FE1B61F" w14:textId="77777777" w:rsidTr="2466DABA">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414040" w:rsidRDefault="00904E1A">
            <w:pPr>
              <w:pStyle w:val="P68B1DB1-TableParagraph13"/>
              <w:spacing w:before="66"/>
              <w:rPr>
                <w:rFonts w:eastAsia="Cambria"/>
              </w:rPr>
            </w:pPr>
            <w:r>
              <w:t>Filas</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414040" w:rsidRDefault="00904E1A">
            <w:pPr>
              <w:pStyle w:val="P68B1DB1-TableParagraph13"/>
              <w:spacing w:before="66"/>
              <w:ind w:right="1"/>
              <w:jc w:val="center"/>
              <w:rPr>
                <w:rFonts w:eastAsia="Cambria"/>
              </w:rPr>
            </w:pPr>
            <w:r>
              <w:t>Instrucciones</w:t>
            </w:r>
          </w:p>
        </w:tc>
      </w:tr>
      <w:tr w:rsidR="00414040" w14:paraId="7FE1B623" w14:textId="77777777" w:rsidTr="2466DABA">
        <w:tc>
          <w:tcPr>
            <w:tcW w:w="856" w:type="dxa"/>
            <w:tcBorders>
              <w:top w:val="single" w:sz="4" w:space="0" w:color="1A171C"/>
              <w:left w:val="nil"/>
              <w:bottom w:val="single" w:sz="4" w:space="0" w:color="1A171C"/>
              <w:right w:val="single" w:sz="4" w:space="0" w:color="1A171C"/>
            </w:tcBorders>
            <w:vAlign w:val="center"/>
          </w:tcPr>
          <w:p w14:paraId="7FE1B620" w14:textId="77777777" w:rsidR="00414040" w:rsidRDefault="00904E1A">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0D13D23E" w:rsidR="00414040" w:rsidRDefault="00904E1A">
            <w:pPr>
              <w:pStyle w:val="P68B1DB1-TableParagraph14"/>
              <w:spacing w:before="108"/>
              <w:rPr>
                <w:bCs/>
              </w:rPr>
            </w:pPr>
            <w:r>
              <w:t xml:space="preserve">Importe total de </w:t>
            </w:r>
            <w:r w:rsidR="15B6DD06">
              <w:t>la</w:t>
            </w:r>
            <w:r>
              <w:t xml:space="preserve"> exposición al riesgo</w:t>
            </w:r>
          </w:p>
          <w:p w14:paraId="7FE1B622" w14:textId="5729E9B5" w:rsidR="00414040" w:rsidRDefault="00FA678F">
            <w:pPr>
              <w:pStyle w:val="P68B1DB1-TableParagraph17"/>
              <w:spacing w:before="108"/>
              <w:rPr>
                <w:lang w:val="es-ES"/>
              </w:rPr>
            </w:pPr>
            <w:r>
              <w:rPr>
                <w:lang w:val="es-ES"/>
              </w:rPr>
              <w:t>El importe</w:t>
            </w:r>
            <w:r w:rsidR="00904E1A" w:rsidRPr="69E604A3">
              <w:rPr>
                <w:lang w:val="es-ES"/>
              </w:rPr>
              <w:t xml:space="preserve"> a que se refiere el artículo 45, apartado 2, letra a), de la Directiva 2014/59/UE, </w:t>
            </w:r>
            <w:r w:rsidRPr="69E604A3">
              <w:rPr>
                <w:lang w:val="es-ES"/>
              </w:rPr>
              <w:t>calculad</w:t>
            </w:r>
            <w:r>
              <w:rPr>
                <w:lang w:val="es-ES"/>
              </w:rPr>
              <w:t>o</w:t>
            </w:r>
            <w:r w:rsidRPr="69E604A3">
              <w:rPr>
                <w:lang w:val="es-ES"/>
              </w:rPr>
              <w:t xml:space="preserve"> </w:t>
            </w:r>
            <w:r w:rsidR="00904E1A" w:rsidRPr="69E604A3">
              <w:rPr>
                <w:lang w:val="es-ES"/>
              </w:rPr>
              <w:t>de conformidad con el artículo 92, apartado 3, del Reglamento (UE) n.º 575/2013.</w:t>
            </w:r>
          </w:p>
        </w:tc>
      </w:tr>
      <w:tr w:rsidR="00414040" w14:paraId="7FE1B627" w14:textId="77777777" w:rsidTr="2466DABA">
        <w:tc>
          <w:tcPr>
            <w:tcW w:w="856" w:type="dxa"/>
            <w:tcBorders>
              <w:top w:val="single" w:sz="4" w:space="0" w:color="1A171C"/>
              <w:left w:val="nil"/>
              <w:bottom w:val="single" w:sz="4" w:space="0" w:color="1A171C"/>
              <w:right w:val="single" w:sz="4" w:space="0" w:color="1A171C"/>
            </w:tcBorders>
            <w:vAlign w:val="center"/>
          </w:tcPr>
          <w:p w14:paraId="7FE1B624" w14:textId="77777777" w:rsidR="00414040" w:rsidRDefault="00904E1A">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414040" w:rsidRDefault="00904E1A">
            <w:pPr>
              <w:pStyle w:val="P68B1DB1-TableParagraph14"/>
              <w:spacing w:before="108"/>
              <w:jc w:val="both"/>
              <w:rPr>
                <w:bCs/>
              </w:rPr>
            </w:pPr>
            <w:r>
              <w:t>Medida de la exposición total</w:t>
            </w:r>
          </w:p>
          <w:p w14:paraId="7FE1B626" w14:textId="7DF7B8D0" w:rsidR="00414040" w:rsidRDefault="001E4CFC">
            <w:pPr>
              <w:pStyle w:val="P68B1DB1-TableParagraph17"/>
              <w:spacing w:before="108"/>
              <w:jc w:val="both"/>
              <w:rPr>
                <w:b/>
                <w:lang w:val="es-ES"/>
              </w:rPr>
            </w:pPr>
            <w:r>
              <w:rPr>
                <w:lang w:val="es-ES"/>
              </w:rPr>
              <w:lastRenderedPageBreak/>
              <w:t>La medida</w:t>
            </w:r>
            <w:r w:rsidR="00904E1A" w:rsidRPr="69E604A3">
              <w:rPr>
                <w:lang w:val="es-ES"/>
              </w:rPr>
              <w:t xml:space="preserve"> a que se refiere el artículo 45, apartado 2, letra b), de la Directiva 2014/59/UE, calculada de conformidad con el artículo 429, apartado 4, y </w:t>
            </w:r>
            <w:r>
              <w:rPr>
                <w:lang w:val="es-ES"/>
              </w:rPr>
              <w:t xml:space="preserve">el </w:t>
            </w:r>
            <w:r w:rsidR="00904E1A" w:rsidRPr="69E604A3">
              <w:rPr>
                <w:lang w:val="es-ES"/>
              </w:rPr>
              <w:t xml:space="preserve">artículo 429 </w:t>
            </w:r>
            <w:r w:rsidR="00904E1A" w:rsidRPr="00210421">
              <w:rPr>
                <w:i/>
                <w:iCs/>
                <w:lang w:val="es-ES"/>
              </w:rPr>
              <w:t>bis</w:t>
            </w:r>
            <w:r w:rsidR="00904E1A" w:rsidRPr="69E604A3">
              <w:rPr>
                <w:lang w:val="es-ES"/>
              </w:rPr>
              <w:t xml:space="preserve"> del Reglamento (UE) n.º 575/2013.</w:t>
            </w:r>
          </w:p>
        </w:tc>
      </w:tr>
      <w:tr w:rsidR="00414040" w14:paraId="7FE1B62A" w14:textId="77777777" w:rsidTr="2466DABA">
        <w:tc>
          <w:tcPr>
            <w:tcW w:w="856" w:type="dxa"/>
            <w:tcBorders>
              <w:top w:val="single" w:sz="4" w:space="0" w:color="1A171C"/>
              <w:left w:val="nil"/>
              <w:bottom w:val="single" w:sz="4" w:space="0" w:color="1A171C"/>
              <w:right w:val="single" w:sz="4" w:space="0" w:color="1A171C"/>
            </w:tcBorders>
            <w:vAlign w:val="center"/>
          </w:tcPr>
          <w:p w14:paraId="7FE1B628" w14:textId="77777777" w:rsidR="00414040" w:rsidRDefault="00904E1A">
            <w:pPr>
              <w:pStyle w:val="P68B1DB1-TableParagraph13"/>
              <w:spacing w:before="106"/>
              <w:ind w:left="-1"/>
            </w:pPr>
            <w:r>
              <w:lastRenderedPageBreak/>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414040" w:rsidRDefault="00904E1A">
            <w:pPr>
              <w:pStyle w:val="P68B1DB1-TableParagraph14"/>
              <w:spacing w:before="108"/>
              <w:jc w:val="both"/>
              <w:rPr>
                <w:bCs/>
              </w:rPr>
            </w:pPr>
            <w:r>
              <w:t>Capital inicial y requisitos respecto de la ratio de apalancamiento</w:t>
            </w:r>
          </w:p>
        </w:tc>
      </w:tr>
      <w:tr w:rsidR="00414040" w14:paraId="7FE1B62F" w14:textId="77777777" w:rsidTr="2466DABA">
        <w:tc>
          <w:tcPr>
            <w:tcW w:w="856" w:type="dxa"/>
            <w:tcBorders>
              <w:top w:val="single" w:sz="4" w:space="0" w:color="1A171C"/>
              <w:left w:val="nil"/>
              <w:bottom w:val="single" w:sz="4" w:space="0" w:color="1A171C"/>
              <w:right w:val="single" w:sz="4" w:space="0" w:color="1A171C"/>
            </w:tcBorders>
            <w:vAlign w:val="center"/>
          </w:tcPr>
          <w:p w14:paraId="7FE1B62B" w14:textId="77777777" w:rsidR="00414040" w:rsidRDefault="00904E1A">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414040" w:rsidRDefault="00904E1A">
            <w:pPr>
              <w:pStyle w:val="P68B1DB1-TableParagraph14"/>
              <w:spacing w:before="108"/>
              <w:jc w:val="both"/>
              <w:rPr>
                <w:bCs/>
              </w:rPr>
            </w:pPr>
            <w:r>
              <w:t>Capital inicial</w:t>
            </w:r>
          </w:p>
          <w:p w14:paraId="7FE1B62D" w14:textId="77777777" w:rsidR="00414040" w:rsidRDefault="00904E1A">
            <w:pPr>
              <w:pStyle w:val="P68B1DB1-TableParagraph17"/>
              <w:spacing w:before="108"/>
              <w:jc w:val="both"/>
            </w:pPr>
            <w:r>
              <w:t>La cantidad a que se refiere el artículo 12 de la Directiva 2013/36/UE y el artículo 93 del Reglamento (UE) n.º 575/2013.</w:t>
            </w:r>
          </w:p>
          <w:p w14:paraId="7FE1B62E" w14:textId="77777777" w:rsidR="00414040" w:rsidRDefault="00904E1A">
            <w:pPr>
              <w:pStyle w:val="P68B1DB1-TableParagraph17"/>
              <w:spacing w:before="108"/>
              <w:jc w:val="both"/>
              <w:rPr>
                <w:b/>
                <w:bCs/>
              </w:rPr>
            </w:pPr>
            <w:r>
              <w:t>Importe del capital inicial exigido a una entidad como condición previa para la autorización del comienzo de su actividad.</w:t>
            </w:r>
          </w:p>
        </w:tc>
      </w:tr>
      <w:tr w:rsidR="00414040" w14:paraId="7FE1B633" w14:textId="77777777" w:rsidTr="2466DABA">
        <w:tc>
          <w:tcPr>
            <w:tcW w:w="856" w:type="dxa"/>
            <w:tcBorders>
              <w:top w:val="single" w:sz="4" w:space="0" w:color="1A171C"/>
              <w:left w:val="nil"/>
              <w:bottom w:val="single" w:sz="4" w:space="0" w:color="1A171C"/>
              <w:right w:val="single" w:sz="4" w:space="0" w:color="1A171C"/>
            </w:tcBorders>
            <w:vAlign w:val="center"/>
          </w:tcPr>
          <w:p w14:paraId="7FE1B630" w14:textId="77777777" w:rsidR="00414040" w:rsidRDefault="00904E1A">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414040" w:rsidRDefault="00904E1A">
            <w:pPr>
              <w:pStyle w:val="P68B1DB1-TableParagraph14"/>
              <w:spacing w:before="108"/>
              <w:jc w:val="both"/>
              <w:rPr>
                <w:bCs/>
              </w:rPr>
            </w:pPr>
            <w:r>
              <w:t>Requisito respecto de la ratio de apalancamiento</w:t>
            </w:r>
          </w:p>
          <w:p w14:paraId="7FE1B632" w14:textId="237A11A1" w:rsidR="00414040" w:rsidRDefault="00904E1A">
            <w:pPr>
              <w:pStyle w:val="P68B1DB1-TableParagraph13"/>
              <w:spacing w:before="108"/>
              <w:jc w:val="both"/>
            </w:pPr>
            <w:r>
              <w:t>Requisito respecto de la ratio de apalancamiento, excluyendo el requisito especificado en el artículo 92, apartado 1</w:t>
            </w:r>
            <w:r w:rsidR="00B9245C">
              <w:t xml:space="preserve"> </w:t>
            </w:r>
            <w:r w:rsidR="00B9245C" w:rsidRPr="00210421">
              <w:rPr>
                <w:i/>
                <w:iCs/>
              </w:rPr>
              <w:t>bis</w:t>
            </w:r>
            <w:r>
              <w:t>, del Reglamento (UE) n.º 575/2013, aplicable al ente o al grupo, expresado como porcentaje de la medida de la exposición total. Esta casilla se dejará vacía si no se han establecido requisitos formales al respecto.</w:t>
            </w:r>
          </w:p>
        </w:tc>
      </w:tr>
      <w:tr w:rsidR="00414040" w14:paraId="7FE1B63D" w14:textId="77777777" w:rsidTr="2466DABA">
        <w:tc>
          <w:tcPr>
            <w:tcW w:w="856" w:type="dxa"/>
            <w:tcBorders>
              <w:top w:val="single" w:sz="4" w:space="0" w:color="1A171C"/>
              <w:left w:val="nil"/>
              <w:bottom w:val="single" w:sz="4" w:space="0" w:color="1A171C"/>
              <w:right w:val="single" w:sz="4" w:space="0" w:color="1A171C"/>
            </w:tcBorders>
            <w:vAlign w:val="center"/>
          </w:tcPr>
          <w:p w14:paraId="7FE1B634" w14:textId="77777777" w:rsidR="00414040" w:rsidRDefault="00904E1A">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5C70CD99" w:rsidR="00414040" w:rsidRDefault="00904E1A">
            <w:pPr>
              <w:pStyle w:val="P68B1DB1-TableParagraph14"/>
              <w:spacing w:before="108"/>
              <w:jc w:val="both"/>
            </w:pPr>
            <w:r>
              <w:t xml:space="preserve">Ratio del requisito de capital total según el PRES </w:t>
            </w:r>
          </w:p>
          <w:p w14:paraId="7FE1B636" w14:textId="1987BB8A" w:rsidR="00414040" w:rsidRDefault="00904E1A">
            <w:pPr>
              <w:pStyle w:val="P68B1DB1-TableParagraph13"/>
              <w:spacing w:before="108"/>
              <w:jc w:val="both"/>
            </w:pPr>
            <w:r>
              <w:t xml:space="preserve">COREP (OF): </w:t>
            </w:r>
            <w:r w:rsidR="00B9245C" w:rsidRPr="00B9245C">
              <w:t>{</w:t>
            </w:r>
            <w:r>
              <w:t>C 03.00; 130; 010</w:t>
            </w:r>
            <w:r w:rsidR="00B9245C" w:rsidRPr="00B9245C">
              <w:t>}</w:t>
            </w:r>
          </w:p>
          <w:p w14:paraId="7FE1B637" w14:textId="77777777" w:rsidR="00414040" w:rsidRDefault="00904E1A">
            <w:pPr>
              <w:pStyle w:val="P68B1DB1-InstructionsText22"/>
              <w:ind w:firstLine="0"/>
            </w:pPr>
            <w:r w:rsidRPr="69E604A3">
              <w:rPr>
                <w:lang w:val="es-ES"/>
              </w:rPr>
              <w:t xml:space="preserve">Suma de i) y </w:t>
            </w:r>
            <w:proofErr w:type="spellStart"/>
            <w:r w:rsidRPr="69E604A3">
              <w:rPr>
                <w:lang w:val="es-ES"/>
              </w:rPr>
              <w:t>ii</w:t>
            </w:r>
            <w:proofErr w:type="spellEnd"/>
            <w:r w:rsidRPr="69E604A3">
              <w:rPr>
                <w:lang w:val="es-ES"/>
              </w:rPr>
              <w:t>) de la siguiente manera:</w:t>
            </w:r>
          </w:p>
          <w:p w14:paraId="7FE1B638" w14:textId="77777777" w:rsidR="00414040" w:rsidRDefault="00904E1A">
            <w:pPr>
              <w:pStyle w:val="P68B1DB1-InstructionsText22"/>
              <w:numPr>
                <w:ilvl w:val="3"/>
                <w:numId w:val="49"/>
              </w:numPr>
            </w:pPr>
            <w:r>
              <w:t xml:space="preserve">la ratio de capital total (8 %), tal como se especifica en el artículo 92, apartado 1, letra c), del Reglamento (UE) n.º 575/2013; </w:t>
            </w:r>
          </w:p>
          <w:p w14:paraId="7FE1B639" w14:textId="252FF823" w:rsidR="00414040" w:rsidRDefault="00904E1A">
            <w:pPr>
              <w:pStyle w:val="P68B1DB1-InstructionsText22"/>
              <w:numPr>
                <w:ilvl w:val="3"/>
                <w:numId w:val="49"/>
              </w:numPr>
            </w:pPr>
            <w:r w:rsidRPr="69E604A3">
              <w:rPr>
                <w:lang w:val="es-ES"/>
              </w:rPr>
              <w:t>la ratio de requisitos de fondos propios adicionales (requisitos del pilar 2</w:t>
            </w:r>
            <w:r w:rsidR="00172BC9">
              <w:rPr>
                <w:lang w:val="es-ES"/>
              </w:rPr>
              <w:t xml:space="preserve"> o P2R por sus siglas en inglés</w:t>
            </w:r>
            <w:r w:rsidRPr="69E604A3">
              <w:rPr>
                <w:lang w:val="es-ES"/>
              </w:rPr>
              <w:t xml:space="preserve">) determinada con arreglo a los criterios especificados en las </w:t>
            </w:r>
            <w:r w:rsidRPr="69E604A3">
              <w:rPr>
                <w:i/>
                <w:lang w:val="es-ES"/>
              </w:rPr>
              <w:t xml:space="preserve">Directrices sobre procedimientos y metodologías comunes para el proceso de revisión y evaluación supervisora (PRES) elaboradas por la ABE </w:t>
            </w:r>
            <w:proofErr w:type="gramStart"/>
            <w:r w:rsidRPr="69E604A3">
              <w:rPr>
                <w:i/>
                <w:lang w:val="es-ES"/>
              </w:rPr>
              <w:t xml:space="preserve">( </w:t>
            </w:r>
            <w:r w:rsidRPr="69E604A3">
              <w:rPr>
                <w:lang w:val="es-ES"/>
              </w:rPr>
              <w:t>Directrices</w:t>
            </w:r>
            <w:proofErr w:type="gramEnd"/>
            <w:r w:rsidRPr="69E604A3">
              <w:rPr>
                <w:lang w:val="es-ES"/>
              </w:rPr>
              <w:t xml:space="preserve"> PRES de la ABE).</w:t>
            </w:r>
          </w:p>
          <w:p w14:paraId="7FE1B63A" w14:textId="6E6FEF68" w:rsidR="00414040" w:rsidRDefault="00904E1A">
            <w:pPr>
              <w:pStyle w:val="P68B1DB1-InstructionsText22"/>
              <w:ind w:firstLine="0"/>
            </w:pPr>
            <w:r>
              <w:t>Esta partida reflejará la ratio de</w:t>
            </w:r>
            <w:r w:rsidR="003B0F57">
              <w:t xml:space="preserve">l </w:t>
            </w:r>
            <w:r w:rsidR="24D93E8A">
              <w:t>requisito de</w:t>
            </w:r>
            <w:r>
              <w:t xml:space="preserve"> capital total </w:t>
            </w:r>
            <w:r w:rsidR="00D17A17">
              <w:t xml:space="preserve">según el </w:t>
            </w:r>
            <w:r>
              <w:t>PRES (TSCR</w:t>
            </w:r>
            <w:r w:rsidR="00DB1CDB">
              <w:t>, por sus siglas en inglés</w:t>
            </w:r>
            <w:r>
              <w:t xml:space="preserve">) más reciente, en la fecha de envío, comunicada a la entidad por la autoridad competente, es decir, para su presentación con fecha de referencia el 31 de diciembre de un año determinado, se </w:t>
            </w:r>
            <w:r w:rsidR="757852A3">
              <w:t>informará</w:t>
            </w:r>
            <w:r>
              <w:t xml:space="preserve"> el P2R aplicable en el año siguiente. El requisito de capital total según el PRES se define en la sección 1.2 de las Directrices PRES de la ABE.</w:t>
            </w:r>
          </w:p>
          <w:p w14:paraId="7FE1B63B" w14:textId="6E5B9482" w:rsidR="00414040" w:rsidRDefault="00904E1A">
            <w:pPr>
              <w:pStyle w:val="P68B1DB1-InstructionsText22"/>
              <w:ind w:firstLine="0"/>
            </w:pPr>
            <w:r w:rsidRPr="69E604A3">
              <w:rPr>
                <w:lang w:val="es-ES"/>
              </w:rPr>
              <w:t xml:space="preserve">Cuando </w:t>
            </w:r>
            <w:r w:rsidR="009F6F07">
              <w:rPr>
                <w:lang w:val="es-ES"/>
              </w:rPr>
              <w:t>un ente</w:t>
            </w:r>
            <w:r w:rsidRPr="69E604A3">
              <w:rPr>
                <w:lang w:val="es-ES"/>
              </w:rPr>
              <w:t xml:space="preserve"> declarante sea </w:t>
            </w:r>
            <w:r w:rsidR="009F6F07">
              <w:rPr>
                <w:lang w:val="es-ES"/>
              </w:rPr>
              <w:t>un ente</w:t>
            </w:r>
            <w:r w:rsidRPr="69E604A3">
              <w:rPr>
                <w:lang w:val="es-ES"/>
              </w:rPr>
              <w:t xml:space="preserve"> de resolución que no haya estado sujeta a un requisito de fondos propios adicionales a tenor del artículo 104 </w:t>
            </w:r>
            <w:r w:rsidRPr="00210421">
              <w:rPr>
                <w:i/>
                <w:iCs/>
                <w:lang w:val="es-ES"/>
              </w:rPr>
              <w:t>bis</w:t>
            </w:r>
            <w:r w:rsidRPr="69E604A3">
              <w:rPr>
                <w:lang w:val="es-ES"/>
              </w:rPr>
              <w:t xml:space="preserve"> de la Directiva 2013/36/UE a nivel del grupo de resolución consolidado, se espera que el valor comunicado del inciso </w:t>
            </w:r>
            <w:proofErr w:type="spellStart"/>
            <w:r w:rsidRPr="69E604A3">
              <w:rPr>
                <w:lang w:val="es-ES"/>
              </w:rPr>
              <w:t>ii</w:t>
            </w:r>
            <w:proofErr w:type="spellEnd"/>
            <w:r w:rsidRPr="69E604A3">
              <w:rPr>
                <w:lang w:val="es-ES"/>
              </w:rPr>
              <w:t xml:space="preserve">) sea el resultado de la estimación a que se refiere el artículo 1 del Reglamento </w:t>
            </w:r>
            <w:proofErr w:type="gramStart"/>
            <w:r w:rsidRPr="69E604A3">
              <w:rPr>
                <w:lang w:val="es-ES"/>
              </w:rPr>
              <w:t>Delegado</w:t>
            </w:r>
            <w:proofErr w:type="gramEnd"/>
            <w:r w:rsidRPr="69E604A3">
              <w:rPr>
                <w:lang w:val="es-ES"/>
              </w:rPr>
              <w:t xml:space="preserve"> (UE) 2021/1118 de la Comisión, pero realizada con carácter preliminar por </w:t>
            </w:r>
            <w:r w:rsidR="00BE10E4">
              <w:rPr>
                <w:lang w:val="es-ES"/>
              </w:rPr>
              <w:t>el ente</w:t>
            </w:r>
            <w:r w:rsidRPr="69E604A3">
              <w:rPr>
                <w:lang w:val="es-ES"/>
              </w:rPr>
              <w:t xml:space="preserve"> declarante.</w:t>
            </w:r>
          </w:p>
          <w:p w14:paraId="7FE1B63C" w14:textId="4A5D30E4" w:rsidR="00414040" w:rsidRDefault="00904E1A">
            <w:pPr>
              <w:pStyle w:val="P68B1DB1-TableParagraph13"/>
              <w:spacing w:before="108"/>
              <w:jc w:val="both"/>
              <w:rPr>
                <w:b/>
                <w:bCs/>
              </w:rPr>
            </w:pPr>
            <w:r>
              <w:t xml:space="preserve">Si la autoridad competente no ha comunicado ningún requisito de fondos propios adicionales y no se aplica lo señalado en el párrafo anterior, solo se </w:t>
            </w:r>
            <w:r w:rsidR="48B1813A">
              <w:t>informará</w:t>
            </w:r>
            <w:r>
              <w:t xml:space="preserve"> lo señalado en i).</w:t>
            </w:r>
          </w:p>
        </w:tc>
      </w:tr>
      <w:tr w:rsidR="00414040" w14:paraId="7FE1B643" w14:textId="77777777" w:rsidTr="2466DABA">
        <w:tc>
          <w:tcPr>
            <w:tcW w:w="856" w:type="dxa"/>
            <w:tcBorders>
              <w:top w:val="single" w:sz="4" w:space="0" w:color="1A171C"/>
              <w:left w:val="nil"/>
              <w:bottom w:val="single" w:sz="4" w:space="0" w:color="1A171C"/>
              <w:right w:val="single" w:sz="4" w:space="0" w:color="1A171C"/>
            </w:tcBorders>
            <w:vAlign w:val="center"/>
          </w:tcPr>
          <w:p w14:paraId="7FE1B63E" w14:textId="77777777" w:rsidR="00414040" w:rsidRDefault="00904E1A">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414040" w:rsidRDefault="00904E1A">
            <w:pPr>
              <w:pStyle w:val="P68B1DB1-TableParagraph14"/>
              <w:spacing w:before="108"/>
              <w:jc w:val="both"/>
              <w:rPr>
                <w:bCs/>
              </w:rPr>
            </w:pPr>
            <w:r>
              <w:t>Requisitos combinados de colchón</w:t>
            </w:r>
          </w:p>
          <w:p w14:paraId="7FE1B640" w14:textId="78983152" w:rsidR="00414040" w:rsidRDefault="00904E1A">
            <w:pPr>
              <w:pStyle w:val="P68B1DB1-TableParagraph13"/>
              <w:spacing w:before="108"/>
              <w:jc w:val="both"/>
            </w:pPr>
            <w:r>
              <w:t xml:space="preserve">COREP (OF): </w:t>
            </w:r>
            <w:r w:rsidR="00D25407" w:rsidRPr="00D25407">
              <w:t>{</w:t>
            </w:r>
            <w:r>
              <w:t>C 04.00; 740; 010</w:t>
            </w:r>
            <w:r w:rsidR="00D25407" w:rsidRPr="00D25407">
              <w:t>}</w:t>
            </w:r>
            <w:r>
              <w:t>.</w:t>
            </w:r>
          </w:p>
          <w:p w14:paraId="7FE1B641" w14:textId="5629C70E" w:rsidR="00414040" w:rsidRDefault="00904E1A">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Requisito a que se refiere</w:t>
            </w:r>
            <w:r w:rsidR="00413795">
              <w:rPr>
                <w:rFonts w:ascii="Times New Roman" w:eastAsia="Cambria" w:hAnsi="Times New Roman" w:cs="Times New Roman"/>
                <w:color w:val="000000" w:themeColor="text1"/>
                <w:sz w:val="20"/>
                <w:szCs w:val="20"/>
              </w:rPr>
              <w:t>n</w:t>
            </w:r>
            <w:r>
              <w:rPr>
                <w:rFonts w:ascii="Times New Roman" w:eastAsia="Cambria" w:hAnsi="Times New Roman" w:cs="Times New Roman"/>
                <w:color w:val="000000" w:themeColor="text1"/>
                <w:sz w:val="20"/>
                <w:szCs w:val="20"/>
              </w:rPr>
              <w:t xml:space="preserve"> el artículo 128, párrafo primero,</w:t>
            </w:r>
            <w:r>
              <w:rPr>
                <w:rStyle w:val="InstructionsTabelleberschrift"/>
                <w:rFonts w:ascii="Times New Roman" w:hAnsi="Times New Roman"/>
                <w:b w:val="0"/>
                <w:color w:val="000000" w:themeColor="text1"/>
                <w:szCs w:val="20"/>
                <w:u w:val="none"/>
              </w:rPr>
              <w:t xml:space="preserve"> punto</w:t>
            </w:r>
            <w:r w:rsidR="00D25407">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6, de la Directiva 2013/36/UE.</w:t>
            </w:r>
          </w:p>
          <w:p w14:paraId="7FE1B642" w14:textId="4D237432" w:rsidR="00414040" w:rsidRDefault="00904E1A">
            <w:pPr>
              <w:pStyle w:val="P68B1DB1-TableParagraph13"/>
              <w:spacing w:before="108"/>
              <w:jc w:val="both"/>
            </w:pPr>
            <w:r w:rsidRPr="69E604A3">
              <w:rPr>
                <w:lang w:val="es-ES"/>
              </w:rPr>
              <w:t xml:space="preserve">En caso de que el perímetro de resolución difiera del prudencial, la estimación de los elementos que comprenden los requisitos combinados de colchón </w:t>
            </w:r>
            <w:r w:rsidR="009F6F07">
              <w:rPr>
                <w:lang w:val="es-ES"/>
              </w:rPr>
              <w:t>del ente</w:t>
            </w:r>
            <w:r w:rsidRPr="69E604A3">
              <w:rPr>
                <w:lang w:val="es-ES"/>
              </w:rPr>
              <w:t xml:space="preserve"> de resolución a nivel del grupo de resolución consolidado sigue el artículo 3, apartado 1, del Reglamento </w:t>
            </w:r>
            <w:proofErr w:type="gramStart"/>
            <w:r w:rsidRPr="69E604A3">
              <w:rPr>
                <w:lang w:val="es-ES"/>
              </w:rPr>
              <w:t>Delegado</w:t>
            </w:r>
            <w:proofErr w:type="gramEnd"/>
            <w:r w:rsidRPr="69E604A3">
              <w:rPr>
                <w:lang w:val="es-ES"/>
              </w:rPr>
              <w:t xml:space="preserve"> (UE) 2021/1118 de la Comisión, pero </w:t>
            </w:r>
            <w:r w:rsidR="00BE10E4">
              <w:rPr>
                <w:lang w:val="es-ES"/>
              </w:rPr>
              <w:t>el ente</w:t>
            </w:r>
            <w:r w:rsidRPr="69E604A3">
              <w:rPr>
                <w:lang w:val="es-ES"/>
              </w:rPr>
              <w:t xml:space="preserve"> declarante debe llevarla a cabo de forma preliminar. </w:t>
            </w:r>
          </w:p>
        </w:tc>
      </w:tr>
      <w:tr w:rsidR="00414040" w14:paraId="7FE1B649" w14:textId="77777777" w:rsidTr="2466DABA">
        <w:tc>
          <w:tcPr>
            <w:tcW w:w="856" w:type="dxa"/>
            <w:tcBorders>
              <w:top w:val="single" w:sz="4" w:space="0" w:color="1A171C"/>
              <w:left w:val="nil"/>
              <w:bottom w:val="single" w:sz="4" w:space="0" w:color="1A171C"/>
              <w:right w:val="single" w:sz="4" w:space="0" w:color="1A171C"/>
            </w:tcBorders>
            <w:vAlign w:val="center"/>
          </w:tcPr>
          <w:p w14:paraId="7FE1B644" w14:textId="77777777" w:rsidR="00414040" w:rsidRDefault="00904E1A">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414040" w:rsidRDefault="00904E1A">
            <w:pPr>
              <w:pStyle w:val="P68B1DB1-TableParagraph14"/>
              <w:spacing w:before="108"/>
              <w:jc w:val="both"/>
              <w:rPr>
                <w:bCs/>
              </w:rPr>
            </w:pPr>
            <w:r>
              <w:t>Colchón de conservación de capital</w:t>
            </w:r>
          </w:p>
          <w:p w14:paraId="7FE1B646" w14:textId="3F90B449" w:rsidR="00414040" w:rsidRDefault="00904E1A">
            <w:pPr>
              <w:pStyle w:val="P68B1DB1-TableParagraph13"/>
              <w:spacing w:before="108"/>
              <w:jc w:val="both"/>
            </w:pPr>
            <w:r>
              <w:lastRenderedPageBreak/>
              <w:t xml:space="preserve">COREP (OF): </w:t>
            </w:r>
            <w:r w:rsidR="00D25407" w:rsidRPr="00D25407">
              <w:t>{</w:t>
            </w:r>
            <w:r>
              <w:t>C 04.00; 750; 010</w:t>
            </w:r>
            <w:r w:rsidR="00D25407" w:rsidRPr="00D25407">
              <w:t>}</w:t>
            </w:r>
            <w:r>
              <w:t>.</w:t>
            </w:r>
          </w:p>
          <w:p w14:paraId="7FE1B647" w14:textId="45C29DBA" w:rsidR="00414040" w:rsidRDefault="00904E1A">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Requisito al que se refiere</w:t>
            </w:r>
            <w:r w:rsidR="00413795">
              <w:rPr>
                <w:rFonts w:ascii="Times New Roman" w:eastAsia="Cambria" w:hAnsi="Times New Roman" w:cs="Times New Roman"/>
                <w:color w:val="000000" w:themeColor="text1"/>
                <w:sz w:val="20"/>
                <w:szCs w:val="20"/>
              </w:rPr>
              <w:t>n</w:t>
            </w:r>
            <w:r>
              <w:rPr>
                <w:rFonts w:ascii="Times New Roman" w:eastAsia="Cambria" w:hAnsi="Times New Roman" w:cs="Times New Roman"/>
                <w:color w:val="000000" w:themeColor="text1"/>
                <w:sz w:val="20"/>
                <w:szCs w:val="20"/>
              </w:rPr>
              <w:t xml:space="preserve"> el</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artículo 128, apartado 1, y el artículo 129 de la Directiva 2013/36/UE.</w:t>
            </w:r>
          </w:p>
          <w:p w14:paraId="7FE1B648" w14:textId="02D22165" w:rsidR="00414040" w:rsidRDefault="00904E1A">
            <w:pPr>
              <w:pStyle w:val="P68B1DB1-TableParagraph13"/>
              <w:spacing w:before="108"/>
              <w:jc w:val="both"/>
              <w:rPr>
                <w:rFonts w:eastAsia="Cambria"/>
                <w:lang w:val="es-ES"/>
              </w:rPr>
            </w:pPr>
            <w:r w:rsidRPr="69E604A3">
              <w:rPr>
                <w:lang w:val="es-ES"/>
              </w:rPr>
              <w:t xml:space="preserve">En caso de que el perímetro de resolución difiera del prudencial, la estimación de este requisito de colchón </w:t>
            </w:r>
            <w:r w:rsidR="009F6F07">
              <w:rPr>
                <w:lang w:val="es-ES"/>
              </w:rPr>
              <w:t>del ente</w:t>
            </w:r>
            <w:r w:rsidRPr="69E604A3">
              <w:rPr>
                <w:lang w:val="es-ES"/>
              </w:rPr>
              <w:t xml:space="preserve"> de resolución a nivel del grupo de resolución consolidado sigue el artículo 3, apartado 2, del Reglamento </w:t>
            </w:r>
            <w:proofErr w:type="gramStart"/>
            <w:r w:rsidRPr="69E604A3">
              <w:rPr>
                <w:lang w:val="es-ES"/>
              </w:rPr>
              <w:t>Delegado</w:t>
            </w:r>
            <w:proofErr w:type="gramEnd"/>
            <w:r w:rsidRPr="69E604A3">
              <w:rPr>
                <w:lang w:val="es-ES"/>
              </w:rPr>
              <w:t xml:space="preserve"> (UE) 2021/1118 de la Comisión, pero </w:t>
            </w:r>
            <w:r w:rsidR="00BE10E4">
              <w:rPr>
                <w:lang w:val="es-ES"/>
              </w:rPr>
              <w:t>el ente</w:t>
            </w:r>
            <w:r w:rsidRPr="69E604A3">
              <w:rPr>
                <w:lang w:val="es-ES"/>
              </w:rPr>
              <w:t xml:space="preserve"> declarante debe llevarla a cabo de forma preliminar.</w:t>
            </w:r>
          </w:p>
        </w:tc>
      </w:tr>
      <w:tr w:rsidR="00414040" w14:paraId="7FE1B64F" w14:textId="77777777" w:rsidTr="2466DABA">
        <w:tc>
          <w:tcPr>
            <w:tcW w:w="856" w:type="dxa"/>
            <w:tcBorders>
              <w:top w:val="single" w:sz="4" w:space="0" w:color="1A171C"/>
              <w:left w:val="nil"/>
              <w:bottom w:val="single" w:sz="4" w:space="0" w:color="1A171C"/>
              <w:right w:val="single" w:sz="4" w:space="0" w:color="1A171C"/>
            </w:tcBorders>
            <w:vAlign w:val="center"/>
          </w:tcPr>
          <w:p w14:paraId="7FE1B64A" w14:textId="77777777" w:rsidR="00414040" w:rsidRDefault="00904E1A">
            <w:pPr>
              <w:pStyle w:val="P68B1DB1-TableParagraph13"/>
              <w:spacing w:before="106"/>
              <w:ind w:left="-1"/>
            </w:pPr>
            <w:r>
              <w:lastRenderedPageBreak/>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414040" w:rsidRDefault="00904E1A">
            <w:pPr>
              <w:rPr>
                <w:rStyle w:val="InstructionsTabelleberschrift"/>
                <w:rFonts w:ascii="Times New Roman" w:hAnsi="Times New Roman"/>
                <w:color w:val="000000" w:themeColor="text1"/>
                <w:u w:val="none"/>
                <w:lang w:val="es-ES"/>
              </w:rPr>
            </w:pPr>
            <w:r w:rsidRPr="69E604A3">
              <w:rPr>
                <w:rStyle w:val="InstructionsTabelleberschrift"/>
                <w:rFonts w:ascii="Times New Roman" w:hAnsi="Times New Roman"/>
                <w:color w:val="000000" w:themeColor="text1"/>
                <w:u w:val="none"/>
                <w:lang w:val="es-ES"/>
              </w:rPr>
              <w:t xml:space="preserve">Colchón de conservación debido al riesgo </w:t>
            </w:r>
            <w:proofErr w:type="spellStart"/>
            <w:r w:rsidRPr="69E604A3">
              <w:rPr>
                <w:rStyle w:val="InstructionsTabelleberschrift"/>
                <w:rFonts w:ascii="Times New Roman" w:hAnsi="Times New Roman"/>
                <w:color w:val="000000" w:themeColor="text1"/>
                <w:u w:val="none"/>
                <w:lang w:val="es-ES"/>
              </w:rPr>
              <w:t>macroprudencial</w:t>
            </w:r>
            <w:proofErr w:type="spellEnd"/>
            <w:r w:rsidRPr="69E604A3">
              <w:rPr>
                <w:rStyle w:val="InstructionsTabelleberschrift"/>
                <w:rFonts w:ascii="Times New Roman" w:hAnsi="Times New Roman"/>
                <w:color w:val="000000" w:themeColor="text1"/>
                <w:u w:val="none"/>
                <w:lang w:val="es-ES"/>
              </w:rPr>
              <w:t xml:space="preserve"> o sistémico observado en un Estado miembro</w:t>
            </w:r>
          </w:p>
          <w:p w14:paraId="7FE1B64C" w14:textId="0B8F89DB" w:rsidR="00414040" w:rsidRDefault="00904E1A">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 xml:space="preserve">COREP (OF): </w:t>
            </w:r>
            <w:r w:rsidR="00DC7380" w:rsidRPr="00DC7380">
              <w:rPr>
                <w:rStyle w:val="InstructionsTabelleberschrift"/>
                <w:rFonts w:ascii="Times New Roman" w:hAnsi="Times New Roman"/>
                <w:b w:val="0"/>
                <w:bCs w:val="0"/>
                <w:color w:val="000000" w:themeColor="text1"/>
                <w:szCs w:val="20"/>
                <w:u w:val="none"/>
              </w:rPr>
              <w:t>{</w:t>
            </w:r>
            <w:r>
              <w:rPr>
                <w:rStyle w:val="InstructionsTabelleberschrift"/>
                <w:rFonts w:ascii="Times New Roman" w:hAnsi="Times New Roman"/>
                <w:b w:val="0"/>
                <w:bCs w:val="0"/>
                <w:color w:val="000000" w:themeColor="text1"/>
                <w:szCs w:val="20"/>
                <w:u w:val="none"/>
              </w:rPr>
              <w:t>C 04.00; 760; 010</w:t>
            </w:r>
            <w:r w:rsidR="00DC7380" w:rsidRPr="00DC7380">
              <w:rPr>
                <w:rStyle w:val="InstructionsTabelleberschrift"/>
                <w:rFonts w:ascii="Times New Roman" w:hAnsi="Times New Roman"/>
                <w:b w:val="0"/>
                <w:bCs w:val="0"/>
                <w:color w:val="000000" w:themeColor="text1"/>
                <w:szCs w:val="20"/>
                <w:u w:val="none"/>
              </w:rPr>
              <w:t>}</w:t>
            </w:r>
            <w:r w:rsidR="00DC7380">
              <w:rPr>
                <w:rStyle w:val="InstructionsTabelleberschrift"/>
                <w:rFonts w:ascii="Times New Roman" w:hAnsi="Times New Roman"/>
                <w:b w:val="0"/>
                <w:bCs w:val="0"/>
                <w:color w:val="000000" w:themeColor="text1"/>
                <w:szCs w:val="20"/>
                <w:u w:val="none"/>
              </w:rPr>
              <w:t>.</w:t>
            </w:r>
          </w:p>
          <w:p w14:paraId="7FE1B64D" w14:textId="7E04FA42" w:rsidR="00414040" w:rsidRDefault="00904E1A">
            <w:pPr>
              <w:rPr>
                <w:rStyle w:val="InstructionsTabelleberschrift"/>
                <w:rFonts w:ascii="Times New Roman" w:hAnsi="Times New Roman"/>
                <w:b w:val="0"/>
                <w:color w:val="000000" w:themeColor="text1"/>
                <w:u w:val="none"/>
                <w:lang w:val="es-ES"/>
              </w:rPr>
            </w:pPr>
            <w:r w:rsidRPr="69E604A3">
              <w:rPr>
                <w:rFonts w:ascii="Times New Roman" w:eastAsia="Cambria" w:hAnsi="Times New Roman" w:cs="Times New Roman"/>
                <w:color w:val="000000" w:themeColor="text1"/>
                <w:sz w:val="20"/>
                <w:szCs w:val="20"/>
                <w:lang w:val="es-ES"/>
              </w:rPr>
              <w:t>Requisito contemplado en el</w:t>
            </w:r>
            <w:r w:rsidRPr="69E604A3">
              <w:rPr>
                <w:rStyle w:val="InstructionsTabelleberschrift"/>
                <w:rFonts w:ascii="Times New Roman" w:hAnsi="Times New Roman"/>
                <w:b w:val="0"/>
                <w:color w:val="000000" w:themeColor="text1"/>
                <w:u w:val="none"/>
                <w:lang w:val="es-ES"/>
              </w:rPr>
              <w:t xml:space="preserve"> artículo 458, apartado 2, punto d, </w:t>
            </w:r>
            <w:r w:rsidR="00DC7380">
              <w:rPr>
                <w:rStyle w:val="InstructionsTabelleberschrift"/>
                <w:rFonts w:ascii="Times New Roman" w:hAnsi="Times New Roman"/>
                <w:b w:val="0"/>
                <w:color w:val="000000" w:themeColor="text1"/>
                <w:u w:val="none"/>
                <w:lang w:val="es-ES"/>
              </w:rPr>
              <w:t>inciso</w:t>
            </w:r>
            <w:r w:rsidR="00DC7380" w:rsidRPr="69E604A3">
              <w:rPr>
                <w:rStyle w:val="InstructionsTabelleberschrift"/>
                <w:rFonts w:ascii="Times New Roman" w:hAnsi="Times New Roman"/>
                <w:b w:val="0"/>
                <w:color w:val="000000" w:themeColor="text1"/>
                <w:u w:val="none"/>
                <w:lang w:val="es-ES"/>
              </w:rPr>
              <w:t xml:space="preserve"> </w:t>
            </w:r>
            <w:r w:rsidRPr="69E604A3">
              <w:rPr>
                <w:rStyle w:val="InstructionsTabelleberschrift"/>
                <w:rFonts w:ascii="Times New Roman" w:hAnsi="Times New Roman"/>
                <w:b w:val="0"/>
                <w:color w:val="000000" w:themeColor="text1"/>
                <w:u w:val="none"/>
                <w:lang w:val="es-ES"/>
              </w:rPr>
              <w:t>vi)</w:t>
            </w:r>
            <w:r w:rsidRPr="69E604A3">
              <w:rPr>
                <w:rStyle w:val="FootnoteReference"/>
                <w:rFonts w:cs="Times New Roman"/>
                <w:color w:val="000000" w:themeColor="text1"/>
                <w:lang w:val="es-ES"/>
              </w:rPr>
              <w:footnoteReference w:id="17"/>
            </w:r>
            <w:r w:rsidRPr="69E604A3">
              <w:rPr>
                <w:rStyle w:val="InstructionsTabelleberschrift"/>
                <w:rFonts w:ascii="Times New Roman" w:hAnsi="Times New Roman"/>
                <w:b w:val="0"/>
                <w:color w:val="000000" w:themeColor="text1"/>
                <w:u w:val="none"/>
                <w:lang w:val="es-ES"/>
              </w:rPr>
              <w:t xml:space="preserve">, del Reglamento (UE) </w:t>
            </w:r>
            <w:r w:rsidR="00DC7380">
              <w:t>n.</w:t>
            </w:r>
            <w:r w:rsidR="00253083">
              <w:t>º</w:t>
            </w:r>
            <w:r w:rsidR="00DC7380">
              <w:t xml:space="preserve"> </w:t>
            </w:r>
            <w:r w:rsidRPr="69E604A3">
              <w:rPr>
                <w:rStyle w:val="InstructionsTabelleberschrift"/>
                <w:rFonts w:ascii="Times New Roman" w:hAnsi="Times New Roman"/>
                <w:b w:val="0"/>
                <w:color w:val="000000" w:themeColor="text1"/>
                <w:u w:val="none"/>
                <w:lang w:val="es-ES"/>
              </w:rPr>
              <w:t>575/2013</w:t>
            </w:r>
          </w:p>
          <w:p w14:paraId="7FE1B64E" w14:textId="77777777" w:rsidR="00414040" w:rsidRDefault="00904E1A">
            <w:pPr>
              <w:pStyle w:val="P68B1DB1-TableParagraph13"/>
              <w:spacing w:before="108"/>
              <w:jc w:val="both"/>
              <w:rPr>
                <w:rFonts w:eastAsia="Cambria"/>
              </w:rPr>
            </w:pPr>
            <w:r>
              <w:t>En caso de que el perímetro de resolución difiera del prudencial, el importe notificado corresponderá al colchón aplicable a las exposiciones del grupo de resolución.</w:t>
            </w:r>
          </w:p>
        </w:tc>
      </w:tr>
      <w:tr w:rsidR="00414040" w14:paraId="7FE1B655" w14:textId="77777777" w:rsidTr="2466DABA">
        <w:tc>
          <w:tcPr>
            <w:tcW w:w="856" w:type="dxa"/>
            <w:tcBorders>
              <w:top w:val="single" w:sz="4" w:space="0" w:color="1A171C"/>
              <w:left w:val="nil"/>
              <w:bottom w:val="single" w:sz="4" w:space="0" w:color="1A171C"/>
              <w:right w:val="single" w:sz="4" w:space="0" w:color="1A171C"/>
            </w:tcBorders>
            <w:vAlign w:val="center"/>
          </w:tcPr>
          <w:p w14:paraId="7FE1B650" w14:textId="77777777" w:rsidR="00414040" w:rsidRDefault="00904E1A">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2001B834" w:rsidR="00414040" w:rsidRDefault="00CD57BF">
            <w:pPr>
              <w:pStyle w:val="P68B1DB1-TableParagraph14"/>
              <w:spacing w:before="108"/>
              <w:jc w:val="both"/>
              <w:rPr>
                <w:bCs/>
              </w:rPr>
            </w:pPr>
            <w:r>
              <w:t>C</w:t>
            </w:r>
            <w:r w:rsidR="00904E1A">
              <w:t xml:space="preserve">olchón de capital anticíclico específico de la entidad </w:t>
            </w:r>
          </w:p>
          <w:p w14:paraId="7FE1B652" w14:textId="520D03E7" w:rsidR="00414040" w:rsidRPr="00210421" w:rsidRDefault="00904E1A">
            <w:pPr>
              <w:rPr>
                <w:rStyle w:val="InstructionsTabelleberschrift"/>
                <w:rFonts w:ascii="Times New Roman" w:hAnsi="Times New Roman"/>
                <w:b w:val="0"/>
                <w:color w:val="000000" w:themeColor="text1"/>
                <w:u w:val="none"/>
                <w:lang w:val="es-ES"/>
              </w:rPr>
            </w:pPr>
            <w:r w:rsidRPr="00210421">
              <w:rPr>
                <w:rStyle w:val="InstructionsTabelleberschrift"/>
                <w:rFonts w:ascii="Times New Roman" w:hAnsi="Times New Roman"/>
                <w:b w:val="0"/>
                <w:color w:val="000000" w:themeColor="text1"/>
                <w:u w:val="none"/>
                <w:lang w:val="es-ES"/>
              </w:rPr>
              <w:t xml:space="preserve">[véase COREP (OF): </w:t>
            </w:r>
            <w:r w:rsidR="00DC7380" w:rsidRPr="00210421">
              <w:rPr>
                <w:rStyle w:val="InstructionsTabelleberschrift"/>
                <w:rFonts w:ascii="Times New Roman" w:hAnsi="Times New Roman"/>
                <w:b w:val="0"/>
                <w:color w:val="000000" w:themeColor="text1"/>
                <w:u w:val="none"/>
                <w:lang w:val="es-ES"/>
              </w:rPr>
              <w:t>{</w:t>
            </w:r>
            <w:r w:rsidRPr="00210421">
              <w:rPr>
                <w:rStyle w:val="InstructionsTabelleberschrift"/>
                <w:rFonts w:ascii="Times New Roman" w:hAnsi="Times New Roman"/>
                <w:b w:val="0"/>
                <w:color w:val="000000" w:themeColor="text1"/>
                <w:u w:val="none"/>
                <w:lang w:val="es-ES"/>
              </w:rPr>
              <w:t>C 04.00; 770; 010</w:t>
            </w:r>
            <w:r w:rsidR="00DC7380" w:rsidRPr="00210421">
              <w:rPr>
                <w:rStyle w:val="InstructionsTabelleberschrift"/>
                <w:rFonts w:ascii="Times New Roman" w:hAnsi="Times New Roman"/>
                <w:b w:val="0"/>
                <w:color w:val="000000" w:themeColor="text1"/>
                <w:u w:val="none"/>
                <w:lang w:val="es-ES"/>
              </w:rPr>
              <w:t>}</w:t>
            </w:r>
            <w:r w:rsidRPr="00210421">
              <w:rPr>
                <w:rStyle w:val="InstructionsTabelleberschrift"/>
                <w:rFonts w:ascii="Times New Roman" w:hAnsi="Times New Roman"/>
                <w:b w:val="0"/>
                <w:color w:val="000000" w:themeColor="text1"/>
                <w:u w:val="none"/>
                <w:lang w:val="es-ES"/>
              </w:rPr>
              <w:t>.</w:t>
            </w:r>
          </w:p>
          <w:p w14:paraId="7FE1B653" w14:textId="0A965EE1" w:rsidR="00414040" w:rsidRDefault="00904E1A">
            <w:pPr>
              <w:pStyle w:val="P68B1DB1-TableParagraph17"/>
              <w:spacing w:before="108"/>
              <w:jc w:val="both"/>
            </w:pPr>
            <w:r>
              <w:t>Requisito al que se refiere</w:t>
            </w:r>
            <w:r w:rsidR="00413795">
              <w:t>n</w:t>
            </w:r>
            <w:r>
              <w:t xml:space="preserve"> el artículo 128, punto 2, </w:t>
            </w:r>
            <w:r w:rsidR="00DC7380">
              <w:t xml:space="preserve">el </w:t>
            </w:r>
            <w:r>
              <w:t xml:space="preserve">artículo 130 y </w:t>
            </w:r>
            <w:r w:rsidR="00DC7380">
              <w:t xml:space="preserve">los </w:t>
            </w:r>
            <w:r>
              <w:t>artículos 135 a 140 de la Directiva 2013/36/UE.</w:t>
            </w:r>
          </w:p>
          <w:p w14:paraId="7FE1B654" w14:textId="585BA35C" w:rsidR="00414040" w:rsidRDefault="00904E1A">
            <w:pPr>
              <w:pStyle w:val="P68B1DB1-TableParagraph13"/>
              <w:spacing w:before="108"/>
              <w:jc w:val="both"/>
              <w:rPr>
                <w:rFonts w:eastAsia="Cambria"/>
              </w:rPr>
            </w:pPr>
            <w:r>
              <w:t xml:space="preserve">En caso de que el perímetro de resolución difiera del prudencial, el importe </w:t>
            </w:r>
            <w:r w:rsidR="6093C961">
              <w:t>informado</w:t>
            </w:r>
            <w:r>
              <w:t xml:space="preserve"> corresponderá al requisito de colchón aplicable a las exposiciones del grupo de resolución.</w:t>
            </w:r>
          </w:p>
        </w:tc>
      </w:tr>
      <w:tr w:rsidR="00414040" w14:paraId="7FE1B65B" w14:textId="77777777" w:rsidTr="2466DABA">
        <w:tc>
          <w:tcPr>
            <w:tcW w:w="856" w:type="dxa"/>
            <w:tcBorders>
              <w:top w:val="single" w:sz="4" w:space="0" w:color="1A171C"/>
              <w:left w:val="nil"/>
              <w:bottom w:val="single" w:sz="4" w:space="0" w:color="1A171C"/>
              <w:right w:val="single" w:sz="4" w:space="0" w:color="1A171C"/>
            </w:tcBorders>
            <w:vAlign w:val="center"/>
          </w:tcPr>
          <w:p w14:paraId="7FE1B656" w14:textId="77777777" w:rsidR="00414040" w:rsidRDefault="00904E1A">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4E96F695" w:rsidR="00414040" w:rsidRDefault="00904E1A">
            <w:pPr>
              <w:pStyle w:val="P68B1DB1-TableParagraph14"/>
              <w:spacing w:before="108"/>
              <w:jc w:val="both"/>
            </w:pPr>
            <w:r>
              <w:t xml:space="preserve">Colchón </w:t>
            </w:r>
            <w:r w:rsidR="006C050A">
              <w:t xml:space="preserve">contra </w:t>
            </w:r>
            <w:r>
              <w:t>riesgo</w:t>
            </w:r>
            <w:r w:rsidR="006C050A">
              <w:t>s</w:t>
            </w:r>
            <w:r>
              <w:t xml:space="preserve"> sistémico</w:t>
            </w:r>
            <w:r w:rsidR="006C050A">
              <w:t>s</w:t>
            </w:r>
          </w:p>
          <w:p w14:paraId="7FE1B658" w14:textId="218B438E" w:rsidR="00414040" w:rsidRPr="00210421" w:rsidRDefault="00904E1A">
            <w:pPr>
              <w:pStyle w:val="P68B1DB1-TableParagraph13"/>
              <w:spacing w:before="108"/>
              <w:jc w:val="both"/>
              <w:rPr>
                <w:lang w:val="es-ES"/>
              </w:rPr>
            </w:pPr>
            <w:r w:rsidRPr="00210421">
              <w:rPr>
                <w:lang w:val="es-ES"/>
              </w:rPr>
              <w:t xml:space="preserve">[véase COREP (OF): </w:t>
            </w:r>
            <w:r w:rsidR="00DC7380" w:rsidRPr="00210421">
              <w:rPr>
                <w:lang w:val="es-ES"/>
              </w:rPr>
              <w:t>{</w:t>
            </w:r>
            <w:r w:rsidRPr="00210421">
              <w:rPr>
                <w:lang w:val="es-ES"/>
              </w:rPr>
              <w:t>C 04.00; 780; 010</w:t>
            </w:r>
            <w:r w:rsidR="00DC7380" w:rsidRPr="00210421">
              <w:rPr>
                <w:lang w:val="es-ES"/>
              </w:rPr>
              <w:t>}</w:t>
            </w:r>
          </w:p>
          <w:p w14:paraId="7FE1B659" w14:textId="1BC63FCD" w:rsidR="00414040" w:rsidRDefault="00904E1A">
            <w:pPr>
              <w:pStyle w:val="P68B1DB1-TableParagraph17"/>
              <w:spacing w:before="108"/>
              <w:jc w:val="both"/>
            </w:pPr>
            <w:r>
              <w:t>Requisito al que se refiere</w:t>
            </w:r>
            <w:r w:rsidR="00413795">
              <w:t>n</w:t>
            </w:r>
            <w:r>
              <w:t xml:space="preserve"> el artículo 128, punto 5, </w:t>
            </w:r>
            <w:r w:rsidR="00DC7380">
              <w:t xml:space="preserve">el </w:t>
            </w:r>
            <w:r>
              <w:t xml:space="preserve">artículo 133 y </w:t>
            </w:r>
            <w:r w:rsidR="00DC7380">
              <w:t xml:space="preserve">el </w:t>
            </w:r>
            <w:r>
              <w:t>artículo 134 de la Directiva 2013/36/UE.</w:t>
            </w:r>
          </w:p>
          <w:p w14:paraId="7FE1B65A" w14:textId="2AD603AB" w:rsidR="00414040" w:rsidRDefault="00904E1A">
            <w:pPr>
              <w:pStyle w:val="TableParagraph"/>
              <w:spacing w:before="108"/>
              <w:jc w:val="both"/>
              <w:rPr>
                <w:rFonts w:ascii="Times New Roman" w:hAnsi="Times New Roman" w:cs="Times New Roman"/>
                <w:color w:val="000000" w:themeColor="text1"/>
                <w:sz w:val="20"/>
                <w:szCs w:val="20"/>
                <w:lang w:val="es-ES"/>
              </w:rPr>
            </w:pPr>
            <w:r w:rsidRPr="69E604A3">
              <w:rPr>
                <w:rFonts w:ascii="Times New Roman" w:hAnsi="Times New Roman" w:cs="Times New Roman"/>
                <w:color w:val="000000" w:themeColor="text1"/>
                <w:sz w:val="20"/>
                <w:szCs w:val="20"/>
                <w:lang w:val="es-ES"/>
              </w:rPr>
              <w:t xml:space="preserve">En caso de que el perímetro de resolución difiera del prudencial, la estimación de este requisito de colchón </w:t>
            </w:r>
            <w:r w:rsidR="009F6F07">
              <w:rPr>
                <w:rFonts w:ascii="Times New Roman" w:hAnsi="Times New Roman" w:cs="Times New Roman"/>
                <w:color w:val="000000" w:themeColor="text1"/>
                <w:sz w:val="20"/>
                <w:szCs w:val="20"/>
                <w:lang w:val="es-ES"/>
              </w:rPr>
              <w:t>del ente</w:t>
            </w:r>
            <w:r w:rsidRPr="69E604A3">
              <w:rPr>
                <w:rFonts w:ascii="Times New Roman" w:hAnsi="Times New Roman" w:cs="Times New Roman"/>
                <w:color w:val="000000" w:themeColor="text1"/>
                <w:sz w:val="20"/>
                <w:szCs w:val="20"/>
                <w:lang w:val="es-ES"/>
              </w:rPr>
              <w:t xml:space="preserve"> de resolución a nivel del grupo de resolución consolidado sigue el artículo 3, apartado 5, del Reglamento </w:t>
            </w:r>
            <w:proofErr w:type="gramStart"/>
            <w:r w:rsidRPr="69E604A3">
              <w:rPr>
                <w:rFonts w:ascii="Times New Roman" w:hAnsi="Times New Roman" w:cs="Times New Roman"/>
                <w:color w:val="000000" w:themeColor="text1"/>
                <w:sz w:val="20"/>
                <w:szCs w:val="20"/>
                <w:lang w:val="es-ES"/>
              </w:rPr>
              <w:t>Delegado</w:t>
            </w:r>
            <w:proofErr w:type="gramEnd"/>
            <w:r w:rsidRPr="69E604A3">
              <w:rPr>
                <w:rFonts w:ascii="Times New Roman" w:hAnsi="Times New Roman" w:cs="Times New Roman"/>
                <w:color w:val="000000" w:themeColor="text1"/>
                <w:sz w:val="20"/>
                <w:szCs w:val="20"/>
                <w:lang w:val="es-ES"/>
              </w:rPr>
              <w:t xml:space="preserve"> (UE) 2021/1118 de la Comisión, pero </w:t>
            </w:r>
            <w:r w:rsidR="00BE10E4">
              <w:rPr>
                <w:rFonts w:ascii="Times New Roman" w:hAnsi="Times New Roman" w:cs="Times New Roman"/>
                <w:color w:val="000000" w:themeColor="text1"/>
                <w:sz w:val="20"/>
                <w:szCs w:val="20"/>
                <w:lang w:val="es-ES"/>
              </w:rPr>
              <w:t>el ente</w:t>
            </w:r>
            <w:r w:rsidRPr="69E604A3">
              <w:rPr>
                <w:rFonts w:ascii="Times New Roman" w:hAnsi="Times New Roman" w:cs="Times New Roman"/>
                <w:color w:val="000000" w:themeColor="text1"/>
                <w:sz w:val="20"/>
                <w:szCs w:val="20"/>
                <w:lang w:val="es-ES"/>
              </w:rPr>
              <w:t xml:space="preserve"> declarante debe llevarla a cabo de forma preliminar</w:t>
            </w:r>
            <w:r w:rsidRPr="69E604A3">
              <w:rPr>
                <w:lang w:val="es-ES"/>
              </w:rPr>
              <w:t>.</w:t>
            </w:r>
          </w:p>
        </w:tc>
      </w:tr>
      <w:tr w:rsidR="00414040" w14:paraId="7FE1B661" w14:textId="77777777" w:rsidTr="2466DABA">
        <w:tc>
          <w:tcPr>
            <w:tcW w:w="856" w:type="dxa"/>
            <w:tcBorders>
              <w:top w:val="single" w:sz="4" w:space="0" w:color="1A171C"/>
              <w:left w:val="nil"/>
              <w:bottom w:val="single" w:sz="4" w:space="0" w:color="1A171C"/>
              <w:right w:val="single" w:sz="4" w:space="0" w:color="1A171C"/>
            </w:tcBorders>
            <w:vAlign w:val="center"/>
          </w:tcPr>
          <w:p w14:paraId="7FE1B65C" w14:textId="77777777" w:rsidR="00414040" w:rsidRDefault="00904E1A">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27FB13A9" w:rsidR="00414040" w:rsidRDefault="00904E1A">
            <w:pPr>
              <w:pStyle w:val="P68B1DB1-TableParagraph14"/>
              <w:spacing w:before="108"/>
              <w:jc w:val="both"/>
            </w:pPr>
            <w:r>
              <w:t>Colchón de entidades de importancia sistémica mundial</w:t>
            </w:r>
          </w:p>
          <w:p w14:paraId="7FE1B65E" w14:textId="0B5016D7" w:rsidR="00414040" w:rsidRDefault="00904E1A">
            <w:pPr>
              <w:pStyle w:val="P68B1DB1-TableParagraph17"/>
              <w:spacing w:before="108"/>
              <w:jc w:val="both"/>
            </w:pPr>
            <w:r>
              <w:t xml:space="preserve">COREP (OF): </w:t>
            </w:r>
            <w:r w:rsidR="00DC7380" w:rsidRPr="00DC7380">
              <w:t>{</w:t>
            </w:r>
            <w:r>
              <w:t>C 04.00; 800; 010</w:t>
            </w:r>
            <w:r w:rsidR="00DC7380" w:rsidRPr="00DC7380">
              <w:t>}</w:t>
            </w:r>
          </w:p>
          <w:p w14:paraId="7FE1B65F" w14:textId="19E67C3A" w:rsidR="00414040" w:rsidRDefault="00904E1A">
            <w:pPr>
              <w:pStyle w:val="P68B1DB1-TableParagraph17"/>
              <w:spacing w:before="108"/>
              <w:jc w:val="both"/>
            </w:pPr>
            <w:r>
              <w:t>Requisito a</w:t>
            </w:r>
            <w:r w:rsidR="00413795">
              <w:t>l</w:t>
            </w:r>
            <w:r>
              <w:t xml:space="preserve"> que se refiere</w:t>
            </w:r>
            <w:r w:rsidR="00413795">
              <w:t>n</w:t>
            </w:r>
            <w:r>
              <w:t xml:space="preserve"> el artículo 128, punto 3, y </w:t>
            </w:r>
            <w:r w:rsidR="00DC7380">
              <w:t xml:space="preserve">el </w:t>
            </w:r>
            <w:r>
              <w:t>artículo 131 de la Directiva 2013/36/UE.</w:t>
            </w:r>
          </w:p>
          <w:p w14:paraId="7FE1B660" w14:textId="10115AD7" w:rsidR="00414040" w:rsidRDefault="00904E1A">
            <w:pPr>
              <w:pStyle w:val="TableParagraph"/>
              <w:spacing w:before="108"/>
              <w:jc w:val="both"/>
              <w:rPr>
                <w:rFonts w:ascii="Times New Roman" w:eastAsia="Cambria" w:hAnsi="Times New Roman" w:cs="Times New Roman"/>
                <w:color w:val="000000" w:themeColor="text1"/>
                <w:sz w:val="20"/>
                <w:szCs w:val="20"/>
                <w:lang w:val="es-ES"/>
              </w:rPr>
            </w:pPr>
            <w:r w:rsidRPr="69E604A3">
              <w:rPr>
                <w:rFonts w:ascii="Times New Roman" w:hAnsi="Times New Roman" w:cs="Times New Roman"/>
                <w:color w:val="000000" w:themeColor="text1"/>
                <w:sz w:val="20"/>
                <w:szCs w:val="20"/>
                <w:lang w:val="es-ES"/>
              </w:rPr>
              <w:t xml:space="preserve">En caso de que el perímetro de resolución difiera del prudencial, la estimación de este requisito de colchón </w:t>
            </w:r>
            <w:r w:rsidR="009F6F07">
              <w:rPr>
                <w:rFonts w:ascii="Times New Roman" w:hAnsi="Times New Roman" w:cs="Times New Roman"/>
                <w:color w:val="000000" w:themeColor="text1"/>
                <w:sz w:val="20"/>
                <w:szCs w:val="20"/>
                <w:lang w:val="es-ES"/>
              </w:rPr>
              <w:t>del ente</w:t>
            </w:r>
            <w:r w:rsidRPr="69E604A3">
              <w:rPr>
                <w:rFonts w:ascii="Times New Roman" w:hAnsi="Times New Roman" w:cs="Times New Roman"/>
                <w:color w:val="000000" w:themeColor="text1"/>
                <w:sz w:val="20"/>
                <w:szCs w:val="20"/>
                <w:lang w:val="es-ES"/>
              </w:rPr>
              <w:t xml:space="preserve"> de resolución a nivel del grupo de resolución consolidado sigue el artículo 3, apartado 3, del Reglamento </w:t>
            </w:r>
            <w:proofErr w:type="gramStart"/>
            <w:r w:rsidRPr="69E604A3">
              <w:rPr>
                <w:rFonts w:ascii="Times New Roman" w:hAnsi="Times New Roman" w:cs="Times New Roman"/>
                <w:color w:val="000000" w:themeColor="text1"/>
                <w:sz w:val="20"/>
                <w:szCs w:val="20"/>
                <w:lang w:val="es-ES"/>
              </w:rPr>
              <w:t>Delegado</w:t>
            </w:r>
            <w:proofErr w:type="gramEnd"/>
            <w:r w:rsidRPr="69E604A3">
              <w:rPr>
                <w:rFonts w:ascii="Times New Roman" w:hAnsi="Times New Roman" w:cs="Times New Roman"/>
                <w:color w:val="000000" w:themeColor="text1"/>
                <w:sz w:val="20"/>
                <w:szCs w:val="20"/>
                <w:lang w:val="es-ES"/>
              </w:rPr>
              <w:t xml:space="preserve"> (UE) 2021/1118 de la Comisión, pero </w:t>
            </w:r>
            <w:r w:rsidR="00BE10E4">
              <w:rPr>
                <w:rFonts w:ascii="Times New Roman" w:hAnsi="Times New Roman" w:cs="Times New Roman"/>
                <w:color w:val="000000" w:themeColor="text1"/>
                <w:sz w:val="20"/>
                <w:szCs w:val="20"/>
                <w:lang w:val="es-ES"/>
              </w:rPr>
              <w:t>el ente</w:t>
            </w:r>
            <w:r w:rsidRPr="69E604A3">
              <w:rPr>
                <w:rFonts w:ascii="Times New Roman" w:hAnsi="Times New Roman" w:cs="Times New Roman"/>
                <w:color w:val="000000" w:themeColor="text1"/>
                <w:sz w:val="20"/>
                <w:szCs w:val="20"/>
                <w:lang w:val="es-ES"/>
              </w:rPr>
              <w:t xml:space="preserve"> declarante debe llevarla a cabo de forma preliminar</w:t>
            </w:r>
            <w:r w:rsidRPr="69E604A3">
              <w:rPr>
                <w:lang w:val="es-ES"/>
              </w:rPr>
              <w:t>.</w:t>
            </w:r>
          </w:p>
        </w:tc>
      </w:tr>
      <w:tr w:rsidR="00414040" w14:paraId="7FE1B667" w14:textId="77777777" w:rsidTr="2466DABA">
        <w:tc>
          <w:tcPr>
            <w:tcW w:w="856" w:type="dxa"/>
            <w:tcBorders>
              <w:top w:val="single" w:sz="4" w:space="0" w:color="1A171C"/>
              <w:left w:val="nil"/>
              <w:bottom w:val="single" w:sz="4" w:space="0" w:color="1A171C"/>
              <w:right w:val="single" w:sz="4" w:space="0" w:color="1A171C"/>
            </w:tcBorders>
            <w:vAlign w:val="center"/>
          </w:tcPr>
          <w:p w14:paraId="7FE1B662" w14:textId="77777777" w:rsidR="00414040" w:rsidRDefault="00904E1A">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04D6A96C" w:rsidR="00414040" w:rsidRDefault="00904E1A">
            <w:pPr>
              <w:pStyle w:val="P68B1DB1-TableParagraph13"/>
              <w:spacing w:before="108"/>
              <w:jc w:val="both"/>
            </w:pPr>
            <w:r>
              <w:rPr>
                <w:b/>
              </w:rPr>
              <w:t xml:space="preserve">Colchón </w:t>
            </w:r>
            <w:r w:rsidR="0024410E">
              <w:rPr>
                <w:b/>
              </w:rPr>
              <w:t xml:space="preserve">de </w:t>
            </w:r>
            <w:r>
              <w:rPr>
                <w:b/>
              </w:rPr>
              <w:t>otras entidades de importancia sistémica</w:t>
            </w:r>
            <w:r>
              <w:t xml:space="preserve">, artículos 128, punto (4), y 131 de la Directiva 2013/36/UE </w:t>
            </w:r>
          </w:p>
          <w:p w14:paraId="7FE1B665" w14:textId="1F4DA297" w:rsidR="00414040" w:rsidRDefault="00904E1A">
            <w:pPr>
              <w:pStyle w:val="P68B1DB1-TableParagraph13"/>
              <w:spacing w:before="108"/>
              <w:jc w:val="both"/>
            </w:pPr>
            <w:r>
              <w:t xml:space="preserve">COREP (OF): </w:t>
            </w:r>
            <w:r w:rsidR="00E06C05" w:rsidRPr="00E06C05">
              <w:t>{</w:t>
            </w:r>
            <w:r>
              <w:t>C 04.00; 810; 010</w:t>
            </w:r>
            <w:r w:rsidR="00E06C05" w:rsidRPr="00E06C05">
              <w:t>}</w:t>
            </w:r>
            <w:r>
              <w:t xml:space="preserve"> </w:t>
            </w:r>
          </w:p>
          <w:p w14:paraId="7FE1B666" w14:textId="0063378D" w:rsidR="00414040" w:rsidRDefault="00904E1A" w:rsidP="73DD02DC">
            <w:pPr>
              <w:pStyle w:val="P68B1DB1-TableParagraph13"/>
              <w:spacing w:before="108"/>
              <w:jc w:val="both"/>
              <w:rPr>
                <w:b/>
                <w:bCs/>
                <w:lang w:val="es-ES"/>
              </w:rPr>
            </w:pPr>
            <w:r w:rsidRPr="73DD02DC">
              <w:rPr>
                <w:lang w:val="es-ES"/>
              </w:rPr>
              <w:t xml:space="preserve">El importe comunicado será el de los fondos propios necesarios para cumplir el correspondiente requisito en materia de colchón de capital en la fecha de </w:t>
            </w:r>
            <w:r w:rsidR="0006167B">
              <w:rPr>
                <w:lang w:val="es-ES"/>
              </w:rPr>
              <w:t>referencia</w:t>
            </w:r>
            <w:r w:rsidRPr="73DD02DC">
              <w:rPr>
                <w:lang w:val="es-ES"/>
              </w:rPr>
              <w:t>.</w:t>
            </w:r>
          </w:p>
        </w:tc>
      </w:tr>
      <w:tr w:rsidR="00414040" w14:paraId="7FE1B670" w14:textId="77777777" w:rsidTr="2466DABA">
        <w:tc>
          <w:tcPr>
            <w:tcW w:w="856" w:type="dxa"/>
            <w:tcBorders>
              <w:top w:val="single" w:sz="4" w:space="0" w:color="1A171C"/>
              <w:left w:val="nil"/>
              <w:bottom w:val="single" w:sz="4" w:space="0" w:color="1A171C"/>
              <w:right w:val="single" w:sz="4" w:space="0" w:color="1A171C"/>
            </w:tcBorders>
            <w:vAlign w:val="center"/>
          </w:tcPr>
          <w:p w14:paraId="7FE1B668" w14:textId="77777777" w:rsidR="00414040" w:rsidRDefault="00904E1A">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956D4A4" w:rsidR="00414040" w:rsidRDefault="00904E1A">
            <w:pPr>
              <w:pStyle w:val="P68B1DB1-TableParagraph14"/>
              <w:spacing w:before="108"/>
              <w:jc w:val="both"/>
            </w:pPr>
            <w:r w:rsidRPr="2466DABA">
              <w:rPr>
                <w:lang w:val="es-ES"/>
              </w:rPr>
              <w:t xml:space="preserve">Ratio del requisito global de capital </w:t>
            </w:r>
            <w:r w:rsidR="0C0601DB" w:rsidRPr="2466DABA">
              <w:rPr>
                <w:lang w:val="es-ES"/>
              </w:rPr>
              <w:t>(ORC</w:t>
            </w:r>
            <w:r w:rsidR="00672E72">
              <w:rPr>
                <w:lang w:val="es-ES"/>
              </w:rPr>
              <w:t>, por sus siglas en inglés</w:t>
            </w:r>
            <w:r w:rsidR="0C0601DB" w:rsidRPr="2466DABA">
              <w:rPr>
                <w:lang w:val="es-ES"/>
              </w:rPr>
              <w:t>)</w:t>
            </w:r>
          </w:p>
          <w:p w14:paraId="7FE1B66A" w14:textId="16092297" w:rsidR="00414040" w:rsidRDefault="00904E1A">
            <w:pPr>
              <w:pStyle w:val="P68B1DB1-TableParagraph13"/>
              <w:spacing w:before="108"/>
              <w:jc w:val="both"/>
            </w:pPr>
            <w:r>
              <w:t xml:space="preserve">COREP (OF): </w:t>
            </w:r>
            <w:r w:rsidR="00E06C05" w:rsidRPr="00E06C05">
              <w:t>{</w:t>
            </w:r>
            <w:r>
              <w:t>C 03.00; 160; 010</w:t>
            </w:r>
            <w:r w:rsidR="00E06C05" w:rsidRPr="00E06C05">
              <w:t>}</w:t>
            </w:r>
          </w:p>
          <w:p w14:paraId="7FE1B66B" w14:textId="77777777" w:rsidR="00414040" w:rsidRDefault="00904E1A">
            <w:pPr>
              <w:pStyle w:val="P68B1DB1-TableParagraph13"/>
              <w:spacing w:before="108"/>
              <w:jc w:val="both"/>
            </w:pPr>
            <w:r w:rsidRPr="69E604A3">
              <w:rPr>
                <w:lang w:val="es-ES"/>
              </w:rPr>
              <w:lastRenderedPageBreak/>
              <w:t xml:space="preserve">Suma de i) y </w:t>
            </w:r>
            <w:proofErr w:type="spellStart"/>
            <w:r w:rsidRPr="69E604A3">
              <w:rPr>
                <w:lang w:val="es-ES"/>
              </w:rPr>
              <w:t>ii</w:t>
            </w:r>
            <w:proofErr w:type="spellEnd"/>
            <w:r w:rsidRPr="69E604A3">
              <w:rPr>
                <w:lang w:val="es-ES"/>
              </w:rPr>
              <w:t xml:space="preserve">) de la siguiente manera: </w:t>
            </w:r>
          </w:p>
          <w:p w14:paraId="7FE1B66C" w14:textId="52F2C5DF" w:rsidR="00414040" w:rsidRDefault="00904E1A">
            <w:pPr>
              <w:pStyle w:val="P68B1DB1-TableParagraph13"/>
              <w:numPr>
                <w:ilvl w:val="3"/>
                <w:numId w:val="211"/>
              </w:numPr>
              <w:spacing w:before="108"/>
              <w:ind w:left="931" w:hanging="567"/>
              <w:jc w:val="both"/>
            </w:pPr>
            <w:r>
              <w:t xml:space="preserve">la ratio del requisito de capital total según el PRES indicada en la fila 0300; </w:t>
            </w:r>
          </w:p>
          <w:p w14:paraId="7FE1B66D" w14:textId="77777777" w:rsidR="00414040" w:rsidRDefault="00904E1A">
            <w:pPr>
              <w:pStyle w:val="P68B1DB1-TableParagraph13"/>
              <w:numPr>
                <w:ilvl w:val="3"/>
                <w:numId w:val="211"/>
              </w:numPr>
              <w:spacing w:before="108"/>
              <w:ind w:left="931" w:hanging="567"/>
              <w:jc w:val="both"/>
            </w:pPr>
            <w:r w:rsidRPr="69E604A3">
              <w:rPr>
                <w:lang w:val="es-ES"/>
              </w:rPr>
              <w:t xml:space="preserve">en la medida en que sea legalmente aplicable, la ratio de requisitos combinados de colchón a que se refiere el artículo 128, punto 6, de la Directiva 2013/36/UE. </w:t>
            </w:r>
          </w:p>
          <w:p w14:paraId="7FE1B66E" w14:textId="2BA178DC" w:rsidR="00414040" w:rsidRDefault="00904E1A">
            <w:pPr>
              <w:pStyle w:val="P68B1DB1-TableParagraph13"/>
              <w:spacing w:before="108"/>
              <w:jc w:val="both"/>
            </w:pPr>
            <w:r>
              <w:t xml:space="preserve">Esta partida reflejará la ratio del requisito global de capital tal como se define en la sección 1.2 de las Directrices PRES de la ABE. </w:t>
            </w:r>
          </w:p>
          <w:p w14:paraId="7FE1B66F" w14:textId="7780B6A5" w:rsidR="00414040" w:rsidRDefault="00904E1A">
            <w:pPr>
              <w:pStyle w:val="P68B1DB1-TableParagraph13"/>
              <w:spacing w:before="108"/>
              <w:jc w:val="both"/>
              <w:rPr>
                <w:b/>
                <w:bCs/>
              </w:rPr>
            </w:pPr>
            <w:r>
              <w:t xml:space="preserve">Si no se aplica ningún requisito de colchón, solo se </w:t>
            </w:r>
            <w:r w:rsidR="5B1B81DD">
              <w:t>informará</w:t>
            </w:r>
            <w:r>
              <w:t xml:space="preserve"> lo señalado en i).</w:t>
            </w:r>
          </w:p>
        </w:tc>
      </w:tr>
    </w:tbl>
    <w:p w14:paraId="7FE1B712" w14:textId="77777777" w:rsidR="00414040" w:rsidRDefault="00414040">
      <w:pPr>
        <w:rPr>
          <w:rFonts w:ascii="Times New Roman" w:hAnsi="Times New Roman" w:cs="Times New Roman"/>
        </w:rPr>
      </w:pPr>
    </w:p>
    <w:p w14:paraId="7FE1B713" w14:textId="77777777" w:rsidR="00414040" w:rsidRDefault="00414040">
      <w:pPr>
        <w:rPr>
          <w:rFonts w:ascii="Times New Roman" w:hAnsi="Times New Roman" w:cs="Times New Roman"/>
        </w:rPr>
      </w:pPr>
    </w:p>
    <w:p w14:paraId="7FE1B714" w14:textId="1FEBD633" w:rsidR="00414040" w:rsidRDefault="00904E1A">
      <w:pPr>
        <w:pStyle w:val="P68B1DB1-Instructionsberschrift25"/>
        <w:numPr>
          <w:ilvl w:val="1"/>
          <w:numId w:val="49"/>
        </w:numPr>
        <w:ind w:left="357" w:hanging="357"/>
      </w:pPr>
      <w:bookmarkStart w:id="61" w:name="_Toc211525916"/>
      <w:r>
        <w:t>Z 03.02</w:t>
      </w:r>
      <w:r w:rsidR="0034554A">
        <w:t>.</w:t>
      </w:r>
      <w:r>
        <w:t xml:space="preserve"> Requisitos de fondos propios — Empresas de servicios de inversión (LIAB 3)</w:t>
      </w:r>
      <w:bookmarkEnd w:id="61"/>
    </w:p>
    <w:p w14:paraId="7FE1B715" w14:textId="77777777" w:rsidR="00414040" w:rsidRDefault="00904E1A">
      <w:pPr>
        <w:pStyle w:val="Instructionsberschrift3"/>
      </w:pPr>
      <w:r>
        <w:t>Observaciones generales</w:t>
      </w:r>
    </w:p>
    <w:p w14:paraId="7FE1B716" w14:textId="77777777" w:rsidR="00414040" w:rsidRPr="00630BC5" w:rsidRDefault="00904E1A" w:rsidP="00210421">
      <w:pPr>
        <w:pStyle w:val="P68B1DB1-InstructionsText26"/>
        <w:numPr>
          <w:ilvl w:val="0"/>
          <w:numId w:val="304"/>
        </w:numPr>
        <w:spacing w:before="0"/>
      </w:pPr>
      <w:r w:rsidRPr="00630BC5">
        <w:t>Esta plantilla recoge la información relativa a los requisitos de fondos propios del ente o el grupo.</w:t>
      </w:r>
    </w:p>
    <w:p w14:paraId="7FE1B717" w14:textId="33848F8B" w:rsidR="00414040" w:rsidRPr="00630BC5" w:rsidRDefault="00904E1A" w:rsidP="00210421">
      <w:pPr>
        <w:pStyle w:val="P68B1DB1-InstructionsText26"/>
        <w:numPr>
          <w:ilvl w:val="0"/>
          <w:numId w:val="304"/>
        </w:numPr>
        <w:spacing w:before="0"/>
      </w:pPr>
      <w:r w:rsidRPr="00630BC5">
        <w:t xml:space="preserve">Toda la </w:t>
      </w:r>
      <w:proofErr w:type="gramStart"/>
      <w:r w:rsidRPr="00630BC5">
        <w:t>información  deberá</w:t>
      </w:r>
      <w:proofErr w:type="gramEnd"/>
      <w:r w:rsidRPr="00630BC5">
        <w:t xml:space="preserve"> reflejar los requisitos de fondos propios aplicables en la fecha de referencia de la información.</w:t>
      </w:r>
    </w:p>
    <w:p w14:paraId="666AF7EE" w14:textId="5C641D09" w:rsidR="00414040" w:rsidRPr="00210421" w:rsidRDefault="18CE6E5D" w:rsidP="00210421">
      <w:pPr>
        <w:pStyle w:val="P68B1DB1-InstructionsText26"/>
        <w:numPr>
          <w:ilvl w:val="0"/>
          <w:numId w:val="304"/>
        </w:numPr>
        <w:spacing w:before="0"/>
      </w:pPr>
      <w:r w:rsidRPr="00E741AD">
        <w:rPr>
          <w:lang w:val="es-ES"/>
        </w:rPr>
        <w:t xml:space="preserve">Para la presentación de información en base consolidada o individual, si estos puntos de datos ya han sido comunicados por </w:t>
      </w:r>
      <w:r w:rsidR="00BE10E4">
        <w:rPr>
          <w:lang w:val="es-ES"/>
        </w:rPr>
        <w:t>el ente</w:t>
      </w:r>
      <w:r w:rsidRPr="00E741AD">
        <w:rPr>
          <w:lang w:val="es-ES"/>
        </w:rPr>
        <w:t xml:space="preserve"> en el IFREP para la misma fecha de referencia y el mismo alcance (véanse las referencias de las IFREP en las instrucciones), </w:t>
      </w:r>
      <w:r w:rsidR="002573CC">
        <w:rPr>
          <w:lang w:val="es-ES"/>
        </w:rPr>
        <w:t>el ente</w:t>
      </w:r>
      <w:r w:rsidRPr="00E741AD">
        <w:rPr>
          <w:lang w:val="es-ES"/>
        </w:rPr>
        <w:t xml:space="preserve"> declarante no tendrá que comunicar estos puntos de datos por segunda vez. Los datos solo deben comunicarse, por ejemplo, cuando </w:t>
      </w:r>
      <w:r w:rsidR="00BE10E4">
        <w:rPr>
          <w:lang w:val="es-ES"/>
        </w:rPr>
        <w:t>el ente</w:t>
      </w:r>
      <w:r w:rsidRPr="00E741AD">
        <w:rPr>
          <w:lang w:val="es-ES"/>
        </w:rPr>
        <w:t xml:space="preserve"> declarante haya sido </w:t>
      </w:r>
      <w:proofErr w:type="gramStart"/>
      <w:r w:rsidRPr="00E741AD">
        <w:rPr>
          <w:lang w:val="es-ES"/>
        </w:rPr>
        <w:t>eximida</w:t>
      </w:r>
      <w:proofErr w:type="gramEnd"/>
      <w:r w:rsidRPr="00E741AD">
        <w:rPr>
          <w:lang w:val="es-ES"/>
        </w:rPr>
        <w:t xml:space="preserve"> de las obligaciones de información financiera o prudencial, en cuyo caso la única fuente de datos para las autoridades de resolución para estos puntos de datos es </w:t>
      </w:r>
      <w:r w:rsidR="007D0411">
        <w:rPr>
          <w:lang w:val="es-ES"/>
        </w:rPr>
        <w:t>la</w:t>
      </w:r>
      <w:r w:rsidR="007D0411" w:rsidRPr="00E741AD">
        <w:rPr>
          <w:lang w:val="es-ES"/>
        </w:rPr>
        <w:t xml:space="preserve"> </w:t>
      </w:r>
      <w:r w:rsidRPr="00E741AD">
        <w:rPr>
          <w:lang w:val="es-ES"/>
        </w:rPr>
        <w:t xml:space="preserve">presente </w:t>
      </w:r>
      <w:r w:rsidR="007D0411">
        <w:rPr>
          <w:lang w:val="es-ES"/>
        </w:rPr>
        <w:t>plantilla</w:t>
      </w:r>
      <w:r w:rsidRPr="00E741AD">
        <w:rPr>
          <w:lang w:val="es-ES"/>
        </w:rPr>
        <w:t>.</w:t>
      </w:r>
    </w:p>
    <w:p w14:paraId="1DA6CBB2" w14:textId="77777777" w:rsidR="00414040" w:rsidRDefault="00414040" w:rsidP="00210421">
      <w:pPr>
        <w:pStyle w:val="P68B1DB1-InstructionsText26"/>
        <w:numPr>
          <w:ilvl w:val="0"/>
          <w:numId w:val="304"/>
        </w:numPr>
        <w:spacing w:before="0"/>
      </w:pPr>
    </w:p>
    <w:p w14:paraId="7FE1B718" w14:textId="4C8CE473" w:rsidR="00414040" w:rsidRDefault="00414040">
      <w:pPr>
        <w:pStyle w:val="InstructionsText2"/>
        <w:numPr>
          <w:ilvl w:val="0"/>
          <w:numId w:val="0"/>
        </w:numPr>
        <w:spacing w:before="0"/>
        <w:ind w:left="1440"/>
        <w:rPr>
          <w:rFonts w:ascii="Times New Roman" w:hAnsi="Times New Roman" w:cs="Times New Roman"/>
          <w:sz w:val="20"/>
          <w:szCs w:val="20"/>
        </w:rPr>
      </w:pPr>
    </w:p>
    <w:p w14:paraId="7FE1B719" w14:textId="77777777" w:rsidR="00414040" w:rsidRDefault="00904E1A">
      <w:pPr>
        <w:pStyle w:val="Instructionsberschrift3"/>
      </w:pPr>
      <w:r>
        <w:t>Instrucciones relativas a posiciones concretas</w:t>
      </w:r>
    </w:p>
    <w:p w14:paraId="7FE1B71A" w14:textId="77777777" w:rsidR="00414040" w:rsidRDefault="00414040">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414040" w14:paraId="7FE1B71D" w14:textId="77777777" w:rsidTr="2466DABA">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414040" w:rsidRDefault="00904E1A">
            <w:pPr>
              <w:pStyle w:val="P68B1DB1-TableParagraph13"/>
              <w:spacing w:before="66"/>
              <w:rPr>
                <w:rFonts w:eastAsia="Cambria"/>
              </w:rPr>
            </w:pPr>
            <w:r>
              <w:t>Filas</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414040" w:rsidRDefault="00904E1A">
            <w:pPr>
              <w:pStyle w:val="P68B1DB1-TableParagraph13"/>
              <w:spacing w:before="66"/>
              <w:ind w:right="1"/>
              <w:jc w:val="center"/>
              <w:rPr>
                <w:rFonts w:eastAsia="Cambria"/>
              </w:rPr>
            </w:pPr>
            <w:r>
              <w:t>Instrucciones</w:t>
            </w:r>
          </w:p>
        </w:tc>
      </w:tr>
      <w:tr w:rsidR="00414040" w14:paraId="7FE1B722" w14:textId="77777777" w:rsidTr="2466DABA">
        <w:tc>
          <w:tcPr>
            <w:tcW w:w="856" w:type="dxa"/>
            <w:tcBorders>
              <w:top w:val="single" w:sz="4" w:space="0" w:color="1A171C"/>
              <w:left w:val="nil"/>
              <w:bottom w:val="single" w:sz="4" w:space="0" w:color="1A171C"/>
              <w:right w:val="single" w:sz="4" w:space="0" w:color="1A171C"/>
            </w:tcBorders>
            <w:vAlign w:val="center"/>
          </w:tcPr>
          <w:p w14:paraId="7FE1B71E" w14:textId="77777777" w:rsidR="00414040" w:rsidRDefault="00904E1A">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414040" w:rsidRDefault="00904E1A">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Requisito de fondos propios total </w:t>
            </w:r>
            <w:r>
              <w:rPr>
                <w:rStyle w:val="InstructionsTabelleberschrift"/>
                <w:rFonts w:ascii="Times New Roman" w:hAnsi="Times New Roman"/>
                <w:color w:val="000000" w:themeColor="text1"/>
                <w:szCs w:val="20"/>
              </w:rPr>
              <w:t>(IFREP I 02.01 r0130)</w:t>
            </w:r>
          </w:p>
          <w:p w14:paraId="29B1A135" w14:textId="77777777" w:rsidR="00414040" w:rsidRDefault="00414040">
            <w:pPr>
              <w:rPr>
                <w:rStyle w:val="InstructionsTabelleberschrift"/>
                <w:rFonts w:ascii="Times New Roman" w:hAnsi="Times New Roman"/>
                <w:color w:val="000000" w:themeColor="text1"/>
                <w:szCs w:val="20"/>
                <w:u w:val="none"/>
              </w:rPr>
            </w:pPr>
          </w:p>
          <w:p w14:paraId="4F8C79FA" w14:textId="24954FE7" w:rsidR="00414040" w:rsidRDefault="10A5E5BA">
            <w:pPr>
              <w:pStyle w:val="P68B1DB1-TableParagraph17"/>
              <w:spacing w:before="108"/>
            </w:pPr>
            <w:r w:rsidRPr="2466DABA">
              <w:rPr>
                <w:lang w:val="es-ES"/>
              </w:rPr>
              <w:t xml:space="preserve">Los requisitos totales de fondos propios de una empresa de </w:t>
            </w:r>
            <w:r w:rsidR="6CB83516" w:rsidRPr="2466DABA">
              <w:rPr>
                <w:lang w:val="es-ES"/>
              </w:rPr>
              <w:t xml:space="preserve">servicios de </w:t>
            </w:r>
            <w:r w:rsidRPr="2466DABA">
              <w:rPr>
                <w:lang w:val="es-ES"/>
              </w:rPr>
              <w:t>inversión consistirán en la suma de sus requisitos de fondos propios aplicables en la fecha de referencia, los requisitos de fondos propios</w:t>
            </w:r>
            <w:r w:rsidR="07FB6C1E" w:rsidRPr="2466DABA">
              <w:rPr>
                <w:lang w:val="es-ES"/>
              </w:rPr>
              <w:t xml:space="preserve"> adicionales</w:t>
            </w:r>
            <w:r w:rsidRPr="2466DABA">
              <w:rPr>
                <w:lang w:val="es-ES"/>
              </w:rPr>
              <w:t xml:space="preserve"> indicados en la fila 0120 y las directrices </w:t>
            </w:r>
            <w:r w:rsidR="6C4B914D" w:rsidRPr="2466DABA">
              <w:rPr>
                <w:lang w:val="es-ES"/>
              </w:rPr>
              <w:t>sobre</w:t>
            </w:r>
            <w:r w:rsidRPr="2466DABA">
              <w:rPr>
                <w:lang w:val="es-ES"/>
              </w:rPr>
              <w:t xml:space="preserve"> fondos propios adicionales de la fila 0130.</w:t>
            </w:r>
          </w:p>
          <w:p w14:paraId="7FE1B721" w14:textId="77777777" w:rsidR="00414040" w:rsidRDefault="00414040">
            <w:pPr>
              <w:pStyle w:val="TableParagraph"/>
              <w:spacing w:before="108"/>
              <w:rPr>
                <w:rFonts w:ascii="Times New Roman" w:hAnsi="Times New Roman" w:cs="Times New Roman"/>
                <w:color w:val="000000" w:themeColor="text1"/>
                <w:sz w:val="20"/>
                <w:szCs w:val="20"/>
              </w:rPr>
            </w:pPr>
          </w:p>
        </w:tc>
      </w:tr>
      <w:tr w:rsidR="00414040" w14:paraId="7FE1B728" w14:textId="77777777" w:rsidTr="2466DABA">
        <w:tc>
          <w:tcPr>
            <w:tcW w:w="856" w:type="dxa"/>
            <w:tcBorders>
              <w:top w:val="single" w:sz="4" w:space="0" w:color="1A171C"/>
              <w:left w:val="nil"/>
              <w:bottom w:val="single" w:sz="4" w:space="0" w:color="1A171C"/>
              <w:right w:val="single" w:sz="4" w:space="0" w:color="1A171C"/>
            </w:tcBorders>
            <w:vAlign w:val="center"/>
          </w:tcPr>
          <w:p w14:paraId="7FE1B723" w14:textId="6F3D19E1" w:rsidR="00414040" w:rsidRDefault="00904E1A">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414040" w:rsidRDefault="00904E1A">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Requisito de fondos propios </w:t>
            </w:r>
            <w:r>
              <w:rPr>
                <w:rStyle w:val="InstructionsTabelleberschrift"/>
                <w:rFonts w:ascii="Times New Roman" w:hAnsi="Times New Roman"/>
                <w:color w:val="000000" w:themeColor="text1"/>
                <w:szCs w:val="20"/>
              </w:rPr>
              <w:t>(IFREP I 02.01 r0010)</w:t>
            </w:r>
          </w:p>
          <w:p w14:paraId="74086713" w14:textId="7F827C2E" w:rsidR="00414040" w:rsidRDefault="00904E1A">
            <w:pPr>
              <w:pStyle w:val="P68B1DB1-TableParagraph17"/>
              <w:spacing w:before="108"/>
            </w:pPr>
            <w:r>
              <w:t>Artículo 11, apartado 1, del Reglamento (UE) 2019/2033.</w:t>
            </w:r>
          </w:p>
          <w:p w14:paraId="016729EC" w14:textId="77777777" w:rsidR="00414040" w:rsidRDefault="00904E1A">
            <w:pPr>
              <w:pStyle w:val="P68B1DB1-TableParagraph17"/>
              <w:spacing w:before="108"/>
            </w:pPr>
            <w:r>
              <w:t>El importe será el importe sin aplicación del artículo 57, apartados 3, 4 o 6, del Reglamento (UE) 2019/2033.</w:t>
            </w:r>
          </w:p>
          <w:p w14:paraId="7FE1B727" w14:textId="77777777" w:rsidR="00414040" w:rsidRDefault="00414040">
            <w:pPr>
              <w:pStyle w:val="TableParagraph"/>
              <w:spacing w:before="108"/>
              <w:jc w:val="both"/>
              <w:rPr>
                <w:rFonts w:ascii="Times New Roman" w:eastAsia="Cambria" w:hAnsi="Times New Roman" w:cs="Times New Roman"/>
                <w:color w:val="000000" w:themeColor="text1"/>
                <w:sz w:val="20"/>
                <w:szCs w:val="20"/>
              </w:rPr>
            </w:pPr>
          </w:p>
        </w:tc>
      </w:tr>
      <w:tr w:rsidR="00414040" w14:paraId="7FE1B72F" w14:textId="77777777" w:rsidTr="2466DABA">
        <w:tc>
          <w:tcPr>
            <w:tcW w:w="856" w:type="dxa"/>
            <w:tcBorders>
              <w:top w:val="single" w:sz="4" w:space="0" w:color="1A171C"/>
              <w:left w:val="nil"/>
              <w:bottom w:val="single" w:sz="4" w:space="0" w:color="1A171C"/>
              <w:right w:val="single" w:sz="4" w:space="0" w:color="1A171C"/>
            </w:tcBorders>
            <w:vAlign w:val="center"/>
          </w:tcPr>
          <w:p w14:paraId="7FE1B729" w14:textId="4BE2E84C" w:rsidR="00414040" w:rsidRDefault="00904E1A">
            <w:pPr>
              <w:pStyle w:val="P68B1DB1-TableParagraph13"/>
              <w:spacing w:before="106"/>
              <w:ind w:left="-1"/>
            </w:pPr>
            <w:r>
              <w:lastRenderedPageBreak/>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414040" w:rsidRDefault="00904E1A">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Requisito de fondos propios adicionales </w:t>
            </w:r>
            <w:r>
              <w:rPr>
                <w:rStyle w:val="InstructionsTabelleberschrift"/>
                <w:rFonts w:ascii="Times New Roman" w:hAnsi="Times New Roman"/>
                <w:color w:val="000000" w:themeColor="text1"/>
                <w:szCs w:val="20"/>
              </w:rPr>
              <w:t>(IFREP I 02.01 r0110)</w:t>
            </w:r>
          </w:p>
          <w:p w14:paraId="05BFD23E" w14:textId="06165C78" w:rsidR="00414040" w:rsidRDefault="00904E1A">
            <w:pPr>
              <w:pStyle w:val="P68B1DB1-TableParagraph17"/>
              <w:spacing w:before="108"/>
              <w:jc w:val="both"/>
            </w:pPr>
            <w:r>
              <w:t>Artículo 40 de la Directiva (UE) 2019/2034.</w:t>
            </w:r>
          </w:p>
          <w:p w14:paraId="2AF15530" w14:textId="2826F1B3" w:rsidR="00414040" w:rsidRDefault="00904E1A">
            <w:pPr>
              <w:pStyle w:val="P68B1DB1-TableParagraph13"/>
              <w:spacing w:before="108"/>
              <w:jc w:val="both"/>
            </w:pPr>
            <w:r w:rsidRPr="2466DABA">
              <w:rPr>
                <w:lang w:val="es-ES"/>
              </w:rPr>
              <w:t xml:space="preserve">Fondos propios adicionales requeridos </w:t>
            </w:r>
            <w:r w:rsidR="0083603C">
              <w:rPr>
                <w:lang w:val="es-ES"/>
              </w:rPr>
              <w:t xml:space="preserve">según </w:t>
            </w:r>
            <w:r w:rsidRPr="2466DABA">
              <w:rPr>
                <w:lang w:val="es-ES"/>
              </w:rPr>
              <w:t xml:space="preserve">el PRES. </w:t>
            </w:r>
          </w:p>
          <w:p w14:paraId="7FE1B72E" w14:textId="77777777" w:rsidR="00414040" w:rsidRDefault="00414040">
            <w:pPr>
              <w:pStyle w:val="TableParagraph"/>
              <w:spacing w:before="108"/>
              <w:rPr>
                <w:rFonts w:ascii="Times New Roman" w:eastAsia="Cambria" w:hAnsi="Times New Roman" w:cs="Times New Roman"/>
                <w:color w:val="000000" w:themeColor="text1"/>
                <w:sz w:val="20"/>
                <w:szCs w:val="20"/>
              </w:rPr>
            </w:pPr>
          </w:p>
        </w:tc>
      </w:tr>
      <w:tr w:rsidR="00414040" w14:paraId="7FE1B738" w14:textId="77777777" w:rsidTr="2466DABA">
        <w:tc>
          <w:tcPr>
            <w:tcW w:w="856" w:type="dxa"/>
            <w:tcBorders>
              <w:top w:val="single" w:sz="4" w:space="0" w:color="1A171C"/>
              <w:left w:val="nil"/>
              <w:bottom w:val="single" w:sz="4" w:space="0" w:color="1A171C"/>
              <w:right w:val="single" w:sz="4" w:space="0" w:color="1A171C"/>
            </w:tcBorders>
            <w:vAlign w:val="center"/>
          </w:tcPr>
          <w:p w14:paraId="7FE1B730" w14:textId="22E6147A" w:rsidR="00414040" w:rsidRDefault="00904E1A">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791338D0" w:rsidR="00414040" w:rsidRDefault="444C4C2B">
            <w:pPr>
              <w:pStyle w:val="TableParagraph"/>
              <w:spacing w:before="108"/>
              <w:jc w:val="both"/>
              <w:rPr>
                <w:rFonts w:ascii="Times New Roman" w:hAnsi="Times New Roman" w:cs="Times New Roman"/>
                <w:b/>
                <w:bCs/>
                <w:color w:val="000000" w:themeColor="text1"/>
                <w:sz w:val="20"/>
                <w:szCs w:val="20"/>
              </w:rPr>
            </w:pPr>
            <w:r w:rsidRPr="2466DABA">
              <w:rPr>
                <w:rFonts w:ascii="Times New Roman" w:hAnsi="Times New Roman" w:cs="Times New Roman"/>
                <w:b/>
                <w:bCs/>
                <w:color w:val="000000" w:themeColor="text1"/>
                <w:sz w:val="20"/>
                <w:szCs w:val="20"/>
              </w:rPr>
              <w:t>Directrices</w:t>
            </w:r>
            <w:r w:rsidR="00904E1A" w:rsidRPr="2466DABA">
              <w:rPr>
                <w:rFonts w:ascii="Times New Roman" w:hAnsi="Times New Roman" w:cs="Times New Roman"/>
                <w:b/>
                <w:bCs/>
                <w:color w:val="000000" w:themeColor="text1"/>
                <w:sz w:val="20"/>
                <w:szCs w:val="20"/>
              </w:rPr>
              <w:t xml:space="preserve"> sobre fondos propios adicionales </w:t>
            </w:r>
            <w:r w:rsidR="00904E1A" w:rsidRPr="2466DABA">
              <w:rPr>
                <w:rStyle w:val="InstructionsTabelleberschrift"/>
                <w:rFonts w:ascii="Times New Roman" w:hAnsi="Times New Roman"/>
                <w:color w:val="000000" w:themeColor="text1"/>
              </w:rPr>
              <w:t>(IFREP I 02.01 r0120)</w:t>
            </w:r>
          </w:p>
          <w:p w14:paraId="4094919F" w14:textId="67C4E4FA" w:rsidR="00414040" w:rsidRDefault="00904E1A">
            <w:pPr>
              <w:pStyle w:val="P68B1DB1-TableParagraph17"/>
              <w:spacing w:before="108"/>
            </w:pPr>
            <w:r>
              <w:t>Artículo 41 de la Directiva (UE) 2019/2034.</w:t>
            </w:r>
          </w:p>
          <w:p w14:paraId="1EA34579" w14:textId="77777777" w:rsidR="00414040" w:rsidRDefault="10A5E5BA">
            <w:pPr>
              <w:pStyle w:val="P68B1DB1-TableParagraph17"/>
              <w:spacing w:before="108"/>
            </w:pPr>
            <w:r w:rsidRPr="2466DABA">
              <w:rPr>
                <w:lang w:val="es-ES"/>
              </w:rPr>
              <w:t>Fondos propios adicionales requeridos como directrices sobre fondos propios adicionales.</w:t>
            </w:r>
          </w:p>
          <w:p w14:paraId="7FE1B736" w14:textId="77777777" w:rsidR="00414040" w:rsidRDefault="00414040">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414040" w:rsidRDefault="00414040">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414040" w:rsidRDefault="00414040">
      <w:pPr>
        <w:pStyle w:val="Instructionsberschrift3"/>
        <w:numPr>
          <w:ilvl w:val="0"/>
          <w:numId w:val="0"/>
        </w:numPr>
        <w:ind w:left="720" w:hanging="432"/>
      </w:pPr>
    </w:p>
    <w:p w14:paraId="7FE1B742" w14:textId="77777777" w:rsidR="00414040" w:rsidRDefault="00414040">
      <w:pPr>
        <w:pStyle w:val="Instructionsberschrift3"/>
        <w:numPr>
          <w:ilvl w:val="0"/>
          <w:numId w:val="0"/>
        </w:numPr>
        <w:ind w:left="720" w:hanging="432"/>
      </w:pPr>
    </w:p>
    <w:p w14:paraId="7FE1B743" w14:textId="77777777" w:rsidR="00414040" w:rsidRDefault="00414040">
      <w:pPr>
        <w:pStyle w:val="Instructionsberschrift3"/>
        <w:numPr>
          <w:ilvl w:val="0"/>
          <w:numId w:val="0"/>
        </w:numPr>
        <w:ind w:left="720" w:hanging="432"/>
      </w:pPr>
    </w:p>
    <w:p w14:paraId="7FE1B744" w14:textId="49BA0C03" w:rsidR="00414040" w:rsidRDefault="00414040">
      <w:pPr>
        <w:rPr>
          <w:rFonts w:ascii="Times New Roman" w:hAnsi="Times New Roman" w:cs="Times New Roman"/>
          <w:color w:val="000000" w:themeColor="text1"/>
          <w:sz w:val="20"/>
          <w:szCs w:val="20"/>
        </w:rPr>
      </w:pPr>
    </w:p>
    <w:p w14:paraId="7FE1B745" w14:textId="4D0C2633" w:rsidR="00414040" w:rsidRDefault="00904E1A">
      <w:pPr>
        <w:pStyle w:val="P68B1DB1-Instructionsberschrift25"/>
        <w:numPr>
          <w:ilvl w:val="1"/>
          <w:numId w:val="49"/>
        </w:numPr>
        <w:ind w:left="357" w:hanging="357"/>
      </w:pPr>
      <w:bookmarkStart w:id="62" w:name="_Toc492542324"/>
      <w:bookmarkStart w:id="63" w:name="_Toc81454182"/>
      <w:bookmarkStart w:id="64" w:name="_Toc211525917"/>
      <w:r w:rsidRPr="69E604A3">
        <w:rPr>
          <w:lang w:val="es-ES"/>
        </w:rPr>
        <w:t>Z 04.00.</w:t>
      </w:r>
      <w:r w:rsidR="0034554A">
        <w:rPr>
          <w:lang w:val="es-ES"/>
        </w:rPr>
        <w:t xml:space="preserve"> </w:t>
      </w:r>
      <w:r w:rsidRPr="69E604A3">
        <w:rPr>
          <w:lang w:val="es-ES"/>
        </w:rPr>
        <w:t>Interconexiones financieras intragrupo (LIAB 4)</w:t>
      </w:r>
      <w:bookmarkEnd w:id="62"/>
      <w:bookmarkEnd w:id="63"/>
      <w:bookmarkEnd w:id="64"/>
    </w:p>
    <w:p w14:paraId="7FE1B746" w14:textId="77777777" w:rsidR="00414040" w:rsidRDefault="00904E1A">
      <w:pPr>
        <w:pStyle w:val="Instructionsberschrift3"/>
      </w:pPr>
      <w:r>
        <w:t>Observaciones generales</w:t>
      </w:r>
    </w:p>
    <w:p w14:paraId="7FE1B747" w14:textId="3BB98E0B" w:rsidR="00414040" w:rsidRDefault="00904E1A">
      <w:pPr>
        <w:pStyle w:val="P68B1DB1-InstructionsText26"/>
        <w:numPr>
          <w:ilvl w:val="0"/>
          <w:numId w:val="232"/>
        </w:numPr>
        <w:spacing w:before="0"/>
      </w:pPr>
      <w:r>
        <w:t xml:space="preserve">Esta plantilla ofrece información sobre los pasivos intragrupo, los instrumentos de capital y las garantías. </w:t>
      </w:r>
    </w:p>
    <w:p w14:paraId="7FE1B748" w14:textId="0635B60B" w:rsidR="00414040" w:rsidRDefault="27A88B51">
      <w:pPr>
        <w:pStyle w:val="P68B1DB1-InstructionsText26"/>
        <w:numPr>
          <w:ilvl w:val="0"/>
          <w:numId w:val="232"/>
        </w:numPr>
        <w:spacing w:before="0"/>
      </w:pPr>
      <w:r>
        <w:t xml:space="preserve">Se comunicarán todas las interconexiones financieras entre los entes jurídicos incluidos en los estados financieros consolidados. Los importes </w:t>
      </w:r>
      <w:r w:rsidR="670EFED0">
        <w:t>informados</w:t>
      </w:r>
      <w:r>
        <w:t xml:space="preserve"> se agregarán cuando correspondan a las mismas contrapartes (emisor o ente garantizado</w:t>
      </w:r>
      <w:r w:rsidR="3F40F3C3">
        <w:t>,</w:t>
      </w:r>
      <w:r>
        <w:t xml:space="preserve"> y acreedor, </w:t>
      </w:r>
      <w:r w:rsidR="00904E1A">
        <w:t>titular</w:t>
      </w:r>
      <w:r>
        <w:t xml:space="preserve"> o proveedor de garantías) y al mismo tipo de pasivos, instrumentos de capital o garantías.</w:t>
      </w:r>
    </w:p>
    <w:p w14:paraId="7FE1B749" w14:textId="614637F0" w:rsidR="00414040" w:rsidRDefault="00904E1A">
      <w:pPr>
        <w:pStyle w:val="P68B1DB1-InstructionsText26"/>
        <w:numPr>
          <w:ilvl w:val="0"/>
          <w:numId w:val="232"/>
        </w:numPr>
        <w:spacing w:before="0"/>
      </w:pPr>
      <w:r>
        <w:t xml:space="preserve">La combinación de los valores </w:t>
      </w:r>
      <w:r w:rsidR="75EB68AF">
        <w:t>informados</w:t>
      </w:r>
      <w:r>
        <w:t xml:space="preserve"> en las columnas 0020, 0040 y 0050 de esta plantilla constituye una clave principal que debe ser única para cada fila de la plantilla.</w:t>
      </w:r>
    </w:p>
    <w:p w14:paraId="7FE1B74A" w14:textId="77777777" w:rsidR="00414040" w:rsidRDefault="00904E1A">
      <w:pPr>
        <w:pStyle w:val="P68B1DB1-Instructionsberschrift312"/>
      </w:pPr>
      <w:r>
        <w:t>Instrucciones relativas a posiciones concretas</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414040" w14:paraId="7FE1B74D" w14:textId="77777777" w:rsidTr="466B0B01">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414040" w:rsidRDefault="00904E1A">
            <w:pPr>
              <w:pStyle w:val="P68B1DB1-TableParagraph13"/>
              <w:spacing w:before="66"/>
              <w:rPr>
                <w:rFonts w:eastAsia="Cambria"/>
              </w:rPr>
            </w:pPr>
            <w:r>
              <w:t>Columnas</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414040" w:rsidRDefault="00904E1A">
            <w:pPr>
              <w:pStyle w:val="P68B1DB1-TableParagraph13"/>
              <w:spacing w:before="66"/>
              <w:ind w:right="1"/>
              <w:jc w:val="center"/>
              <w:rPr>
                <w:rFonts w:eastAsia="Cambria"/>
              </w:rPr>
            </w:pPr>
            <w:r>
              <w:t>Instrucciones</w:t>
            </w:r>
          </w:p>
        </w:tc>
      </w:tr>
      <w:tr w:rsidR="00414040" w14:paraId="7FE1B751" w14:textId="77777777" w:rsidTr="466B0B01">
        <w:tc>
          <w:tcPr>
            <w:tcW w:w="907" w:type="dxa"/>
            <w:tcBorders>
              <w:top w:val="single" w:sz="4" w:space="0" w:color="1A171C"/>
              <w:left w:val="nil"/>
              <w:bottom w:val="single" w:sz="4" w:space="0" w:color="1A171C"/>
              <w:right w:val="single" w:sz="4" w:space="0" w:color="1A171C"/>
            </w:tcBorders>
            <w:vAlign w:val="center"/>
          </w:tcPr>
          <w:p w14:paraId="7FE1B74E" w14:textId="6C279506" w:rsidR="00414040" w:rsidRDefault="00904E1A">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414040" w:rsidRDefault="00904E1A">
            <w:pPr>
              <w:pStyle w:val="P68B1DB1-TableParagraph14"/>
              <w:spacing w:before="108"/>
              <w:ind w:left="85"/>
              <w:jc w:val="both"/>
              <w:rPr>
                <w:bCs/>
              </w:rPr>
            </w:pPr>
            <w:r>
              <w:t>Emisor o ente garantizado</w:t>
            </w:r>
          </w:p>
          <w:p w14:paraId="7FE1B750" w14:textId="7EB38A5C" w:rsidR="00414040" w:rsidRDefault="00904E1A">
            <w:pPr>
              <w:pStyle w:val="P68B1DB1-TableParagraph17"/>
              <w:spacing w:before="108"/>
              <w:ind w:left="85"/>
              <w:jc w:val="both"/>
            </w:pPr>
            <w:r w:rsidRPr="2466DABA">
              <w:rPr>
                <w:lang w:val="es-ES"/>
              </w:rPr>
              <w:t xml:space="preserve">Ente jurídico que emite los pasivos o el instrumento de capital o </w:t>
            </w:r>
            <w:r w:rsidR="07871AE7" w:rsidRPr="2466DABA">
              <w:rPr>
                <w:lang w:val="es-ES"/>
              </w:rPr>
              <w:t>es el ente garantizado</w:t>
            </w:r>
            <w:r w:rsidRPr="00210421">
              <w:rPr>
                <w:highlight w:val="yellow"/>
                <w:lang w:val="es-ES"/>
              </w:rPr>
              <w:t>.</w:t>
            </w:r>
          </w:p>
        </w:tc>
      </w:tr>
      <w:tr w:rsidR="00414040" w14:paraId="7FE1B755" w14:textId="77777777" w:rsidTr="466B0B01">
        <w:tc>
          <w:tcPr>
            <w:tcW w:w="907" w:type="dxa"/>
            <w:tcBorders>
              <w:top w:val="single" w:sz="4" w:space="0" w:color="1A171C"/>
              <w:left w:val="nil"/>
              <w:bottom w:val="single" w:sz="4" w:space="0" w:color="1A171C"/>
              <w:right w:val="single" w:sz="4" w:space="0" w:color="1A171C"/>
            </w:tcBorders>
            <w:vAlign w:val="center"/>
          </w:tcPr>
          <w:p w14:paraId="7FE1B752" w14:textId="77777777" w:rsidR="00414040" w:rsidRDefault="00904E1A">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414040" w:rsidRDefault="00904E1A">
            <w:pPr>
              <w:pStyle w:val="P68B1DB1-TableParagraph14"/>
              <w:spacing w:before="108"/>
              <w:ind w:left="85"/>
              <w:jc w:val="both"/>
              <w:rPr>
                <w:bCs/>
              </w:rPr>
            </w:pPr>
            <w:r>
              <w:t xml:space="preserve">Nombre del ente </w:t>
            </w:r>
          </w:p>
          <w:p w14:paraId="7FE1B754" w14:textId="77777777" w:rsidR="00414040" w:rsidRDefault="00904E1A">
            <w:pPr>
              <w:pStyle w:val="P68B1DB1-TableParagraph17"/>
              <w:spacing w:before="108"/>
              <w:ind w:left="85"/>
              <w:jc w:val="both"/>
            </w:pPr>
            <w:r>
              <w:t xml:space="preserve">Debe ser distinto del indicado en la columna 0030. </w:t>
            </w:r>
          </w:p>
        </w:tc>
      </w:tr>
      <w:tr w:rsidR="00414040" w14:paraId="7FE1B75C" w14:textId="77777777" w:rsidTr="466B0B01">
        <w:tc>
          <w:tcPr>
            <w:tcW w:w="907" w:type="dxa"/>
            <w:tcBorders>
              <w:top w:val="single" w:sz="4" w:space="0" w:color="1A171C"/>
              <w:left w:val="nil"/>
              <w:bottom w:val="single" w:sz="4" w:space="0" w:color="1A171C"/>
              <w:right w:val="single" w:sz="4" w:space="0" w:color="1A171C"/>
            </w:tcBorders>
            <w:vAlign w:val="center"/>
          </w:tcPr>
          <w:p w14:paraId="7FE1B756" w14:textId="77777777" w:rsidR="00414040" w:rsidRDefault="00904E1A">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414040" w:rsidRDefault="00904E1A">
            <w:pPr>
              <w:pStyle w:val="P68B1DB1-TableParagraph14"/>
              <w:spacing w:before="108"/>
              <w:ind w:left="85"/>
              <w:jc w:val="both"/>
              <w:rPr>
                <w:bCs/>
              </w:rPr>
            </w:pPr>
            <w:r>
              <w:t>Código</w:t>
            </w:r>
          </w:p>
          <w:p w14:paraId="22E99FB3" w14:textId="6CF39AD5" w:rsidR="00414040" w:rsidRDefault="00904E1A">
            <w:pPr>
              <w:pStyle w:val="P68B1DB1-TableParagraph17"/>
              <w:spacing w:before="108"/>
              <w:ind w:left="85"/>
              <w:jc w:val="both"/>
            </w:pPr>
            <w:r>
              <w:t>Código del emisor o del receptor de</w:t>
            </w:r>
            <w:r w:rsidR="262599A4">
              <w:t xml:space="preserve"> las</w:t>
            </w:r>
            <w:r>
              <w:t xml:space="preserve"> garantías. </w:t>
            </w:r>
          </w:p>
          <w:p w14:paraId="4BE5BA2E" w14:textId="5887D7D0" w:rsidR="00414040" w:rsidRDefault="00904E1A">
            <w:pPr>
              <w:pStyle w:val="P68B1DB1-TableParagraph17"/>
              <w:spacing w:before="108"/>
              <w:ind w:left="85"/>
              <w:jc w:val="both"/>
            </w:pPr>
            <w:r>
              <w:t xml:space="preserve">En el caso de las entidades con un identificador de entidad jurídica (LEI), el código </w:t>
            </w:r>
            <w:r w:rsidR="004755C5">
              <w:t xml:space="preserve">LEI </w:t>
            </w:r>
            <w:r>
              <w:t>alfanumérico de 20 dígitos;</w:t>
            </w:r>
          </w:p>
          <w:p w14:paraId="7FE1B758" w14:textId="06A97E74" w:rsidR="00414040" w:rsidRDefault="00904E1A">
            <w:pPr>
              <w:pStyle w:val="P68B1DB1-TableParagraph17"/>
              <w:spacing w:before="108"/>
              <w:ind w:left="85"/>
              <w:jc w:val="both"/>
            </w:pPr>
            <w:r>
              <w:t xml:space="preserve">Si no se dispone de él, utilícese el código </w:t>
            </w:r>
            <w:r w:rsidR="00957770">
              <w:t xml:space="preserve">de </w:t>
            </w:r>
            <w:r>
              <w:t xml:space="preserve">IFM o un código con arreglo a una codificación uniforme </w:t>
            </w:r>
            <w:r>
              <w:lastRenderedPageBreak/>
              <w:t>aplicable en la Unión.</w:t>
            </w:r>
          </w:p>
          <w:p w14:paraId="7FE1B759" w14:textId="77777777" w:rsidR="00414040" w:rsidRDefault="00904E1A">
            <w:pPr>
              <w:pStyle w:val="P68B1DB1-TableParagraph17"/>
              <w:spacing w:before="108"/>
              <w:ind w:left="85"/>
              <w:jc w:val="both"/>
            </w:pPr>
            <w:r>
              <w:t>El código será único y se utilizará de manera coherente en las distintas plantillas.</w:t>
            </w:r>
          </w:p>
          <w:p w14:paraId="7FE1B75A" w14:textId="6E6F18E8" w:rsidR="00414040" w:rsidRDefault="004755C5">
            <w:pPr>
              <w:pStyle w:val="P68B1DB1-TableParagraph17"/>
              <w:spacing w:before="108"/>
              <w:ind w:left="85"/>
              <w:jc w:val="both"/>
            </w:pPr>
            <w:r>
              <w:t xml:space="preserve">El código deberá </w:t>
            </w:r>
            <w:r w:rsidR="00904E1A">
              <w:t>ser distinto del mencionado en la columna 0040.</w:t>
            </w:r>
          </w:p>
          <w:p w14:paraId="7FE1B75B" w14:textId="77777777" w:rsidR="00414040" w:rsidRDefault="00414040">
            <w:pPr>
              <w:pStyle w:val="TableParagraph"/>
              <w:spacing w:before="108"/>
              <w:ind w:left="85"/>
              <w:jc w:val="both"/>
              <w:rPr>
                <w:rFonts w:ascii="Times New Roman" w:eastAsia="Cambria" w:hAnsi="Times New Roman" w:cs="Times New Roman"/>
                <w:color w:val="000000" w:themeColor="text1"/>
                <w:sz w:val="20"/>
                <w:szCs w:val="20"/>
              </w:rPr>
            </w:pPr>
          </w:p>
        </w:tc>
      </w:tr>
      <w:tr w:rsidR="00414040" w14:paraId="7FE1B763" w14:textId="77777777" w:rsidTr="466B0B01">
        <w:tc>
          <w:tcPr>
            <w:tcW w:w="907" w:type="dxa"/>
            <w:tcBorders>
              <w:top w:val="single" w:sz="4" w:space="0" w:color="1A171C"/>
              <w:left w:val="nil"/>
              <w:bottom w:val="single" w:sz="4" w:space="0" w:color="1A171C"/>
              <w:right w:val="single" w:sz="4" w:space="0" w:color="1A171C"/>
            </w:tcBorders>
            <w:vAlign w:val="center"/>
          </w:tcPr>
          <w:p w14:paraId="7FE1B75D" w14:textId="77777777" w:rsidR="00414040" w:rsidRDefault="00904E1A">
            <w:pPr>
              <w:pStyle w:val="P68B1DB1-TableParagraph13"/>
              <w:spacing w:before="106"/>
              <w:ind w:left="-1"/>
            </w:pPr>
            <w:r>
              <w:lastRenderedPageBreak/>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414040" w:rsidRDefault="00904E1A">
            <w:pPr>
              <w:pStyle w:val="P68B1DB1-TableParagraph14"/>
              <w:spacing w:before="108"/>
              <w:ind w:left="85"/>
              <w:jc w:val="both"/>
              <w:rPr>
                <w:bCs/>
              </w:rPr>
            </w:pPr>
            <w:r>
              <w:t>Tipo de código</w:t>
            </w:r>
          </w:p>
          <w:p w14:paraId="7FE1B75F" w14:textId="371B6E06" w:rsidR="00414040" w:rsidRDefault="00904E1A">
            <w:pPr>
              <w:pStyle w:val="P68B1DB1-TableParagraph13"/>
              <w:spacing w:before="108"/>
              <w:ind w:left="85"/>
              <w:jc w:val="both"/>
            </w:pPr>
            <w:r>
              <w:t xml:space="preserve">El código será el mismo que el </w:t>
            </w:r>
            <w:r w:rsidR="01F81C7F">
              <w:t xml:space="preserve">informado </w:t>
            </w:r>
            <w:r>
              <w:t xml:space="preserve">en la plantilla Z 01.01 (ORG 1). </w:t>
            </w:r>
          </w:p>
          <w:p w14:paraId="7FE1B761" w14:textId="635A8A91" w:rsidR="00414040" w:rsidRDefault="00904E1A">
            <w:pPr>
              <w:pStyle w:val="P68B1DB1-TableParagraph13"/>
              <w:spacing w:before="108"/>
              <w:ind w:left="85"/>
              <w:jc w:val="both"/>
              <w:rPr>
                <w:bCs/>
              </w:rPr>
            </w:pPr>
            <w:r>
              <w:t>Se seleccionará una de las opciones siguientes: «Código LEI», «Código de IFM» o «Tipo de identificador: distinto del código LEI o de IFM».</w:t>
            </w:r>
          </w:p>
          <w:p w14:paraId="7FE1B762" w14:textId="21AA8199" w:rsidR="00414040" w:rsidRDefault="00904E1A">
            <w:pPr>
              <w:pStyle w:val="P68B1DB1-TableParagraph13"/>
              <w:spacing w:before="108"/>
              <w:ind w:left="85"/>
              <w:jc w:val="both"/>
              <w:rPr>
                <w:b/>
                <w:lang w:val="es-ES"/>
              </w:rPr>
            </w:pPr>
            <w:r w:rsidRPr="69BA2D32">
              <w:rPr>
                <w:lang w:val="es-ES"/>
              </w:rPr>
              <w:t xml:space="preserve">Para la identificación de </w:t>
            </w:r>
            <w:r w:rsidR="423352A0" w:rsidRPr="69BA2D32">
              <w:rPr>
                <w:lang w:val="es-ES"/>
              </w:rPr>
              <w:t>los entes</w:t>
            </w:r>
            <w:r w:rsidRPr="69BA2D32">
              <w:rPr>
                <w:lang w:val="es-ES"/>
              </w:rPr>
              <w:t xml:space="preserve"> o las participadas, </w:t>
            </w:r>
            <w:r w:rsidR="79D90320" w:rsidRPr="332A65A1">
              <w:rPr>
                <w:lang w:val="es-ES"/>
              </w:rPr>
              <w:t xml:space="preserve">la combinación </w:t>
            </w:r>
            <w:r w:rsidRPr="69BA2D32">
              <w:rPr>
                <w:lang w:val="es-ES"/>
              </w:rPr>
              <w:t xml:space="preserve">de código y tipo </w:t>
            </w:r>
            <w:r w:rsidR="75E7D869" w:rsidRPr="6FF47F76">
              <w:rPr>
                <w:lang w:val="es-ES"/>
              </w:rPr>
              <w:t>de código</w:t>
            </w:r>
            <w:r w:rsidRPr="6FF47F76">
              <w:rPr>
                <w:lang w:val="es-ES"/>
              </w:rPr>
              <w:t xml:space="preserve"> </w:t>
            </w:r>
            <w:r w:rsidRPr="69BA2D32">
              <w:rPr>
                <w:lang w:val="es-ES"/>
              </w:rPr>
              <w:t>se utilizará de forma coherente en todas las plantillas.</w:t>
            </w:r>
          </w:p>
        </w:tc>
      </w:tr>
      <w:tr w:rsidR="00414040" w14:paraId="7FE1B767" w14:textId="77777777" w:rsidTr="466B0B01">
        <w:tc>
          <w:tcPr>
            <w:tcW w:w="907" w:type="dxa"/>
            <w:tcBorders>
              <w:top w:val="single" w:sz="4" w:space="0" w:color="1A171C"/>
              <w:left w:val="nil"/>
              <w:bottom w:val="single" w:sz="4" w:space="0" w:color="1A171C"/>
              <w:right w:val="single" w:sz="4" w:space="0" w:color="1A171C"/>
            </w:tcBorders>
            <w:vAlign w:val="center"/>
          </w:tcPr>
          <w:p w14:paraId="7FE1B764" w14:textId="2382C727" w:rsidR="00414040" w:rsidRDefault="00904E1A">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0A3648D7" w:rsidR="00414040" w:rsidRDefault="18CE6E5D">
            <w:pPr>
              <w:pStyle w:val="P68B1DB1-TableParagraph14"/>
              <w:spacing w:before="108"/>
              <w:ind w:left="85"/>
              <w:jc w:val="both"/>
            </w:pPr>
            <w:r>
              <w:t xml:space="preserve">Acreedor, </w:t>
            </w:r>
            <w:r w:rsidR="00904E1A">
              <w:t>titular</w:t>
            </w:r>
            <w:r>
              <w:t xml:space="preserve"> o garante</w:t>
            </w:r>
          </w:p>
          <w:p w14:paraId="7FE1B766" w14:textId="53F3C9BA" w:rsidR="00414040" w:rsidRDefault="00904E1A">
            <w:pPr>
              <w:pStyle w:val="P68B1DB1-TableParagraph17"/>
              <w:spacing w:before="108"/>
              <w:ind w:left="85"/>
              <w:jc w:val="both"/>
            </w:pPr>
            <w:r>
              <w:t>Ente jurídico acreedor de la deuda, titular del instrumento de capital o proveedor de la garantía</w:t>
            </w:r>
            <w:r w:rsidRPr="006010C6">
              <w:t>.</w:t>
            </w:r>
          </w:p>
        </w:tc>
      </w:tr>
      <w:tr w:rsidR="00414040" w14:paraId="7FE1B76B" w14:textId="77777777" w:rsidTr="466B0B01">
        <w:tc>
          <w:tcPr>
            <w:tcW w:w="907" w:type="dxa"/>
            <w:tcBorders>
              <w:top w:val="single" w:sz="4" w:space="0" w:color="1A171C"/>
              <w:left w:val="nil"/>
              <w:bottom w:val="single" w:sz="4" w:space="0" w:color="1A171C"/>
              <w:right w:val="single" w:sz="4" w:space="0" w:color="1A171C"/>
            </w:tcBorders>
            <w:vAlign w:val="center"/>
          </w:tcPr>
          <w:p w14:paraId="7FE1B768" w14:textId="77777777" w:rsidR="00414040" w:rsidRDefault="00904E1A">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414040" w:rsidRDefault="00904E1A">
            <w:pPr>
              <w:pStyle w:val="P68B1DB1-TableParagraph14"/>
              <w:spacing w:before="108"/>
              <w:ind w:left="85"/>
              <w:jc w:val="both"/>
              <w:rPr>
                <w:bCs/>
              </w:rPr>
            </w:pPr>
            <w:r>
              <w:t xml:space="preserve">Nombre del ente </w:t>
            </w:r>
          </w:p>
          <w:p w14:paraId="7FE1B76A" w14:textId="77777777" w:rsidR="00414040" w:rsidRDefault="00904E1A">
            <w:pPr>
              <w:pStyle w:val="P68B1DB1-TableParagraph17"/>
              <w:spacing w:before="108"/>
              <w:ind w:left="85"/>
              <w:jc w:val="both"/>
            </w:pPr>
            <w:r>
              <w:t xml:space="preserve">Debe ser distinto del indicado en la columna 0010. </w:t>
            </w:r>
          </w:p>
        </w:tc>
      </w:tr>
      <w:tr w:rsidR="00414040" w14:paraId="7FE1B771" w14:textId="77777777" w:rsidTr="466B0B01">
        <w:tc>
          <w:tcPr>
            <w:tcW w:w="907" w:type="dxa"/>
            <w:tcBorders>
              <w:top w:val="single" w:sz="4" w:space="0" w:color="1A171C"/>
              <w:left w:val="nil"/>
              <w:bottom w:val="single" w:sz="4" w:space="0" w:color="1A171C"/>
              <w:right w:val="single" w:sz="4" w:space="0" w:color="1A171C"/>
            </w:tcBorders>
            <w:vAlign w:val="center"/>
          </w:tcPr>
          <w:p w14:paraId="7FE1B76C" w14:textId="77777777" w:rsidR="00414040" w:rsidRDefault="00904E1A">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414040" w:rsidRDefault="00904E1A">
            <w:pPr>
              <w:pStyle w:val="P68B1DB1-TableParagraph14"/>
              <w:spacing w:before="108"/>
              <w:ind w:left="85"/>
              <w:jc w:val="both"/>
              <w:rPr>
                <w:bCs/>
              </w:rPr>
            </w:pPr>
            <w:r>
              <w:t>Código</w:t>
            </w:r>
          </w:p>
          <w:p w14:paraId="07AEB6DE" w14:textId="1B2C1363" w:rsidR="00414040" w:rsidRDefault="18CE6E5D">
            <w:pPr>
              <w:pStyle w:val="P68B1DB1-TableParagraph17"/>
              <w:spacing w:before="108"/>
              <w:ind w:left="85"/>
              <w:jc w:val="both"/>
            </w:pPr>
            <w:r>
              <w:t xml:space="preserve">Código del acreedor, </w:t>
            </w:r>
            <w:r w:rsidR="00904E1A">
              <w:t>titular</w:t>
            </w:r>
            <w:r>
              <w:t xml:space="preserve"> o garante. </w:t>
            </w:r>
          </w:p>
          <w:p w14:paraId="706B20DB" w14:textId="4A8EC946" w:rsidR="00414040" w:rsidRDefault="00904E1A">
            <w:pPr>
              <w:pStyle w:val="P68B1DB1-TableParagraph17"/>
              <w:spacing w:before="108"/>
              <w:ind w:left="85"/>
              <w:jc w:val="both"/>
            </w:pPr>
            <w:r>
              <w:t xml:space="preserve">En el caso de las entidades con un identificador de entidad jurídica (LEI), el código </w:t>
            </w:r>
            <w:r w:rsidR="00D77E68">
              <w:t xml:space="preserve">LEI </w:t>
            </w:r>
            <w:r>
              <w:t>alfanumérico de 20 dígitos;</w:t>
            </w:r>
          </w:p>
          <w:p w14:paraId="69DCA339" w14:textId="45F4AAF4" w:rsidR="00414040" w:rsidRDefault="00904E1A">
            <w:pPr>
              <w:pStyle w:val="P68B1DB1-TableParagraph17"/>
              <w:spacing w:before="108"/>
              <w:ind w:left="85"/>
              <w:jc w:val="both"/>
            </w:pPr>
            <w:r>
              <w:t>Si no se dispone de él, utilícese el código</w:t>
            </w:r>
            <w:r w:rsidR="00957770">
              <w:t xml:space="preserve"> de</w:t>
            </w:r>
            <w:r>
              <w:t xml:space="preserve"> IFM o un código con arreglo a una codificación uniforme aplicable en la Unión.</w:t>
            </w:r>
          </w:p>
          <w:p w14:paraId="7FE1B76F" w14:textId="02D6147D" w:rsidR="00414040" w:rsidRDefault="00904E1A">
            <w:pPr>
              <w:pStyle w:val="P68B1DB1-TableParagraph17"/>
              <w:spacing w:before="108"/>
              <w:ind w:left="85"/>
              <w:jc w:val="both"/>
            </w:pPr>
            <w:r>
              <w:t>El código será único y se utilizará de manera coherente en las distintas plantillas.</w:t>
            </w:r>
          </w:p>
          <w:p w14:paraId="1E86BFA0" w14:textId="77777777" w:rsidR="00414040" w:rsidRDefault="00904E1A">
            <w:pPr>
              <w:pStyle w:val="P68B1DB1-TableParagraph17"/>
              <w:spacing w:before="108"/>
              <w:ind w:left="85"/>
              <w:jc w:val="both"/>
            </w:pPr>
            <w:r>
              <w:t>Deberá ser distinto del indicado en la columna 0020.</w:t>
            </w:r>
          </w:p>
          <w:p w14:paraId="7FE1B770" w14:textId="78984524" w:rsidR="00414040" w:rsidRDefault="10A5E5BA">
            <w:pPr>
              <w:pStyle w:val="P68B1DB1-TableParagraph13"/>
              <w:spacing w:before="108"/>
              <w:ind w:left="85"/>
              <w:jc w:val="both"/>
              <w:rPr>
                <w:rFonts w:eastAsia="Cambria"/>
                <w:lang w:val="es-ES"/>
              </w:rPr>
            </w:pPr>
            <w:r w:rsidRPr="6672F58D">
              <w:rPr>
                <w:lang w:val="es-ES"/>
              </w:rPr>
              <w:t xml:space="preserve">Cuando el acreedor, </w:t>
            </w:r>
            <w:r w:rsidR="217C716D" w:rsidRPr="6672F58D">
              <w:rPr>
                <w:lang w:val="es-ES"/>
              </w:rPr>
              <w:t>titular</w:t>
            </w:r>
            <w:r w:rsidRPr="6672F58D">
              <w:rPr>
                <w:lang w:val="es-ES"/>
              </w:rPr>
              <w:t xml:space="preserve"> o </w:t>
            </w:r>
            <w:r w:rsidR="00D77E68">
              <w:rPr>
                <w:lang w:val="es-ES"/>
              </w:rPr>
              <w:t>garante</w:t>
            </w:r>
            <w:r w:rsidRPr="6672F58D">
              <w:rPr>
                <w:lang w:val="es-ES"/>
              </w:rPr>
              <w:t xml:space="preserve"> sea un ente del grupo, el código será el mismo que el </w:t>
            </w:r>
            <w:r w:rsidR="36C1F4CF" w:rsidRPr="6672F58D">
              <w:rPr>
                <w:lang w:val="es-ES"/>
              </w:rPr>
              <w:t>informado</w:t>
            </w:r>
            <w:r w:rsidRPr="6672F58D">
              <w:rPr>
                <w:lang w:val="es-ES"/>
              </w:rPr>
              <w:t xml:space="preserve"> en la plantilla Z 01.01 (ORG 1). Para la identificación de </w:t>
            </w:r>
            <w:r w:rsidR="031D1817" w:rsidRPr="6672F58D">
              <w:rPr>
                <w:lang w:val="es-ES"/>
              </w:rPr>
              <w:t>los entes</w:t>
            </w:r>
            <w:r w:rsidRPr="6672F58D">
              <w:rPr>
                <w:lang w:val="es-ES"/>
              </w:rPr>
              <w:t xml:space="preserve"> o las participadas, </w:t>
            </w:r>
            <w:r w:rsidR="44ACCB3D" w:rsidRPr="26C8A497">
              <w:rPr>
                <w:lang w:val="es-ES"/>
              </w:rPr>
              <w:t xml:space="preserve">la combinación </w:t>
            </w:r>
            <w:r w:rsidRPr="6672F58D">
              <w:rPr>
                <w:lang w:val="es-ES"/>
              </w:rPr>
              <w:t xml:space="preserve">de código y tipo </w:t>
            </w:r>
            <w:r w:rsidR="1916793D" w:rsidRPr="26C8A497">
              <w:rPr>
                <w:lang w:val="es-ES"/>
              </w:rPr>
              <w:t>de código</w:t>
            </w:r>
            <w:r w:rsidRPr="26C8A497">
              <w:rPr>
                <w:lang w:val="es-ES"/>
              </w:rPr>
              <w:t xml:space="preserve"> </w:t>
            </w:r>
            <w:r w:rsidRPr="6672F58D">
              <w:rPr>
                <w:lang w:val="es-ES"/>
              </w:rPr>
              <w:t>se utilizará de forma coherente en todas las plantillas.</w:t>
            </w:r>
          </w:p>
        </w:tc>
      </w:tr>
      <w:tr w:rsidR="00414040" w14:paraId="7FE1B778" w14:textId="77777777" w:rsidTr="466B0B01">
        <w:tc>
          <w:tcPr>
            <w:tcW w:w="907" w:type="dxa"/>
            <w:tcBorders>
              <w:top w:val="single" w:sz="4" w:space="0" w:color="1A171C"/>
              <w:left w:val="nil"/>
              <w:bottom w:val="single" w:sz="4" w:space="0" w:color="1A171C"/>
              <w:right w:val="single" w:sz="4" w:space="0" w:color="1A171C"/>
            </w:tcBorders>
            <w:vAlign w:val="center"/>
          </w:tcPr>
          <w:p w14:paraId="7FE1B772" w14:textId="77777777" w:rsidR="00414040" w:rsidRDefault="00904E1A">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414040" w:rsidRDefault="00904E1A">
            <w:pPr>
              <w:pStyle w:val="P68B1DB1-TableParagraph14"/>
              <w:spacing w:before="108"/>
              <w:ind w:left="85"/>
              <w:jc w:val="both"/>
              <w:rPr>
                <w:bCs/>
              </w:rPr>
            </w:pPr>
            <w:r>
              <w:t>Tipo de código</w:t>
            </w:r>
          </w:p>
          <w:p w14:paraId="00DFF190" w14:textId="04144C55" w:rsidR="00414040" w:rsidRDefault="00414040">
            <w:pPr>
              <w:pStyle w:val="TableParagraph"/>
              <w:spacing w:before="108"/>
              <w:ind w:left="85"/>
              <w:jc w:val="both"/>
              <w:rPr>
                <w:rFonts w:ascii="Times New Roman" w:hAnsi="Times New Roman" w:cs="Times New Roman"/>
                <w:bCs/>
                <w:color w:val="000000" w:themeColor="text1"/>
                <w:sz w:val="20"/>
                <w:szCs w:val="20"/>
              </w:rPr>
            </w:pPr>
          </w:p>
          <w:p w14:paraId="1CBCA0DC" w14:textId="04764F45" w:rsidR="00414040" w:rsidRDefault="00904E1A">
            <w:pPr>
              <w:pStyle w:val="P68B1DB1-TableParagraph13"/>
              <w:spacing w:before="108" w:line="276" w:lineRule="auto"/>
              <w:ind w:left="85"/>
              <w:jc w:val="both"/>
              <w:rPr>
                <w:color w:val="000000"/>
              </w:rPr>
            </w:pPr>
            <w:bookmarkStart w:id="65" w:name="_Hlk191377037"/>
            <w:r>
              <w:t>Se seleccionará una de las opciones siguientes: «Código LEI», «Código de IFM» o «Tipo de identificador: distinto del código LEI o de IFM».</w:t>
            </w:r>
            <w:bookmarkEnd w:id="65"/>
          </w:p>
          <w:p w14:paraId="072CFC22" w14:textId="7B94F65F" w:rsidR="00414040" w:rsidRDefault="00904E1A">
            <w:pPr>
              <w:pStyle w:val="P68B1DB1-TableParagraph13"/>
              <w:spacing w:before="108" w:line="276" w:lineRule="auto"/>
              <w:ind w:left="85"/>
              <w:jc w:val="both"/>
              <w:rPr>
                <w:color w:val="000000"/>
              </w:rPr>
            </w:pPr>
            <w:r>
              <w:t>Siempre se comunicará el tipo de código.</w:t>
            </w:r>
          </w:p>
          <w:p w14:paraId="63D16443" w14:textId="77BDB684" w:rsidR="00414040" w:rsidRDefault="00904E1A">
            <w:pPr>
              <w:pStyle w:val="P68B1DB1-TableParagraph13"/>
              <w:spacing w:before="108" w:line="276" w:lineRule="auto"/>
              <w:ind w:left="85"/>
              <w:jc w:val="both"/>
              <w:rPr>
                <w:color w:val="000000"/>
                <w:lang w:val="es-ES"/>
              </w:rPr>
            </w:pPr>
            <w:r w:rsidRPr="4245A3BD">
              <w:rPr>
                <w:lang w:val="es-ES"/>
              </w:rPr>
              <w:t>Cuando el acreedor, el</w:t>
            </w:r>
            <w:r w:rsidR="0045010F">
              <w:rPr>
                <w:lang w:val="es-ES"/>
              </w:rPr>
              <w:t xml:space="preserve"> </w:t>
            </w:r>
            <w:r w:rsidR="358A0B13" w:rsidRPr="4245A3BD">
              <w:rPr>
                <w:lang w:val="es-ES"/>
              </w:rPr>
              <w:t>titular</w:t>
            </w:r>
            <w:r w:rsidRPr="4245A3BD">
              <w:rPr>
                <w:lang w:val="es-ES"/>
              </w:rPr>
              <w:t xml:space="preserve"> o el </w:t>
            </w:r>
            <w:r w:rsidR="4B76F896" w:rsidRPr="4245A3BD">
              <w:rPr>
                <w:lang w:val="es-ES"/>
              </w:rPr>
              <w:t>garante</w:t>
            </w:r>
            <w:r w:rsidRPr="4245A3BD">
              <w:rPr>
                <w:lang w:val="es-ES"/>
              </w:rPr>
              <w:t xml:space="preserve"> no sea </w:t>
            </w:r>
            <w:r w:rsidR="00D77E68">
              <w:rPr>
                <w:lang w:val="es-ES"/>
              </w:rPr>
              <w:t xml:space="preserve">un </w:t>
            </w:r>
            <w:proofErr w:type="gramStart"/>
            <w:r w:rsidR="00D77E68">
              <w:rPr>
                <w:lang w:val="es-ES"/>
              </w:rPr>
              <w:t xml:space="preserve">ente </w:t>
            </w:r>
            <w:r w:rsidRPr="4245A3BD">
              <w:rPr>
                <w:lang w:val="es-ES"/>
              </w:rPr>
              <w:t xml:space="preserve"> del</w:t>
            </w:r>
            <w:proofErr w:type="gramEnd"/>
            <w:r w:rsidRPr="4245A3BD">
              <w:rPr>
                <w:lang w:val="es-ES"/>
              </w:rPr>
              <w:t xml:space="preserve"> grupo, el tipo de código será preferentemente el código LEI.</w:t>
            </w:r>
          </w:p>
          <w:p w14:paraId="7FE1B777" w14:textId="69660BC3" w:rsidR="00414040" w:rsidRDefault="00414040">
            <w:pPr>
              <w:pStyle w:val="TableParagraph"/>
              <w:spacing w:before="108"/>
              <w:ind w:left="85"/>
              <w:jc w:val="both"/>
              <w:rPr>
                <w:rFonts w:ascii="Times New Roman" w:hAnsi="Times New Roman" w:cs="Times New Roman"/>
                <w:b/>
                <w:bCs/>
                <w:color w:val="000000" w:themeColor="text1"/>
                <w:sz w:val="20"/>
                <w:szCs w:val="20"/>
              </w:rPr>
            </w:pPr>
          </w:p>
        </w:tc>
      </w:tr>
      <w:tr w:rsidR="00414040" w14:paraId="7FE1B77C" w14:textId="77777777" w:rsidTr="466B0B01">
        <w:tc>
          <w:tcPr>
            <w:tcW w:w="907" w:type="dxa"/>
            <w:tcBorders>
              <w:top w:val="single" w:sz="4" w:space="0" w:color="1A171C"/>
              <w:left w:val="nil"/>
              <w:bottom w:val="single" w:sz="4" w:space="0" w:color="1A171C"/>
              <w:right w:val="single" w:sz="4" w:space="0" w:color="1A171C"/>
            </w:tcBorders>
            <w:vAlign w:val="center"/>
          </w:tcPr>
          <w:p w14:paraId="7FE1B779" w14:textId="77777777" w:rsidR="00414040" w:rsidRDefault="00904E1A">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414040" w:rsidRDefault="00904E1A">
            <w:pPr>
              <w:pStyle w:val="P68B1DB1-TableParagraph14"/>
              <w:spacing w:before="108"/>
              <w:ind w:left="85"/>
              <w:jc w:val="both"/>
              <w:rPr>
                <w:bCs/>
              </w:rPr>
            </w:pPr>
            <w:r>
              <w:t>Interconexión financiera</w:t>
            </w:r>
          </w:p>
          <w:p w14:paraId="7FE1B77B" w14:textId="079D8C41" w:rsidR="00414040" w:rsidRDefault="00904E1A">
            <w:pPr>
              <w:pStyle w:val="P68B1DB1-TableParagraph17"/>
              <w:spacing w:before="108"/>
              <w:ind w:left="85"/>
              <w:jc w:val="both"/>
            </w:pPr>
            <w:r>
              <w:t>Este campo describe la interconexión financiera entre todos los entes jurídicos.</w:t>
            </w:r>
          </w:p>
        </w:tc>
      </w:tr>
      <w:tr w:rsidR="00414040" w14:paraId="7FE1B7A9" w14:textId="77777777" w:rsidTr="466B0B01">
        <w:tc>
          <w:tcPr>
            <w:tcW w:w="907" w:type="dxa"/>
            <w:tcBorders>
              <w:top w:val="single" w:sz="4" w:space="0" w:color="1A171C"/>
              <w:left w:val="nil"/>
              <w:bottom w:val="single" w:sz="4" w:space="0" w:color="1A171C"/>
              <w:right w:val="single" w:sz="4" w:space="0" w:color="1A171C"/>
            </w:tcBorders>
            <w:vAlign w:val="center"/>
          </w:tcPr>
          <w:p w14:paraId="7FE1B77D" w14:textId="77777777" w:rsidR="00414040" w:rsidRDefault="00904E1A">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414040" w:rsidRDefault="00904E1A">
            <w:pPr>
              <w:pStyle w:val="P68B1DB1-TableParagraph14"/>
              <w:spacing w:before="108"/>
              <w:ind w:left="85"/>
              <w:jc w:val="both"/>
              <w:rPr>
                <w:bCs/>
              </w:rPr>
            </w:pPr>
            <w:r>
              <w:t>Tipo</w:t>
            </w:r>
          </w:p>
          <w:p w14:paraId="7FE1B77F" w14:textId="77777777" w:rsidR="00414040" w:rsidRDefault="00904E1A">
            <w:pPr>
              <w:pStyle w:val="P68B1DB1-TableParagraph17"/>
              <w:spacing w:before="108"/>
              <w:ind w:left="85"/>
              <w:jc w:val="both"/>
            </w:pPr>
            <w:r>
              <w:t>Se seleccionará uno de la lista siguiente:</w:t>
            </w:r>
          </w:p>
          <w:p w14:paraId="7FE1B780" w14:textId="77777777" w:rsidR="00414040" w:rsidRDefault="00904E1A">
            <w:pPr>
              <w:pStyle w:val="P68B1DB1-TableParagraph24"/>
              <w:spacing w:before="108"/>
              <w:ind w:left="85"/>
              <w:jc w:val="both"/>
            </w:pPr>
            <w:r>
              <w:t>Pasivos intragrupo</w:t>
            </w:r>
          </w:p>
          <w:p w14:paraId="7FE1B781" w14:textId="77777777" w:rsidR="00414040" w:rsidRDefault="00414040">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414040" w:rsidRDefault="00904E1A">
            <w:pPr>
              <w:pStyle w:val="P68B1DB1-ListParagraph25"/>
              <w:numPr>
                <w:ilvl w:val="0"/>
                <w:numId w:val="54"/>
              </w:numPr>
              <w:autoSpaceDE w:val="0"/>
              <w:autoSpaceDN w:val="0"/>
              <w:adjustRightInd w:val="0"/>
              <w:ind w:left="539" w:hanging="454"/>
              <w:contextualSpacing/>
              <w:jc w:val="both"/>
            </w:pPr>
            <w:r>
              <w:t xml:space="preserve">Pasivos excluidos de la recapitalización interna </w:t>
            </w:r>
          </w:p>
          <w:p w14:paraId="7FE1B783" w14:textId="047CAF02" w:rsidR="00414040" w:rsidRDefault="00904E1A">
            <w:pPr>
              <w:pStyle w:val="P68B1DB1-ListParagraph25"/>
              <w:autoSpaceDE w:val="0"/>
              <w:autoSpaceDN w:val="0"/>
              <w:adjustRightInd w:val="0"/>
              <w:ind w:left="539"/>
              <w:contextualSpacing/>
              <w:jc w:val="both"/>
            </w:pPr>
            <w:r>
              <w:t>Definición idéntica a la de la plantilla Z 02.00 (LIAB 1), fila 0100</w:t>
            </w:r>
          </w:p>
          <w:p w14:paraId="7FE1B784" w14:textId="77777777" w:rsidR="00414040" w:rsidRDefault="00904E1A">
            <w:pPr>
              <w:pStyle w:val="P68B1DB1-ListParagraph25"/>
              <w:numPr>
                <w:ilvl w:val="0"/>
                <w:numId w:val="54"/>
              </w:numPr>
              <w:autoSpaceDE w:val="0"/>
              <w:autoSpaceDN w:val="0"/>
              <w:adjustRightInd w:val="0"/>
              <w:ind w:left="539" w:hanging="454"/>
              <w:contextualSpacing/>
              <w:jc w:val="both"/>
            </w:pPr>
            <w:r w:rsidRPr="69E604A3">
              <w:rPr>
                <w:lang w:val="es-ES"/>
              </w:rPr>
              <w:t xml:space="preserve">Depósitos sin </w:t>
            </w:r>
            <w:proofErr w:type="gramStart"/>
            <w:r w:rsidRPr="69E604A3">
              <w:rPr>
                <w:lang w:val="es-ES"/>
              </w:rPr>
              <w:t>cobertura</w:t>
            </w:r>
            <w:proofErr w:type="gramEnd"/>
            <w:r w:rsidRPr="69E604A3">
              <w:rPr>
                <w:lang w:val="es-ES"/>
              </w:rPr>
              <w:t xml:space="preserve"> pero preferentes</w:t>
            </w:r>
          </w:p>
          <w:p w14:paraId="7FE1B785" w14:textId="69E9007C" w:rsidR="00414040" w:rsidRDefault="00904E1A">
            <w:pPr>
              <w:pStyle w:val="P68B1DB1-ListParagraph25"/>
              <w:autoSpaceDE w:val="0"/>
              <w:autoSpaceDN w:val="0"/>
              <w:adjustRightInd w:val="0"/>
              <w:ind w:left="539"/>
              <w:jc w:val="both"/>
            </w:pPr>
            <w:r>
              <w:t>Definición idéntica a la de la plantilla Z 02.00 (LIAB 1), fila 0310</w:t>
            </w:r>
          </w:p>
          <w:p w14:paraId="7FE1B786" w14:textId="77777777" w:rsidR="00414040" w:rsidRDefault="00904E1A">
            <w:pPr>
              <w:pStyle w:val="P68B1DB1-ListParagraph25"/>
              <w:numPr>
                <w:ilvl w:val="0"/>
                <w:numId w:val="54"/>
              </w:numPr>
              <w:autoSpaceDE w:val="0"/>
              <w:autoSpaceDN w:val="0"/>
              <w:adjustRightInd w:val="0"/>
              <w:ind w:left="539" w:hanging="454"/>
              <w:contextualSpacing/>
              <w:jc w:val="both"/>
            </w:pPr>
            <w:r>
              <w:t>Depósitos sin cobertura no preferentes</w:t>
            </w:r>
          </w:p>
          <w:p w14:paraId="7FE1B787" w14:textId="4FA7AC10" w:rsidR="00414040" w:rsidRDefault="00904E1A">
            <w:pPr>
              <w:pStyle w:val="P68B1DB1-ListParagraph25"/>
              <w:autoSpaceDE w:val="0"/>
              <w:autoSpaceDN w:val="0"/>
              <w:adjustRightInd w:val="0"/>
              <w:ind w:left="539"/>
              <w:jc w:val="both"/>
            </w:pPr>
            <w:r>
              <w:t>Definición idéntica a la de la plantilla Z 02.00 (LIAB 1), fila 0320</w:t>
            </w:r>
          </w:p>
          <w:p w14:paraId="7FE1B788" w14:textId="77777777" w:rsidR="00414040" w:rsidRDefault="00904E1A">
            <w:pPr>
              <w:pStyle w:val="P68B1DB1-ListParagraph25"/>
              <w:numPr>
                <w:ilvl w:val="0"/>
                <w:numId w:val="54"/>
              </w:numPr>
              <w:autoSpaceDE w:val="0"/>
              <w:autoSpaceDN w:val="0"/>
              <w:adjustRightInd w:val="0"/>
              <w:ind w:left="539" w:hanging="454"/>
              <w:contextualSpacing/>
              <w:jc w:val="both"/>
            </w:pPr>
            <w:r>
              <w:t>Pasivos surgidos de derivados (importes de liquidación)</w:t>
            </w:r>
          </w:p>
          <w:p w14:paraId="7FE1B789" w14:textId="5DAB7051" w:rsidR="00414040" w:rsidRDefault="00904E1A">
            <w:pPr>
              <w:pStyle w:val="P68B1DB1-ListParagraph25"/>
              <w:autoSpaceDE w:val="0"/>
              <w:autoSpaceDN w:val="0"/>
              <w:adjustRightInd w:val="0"/>
              <w:ind w:left="539"/>
              <w:jc w:val="both"/>
            </w:pPr>
            <w:r>
              <w:t>Definición idéntica a la de la plantilla Z 02.00 (LIAB 1), fila 0330</w:t>
            </w:r>
          </w:p>
          <w:p w14:paraId="7FE1B78A" w14:textId="77777777" w:rsidR="00414040" w:rsidRDefault="00904E1A">
            <w:pPr>
              <w:pStyle w:val="P68B1DB1-ListParagraph25"/>
              <w:numPr>
                <w:ilvl w:val="0"/>
                <w:numId w:val="54"/>
              </w:numPr>
              <w:autoSpaceDE w:val="0"/>
              <w:autoSpaceDN w:val="0"/>
              <w:adjustRightInd w:val="0"/>
              <w:ind w:left="539" w:hanging="454"/>
              <w:contextualSpacing/>
              <w:jc w:val="both"/>
            </w:pPr>
            <w:r>
              <w:t>Pasivos garantizados sin garantías reales</w:t>
            </w:r>
          </w:p>
          <w:p w14:paraId="7FE1B78B" w14:textId="5B0021F4" w:rsidR="00414040" w:rsidRDefault="00904E1A">
            <w:pPr>
              <w:pStyle w:val="P68B1DB1-ListParagraph25"/>
              <w:autoSpaceDE w:val="0"/>
              <w:autoSpaceDN w:val="0"/>
              <w:adjustRightInd w:val="0"/>
              <w:ind w:left="539"/>
              <w:jc w:val="both"/>
            </w:pPr>
            <w:r>
              <w:t>Definición idéntica a la de la plantilla Z 02.00 (LIAB 1), fila 0340</w:t>
            </w:r>
          </w:p>
          <w:p w14:paraId="7FE1B78C" w14:textId="77777777" w:rsidR="00414040" w:rsidRDefault="00904E1A">
            <w:pPr>
              <w:pStyle w:val="P68B1DB1-ListParagraph25"/>
              <w:numPr>
                <w:ilvl w:val="0"/>
                <w:numId w:val="54"/>
              </w:numPr>
              <w:autoSpaceDE w:val="0"/>
              <w:autoSpaceDN w:val="0"/>
              <w:adjustRightInd w:val="0"/>
              <w:ind w:left="539" w:hanging="454"/>
              <w:contextualSpacing/>
              <w:jc w:val="both"/>
            </w:pPr>
            <w:r>
              <w:t>Bonos estructurados</w:t>
            </w:r>
          </w:p>
          <w:p w14:paraId="7FE1B78D" w14:textId="7DF4D7F4" w:rsidR="00414040" w:rsidRDefault="00904E1A">
            <w:pPr>
              <w:pStyle w:val="P68B1DB1-ListParagraph25"/>
              <w:autoSpaceDE w:val="0"/>
              <w:autoSpaceDN w:val="0"/>
              <w:adjustRightInd w:val="0"/>
              <w:ind w:left="539"/>
              <w:jc w:val="both"/>
            </w:pPr>
            <w:r>
              <w:t>Definición idéntica a la de la plantilla Z 02.00 (LIAB 1), fila 0350</w:t>
            </w:r>
          </w:p>
          <w:p w14:paraId="7FE1B78E" w14:textId="77777777" w:rsidR="00414040" w:rsidRDefault="00904E1A">
            <w:pPr>
              <w:pStyle w:val="P68B1DB1-ListParagraph25"/>
              <w:numPr>
                <w:ilvl w:val="0"/>
                <w:numId w:val="54"/>
              </w:numPr>
              <w:autoSpaceDE w:val="0"/>
              <w:autoSpaceDN w:val="0"/>
              <w:adjustRightInd w:val="0"/>
              <w:ind w:left="539" w:hanging="454"/>
              <w:contextualSpacing/>
              <w:jc w:val="both"/>
            </w:pPr>
            <w:r>
              <w:t>Pasivos no garantizados de rango superior</w:t>
            </w:r>
          </w:p>
          <w:p w14:paraId="7FE1B78F" w14:textId="67CE577E" w:rsidR="00414040" w:rsidRDefault="00904E1A">
            <w:pPr>
              <w:pStyle w:val="P68B1DB1-ListParagraph25"/>
              <w:autoSpaceDE w:val="0"/>
              <w:autoSpaceDN w:val="0"/>
              <w:adjustRightInd w:val="0"/>
              <w:ind w:left="539"/>
              <w:jc w:val="both"/>
            </w:pPr>
            <w:r>
              <w:t>Definición idéntica a la de la plantilla Z 02.00 (LIAB 1), fila 0360</w:t>
            </w:r>
          </w:p>
          <w:p w14:paraId="7FE1B790" w14:textId="77777777" w:rsidR="00414040" w:rsidRDefault="00904E1A">
            <w:pPr>
              <w:pStyle w:val="P68B1DB1-ListParagraph25"/>
              <w:numPr>
                <w:ilvl w:val="0"/>
                <w:numId w:val="54"/>
              </w:numPr>
              <w:autoSpaceDE w:val="0"/>
              <w:autoSpaceDN w:val="0"/>
              <w:adjustRightInd w:val="0"/>
              <w:ind w:left="539" w:hanging="454"/>
              <w:contextualSpacing/>
              <w:jc w:val="both"/>
            </w:pPr>
            <w:r>
              <w:t>Pasivos no preferentes de rango superior</w:t>
            </w:r>
          </w:p>
          <w:p w14:paraId="7FE1B791" w14:textId="6BECB3BB" w:rsidR="00414040" w:rsidRDefault="00904E1A">
            <w:pPr>
              <w:pStyle w:val="P68B1DB1-ListParagraph25"/>
              <w:autoSpaceDE w:val="0"/>
              <w:autoSpaceDN w:val="0"/>
              <w:adjustRightInd w:val="0"/>
              <w:ind w:left="539"/>
              <w:contextualSpacing/>
              <w:jc w:val="both"/>
            </w:pPr>
            <w:r>
              <w:t>Definición idéntica a la de la plantilla Z 02.00 (LIAB 1), fila 0365</w:t>
            </w:r>
          </w:p>
          <w:p w14:paraId="7FE1B792" w14:textId="77777777" w:rsidR="00414040" w:rsidRDefault="00904E1A">
            <w:pPr>
              <w:pStyle w:val="P68B1DB1-ListParagraph25"/>
              <w:numPr>
                <w:ilvl w:val="0"/>
                <w:numId w:val="54"/>
              </w:numPr>
              <w:autoSpaceDE w:val="0"/>
              <w:autoSpaceDN w:val="0"/>
              <w:adjustRightInd w:val="0"/>
              <w:ind w:left="539" w:hanging="454"/>
              <w:contextualSpacing/>
              <w:jc w:val="both"/>
            </w:pPr>
            <w:r>
              <w:t>Pasivos subordinados</w:t>
            </w:r>
          </w:p>
          <w:p w14:paraId="7FE1B793" w14:textId="1719A947" w:rsidR="00414040" w:rsidRDefault="00904E1A">
            <w:pPr>
              <w:pStyle w:val="P68B1DB1-ListParagraph25"/>
              <w:autoSpaceDE w:val="0"/>
              <w:autoSpaceDN w:val="0"/>
              <w:adjustRightInd w:val="0"/>
              <w:ind w:left="539"/>
              <w:jc w:val="both"/>
            </w:pPr>
            <w:r>
              <w:t>Definición idéntica a la de la plantilla Z 02.00 (LIAB 1), fila 0370</w:t>
            </w:r>
          </w:p>
          <w:p w14:paraId="7FE1B794" w14:textId="77777777" w:rsidR="00414040" w:rsidRDefault="00904E1A">
            <w:pPr>
              <w:pStyle w:val="P68B1DB1-ListParagraph25"/>
              <w:numPr>
                <w:ilvl w:val="0"/>
                <w:numId w:val="54"/>
              </w:numPr>
              <w:autoSpaceDE w:val="0"/>
              <w:autoSpaceDN w:val="0"/>
              <w:adjustRightInd w:val="0"/>
              <w:ind w:left="539" w:hanging="454"/>
              <w:contextualSpacing/>
              <w:jc w:val="both"/>
            </w:pPr>
            <w:r>
              <w:t>Otros pasivos admisibles a efectos del MREL</w:t>
            </w:r>
          </w:p>
          <w:p w14:paraId="7FE1B795" w14:textId="18D60D2B" w:rsidR="00414040" w:rsidRDefault="00904E1A">
            <w:pPr>
              <w:pStyle w:val="P68B1DB1-ListParagraph25"/>
              <w:autoSpaceDE w:val="0"/>
              <w:autoSpaceDN w:val="0"/>
              <w:adjustRightInd w:val="0"/>
              <w:ind w:left="539"/>
              <w:jc w:val="both"/>
            </w:pPr>
            <w:r>
              <w:t>Definición idéntica a la de la plantilla Z 02.00 (LIAB 1), fila 0380</w:t>
            </w:r>
          </w:p>
          <w:p w14:paraId="7FE1B796" w14:textId="77777777" w:rsidR="00414040" w:rsidRDefault="00904E1A">
            <w:pPr>
              <w:pStyle w:val="P68B1DB1-ListParagraph25"/>
              <w:numPr>
                <w:ilvl w:val="0"/>
                <w:numId w:val="54"/>
              </w:numPr>
              <w:autoSpaceDE w:val="0"/>
              <w:autoSpaceDN w:val="0"/>
              <w:adjustRightInd w:val="0"/>
              <w:ind w:left="539" w:hanging="454"/>
              <w:contextualSpacing/>
              <w:jc w:val="both"/>
            </w:pPr>
            <w:r>
              <w:t>Pasivos no financieros</w:t>
            </w:r>
          </w:p>
          <w:p w14:paraId="7FE1B797" w14:textId="03D8AF00" w:rsidR="00414040" w:rsidRDefault="00904E1A">
            <w:pPr>
              <w:pStyle w:val="P68B1DB1-ListParagraph25"/>
              <w:autoSpaceDE w:val="0"/>
              <w:autoSpaceDN w:val="0"/>
              <w:adjustRightInd w:val="0"/>
              <w:ind w:left="539"/>
              <w:jc w:val="both"/>
            </w:pPr>
            <w:r>
              <w:t>Definición idéntica a la de la plantilla Z 02.00 (LIAB 1), fila 0390</w:t>
            </w:r>
          </w:p>
          <w:p w14:paraId="7FE1B798" w14:textId="77777777" w:rsidR="00414040" w:rsidRDefault="00904E1A">
            <w:pPr>
              <w:pStyle w:val="P68B1DB1-ListParagraph25"/>
              <w:numPr>
                <w:ilvl w:val="0"/>
                <w:numId w:val="54"/>
              </w:numPr>
              <w:autoSpaceDE w:val="0"/>
              <w:autoSpaceDN w:val="0"/>
              <w:adjustRightInd w:val="0"/>
              <w:ind w:left="539" w:hanging="454"/>
              <w:contextualSpacing/>
              <w:jc w:val="both"/>
            </w:pPr>
            <w:r>
              <w:t>Pasivos residuales</w:t>
            </w:r>
          </w:p>
          <w:p w14:paraId="7FE1B799" w14:textId="5E01E641" w:rsidR="00414040" w:rsidRDefault="00904E1A">
            <w:pPr>
              <w:pStyle w:val="P68B1DB1-ListParagraph25"/>
              <w:autoSpaceDE w:val="0"/>
              <w:autoSpaceDN w:val="0"/>
              <w:adjustRightInd w:val="0"/>
              <w:ind w:left="539"/>
              <w:jc w:val="both"/>
            </w:pPr>
            <w:r>
              <w:t>Definición idéntica a la de la plantilla Z 02.00 (LIAB 1), fila 0400. Cualquier pasivo no incluido en ninguna de las partidas anteriores.</w:t>
            </w:r>
          </w:p>
          <w:p w14:paraId="7FE1B79A" w14:textId="77777777" w:rsidR="00414040" w:rsidRDefault="00904E1A">
            <w:pPr>
              <w:pStyle w:val="P68B1DB1-ListParagraph25"/>
              <w:numPr>
                <w:ilvl w:val="0"/>
                <w:numId w:val="54"/>
              </w:numPr>
              <w:autoSpaceDE w:val="0"/>
              <w:autoSpaceDN w:val="0"/>
              <w:adjustRightInd w:val="0"/>
              <w:ind w:left="539" w:hanging="454"/>
              <w:contextualSpacing/>
              <w:jc w:val="both"/>
            </w:pPr>
            <w:r>
              <w:t>Capital de nivel 2</w:t>
            </w:r>
          </w:p>
          <w:p w14:paraId="7FE1B79B" w14:textId="1DC09C8A" w:rsidR="00414040" w:rsidRDefault="00904E1A">
            <w:pPr>
              <w:pStyle w:val="P68B1DB1-ListParagraph25"/>
              <w:autoSpaceDE w:val="0"/>
              <w:autoSpaceDN w:val="0"/>
              <w:adjustRightInd w:val="0"/>
              <w:ind w:left="539"/>
              <w:jc w:val="both"/>
            </w:pPr>
            <w:r>
              <w:t>Definición idéntica a la de la plantilla Z 02.00 (LIAB 1), fila 0530</w:t>
            </w:r>
          </w:p>
          <w:p w14:paraId="7FE1B79C" w14:textId="77777777" w:rsidR="00414040" w:rsidRDefault="00904E1A">
            <w:pPr>
              <w:pStyle w:val="P68B1DB1-ListParagraph25"/>
              <w:numPr>
                <w:ilvl w:val="0"/>
                <w:numId w:val="54"/>
              </w:numPr>
              <w:autoSpaceDE w:val="0"/>
              <w:autoSpaceDN w:val="0"/>
              <w:adjustRightInd w:val="0"/>
              <w:ind w:left="539" w:hanging="454"/>
              <w:contextualSpacing/>
              <w:jc w:val="both"/>
            </w:pPr>
            <w:r>
              <w:t>Capital de nivel 1 adicional</w:t>
            </w:r>
          </w:p>
          <w:p w14:paraId="7FE1B79D" w14:textId="5EB7A3D7" w:rsidR="00414040" w:rsidRDefault="00904E1A">
            <w:pPr>
              <w:pStyle w:val="P68B1DB1-ListParagraph25"/>
              <w:autoSpaceDE w:val="0"/>
              <w:autoSpaceDN w:val="0"/>
              <w:adjustRightInd w:val="0"/>
              <w:ind w:left="539"/>
              <w:jc w:val="both"/>
            </w:pPr>
            <w:r>
              <w:t>Definición idéntica a la de la plantilla Z 02.00 (LIAB 1), fila 0520</w:t>
            </w:r>
          </w:p>
          <w:p w14:paraId="7FE1B79E" w14:textId="77777777" w:rsidR="00414040" w:rsidRDefault="00904E1A">
            <w:pPr>
              <w:pStyle w:val="P68B1DB1-ListParagraph25"/>
              <w:numPr>
                <w:ilvl w:val="0"/>
                <w:numId w:val="54"/>
              </w:numPr>
              <w:autoSpaceDE w:val="0"/>
              <w:autoSpaceDN w:val="0"/>
              <w:adjustRightInd w:val="0"/>
              <w:ind w:left="539" w:hanging="454"/>
              <w:contextualSpacing/>
              <w:jc w:val="both"/>
            </w:pPr>
            <w:r>
              <w:t>Capital de nivel 1 ordinario</w:t>
            </w:r>
          </w:p>
          <w:p w14:paraId="7FE1B79F" w14:textId="3DF796DF" w:rsidR="00414040" w:rsidRDefault="00904E1A">
            <w:pPr>
              <w:pStyle w:val="P68B1DB1-ListParagraph25"/>
              <w:autoSpaceDE w:val="0"/>
              <w:autoSpaceDN w:val="0"/>
              <w:adjustRightInd w:val="0"/>
              <w:ind w:left="539"/>
              <w:jc w:val="both"/>
            </w:pPr>
            <w:r>
              <w:t>Definición idéntica a la de la plantilla Z 02.00 (LIAB 1), fila 0510</w:t>
            </w:r>
          </w:p>
          <w:p w14:paraId="7FE1B7A0" w14:textId="440FE2A2" w:rsidR="00414040" w:rsidRPr="00206E35" w:rsidRDefault="00904E1A">
            <w:pPr>
              <w:pStyle w:val="P68B1DB1-TableParagraph24"/>
              <w:spacing w:before="108"/>
              <w:ind w:left="85"/>
              <w:jc w:val="both"/>
            </w:pPr>
            <w:r>
              <w:t xml:space="preserve">Garantías </w:t>
            </w:r>
            <w:r w:rsidRPr="00206E35">
              <w:t>intragrupo</w:t>
            </w:r>
          </w:p>
          <w:p w14:paraId="7FE1B7A1" w14:textId="426DD2CE" w:rsidR="00414040" w:rsidRPr="00206E35" w:rsidRDefault="00904E1A">
            <w:pPr>
              <w:pStyle w:val="P68B1DB1-ListParagraph25"/>
              <w:numPr>
                <w:ilvl w:val="0"/>
                <w:numId w:val="55"/>
              </w:numPr>
              <w:autoSpaceDE w:val="0"/>
              <w:autoSpaceDN w:val="0"/>
              <w:adjustRightInd w:val="0"/>
              <w:ind w:left="539" w:hanging="454"/>
              <w:contextualSpacing/>
              <w:jc w:val="both"/>
            </w:pPr>
            <w:r w:rsidRPr="00206E35">
              <w:t>Garantías de emisión</w:t>
            </w:r>
          </w:p>
          <w:p w14:paraId="7FE1B7A2" w14:textId="30764448" w:rsidR="00414040" w:rsidRPr="00206E35" w:rsidRDefault="00904E1A">
            <w:pPr>
              <w:pStyle w:val="P68B1DB1-ListParagraph25"/>
              <w:autoSpaceDE w:val="0"/>
              <w:autoSpaceDN w:val="0"/>
              <w:adjustRightInd w:val="0"/>
              <w:ind w:left="539"/>
              <w:jc w:val="both"/>
            </w:pPr>
            <w:r w:rsidRPr="00206E35">
              <w:t>Garantías sobre pasivos/instrumentos específicos que hayan sido emitidos</w:t>
            </w:r>
          </w:p>
          <w:p w14:paraId="7FE1B7A3" w14:textId="71CD6004" w:rsidR="00414040" w:rsidRPr="00206E35" w:rsidRDefault="00904E1A">
            <w:pPr>
              <w:pStyle w:val="P68B1DB1-ListParagraph25"/>
              <w:numPr>
                <w:ilvl w:val="0"/>
                <w:numId w:val="55"/>
              </w:numPr>
              <w:autoSpaceDE w:val="0"/>
              <w:autoSpaceDN w:val="0"/>
              <w:adjustRightInd w:val="0"/>
              <w:ind w:left="539" w:hanging="454"/>
              <w:contextualSpacing/>
              <w:jc w:val="both"/>
            </w:pPr>
            <w:r w:rsidRPr="00206E35">
              <w:t>Garantías de contraparte</w:t>
            </w:r>
          </w:p>
          <w:p w14:paraId="7FE1B7A4" w14:textId="4426596B" w:rsidR="00414040" w:rsidRPr="00206E35" w:rsidRDefault="00904E1A">
            <w:pPr>
              <w:pStyle w:val="P68B1DB1-ListParagraph25"/>
              <w:autoSpaceDE w:val="0"/>
              <w:autoSpaceDN w:val="0"/>
              <w:adjustRightInd w:val="0"/>
              <w:ind w:left="539"/>
              <w:jc w:val="both"/>
            </w:pPr>
            <w:r w:rsidRPr="00206E35">
              <w:t>Garantías concedidas a una contraparte específica de la entidad</w:t>
            </w:r>
          </w:p>
          <w:p w14:paraId="7FE1B7A5" w14:textId="50A984E1" w:rsidR="00414040" w:rsidRPr="00206E35" w:rsidRDefault="00904E1A">
            <w:pPr>
              <w:pStyle w:val="P68B1DB1-ListParagraph25"/>
              <w:numPr>
                <w:ilvl w:val="0"/>
                <w:numId w:val="55"/>
              </w:numPr>
              <w:autoSpaceDE w:val="0"/>
              <w:autoSpaceDN w:val="0"/>
              <w:adjustRightInd w:val="0"/>
              <w:ind w:left="539" w:hanging="454"/>
              <w:contextualSpacing/>
              <w:jc w:val="both"/>
            </w:pPr>
            <w:r w:rsidRPr="00206E35">
              <w:t>Garantías ilimitadas</w:t>
            </w:r>
          </w:p>
          <w:p w14:paraId="7FE1B7A6" w14:textId="0E4140DB" w:rsidR="00414040" w:rsidRPr="00206E35" w:rsidRDefault="00904E1A">
            <w:pPr>
              <w:pStyle w:val="P68B1DB1-ListParagraph25"/>
              <w:autoSpaceDE w:val="0"/>
              <w:autoSpaceDN w:val="0"/>
              <w:adjustRightInd w:val="0"/>
              <w:ind w:left="539"/>
              <w:jc w:val="both"/>
            </w:pPr>
            <w:r w:rsidRPr="00206E35">
              <w:t xml:space="preserve">Garantías generales no limitadas a un importe fijo. </w:t>
            </w:r>
          </w:p>
          <w:p w14:paraId="7FE1B7A7" w14:textId="391BAF8D" w:rsidR="00414040" w:rsidRPr="00206E35" w:rsidRDefault="00904E1A">
            <w:pPr>
              <w:pStyle w:val="P68B1DB1-ListParagraph25"/>
              <w:numPr>
                <w:ilvl w:val="0"/>
                <w:numId w:val="55"/>
              </w:numPr>
              <w:autoSpaceDE w:val="0"/>
              <w:autoSpaceDN w:val="0"/>
              <w:adjustRightInd w:val="0"/>
              <w:ind w:left="539" w:hanging="454"/>
              <w:contextualSpacing/>
              <w:jc w:val="both"/>
            </w:pPr>
            <w:r w:rsidRPr="00206E35">
              <w:t>Otras garantías</w:t>
            </w:r>
          </w:p>
          <w:p w14:paraId="7FE1B7A8" w14:textId="7861C302" w:rsidR="00414040" w:rsidRDefault="00904E1A">
            <w:pPr>
              <w:pStyle w:val="P68B1DB1-ListParagraph25"/>
              <w:autoSpaceDE w:val="0"/>
              <w:autoSpaceDN w:val="0"/>
              <w:adjustRightInd w:val="0"/>
              <w:ind w:left="539"/>
              <w:jc w:val="both"/>
            </w:pPr>
            <w:r w:rsidRPr="00206E35">
              <w:rPr>
                <w:lang w:val="es-ES"/>
              </w:rPr>
              <w:t xml:space="preserve">Cualquier tipo de garantía </w:t>
            </w:r>
            <w:r w:rsidRPr="00210421">
              <w:rPr>
                <w:lang w:val="es-ES"/>
              </w:rPr>
              <w:t>q</w:t>
            </w:r>
            <w:r w:rsidRPr="00206E35">
              <w:rPr>
                <w:lang w:val="es-ES"/>
              </w:rPr>
              <w:t>ue</w:t>
            </w:r>
            <w:r w:rsidRPr="73DD02DC">
              <w:rPr>
                <w:lang w:val="es-ES"/>
              </w:rPr>
              <w:t xml:space="preserve"> no abarquen los tipos anteriores. </w:t>
            </w:r>
          </w:p>
        </w:tc>
      </w:tr>
      <w:tr w:rsidR="00414040" w14:paraId="7FE1B7AE" w14:textId="77777777" w:rsidTr="466B0B01">
        <w:tc>
          <w:tcPr>
            <w:tcW w:w="907" w:type="dxa"/>
            <w:tcBorders>
              <w:top w:val="single" w:sz="4" w:space="0" w:color="1A171C"/>
              <w:left w:val="nil"/>
              <w:bottom w:val="single" w:sz="4" w:space="0" w:color="1A171C"/>
              <w:right w:val="single" w:sz="4" w:space="0" w:color="1A171C"/>
            </w:tcBorders>
            <w:vAlign w:val="center"/>
          </w:tcPr>
          <w:p w14:paraId="7FE1B7AA" w14:textId="0E2AA2E7" w:rsidR="00414040" w:rsidRDefault="00904E1A">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59831F6F" w:rsidR="00414040" w:rsidRDefault="23E70530">
            <w:pPr>
              <w:pStyle w:val="P68B1DB1-TableParagraph14"/>
              <w:spacing w:before="108"/>
              <w:ind w:left="85"/>
              <w:jc w:val="both"/>
            </w:pPr>
            <w:r>
              <w:t>Importe</w:t>
            </w:r>
            <w:r w:rsidR="10A5E5BA">
              <w:t xml:space="preserve"> pendiente</w:t>
            </w:r>
          </w:p>
          <w:p w14:paraId="7FE1B7AC" w14:textId="0BB5F57D" w:rsidR="00414040" w:rsidRDefault="10A5E5BA">
            <w:pPr>
              <w:pStyle w:val="P68B1DB1-TableParagraph17"/>
              <w:spacing w:before="108"/>
              <w:ind w:left="85"/>
              <w:jc w:val="both"/>
            </w:pPr>
            <w:r>
              <w:t>Para los pasivos de la columna 0050, el importe pendiente de los pasivos intragrupo; en cuanto a los pasivos surgidos de derivados, los importes de liquidación según se definen a efectos de la plantilla Z 02.00 (LIAB 1), fila 0333.</w:t>
            </w:r>
          </w:p>
          <w:p w14:paraId="7FE1B7AD" w14:textId="0B66872D" w:rsidR="00414040" w:rsidRDefault="10A5E5BA">
            <w:pPr>
              <w:pStyle w:val="P68B1DB1-TableParagraph17"/>
              <w:spacing w:before="108"/>
              <w:ind w:left="85"/>
              <w:jc w:val="both"/>
            </w:pPr>
            <w:r w:rsidRPr="45D41A7B">
              <w:rPr>
                <w:lang w:val="es-ES"/>
              </w:rPr>
              <w:t xml:space="preserve">En el caso de las garantías de la columna 0050, el importe potencial máximo de los pagos futuros </w:t>
            </w:r>
            <w:r w:rsidR="5F5EE904" w:rsidRPr="45D41A7B">
              <w:rPr>
                <w:lang w:val="es-ES"/>
              </w:rPr>
              <w:t xml:space="preserve">en </w:t>
            </w:r>
            <w:r w:rsidR="005A3EB1">
              <w:rPr>
                <w:lang w:val="es-ES"/>
              </w:rPr>
              <w:t>v</w:t>
            </w:r>
            <w:r w:rsidR="5F5EE904" w:rsidRPr="45D41A7B">
              <w:rPr>
                <w:lang w:val="es-ES"/>
              </w:rPr>
              <w:t>irtud de</w:t>
            </w:r>
            <w:r w:rsidRPr="45D41A7B">
              <w:rPr>
                <w:lang w:val="es-ES"/>
              </w:rPr>
              <w:t xml:space="preserve"> la garantía. </w:t>
            </w:r>
          </w:p>
        </w:tc>
      </w:tr>
      <w:tr w:rsidR="00414040" w14:paraId="7FE1B7B2" w14:textId="77777777" w:rsidTr="466B0B01">
        <w:tc>
          <w:tcPr>
            <w:tcW w:w="907" w:type="dxa"/>
            <w:tcBorders>
              <w:top w:val="single" w:sz="4" w:space="0" w:color="1A171C"/>
              <w:left w:val="nil"/>
              <w:bottom w:val="single" w:sz="4" w:space="0" w:color="1A171C"/>
              <w:right w:val="single" w:sz="4" w:space="0" w:color="1A171C"/>
            </w:tcBorders>
            <w:vAlign w:val="center"/>
          </w:tcPr>
          <w:p w14:paraId="7FE1B7AF" w14:textId="77777777" w:rsidR="00414040" w:rsidRDefault="00904E1A">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5E7E94" w:rsidR="00414040" w:rsidRDefault="27006C72">
            <w:pPr>
              <w:pStyle w:val="P68B1DB1-TableParagraph14"/>
              <w:spacing w:before="108"/>
              <w:ind w:left="85"/>
              <w:jc w:val="both"/>
            </w:pPr>
            <w:r>
              <w:t>Del cual</w:t>
            </w:r>
            <w:r w:rsidR="006768CE">
              <w:t>:</w:t>
            </w:r>
            <w:r>
              <w:t xml:space="preserve"> </w:t>
            </w:r>
            <w:r w:rsidR="10A5E5BA">
              <w:t>emitido con arreglo a la normativa de un tercer país</w:t>
            </w:r>
          </w:p>
          <w:p w14:paraId="7FE1B7B1" w14:textId="77777777" w:rsidR="00414040" w:rsidRDefault="00904E1A">
            <w:pPr>
              <w:pStyle w:val="P68B1DB1-TableParagraph13"/>
              <w:spacing w:before="108"/>
              <w:ind w:left="85"/>
              <w:jc w:val="both"/>
              <w:rPr>
                <w:bCs/>
              </w:rPr>
            </w:pPr>
            <w:r>
              <w:t>La proporción del importe pendiente (valor monetario) regulado por la normativa de un tercer país.</w:t>
            </w:r>
          </w:p>
        </w:tc>
      </w:tr>
      <w:tr w:rsidR="00414040" w14:paraId="7FE1B7B6" w14:textId="77777777" w:rsidTr="466B0B01">
        <w:tc>
          <w:tcPr>
            <w:tcW w:w="907" w:type="dxa"/>
            <w:tcBorders>
              <w:top w:val="single" w:sz="4" w:space="0" w:color="1A171C"/>
              <w:left w:val="nil"/>
              <w:bottom w:val="single" w:sz="4" w:space="0" w:color="1A171C"/>
              <w:right w:val="single" w:sz="4" w:space="0" w:color="1A171C"/>
            </w:tcBorders>
            <w:vAlign w:val="center"/>
          </w:tcPr>
          <w:p w14:paraId="7FE1B7B3" w14:textId="77777777" w:rsidR="00414040" w:rsidRDefault="00904E1A">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39022421" w:rsidR="00414040" w:rsidRDefault="005A3EB1">
            <w:pPr>
              <w:pStyle w:val="P68B1DB1-TableParagraph14"/>
              <w:spacing w:before="108"/>
              <w:ind w:left="85"/>
              <w:jc w:val="both"/>
              <w:rPr>
                <w:rFonts w:eastAsia="Cambria"/>
                <w:lang w:val="es-ES"/>
              </w:rPr>
            </w:pPr>
            <w:r w:rsidRPr="4245A3BD">
              <w:rPr>
                <w:lang w:val="es-ES"/>
              </w:rPr>
              <w:t>D</w:t>
            </w:r>
            <w:r w:rsidR="00904E1A" w:rsidRPr="4245A3BD">
              <w:rPr>
                <w:lang w:val="es-ES"/>
              </w:rPr>
              <w:t>e</w:t>
            </w:r>
            <w:r w:rsidR="00CF79BD">
              <w:rPr>
                <w:lang w:val="es-ES"/>
              </w:rPr>
              <w:t>l</w:t>
            </w:r>
            <w:r w:rsidR="00904E1A" w:rsidRPr="4245A3BD">
              <w:rPr>
                <w:lang w:val="es-ES"/>
              </w:rPr>
              <w:t xml:space="preserve"> cual: </w:t>
            </w:r>
            <w:r w:rsidR="006905AD">
              <w:rPr>
                <w:lang w:val="es-ES"/>
              </w:rPr>
              <w:t>a</w:t>
            </w:r>
            <w:r w:rsidR="006905AD" w:rsidRPr="4245A3BD">
              <w:rPr>
                <w:lang w:val="es-ES"/>
              </w:rPr>
              <w:t xml:space="preserve">dmisible </w:t>
            </w:r>
            <w:r w:rsidR="00904E1A" w:rsidRPr="4245A3BD">
              <w:rPr>
                <w:lang w:val="es-ES"/>
              </w:rPr>
              <w:t>para el MREL</w:t>
            </w:r>
          </w:p>
          <w:p w14:paraId="7FE1B7B5" w14:textId="3344C729" w:rsidR="00414040" w:rsidRDefault="00904E1A">
            <w:pPr>
              <w:pStyle w:val="TableParagraph"/>
              <w:spacing w:before="108"/>
              <w:ind w:left="85"/>
              <w:jc w:val="both"/>
              <w:rPr>
                <w:rFonts w:ascii="Times New Roman" w:eastAsia="Cambria" w:hAnsi="Times New Roman" w:cs="Times New Roman"/>
                <w:color w:val="000000" w:themeColor="text1"/>
                <w:sz w:val="20"/>
                <w:szCs w:val="20"/>
                <w:lang w:val="es-ES"/>
              </w:rPr>
            </w:pPr>
            <w:r w:rsidRPr="11A44BD7">
              <w:rPr>
                <w:rFonts w:ascii="Times New Roman" w:eastAsia="Cambria" w:hAnsi="Times New Roman" w:cs="Times New Roman"/>
                <w:color w:val="000000" w:themeColor="text1"/>
                <w:sz w:val="20"/>
                <w:szCs w:val="20"/>
                <w:lang w:val="es-ES"/>
              </w:rPr>
              <w:lastRenderedPageBreak/>
              <w:t xml:space="preserve">El importe de los fondos propios y pasivos admisibles a los efectos de cumplir los requisitos del artículo 45 de la Directiva 2014/59/UE de conformidad con el artículo 45 </w:t>
            </w:r>
            <w:proofErr w:type="spellStart"/>
            <w:r w:rsidRPr="00210421">
              <w:rPr>
                <w:rFonts w:ascii="Times New Roman" w:eastAsia="Cambria" w:hAnsi="Times New Roman" w:cs="Times New Roman"/>
                <w:i/>
                <w:iCs/>
                <w:color w:val="000000" w:themeColor="text1"/>
                <w:sz w:val="20"/>
                <w:szCs w:val="20"/>
                <w:lang w:val="es-ES"/>
              </w:rPr>
              <w:t>sexies</w:t>
            </w:r>
            <w:proofErr w:type="spellEnd"/>
            <w:r w:rsidRPr="11A44BD7">
              <w:rPr>
                <w:rFonts w:ascii="Times New Roman" w:eastAsia="Cambria" w:hAnsi="Times New Roman" w:cs="Times New Roman"/>
                <w:color w:val="000000" w:themeColor="text1"/>
                <w:sz w:val="20"/>
                <w:szCs w:val="20"/>
                <w:lang w:val="es-ES"/>
              </w:rPr>
              <w:t xml:space="preserve"> o </w:t>
            </w:r>
            <w:proofErr w:type="spellStart"/>
            <w:r w:rsidRPr="00210421">
              <w:rPr>
                <w:rFonts w:ascii="Times New Roman" w:eastAsia="Cambria" w:hAnsi="Times New Roman" w:cs="Times New Roman"/>
                <w:i/>
                <w:iCs/>
                <w:color w:val="000000" w:themeColor="text1"/>
                <w:sz w:val="20"/>
                <w:szCs w:val="20"/>
                <w:lang w:val="es-ES"/>
              </w:rPr>
              <w:t>septies</w:t>
            </w:r>
            <w:proofErr w:type="spellEnd"/>
            <w:r w:rsidRPr="11A44BD7">
              <w:rPr>
                <w:rFonts w:ascii="Times New Roman" w:eastAsia="Cambria" w:hAnsi="Times New Roman" w:cs="Times New Roman"/>
                <w:color w:val="000000" w:themeColor="text1"/>
                <w:sz w:val="20"/>
                <w:szCs w:val="20"/>
                <w:lang w:val="es-ES"/>
              </w:rPr>
              <w:t xml:space="preserve"> de dicha Directiva, según corresponda.</w:t>
            </w:r>
            <w:r w:rsidRPr="11A44BD7">
              <w:rPr>
                <w:rFonts w:ascii="Times New Roman" w:hAnsi="Times New Roman" w:cs="Times New Roman"/>
                <w:lang w:val="es-ES"/>
              </w:rPr>
              <w:t xml:space="preserve"> </w:t>
            </w:r>
            <w:r w:rsidRPr="11A44BD7">
              <w:rPr>
                <w:rFonts w:ascii="Times New Roman" w:eastAsia="Cambria" w:hAnsi="Times New Roman" w:cs="Times New Roman"/>
                <w:color w:val="000000" w:themeColor="text1"/>
                <w:sz w:val="20"/>
                <w:szCs w:val="20"/>
                <w:lang w:val="es-ES"/>
              </w:rPr>
              <w:t>Solo se comunicarán los fondos propios y pasivos que cumplan los criterios del artículo 45 </w:t>
            </w:r>
            <w:r w:rsidRPr="00210421">
              <w:rPr>
                <w:rFonts w:ascii="Times New Roman" w:eastAsia="Cambria" w:hAnsi="Times New Roman" w:cs="Times New Roman"/>
                <w:i/>
                <w:iCs/>
                <w:color w:val="000000" w:themeColor="text1"/>
                <w:sz w:val="20"/>
                <w:szCs w:val="20"/>
                <w:lang w:val="es-ES"/>
              </w:rPr>
              <w:t>ter</w:t>
            </w:r>
            <w:r w:rsidRPr="11A44BD7">
              <w:rPr>
                <w:rFonts w:ascii="Times New Roman" w:eastAsia="Cambria" w:hAnsi="Times New Roman" w:cs="Times New Roman"/>
                <w:color w:val="000000" w:themeColor="text1"/>
                <w:sz w:val="20"/>
                <w:szCs w:val="20"/>
                <w:lang w:val="es-ES"/>
              </w:rPr>
              <w:t xml:space="preserve"> o del artículo 45 </w:t>
            </w:r>
            <w:proofErr w:type="spellStart"/>
            <w:r w:rsidRPr="00210421">
              <w:rPr>
                <w:rFonts w:ascii="Times New Roman" w:eastAsia="Cambria" w:hAnsi="Times New Roman" w:cs="Times New Roman"/>
                <w:i/>
                <w:iCs/>
                <w:color w:val="000000" w:themeColor="text1"/>
                <w:sz w:val="20"/>
                <w:szCs w:val="20"/>
                <w:lang w:val="es-ES"/>
              </w:rPr>
              <w:t>septies</w:t>
            </w:r>
            <w:proofErr w:type="spellEnd"/>
            <w:r w:rsidRPr="11A44BD7">
              <w:rPr>
                <w:rFonts w:ascii="Times New Roman" w:eastAsia="Cambria" w:hAnsi="Times New Roman" w:cs="Times New Roman"/>
                <w:color w:val="000000" w:themeColor="text1"/>
                <w:sz w:val="20"/>
                <w:szCs w:val="20"/>
                <w:lang w:val="es-ES"/>
              </w:rPr>
              <w:t xml:space="preserve">, apartado 2, de la Directiva 2014/59/UE, según proceda, teniendo en cuenta, cuando proceda, el artículo 89, apartado 2, de la DRRB </w:t>
            </w:r>
            <w:r w:rsidR="7B73BF16" w:rsidRPr="11A44BD7">
              <w:rPr>
                <w:rFonts w:ascii="Times New Roman" w:eastAsia="Cambria" w:hAnsi="Times New Roman" w:cs="Times New Roman"/>
                <w:color w:val="000000" w:themeColor="text1"/>
                <w:sz w:val="20"/>
                <w:szCs w:val="20"/>
                <w:lang w:val="es-ES"/>
              </w:rPr>
              <w:t xml:space="preserve">(BRRD, por sus siglas en inglés) </w:t>
            </w:r>
            <w:r w:rsidRPr="11A44BD7">
              <w:rPr>
                <w:rFonts w:ascii="Times New Roman" w:eastAsia="Cambria" w:hAnsi="Times New Roman" w:cs="Times New Roman"/>
                <w:color w:val="000000" w:themeColor="text1"/>
                <w:sz w:val="20"/>
                <w:szCs w:val="20"/>
                <w:lang w:val="es-ES"/>
              </w:rPr>
              <w:t>y el artículo 55 de la DRRB</w:t>
            </w:r>
            <w:r w:rsidR="670BEC05" w:rsidRPr="11A44BD7">
              <w:rPr>
                <w:rFonts w:ascii="Times New Roman" w:eastAsia="Cambria" w:hAnsi="Times New Roman" w:cs="Times New Roman"/>
                <w:color w:val="000000" w:themeColor="text1"/>
                <w:sz w:val="20"/>
                <w:szCs w:val="20"/>
                <w:lang w:val="es-ES"/>
              </w:rPr>
              <w:t xml:space="preserve"> (BRRD, por sus siglas en inglés)</w:t>
            </w:r>
            <w:r w:rsidRPr="11A44BD7">
              <w:rPr>
                <w:rFonts w:ascii="Times New Roman" w:eastAsia="Cambria" w:hAnsi="Times New Roman" w:cs="Times New Roman"/>
                <w:color w:val="000000" w:themeColor="text1"/>
                <w:sz w:val="20"/>
                <w:szCs w:val="20"/>
                <w:lang w:val="es-ES"/>
              </w:rPr>
              <w:t>.</w:t>
            </w:r>
          </w:p>
        </w:tc>
      </w:tr>
    </w:tbl>
    <w:p w14:paraId="7FE1B7B7" w14:textId="77777777" w:rsidR="00414040" w:rsidRDefault="00414040">
      <w:pPr>
        <w:jc w:val="both"/>
        <w:rPr>
          <w:rFonts w:ascii="Times New Roman" w:hAnsi="Times New Roman" w:cs="Times New Roman"/>
          <w:color w:val="000000" w:themeColor="text1"/>
          <w:sz w:val="20"/>
          <w:szCs w:val="20"/>
        </w:rPr>
      </w:pPr>
    </w:p>
    <w:p w14:paraId="7FE1B7B8" w14:textId="44E2BDE6" w:rsidR="00414040" w:rsidRDefault="0034554A">
      <w:pPr>
        <w:pStyle w:val="P68B1DB1-Instructionsberschrift25"/>
        <w:numPr>
          <w:ilvl w:val="1"/>
          <w:numId w:val="49"/>
        </w:numPr>
        <w:ind w:left="357" w:hanging="357"/>
      </w:pPr>
      <w:bookmarkStart w:id="66" w:name="_Toc492542325"/>
      <w:bookmarkStart w:id="67" w:name="_Toc81454183"/>
      <w:bookmarkStart w:id="68" w:name="_Toc211525918"/>
      <w:r>
        <w:rPr>
          <w:lang w:val="es-ES"/>
        </w:rPr>
        <w:t xml:space="preserve"> </w:t>
      </w:r>
      <w:r w:rsidR="45DA0756" w:rsidRPr="11A44BD7">
        <w:rPr>
          <w:lang w:val="es-ES"/>
        </w:rPr>
        <w:t>C</w:t>
      </w:r>
      <w:r w:rsidR="00904E1A" w:rsidRPr="11A44BD7">
        <w:rPr>
          <w:lang w:val="es-ES"/>
        </w:rPr>
        <w:t>ontrapart</w:t>
      </w:r>
      <w:r w:rsidR="7ED7C1CF" w:rsidRPr="11A44BD7">
        <w:rPr>
          <w:lang w:val="es-ES"/>
        </w:rPr>
        <w:t>es</w:t>
      </w:r>
      <w:r w:rsidR="00904E1A" w:rsidRPr="11A44BD7">
        <w:rPr>
          <w:lang w:val="es-ES"/>
        </w:rPr>
        <w:t xml:space="preserve"> principales (LIAB 5-6)</w:t>
      </w:r>
      <w:bookmarkEnd w:id="66"/>
      <w:bookmarkEnd w:id="67"/>
      <w:bookmarkEnd w:id="68"/>
    </w:p>
    <w:p w14:paraId="7FE1B7B9" w14:textId="77777777" w:rsidR="00414040" w:rsidRDefault="00904E1A">
      <w:pPr>
        <w:pStyle w:val="Instructionsberschrift3"/>
      </w:pPr>
      <w:r>
        <w:t>Observaciones generales</w:t>
      </w:r>
    </w:p>
    <w:p w14:paraId="7FE1B7BA" w14:textId="3FF7110E" w:rsidR="00414040" w:rsidRDefault="00904E1A">
      <w:pPr>
        <w:pStyle w:val="P68B1DB1-InstructionsText26"/>
        <w:numPr>
          <w:ilvl w:val="0"/>
          <w:numId w:val="232"/>
        </w:numPr>
        <w:spacing w:before="0"/>
      </w:pPr>
      <w:r>
        <w:t xml:space="preserve">Estas plantillas ofrecen información sobre los pasivos frente a las contrapartes principales (Z 05.01) y las partidas fuera de balance recibidas de las contrapartes principales (Z 05.02). Los importes </w:t>
      </w:r>
      <w:r w:rsidR="6089F762">
        <w:t>indicados</w:t>
      </w:r>
      <w:r>
        <w:t xml:space="preserve"> se agregarán cuando correspondan a la misma contraparte y al mismo tipo de pasivos o partidas fuera de balance.</w:t>
      </w:r>
    </w:p>
    <w:p w14:paraId="7FE1B7BB" w14:textId="07487D6B" w:rsidR="00414040" w:rsidRDefault="00904E1A">
      <w:pPr>
        <w:pStyle w:val="P68B1DB1-InstructionsText26"/>
        <w:numPr>
          <w:ilvl w:val="0"/>
          <w:numId w:val="232"/>
        </w:numPr>
        <w:spacing w:before="0"/>
      </w:pPr>
      <w:r>
        <w:t xml:space="preserve">En las plantillas no se </w:t>
      </w:r>
      <w:r w:rsidR="34CE18D6">
        <w:t>informarán</w:t>
      </w:r>
      <w:r>
        <w:t xml:space="preserve"> pasivos ni partidas fuera de balance cuya contraparte no pueda ser identificada. Tampoco se </w:t>
      </w:r>
      <w:r w:rsidR="13D79412">
        <w:t>inf</w:t>
      </w:r>
      <w:r w:rsidR="00ED7C90">
        <w:t>or</w:t>
      </w:r>
      <w:r w:rsidR="13D79412">
        <w:t xml:space="preserve">marán </w:t>
      </w:r>
      <w:r>
        <w:t>los pasivos y las partidas fuera de balance cuya contraparte sea un ente incluido en los estados financieros consolidados.</w:t>
      </w:r>
    </w:p>
    <w:p w14:paraId="7FE1B7BC" w14:textId="04BE316A" w:rsidR="00414040" w:rsidRDefault="00414040">
      <w:pPr>
        <w:pStyle w:val="InstructionsText2"/>
        <w:numPr>
          <w:ilvl w:val="0"/>
          <w:numId w:val="0"/>
        </w:numPr>
        <w:spacing w:before="0"/>
        <w:ind w:left="753" w:hanging="720"/>
        <w:rPr>
          <w:rFonts w:ascii="Times New Roman" w:hAnsi="Times New Roman" w:cs="Times New Roman"/>
          <w:sz w:val="20"/>
          <w:szCs w:val="20"/>
        </w:rPr>
      </w:pPr>
    </w:p>
    <w:p w14:paraId="7FE1B7BD" w14:textId="1BA9AF29" w:rsidR="00414040" w:rsidRDefault="00904E1A">
      <w:pPr>
        <w:pStyle w:val="P68B1DB1-Instructionsberschrift25"/>
        <w:numPr>
          <w:ilvl w:val="1"/>
          <w:numId w:val="49"/>
        </w:numPr>
        <w:ind w:left="357" w:hanging="357"/>
      </w:pPr>
      <w:bookmarkStart w:id="69" w:name="_Toc211525919"/>
      <w:bookmarkStart w:id="70" w:name="_Toc81454184"/>
      <w:r w:rsidRPr="2133F407">
        <w:rPr>
          <w:lang w:val="es-ES"/>
        </w:rPr>
        <w:t>Z 05.01.</w:t>
      </w:r>
      <w:r w:rsidR="0034554A">
        <w:rPr>
          <w:lang w:val="es-ES"/>
        </w:rPr>
        <w:t xml:space="preserve"> </w:t>
      </w:r>
      <w:r w:rsidRPr="2133F407">
        <w:rPr>
          <w:lang w:val="es-ES"/>
        </w:rPr>
        <w:t>Contrapartes principales del pasivo (LIAB 5)</w:t>
      </w:r>
      <w:bookmarkEnd w:id="69"/>
    </w:p>
    <w:p w14:paraId="7FE1B7BE" w14:textId="0F7A6C34" w:rsidR="00414040" w:rsidRDefault="00904E1A">
      <w:pPr>
        <w:pStyle w:val="P68B1DB1-body26"/>
      </w:pPr>
      <w:r>
        <w:t>Instrucciones relativas a posiciones concretas</w:t>
      </w:r>
      <w:bookmarkEnd w:id="70"/>
    </w:p>
    <w:p w14:paraId="7FE1B7BF" w14:textId="5B1763E3" w:rsidR="00414040" w:rsidRDefault="00904E1A">
      <w:pPr>
        <w:pStyle w:val="P68B1DB1-InstructionsText26"/>
        <w:numPr>
          <w:ilvl w:val="0"/>
          <w:numId w:val="232"/>
        </w:numPr>
        <w:spacing w:before="0"/>
      </w:pPr>
      <w:r>
        <w:t xml:space="preserve">La combinación de los valores </w:t>
      </w:r>
      <w:r w:rsidR="008599F5">
        <w:t>informados</w:t>
      </w:r>
      <w:r>
        <w:t xml:space="preserve"> en las columnas 0020 y 0060 de esta plantilla constituye una clave principal que debe ser única para cada fila de la plantilla.</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414040" w14:paraId="7FE1B7C2" w14:textId="77777777" w:rsidTr="11A44BD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414040" w:rsidRDefault="00904E1A">
            <w:pPr>
              <w:pStyle w:val="P68B1DB1-TableParagraph13"/>
              <w:spacing w:before="66"/>
              <w:rPr>
                <w:rFonts w:eastAsia="Cambria"/>
              </w:rPr>
            </w:pPr>
            <w:r>
              <w:t>Columnas</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414040" w:rsidRDefault="00904E1A">
            <w:pPr>
              <w:pStyle w:val="P68B1DB1-TableParagraph13"/>
              <w:spacing w:before="66"/>
              <w:ind w:right="1"/>
              <w:jc w:val="center"/>
              <w:rPr>
                <w:rFonts w:eastAsia="Cambria"/>
              </w:rPr>
            </w:pPr>
            <w:r>
              <w:t>Instrucciones</w:t>
            </w:r>
          </w:p>
        </w:tc>
      </w:tr>
      <w:tr w:rsidR="00414040" w14:paraId="7FE1B7CC" w14:textId="77777777" w:rsidTr="11A44BD7">
        <w:tc>
          <w:tcPr>
            <w:tcW w:w="907" w:type="dxa"/>
            <w:tcBorders>
              <w:top w:val="single" w:sz="4" w:space="0" w:color="1A171C"/>
              <w:left w:val="nil"/>
              <w:bottom w:val="single" w:sz="4" w:space="0" w:color="1A171C"/>
              <w:right w:val="single" w:sz="4" w:space="0" w:color="1A171C"/>
            </w:tcBorders>
            <w:vAlign w:val="center"/>
          </w:tcPr>
          <w:p w14:paraId="7FE1B7C3" w14:textId="77777777" w:rsidR="00414040" w:rsidRDefault="00904E1A">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414040" w:rsidRDefault="00904E1A">
            <w:pPr>
              <w:pStyle w:val="P68B1DB1-TableParagraph14"/>
              <w:spacing w:before="108"/>
              <w:ind w:left="85"/>
              <w:jc w:val="both"/>
              <w:rPr>
                <w:bCs/>
              </w:rPr>
            </w:pPr>
            <w:r>
              <w:t>Contraparte</w:t>
            </w:r>
          </w:p>
          <w:p w14:paraId="7FE1B7C5" w14:textId="2B5FE2B8" w:rsidR="00414040" w:rsidRDefault="00904E1A">
            <w:pPr>
              <w:pStyle w:val="P68B1DB1-TableParagraph17"/>
              <w:spacing w:before="108"/>
              <w:ind w:left="85"/>
              <w:jc w:val="both"/>
            </w:pPr>
            <w:r>
              <w:t>Información sobre la contraparte principal respecto de la que surge el pasivo</w:t>
            </w:r>
            <w:r w:rsidR="00DF573F">
              <w:t>.</w:t>
            </w:r>
          </w:p>
          <w:p w14:paraId="7FE1B7C6" w14:textId="18896BDC" w:rsidR="00414040" w:rsidRDefault="00904E1A">
            <w:pPr>
              <w:pStyle w:val="P68B1DB1-TableParagraph17"/>
              <w:spacing w:before="108"/>
              <w:ind w:left="85"/>
              <w:jc w:val="both"/>
            </w:pPr>
            <w:r>
              <w:t>Las contrapartes principales se identificarán sumando los importes pendientes de todos los pasivos del ente o grupo al que se refiera la plantilla frente a cada contraparte o grupo de clientes vinculados entre sí, excluidos los pasivos frente a entes incluidos en los estados financieros consolidados.</w:t>
            </w:r>
          </w:p>
          <w:p w14:paraId="7FE1B7C7" w14:textId="6AFBA78B" w:rsidR="00414040" w:rsidRDefault="10A5E5BA">
            <w:pPr>
              <w:pStyle w:val="P68B1DB1-TableParagraph17"/>
              <w:spacing w:before="108"/>
              <w:ind w:left="85"/>
              <w:jc w:val="both"/>
              <w:rPr>
                <w:lang w:val="es-ES"/>
              </w:rPr>
            </w:pPr>
            <w:r w:rsidRPr="45D41A7B">
              <w:rPr>
                <w:lang w:val="es-ES"/>
              </w:rPr>
              <w:t xml:space="preserve">A continuación, las contrapartes y grupos de contrapartes vinculadas entre sí se </w:t>
            </w:r>
            <w:r w:rsidR="171C0C32" w:rsidRPr="45D41A7B">
              <w:rPr>
                <w:lang w:val="es-ES"/>
              </w:rPr>
              <w:t>ordenarán</w:t>
            </w:r>
            <w:r w:rsidRPr="45D41A7B">
              <w:rPr>
                <w:lang w:val="es-ES"/>
              </w:rPr>
              <w:t xml:space="preserve"> por importe pendiente agregado a fin de identificar las diez contrapartes principales, sobre las que deberá facilitarse información mediante esta plantilla.</w:t>
            </w:r>
          </w:p>
          <w:p w14:paraId="7FE1B7CB" w14:textId="1879B990" w:rsidR="00414040" w:rsidRDefault="10A5E5BA">
            <w:pPr>
              <w:pStyle w:val="P68B1DB1-TableParagraph17"/>
              <w:spacing w:before="108"/>
              <w:ind w:left="85"/>
              <w:jc w:val="both"/>
              <w:rPr>
                <w:b/>
                <w:bCs/>
              </w:rPr>
            </w:pPr>
            <w:r>
              <w:t xml:space="preserve">La definición de «grupo de contrapartes vinculadas entre sí» se ajustará a la definición de «grupo de clientes vinculados entre sí» establecida en el artículo 4, apartado 1, punto 39, del Reglamento (UE) n.º 575/2013. </w:t>
            </w:r>
          </w:p>
        </w:tc>
      </w:tr>
      <w:tr w:rsidR="00414040" w14:paraId="7FE1B7D1" w14:textId="77777777" w:rsidTr="11A44BD7">
        <w:tc>
          <w:tcPr>
            <w:tcW w:w="907" w:type="dxa"/>
            <w:tcBorders>
              <w:top w:val="single" w:sz="4" w:space="0" w:color="1A171C"/>
              <w:left w:val="nil"/>
              <w:bottom w:val="single" w:sz="4" w:space="0" w:color="1A171C"/>
              <w:right w:val="single" w:sz="4" w:space="0" w:color="1A171C"/>
            </w:tcBorders>
            <w:vAlign w:val="center"/>
          </w:tcPr>
          <w:p w14:paraId="7FE1B7CD" w14:textId="77777777" w:rsidR="00414040" w:rsidRDefault="00904E1A">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414040" w:rsidRDefault="00904E1A">
            <w:pPr>
              <w:pStyle w:val="P68B1DB1-TableParagraph14"/>
              <w:spacing w:before="108"/>
              <w:ind w:left="85"/>
              <w:jc w:val="both"/>
              <w:rPr>
                <w:bCs/>
              </w:rPr>
            </w:pPr>
            <w:r>
              <w:t>Nombre del ente</w:t>
            </w:r>
          </w:p>
          <w:p w14:paraId="7FE1B7CF" w14:textId="77777777" w:rsidR="00414040" w:rsidRDefault="00904E1A">
            <w:pPr>
              <w:pStyle w:val="P68B1DB1-Normal18"/>
              <w:spacing w:before="108"/>
              <w:ind w:left="85"/>
              <w:jc w:val="both"/>
            </w:pPr>
            <w:r>
              <w:t>Nombre de la contraparte principal o, en su caso, nombre del grupo de clientes vinculados entre sí.</w:t>
            </w:r>
          </w:p>
          <w:p w14:paraId="7FE1B7D0" w14:textId="77777777" w:rsidR="00414040" w:rsidRDefault="00904E1A">
            <w:pPr>
              <w:pStyle w:val="P68B1DB1-TableParagraph17"/>
              <w:spacing w:before="108"/>
              <w:ind w:left="85"/>
              <w:jc w:val="both"/>
            </w:pPr>
            <w:r>
              <w:t>El nombre de un grupo de clientes vinculados entre sí será el de la sociedad matriz o, cuando el grupo de clientes vinculados entre sí no tenga una sociedad matriz, el nombre comercial del grupo.</w:t>
            </w:r>
          </w:p>
        </w:tc>
      </w:tr>
      <w:tr w:rsidR="00414040" w14:paraId="7FE1B7D6" w14:textId="77777777" w:rsidTr="11A44BD7">
        <w:tc>
          <w:tcPr>
            <w:tcW w:w="907" w:type="dxa"/>
            <w:tcBorders>
              <w:top w:val="single" w:sz="4" w:space="0" w:color="1A171C"/>
              <w:left w:val="nil"/>
              <w:bottom w:val="single" w:sz="4" w:space="0" w:color="1A171C"/>
              <w:right w:val="single" w:sz="4" w:space="0" w:color="1A171C"/>
            </w:tcBorders>
            <w:vAlign w:val="center"/>
          </w:tcPr>
          <w:p w14:paraId="7FE1B7D2" w14:textId="77777777" w:rsidR="00414040" w:rsidRDefault="00904E1A">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414040" w:rsidRDefault="00904E1A">
            <w:pPr>
              <w:pStyle w:val="P68B1DB1-TableParagraph14"/>
              <w:spacing w:before="108"/>
              <w:ind w:left="85"/>
              <w:jc w:val="both"/>
              <w:rPr>
                <w:bCs/>
              </w:rPr>
            </w:pPr>
            <w:r>
              <w:t>Código</w:t>
            </w:r>
          </w:p>
          <w:p w14:paraId="188AB748" w14:textId="77777777" w:rsidR="00414040" w:rsidRDefault="00904E1A">
            <w:pPr>
              <w:pStyle w:val="P68B1DB1-TableParagraph17"/>
              <w:spacing w:before="108"/>
            </w:pPr>
            <w:r>
              <w:t xml:space="preserve">Código de la contraparte principal o grupo de clientes vinculados entre sí. </w:t>
            </w:r>
          </w:p>
          <w:p w14:paraId="0DD02B7A" w14:textId="53576A6B" w:rsidR="00414040" w:rsidRDefault="00904E1A">
            <w:pPr>
              <w:pStyle w:val="P68B1DB1-TableParagraph13"/>
              <w:spacing w:before="108"/>
              <w:rPr>
                <w:bCs/>
              </w:rPr>
            </w:pPr>
            <w:r>
              <w:t xml:space="preserve">En el caso de las entidades con un identificador de entidad jurídica (LEI), el código </w:t>
            </w:r>
            <w:r w:rsidR="005F6FB8">
              <w:t xml:space="preserve">LEI </w:t>
            </w:r>
            <w:r>
              <w:lastRenderedPageBreak/>
              <w:t xml:space="preserve">alfanumérico de 20 </w:t>
            </w:r>
            <w:r w:rsidRPr="005F6FB8">
              <w:t>dígitos</w:t>
            </w:r>
            <w:r>
              <w:t>;</w:t>
            </w:r>
          </w:p>
          <w:p w14:paraId="7FE1B7D4" w14:textId="5CA1D1DD" w:rsidR="00414040" w:rsidRDefault="00904E1A">
            <w:pPr>
              <w:pStyle w:val="P68B1DB1-TableParagraph13"/>
              <w:spacing w:before="108"/>
              <w:jc w:val="both"/>
              <w:rPr>
                <w:rFonts w:eastAsia="Cambria"/>
              </w:rPr>
            </w:pPr>
            <w:r>
              <w:t xml:space="preserve">Si no se dispone de él, utilícese el código </w:t>
            </w:r>
            <w:r w:rsidR="00ED7C90">
              <w:t xml:space="preserve">de </w:t>
            </w:r>
            <w:r>
              <w:t>IFM o un código con arreglo a una codificación uniforme aplicable en la Unión.</w:t>
            </w:r>
          </w:p>
          <w:p w14:paraId="7FE1B7D5" w14:textId="77777777" w:rsidR="00414040" w:rsidRDefault="00904E1A">
            <w:pPr>
              <w:pStyle w:val="P68B1DB1-TableParagraph17"/>
              <w:spacing w:before="108"/>
              <w:ind w:left="85"/>
              <w:jc w:val="both"/>
            </w:pPr>
            <w:r>
              <w:t>El código será único y se utilizará de manera coherente en las distintas plantillas.</w:t>
            </w:r>
          </w:p>
        </w:tc>
      </w:tr>
      <w:tr w:rsidR="00414040" w14:paraId="7FE1B7DB" w14:textId="77777777" w:rsidTr="11A44BD7">
        <w:tc>
          <w:tcPr>
            <w:tcW w:w="907" w:type="dxa"/>
            <w:tcBorders>
              <w:top w:val="single" w:sz="4" w:space="0" w:color="1A171C"/>
              <w:left w:val="nil"/>
              <w:bottom w:val="single" w:sz="4" w:space="0" w:color="1A171C"/>
              <w:right w:val="single" w:sz="4" w:space="0" w:color="1A171C"/>
            </w:tcBorders>
            <w:vAlign w:val="center"/>
          </w:tcPr>
          <w:p w14:paraId="7FE1B7D7" w14:textId="77777777" w:rsidR="00414040" w:rsidRDefault="00904E1A">
            <w:pPr>
              <w:pStyle w:val="P68B1DB1-TableParagraph17"/>
              <w:spacing w:before="108"/>
              <w:ind w:left="85"/>
              <w:jc w:val="both"/>
            </w:pPr>
            <w:r>
              <w:lastRenderedPageBreak/>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414040" w:rsidRDefault="00904E1A">
            <w:pPr>
              <w:pStyle w:val="P68B1DB1-TableParagraph14"/>
              <w:spacing w:before="108"/>
              <w:ind w:left="85"/>
              <w:jc w:val="both"/>
              <w:rPr>
                <w:bCs/>
              </w:rPr>
            </w:pPr>
            <w:r>
              <w:t>Tipo de código</w:t>
            </w:r>
          </w:p>
          <w:p w14:paraId="2BEBBD8E" w14:textId="55A001F3" w:rsidR="00414040" w:rsidRDefault="00904E1A">
            <w:pPr>
              <w:pStyle w:val="P68B1DB1-TableParagraph13"/>
              <w:spacing w:before="108"/>
              <w:rPr>
                <w:bCs/>
              </w:rPr>
            </w:pPr>
            <w:r>
              <w:t>Se seleccionará una de las opciones siguientes: «Código LEI», «Código de IFM» o «Tipo de identificador: distinto del código LEI o de IFM».</w:t>
            </w:r>
          </w:p>
          <w:p w14:paraId="5CA49443" w14:textId="5B9A6C80" w:rsidR="00414040" w:rsidRDefault="10A5E5BA">
            <w:pPr>
              <w:pStyle w:val="P68B1DB1-TableParagraph13"/>
              <w:spacing w:before="108" w:line="276" w:lineRule="auto"/>
              <w:ind w:left="85"/>
              <w:jc w:val="both"/>
              <w:rPr>
                <w:color w:val="000000"/>
              </w:rPr>
            </w:pPr>
            <w:r>
              <w:t xml:space="preserve">La identificación de </w:t>
            </w:r>
            <w:r w:rsidR="37EF9A1A">
              <w:t>los entes</w:t>
            </w:r>
            <w:r>
              <w:t xml:space="preserve"> se hará de manera coherente en todas las plantillas.</w:t>
            </w:r>
          </w:p>
          <w:p w14:paraId="7FE1B7DA" w14:textId="4204707F" w:rsidR="00414040" w:rsidRDefault="00414040">
            <w:pPr>
              <w:pStyle w:val="TableParagraph"/>
              <w:spacing w:before="108"/>
              <w:rPr>
                <w:rFonts w:ascii="Times New Roman" w:hAnsi="Times New Roman" w:cs="Times New Roman"/>
                <w:color w:val="000000" w:themeColor="text1"/>
                <w:sz w:val="20"/>
                <w:szCs w:val="20"/>
              </w:rPr>
            </w:pPr>
          </w:p>
        </w:tc>
      </w:tr>
      <w:tr w:rsidR="00414040" w14:paraId="7FE1B7DF" w14:textId="77777777" w:rsidTr="11A44BD7">
        <w:tc>
          <w:tcPr>
            <w:tcW w:w="907" w:type="dxa"/>
            <w:tcBorders>
              <w:top w:val="single" w:sz="4" w:space="0" w:color="1A171C"/>
              <w:left w:val="nil"/>
              <w:bottom w:val="single" w:sz="4" w:space="0" w:color="1A171C"/>
              <w:right w:val="single" w:sz="4" w:space="0" w:color="1A171C"/>
            </w:tcBorders>
            <w:vAlign w:val="center"/>
          </w:tcPr>
          <w:p w14:paraId="7FE1B7DC" w14:textId="77777777" w:rsidR="00414040" w:rsidRDefault="00904E1A">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414040" w:rsidRDefault="00904E1A">
            <w:pPr>
              <w:pStyle w:val="P68B1DB1-TableParagraph14"/>
              <w:spacing w:before="108"/>
              <w:ind w:left="85"/>
              <w:jc w:val="both"/>
              <w:rPr>
                <w:bCs/>
              </w:rPr>
            </w:pPr>
            <w:r>
              <w:t>Grupo o cliente individual</w:t>
            </w:r>
          </w:p>
          <w:p w14:paraId="4E4D0057" w14:textId="77777777" w:rsidR="00414040" w:rsidRDefault="00904E1A">
            <w:pPr>
              <w:pStyle w:val="P68B1DB1-Normal18"/>
              <w:ind w:left="85"/>
            </w:pPr>
            <w:r>
              <w:t>La entidad comunicará:</w:t>
            </w:r>
          </w:p>
          <w:p w14:paraId="0242F822" w14:textId="5242FFA2" w:rsidR="00414040" w:rsidRDefault="00904E1A">
            <w:pPr>
              <w:pStyle w:val="P68B1DB1-ListParagraph25"/>
              <w:numPr>
                <w:ilvl w:val="0"/>
                <w:numId w:val="297"/>
              </w:numPr>
            </w:pPr>
            <w:r>
              <w:t>Contrapartes individuales</w:t>
            </w:r>
          </w:p>
          <w:p w14:paraId="7FE1B7DE" w14:textId="6F55D54C" w:rsidR="00414040" w:rsidRDefault="00904E1A">
            <w:pPr>
              <w:pStyle w:val="P68B1DB1-ListParagraph25"/>
              <w:numPr>
                <w:ilvl w:val="0"/>
                <w:numId w:val="297"/>
              </w:numPr>
            </w:pPr>
            <w:r>
              <w:t>Grupos de clientes vinculados entre sí.</w:t>
            </w:r>
          </w:p>
        </w:tc>
      </w:tr>
      <w:tr w:rsidR="00414040" w14:paraId="7FE1B7E4" w14:textId="77777777" w:rsidTr="11A44BD7">
        <w:tc>
          <w:tcPr>
            <w:tcW w:w="907" w:type="dxa"/>
            <w:tcBorders>
              <w:top w:val="single" w:sz="4" w:space="0" w:color="1A171C"/>
              <w:left w:val="nil"/>
              <w:bottom w:val="single" w:sz="4" w:space="0" w:color="1A171C"/>
              <w:right w:val="single" w:sz="4" w:space="0" w:color="1A171C"/>
            </w:tcBorders>
            <w:vAlign w:val="center"/>
          </w:tcPr>
          <w:p w14:paraId="7FE1B7E0" w14:textId="77777777" w:rsidR="00414040" w:rsidRDefault="00904E1A">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414040" w:rsidRDefault="00904E1A">
            <w:pPr>
              <w:pStyle w:val="P68B1DB1-TableParagraph14"/>
              <w:spacing w:before="108"/>
              <w:ind w:left="85"/>
              <w:jc w:val="both"/>
              <w:rPr>
                <w:bCs/>
              </w:rPr>
            </w:pPr>
            <w:r>
              <w:t>País</w:t>
            </w:r>
          </w:p>
          <w:p w14:paraId="7FE1B7E2" w14:textId="77777777" w:rsidR="00414040" w:rsidRDefault="00904E1A">
            <w:pPr>
              <w:pStyle w:val="P68B1DB1-Normal18"/>
              <w:spacing w:before="108"/>
              <w:ind w:left="85"/>
              <w:contextualSpacing/>
              <w:jc w:val="both"/>
            </w:pPr>
            <w:r>
              <w:t xml:space="preserve">Código ISO 3166-1-alfa-2 del país de constitución de la contraparte. Se incluyen los pseudocódigos ISO para las organizaciones internacionales, disponibles en la última edición del «Vademécum de la balanza de pagos» de Eurostat. </w:t>
            </w:r>
          </w:p>
          <w:p w14:paraId="7FE1B7E3" w14:textId="77777777" w:rsidR="00414040" w:rsidRDefault="00904E1A">
            <w:pPr>
              <w:pStyle w:val="P68B1DB1-TableParagraph17"/>
              <w:spacing w:before="108"/>
              <w:ind w:left="85"/>
              <w:jc w:val="both"/>
            </w:pPr>
            <w:r>
              <w:t xml:space="preserve">El país se determina por referencia al domicilio social de la contraparte. En el caso de los grupos de clientes vinculados entre sí, el país de constitución de la sociedad matriz. </w:t>
            </w:r>
          </w:p>
        </w:tc>
      </w:tr>
      <w:tr w:rsidR="00414040" w14:paraId="7FE1B7EF" w14:textId="77777777" w:rsidTr="11A44BD7">
        <w:tc>
          <w:tcPr>
            <w:tcW w:w="907" w:type="dxa"/>
            <w:tcBorders>
              <w:top w:val="single" w:sz="4" w:space="0" w:color="1A171C"/>
              <w:left w:val="nil"/>
              <w:bottom w:val="single" w:sz="4" w:space="0" w:color="1A171C"/>
              <w:right w:val="single" w:sz="4" w:space="0" w:color="1A171C"/>
            </w:tcBorders>
            <w:vAlign w:val="center"/>
          </w:tcPr>
          <w:p w14:paraId="7FE1B7E5" w14:textId="77777777" w:rsidR="00414040" w:rsidRDefault="00904E1A">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414040" w:rsidRDefault="00904E1A">
            <w:pPr>
              <w:pStyle w:val="P68B1DB1-TableParagraph14"/>
              <w:spacing w:before="108"/>
              <w:ind w:left="85"/>
              <w:jc w:val="both"/>
              <w:rPr>
                <w:bCs/>
              </w:rPr>
            </w:pPr>
            <w:r>
              <w:t>Sector</w:t>
            </w:r>
          </w:p>
          <w:p w14:paraId="7FE1B7E7" w14:textId="4E415E57" w:rsidR="00414040" w:rsidRDefault="00904E1A">
            <w:pPr>
              <w:pStyle w:val="P68B1DB1-TableParagraph17"/>
              <w:spacing w:before="108"/>
              <w:ind w:left="85"/>
              <w:jc w:val="both"/>
            </w:pPr>
            <w:r>
              <w:t>Se asignará un sector a cada contraparte basándose en las clases de sectores económicos de FINREP (FINREP, anexo V, parte 1, capítulo 6):</w:t>
            </w:r>
          </w:p>
          <w:p w14:paraId="7FE1B7E8" w14:textId="77777777" w:rsidR="00414040" w:rsidRDefault="00904E1A">
            <w:pPr>
              <w:pStyle w:val="P68B1DB1-List127"/>
              <w:numPr>
                <w:ilvl w:val="0"/>
                <w:numId w:val="64"/>
              </w:numPr>
            </w:pPr>
            <w:r>
              <w:t>Bancos centrales</w:t>
            </w:r>
          </w:p>
          <w:p w14:paraId="7FE1B7E9" w14:textId="77777777" w:rsidR="00414040" w:rsidRDefault="00904E1A">
            <w:pPr>
              <w:pStyle w:val="P68B1DB1-List127"/>
              <w:numPr>
                <w:ilvl w:val="0"/>
                <w:numId w:val="64"/>
              </w:numPr>
            </w:pPr>
            <w:r>
              <w:t>Administraciones públicas</w:t>
            </w:r>
          </w:p>
          <w:p w14:paraId="7FE1B7EA" w14:textId="77777777" w:rsidR="00414040" w:rsidRDefault="00904E1A">
            <w:pPr>
              <w:pStyle w:val="P68B1DB1-List127"/>
              <w:numPr>
                <w:ilvl w:val="0"/>
                <w:numId w:val="64"/>
              </w:numPr>
            </w:pPr>
            <w:r>
              <w:t xml:space="preserve">Entidades de crédito: </w:t>
            </w:r>
          </w:p>
          <w:p w14:paraId="7FE1B7EB" w14:textId="77777777" w:rsidR="00414040" w:rsidRDefault="00904E1A">
            <w:pPr>
              <w:pStyle w:val="P68B1DB1-List127"/>
              <w:numPr>
                <w:ilvl w:val="0"/>
                <w:numId w:val="64"/>
              </w:numPr>
            </w:pPr>
            <w:r>
              <w:t>Otras sociedades financieras</w:t>
            </w:r>
          </w:p>
          <w:p w14:paraId="7FE1B7EC" w14:textId="77777777" w:rsidR="00414040" w:rsidRDefault="00904E1A">
            <w:pPr>
              <w:pStyle w:val="P68B1DB1-List127"/>
              <w:numPr>
                <w:ilvl w:val="0"/>
                <w:numId w:val="64"/>
              </w:numPr>
            </w:pPr>
            <w:r>
              <w:t>Sociedades no financieras</w:t>
            </w:r>
          </w:p>
          <w:p w14:paraId="7FE1B7ED" w14:textId="77777777" w:rsidR="00414040" w:rsidRDefault="00904E1A">
            <w:pPr>
              <w:pStyle w:val="P68B1DB1-List127"/>
              <w:numPr>
                <w:ilvl w:val="0"/>
                <w:numId w:val="64"/>
              </w:numPr>
            </w:pPr>
            <w:r>
              <w:t>Hogares</w:t>
            </w:r>
          </w:p>
          <w:p w14:paraId="7FE1B7EE" w14:textId="3CCD0267" w:rsidR="00414040" w:rsidRDefault="00904E1A">
            <w:pPr>
              <w:pStyle w:val="P68B1DB1-TableParagraph17"/>
              <w:spacing w:before="108"/>
              <w:ind w:left="85"/>
              <w:jc w:val="both"/>
            </w:pPr>
            <w:r>
              <w:t xml:space="preserve">En el caso de grupos de clientes vinculados entre sí, no se </w:t>
            </w:r>
            <w:r w:rsidR="742F49A4">
              <w:t>informará</w:t>
            </w:r>
            <w:r>
              <w:t xml:space="preserve"> ningún sector.</w:t>
            </w:r>
          </w:p>
        </w:tc>
      </w:tr>
      <w:tr w:rsidR="00414040" w14:paraId="7FE1B800" w14:textId="77777777" w:rsidTr="11A44BD7">
        <w:tc>
          <w:tcPr>
            <w:tcW w:w="907" w:type="dxa"/>
            <w:tcBorders>
              <w:top w:val="single" w:sz="4" w:space="0" w:color="1A171C"/>
              <w:left w:val="nil"/>
              <w:bottom w:val="single" w:sz="4" w:space="0" w:color="1A171C"/>
              <w:right w:val="single" w:sz="4" w:space="0" w:color="1A171C"/>
            </w:tcBorders>
            <w:vAlign w:val="center"/>
          </w:tcPr>
          <w:p w14:paraId="7FE1B7F0" w14:textId="77777777" w:rsidR="00414040" w:rsidRDefault="00904E1A">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414040" w:rsidRDefault="00904E1A">
            <w:pPr>
              <w:pStyle w:val="P68B1DB1-TableParagraph14"/>
              <w:spacing w:before="108"/>
              <w:ind w:left="85"/>
              <w:jc w:val="both"/>
              <w:rPr>
                <w:bCs/>
              </w:rPr>
            </w:pPr>
            <w:r>
              <w:t>Tipo</w:t>
            </w:r>
          </w:p>
          <w:p w14:paraId="7FE1B7F2" w14:textId="62157694" w:rsidR="00414040" w:rsidRDefault="00904E1A">
            <w:pPr>
              <w:pStyle w:val="P68B1DB1-Normal18"/>
              <w:spacing w:before="108"/>
              <w:ind w:left="85"/>
              <w:jc w:val="both"/>
            </w:pPr>
            <w:r w:rsidRPr="2133F407">
              <w:rPr>
                <w:lang w:val="es-ES"/>
              </w:rPr>
              <w:t>Se seleccionará el tipo de pasivos entre los enumerados en la plantilla Z 02.00.</w:t>
            </w:r>
            <w:r w:rsidR="00ED7C90">
              <w:rPr>
                <w:lang w:val="es-ES"/>
              </w:rPr>
              <w:t xml:space="preserve"> </w:t>
            </w:r>
            <w:r w:rsidRPr="2133F407">
              <w:rPr>
                <w:lang w:val="es-ES"/>
              </w:rPr>
              <w:t>Estructura del pasivo (LIAB 1), a saber:</w:t>
            </w:r>
          </w:p>
          <w:p w14:paraId="7FE1B7F3" w14:textId="4AE4B095" w:rsidR="00414040" w:rsidRDefault="00904E1A">
            <w:pPr>
              <w:pStyle w:val="P68B1DB1-ListParagraph25"/>
              <w:numPr>
                <w:ilvl w:val="0"/>
                <w:numId w:val="298"/>
              </w:numPr>
              <w:spacing w:before="108"/>
              <w:jc w:val="both"/>
            </w:pPr>
            <w:r>
              <w:t>Pasivos excluidos de la recapitalización interna</w:t>
            </w:r>
          </w:p>
          <w:p w14:paraId="7FE1B7F4" w14:textId="4257143A" w:rsidR="00414040" w:rsidRDefault="00904E1A">
            <w:pPr>
              <w:pStyle w:val="P68B1DB1-ListParagraph25"/>
              <w:numPr>
                <w:ilvl w:val="0"/>
                <w:numId w:val="298"/>
              </w:numPr>
              <w:spacing w:before="108"/>
              <w:jc w:val="both"/>
            </w:pPr>
            <w:r w:rsidRPr="2133F407">
              <w:rPr>
                <w:lang w:val="es-ES"/>
              </w:rPr>
              <w:t xml:space="preserve">Depósitos sin </w:t>
            </w:r>
            <w:proofErr w:type="gramStart"/>
            <w:r w:rsidRPr="2133F407">
              <w:rPr>
                <w:lang w:val="es-ES"/>
              </w:rPr>
              <w:t>cobertura</w:t>
            </w:r>
            <w:proofErr w:type="gramEnd"/>
            <w:r w:rsidRPr="2133F407">
              <w:rPr>
                <w:lang w:val="es-ES"/>
              </w:rPr>
              <w:t xml:space="preserve"> pero preferentes</w:t>
            </w:r>
          </w:p>
          <w:p w14:paraId="7FE1B7F5" w14:textId="21AFD595" w:rsidR="00414040" w:rsidRDefault="00904E1A">
            <w:pPr>
              <w:pStyle w:val="P68B1DB1-ListParagraph25"/>
              <w:numPr>
                <w:ilvl w:val="0"/>
                <w:numId w:val="298"/>
              </w:numPr>
              <w:spacing w:before="108"/>
              <w:jc w:val="both"/>
            </w:pPr>
            <w:r>
              <w:t>Depósitos sin cobertura no preferentes</w:t>
            </w:r>
          </w:p>
          <w:p w14:paraId="7FE1B7F6" w14:textId="71A166CE" w:rsidR="00414040" w:rsidRDefault="00904E1A">
            <w:pPr>
              <w:pStyle w:val="P68B1DB1-ListParagraph25"/>
              <w:numPr>
                <w:ilvl w:val="0"/>
                <w:numId w:val="298"/>
              </w:numPr>
              <w:spacing w:before="108"/>
              <w:jc w:val="both"/>
            </w:pPr>
            <w:r>
              <w:t>Pasivos surgidos de derivados</w:t>
            </w:r>
          </w:p>
          <w:p w14:paraId="7FE1B7F7" w14:textId="57F1D715" w:rsidR="00414040" w:rsidRDefault="00904E1A">
            <w:pPr>
              <w:pStyle w:val="P68B1DB1-ListParagraph25"/>
              <w:numPr>
                <w:ilvl w:val="0"/>
                <w:numId w:val="298"/>
              </w:numPr>
              <w:spacing w:before="108"/>
              <w:jc w:val="both"/>
            </w:pPr>
            <w:r>
              <w:t>Pasivos garantizados sin garantías reales</w:t>
            </w:r>
          </w:p>
          <w:p w14:paraId="7FE1B7F8" w14:textId="73D53058" w:rsidR="00414040" w:rsidRDefault="00904E1A">
            <w:pPr>
              <w:pStyle w:val="P68B1DB1-ListParagraph25"/>
              <w:numPr>
                <w:ilvl w:val="0"/>
                <w:numId w:val="298"/>
              </w:numPr>
              <w:spacing w:before="108"/>
              <w:jc w:val="both"/>
            </w:pPr>
            <w:r>
              <w:t>Bonos estructurados</w:t>
            </w:r>
          </w:p>
          <w:p w14:paraId="7FE1B7F9" w14:textId="54AC9980" w:rsidR="00414040" w:rsidRDefault="00904E1A">
            <w:pPr>
              <w:pStyle w:val="P68B1DB1-ListParagraph25"/>
              <w:numPr>
                <w:ilvl w:val="0"/>
                <w:numId w:val="298"/>
              </w:numPr>
              <w:spacing w:before="108"/>
              <w:jc w:val="both"/>
            </w:pPr>
            <w:r>
              <w:t>Pasivos no garantizados de rango superior</w:t>
            </w:r>
          </w:p>
          <w:p w14:paraId="7FE1B7FA" w14:textId="1FE1F83F" w:rsidR="00414040" w:rsidRDefault="10A5E5BA">
            <w:pPr>
              <w:pStyle w:val="P68B1DB1-ListParagraph25"/>
              <w:numPr>
                <w:ilvl w:val="0"/>
                <w:numId w:val="298"/>
              </w:numPr>
              <w:spacing w:before="108"/>
              <w:jc w:val="both"/>
            </w:pPr>
            <w:r>
              <w:t xml:space="preserve">Pasivos </w:t>
            </w:r>
            <w:r w:rsidR="715AD3AC">
              <w:t xml:space="preserve">no preferentes </w:t>
            </w:r>
            <w:r>
              <w:t>de rango superior</w:t>
            </w:r>
          </w:p>
          <w:p w14:paraId="7FE1B7FB" w14:textId="49FDBAE5" w:rsidR="00414040" w:rsidRDefault="00904E1A">
            <w:pPr>
              <w:pStyle w:val="P68B1DB1-ListParagraph25"/>
              <w:numPr>
                <w:ilvl w:val="0"/>
                <w:numId w:val="298"/>
              </w:numPr>
              <w:spacing w:before="108"/>
              <w:jc w:val="both"/>
            </w:pPr>
            <w:r>
              <w:t>Pasivos subordinados (no reconocidos como fondos propios)</w:t>
            </w:r>
          </w:p>
          <w:p w14:paraId="7FE1B7FC" w14:textId="25F7AE59" w:rsidR="00414040" w:rsidRDefault="00904E1A">
            <w:pPr>
              <w:pStyle w:val="P68B1DB1-ListParagraph25"/>
              <w:numPr>
                <w:ilvl w:val="0"/>
                <w:numId w:val="298"/>
              </w:numPr>
              <w:spacing w:before="108"/>
              <w:jc w:val="both"/>
            </w:pPr>
            <w:r>
              <w:lastRenderedPageBreak/>
              <w:t>Otros pasivos admisibles a efectos del MREL</w:t>
            </w:r>
          </w:p>
          <w:p w14:paraId="7FE1B7FD" w14:textId="29E846ED" w:rsidR="00414040" w:rsidRDefault="00904E1A">
            <w:pPr>
              <w:pStyle w:val="P68B1DB1-ListParagraph25"/>
              <w:numPr>
                <w:ilvl w:val="0"/>
                <w:numId w:val="298"/>
              </w:numPr>
              <w:spacing w:before="108"/>
              <w:jc w:val="both"/>
            </w:pPr>
            <w:r>
              <w:t>Pasivos no financieros</w:t>
            </w:r>
          </w:p>
          <w:p w14:paraId="7FE1B7FE" w14:textId="4EF5CD96" w:rsidR="00414040" w:rsidRDefault="00904E1A">
            <w:pPr>
              <w:pStyle w:val="P68B1DB1-ListParagraph25"/>
              <w:numPr>
                <w:ilvl w:val="0"/>
                <w:numId w:val="298"/>
              </w:numPr>
              <w:spacing w:before="108"/>
              <w:jc w:val="both"/>
            </w:pPr>
            <w:r>
              <w:t>Pasivos residuales</w:t>
            </w:r>
          </w:p>
          <w:p w14:paraId="7FE1B7FF" w14:textId="3AFD3FA9" w:rsidR="00414040" w:rsidRDefault="00904E1A">
            <w:pPr>
              <w:pStyle w:val="P68B1DB1-TableParagraph17"/>
              <w:spacing w:before="108"/>
              <w:ind w:left="85"/>
              <w:jc w:val="both"/>
            </w:pPr>
            <w:r>
              <w:t xml:space="preserve">Si los pasivos frente a una contraparte principal pertenecen a varios de los tipos mencionados anteriormente, se </w:t>
            </w:r>
            <w:r w:rsidR="11CC76D7">
              <w:t>indicará</w:t>
            </w:r>
            <w:r>
              <w:t xml:space="preserve"> cada tipo en </w:t>
            </w:r>
            <w:r w:rsidR="00823E51">
              <w:t xml:space="preserve">una </w:t>
            </w:r>
            <w:r>
              <w:t>fila separada.</w:t>
            </w:r>
          </w:p>
        </w:tc>
      </w:tr>
      <w:tr w:rsidR="00414040" w14:paraId="7FE1B804" w14:textId="77777777" w:rsidTr="11A44BD7">
        <w:tc>
          <w:tcPr>
            <w:tcW w:w="907" w:type="dxa"/>
            <w:tcBorders>
              <w:top w:val="single" w:sz="4" w:space="0" w:color="1A171C"/>
              <w:left w:val="nil"/>
              <w:bottom w:val="single" w:sz="4" w:space="0" w:color="1A171C"/>
              <w:right w:val="single" w:sz="4" w:space="0" w:color="1A171C"/>
            </w:tcBorders>
            <w:vAlign w:val="center"/>
          </w:tcPr>
          <w:p w14:paraId="7FE1B801" w14:textId="77777777" w:rsidR="00414040" w:rsidRDefault="00904E1A">
            <w:pPr>
              <w:pStyle w:val="P68B1DB1-TableParagraph17"/>
              <w:spacing w:before="108"/>
              <w:ind w:left="85"/>
              <w:jc w:val="both"/>
            </w:pPr>
            <w: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802" w14:textId="208007C5" w:rsidR="00414040" w:rsidRDefault="00414040">
            <w:pPr>
              <w:pStyle w:val="P68B1DB1-TableParagraph14"/>
              <w:spacing w:before="108"/>
              <w:ind w:left="85"/>
              <w:jc w:val="both"/>
            </w:pPr>
          </w:p>
          <w:p w14:paraId="0C96CA36" w14:textId="0514F1EE" w:rsidR="00414040" w:rsidRPr="00210421" w:rsidRDefault="214EEFCA" w:rsidP="00210421">
            <w:pPr>
              <w:pStyle w:val="P68B1DB1-TableParagraph17"/>
              <w:spacing w:before="108"/>
              <w:ind w:left="85"/>
              <w:jc w:val="both"/>
              <w:rPr>
                <w:b/>
                <w:bCs/>
              </w:rPr>
            </w:pPr>
            <w:r w:rsidRPr="00210421">
              <w:rPr>
                <w:b/>
                <w:bCs/>
                <w:lang w:val="es-ES"/>
              </w:rPr>
              <w:t>Importe</w:t>
            </w:r>
          </w:p>
          <w:p w14:paraId="7FE1B803" w14:textId="020CDA58" w:rsidR="00414040" w:rsidRDefault="10A5E5BA" w:rsidP="45D41A7B">
            <w:pPr>
              <w:pStyle w:val="P68B1DB1-TableParagraph17"/>
              <w:spacing w:before="108"/>
              <w:ind w:left="85"/>
              <w:jc w:val="both"/>
            </w:pPr>
            <w:r w:rsidRPr="11A44BD7">
              <w:rPr>
                <w:lang w:val="es-ES"/>
              </w:rPr>
              <w:t>El importe será equivalente al «importe pendiente» según la definición contemplada en la plantilla Z 02.00.</w:t>
            </w:r>
            <w:r w:rsidR="00823E51">
              <w:rPr>
                <w:lang w:val="es-ES"/>
              </w:rPr>
              <w:t xml:space="preserve"> </w:t>
            </w:r>
            <w:r w:rsidRPr="11A44BD7">
              <w:rPr>
                <w:lang w:val="es-ES"/>
              </w:rPr>
              <w:t>Estructura del pasivo. En cuanto a los pasivos surgidos de derivados, se</w:t>
            </w:r>
            <w:r w:rsidR="00C35784">
              <w:rPr>
                <w:lang w:val="es-ES"/>
              </w:rPr>
              <w:t xml:space="preserve"> </w:t>
            </w:r>
            <w:r w:rsidR="4A74B796" w:rsidRPr="11A44BD7">
              <w:rPr>
                <w:lang w:val="es-ES"/>
              </w:rPr>
              <w:t>info</w:t>
            </w:r>
            <w:r w:rsidR="6D122CB6" w:rsidRPr="11A44BD7">
              <w:rPr>
                <w:lang w:val="es-ES"/>
              </w:rPr>
              <w:t>r</w:t>
            </w:r>
            <w:r w:rsidR="4A74B796" w:rsidRPr="11A44BD7">
              <w:rPr>
                <w:lang w:val="es-ES"/>
              </w:rPr>
              <w:t>marán</w:t>
            </w:r>
            <w:r w:rsidRPr="11A44BD7">
              <w:rPr>
                <w:lang w:val="es-ES"/>
              </w:rPr>
              <w:t xml:space="preserve"> los importes de liquidación según se definen a efectos de la fila 0333 de la plantilla Z 02.00 (LIAB 1).</w:t>
            </w:r>
          </w:p>
        </w:tc>
      </w:tr>
    </w:tbl>
    <w:p w14:paraId="7FE1B805" w14:textId="77777777" w:rsidR="00414040" w:rsidRDefault="00414040">
      <w:pPr>
        <w:pStyle w:val="body"/>
        <w:rPr>
          <w:rFonts w:ascii="Times New Roman" w:hAnsi="Times New Roman" w:cs="Times New Roman"/>
          <w:color w:val="000000" w:themeColor="text1"/>
          <w:sz w:val="20"/>
          <w:szCs w:val="20"/>
        </w:rPr>
      </w:pPr>
    </w:p>
    <w:p w14:paraId="7FE1B806" w14:textId="79FA8ABF" w:rsidR="00414040" w:rsidRDefault="00904E1A">
      <w:pPr>
        <w:pStyle w:val="P68B1DB1-Instructionsberschrift25"/>
        <w:numPr>
          <w:ilvl w:val="1"/>
          <w:numId w:val="49"/>
        </w:numPr>
        <w:ind w:left="357" w:hanging="357"/>
      </w:pPr>
      <w:bookmarkStart w:id="71" w:name="_Toc211525920"/>
      <w:bookmarkStart w:id="72" w:name="_Toc81454185"/>
      <w:r w:rsidRPr="2133F407">
        <w:rPr>
          <w:lang w:val="es-ES"/>
        </w:rPr>
        <w:t>Z 05.02.</w:t>
      </w:r>
      <w:r w:rsidR="0034554A">
        <w:rPr>
          <w:lang w:val="es-ES"/>
        </w:rPr>
        <w:t xml:space="preserve"> </w:t>
      </w:r>
      <w:r w:rsidRPr="2133F407">
        <w:rPr>
          <w:lang w:val="es-ES"/>
        </w:rPr>
        <w:t>Contrapartes principales fuera de balance (LIAB 6)</w:t>
      </w:r>
      <w:bookmarkEnd w:id="71"/>
    </w:p>
    <w:p w14:paraId="7FE1B807" w14:textId="77777777" w:rsidR="00414040" w:rsidRDefault="00904E1A">
      <w:pPr>
        <w:pStyle w:val="P68B1DB1-body26"/>
      </w:pPr>
      <w:r>
        <w:t>Instrucciones relativas a posiciones concretas</w:t>
      </w:r>
      <w:bookmarkEnd w:id="72"/>
    </w:p>
    <w:p w14:paraId="7FE1B808" w14:textId="16E11057" w:rsidR="00414040" w:rsidRDefault="00904E1A">
      <w:pPr>
        <w:pStyle w:val="P68B1DB1-InstructionsText26"/>
        <w:numPr>
          <w:ilvl w:val="0"/>
          <w:numId w:val="232"/>
        </w:numPr>
        <w:spacing w:before="0"/>
      </w:pPr>
      <w:r>
        <w:t xml:space="preserve">La combinación de los valores </w:t>
      </w:r>
      <w:r w:rsidR="3960AEFE">
        <w:t>informados</w:t>
      </w:r>
      <w:r>
        <w:t xml:space="preserve"> en las columnas 0020 y 0060 de esta plantilla constituye una clave principal que debe ser única para cada fila de la plantilla.</w:t>
      </w:r>
    </w:p>
    <w:tbl>
      <w:tblPr>
        <w:tblW w:w="0" w:type="auto"/>
        <w:tblCellMar>
          <w:top w:w="57" w:type="dxa"/>
          <w:left w:w="57" w:type="dxa"/>
          <w:bottom w:w="57" w:type="dxa"/>
          <w:right w:w="0" w:type="dxa"/>
        </w:tblCellMar>
        <w:tblLook w:val="01E0" w:firstRow="1" w:lastRow="1" w:firstColumn="1" w:lastColumn="1" w:noHBand="0" w:noVBand="0"/>
      </w:tblPr>
      <w:tblGrid>
        <w:gridCol w:w="954"/>
        <w:gridCol w:w="8072"/>
      </w:tblGrid>
      <w:tr w:rsidR="00414040" w14:paraId="7FE1B80B" w14:textId="77777777" w:rsidTr="73DD02DC">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414040" w:rsidRDefault="00904E1A">
            <w:pPr>
              <w:pStyle w:val="P68B1DB1-TableParagraph17"/>
              <w:spacing w:before="108"/>
              <w:ind w:left="85"/>
              <w:jc w:val="both"/>
            </w:pPr>
            <w:r>
              <w:t>Columnas</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414040" w:rsidRDefault="00904E1A">
            <w:pPr>
              <w:pStyle w:val="P68B1DB1-TableParagraph17"/>
              <w:spacing w:before="108"/>
              <w:ind w:left="85" w:right="1"/>
              <w:jc w:val="both"/>
            </w:pPr>
            <w:r>
              <w:t>Instrucciones</w:t>
            </w:r>
          </w:p>
        </w:tc>
      </w:tr>
      <w:tr w:rsidR="00414040" w14:paraId="7FE1B813" w14:textId="77777777" w:rsidTr="73DD02DC">
        <w:tc>
          <w:tcPr>
            <w:tcW w:w="909" w:type="dxa"/>
            <w:tcBorders>
              <w:top w:val="single" w:sz="4" w:space="0" w:color="1A171C"/>
              <w:left w:val="nil"/>
              <w:bottom w:val="single" w:sz="4" w:space="0" w:color="1A171C"/>
              <w:right w:val="single" w:sz="4" w:space="0" w:color="1A171C"/>
            </w:tcBorders>
            <w:vAlign w:val="center"/>
          </w:tcPr>
          <w:p w14:paraId="7FE1B80C" w14:textId="77777777" w:rsidR="00414040" w:rsidRDefault="00904E1A">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414040" w:rsidRDefault="00904E1A">
            <w:pPr>
              <w:pStyle w:val="P68B1DB1-TableParagraph14"/>
              <w:spacing w:before="108"/>
              <w:ind w:left="85"/>
              <w:jc w:val="both"/>
              <w:rPr>
                <w:bCs/>
              </w:rPr>
            </w:pPr>
            <w:r>
              <w:t>Contraparte</w:t>
            </w:r>
          </w:p>
          <w:p w14:paraId="7FE1B80E" w14:textId="77777777" w:rsidR="00414040" w:rsidRDefault="00904E1A">
            <w:pPr>
              <w:pStyle w:val="P68B1DB1-TableParagraph17"/>
              <w:spacing w:before="108"/>
              <w:ind w:left="85"/>
              <w:jc w:val="both"/>
            </w:pPr>
            <w:r>
              <w:t>Información sobre las contrapartes principales fuera de balance.</w:t>
            </w:r>
          </w:p>
          <w:p w14:paraId="7FE1B80F" w14:textId="533C8F7A" w:rsidR="00414040" w:rsidRDefault="00904E1A">
            <w:pPr>
              <w:pStyle w:val="P68B1DB1-TableParagraph17"/>
              <w:spacing w:before="108"/>
              <w:ind w:left="85"/>
              <w:jc w:val="both"/>
            </w:pPr>
            <w:r w:rsidRPr="73DD02DC">
              <w:rPr>
                <w:lang w:val="es-ES"/>
              </w:rPr>
              <w:t>Las contrapartes principales fuera de balance se identificarán sumando el importe nominal total de los compromisos y garantías financieras recibidas (según se definen a efectos de la plantilla F 09 de FINREP) por el ente o grupo de entes al que la plantilla se refiere de las contrapartes o grupo de clientes vinculados entre sí. Ningún ente incluido en los estados financieros consolidados del grupo podrá formar parte de las contrapartes principales fuera de balance. A continuación, las contrapartes y grupos de clientes vinculados entre sí se ordenarán por importe agregado a fin de identificar las diez contrapartes principales fuera de balance, sobre las que se facilitará información mediante esta plantilla.</w:t>
            </w:r>
          </w:p>
          <w:p w14:paraId="7FE1B810" w14:textId="55592C29" w:rsidR="00414040" w:rsidRDefault="00904E1A">
            <w:pPr>
              <w:pStyle w:val="P68B1DB1-Normal18"/>
              <w:spacing w:line="257" w:lineRule="auto"/>
              <w:ind w:left="25"/>
              <w:jc w:val="both"/>
            </w:pPr>
            <w:r>
              <w:t xml:space="preserve">Los derivados no se incluirán en los diez primeros puestos descritos anteriormente: se </w:t>
            </w:r>
            <w:r w:rsidR="515EF275">
              <w:t>informará</w:t>
            </w:r>
            <w:r>
              <w:t xml:space="preserve"> aquí una lista separada de las 5 principales contrapartes de derivados fuera de balance para evitar que la notificación Z 05.02 contenga únicamente saldos de derivados.</w:t>
            </w:r>
          </w:p>
          <w:p w14:paraId="7FE1B812" w14:textId="5E923404" w:rsidR="00414040" w:rsidRDefault="00414040">
            <w:pPr>
              <w:pStyle w:val="TableParagraph"/>
              <w:spacing w:before="108"/>
              <w:jc w:val="both"/>
              <w:rPr>
                <w:rFonts w:ascii="Times New Roman" w:eastAsia="Cambria" w:hAnsi="Times New Roman" w:cs="Times New Roman"/>
                <w:color w:val="000000" w:themeColor="text1"/>
                <w:sz w:val="20"/>
                <w:szCs w:val="20"/>
              </w:rPr>
            </w:pPr>
          </w:p>
        </w:tc>
      </w:tr>
      <w:tr w:rsidR="00414040" w14:paraId="7FE1B818" w14:textId="77777777" w:rsidTr="73DD02DC">
        <w:tc>
          <w:tcPr>
            <w:tcW w:w="909" w:type="dxa"/>
            <w:tcBorders>
              <w:top w:val="single" w:sz="4" w:space="0" w:color="1A171C"/>
              <w:left w:val="nil"/>
              <w:bottom w:val="single" w:sz="4" w:space="0" w:color="1A171C"/>
              <w:right w:val="single" w:sz="4" w:space="0" w:color="1A171C"/>
            </w:tcBorders>
            <w:vAlign w:val="center"/>
          </w:tcPr>
          <w:p w14:paraId="7FE1B814" w14:textId="77777777" w:rsidR="00414040" w:rsidRDefault="00904E1A">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414040" w:rsidRDefault="00904E1A">
            <w:pPr>
              <w:pStyle w:val="P68B1DB1-TableParagraph14"/>
              <w:spacing w:before="108"/>
              <w:ind w:left="85"/>
              <w:jc w:val="both"/>
              <w:rPr>
                <w:bCs/>
              </w:rPr>
            </w:pPr>
            <w:r>
              <w:t>Nombre del ente</w:t>
            </w:r>
          </w:p>
          <w:p w14:paraId="7FE1B816" w14:textId="77777777" w:rsidR="00414040" w:rsidRDefault="00904E1A">
            <w:pPr>
              <w:pStyle w:val="P68B1DB1-Normal18"/>
              <w:spacing w:before="108"/>
              <w:ind w:left="85"/>
              <w:jc w:val="both"/>
            </w:pPr>
            <w:r>
              <w:t>Nombre de la contraparte principal o, en su caso, nombre del grupo de clientes vinculados entre sí.</w:t>
            </w:r>
          </w:p>
          <w:p w14:paraId="7FE1B817" w14:textId="29E2618F" w:rsidR="00414040" w:rsidRDefault="00904E1A">
            <w:pPr>
              <w:pStyle w:val="P68B1DB1-TableParagraph17"/>
              <w:spacing w:before="108"/>
              <w:ind w:left="85"/>
              <w:jc w:val="both"/>
            </w:pPr>
            <w:r>
              <w:t>El nombre de un grupo de clientes vinculados entre sí será el de la sociedad matriz o, cuando el grupo de clientes vinculados entre sí no tenga una sociedad matriz, el nombre comercial del grupo.</w:t>
            </w:r>
          </w:p>
        </w:tc>
      </w:tr>
      <w:tr w:rsidR="00414040" w14:paraId="7FE1B81D" w14:textId="77777777" w:rsidTr="73DD02DC">
        <w:tc>
          <w:tcPr>
            <w:tcW w:w="909" w:type="dxa"/>
            <w:tcBorders>
              <w:top w:val="single" w:sz="4" w:space="0" w:color="1A171C"/>
              <w:left w:val="nil"/>
              <w:bottom w:val="single" w:sz="4" w:space="0" w:color="1A171C"/>
              <w:right w:val="single" w:sz="4" w:space="0" w:color="1A171C"/>
            </w:tcBorders>
            <w:vAlign w:val="center"/>
          </w:tcPr>
          <w:p w14:paraId="7FE1B819" w14:textId="77777777" w:rsidR="00414040" w:rsidRDefault="00904E1A">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414040" w:rsidRDefault="00904E1A">
            <w:pPr>
              <w:pStyle w:val="P68B1DB1-TableParagraph14"/>
              <w:spacing w:before="108"/>
              <w:ind w:left="85"/>
              <w:jc w:val="both"/>
              <w:rPr>
                <w:bCs/>
              </w:rPr>
            </w:pPr>
            <w:r>
              <w:t>Código</w:t>
            </w:r>
          </w:p>
          <w:p w14:paraId="7FE1B81B" w14:textId="2A145A87" w:rsidR="00414040" w:rsidRDefault="00904E1A">
            <w:pPr>
              <w:pStyle w:val="P68B1DB1-TableParagraph17"/>
              <w:spacing w:before="108"/>
              <w:ind w:left="85"/>
              <w:jc w:val="both"/>
            </w:pPr>
            <w:r>
              <w:t xml:space="preserve">Código de la contraparte principal o grupo de clientes vinculados entre sí. En el caso de las entidades será el código </w:t>
            </w:r>
            <w:r w:rsidR="00291868">
              <w:t xml:space="preserve">LEI </w:t>
            </w:r>
            <w:r>
              <w:t xml:space="preserve">alfanumérico de 20 </w:t>
            </w:r>
            <w:r w:rsidR="002D65FE">
              <w:t>dígitos</w:t>
            </w:r>
            <w:r>
              <w:t xml:space="preserve">. En el caso de los demás entes será el código </w:t>
            </w:r>
            <w:r w:rsidR="00291868">
              <w:t xml:space="preserve">LEI </w:t>
            </w:r>
            <w:r>
              <w:t xml:space="preserve">alfanumérico de 20 </w:t>
            </w:r>
            <w:r w:rsidR="002D65FE">
              <w:t xml:space="preserve">dígitos </w:t>
            </w:r>
            <w:r>
              <w:t>o, en su defecto, un código conforme a una codificación uniforme aplicable en la Unión o, en su defecto, un código nacional.</w:t>
            </w:r>
          </w:p>
          <w:p w14:paraId="7FE1B81C" w14:textId="6CC57833" w:rsidR="00414040" w:rsidRDefault="00904E1A">
            <w:pPr>
              <w:pStyle w:val="P68B1DB1-TableParagraph17"/>
              <w:spacing w:before="108"/>
              <w:ind w:left="85"/>
              <w:jc w:val="both"/>
            </w:pPr>
            <w:r>
              <w:t>El código será único y se utilizará de manera coherente en las distintas plantillas.</w:t>
            </w:r>
          </w:p>
        </w:tc>
      </w:tr>
      <w:tr w:rsidR="00414040" w14:paraId="7FE1B823" w14:textId="77777777" w:rsidTr="73DD02DC">
        <w:tc>
          <w:tcPr>
            <w:tcW w:w="909" w:type="dxa"/>
            <w:tcBorders>
              <w:top w:val="single" w:sz="4" w:space="0" w:color="1A171C"/>
              <w:left w:val="nil"/>
              <w:bottom w:val="single" w:sz="4" w:space="0" w:color="1A171C"/>
              <w:right w:val="single" w:sz="4" w:space="0" w:color="1A171C"/>
            </w:tcBorders>
            <w:vAlign w:val="center"/>
          </w:tcPr>
          <w:p w14:paraId="7FE1B81E" w14:textId="77777777" w:rsidR="00414040" w:rsidRDefault="00904E1A">
            <w:pPr>
              <w:pStyle w:val="P68B1DB1-TableParagraph17"/>
              <w:spacing w:before="108"/>
              <w:ind w:left="85"/>
              <w:jc w:val="both"/>
            </w:pPr>
            <w:r>
              <w:lastRenderedPageBreak/>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414040" w:rsidRDefault="00904E1A">
            <w:pPr>
              <w:pStyle w:val="P68B1DB1-TableParagraph14"/>
              <w:spacing w:before="108"/>
              <w:ind w:left="85"/>
              <w:jc w:val="both"/>
              <w:rPr>
                <w:bCs/>
              </w:rPr>
            </w:pPr>
            <w:r>
              <w:t>Tipo de código</w:t>
            </w:r>
          </w:p>
          <w:p w14:paraId="7FE1B821" w14:textId="6020ACA4" w:rsidR="00414040" w:rsidRDefault="00904E1A">
            <w:pPr>
              <w:pStyle w:val="P68B1DB1-TableParagraph13"/>
              <w:spacing w:before="108"/>
            </w:pPr>
            <w:r>
              <w:t>Se seleccionará una de las opciones siguientes: «Código LEI», «Código de IFM» o «Tipo de identificador: distinto del código LEI o de IFM».</w:t>
            </w:r>
          </w:p>
          <w:p w14:paraId="7FE1B822" w14:textId="69E1C41B" w:rsidR="00414040" w:rsidRDefault="00904E1A">
            <w:pPr>
              <w:pStyle w:val="P68B1DB1-TableParagraph13"/>
              <w:spacing w:before="108"/>
              <w:ind w:left="85"/>
              <w:jc w:val="both"/>
              <w:rPr>
                <w:b/>
                <w:bCs/>
              </w:rPr>
            </w:pPr>
            <w:r>
              <w:t xml:space="preserve">La identificación de </w:t>
            </w:r>
            <w:r w:rsidR="250BDAF6">
              <w:t>los entes</w:t>
            </w:r>
            <w:r>
              <w:t xml:space="preserve"> se hará de manera coherente en todas las plantillas.</w:t>
            </w:r>
          </w:p>
        </w:tc>
      </w:tr>
      <w:tr w:rsidR="00414040" w14:paraId="7FE1B827" w14:textId="77777777" w:rsidTr="73DD02DC">
        <w:tc>
          <w:tcPr>
            <w:tcW w:w="909" w:type="dxa"/>
            <w:tcBorders>
              <w:top w:val="single" w:sz="4" w:space="0" w:color="1A171C"/>
              <w:left w:val="nil"/>
              <w:bottom w:val="single" w:sz="4" w:space="0" w:color="1A171C"/>
              <w:right w:val="single" w:sz="4" w:space="0" w:color="1A171C"/>
            </w:tcBorders>
            <w:vAlign w:val="center"/>
          </w:tcPr>
          <w:p w14:paraId="7FE1B824" w14:textId="77777777" w:rsidR="00414040" w:rsidRDefault="00904E1A">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414040" w:rsidRDefault="00904E1A">
            <w:pPr>
              <w:pStyle w:val="P68B1DB1-TableParagraph14"/>
              <w:spacing w:before="108"/>
              <w:ind w:left="85"/>
              <w:jc w:val="both"/>
              <w:rPr>
                <w:bCs/>
              </w:rPr>
            </w:pPr>
            <w:r>
              <w:t>Grupo o cliente individual</w:t>
            </w:r>
          </w:p>
          <w:p w14:paraId="2E0A09DE" w14:textId="77777777" w:rsidR="00414040" w:rsidRDefault="00904E1A">
            <w:pPr>
              <w:pStyle w:val="P68B1DB1-Normal18"/>
              <w:ind w:left="85"/>
            </w:pPr>
            <w:r>
              <w:t>La entidad comunicará:</w:t>
            </w:r>
          </w:p>
          <w:p w14:paraId="52295733" w14:textId="77777777" w:rsidR="00414040" w:rsidRDefault="00904E1A">
            <w:pPr>
              <w:pStyle w:val="P68B1DB1-ListParagraph25"/>
              <w:numPr>
                <w:ilvl w:val="0"/>
                <w:numId w:val="297"/>
              </w:numPr>
            </w:pPr>
            <w:r>
              <w:t>Contrapartes individuales</w:t>
            </w:r>
          </w:p>
          <w:p w14:paraId="7FE1B826" w14:textId="76B98F2C" w:rsidR="00414040" w:rsidRDefault="00904E1A">
            <w:pPr>
              <w:pStyle w:val="P68B1DB1-TableParagraph17"/>
              <w:numPr>
                <w:ilvl w:val="0"/>
                <w:numId w:val="297"/>
              </w:numPr>
              <w:spacing w:before="108"/>
              <w:jc w:val="both"/>
            </w:pPr>
            <w:r>
              <w:t>Grupos de clientes vinculados entre sí.</w:t>
            </w:r>
          </w:p>
        </w:tc>
      </w:tr>
      <w:tr w:rsidR="00414040" w14:paraId="7FE1B82C" w14:textId="77777777" w:rsidTr="73DD02DC">
        <w:tc>
          <w:tcPr>
            <w:tcW w:w="909" w:type="dxa"/>
            <w:tcBorders>
              <w:top w:val="single" w:sz="4" w:space="0" w:color="1A171C"/>
              <w:left w:val="nil"/>
              <w:bottom w:val="single" w:sz="4" w:space="0" w:color="1A171C"/>
              <w:right w:val="single" w:sz="4" w:space="0" w:color="1A171C"/>
            </w:tcBorders>
            <w:vAlign w:val="center"/>
          </w:tcPr>
          <w:p w14:paraId="7FE1B828" w14:textId="77777777" w:rsidR="00414040" w:rsidRDefault="00904E1A">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414040" w:rsidRDefault="00904E1A">
            <w:pPr>
              <w:pStyle w:val="P68B1DB1-TableParagraph14"/>
              <w:spacing w:before="108"/>
              <w:ind w:left="85"/>
              <w:jc w:val="both"/>
              <w:rPr>
                <w:bCs/>
              </w:rPr>
            </w:pPr>
            <w:r>
              <w:t>País</w:t>
            </w:r>
          </w:p>
          <w:p w14:paraId="7FE1B82A" w14:textId="77777777" w:rsidR="00414040" w:rsidRDefault="00904E1A">
            <w:pPr>
              <w:pStyle w:val="P68B1DB1-Normal18"/>
              <w:spacing w:before="108"/>
              <w:ind w:left="85"/>
              <w:contextualSpacing/>
              <w:jc w:val="both"/>
            </w:pPr>
            <w:r>
              <w:t xml:space="preserve">Código ISO 3166-1-alfa-2 del país de constitución de la contraparte. Se incluyen los pseudocódigos ISO para las organizaciones internacionales, disponibles en la última edición del «Vademécum de la balanza de pagos» de Eurostat. </w:t>
            </w:r>
          </w:p>
          <w:p w14:paraId="7FE1B82B" w14:textId="47B683FE" w:rsidR="00414040" w:rsidRDefault="00904E1A">
            <w:pPr>
              <w:pStyle w:val="P68B1DB1-TableParagraph17"/>
              <w:spacing w:before="108"/>
              <w:ind w:left="85"/>
              <w:jc w:val="both"/>
            </w:pPr>
            <w:r>
              <w:t>El país se determina por referencia al domicilio social de la contraparte. En el caso de los grupos de clientes vinculados entre sí, el país de constitución de la sociedad matriz.</w:t>
            </w:r>
          </w:p>
        </w:tc>
      </w:tr>
      <w:tr w:rsidR="00414040" w14:paraId="7FE1B837" w14:textId="77777777" w:rsidTr="73DD02DC">
        <w:tc>
          <w:tcPr>
            <w:tcW w:w="909" w:type="dxa"/>
            <w:tcBorders>
              <w:top w:val="single" w:sz="4" w:space="0" w:color="1A171C"/>
              <w:left w:val="nil"/>
              <w:bottom w:val="single" w:sz="4" w:space="0" w:color="1A171C"/>
              <w:right w:val="single" w:sz="4" w:space="0" w:color="1A171C"/>
            </w:tcBorders>
            <w:vAlign w:val="center"/>
          </w:tcPr>
          <w:p w14:paraId="7FE1B82D" w14:textId="77777777" w:rsidR="00414040" w:rsidRDefault="00904E1A">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414040" w:rsidRDefault="00904E1A">
            <w:pPr>
              <w:pStyle w:val="P68B1DB1-TableParagraph14"/>
              <w:spacing w:before="108"/>
              <w:ind w:left="85"/>
              <w:jc w:val="both"/>
              <w:rPr>
                <w:bCs/>
              </w:rPr>
            </w:pPr>
            <w:r>
              <w:t>Sector</w:t>
            </w:r>
          </w:p>
          <w:p w14:paraId="7FE1B82F" w14:textId="152D4290" w:rsidR="00414040" w:rsidRDefault="00904E1A">
            <w:pPr>
              <w:pStyle w:val="P68B1DB1-TableParagraph17"/>
              <w:spacing w:before="108"/>
              <w:ind w:left="85"/>
              <w:jc w:val="both"/>
            </w:pPr>
            <w:r>
              <w:t>Se asignará un sector a cada contraparte basándose en las clases de sectores económicos de FINREP (FINREP, anexo V, parte 1, capítulo 6):</w:t>
            </w:r>
          </w:p>
          <w:p w14:paraId="7FE1B830" w14:textId="77777777" w:rsidR="00414040" w:rsidRDefault="00904E1A">
            <w:pPr>
              <w:pStyle w:val="P68B1DB1-List127"/>
              <w:numPr>
                <w:ilvl w:val="0"/>
                <w:numId w:val="64"/>
              </w:numPr>
            </w:pPr>
            <w:r>
              <w:t>Bancos centrales</w:t>
            </w:r>
          </w:p>
          <w:p w14:paraId="7FE1B831" w14:textId="77777777" w:rsidR="00414040" w:rsidRDefault="00904E1A">
            <w:pPr>
              <w:pStyle w:val="P68B1DB1-List127"/>
              <w:numPr>
                <w:ilvl w:val="0"/>
                <w:numId w:val="64"/>
              </w:numPr>
            </w:pPr>
            <w:r>
              <w:t>Administraciones públicas</w:t>
            </w:r>
          </w:p>
          <w:p w14:paraId="7FE1B832" w14:textId="77777777" w:rsidR="00414040" w:rsidRDefault="00904E1A">
            <w:pPr>
              <w:pStyle w:val="P68B1DB1-List127"/>
              <w:numPr>
                <w:ilvl w:val="0"/>
                <w:numId w:val="64"/>
              </w:numPr>
            </w:pPr>
            <w:r>
              <w:t xml:space="preserve">Entidades de crédito: </w:t>
            </w:r>
          </w:p>
          <w:p w14:paraId="7FE1B833" w14:textId="77777777" w:rsidR="00414040" w:rsidRDefault="00904E1A">
            <w:pPr>
              <w:pStyle w:val="P68B1DB1-List127"/>
              <w:numPr>
                <w:ilvl w:val="0"/>
                <w:numId w:val="64"/>
              </w:numPr>
            </w:pPr>
            <w:r>
              <w:t>Otras sociedades financieras</w:t>
            </w:r>
          </w:p>
          <w:p w14:paraId="7FE1B834" w14:textId="77777777" w:rsidR="00414040" w:rsidRDefault="00904E1A">
            <w:pPr>
              <w:pStyle w:val="P68B1DB1-List127"/>
              <w:numPr>
                <w:ilvl w:val="0"/>
                <w:numId w:val="64"/>
              </w:numPr>
            </w:pPr>
            <w:r>
              <w:t>Sociedades no financieras</w:t>
            </w:r>
          </w:p>
          <w:p w14:paraId="7FE1B835" w14:textId="77777777" w:rsidR="00414040" w:rsidRDefault="00904E1A">
            <w:pPr>
              <w:pStyle w:val="P68B1DB1-List127"/>
              <w:numPr>
                <w:ilvl w:val="0"/>
                <w:numId w:val="64"/>
              </w:numPr>
            </w:pPr>
            <w:r>
              <w:t>Hogares</w:t>
            </w:r>
          </w:p>
          <w:p w14:paraId="7FE1B836" w14:textId="045F405E" w:rsidR="00414040" w:rsidRDefault="00904E1A">
            <w:pPr>
              <w:pStyle w:val="P68B1DB1-TableParagraph17"/>
              <w:spacing w:before="108"/>
              <w:ind w:left="85"/>
              <w:jc w:val="both"/>
            </w:pPr>
            <w:r>
              <w:t xml:space="preserve">En el caso de grupos de clientes vinculados entre sí, no se </w:t>
            </w:r>
            <w:r w:rsidR="1CFAD359">
              <w:t>informará</w:t>
            </w:r>
            <w:r>
              <w:t xml:space="preserve"> ningún sector.</w:t>
            </w:r>
          </w:p>
        </w:tc>
      </w:tr>
      <w:tr w:rsidR="00414040" w14:paraId="7FE1B840" w14:textId="77777777" w:rsidTr="73DD02DC">
        <w:tc>
          <w:tcPr>
            <w:tcW w:w="909" w:type="dxa"/>
            <w:tcBorders>
              <w:top w:val="single" w:sz="4" w:space="0" w:color="1A171C"/>
              <w:left w:val="nil"/>
              <w:bottom w:val="single" w:sz="4" w:space="0" w:color="1A171C"/>
              <w:right w:val="single" w:sz="4" w:space="0" w:color="1A171C"/>
            </w:tcBorders>
            <w:vAlign w:val="center"/>
          </w:tcPr>
          <w:p w14:paraId="7FE1B838" w14:textId="77777777" w:rsidR="00414040" w:rsidRDefault="00904E1A">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414040" w:rsidRDefault="00904E1A">
            <w:pPr>
              <w:pStyle w:val="P68B1DB1-TableParagraph14"/>
              <w:spacing w:before="108"/>
              <w:ind w:left="85"/>
              <w:jc w:val="both"/>
              <w:rPr>
                <w:bCs/>
              </w:rPr>
            </w:pPr>
            <w:r>
              <w:t>Tipo</w:t>
            </w:r>
          </w:p>
          <w:p w14:paraId="7FE1B83A" w14:textId="70AD7A8D" w:rsidR="00414040" w:rsidRDefault="00904E1A">
            <w:pPr>
              <w:pStyle w:val="P68B1DB1-TableParagraph17"/>
              <w:spacing w:before="108"/>
              <w:ind w:left="85"/>
              <w:jc w:val="both"/>
            </w:pPr>
            <w:r>
              <w:t>El tipo de exposición fuera de balance se seleccionará entre los indicados a continuación, según se definen en la plantilla F 09.02 de FINREP:</w:t>
            </w:r>
          </w:p>
          <w:p w14:paraId="7FE1B83B" w14:textId="57556FED" w:rsidR="00414040" w:rsidRDefault="00904E1A">
            <w:pPr>
              <w:pStyle w:val="P68B1DB1-TableParagraph17"/>
              <w:numPr>
                <w:ilvl w:val="0"/>
                <w:numId w:val="299"/>
              </w:numPr>
              <w:spacing w:before="108"/>
              <w:jc w:val="both"/>
            </w:pPr>
            <w:r>
              <w:t>Compromisos de préstamo recibidos</w:t>
            </w:r>
          </w:p>
          <w:p w14:paraId="7FE1B83C" w14:textId="03B3C9F7" w:rsidR="00414040" w:rsidRDefault="00904E1A">
            <w:pPr>
              <w:pStyle w:val="P68B1DB1-TableParagraph17"/>
              <w:numPr>
                <w:ilvl w:val="0"/>
                <w:numId w:val="299"/>
              </w:numPr>
              <w:spacing w:before="108"/>
              <w:jc w:val="both"/>
            </w:pPr>
            <w:r>
              <w:t>Garantías financieras recibidas</w:t>
            </w:r>
          </w:p>
          <w:p w14:paraId="7FE1B83D" w14:textId="2357CDAB" w:rsidR="00414040" w:rsidRDefault="00904E1A">
            <w:pPr>
              <w:pStyle w:val="P68B1DB1-TableParagraph17"/>
              <w:numPr>
                <w:ilvl w:val="0"/>
                <w:numId w:val="299"/>
              </w:numPr>
              <w:spacing w:before="108"/>
              <w:jc w:val="both"/>
            </w:pPr>
            <w:r>
              <w:t>Otros compromisos recibidos</w:t>
            </w:r>
          </w:p>
          <w:p w14:paraId="7FE1B83E" w14:textId="7A79D0CA" w:rsidR="00414040" w:rsidRDefault="00904E1A">
            <w:pPr>
              <w:pStyle w:val="P68B1DB1-TableParagraph17"/>
              <w:numPr>
                <w:ilvl w:val="0"/>
                <w:numId w:val="299"/>
              </w:numPr>
              <w:spacing w:before="108"/>
              <w:jc w:val="both"/>
            </w:pPr>
            <w:r>
              <w:t>Derivados</w:t>
            </w:r>
          </w:p>
          <w:p w14:paraId="7FE1B83F" w14:textId="4A4360B1" w:rsidR="00414040" w:rsidRDefault="00904E1A">
            <w:pPr>
              <w:pStyle w:val="P68B1DB1-TableParagraph17"/>
              <w:spacing w:before="108"/>
              <w:ind w:left="85"/>
              <w:jc w:val="both"/>
            </w:pPr>
            <w:r>
              <w:t xml:space="preserve">Si los elementos fuera de balance recibidos de una contraparte principal pertenecen a varios de los tipos mencionados anteriormente, se </w:t>
            </w:r>
            <w:r w:rsidR="3F275FBA">
              <w:t>informará</w:t>
            </w:r>
            <w:r>
              <w:t xml:space="preserve"> cada tipo en </w:t>
            </w:r>
            <w:r w:rsidR="007A11C4">
              <w:t xml:space="preserve">una </w:t>
            </w:r>
            <w:r>
              <w:t>fila separada.</w:t>
            </w:r>
          </w:p>
        </w:tc>
      </w:tr>
      <w:tr w:rsidR="00414040" w14:paraId="7FE1B844" w14:textId="77777777" w:rsidTr="73DD02DC">
        <w:tc>
          <w:tcPr>
            <w:tcW w:w="909" w:type="dxa"/>
            <w:tcBorders>
              <w:top w:val="single" w:sz="4" w:space="0" w:color="1A171C"/>
              <w:left w:val="nil"/>
              <w:bottom w:val="single" w:sz="4" w:space="0" w:color="1A171C"/>
              <w:right w:val="single" w:sz="4" w:space="0" w:color="1A171C"/>
            </w:tcBorders>
            <w:vAlign w:val="center"/>
          </w:tcPr>
          <w:p w14:paraId="7FE1B841" w14:textId="77777777" w:rsidR="00414040" w:rsidRDefault="00904E1A">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15E14EAE" w:rsidR="00414040" w:rsidRDefault="00414040">
            <w:pPr>
              <w:pStyle w:val="P68B1DB1-TableParagraph14"/>
              <w:spacing w:before="108"/>
              <w:ind w:left="85"/>
              <w:jc w:val="both"/>
            </w:pPr>
          </w:p>
          <w:p w14:paraId="3AA231B1" w14:textId="6888D3CB" w:rsidR="00414040" w:rsidRPr="00210421" w:rsidRDefault="1212A356" w:rsidP="00210421">
            <w:pPr>
              <w:pStyle w:val="P68B1DB1-TableParagraph17"/>
              <w:spacing w:before="108"/>
              <w:ind w:left="85"/>
              <w:jc w:val="both"/>
              <w:rPr>
                <w:b/>
                <w:bCs/>
              </w:rPr>
            </w:pPr>
            <w:r>
              <w:t>I</w:t>
            </w:r>
            <w:r w:rsidRPr="00210421">
              <w:rPr>
                <w:b/>
                <w:bCs/>
              </w:rPr>
              <w:t>mporte</w:t>
            </w:r>
          </w:p>
          <w:p w14:paraId="7FE1B843" w14:textId="4B3063B7" w:rsidR="00414040" w:rsidRDefault="10A5E5BA" w:rsidP="45D41A7B">
            <w:pPr>
              <w:pStyle w:val="P68B1DB1-TableParagraph17"/>
              <w:spacing w:before="108"/>
              <w:ind w:left="85"/>
              <w:jc w:val="both"/>
            </w:pPr>
            <w:r>
              <w:t xml:space="preserve">El importe será equivalente al «importe pendiente» según la definición contemplada en </w:t>
            </w:r>
            <w:r w:rsidR="007A11C4">
              <w:t xml:space="preserve">la plantilla </w:t>
            </w:r>
            <w:r>
              <w:t>F 09.02</w:t>
            </w:r>
            <w:r w:rsidR="007A11C4">
              <w:t xml:space="preserve"> de FINREP</w:t>
            </w:r>
            <w:r>
              <w:t xml:space="preserve">. En cuanto a los pasivos surgidos de derivados, se </w:t>
            </w:r>
            <w:r w:rsidR="0897F65B">
              <w:t xml:space="preserve">informarán </w:t>
            </w:r>
            <w:r>
              <w:t>los importes de liquidación según se definen a efectos de la fila 0333 de la plantilla Z 02.00 (LIAB).</w:t>
            </w:r>
          </w:p>
        </w:tc>
      </w:tr>
    </w:tbl>
    <w:p w14:paraId="7FE1B845" w14:textId="77777777" w:rsidR="00414040" w:rsidRDefault="00414040">
      <w:pPr>
        <w:rPr>
          <w:rFonts w:ascii="Times New Roman" w:hAnsi="Times New Roman" w:cs="Times New Roman"/>
          <w:color w:val="000000" w:themeColor="text1"/>
          <w:sz w:val="20"/>
          <w:szCs w:val="20"/>
        </w:rPr>
      </w:pPr>
    </w:p>
    <w:p w14:paraId="7FE1B846" w14:textId="77777777" w:rsidR="00414040" w:rsidRDefault="00414040">
      <w:pPr>
        <w:rPr>
          <w:rFonts w:ascii="Times New Roman" w:eastAsia="MS Mincho" w:hAnsi="Times New Roman" w:cs="Times New Roman"/>
          <w:color w:val="000000" w:themeColor="text1"/>
          <w:sz w:val="20"/>
          <w:szCs w:val="20"/>
        </w:rPr>
      </w:pPr>
    </w:p>
    <w:p w14:paraId="7FE1B849" w14:textId="418A8419" w:rsidR="00414040" w:rsidRDefault="00904E1A">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1152592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2133F407">
        <w:rPr>
          <w:lang w:val="es-ES"/>
        </w:rPr>
        <w:t>Z 06.00.</w:t>
      </w:r>
      <w:r w:rsidR="0034554A">
        <w:rPr>
          <w:lang w:val="es-ES"/>
        </w:rPr>
        <w:t xml:space="preserve"> </w:t>
      </w:r>
      <w:r w:rsidRPr="2133F407">
        <w:rPr>
          <w:lang w:val="es-ES"/>
        </w:rPr>
        <w:t>Garantía de depósitos (LIAB 7)</w:t>
      </w:r>
      <w:bookmarkEnd w:id="95"/>
      <w:bookmarkEnd w:id="96"/>
      <w:bookmarkEnd w:id="97"/>
      <w:bookmarkEnd w:id="98"/>
      <w:bookmarkEnd w:id="99"/>
    </w:p>
    <w:p w14:paraId="7FE1B84A" w14:textId="77777777" w:rsidR="00414040" w:rsidRDefault="00904E1A">
      <w:pPr>
        <w:pStyle w:val="Instructionsberschrift3"/>
      </w:pPr>
      <w:r>
        <w:t>Observaciones generales</w:t>
      </w:r>
    </w:p>
    <w:p w14:paraId="7FE1B84B" w14:textId="4C5E65FE" w:rsidR="00414040" w:rsidRDefault="00904E1A">
      <w:pPr>
        <w:pStyle w:val="P68B1DB1-InstructionsText26"/>
        <w:numPr>
          <w:ilvl w:val="0"/>
          <w:numId w:val="71"/>
        </w:numPr>
        <w:spacing w:before="0"/>
        <w:ind w:left="714" w:hanging="357"/>
      </w:pPr>
      <w:r>
        <w:lastRenderedPageBreak/>
        <w:t>Esta plantilla ofrece una visión de conjunto de la garantía de los depósitos dentro de un grupo y de los sistemas de garantía de depósitos a los que pertenecen las entidades de crédito que son entes jurídicos pertinentes.</w:t>
      </w:r>
    </w:p>
    <w:p w14:paraId="7FE1B84C" w14:textId="10C90840" w:rsidR="00414040" w:rsidRDefault="00904E1A">
      <w:pPr>
        <w:pStyle w:val="P68B1DB1-InstructionsText26"/>
        <w:numPr>
          <w:ilvl w:val="0"/>
          <w:numId w:val="71"/>
        </w:numPr>
        <w:spacing w:before="0"/>
        <w:ind w:left="714" w:hanging="357"/>
      </w:pPr>
      <w:r>
        <w:t xml:space="preserve">Cada entidad de crédito perteneciente al grupo se </w:t>
      </w:r>
      <w:r w:rsidR="442329B6">
        <w:t>informará</w:t>
      </w:r>
      <w:r>
        <w:t xml:space="preserve"> en una fila independiente.</w:t>
      </w:r>
    </w:p>
    <w:p w14:paraId="7FE1B84D" w14:textId="77777777" w:rsidR="00414040" w:rsidRDefault="00904E1A">
      <w:pPr>
        <w:pStyle w:val="Instructionsberschrift3"/>
        <w:numPr>
          <w:ilvl w:val="0"/>
          <w:numId w:val="0"/>
        </w:numPr>
        <w:ind w:left="720"/>
      </w:pPr>
      <w:r>
        <w:t>Instrucciones relativas a posiciones concretas</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14040" w14:paraId="7FE1B850" w14:textId="77777777" w:rsidTr="11A44BD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414040" w:rsidRDefault="00904E1A">
            <w:pPr>
              <w:pStyle w:val="P68B1DB1-TableParagraph17"/>
              <w:spacing w:before="108"/>
              <w:ind w:left="85"/>
              <w:jc w:val="both"/>
            </w:pPr>
            <w:r>
              <w:t>Columnas</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414040" w:rsidRDefault="00904E1A">
            <w:pPr>
              <w:pStyle w:val="P68B1DB1-TableParagraph17"/>
              <w:spacing w:before="108"/>
              <w:ind w:left="85" w:right="1"/>
              <w:jc w:val="both"/>
            </w:pPr>
            <w:r>
              <w:t>Instrucciones</w:t>
            </w:r>
          </w:p>
        </w:tc>
      </w:tr>
      <w:tr w:rsidR="00414040" w14:paraId="7FE1B853" w14:textId="77777777" w:rsidTr="11A44BD7">
        <w:tc>
          <w:tcPr>
            <w:tcW w:w="1191" w:type="dxa"/>
            <w:tcBorders>
              <w:top w:val="single" w:sz="4" w:space="0" w:color="1A171C"/>
              <w:left w:val="nil"/>
              <w:bottom w:val="single" w:sz="4" w:space="0" w:color="1A171C"/>
              <w:right w:val="single" w:sz="4" w:space="0" w:color="1A171C"/>
            </w:tcBorders>
          </w:tcPr>
          <w:p w14:paraId="7FE1B851" w14:textId="77777777" w:rsidR="00414040" w:rsidRDefault="00904E1A">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3E86520" w:rsidR="00414040" w:rsidRDefault="0E443E68">
            <w:pPr>
              <w:pStyle w:val="P68B1DB1-TableParagraph14"/>
              <w:spacing w:before="108"/>
              <w:ind w:left="85"/>
              <w:jc w:val="both"/>
              <w:rPr>
                <w:rFonts w:eastAsia="Cambria"/>
              </w:rPr>
            </w:pPr>
            <w:r>
              <w:t>Ente</w:t>
            </w:r>
            <w:r w:rsidR="10A5E5BA">
              <w:t xml:space="preserve"> jurídic</w:t>
            </w:r>
            <w:r w:rsidR="07370092">
              <w:t>o</w:t>
            </w:r>
          </w:p>
        </w:tc>
      </w:tr>
      <w:tr w:rsidR="00414040" w14:paraId="7FE1B857" w14:textId="77777777" w:rsidTr="11A44BD7">
        <w:tc>
          <w:tcPr>
            <w:tcW w:w="1191" w:type="dxa"/>
            <w:tcBorders>
              <w:top w:val="single" w:sz="4" w:space="0" w:color="1A171C"/>
              <w:left w:val="nil"/>
              <w:bottom w:val="single" w:sz="4" w:space="0" w:color="1A171C"/>
              <w:right w:val="single" w:sz="4" w:space="0" w:color="1A171C"/>
            </w:tcBorders>
          </w:tcPr>
          <w:p w14:paraId="7FE1B854" w14:textId="77777777" w:rsidR="00414040" w:rsidRDefault="00904E1A">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414040" w:rsidRDefault="00904E1A">
            <w:pPr>
              <w:pStyle w:val="P68B1DB1-TableParagraph14"/>
              <w:spacing w:before="108"/>
              <w:ind w:left="85"/>
              <w:jc w:val="both"/>
              <w:rPr>
                <w:bCs/>
              </w:rPr>
            </w:pPr>
            <w:r>
              <w:t>Nombre del ente</w:t>
            </w:r>
          </w:p>
          <w:p w14:paraId="7FE1B856" w14:textId="619D1BE7" w:rsidR="00414040" w:rsidRDefault="00904E1A">
            <w:pPr>
              <w:pStyle w:val="P68B1DB1-TableParagraph17"/>
              <w:spacing w:before="108"/>
              <w:ind w:left="85"/>
              <w:jc w:val="both"/>
            </w:pPr>
            <w:r w:rsidRPr="11A44BD7">
              <w:rPr>
                <w:lang w:val="es-ES"/>
              </w:rPr>
              <w:t>Nombre del ente, como conste en la plantilla Z 01.01.</w:t>
            </w:r>
            <w:r w:rsidR="00B74A3A">
              <w:rPr>
                <w:lang w:val="es-ES"/>
              </w:rPr>
              <w:t xml:space="preserve"> </w:t>
            </w:r>
            <w:r w:rsidR="72664D65" w:rsidRPr="11A44BD7">
              <w:rPr>
                <w:lang w:val="es-ES"/>
              </w:rPr>
              <w:t>Entes</w:t>
            </w:r>
            <w:r w:rsidRPr="11A44BD7">
              <w:rPr>
                <w:lang w:val="es-ES"/>
              </w:rPr>
              <w:t xml:space="preserve"> jurídic</w:t>
            </w:r>
            <w:r w:rsidR="34C14DC2" w:rsidRPr="11A44BD7">
              <w:rPr>
                <w:lang w:val="es-ES"/>
              </w:rPr>
              <w:t>o</w:t>
            </w:r>
            <w:r w:rsidRPr="11A44BD7">
              <w:rPr>
                <w:lang w:val="es-ES"/>
              </w:rPr>
              <w:t xml:space="preserve">s (ORG 1). </w:t>
            </w:r>
          </w:p>
        </w:tc>
      </w:tr>
      <w:tr w:rsidR="00414040" w14:paraId="7FE1B85C" w14:textId="77777777" w:rsidTr="11A44BD7">
        <w:tc>
          <w:tcPr>
            <w:tcW w:w="1191" w:type="dxa"/>
            <w:tcBorders>
              <w:top w:val="single" w:sz="4" w:space="0" w:color="1A171C"/>
              <w:left w:val="nil"/>
              <w:bottom w:val="single" w:sz="4" w:space="0" w:color="1A171C"/>
              <w:right w:val="single" w:sz="4" w:space="0" w:color="1A171C"/>
            </w:tcBorders>
          </w:tcPr>
          <w:p w14:paraId="7FE1B858" w14:textId="77777777" w:rsidR="00414040" w:rsidRDefault="00904E1A">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414040" w:rsidRDefault="00904E1A">
            <w:pPr>
              <w:pStyle w:val="P68B1DB1-TableParagraph14"/>
              <w:spacing w:before="108"/>
              <w:ind w:left="85"/>
              <w:jc w:val="both"/>
              <w:rPr>
                <w:bCs/>
              </w:rPr>
            </w:pPr>
            <w:r>
              <w:t xml:space="preserve">Código </w:t>
            </w:r>
          </w:p>
          <w:p w14:paraId="7FE1B85A" w14:textId="1E4F4F07" w:rsidR="00414040" w:rsidRDefault="00904E1A">
            <w:pPr>
              <w:pStyle w:val="P68B1DB1-TableParagraph17"/>
              <w:spacing w:before="108"/>
              <w:ind w:left="85"/>
              <w:jc w:val="both"/>
            </w:pPr>
            <w:r w:rsidRPr="2133F407">
              <w:rPr>
                <w:lang w:val="es-ES"/>
              </w:rPr>
              <w:t>Código del ente, como conste en la plantilla Z 01.01.</w:t>
            </w:r>
            <w:r w:rsidR="00B74A3A">
              <w:rPr>
                <w:lang w:val="es-ES"/>
              </w:rPr>
              <w:t xml:space="preserve"> </w:t>
            </w:r>
            <w:r w:rsidRPr="2133F407">
              <w:rPr>
                <w:lang w:val="es-ES"/>
              </w:rPr>
              <w:t>Entidades jurídicas (ORG 1).</w:t>
            </w:r>
          </w:p>
          <w:p w14:paraId="7FE1B85B" w14:textId="77777777" w:rsidR="00414040" w:rsidRDefault="00904E1A">
            <w:pPr>
              <w:pStyle w:val="P68B1DB1-TableParagraph17"/>
              <w:spacing w:before="108"/>
              <w:ind w:left="85"/>
              <w:jc w:val="both"/>
            </w:pPr>
            <w:r>
              <w:t>Este código es un identificador de fila y debe ser único para cada fila de la plantilla.</w:t>
            </w:r>
          </w:p>
        </w:tc>
      </w:tr>
      <w:tr w:rsidR="00414040" w14:paraId="7FE1B85F" w14:textId="77777777" w:rsidTr="11A44BD7">
        <w:tc>
          <w:tcPr>
            <w:tcW w:w="1191" w:type="dxa"/>
            <w:tcBorders>
              <w:top w:val="single" w:sz="4" w:space="0" w:color="1A171C"/>
              <w:left w:val="nil"/>
              <w:bottom w:val="single" w:sz="4" w:space="0" w:color="1A171C"/>
              <w:right w:val="single" w:sz="4" w:space="0" w:color="1A171C"/>
            </w:tcBorders>
          </w:tcPr>
          <w:p w14:paraId="7FE1B85D" w14:textId="77777777" w:rsidR="00414040" w:rsidRDefault="00904E1A">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414040" w:rsidRDefault="00904E1A">
            <w:pPr>
              <w:pStyle w:val="P68B1DB1-TableParagraph14"/>
              <w:spacing w:before="108"/>
              <w:ind w:left="85"/>
              <w:jc w:val="both"/>
              <w:rPr>
                <w:bCs/>
              </w:rPr>
            </w:pPr>
            <w:r>
              <w:t>Adhesión al SGD</w:t>
            </w:r>
          </w:p>
        </w:tc>
      </w:tr>
      <w:tr w:rsidR="00414040" w14:paraId="7FE1B8AE" w14:textId="77777777" w:rsidTr="11A44BD7">
        <w:tc>
          <w:tcPr>
            <w:tcW w:w="1191" w:type="dxa"/>
            <w:tcBorders>
              <w:top w:val="single" w:sz="4" w:space="0" w:color="1A171C"/>
              <w:left w:val="nil"/>
              <w:bottom w:val="single" w:sz="4" w:space="0" w:color="1A171C"/>
              <w:right w:val="single" w:sz="4" w:space="0" w:color="1A171C"/>
            </w:tcBorders>
          </w:tcPr>
          <w:p w14:paraId="7FE1B860" w14:textId="77777777" w:rsidR="00414040" w:rsidRDefault="00904E1A">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414040" w:rsidRDefault="00904E1A">
            <w:pPr>
              <w:pStyle w:val="P68B1DB1-TableParagraph14"/>
              <w:spacing w:before="108"/>
              <w:ind w:left="85"/>
              <w:jc w:val="both"/>
              <w:rPr>
                <w:bCs/>
              </w:rPr>
            </w:pPr>
            <w:r>
              <w:t>SGD</w:t>
            </w:r>
          </w:p>
          <w:p w14:paraId="7FE1B862" w14:textId="41C69940" w:rsidR="00414040" w:rsidRDefault="00904E1A">
            <w:pPr>
              <w:pStyle w:val="P68B1DB1-TableParagraph17"/>
              <w:spacing w:before="108"/>
              <w:ind w:left="85"/>
              <w:jc w:val="both"/>
            </w:pPr>
            <w:r>
              <w:t>Artículo 4, apartado 3, de la Directiva 2014/49/UE.</w:t>
            </w:r>
          </w:p>
          <w:p w14:paraId="7FE1B863" w14:textId="192B76D3" w:rsidR="00414040" w:rsidRDefault="10A5E5BA">
            <w:pPr>
              <w:pStyle w:val="P68B1DB1-TableParagraph17"/>
              <w:spacing w:before="108"/>
              <w:ind w:left="85"/>
              <w:jc w:val="both"/>
              <w:rPr>
                <w:lang w:val="es-ES"/>
              </w:rPr>
            </w:pPr>
            <w:r w:rsidRPr="45D41A7B">
              <w:rPr>
                <w:lang w:val="es-ES"/>
              </w:rPr>
              <w:t xml:space="preserve">Nombre del SGD reconocido oficialmente del que el ente sea miembro </w:t>
            </w:r>
            <w:r w:rsidR="5B866302" w:rsidRPr="45D41A7B">
              <w:rPr>
                <w:lang w:val="es-ES"/>
              </w:rPr>
              <w:t>con arreglo a</w:t>
            </w:r>
            <w:r w:rsidRPr="45D41A7B">
              <w:rPr>
                <w:lang w:val="es-ES"/>
              </w:rPr>
              <w:t xml:space="preserve"> la Directiva 2014/49/UE. Será el SGD en el Estado miembro de constitución del ente, quedando excluidos otros SGD que, en otros Estados miembros, puedan prestar protección adicional («top up») a los clientes del ente en una sucursal de ese Estado miembro. Cuando la entidad sea miembro de un sistema institucional de protección (SIP) que también esté oficialmente reconocido como SGD de conformidad con el artículo 4, apartado 2, de la Directiva 2014/49/UE, el nombre del SGD deberá ser idéntico al nombre del SIP indicado en la fila 050.</w:t>
            </w:r>
          </w:p>
          <w:p w14:paraId="7FE1B864" w14:textId="77777777" w:rsidR="00414040" w:rsidRDefault="00904E1A">
            <w:pPr>
              <w:pStyle w:val="P68B1DB1-TableParagraph17"/>
              <w:spacing w:before="108"/>
              <w:ind w:left="85"/>
              <w:jc w:val="both"/>
            </w:pPr>
            <w:r>
              <w:t>Según el país de constitución del ente, el SGD se elegirá entre los siguientes:</w:t>
            </w:r>
          </w:p>
          <w:p w14:paraId="7FE1B865" w14:textId="337A3E84" w:rsidR="00414040" w:rsidRDefault="4A4D932E">
            <w:pPr>
              <w:pStyle w:val="P68B1DB1-TableParagraph28"/>
              <w:spacing w:before="108"/>
              <w:ind w:left="85"/>
              <w:jc w:val="both"/>
            </w:pPr>
            <w:r>
              <w:t>Para</w:t>
            </w:r>
            <w:r w:rsidR="00904E1A">
              <w:t xml:space="preserve"> Austria</w:t>
            </w:r>
          </w:p>
          <w:p w14:paraId="7FE1B866" w14:textId="7AF21273" w:rsidR="00414040" w:rsidRPr="0046354C" w:rsidRDefault="00904E1A">
            <w:pPr>
              <w:pStyle w:val="P68B1DB1-TableParagraph17"/>
              <w:numPr>
                <w:ilvl w:val="0"/>
                <w:numId w:val="70"/>
              </w:numPr>
              <w:spacing w:before="108"/>
              <w:jc w:val="both"/>
              <w:rPr>
                <w:lang w:val="en-GB"/>
              </w:rPr>
            </w:pPr>
            <w:r w:rsidRPr="0046354C">
              <w:rPr>
                <w:lang w:val="en-GB"/>
              </w:rPr>
              <w:t>«</w:t>
            </w:r>
            <w:proofErr w:type="spellStart"/>
            <w:r w:rsidRPr="0046354C">
              <w:rPr>
                <w:lang w:val="en-GB"/>
              </w:rPr>
              <w:t>Einlagensicherung</w:t>
            </w:r>
            <w:proofErr w:type="spellEnd"/>
            <w:r w:rsidRPr="0046354C">
              <w:rPr>
                <w:lang w:val="en-GB"/>
              </w:rPr>
              <w:t xml:space="preserve"> AUSTRIA </w:t>
            </w:r>
            <w:proofErr w:type="spellStart"/>
            <w:r w:rsidRPr="0046354C">
              <w:rPr>
                <w:lang w:val="en-GB"/>
              </w:rPr>
              <w:t>Ges.m.b.H</w:t>
            </w:r>
            <w:proofErr w:type="spellEnd"/>
            <w:r w:rsidRPr="0046354C">
              <w:rPr>
                <w:lang w:val="en-GB"/>
              </w:rPr>
              <w:t xml:space="preserve">.» </w:t>
            </w:r>
          </w:p>
          <w:p w14:paraId="7FE1B867"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Sparkassen-Haftungs</w:t>
            </w:r>
            <w:proofErr w:type="spellEnd"/>
            <w:r w:rsidRPr="2133F407">
              <w:rPr>
                <w:lang w:val="es-ES"/>
              </w:rPr>
              <w:t xml:space="preserve"> </w:t>
            </w:r>
            <w:proofErr w:type="spellStart"/>
            <w:r w:rsidRPr="2133F407">
              <w:rPr>
                <w:lang w:val="es-ES"/>
              </w:rPr>
              <w:t>GmbH</w:t>
            </w:r>
            <w:proofErr w:type="spellEnd"/>
            <w:r w:rsidRPr="2133F407">
              <w:rPr>
                <w:lang w:val="es-ES"/>
              </w:rPr>
              <w:t>»</w:t>
            </w:r>
          </w:p>
          <w:p w14:paraId="7FE1B868"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Österreichische</w:t>
            </w:r>
            <w:proofErr w:type="spellEnd"/>
            <w:r w:rsidRPr="2133F407">
              <w:rPr>
                <w:lang w:val="es-ES"/>
              </w:rPr>
              <w:t xml:space="preserve"> </w:t>
            </w:r>
            <w:proofErr w:type="spellStart"/>
            <w:r w:rsidRPr="2133F407">
              <w:rPr>
                <w:lang w:val="es-ES"/>
              </w:rPr>
              <w:t>Raiffeisen-Sicherungseinrichtung</w:t>
            </w:r>
            <w:proofErr w:type="spellEnd"/>
            <w:r w:rsidRPr="2133F407">
              <w:rPr>
                <w:lang w:val="es-ES"/>
              </w:rPr>
              <w:t xml:space="preserve"> </w:t>
            </w:r>
            <w:proofErr w:type="spellStart"/>
            <w:r w:rsidRPr="2133F407">
              <w:rPr>
                <w:lang w:val="es-ES"/>
              </w:rPr>
              <w:t>eGen</w:t>
            </w:r>
            <w:proofErr w:type="spellEnd"/>
            <w:r w:rsidRPr="2133F407">
              <w:rPr>
                <w:lang w:val="es-ES"/>
              </w:rPr>
              <w:t>»</w:t>
            </w:r>
          </w:p>
          <w:p w14:paraId="7FE1B869" w14:textId="77777777" w:rsidR="00414040" w:rsidRDefault="00904E1A">
            <w:pPr>
              <w:pStyle w:val="P68B1DB1-TableParagraph28"/>
              <w:spacing w:before="108"/>
              <w:ind w:left="85"/>
              <w:jc w:val="both"/>
            </w:pPr>
            <w:r>
              <w:t>Bélgica</w:t>
            </w:r>
          </w:p>
          <w:p w14:paraId="7FE1B86A"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Garantiefonds</w:t>
            </w:r>
            <w:proofErr w:type="spellEnd"/>
            <w:r w:rsidRPr="2133F407">
              <w:rPr>
                <w:lang w:val="es-ES"/>
              </w:rPr>
              <w:t xml:space="preserve"> </w:t>
            </w:r>
            <w:proofErr w:type="spellStart"/>
            <w:r w:rsidRPr="2133F407">
              <w:rPr>
                <w:lang w:val="es-ES"/>
              </w:rPr>
              <w:t>voor</w:t>
            </w:r>
            <w:proofErr w:type="spellEnd"/>
            <w:r w:rsidRPr="2133F407">
              <w:rPr>
                <w:lang w:val="es-ES"/>
              </w:rPr>
              <w:t xml:space="preserve"> </w:t>
            </w:r>
            <w:proofErr w:type="spellStart"/>
            <w:r w:rsidRPr="2133F407">
              <w:rPr>
                <w:lang w:val="es-ES"/>
              </w:rPr>
              <w:t>financiële</w:t>
            </w:r>
            <w:proofErr w:type="spellEnd"/>
            <w:r w:rsidRPr="2133F407">
              <w:rPr>
                <w:lang w:val="es-ES"/>
              </w:rPr>
              <w:t xml:space="preserve"> </w:t>
            </w:r>
            <w:proofErr w:type="spellStart"/>
            <w:r w:rsidRPr="2133F407">
              <w:rPr>
                <w:lang w:val="es-ES"/>
              </w:rPr>
              <w:t>diensten</w:t>
            </w:r>
            <w:proofErr w:type="spellEnd"/>
            <w:r w:rsidRPr="2133F407">
              <w:rPr>
                <w:lang w:val="es-ES"/>
              </w:rPr>
              <w:t>/</w:t>
            </w:r>
            <w:proofErr w:type="spellStart"/>
            <w:r w:rsidRPr="2133F407">
              <w:rPr>
                <w:lang w:val="es-ES"/>
              </w:rPr>
              <w:t>Fonds</w:t>
            </w:r>
            <w:proofErr w:type="spellEnd"/>
            <w:r w:rsidRPr="2133F407">
              <w:rPr>
                <w:lang w:val="es-ES"/>
              </w:rPr>
              <w:t xml:space="preserve"> de </w:t>
            </w:r>
            <w:proofErr w:type="spellStart"/>
            <w:r w:rsidRPr="2133F407">
              <w:rPr>
                <w:lang w:val="es-ES"/>
              </w:rPr>
              <w:t>garantie</w:t>
            </w:r>
            <w:proofErr w:type="spellEnd"/>
            <w:r w:rsidRPr="2133F407">
              <w:rPr>
                <w:lang w:val="es-ES"/>
              </w:rPr>
              <w:t xml:space="preserve"> </w:t>
            </w:r>
            <w:proofErr w:type="spellStart"/>
            <w:r w:rsidRPr="2133F407">
              <w:rPr>
                <w:lang w:val="es-ES"/>
              </w:rPr>
              <w:t>pour</w:t>
            </w:r>
            <w:proofErr w:type="spellEnd"/>
            <w:r w:rsidRPr="2133F407">
              <w:rPr>
                <w:lang w:val="es-ES"/>
              </w:rPr>
              <w:t xml:space="preserve"> les </w:t>
            </w:r>
            <w:proofErr w:type="spellStart"/>
            <w:r w:rsidRPr="2133F407">
              <w:rPr>
                <w:lang w:val="es-ES"/>
              </w:rPr>
              <w:t>services</w:t>
            </w:r>
            <w:proofErr w:type="spellEnd"/>
            <w:r w:rsidRPr="2133F407">
              <w:rPr>
                <w:lang w:val="es-ES"/>
              </w:rPr>
              <w:t xml:space="preserve"> </w:t>
            </w:r>
            <w:proofErr w:type="spellStart"/>
            <w:r w:rsidRPr="2133F407">
              <w:rPr>
                <w:lang w:val="es-ES"/>
              </w:rPr>
              <w:t>financiers</w:t>
            </w:r>
            <w:proofErr w:type="spellEnd"/>
            <w:r w:rsidRPr="2133F407">
              <w:rPr>
                <w:lang w:val="es-ES"/>
              </w:rPr>
              <w:t>»</w:t>
            </w:r>
          </w:p>
          <w:p w14:paraId="7FE1B86B" w14:textId="77777777" w:rsidR="00414040" w:rsidRDefault="00904E1A">
            <w:pPr>
              <w:pStyle w:val="P68B1DB1-TableParagraph28"/>
              <w:spacing w:before="108"/>
              <w:ind w:left="85"/>
              <w:jc w:val="both"/>
            </w:pPr>
            <w:r>
              <w:t>Bulgaria</w:t>
            </w:r>
          </w:p>
          <w:p w14:paraId="7FE1B86C" w14:textId="33BABCB1"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Фонд</w:t>
            </w:r>
            <w:proofErr w:type="spellEnd"/>
            <w:r w:rsidRPr="2133F407">
              <w:rPr>
                <w:lang w:val="es-ES"/>
              </w:rPr>
              <w:t xml:space="preserve"> </w:t>
            </w:r>
            <w:proofErr w:type="spellStart"/>
            <w:r w:rsidRPr="2133F407">
              <w:rPr>
                <w:lang w:val="es-ES"/>
              </w:rPr>
              <w:t>за</w:t>
            </w:r>
            <w:proofErr w:type="spellEnd"/>
            <w:r w:rsidRPr="2133F407">
              <w:rPr>
                <w:lang w:val="es-ES"/>
              </w:rPr>
              <w:t xml:space="preserve"> </w:t>
            </w:r>
            <w:proofErr w:type="spellStart"/>
            <w:r w:rsidRPr="2133F407">
              <w:rPr>
                <w:lang w:val="es-ES"/>
              </w:rPr>
              <w:t>гарантиране</w:t>
            </w:r>
            <w:proofErr w:type="spellEnd"/>
            <w:r w:rsidRPr="2133F407">
              <w:rPr>
                <w:lang w:val="es-ES"/>
              </w:rPr>
              <w:t xml:space="preserve"> </w:t>
            </w:r>
            <w:proofErr w:type="spellStart"/>
            <w:r w:rsidRPr="2133F407">
              <w:rPr>
                <w:lang w:val="es-ES"/>
              </w:rPr>
              <w:t>на</w:t>
            </w:r>
            <w:proofErr w:type="spellEnd"/>
            <w:r w:rsidRPr="2133F407">
              <w:rPr>
                <w:lang w:val="es-ES"/>
              </w:rPr>
              <w:t xml:space="preserve"> </w:t>
            </w:r>
            <w:proofErr w:type="spellStart"/>
            <w:r w:rsidRPr="2133F407">
              <w:rPr>
                <w:lang w:val="es-ES"/>
              </w:rPr>
              <w:t>влоговете</w:t>
            </w:r>
            <w:proofErr w:type="spellEnd"/>
            <w:r w:rsidRPr="2133F407">
              <w:rPr>
                <w:lang w:val="es-ES"/>
              </w:rPr>
              <w:t xml:space="preserve"> в </w:t>
            </w:r>
            <w:proofErr w:type="spellStart"/>
            <w:r w:rsidRPr="2133F407">
              <w:rPr>
                <w:lang w:val="es-ES"/>
              </w:rPr>
              <w:t>банките</w:t>
            </w:r>
            <w:proofErr w:type="spellEnd"/>
            <w:r w:rsidRPr="2133F407">
              <w:rPr>
                <w:lang w:val="es-ES"/>
              </w:rPr>
              <w:t>»</w:t>
            </w:r>
          </w:p>
          <w:p w14:paraId="7FE1B86D" w14:textId="77777777" w:rsidR="00414040" w:rsidRDefault="00904E1A">
            <w:pPr>
              <w:pStyle w:val="P68B1DB1-TableParagraph28"/>
              <w:spacing w:before="108"/>
              <w:ind w:left="85"/>
              <w:jc w:val="both"/>
            </w:pPr>
            <w:r>
              <w:t>Croacia</w:t>
            </w:r>
          </w:p>
          <w:p w14:paraId="7FE1B86E"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Hrvatska</w:t>
            </w:r>
            <w:proofErr w:type="spellEnd"/>
            <w:r w:rsidRPr="2133F407">
              <w:rPr>
                <w:lang w:val="es-ES"/>
              </w:rPr>
              <w:t xml:space="preserve"> </w:t>
            </w:r>
            <w:proofErr w:type="spellStart"/>
            <w:r w:rsidRPr="2133F407">
              <w:rPr>
                <w:lang w:val="es-ES"/>
              </w:rPr>
              <w:t>agencija</w:t>
            </w:r>
            <w:proofErr w:type="spellEnd"/>
            <w:r w:rsidRPr="2133F407">
              <w:rPr>
                <w:lang w:val="es-ES"/>
              </w:rPr>
              <w:t xml:space="preserve"> </w:t>
            </w:r>
            <w:proofErr w:type="spellStart"/>
            <w:r w:rsidRPr="2133F407">
              <w:rPr>
                <w:lang w:val="es-ES"/>
              </w:rPr>
              <w:t>za</w:t>
            </w:r>
            <w:proofErr w:type="spellEnd"/>
            <w:r w:rsidRPr="2133F407">
              <w:rPr>
                <w:lang w:val="es-ES"/>
              </w:rPr>
              <w:t xml:space="preserve"> </w:t>
            </w:r>
            <w:proofErr w:type="spellStart"/>
            <w:r w:rsidRPr="2133F407">
              <w:rPr>
                <w:lang w:val="es-ES"/>
              </w:rPr>
              <w:t>osiguranje</w:t>
            </w:r>
            <w:proofErr w:type="spellEnd"/>
            <w:r w:rsidRPr="2133F407">
              <w:rPr>
                <w:lang w:val="es-ES"/>
              </w:rPr>
              <w:t xml:space="preserve"> </w:t>
            </w:r>
            <w:proofErr w:type="spellStart"/>
            <w:r w:rsidRPr="2133F407">
              <w:rPr>
                <w:lang w:val="es-ES"/>
              </w:rPr>
              <w:t>depozita</w:t>
            </w:r>
            <w:proofErr w:type="spellEnd"/>
            <w:r w:rsidRPr="2133F407">
              <w:rPr>
                <w:lang w:val="es-ES"/>
              </w:rPr>
              <w:t>»</w:t>
            </w:r>
          </w:p>
          <w:p w14:paraId="7FE1B86F" w14:textId="77777777" w:rsidR="00414040" w:rsidRDefault="00904E1A">
            <w:pPr>
              <w:pStyle w:val="P68B1DB1-TableParagraph28"/>
              <w:spacing w:before="108"/>
              <w:ind w:left="85"/>
              <w:jc w:val="both"/>
            </w:pPr>
            <w:r>
              <w:t>Chipre</w:t>
            </w:r>
          </w:p>
          <w:p w14:paraId="7FE1B870"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Σύστημ</w:t>
            </w:r>
            <w:proofErr w:type="spellEnd"/>
            <w:r w:rsidRPr="2133F407">
              <w:rPr>
                <w:lang w:val="es-ES"/>
              </w:rPr>
              <w:t xml:space="preserve">α </w:t>
            </w:r>
            <w:proofErr w:type="spellStart"/>
            <w:r w:rsidRPr="2133F407">
              <w:rPr>
                <w:lang w:val="es-ES"/>
              </w:rPr>
              <w:t>Εγγύησης</w:t>
            </w:r>
            <w:proofErr w:type="spellEnd"/>
            <w:r w:rsidRPr="2133F407">
              <w:rPr>
                <w:lang w:val="es-ES"/>
              </w:rPr>
              <w:t xml:space="preserve"> </w:t>
            </w:r>
            <w:proofErr w:type="spellStart"/>
            <w:r w:rsidRPr="2133F407">
              <w:rPr>
                <w:lang w:val="es-ES"/>
              </w:rPr>
              <w:t>των</w:t>
            </w:r>
            <w:proofErr w:type="spellEnd"/>
            <w:r w:rsidRPr="2133F407">
              <w:rPr>
                <w:lang w:val="es-ES"/>
              </w:rPr>
              <w:t xml:space="preserve"> Κατα</w:t>
            </w:r>
            <w:proofErr w:type="spellStart"/>
            <w:r w:rsidRPr="2133F407">
              <w:rPr>
                <w:lang w:val="es-ES"/>
              </w:rPr>
              <w:t>θέσεων</w:t>
            </w:r>
            <w:proofErr w:type="spellEnd"/>
            <w:r w:rsidRPr="2133F407">
              <w:rPr>
                <w:lang w:val="es-ES"/>
              </w:rPr>
              <w:t xml:space="preserve"> και </w:t>
            </w:r>
            <w:proofErr w:type="spellStart"/>
            <w:r w:rsidRPr="2133F407">
              <w:rPr>
                <w:lang w:val="es-ES"/>
              </w:rPr>
              <w:t>Εξυγί</w:t>
            </w:r>
            <w:proofErr w:type="spellEnd"/>
            <w:r w:rsidRPr="2133F407">
              <w:rPr>
                <w:lang w:val="es-ES"/>
              </w:rPr>
              <w:t xml:space="preserve">ανσης </w:t>
            </w:r>
            <w:proofErr w:type="spellStart"/>
            <w:r w:rsidRPr="2133F407">
              <w:rPr>
                <w:lang w:val="es-ES"/>
              </w:rPr>
              <w:t>Πιστωτικών</w:t>
            </w:r>
            <w:proofErr w:type="spellEnd"/>
            <w:r w:rsidRPr="2133F407">
              <w:rPr>
                <w:lang w:val="es-ES"/>
              </w:rPr>
              <w:t xml:space="preserve"> και </w:t>
            </w:r>
            <w:proofErr w:type="spellStart"/>
            <w:r w:rsidRPr="2133F407">
              <w:rPr>
                <w:lang w:val="es-ES"/>
              </w:rPr>
              <w:t>Άλλων</w:t>
            </w:r>
            <w:proofErr w:type="spellEnd"/>
            <w:r w:rsidRPr="2133F407">
              <w:rPr>
                <w:lang w:val="es-ES"/>
              </w:rPr>
              <w:t xml:space="preserve"> </w:t>
            </w:r>
            <w:proofErr w:type="spellStart"/>
            <w:r w:rsidRPr="2133F407">
              <w:rPr>
                <w:lang w:val="es-ES"/>
              </w:rPr>
              <w:t>Ιδρυμάτων</w:t>
            </w:r>
            <w:proofErr w:type="spellEnd"/>
            <w:r w:rsidRPr="2133F407">
              <w:rPr>
                <w:lang w:val="es-ES"/>
              </w:rPr>
              <w:t>»</w:t>
            </w:r>
          </w:p>
          <w:p w14:paraId="7FE1B871" w14:textId="73BD1AD4" w:rsidR="00414040" w:rsidRDefault="0045010F">
            <w:pPr>
              <w:pStyle w:val="P68B1DB1-TableParagraph28"/>
              <w:spacing w:before="108"/>
              <w:ind w:left="85"/>
              <w:jc w:val="both"/>
            </w:pPr>
            <w:r>
              <w:t>República Checa</w:t>
            </w:r>
          </w:p>
          <w:p w14:paraId="7FE1B872"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Garanční</w:t>
            </w:r>
            <w:proofErr w:type="spellEnd"/>
            <w:r w:rsidRPr="2133F407">
              <w:rPr>
                <w:lang w:val="es-ES"/>
              </w:rPr>
              <w:t xml:space="preserve"> </w:t>
            </w:r>
            <w:proofErr w:type="spellStart"/>
            <w:r w:rsidRPr="2133F407">
              <w:rPr>
                <w:lang w:val="es-ES"/>
              </w:rPr>
              <w:t>systém</w:t>
            </w:r>
            <w:proofErr w:type="spellEnd"/>
            <w:r w:rsidRPr="2133F407">
              <w:rPr>
                <w:lang w:val="es-ES"/>
              </w:rPr>
              <w:t xml:space="preserve"> </w:t>
            </w:r>
            <w:proofErr w:type="spellStart"/>
            <w:r w:rsidRPr="2133F407">
              <w:rPr>
                <w:lang w:val="es-ES"/>
              </w:rPr>
              <w:t>finančního</w:t>
            </w:r>
            <w:proofErr w:type="spellEnd"/>
            <w:r w:rsidRPr="2133F407">
              <w:rPr>
                <w:lang w:val="es-ES"/>
              </w:rPr>
              <w:t xml:space="preserve"> </w:t>
            </w:r>
            <w:proofErr w:type="spellStart"/>
            <w:r w:rsidRPr="2133F407">
              <w:rPr>
                <w:lang w:val="es-ES"/>
              </w:rPr>
              <w:t>trhu</w:t>
            </w:r>
            <w:proofErr w:type="spellEnd"/>
            <w:r w:rsidRPr="2133F407">
              <w:rPr>
                <w:lang w:val="es-ES"/>
              </w:rPr>
              <w:t>»</w:t>
            </w:r>
          </w:p>
          <w:p w14:paraId="7FE1B873" w14:textId="77777777" w:rsidR="00414040" w:rsidRDefault="00904E1A">
            <w:pPr>
              <w:pStyle w:val="P68B1DB1-TableParagraph28"/>
              <w:spacing w:before="108"/>
              <w:ind w:left="85"/>
              <w:jc w:val="both"/>
            </w:pPr>
            <w:r>
              <w:t>Dinamarca</w:t>
            </w:r>
          </w:p>
          <w:p w14:paraId="7FE1B874"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Garantiformuen</w:t>
            </w:r>
            <w:proofErr w:type="spellEnd"/>
            <w:r w:rsidRPr="2133F407">
              <w:rPr>
                <w:lang w:val="es-ES"/>
              </w:rPr>
              <w:t>»</w:t>
            </w:r>
          </w:p>
          <w:p w14:paraId="7FE1B875" w14:textId="77777777" w:rsidR="00414040" w:rsidRDefault="00904E1A">
            <w:pPr>
              <w:pStyle w:val="P68B1DB1-TableParagraph28"/>
              <w:spacing w:before="108"/>
              <w:ind w:left="85"/>
              <w:jc w:val="both"/>
            </w:pPr>
            <w:r>
              <w:t xml:space="preserve">Estonia </w:t>
            </w:r>
          </w:p>
          <w:p w14:paraId="7FE1B876" w14:textId="77777777" w:rsidR="00414040" w:rsidRDefault="00904E1A">
            <w:pPr>
              <w:pStyle w:val="P68B1DB1-TableParagraph17"/>
              <w:numPr>
                <w:ilvl w:val="0"/>
                <w:numId w:val="70"/>
              </w:numPr>
              <w:spacing w:before="108"/>
              <w:jc w:val="both"/>
            </w:pPr>
            <w:r w:rsidRPr="2133F407">
              <w:rPr>
                <w:lang w:val="es-ES"/>
              </w:rPr>
              <w:lastRenderedPageBreak/>
              <w:t>«</w:t>
            </w:r>
            <w:proofErr w:type="spellStart"/>
            <w:r w:rsidRPr="2133F407">
              <w:rPr>
                <w:lang w:val="es-ES"/>
              </w:rPr>
              <w:t>Tagastisfond</w:t>
            </w:r>
            <w:proofErr w:type="spellEnd"/>
            <w:r w:rsidRPr="2133F407">
              <w:rPr>
                <w:lang w:val="es-ES"/>
              </w:rPr>
              <w:t>»</w:t>
            </w:r>
          </w:p>
          <w:p w14:paraId="7FE1B877" w14:textId="77777777" w:rsidR="00414040" w:rsidRDefault="00904E1A">
            <w:pPr>
              <w:pStyle w:val="P68B1DB1-TableParagraph28"/>
              <w:spacing w:before="108"/>
              <w:ind w:left="85"/>
              <w:jc w:val="both"/>
            </w:pPr>
            <w:r>
              <w:t xml:space="preserve">Finlandia </w:t>
            </w:r>
          </w:p>
          <w:p w14:paraId="7FE1B878"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Talletussuojarahasto</w:t>
            </w:r>
            <w:proofErr w:type="spellEnd"/>
            <w:r w:rsidRPr="2133F407">
              <w:rPr>
                <w:lang w:val="es-ES"/>
              </w:rPr>
              <w:t>»</w:t>
            </w:r>
          </w:p>
          <w:p w14:paraId="7FE1B879" w14:textId="77777777" w:rsidR="00414040" w:rsidRDefault="00904E1A">
            <w:pPr>
              <w:pStyle w:val="P68B1DB1-TableParagraph28"/>
              <w:spacing w:before="108"/>
              <w:ind w:left="85"/>
              <w:jc w:val="both"/>
            </w:pPr>
            <w:r>
              <w:t>Francia</w:t>
            </w:r>
          </w:p>
          <w:p w14:paraId="7FE1B87A"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Fonds</w:t>
            </w:r>
            <w:proofErr w:type="spellEnd"/>
            <w:r w:rsidRPr="2133F407">
              <w:rPr>
                <w:lang w:val="es-ES"/>
              </w:rPr>
              <w:t xml:space="preserve"> de </w:t>
            </w:r>
            <w:proofErr w:type="spellStart"/>
            <w:r w:rsidRPr="2133F407">
              <w:rPr>
                <w:lang w:val="es-ES"/>
              </w:rPr>
              <w:t>Garantie</w:t>
            </w:r>
            <w:proofErr w:type="spellEnd"/>
            <w:r w:rsidRPr="2133F407">
              <w:rPr>
                <w:lang w:val="es-ES"/>
              </w:rPr>
              <w:t xml:space="preserve"> des </w:t>
            </w:r>
            <w:proofErr w:type="spellStart"/>
            <w:r w:rsidRPr="2133F407">
              <w:rPr>
                <w:lang w:val="es-ES"/>
              </w:rPr>
              <w:t>Dépôts</w:t>
            </w:r>
            <w:proofErr w:type="spellEnd"/>
            <w:r w:rsidRPr="2133F407">
              <w:rPr>
                <w:lang w:val="es-ES"/>
              </w:rPr>
              <w:t xml:space="preserve"> et de </w:t>
            </w:r>
            <w:proofErr w:type="spellStart"/>
            <w:r w:rsidRPr="2133F407">
              <w:rPr>
                <w:lang w:val="es-ES"/>
              </w:rPr>
              <w:t>Résolution</w:t>
            </w:r>
            <w:proofErr w:type="spellEnd"/>
            <w:r w:rsidRPr="2133F407">
              <w:rPr>
                <w:lang w:val="es-ES"/>
              </w:rPr>
              <w:t>»</w:t>
            </w:r>
          </w:p>
          <w:p w14:paraId="7FE1B87B" w14:textId="77777777" w:rsidR="00414040" w:rsidRDefault="00904E1A">
            <w:pPr>
              <w:pStyle w:val="P68B1DB1-TableParagraph28"/>
              <w:spacing w:before="108"/>
              <w:ind w:left="85"/>
              <w:jc w:val="both"/>
            </w:pPr>
            <w:r>
              <w:t xml:space="preserve">Alemania </w:t>
            </w:r>
          </w:p>
          <w:p w14:paraId="7FE1B87C"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Entschädigungseinrichtung</w:t>
            </w:r>
            <w:proofErr w:type="spellEnd"/>
            <w:r w:rsidRPr="2133F407">
              <w:rPr>
                <w:lang w:val="es-ES"/>
              </w:rPr>
              <w:t xml:space="preserve"> </w:t>
            </w:r>
            <w:proofErr w:type="spellStart"/>
            <w:r w:rsidRPr="2133F407">
              <w:rPr>
                <w:lang w:val="es-ES"/>
              </w:rPr>
              <w:t>deutscher</w:t>
            </w:r>
            <w:proofErr w:type="spellEnd"/>
            <w:r w:rsidRPr="2133F407">
              <w:rPr>
                <w:lang w:val="es-ES"/>
              </w:rPr>
              <w:t xml:space="preserve"> </w:t>
            </w:r>
            <w:proofErr w:type="spellStart"/>
            <w:r w:rsidRPr="2133F407">
              <w:rPr>
                <w:lang w:val="es-ES"/>
              </w:rPr>
              <w:t>Banken</w:t>
            </w:r>
            <w:proofErr w:type="spellEnd"/>
            <w:r w:rsidRPr="2133F407">
              <w:rPr>
                <w:lang w:val="es-ES"/>
              </w:rPr>
              <w:t xml:space="preserve"> </w:t>
            </w:r>
            <w:proofErr w:type="spellStart"/>
            <w:r w:rsidRPr="2133F407">
              <w:rPr>
                <w:lang w:val="es-ES"/>
              </w:rPr>
              <w:t>GmbH</w:t>
            </w:r>
            <w:proofErr w:type="spellEnd"/>
            <w:r w:rsidRPr="2133F407">
              <w:rPr>
                <w:lang w:val="es-ES"/>
              </w:rPr>
              <w:t>»</w:t>
            </w:r>
          </w:p>
          <w:p w14:paraId="7FE1B87D" w14:textId="77777777" w:rsidR="00414040" w:rsidRPr="00210421" w:rsidRDefault="00904E1A">
            <w:pPr>
              <w:pStyle w:val="P68B1DB1-TableParagraph17"/>
              <w:numPr>
                <w:ilvl w:val="0"/>
                <w:numId w:val="70"/>
              </w:numPr>
              <w:spacing w:before="108"/>
              <w:jc w:val="both"/>
            </w:pPr>
            <w:r w:rsidRPr="00210421">
              <w:t>«</w:t>
            </w:r>
            <w:proofErr w:type="spellStart"/>
            <w:r w:rsidRPr="00210421">
              <w:t>Entschädigungseinrichtung</w:t>
            </w:r>
            <w:proofErr w:type="spellEnd"/>
            <w:r w:rsidRPr="00210421">
              <w:t xml:space="preserve"> des </w:t>
            </w:r>
            <w:proofErr w:type="spellStart"/>
            <w:r w:rsidRPr="00210421">
              <w:t>Bundesverbandes</w:t>
            </w:r>
            <w:proofErr w:type="spellEnd"/>
            <w:r w:rsidRPr="00210421">
              <w:t xml:space="preserve"> </w:t>
            </w:r>
            <w:proofErr w:type="spellStart"/>
            <w:r w:rsidRPr="00210421">
              <w:t>Öffentlicher</w:t>
            </w:r>
            <w:proofErr w:type="spellEnd"/>
            <w:r w:rsidRPr="00210421">
              <w:t xml:space="preserve"> </w:t>
            </w:r>
            <w:proofErr w:type="spellStart"/>
            <w:r w:rsidRPr="00210421">
              <w:t>Banken</w:t>
            </w:r>
            <w:proofErr w:type="spellEnd"/>
            <w:r w:rsidRPr="00210421">
              <w:t xml:space="preserve"> </w:t>
            </w:r>
            <w:proofErr w:type="spellStart"/>
            <w:r w:rsidRPr="00210421">
              <w:t>Deutschlands</w:t>
            </w:r>
            <w:proofErr w:type="spellEnd"/>
            <w:r w:rsidRPr="00210421">
              <w:t xml:space="preserve"> </w:t>
            </w:r>
            <w:proofErr w:type="spellStart"/>
            <w:r w:rsidRPr="00210421">
              <w:t>GmbH</w:t>
            </w:r>
            <w:proofErr w:type="spellEnd"/>
            <w:r w:rsidRPr="00210421">
              <w:t>»</w:t>
            </w:r>
          </w:p>
          <w:p w14:paraId="7FE1B87E" w14:textId="77777777" w:rsidR="00414040" w:rsidRPr="0046354C" w:rsidRDefault="00904E1A">
            <w:pPr>
              <w:pStyle w:val="P68B1DB1-TableParagraph17"/>
              <w:numPr>
                <w:ilvl w:val="0"/>
                <w:numId w:val="70"/>
              </w:numPr>
              <w:spacing w:before="108"/>
              <w:jc w:val="both"/>
              <w:rPr>
                <w:lang w:val="en-GB"/>
              </w:rPr>
            </w:pPr>
            <w:r w:rsidRPr="0046354C">
              <w:rPr>
                <w:lang w:val="en-GB"/>
              </w:rPr>
              <w:t>«</w:t>
            </w:r>
            <w:proofErr w:type="spellStart"/>
            <w:r w:rsidRPr="0046354C">
              <w:rPr>
                <w:lang w:val="en-GB"/>
              </w:rPr>
              <w:t>Sicherungseinrichtung</w:t>
            </w:r>
            <w:proofErr w:type="spellEnd"/>
            <w:r w:rsidRPr="0046354C">
              <w:rPr>
                <w:lang w:val="en-GB"/>
              </w:rPr>
              <w:t xml:space="preserve"> des </w:t>
            </w:r>
            <w:proofErr w:type="spellStart"/>
            <w:r w:rsidRPr="0046354C">
              <w:rPr>
                <w:lang w:val="en-GB"/>
              </w:rPr>
              <w:t>Deutschen</w:t>
            </w:r>
            <w:proofErr w:type="spellEnd"/>
            <w:r w:rsidRPr="0046354C">
              <w:rPr>
                <w:lang w:val="en-GB"/>
              </w:rPr>
              <w:t xml:space="preserve"> </w:t>
            </w:r>
            <w:proofErr w:type="spellStart"/>
            <w:r w:rsidRPr="0046354C">
              <w:rPr>
                <w:lang w:val="en-GB"/>
              </w:rPr>
              <w:t>Sparkassen</w:t>
            </w:r>
            <w:proofErr w:type="spellEnd"/>
            <w:r w:rsidRPr="0046354C">
              <w:rPr>
                <w:lang w:val="en-GB"/>
              </w:rPr>
              <w:t xml:space="preserve">- und </w:t>
            </w:r>
            <w:proofErr w:type="spellStart"/>
            <w:r w:rsidRPr="0046354C">
              <w:rPr>
                <w:lang w:val="en-GB"/>
              </w:rPr>
              <w:t>Giroverbandes</w:t>
            </w:r>
            <w:proofErr w:type="spellEnd"/>
            <w:r w:rsidRPr="0046354C">
              <w:rPr>
                <w:lang w:val="en-GB"/>
              </w:rPr>
              <w:t xml:space="preserve"> (DSGV-</w:t>
            </w:r>
            <w:proofErr w:type="spellStart"/>
            <w:proofErr w:type="gramStart"/>
            <w:r w:rsidRPr="0046354C">
              <w:rPr>
                <w:lang w:val="en-GB"/>
              </w:rPr>
              <w:t>Haftungsverbund</w:t>
            </w:r>
            <w:proofErr w:type="spellEnd"/>
            <w:r w:rsidRPr="0046354C">
              <w:rPr>
                <w:lang w:val="en-GB"/>
              </w:rPr>
              <w:t>)»</w:t>
            </w:r>
            <w:proofErr w:type="gramEnd"/>
          </w:p>
          <w:p w14:paraId="7FE1B87F" w14:textId="77777777" w:rsidR="00414040" w:rsidRDefault="00904E1A">
            <w:pPr>
              <w:pStyle w:val="P68B1DB1-TableParagraph17"/>
              <w:numPr>
                <w:ilvl w:val="0"/>
                <w:numId w:val="70"/>
              </w:numPr>
              <w:spacing w:before="108"/>
              <w:jc w:val="both"/>
            </w:pPr>
            <w:r w:rsidRPr="2133F407">
              <w:rPr>
                <w:lang w:val="es-ES"/>
              </w:rPr>
              <w:t xml:space="preserve">«BVR </w:t>
            </w:r>
            <w:proofErr w:type="spellStart"/>
            <w:r w:rsidRPr="2133F407">
              <w:rPr>
                <w:lang w:val="es-ES"/>
              </w:rPr>
              <w:t>Institutssicherung</w:t>
            </w:r>
            <w:proofErr w:type="spellEnd"/>
            <w:r w:rsidRPr="2133F407">
              <w:rPr>
                <w:lang w:val="es-ES"/>
              </w:rPr>
              <w:t xml:space="preserve"> </w:t>
            </w:r>
            <w:proofErr w:type="spellStart"/>
            <w:r w:rsidRPr="2133F407">
              <w:rPr>
                <w:lang w:val="es-ES"/>
              </w:rPr>
              <w:t>GmbH</w:t>
            </w:r>
            <w:proofErr w:type="spellEnd"/>
            <w:r w:rsidRPr="2133F407">
              <w:rPr>
                <w:lang w:val="es-ES"/>
              </w:rPr>
              <w:t>»</w:t>
            </w:r>
          </w:p>
          <w:p w14:paraId="7FE1B882" w14:textId="77777777" w:rsidR="00414040" w:rsidRDefault="00904E1A">
            <w:pPr>
              <w:pStyle w:val="P68B1DB1-TableParagraph28"/>
              <w:spacing w:before="108"/>
              <w:ind w:left="85"/>
              <w:jc w:val="both"/>
            </w:pPr>
            <w:r>
              <w:t xml:space="preserve">Grecia </w:t>
            </w:r>
          </w:p>
          <w:p w14:paraId="7FE1B883" w14:textId="77777777" w:rsidR="00414040" w:rsidRDefault="00904E1A">
            <w:pPr>
              <w:pStyle w:val="P68B1DB1-TableParagraph17"/>
              <w:numPr>
                <w:ilvl w:val="0"/>
                <w:numId w:val="70"/>
              </w:numPr>
              <w:spacing w:before="108"/>
              <w:jc w:val="both"/>
            </w:pPr>
            <w:r w:rsidRPr="2133F407">
              <w:rPr>
                <w:lang w:val="es-ES"/>
              </w:rPr>
              <w:t>«Τα</w:t>
            </w:r>
            <w:proofErr w:type="spellStart"/>
            <w:r w:rsidRPr="2133F407">
              <w:rPr>
                <w:lang w:val="es-ES"/>
              </w:rPr>
              <w:t>μείο</w:t>
            </w:r>
            <w:proofErr w:type="spellEnd"/>
            <w:r w:rsidRPr="2133F407">
              <w:rPr>
                <w:lang w:val="es-ES"/>
              </w:rPr>
              <w:t xml:space="preserve"> </w:t>
            </w:r>
            <w:proofErr w:type="spellStart"/>
            <w:r w:rsidRPr="2133F407">
              <w:rPr>
                <w:lang w:val="es-ES"/>
              </w:rPr>
              <w:t>Εγγύησης</w:t>
            </w:r>
            <w:proofErr w:type="spellEnd"/>
            <w:r w:rsidRPr="2133F407">
              <w:rPr>
                <w:lang w:val="es-ES"/>
              </w:rPr>
              <w:t xml:space="preserve"> Κατα</w:t>
            </w:r>
            <w:proofErr w:type="spellStart"/>
            <w:r w:rsidRPr="2133F407">
              <w:rPr>
                <w:lang w:val="es-ES"/>
              </w:rPr>
              <w:t>θέσεων</w:t>
            </w:r>
            <w:proofErr w:type="spellEnd"/>
            <w:r w:rsidRPr="2133F407">
              <w:rPr>
                <w:lang w:val="es-ES"/>
              </w:rPr>
              <w:t xml:space="preserve"> και Επ</w:t>
            </w:r>
            <w:proofErr w:type="spellStart"/>
            <w:r w:rsidRPr="2133F407">
              <w:rPr>
                <w:lang w:val="es-ES"/>
              </w:rPr>
              <w:t>ενδύσεων</w:t>
            </w:r>
            <w:proofErr w:type="spellEnd"/>
            <w:r w:rsidRPr="2133F407">
              <w:rPr>
                <w:lang w:val="es-ES"/>
              </w:rPr>
              <w:t>»</w:t>
            </w:r>
          </w:p>
          <w:p w14:paraId="7FE1B884" w14:textId="77777777" w:rsidR="00414040" w:rsidRDefault="00904E1A">
            <w:pPr>
              <w:pStyle w:val="P68B1DB1-TableParagraph28"/>
              <w:spacing w:before="108"/>
              <w:ind w:left="85"/>
              <w:jc w:val="both"/>
            </w:pPr>
            <w:r>
              <w:t xml:space="preserve">Hungría </w:t>
            </w:r>
          </w:p>
          <w:p w14:paraId="7FE1B885"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Országos</w:t>
            </w:r>
            <w:proofErr w:type="spellEnd"/>
            <w:r w:rsidRPr="2133F407">
              <w:rPr>
                <w:lang w:val="es-ES"/>
              </w:rPr>
              <w:t xml:space="preserve"> </w:t>
            </w:r>
            <w:proofErr w:type="spellStart"/>
            <w:r w:rsidRPr="2133F407">
              <w:rPr>
                <w:lang w:val="es-ES"/>
              </w:rPr>
              <w:t>Betétbiztosítási</w:t>
            </w:r>
            <w:proofErr w:type="spellEnd"/>
            <w:r w:rsidRPr="2133F407">
              <w:rPr>
                <w:lang w:val="es-ES"/>
              </w:rPr>
              <w:t xml:space="preserve"> </w:t>
            </w:r>
            <w:proofErr w:type="spellStart"/>
            <w:r w:rsidRPr="2133F407">
              <w:rPr>
                <w:lang w:val="es-ES"/>
              </w:rPr>
              <w:t>Alap</w:t>
            </w:r>
            <w:proofErr w:type="spellEnd"/>
            <w:r w:rsidRPr="2133F407">
              <w:rPr>
                <w:lang w:val="es-ES"/>
              </w:rPr>
              <w:t>»</w:t>
            </w:r>
          </w:p>
          <w:p w14:paraId="7FE1B886" w14:textId="77777777" w:rsidR="00414040" w:rsidRDefault="00904E1A">
            <w:pPr>
              <w:pStyle w:val="P68B1DB1-TableParagraph28"/>
              <w:spacing w:before="108"/>
              <w:ind w:left="85"/>
              <w:jc w:val="both"/>
            </w:pPr>
            <w:r>
              <w:t>Islandia,</w:t>
            </w:r>
          </w:p>
          <w:p w14:paraId="7FE1B887" w14:textId="44E06D46"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Tryggingarsjóður</w:t>
            </w:r>
            <w:proofErr w:type="spellEnd"/>
            <w:r w:rsidRPr="2133F407">
              <w:rPr>
                <w:lang w:val="es-ES"/>
              </w:rPr>
              <w:t xml:space="preserve"> </w:t>
            </w:r>
            <w:proofErr w:type="spellStart"/>
            <w:r w:rsidRPr="2133F407">
              <w:rPr>
                <w:lang w:val="es-ES"/>
              </w:rPr>
              <w:t>vegna</w:t>
            </w:r>
            <w:proofErr w:type="spellEnd"/>
            <w:r w:rsidRPr="2133F407">
              <w:rPr>
                <w:lang w:val="es-ES"/>
              </w:rPr>
              <w:t xml:space="preserve"> </w:t>
            </w:r>
            <w:proofErr w:type="spellStart"/>
            <w:r w:rsidRPr="2133F407">
              <w:rPr>
                <w:lang w:val="es-ES"/>
              </w:rPr>
              <w:t>fjármálafyrirtækja</w:t>
            </w:r>
            <w:proofErr w:type="spellEnd"/>
            <w:r w:rsidRPr="2133F407">
              <w:rPr>
                <w:lang w:val="es-ES"/>
              </w:rPr>
              <w:t>»</w:t>
            </w:r>
          </w:p>
          <w:p w14:paraId="7FE1B888" w14:textId="77777777" w:rsidR="00414040" w:rsidRDefault="00904E1A">
            <w:pPr>
              <w:pStyle w:val="P68B1DB1-TableParagraph28"/>
              <w:spacing w:before="108"/>
              <w:ind w:left="85"/>
              <w:jc w:val="both"/>
            </w:pPr>
            <w:r>
              <w:t>Irlanda</w:t>
            </w:r>
          </w:p>
          <w:p w14:paraId="7FE1B889"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Irish</w:t>
            </w:r>
            <w:proofErr w:type="spellEnd"/>
            <w:r w:rsidRPr="2133F407">
              <w:rPr>
                <w:lang w:val="es-ES"/>
              </w:rPr>
              <w:t xml:space="preserve"> </w:t>
            </w:r>
            <w:proofErr w:type="spellStart"/>
            <w:r w:rsidRPr="2133F407">
              <w:rPr>
                <w:lang w:val="es-ES"/>
              </w:rPr>
              <w:t>Deposit</w:t>
            </w:r>
            <w:proofErr w:type="spellEnd"/>
            <w:r w:rsidRPr="2133F407">
              <w:rPr>
                <w:lang w:val="es-ES"/>
              </w:rPr>
              <w:t xml:space="preserve"> </w:t>
            </w:r>
            <w:proofErr w:type="spellStart"/>
            <w:r w:rsidRPr="2133F407">
              <w:rPr>
                <w:lang w:val="es-ES"/>
              </w:rPr>
              <w:t>Protection</w:t>
            </w:r>
            <w:proofErr w:type="spellEnd"/>
            <w:r w:rsidRPr="2133F407">
              <w:rPr>
                <w:lang w:val="es-ES"/>
              </w:rPr>
              <w:t xml:space="preserve"> </w:t>
            </w:r>
            <w:proofErr w:type="spellStart"/>
            <w:r w:rsidRPr="2133F407">
              <w:rPr>
                <w:lang w:val="es-ES"/>
              </w:rPr>
              <w:t>Scheme</w:t>
            </w:r>
            <w:proofErr w:type="spellEnd"/>
            <w:r w:rsidRPr="2133F407">
              <w:rPr>
                <w:lang w:val="es-ES"/>
              </w:rPr>
              <w:t>»</w:t>
            </w:r>
          </w:p>
          <w:p w14:paraId="7FE1B88A" w14:textId="77777777" w:rsidR="00414040" w:rsidRDefault="00904E1A">
            <w:pPr>
              <w:pStyle w:val="P68B1DB1-TableParagraph28"/>
              <w:spacing w:before="108"/>
              <w:ind w:left="85"/>
              <w:jc w:val="both"/>
            </w:pPr>
            <w:r>
              <w:t xml:space="preserve">Italia </w:t>
            </w:r>
          </w:p>
          <w:p w14:paraId="7FE1B88B" w14:textId="77777777" w:rsidR="00414040" w:rsidRDefault="00904E1A">
            <w:pPr>
              <w:pStyle w:val="P68B1DB1-TableParagraph17"/>
              <w:numPr>
                <w:ilvl w:val="0"/>
                <w:numId w:val="70"/>
              </w:numPr>
              <w:spacing w:before="108"/>
              <w:jc w:val="both"/>
            </w:pPr>
            <w:r w:rsidRPr="2133F407">
              <w:rPr>
                <w:lang w:val="es-ES"/>
              </w:rPr>
              <w:t xml:space="preserve">«Fondo Interbancario di Tutela </w:t>
            </w:r>
            <w:proofErr w:type="spellStart"/>
            <w:r w:rsidRPr="2133F407">
              <w:rPr>
                <w:lang w:val="es-ES"/>
              </w:rPr>
              <w:t>dei</w:t>
            </w:r>
            <w:proofErr w:type="spellEnd"/>
            <w:r w:rsidRPr="2133F407">
              <w:rPr>
                <w:lang w:val="es-ES"/>
              </w:rPr>
              <w:t xml:space="preserve"> </w:t>
            </w:r>
            <w:proofErr w:type="spellStart"/>
            <w:r w:rsidRPr="2133F407">
              <w:rPr>
                <w:lang w:val="es-ES"/>
              </w:rPr>
              <w:t>Depositi</w:t>
            </w:r>
            <w:proofErr w:type="spellEnd"/>
            <w:r w:rsidRPr="2133F407">
              <w:rPr>
                <w:lang w:val="es-ES"/>
              </w:rPr>
              <w:t>»</w:t>
            </w:r>
          </w:p>
          <w:p w14:paraId="7FE1B88C" w14:textId="77777777" w:rsidR="00414040" w:rsidRDefault="00904E1A">
            <w:pPr>
              <w:pStyle w:val="P68B1DB1-TableParagraph17"/>
              <w:numPr>
                <w:ilvl w:val="0"/>
                <w:numId w:val="70"/>
              </w:numPr>
              <w:spacing w:before="108"/>
              <w:jc w:val="both"/>
            </w:pPr>
            <w:r w:rsidRPr="2133F407">
              <w:rPr>
                <w:lang w:val="es-ES"/>
              </w:rPr>
              <w:t xml:space="preserve">«Fondo di </w:t>
            </w:r>
            <w:proofErr w:type="spellStart"/>
            <w:r w:rsidRPr="2133F407">
              <w:rPr>
                <w:lang w:val="es-ES"/>
              </w:rPr>
              <w:t>Garanzia</w:t>
            </w:r>
            <w:proofErr w:type="spellEnd"/>
            <w:r w:rsidRPr="2133F407">
              <w:rPr>
                <w:lang w:val="es-ES"/>
              </w:rPr>
              <w:t xml:space="preserve"> </w:t>
            </w:r>
            <w:proofErr w:type="spellStart"/>
            <w:r w:rsidRPr="2133F407">
              <w:rPr>
                <w:lang w:val="es-ES"/>
              </w:rPr>
              <w:t>dei</w:t>
            </w:r>
            <w:proofErr w:type="spellEnd"/>
            <w:r w:rsidRPr="2133F407">
              <w:rPr>
                <w:lang w:val="es-ES"/>
              </w:rPr>
              <w:t xml:space="preserve"> </w:t>
            </w:r>
            <w:proofErr w:type="spellStart"/>
            <w:r w:rsidRPr="2133F407">
              <w:rPr>
                <w:lang w:val="es-ES"/>
              </w:rPr>
              <w:t>Depositanti</w:t>
            </w:r>
            <w:proofErr w:type="spellEnd"/>
            <w:r w:rsidRPr="2133F407">
              <w:rPr>
                <w:lang w:val="es-ES"/>
              </w:rPr>
              <w:t xml:space="preserve"> del </w:t>
            </w:r>
            <w:proofErr w:type="spellStart"/>
            <w:r w:rsidRPr="2133F407">
              <w:rPr>
                <w:lang w:val="es-ES"/>
              </w:rPr>
              <w:t>Credito</w:t>
            </w:r>
            <w:proofErr w:type="spellEnd"/>
            <w:r w:rsidRPr="2133F407">
              <w:rPr>
                <w:lang w:val="es-ES"/>
              </w:rPr>
              <w:t xml:space="preserve"> Cooperativo»</w:t>
            </w:r>
          </w:p>
          <w:p w14:paraId="7FE1B88D" w14:textId="77777777" w:rsidR="00414040" w:rsidRDefault="00904E1A">
            <w:pPr>
              <w:pStyle w:val="P68B1DB1-TableParagraph28"/>
              <w:spacing w:before="108"/>
              <w:ind w:left="85"/>
              <w:jc w:val="both"/>
            </w:pPr>
            <w:r>
              <w:t>Letonia</w:t>
            </w:r>
          </w:p>
          <w:p w14:paraId="7FE1B88E"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Latvijas</w:t>
            </w:r>
            <w:proofErr w:type="spellEnd"/>
            <w:r w:rsidRPr="2133F407">
              <w:rPr>
                <w:lang w:val="es-ES"/>
              </w:rPr>
              <w:t xml:space="preserve"> </w:t>
            </w:r>
            <w:proofErr w:type="spellStart"/>
            <w:r w:rsidRPr="2133F407">
              <w:rPr>
                <w:lang w:val="es-ES"/>
              </w:rPr>
              <w:t>Noguldījumu</w:t>
            </w:r>
            <w:proofErr w:type="spellEnd"/>
            <w:r w:rsidRPr="2133F407">
              <w:rPr>
                <w:lang w:val="es-ES"/>
              </w:rPr>
              <w:t xml:space="preserve"> </w:t>
            </w:r>
            <w:proofErr w:type="spellStart"/>
            <w:r w:rsidRPr="2133F407">
              <w:rPr>
                <w:lang w:val="es-ES"/>
              </w:rPr>
              <w:t>garantiju</w:t>
            </w:r>
            <w:proofErr w:type="spellEnd"/>
            <w:r w:rsidRPr="2133F407">
              <w:rPr>
                <w:lang w:val="es-ES"/>
              </w:rPr>
              <w:t xml:space="preserve"> </w:t>
            </w:r>
            <w:proofErr w:type="spellStart"/>
            <w:r w:rsidRPr="2133F407">
              <w:rPr>
                <w:lang w:val="es-ES"/>
              </w:rPr>
              <w:t>fonds</w:t>
            </w:r>
            <w:proofErr w:type="spellEnd"/>
            <w:r w:rsidRPr="2133F407">
              <w:rPr>
                <w:lang w:val="es-ES"/>
              </w:rPr>
              <w:t>»</w:t>
            </w:r>
          </w:p>
          <w:p w14:paraId="7FE1B88F" w14:textId="77777777" w:rsidR="00414040" w:rsidRDefault="00904E1A">
            <w:pPr>
              <w:pStyle w:val="P68B1DB1-TableParagraph28"/>
              <w:spacing w:before="108"/>
              <w:ind w:left="85"/>
              <w:jc w:val="both"/>
            </w:pPr>
            <w:r>
              <w:t xml:space="preserve">Liechtenstein </w:t>
            </w:r>
          </w:p>
          <w:p w14:paraId="7FE1B890" w14:textId="77777777" w:rsidR="00414040" w:rsidRPr="0046354C" w:rsidRDefault="00904E1A">
            <w:pPr>
              <w:pStyle w:val="P68B1DB1-TableParagraph17"/>
              <w:numPr>
                <w:ilvl w:val="0"/>
                <w:numId w:val="70"/>
              </w:numPr>
              <w:spacing w:before="108"/>
              <w:jc w:val="both"/>
              <w:rPr>
                <w:lang w:val="en-GB"/>
              </w:rPr>
            </w:pPr>
            <w:r w:rsidRPr="0046354C">
              <w:rPr>
                <w:lang w:val="en-GB"/>
              </w:rPr>
              <w:t>«</w:t>
            </w:r>
            <w:proofErr w:type="spellStart"/>
            <w:r w:rsidRPr="0046354C">
              <w:rPr>
                <w:lang w:val="en-GB"/>
              </w:rPr>
              <w:t>Einlagensicherungs</w:t>
            </w:r>
            <w:proofErr w:type="spellEnd"/>
            <w:r w:rsidRPr="0046354C">
              <w:rPr>
                <w:lang w:val="en-GB"/>
              </w:rPr>
              <w:t xml:space="preserve">- und </w:t>
            </w:r>
            <w:proofErr w:type="spellStart"/>
            <w:r w:rsidRPr="0046354C">
              <w:rPr>
                <w:lang w:val="en-GB"/>
              </w:rPr>
              <w:t>Anlegerentschädigungs</w:t>
            </w:r>
            <w:proofErr w:type="spellEnd"/>
            <w:r w:rsidRPr="0046354C">
              <w:rPr>
                <w:lang w:val="en-GB"/>
              </w:rPr>
              <w:t>-Stiftung SV»</w:t>
            </w:r>
          </w:p>
          <w:p w14:paraId="7FE1B891" w14:textId="77777777" w:rsidR="00414040" w:rsidRDefault="00904E1A">
            <w:pPr>
              <w:pStyle w:val="P68B1DB1-TableParagraph28"/>
              <w:spacing w:before="108"/>
              <w:ind w:left="85"/>
              <w:jc w:val="both"/>
            </w:pPr>
            <w:r>
              <w:t>Lituania</w:t>
            </w:r>
          </w:p>
          <w:p w14:paraId="7FE1B892"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Indėlių</w:t>
            </w:r>
            <w:proofErr w:type="spellEnd"/>
            <w:r w:rsidRPr="2133F407">
              <w:rPr>
                <w:lang w:val="es-ES"/>
              </w:rPr>
              <w:t xml:space="preserve"> ir </w:t>
            </w:r>
            <w:proofErr w:type="spellStart"/>
            <w:r w:rsidRPr="2133F407">
              <w:rPr>
                <w:lang w:val="es-ES"/>
              </w:rPr>
              <w:t>investicijų</w:t>
            </w:r>
            <w:proofErr w:type="spellEnd"/>
            <w:r w:rsidRPr="2133F407">
              <w:rPr>
                <w:lang w:val="es-ES"/>
              </w:rPr>
              <w:t xml:space="preserve"> </w:t>
            </w:r>
            <w:proofErr w:type="spellStart"/>
            <w:r w:rsidRPr="2133F407">
              <w:rPr>
                <w:lang w:val="es-ES"/>
              </w:rPr>
              <w:t>draudimas</w:t>
            </w:r>
            <w:proofErr w:type="spellEnd"/>
            <w:r w:rsidRPr="2133F407">
              <w:rPr>
                <w:lang w:val="es-ES"/>
              </w:rPr>
              <w:t>»</w:t>
            </w:r>
          </w:p>
          <w:p w14:paraId="7FE1B893" w14:textId="77777777" w:rsidR="00414040" w:rsidRDefault="00904E1A">
            <w:pPr>
              <w:pStyle w:val="P68B1DB1-TableParagraph28"/>
              <w:spacing w:before="108"/>
              <w:ind w:left="85"/>
              <w:jc w:val="both"/>
            </w:pPr>
            <w:r>
              <w:t>Luxemburgo</w:t>
            </w:r>
          </w:p>
          <w:p w14:paraId="7FE1B894" w14:textId="59F3019A"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Fonds</w:t>
            </w:r>
            <w:proofErr w:type="spellEnd"/>
            <w:r w:rsidRPr="2133F407">
              <w:rPr>
                <w:lang w:val="es-ES"/>
              </w:rPr>
              <w:t xml:space="preserve"> de </w:t>
            </w:r>
            <w:proofErr w:type="spellStart"/>
            <w:r w:rsidRPr="2133F407">
              <w:rPr>
                <w:lang w:val="es-ES"/>
              </w:rPr>
              <w:t>garantie</w:t>
            </w:r>
            <w:proofErr w:type="spellEnd"/>
            <w:r w:rsidRPr="2133F407">
              <w:rPr>
                <w:lang w:val="es-ES"/>
              </w:rPr>
              <w:t xml:space="preserve"> des </w:t>
            </w:r>
            <w:proofErr w:type="spellStart"/>
            <w:r w:rsidRPr="2133F407">
              <w:rPr>
                <w:lang w:val="es-ES"/>
              </w:rPr>
              <w:t>Dépôts</w:t>
            </w:r>
            <w:proofErr w:type="spellEnd"/>
            <w:r w:rsidRPr="2133F407">
              <w:rPr>
                <w:lang w:val="es-ES"/>
              </w:rPr>
              <w:t xml:space="preserve"> </w:t>
            </w:r>
            <w:proofErr w:type="spellStart"/>
            <w:r w:rsidRPr="2133F407">
              <w:rPr>
                <w:lang w:val="es-ES"/>
              </w:rPr>
              <w:t>Luxembourg</w:t>
            </w:r>
            <w:proofErr w:type="spellEnd"/>
            <w:r w:rsidRPr="2133F407">
              <w:rPr>
                <w:lang w:val="es-ES"/>
              </w:rPr>
              <w:t>»</w:t>
            </w:r>
          </w:p>
          <w:p w14:paraId="7FE1B895" w14:textId="77777777" w:rsidR="00414040" w:rsidRDefault="00904E1A">
            <w:pPr>
              <w:pStyle w:val="P68B1DB1-TableParagraph28"/>
              <w:spacing w:before="108"/>
              <w:ind w:left="85"/>
              <w:jc w:val="both"/>
            </w:pPr>
            <w:r>
              <w:t>Malta</w:t>
            </w:r>
          </w:p>
          <w:p w14:paraId="7FE1B896"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Depositor</w:t>
            </w:r>
            <w:proofErr w:type="spellEnd"/>
            <w:r w:rsidRPr="2133F407">
              <w:rPr>
                <w:lang w:val="es-ES"/>
              </w:rPr>
              <w:t xml:space="preserve"> </w:t>
            </w:r>
            <w:proofErr w:type="spellStart"/>
            <w:r w:rsidRPr="2133F407">
              <w:rPr>
                <w:lang w:val="es-ES"/>
              </w:rPr>
              <w:t>Compensation</w:t>
            </w:r>
            <w:proofErr w:type="spellEnd"/>
            <w:r w:rsidRPr="2133F407">
              <w:rPr>
                <w:lang w:val="es-ES"/>
              </w:rPr>
              <w:t xml:space="preserve"> </w:t>
            </w:r>
            <w:proofErr w:type="spellStart"/>
            <w:r w:rsidRPr="2133F407">
              <w:rPr>
                <w:lang w:val="es-ES"/>
              </w:rPr>
              <w:t>Scheme</w:t>
            </w:r>
            <w:proofErr w:type="spellEnd"/>
            <w:r w:rsidRPr="2133F407">
              <w:rPr>
                <w:lang w:val="es-ES"/>
              </w:rPr>
              <w:t>»</w:t>
            </w:r>
          </w:p>
          <w:p w14:paraId="7FE1B897" w14:textId="77777777" w:rsidR="00414040" w:rsidRDefault="00904E1A">
            <w:pPr>
              <w:pStyle w:val="P68B1DB1-TableParagraph28"/>
              <w:spacing w:before="108"/>
              <w:ind w:left="85"/>
              <w:jc w:val="both"/>
            </w:pPr>
            <w:r>
              <w:t xml:space="preserve">Países Bajos </w:t>
            </w:r>
          </w:p>
          <w:p w14:paraId="7FE1B898" w14:textId="77777777" w:rsidR="00414040" w:rsidRDefault="00904E1A">
            <w:pPr>
              <w:pStyle w:val="P68B1DB1-TableParagraph17"/>
              <w:numPr>
                <w:ilvl w:val="0"/>
                <w:numId w:val="70"/>
              </w:numPr>
              <w:spacing w:before="108"/>
              <w:jc w:val="both"/>
            </w:pPr>
            <w:r w:rsidRPr="2133F407">
              <w:rPr>
                <w:lang w:val="es-ES"/>
              </w:rPr>
              <w:t xml:space="preserve">«De </w:t>
            </w:r>
            <w:proofErr w:type="spellStart"/>
            <w:r w:rsidRPr="2133F407">
              <w:rPr>
                <w:lang w:val="es-ES"/>
              </w:rPr>
              <w:t>Nederlandsche</w:t>
            </w:r>
            <w:proofErr w:type="spellEnd"/>
            <w:r w:rsidRPr="2133F407">
              <w:rPr>
                <w:lang w:val="es-ES"/>
              </w:rPr>
              <w:t xml:space="preserve"> Bank, </w:t>
            </w:r>
            <w:proofErr w:type="spellStart"/>
            <w:r w:rsidRPr="2133F407">
              <w:rPr>
                <w:lang w:val="es-ES"/>
              </w:rPr>
              <w:t>Depositogarantiestelsel</w:t>
            </w:r>
            <w:proofErr w:type="spellEnd"/>
            <w:r w:rsidRPr="2133F407">
              <w:rPr>
                <w:lang w:val="es-ES"/>
              </w:rPr>
              <w:t>»</w:t>
            </w:r>
          </w:p>
          <w:p w14:paraId="7FE1B899" w14:textId="77777777" w:rsidR="00414040" w:rsidRDefault="00904E1A">
            <w:pPr>
              <w:pStyle w:val="P68B1DB1-TableParagraph28"/>
              <w:spacing w:before="108"/>
              <w:ind w:left="85"/>
              <w:jc w:val="both"/>
            </w:pPr>
            <w:r>
              <w:t>Noruega,</w:t>
            </w:r>
          </w:p>
          <w:p w14:paraId="7FE1B89A"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Bankenes</w:t>
            </w:r>
            <w:proofErr w:type="spellEnd"/>
            <w:r w:rsidRPr="2133F407">
              <w:rPr>
                <w:lang w:val="es-ES"/>
              </w:rPr>
              <w:t xml:space="preserve"> </w:t>
            </w:r>
            <w:proofErr w:type="spellStart"/>
            <w:r w:rsidRPr="2133F407">
              <w:rPr>
                <w:lang w:val="es-ES"/>
              </w:rPr>
              <w:t>sikringsfond</w:t>
            </w:r>
            <w:proofErr w:type="spellEnd"/>
            <w:r w:rsidRPr="2133F407">
              <w:rPr>
                <w:lang w:val="es-ES"/>
              </w:rPr>
              <w:t>»</w:t>
            </w:r>
          </w:p>
          <w:p w14:paraId="7FE1B89B" w14:textId="77777777" w:rsidR="00414040" w:rsidRDefault="00904E1A">
            <w:pPr>
              <w:pStyle w:val="P68B1DB1-TableParagraph28"/>
              <w:spacing w:before="108"/>
              <w:ind w:left="85"/>
              <w:jc w:val="both"/>
            </w:pPr>
            <w:r>
              <w:t>Polonia</w:t>
            </w:r>
          </w:p>
          <w:p w14:paraId="7FE1B89C"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Bankowy</w:t>
            </w:r>
            <w:proofErr w:type="spellEnd"/>
            <w:r w:rsidRPr="2133F407">
              <w:rPr>
                <w:lang w:val="es-ES"/>
              </w:rPr>
              <w:t xml:space="preserve"> </w:t>
            </w:r>
            <w:proofErr w:type="spellStart"/>
            <w:r w:rsidRPr="2133F407">
              <w:rPr>
                <w:lang w:val="es-ES"/>
              </w:rPr>
              <w:t>Fundusz</w:t>
            </w:r>
            <w:proofErr w:type="spellEnd"/>
            <w:r w:rsidRPr="2133F407">
              <w:rPr>
                <w:lang w:val="es-ES"/>
              </w:rPr>
              <w:t xml:space="preserve"> </w:t>
            </w:r>
            <w:proofErr w:type="spellStart"/>
            <w:r w:rsidRPr="2133F407">
              <w:rPr>
                <w:lang w:val="es-ES"/>
              </w:rPr>
              <w:t>Gwarancyjny</w:t>
            </w:r>
            <w:proofErr w:type="spellEnd"/>
            <w:r w:rsidRPr="2133F407">
              <w:rPr>
                <w:lang w:val="es-ES"/>
              </w:rPr>
              <w:t>»</w:t>
            </w:r>
          </w:p>
          <w:p w14:paraId="7FE1B89D" w14:textId="77777777" w:rsidR="00414040" w:rsidRDefault="00904E1A">
            <w:pPr>
              <w:pStyle w:val="P68B1DB1-TableParagraph28"/>
              <w:spacing w:before="108"/>
              <w:ind w:left="85"/>
              <w:jc w:val="both"/>
            </w:pPr>
            <w:r>
              <w:t>Portugal</w:t>
            </w:r>
          </w:p>
          <w:p w14:paraId="7FE1B89E" w14:textId="77777777" w:rsidR="00414040" w:rsidRDefault="00904E1A">
            <w:pPr>
              <w:pStyle w:val="P68B1DB1-TableParagraph17"/>
              <w:numPr>
                <w:ilvl w:val="0"/>
                <w:numId w:val="70"/>
              </w:numPr>
              <w:spacing w:before="108"/>
              <w:jc w:val="both"/>
            </w:pPr>
            <w:r w:rsidRPr="2133F407">
              <w:rPr>
                <w:lang w:val="es-ES"/>
              </w:rPr>
              <w:lastRenderedPageBreak/>
              <w:t xml:space="preserve">«Fundo de </w:t>
            </w:r>
            <w:proofErr w:type="spellStart"/>
            <w:r w:rsidRPr="2133F407">
              <w:rPr>
                <w:lang w:val="es-ES"/>
              </w:rPr>
              <w:t>Garantia</w:t>
            </w:r>
            <w:proofErr w:type="spellEnd"/>
            <w:r w:rsidRPr="2133F407">
              <w:rPr>
                <w:lang w:val="es-ES"/>
              </w:rPr>
              <w:t xml:space="preserve"> de Depósitos»</w:t>
            </w:r>
          </w:p>
          <w:p w14:paraId="7FE1B89F" w14:textId="77777777" w:rsidR="00414040" w:rsidRDefault="00904E1A">
            <w:pPr>
              <w:pStyle w:val="P68B1DB1-TableParagraph17"/>
              <w:numPr>
                <w:ilvl w:val="0"/>
                <w:numId w:val="70"/>
              </w:numPr>
              <w:spacing w:before="108"/>
              <w:jc w:val="both"/>
            </w:pPr>
            <w:r w:rsidRPr="2133F407">
              <w:rPr>
                <w:lang w:val="es-ES"/>
              </w:rPr>
              <w:t xml:space="preserve">«Fundo de </w:t>
            </w:r>
            <w:proofErr w:type="spellStart"/>
            <w:r w:rsidRPr="2133F407">
              <w:rPr>
                <w:lang w:val="es-ES"/>
              </w:rPr>
              <w:t>Garantia</w:t>
            </w:r>
            <w:proofErr w:type="spellEnd"/>
            <w:r w:rsidRPr="2133F407">
              <w:rPr>
                <w:lang w:val="es-ES"/>
              </w:rPr>
              <w:t xml:space="preserve"> do Crédito Agrícola </w:t>
            </w:r>
            <w:proofErr w:type="spellStart"/>
            <w:r w:rsidRPr="2133F407">
              <w:rPr>
                <w:lang w:val="es-ES"/>
              </w:rPr>
              <w:t>Mútuo</w:t>
            </w:r>
            <w:proofErr w:type="spellEnd"/>
            <w:r w:rsidRPr="2133F407">
              <w:rPr>
                <w:lang w:val="es-ES"/>
              </w:rPr>
              <w:t>»</w:t>
            </w:r>
          </w:p>
          <w:p w14:paraId="7FE1B8A0" w14:textId="77777777" w:rsidR="00414040" w:rsidRDefault="00904E1A">
            <w:pPr>
              <w:pStyle w:val="P68B1DB1-TableParagraph28"/>
              <w:spacing w:before="108"/>
              <w:ind w:left="85"/>
              <w:jc w:val="both"/>
            </w:pPr>
            <w:r>
              <w:t>Rumanía</w:t>
            </w:r>
          </w:p>
          <w:p w14:paraId="7FE1B8A1"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Fondul</w:t>
            </w:r>
            <w:proofErr w:type="spellEnd"/>
            <w:r w:rsidRPr="2133F407">
              <w:rPr>
                <w:lang w:val="es-ES"/>
              </w:rPr>
              <w:t xml:space="preserve"> de </w:t>
            </w:r>
            <w:proofErr w:type="spellStart"/>
            <w:r w:rsidRPr="2133F407">
              <w:rPr>
                <w:lang w:val="es-ES"/>
              </w:rPr>
              <w:t>Garantare</w:t>
            </w:r>
            <w:proofErr w:type="spellEnd"/>
            <w:r w:rsidRPr="2133F407">
              <w:rPr>
                <w:lang w:val="es-ES"/>
              </w:rPr>
              <w:t xml:space="preserve"> a </w:t>
            </w:r>
            <w:proofErr w:type="spellStart"/>
            <w:r w:rsidRPr="2133F407">
              <w:rPr>
                <w:lang w:val="es-ES"/>
              </w:rPr>
              <w:t>Depozitelor</w:t>
            </w:r>
            <w:proofErr w:type="spellEnd"/>
            <w:r w:rsidRPr="2133F407">
              <w:rPr>
                <w:lang w:val="es-ES"/>
              </w:rPr>
              <w:t xml:space="preserve"> in </w:t>
            </w:r>
            <w:proofErr w:type="spellStart"/>
            <w:r w:rsidRPr="2133F407">
              <w:rPr>
                <w:lang w:val="es-ES"/>
              </w:rPr>
              <w:t>Sistemul</w:t>
            </w:r>
            <w:proofErr w:type="spellEnd"/>
            <w:r w:rsidRPr="2133F407">
              <w:rPr>
                <w:lang w:val="es-ES"/>
              </w:rPr>
              <w:t xml:space="preserve"> Bancar»</w:t>
            </w:r>
          </w:p>
          <w:p w14:paraId="7FE1B8A2" w14:textId="77777777" w:rsidR="00414040" w:rsidRDefault="00904E1A">
            <w:pPr>
              <w:pStyle w:val="P68B1DB1-TableParagraph28"/>
              <w:spacing w:before="108"/>
              <w:ind w:left="85"/>
              <w:jc w:val="both"/>
            </w:pPr>
            <w:r>
              <w:t>Eslovaquia</w:t>
            </w:r>
          </w:p>
          <w:p w14:paraId="7FE1B8A3"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Fond</w:t>
            </w:r>
            <w:proofErr w:type="spellEnd"/>
            <w:r w:rsidRPr="2133F407">
              <w:rPr>
                <w:lang w:val="es-ES"/>
              </w:rPr>
              <w:t xml:space="preserve"> </w:t>
            </w:r>
            <w:proofErr w:type="spellStart"/>
            <w:r w:rsidRPr="2133F407">
              <w:rPr>
                <w:lang w:val="es-ES"/>
              </w:rPr>
              <w:t>ochrany</w:t>
            </w:r>
            <w:proofErr w:type="spellEnd"/>
            <w:r w:rsidRPr="2133F407">
              <w:rPr>
                <w:lang w:val="es-ES"/>
              </w:rPr>
              <w:t xml:space="preserve"> </w:t>
            </w:r>
            <w:proofErr w:type="spellStart"/>
            <w:r w:rsidRPr="2133F407">
              <w:rPr>
                <w:lang w:val="es-ES"/>
              </w:rPr>
              <w:t>vkladov</w:t>
            </w:r>
            <w:proofErr w:type="spellEnd"/>
            <w:r w:rsidRPr="2133F407">
              <w:rPr>
                <w:lang w:val="es-ES"/>
              </w:rPr>
              <w:t>»</w:t>
            </w:r>
          </w:p>
          <w:p w14:paraId="7FE1B8A4" w14:textId="77777777" w:rsidR="00414040" w:rsidRDefault="00904E1A">
            <w:pPr>
              <w:pStyle w:val="P68B1DB1-TableParagraph28"/>
              <w:spacing w:before="108"/>
              <w:ind w:left="85"/>
              <w:jc w:val="both"/>
            </w:pPr>
            <w:r>
              <w:t xml:space="preserve">Eslovenia </w:t>
            </w:r>
          </w:p>
          <w:p w14:paraId="7FE1B8A5"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Banka</w:t>
            </w:r>
            <w:proofErr w:type="spellEnd"/>
            <w:r w:rsidRPr="2133F407">
              <w:rPr>
                <w:lang w:val="es-ES"/>
              </w:rPr>
              <w:t xml:space="preserve"> </w:t>
            </w:r>
            <w:proofErr w:type="spellStart"/>
            <w:r w:rsidRPr="2133F407">
              <w:rPr>
                <w:lang w:val="es-ES"/>
              </w:rPr>
              <w:t>Slovenije</w:t>
            </w:r>
            <w:proofErr w:type="spellEnd"/>
            <w:r w:rsidRPr="2133F407">
              <w:rPr>
                <w:lang w:val="es-ES"/>
              </w:rPr>
              <w:t>»</w:t>
            </w:r>
          </w:p>
          <w:p w14:paraId="7FE1B8A6" w14:textId="77777777" w:rsidR="00414040" w:rsidRDefault="00904E1A">
            <w:pPr>
              <w:pStyle w:val="P68B1DB1-TableParagraph28"/>
              <w:spacing w:before="108"/>
              <w:ind w:left="85"/>
              <w:jc w:val="both"/>
            </w:pPr>
            <w:r>
              <w:t>España</w:t>
            </w:r>
          </w:p>
          <w:p w14:paraId="7FE1B8A7" w14:textId="77777777" w:rsidR="00414040" w:rsidRDefault="00904E1A">
            <w:pPr>
              <w:pStyle w:val="P68B1DB1-TableParagraph17"/>
              <w:numPr>
                <w:ilvl w:val="0"/>
                <w:numId w:val="70"/>
              </w:numPr>
              <w:spacing w:before="108"/>
              <w:jc w:val="both"/>
            </w:pPr>
            <w:r>
              <w:t>«Fondo de Garantía de Depósitos de Entidades de Crédito»</w:t>
            </w:r>
          </w:p>
          <w:p w14:paraId="7FE1B8A8" w14:textId="77777777" w:rsidR="00414040" w:rsidRDefault="00904E1A">
            <w:pPr>
              <w:pStyle w:val="P68B1DB1-TableParagraph28"/>
              <w:spacing w:before="108"/>
              <w:ind w:left="85"/>
              <w:jc w:val="both"/>
            </w:pPr>
            <w:r>
              <w:t>Suecia</w:t>
            </w:r>
          </w:p>
          <w:p w14:paraId="7FE1B8A9" w14:textId="77777777" w:rsidR="00414040" w:rsidRDefault="00904E1A">
            <w:pPr>
              <w:pStyle w:val="P68B1DB1-TableParagraph17"/>
              <w:numPr>
                <w:ilvl w:val="0"/>
                <w:numId w:val="70"/>
              </w:numPr>
              <w:spacing w:before="108"/>
              <w:jc w:val="both"/>
            </w:pPr>
            <w:r w:rsidRPr="2133F407">
              <w:rPr>
                <w:lang w:val="es-ES"/>
              </w:rPr>
              <w:t>«</w:t>
            </w:r>
            <w:proofErr w:type="spellStart"/>
            <w:r w:rsidRPr="2133F407">
              <w:rPr>
                <w:lang w:val="es-ES"/>
              </w:rPr>
              <w:t>Riksgälden</w:t>
            </w:r>
            <w:proofErr w:type="spellEnd"/>
            <w:r w:rsidRPr="2133F407">
              <w:rPr>
                <w:lang w:val="es-ES"/>
              </w:rPr>
              <w:t>»</w:t>
            </w:r>
          </w:p>
          <w:p w14:paraId="7FE1B8AC" w14:textId="77777777" w:rsidR="00414040" w:rsidRDefault="00414040">
            <w:pPr>
              <w:pStyle w:val="TableParagraph"/>
              <w:spacing w:before="108"/>
              <w:ind w:left="85"/>
              <w:jc w:val="both"/>
              <w:rPr>
                <w:rFonts w:ascii="Times New Roman" w:eastAsia="Cambria" w:hAnsi="Times New Roman" w:cs="Times New Roman"/>
                <w:color w:val="000000" w:themeColor="text1"/>
                <w:sz w:val="20"/>
                <w:szCs w:val="20"/>
              </w:rPr>
            </w:pPr>
          </w:p>
          <w:p w14:paraId="7FE1B8AD" w14:textId="38BB1ECB" w:rsidR="00414040" w:rsidRDefault="00904E1A">
            <w:pPr>
              <w:pStyle w:val="P68B1DB1-TableParagraph17"/>
              <w:spacing w:before="108"/>
              <w:ind w:left="85"/>
              <w:jc w:val="both"/>
            </w:pPr>
            <w:r>
              <w:t xml:space="preserve">Si el SGD reconocido oficialmente del que el ente es miembro no figura en esta lista, se </w:t>
            </w:r>
            <w:r w:rsidR="101F4000">
              <w:t>i</w:t>
            </w:r>
            <w:r w:rsidR="40C54EF4">
              <w:t>ndicar</w:t>
            </w:r>
            <w:r w:rsidR="101F4000">
              <w:t>á</w:t>
            </w:r>
            <w:r>
              <w:t xml:space="preserve"> «otro».</w:t>
            </w:r>
          </w:p>
        </w:tc>
      </w:tr>
      <w:tr w:rsidR="00414040" w14:paraId="7FE1B8B3" w14:textId="77777777" w:rsidTr="11A44BD7">
        <w:tc>
          <w:tcPr>
            <w:tcW w:w="1191" w:type="dxa"/>
            <w:tcBorders>
              <w:top w:val="single" w:sz="4" w:space="0" w:color="1A171C"/>
              <w:left w:val="nil"/>
              <w:bottom w:val="single" w:sz="4" w:space="0" w:color="1A171C"/>
              <w:right w:val="single" w:sz="4" w:space="0" w:color="1A171C"/>
            </w:tcBorders>
          </w:tcPr>
          <w:p w14:paraId="7FE1B8AF" w14:textId="77777777" w:rsidR="00414040" w:rsidRDefault="00904E1A">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414040" w:rsidRDefault="00904E1A">
            <w:pPr>
              <w:pStyle w:val="P68B1DB1-TableParagraph14"/>
              <w:spacing w:before="108"/>
              <w:ind w:left="85"/>
              <w:jc w:val="both"/>
              <w:rPr>
                <w:bCs/>
              </w:rPr>
            </w:pPr>
            <w:r>
              <w:t>Importe de los depósitos con cobertura</w:t>
            </w:r>
          </w:p>
          <w:p w14:paraId="7FE1B8B1" w14:textId="77777777" w:rsidR="00414040" w:rsidRDefault="00904E1A">
            <w:pPr>
              <w:pStyle w:val="P68B1DB1-TableParagraph17"/>
              <w:spacing w:before="108"/>
              <w:ind w:left="85"/>
            </w:pPr>
            <w:r>
              <w:t>Artículo 2, apartados 1 y 5, y artículo 6, apartado 2, de la Directiva 2014/49/UE.</w:t>
            </w:r>
          </w:p>
          <w:p w14:paraId="7FE1B8B2" w14:textId="77777777" w:rsidR="00414040" w:rsidRDefault="00904E1A">
            <w:pPr>
              <w:pStyle w:val="P68B1DB1-TableParagraph17"/>
              <w:spacing w:before="108"/>
              <w:ind w:left="85"/>
              <w:jc w:val="both"/>
              <w:rPr>
                <w:lang w:val="es-ES"/>
              </w:rPr>
            </w:pPr>
            <w:r w:rsidRPr="2133F407">
              <w:rPr>
                <w:lang w:val="es-ES"/>
              </w:rPr>
              <w:t>Importe de los depósitos con cobertura, tal como se definen en el artículo 2, apartado 1, punto 5, de la Directiva 2014/49/UE, leído en relación con su artículo 6, garantizados por el SGD indicado en la fila 0030, con exclusión de los saldos temporalmente elevados, según se definen en el artículo 6, apartado 2, de dicha Directiva.</w:t>
            </w:r>
          </w:p>
        </w:tc>
      </w:tr>
      <w:tr w:rsidR="00414040" w14:paraId="7FE1B8B9" w14:textId="77777777" w:rsidTr="11A44BD7">
        <w:tc>
          <w:tcPr>
            <w:tcW w:w="1191" w:type="dxa"/>
            <w:tcBorders>
              <w:top w:val="single" w:sz="4" w:space="0" w:color="1A171C"/>
              <w:left w:val="nil"/>
              <w:bottom w:val="single" w:sz="4" w:space="0" w:color="1A171C"/>
              <w:right w:val="single" w:sz="4" w:space="0" w:color="1A171C"/>
            </w:tcBorders>
          </w:tcPr>
          <w:p w14:paraId="7FE1B8B4" w14:textId="77777777" w:rsidR="00414040" w:rsidRDefault="00904E1A">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414040" w:rsidRDefault="00904E1A">
            <w:pPr>
              <w:pStyle w:val="P68B1DB1-TableParagraph14"/>
              <w:spacing w:before="108"/>
              <w:ind w:left="85"/>
              <w:jc w:val="both"/>
              <w:rPr>
                <w:bCs/>
              </w:rPr>
            </w:pPr>
            <w:r>
              <w:t>Sistema institucional de protección</w:t>
            </w:r>
          </w:p>
          <w:p w14:paraId="7FE1B8B6" w14:textId="77777777" w:rsidR="00414040" w:rsidRDefault="00904E1A">
            <w:pPr>
              <w:pStyle w:val="P68B1DB1-TableParagraph17"/>
              <w:spacing w:before="108"/>
              <w:ind w:left="85"/>
            </w:pPr>
            <w:r>
              <w:t>Artículo 113, apartado 7, del Reglamento (UE) n.º 575/2013.</w:t>
            </w:r>
          </w:p>
          <w:p w14:paraId="7FE1B8B7" w14:textId="7D991B3F" w:rsidR="00414040" w:rsidRDefault="00904E1A">
            <w:pPr>
              <w:pStyle w:val="P68B1DB1-TableParagraph17"/>
              <w:spacing w:before="108"/>
              <w:ind w:left="85"/>
              <w:jc w:val="both"/>
              <w:rPr>
                <w:lang w:val="es-ES"/>
              </w:rPr>
            </w:pPr>
            <w:r w:rsidRPr="2133F407">
              <w:rPr>
                <w:lang w:val="es-ES"/>
              </w:rPr>
              <w:t xml:space="preserve">Nombre del sistema institucional de protección a que se refiere el artículo 113, apartado 7, del Reglamento (UE) n.º 575/2013, del que el ente sea miembro. No se comunicará información alguna cuando el ente no sea miembro de ningún </w:t>
            </w:r>
            <w:r w:rsidR="00375138">
              <w:rPr>
                <w:lang w:val="es-ES"/>
              </w:rPr>
              <w:t>SIP</w:t>
            </w:r>
            <w:r w:rsidRPr="2133F407">
              <w:rPr>
                <w:lang w:val="es-ES"/>
              </w:rPr>
              <w:t>. Cuando el ente sea miembro de un SIP que también esté oficialmente reconocido como SGD de conformidad con el artículo 4, apartado 2, de la Directiva 2014/49/UE, el nombre del SIP deberá ser idéntico al nombre del SGD indicado en la fila 030.</w:t>
            </w:r>
          </w:p>
          <w:p w14:paraId="7FE1B8B8" w14:textId="77777777" w:rsidR="00414040" w:rsidRDefault="00414040">
            <w:pPr>
              <w:pStyle w:val="TableParagraph"/>
              <w:spacing w:before="108"/>
              <w:ind w:left="85"/>
              <w:jc w:val="both"/>
              <w:rPr>
                <w:rFonts w:ascii="Times New Roman" w:eastAsia="Cambria" w:hAnsi="Times New Roman" w:cs="Times New Roman"/>
                <w:color w:val="000000" w:themeColor="text1"/>
                <w:sz w:val="20"/>
                <w:szCs w:val="20"/>
              </w:rPr>
            </w:pPr>
          </w:p>
        </w:tc>
      </w:tr>
      <w:tr w:rsidR="00414040" w14:paraId="7FE1B8BE" w14:textId="77777777" w:rsidTr="11A44BD7">
        <w:tc>
          <w:tcPr>
            <w:tcW w:w="1191" w:type="dxa"/>
            <w:tcBorders>
              <w:top w:val="single" w:sz="4" w:space="0" w:color="1A171C"/>
              <w:left w:val="nil"/>
              <w:bottom w:val="single" w:sz="4" w:space="0" w:color="1A171C"/>
              <w:right w:val="single" w:sz="4" w:space="0" w:color="1A171C"/>
            </w:tcBorders>
          </w:tcPr>
          <w:p w14:paraId="7FE1B8BA" w14:textId="77777777" w:rsidR="00414040" w:rsidRDefault="00904E1A">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414040" w:rsidRDefault="00904E1A">
            <w:pPr>
              <w:pStyle w:val="P68B1DB1-TableParagraph14"/>
              <w:spacing w:before="108"/>
              <w:ind w:left="85"/>
              <w:jc w:val="both"/>
              <w:rPr>
                <w:bCs/>
              </w:rPr>
            </w:pPr>
            <w:r>
              <w:t>Protección adicional en virtud de un sistema contractual</w:t>
            </w:r>
          </w:p>
          <w:p w14:paraId="7FE1B8BC" w14:textId="77777777" w:rsidR="00414040" w:rsidRDefault="00904E1A">
            <w:pPr>
              <w:pStyle w:val="P68B1DB1-TableParagraph17"/>
              <w:spacing w:before="108"/>
              <w:ind w:left="85"/>
            </w:pPr>
            <w:r>
              <w:t>Artículo 1, apartado 3, letra a), de la Directiva 2014/49/UE.</w:t>
            </w:r>
          </w:p>
          <w:p w14:paraId="7FE1B8BD" w14:textId="77777777" w:rsidR="00414040" w:rsidRDefault="00904E1A">
            <w:pPr>
              <w:pStyle w:val="P68B1DB1-TableParagraph17"/>
              <w:spacing w:before="108"/>
              <w:ind w:left="85"/>
              <w:jc w:val="both"/>
            </w:pPr>
            <w:r>
              <w:t>Importe de los depósitos del ente cubiertos por un sistema contractual.</w:t>
            </w:r>
          </w:p>
        </w:tc>
      </w:tr>
    </w:tbl>
    <w:p w14:paraId="7FE1B8BF" w14:textId="77777777" w:rsidR="00414040" w:rsidRDefault="00414040">
      <w:pPr>
        <w:rPr>
          <w:rFonts w:ascii="Times New Roman" w:hAnsi="Times New Roman" w:cs="Times New Roman"/>
          <w:b/>
          <w:color w:val="000000" w:themeColor="text1"/>
          <w:sz w:val="20"/>
          <w:szCs w:val="20"/>
          <w:u w:val="single"/>
        </w:rPr>
      </w:pPr>
    </w:p>
    <w:p w14:paraId="7FE1B8C0" w14:textId="6DB0BC92" w:rsidR="00414040" w:rsidRDefault="00904E1A">
      <w:pPr>
        <w:pStyle w:val="P68B1DB1-Instructionsberschrift25"/>
        <w:numPr>
          <w:ilvl w:val="1"/>
          <w:numId w:val="49"/>
        </w:numPr>
        <w:ind w:left="357" w:hanging="357"/>
      </w:pPr>
      <w:bookmarkStart w:id="100" w:name="_Toc492542327"/>
      <w:bookmarkStart w:id="101" w:name="_Toc81454186"/>
      <w:bookmarkStart w:id="102" w:name="_Toc211525922"/>
      <w:r w:rsidRPr="764E87DA">
        <w:rPr>
          <w:lang w:val="es-ES"/>
        </w:rPr>
        <w:t xml:space="preserve">Funciones </w:t>
      </w:r>
      <w:r w:rsidRPr="001D4BBA">
        <w:t>esenciales</w:t>
      </w:r>
      <w:r w:rsidRPr="764E87DA">
        <w:rPr>
          <w:lang w:val="es-ES"/>
        </w:rPr>
        <w:t xml:space="preserve"> y ramas de actividad principales</w:t>
      </w:r>
      <w:bookmarkEnd w:id="100"/>
      <w:bookmarkEnd w:id="101"/>
      <w:bookmarkEnd w:id="102"/>
    </w:p>
    <w:p w14:paraId="7FE1B8C2" w14:textId="77777777" w:rsidR="00414040" w:rsidRDefault="00904E1A">
      <w:pPr>
        <w:pStyle w:val="Instructionsberschrift3"/>
      </w:pPr>
      <w:bookmarkStart w:id="103" w:name="_Toc189492773"/>
      <w:bookmarkStart w:id="104" w:name="_Toc192249050"/>
      <w:bookmarkEnd w:id="103"/>
      <w:bookmarkEnd w:id="104"/>
      <w:r>
        <w:t>Observaciones generales</w:t>
      </w:r>
    </w:p>
    <w:p w14:paraId="7FE1B8C3" w14:textId="1D50E729" w:rsidR="00414040" w:rsidRDefault="00904E1A">
      <w:pPr>
        <w:pStyle w:val="P68B1DB1-InstructionsText26"/>
        <w:numPr>
          <w:ilvl w:val="0"/>
          <w:numId w:val="232"/>
        </w:numPr>
        <w:spacing w:before="0"/>
      </w:pPr>
      <w:r w:rsidRPr="28CA679E">
        <w:rPr>
          <w:lang w:val="es-ES"/>
        </w:rPr>
        <w:t xml:space="preserve">Las cuatro plantillas de la presente sección ofrecen datos clave y evaluaciones cualitativas del impacto, la sustituibilidad y el carácter esencial de las funciones económicas desempeñadas por el grupo, así como una relación de la correspondencia entre </w:t>
      </w:r>
      <w:r w:rsidR="00CE2A1C" w:rsidRPr="28CA679E">
        <w:rPr>
          <w:lang w:val="es-ES"/>
        </w:rPr>
        <w:t>d</w:t>
      </w:r>
      <w:r w:rsidR="00B11979" w:rsidRPr="28CA679E">
        <w:rPr>
          <w:lang w:val="es-ES"/>
        </w:rPr>
        <w:t>i</w:t>
      </w:r>
      <w:r w:rsidR="00CE2A1C" w:rsidRPr="28CA679E">
        <w:rPr>
          <w:lang w:val="es-ES"/>
        </w:rPr>
        <w:t xml:space="preserve">chas </w:t>
      </w:r>
      <w:r w:rsidRPr="28CA679E">
        <w:rPr>
          <w:lang w:val="es-ES"/>
        </w:rPr>
        <w:t xml:space="preserve">funciones </w:t>
      </w:r>
      <w:r w:rsidRPr="00375138">
        <w:rPr>
          <w:lang w:val="es-ES"/>
        </w:rPr>
        <w:t xml:space="preserve">esenciales </w:t>
      </w:r>
      <w:r w:rsidRPr="28CA679E">
        <w:rPr>
          <w:lang w:val="es-ES"/>
        </w:rPr>
        <w:t xml:space="preserve">y </w:t>
      </w:r>
      <w:r w:rsidR="00564B0B" w:rsidRPr="28CA679E">
        <w:rPr>
          <w:lang w:val="es-ES"/>
        </w:rPr>
        <w:t xml:space="preserve">las </w:t>
      </w:r>
      <w:r w:rsidR="008F7F5D">
        <w:rPr>
          <w:lang w:val="es-ES"/>
        </w:rPr>
        <w:t>ramas de actividad</w:t>
      </w:r>
      <w:r w:rsidR="00BF33D0" w:rsidRPr="28CA679E">
        <w:rPr>
          <w:lang w:val="es-ES"/>
        </w:rPr>
        <w:t xml:space="preserve"> principales y </w:t>
      </w:r>
      <w:r w:rsidRPr="28CA679E">
        <w:rPr>
          <w:lang w:val="es-ES"/>
        </w:rPr>
        <w:t>los entes jurídicos</w:t>
      </w:r>
      <w:r w:rsidR="004E5024" w:rsidRPr="28CA679E">
        <w:rPr>
          <w:lang w:val="es-ES"/>
        </w:rPr>
        <w:t>,</w:t>
      </w:r>
      <w:r w:rsidRPr="28CA679E">
        <w:rPr>
          <w:lang w:val="es-ES"/>
        </w:rPr>
        <w:t xml:space="preserve"> y </w:t>
      </w:r>
      <w:r w:rsidR="009C29FD" w:rsidRPr="28CA679E">
        <w:rPr>
          <w:lang w:val="es-ES"/>
        </w:rPr>
        <w:t>la correspondencia</w:t>
      </w:r>
      <w:r w:rsidR="00104D5B" w:rsidRPr="28CA679E">
        <w:rPr>
          <w:lang w:val="es-ES"/>
        </w:rPr>
        <w:t xml:space="preserve"> de las </w:t>
      </w:r>
      <w:r w:rsidR="008F7F5D">
        <w:rPr>
          <w:lang w:val="es-ES"/>
        </w:rPr>
        <w:t>ramas de actividad</w:t>
      </w:r>
      <w:r w:rsidR="008F7F5D" w:rsidRPr="28CA679E">
        <w:rPr>
          <w:lang w:val="es-ES"/>
        </w:rPr>
        <w:t xml:space="preserve"> </w:t>
      </w:r>
      <w:r w:rsidR="00104D5B" w:rsidRPr="28CA679E">
        <w:rPr>
          <w:lang w:val="es-ES"/>
        </w:rPr>
        <w:t xml:space="preserve">principales y </w:t>
      </w:r>
      <w:r w:rsidR="0047509C" w:rsidRPr="28CA679E">
        <w:rPr>
          <w:lang w:val="es-ES"/>
        </w:rPr>
        <w:t>los entes jurídicos</w:t>
      </w:r>
      <w:r w:rsidRPr="28CA679E">
        <w:rPr>
          <w:lang w:val="es-ES"/>
        </w:rPr>
        <w:t>.</w:t>
      </w:r>
    </w:p>
    <w:p w14:paraId="7FE1B8C4" w14:textId="77777777" w:rsidR="00414040" w:rsidRDefault="00904E1A">
      <w:pPr>
        <w:pStyle w:val="P68B1DB1-InstructionsText26"/>
        <w:numPr>
          <w:ilvl w:val="0"/>
          <w:numId w:val="232"/>
        </w:numPr>
        <w:spacing w:before="0"/>
      </w:pPr>
      <w:r>
        <w:t>Más concretamente, las plantillas abarcan los ámbitos siguientes:</w:t>
      </w:r>
    </w:p>
    <w:p w14:paraId="7FE1B8C5" w14:textId="50880B50" w:rsidR="00414040" w:rsidRDefault="00EE1FBA">
      <w:pPr>
        <w:pStyle w:val="P68B1DB1-InstructionsText26"/>
        <w:numPr>
          <w:ilvl w:val="0"/>
          <w:numId w:val="153"/>
        </w:numPr>
        <w:spacing w:before="0"/>
      </w:pPr>
      <w:r>
        <w:rPr>
          <w:lang w:val="es-ES"/>
        </w:rPr>
        <w:lastRenderedPageBreak/>
        <w:t>P</w:t>
      </w:r>
      <w:r w:rsidR="00904E1A" w:rsidRPr="2133F407">
        <w:rPr>
          <w:lang w:val="es-ES"/>
        </w:rPr>
        <w:t>lantilla Z 07.01</w:t>
      </w:r>
      <w:r w:rsidR="00375138">
        <w:rPr>
          <w:lang w:val="es-ES"/>
        </w:rPr>
        <w:t>.</w:t>
      </w:r>
      <w:r w:rsidR="00904E1A" w:rsidRPr="2133F407">
        <w:rPr>
          <w:lang w:val="es-ES"/>
        </w:rPr>
        <w:t xml:space="preserve"> Evaluación de la importancia crítica de las funciones económicas (FUNC 1)</w:t>
      </w:r>
      <w:r>
        <w:rPr>
          <w:lang w:val="es-ES"/>
        </w:rPr>
        <w:t>:</w:t>
      </w:r>
      <w:r w:rsidR="00904E1A" w:rsidRPr="2133F407">
        <w:rPr>
          <w:lang w:val="es-ES"/>
        </w:rPr>
        <w:t xml:space="preserve"> proporciona los resultados de la evaluación del carácter esencial de las funciones económicas desempeñadas por el grupo, sobre la base de indicadores cuantitativos y cualitativos, </w:t>
      </w:r>
      <w:r w:rsidR="000A1825">
        <w:rPr>
          <w:lang w:val="es-ES"/>
        </w:rPr>
        <w:t>en</w:t>
      </w:r>
      <w:r w:rsidR="00D07FF8">
        <w:rPr>
          <w:lang w:val="es-ES"/>
        </w:rPr>
        <w:t xml:space="preserve"> </w:t>
      </w:r>
      <w:r w:rsidR="00904E1A" w:rsidRPr="2133F407">
        <w:rPr>
          <w:lang w:val="es-ES"/>
        </w:rPr>
        <w:t xml:space="preserve">funciones no esenciales y esenciales desempeñadas. Se </w:t>
      </w:r>
      <w:r w:rsidR="00A338E7">
        <w:rPr>
          <w:lang w:val="es-ES"/>
        </w:rPr>
        <w:t>reportará</w:t>
      </w:r>
      <w:r w:rsidR="00D07FF8">
        <w:rPr>
          <w:lang w:val="es-ES"/>
        </w:rPr>
        <w:t xml:space="preserve"> </w:t>
      </w:r>
      <w:r w:rsidR="00904E1A" w:rsidRPr="2133F407">
        <w:rPr>
          <w:lang w:val="es-ES"/>
        </w:rPr>
        <w:t xml:space="preserve">una plantilla separada para cada Estado miembro en el que opere el grupo. Se han identificado las siguientes categorías de funciones económicas a efectos de la presentación de </w:t>
      </w:r>
      <w:r w:rsidR="00C6290D">
        <w:rPr>
          <w:lang w:val="es-ES"/>
        </w:rPr>
        <w:t>información</w:t>
      </w:r>
      <w:r w:rsidR="00904E1A" w:rsidRPr="2133F407">
        <w:rPr>
          <w:lang w:val="es-ES"/>
        </w:rPr>
        <w:t>:</w:t>
      </w:r>
    </w:p>
    <w:p w14:paraId="7FE1B8C6" w14:textId="0E26CBDD" w:rsidR="00414040" w:rsidRDefault="00904E1A">
      <w:pPr>
        <w:pStyle w:val="P68B1DB1-InstructionsText26"/>
        <w:numPr>
          <w:ilvl w:val="1"/>
          <w:numId w:val="153"/>
        </w:numPr>
        <w:spacing w:before="0"/>
      </w:pPr>
      <w:r w:rsidRPr="2133F407">
        <w:rPr>
          <w:lang w:val="es-ES"/>
        </w:rPr>
        <w:t>Z 07.01.1.</w:t>
      </w:r>
      <w:r w:rsidR="0000363C">
        <w:rPr>
          <w:lang w:val="es-ES"/>
        </w:rPr>
        <w:t xml:space="preserve"> Depósitos</w:t>
      </w:r>
    </w:p>
    <w:p w14:paraId="7FE1B8C7" w14:textId="0167A1EC" w:rsidR="00414040" w:rsidRDefault="00904E1A">
      <w:pPr>
        <w:pStyle w:val="P68B1DB1-InstructionsText26"/>
        <w:numPr>
          <w:ilvl w:val="1"/>
          <w:numId w:val="153"/>
        </w:numPr>
        <w:spacing w:before="0"/>
      </w:pPr>
      <w:r w:rsidRPr="2133F407">
        <w:rPr>
          <w:lang w:val="es-ES"/>
        </w:rPr>
        <w:t xml:space="preserve">Z </w:t>
      </w:r>
      <w:proofErr w:type="gramStart"/>
      <w:r w:rsidRPr="2133F407">
        <w:rPr>
          <w:lang w:val="es-ES"/>
        </w:rPr>
        <w:t xml:space="preserve">07.01.2 </w:t>
      </w:r>
      <w:r w:rsidR="00F312C5">
        <w:rPr>
          <w:lang w:val="es-ES"/>
        </w:rPr>
        <w:t xml:space="preserve"> </w:t>
      </w:r>
      <w:r w:rsidR="00714B2F">
        <w:rPr>
          <w:lang w:val="es-ES"/>
        </w:rPr>
        <w:t>Concesión</w:t>
      </w:r>
      <w:proofErr w:type="gramEnd"/>
      <w:r w:rsidR="00714B2F">
        <w:rPr>
          <w:lang w:val="es-ES"/>
        </w:rPr>
        <w:t xml:space="preserve"> de financiación</w:t>
      </w:r>
    </w:p>
    <w:p w14:paraId="7FE1B8C8" w14:textId="229B467C" w:rsidR="00414040" w:rsidRDefault="00904E1A">
      <w:pPr>
        <w:pStyle w:val="P68B1DB1-InstructionsText26"/>
        <w:numPr>
          <w:ilvl w:val="1"/>
          <w:numId w:val="153"/>
        </w:numPr>
        <w:spacing w:before="0"/>
      </w:pPr>
      <w:r>
        <w:t xml:space="preserve">Z 07.01.3 </w:t>
      </w:r>
      <w:r w:rsidR="001A16CD" w:rsidRPr="001A16CD">
        <w:t>Servicios de pago, caja</w:t>
      </w:r>
      <w:proofErr w:type="gramStart"/>
      <w:r w:rsidR="001A16CD" w:rsidRPr="001A16CD">
        <w:t>,</w:t>
      </w:r>
      <w:r w:rsidR="00A82BD3">
        <w:t xml:space="preserve"> </w:t>
      </w:r>
      <w:r>
        <w:t>,</w:t>
      </w:r>
      <w:proofErr w:type="gramEnd"/>
      <w:r>
        <w:t xml:space="preserve"> liquidación, </w:t>
      </w:r>
      <w:proofErr w:type="gramStart"/>
      <w:r>
        <w:t xml:space="preserve">compensación </w:t>
      </w:r>
      <w:r w:rsidR="00112E9F" w:rsidRPr="00112E9F">
        <w:rPr>
          <w:rFonts w:asciiTheme="minorHAnsi" w:eastAsiaTheme="minorEastAsia" w:hAnsiTheme="minorHAnsi" w:cstheme="minorBidi"/>
          <w:sz w:val="22"/>
          <w:szCs w:val="24"/>
        </w:rPr>
        <w:t xml:space="preserve"> </w:t>
      </w:r>
      <w:r w:rsidR="00112E9F" w:rsidRPr="00112E9F">
        <w:t>y</w:t>
      </w:r>
      <w:proofErr w:type="gramEnd"/>
      <w:r w:rsidR="00112E9F" w:rsidRPr="00112E9F">
        <w:t xml:space="preserve"> custodia</w:t>
      </w:r>
    </w:p>
    <w:p w14:paraId="7FE1B8C9" w14:textId="12E4110D" w:rsidR="00414040" w:rsidRDefault="00904E1A">
      <w:pPr>
        <w:pStyle w:val="P68B1DB1-InstructionsText26"/>
        <w:numPr>
          <w:ilvl w:val="1"/>
          <w:numId w:val="153"/>
        </w:numPr>
        <w:spacing w:before="0"/>
      </w:pPr>
      <w:r>
        <w:t>Z 07.01.4 Mercados de capitales</w:t>
      </w:r>
    </w:p>
    <w:p w14:paraId="7FE1B8CA" w14:textId="02162CC7" w:rsidR="00414040" w:rsidRDefault="00904E1A">
      <w:pPr>
        <w:pStyle w:val="P68B1DB1-InstructionsText26"/>
        <w:numPr>
          <w:ilvl w:val="1"/>
          <w:numId w:val="153"/>
        </w:numPr>
        <w:spacing w:before="0"/>
      </w:pPr>
      <w:r>
        <w:t>Z 07.01.5 Financiación mayorista</w:t>
      </w:r>
    </w:p>
    <w:p w14:paraId="7FE1B8CB" w14:textId="2B5287F0" w:rsidR="00414040" w:rsidRDefault="00904E1A">
      <w:pPr>
        <w:pStyle w:val="P68B1DB1-InstructionsText26"/>
        <w:numPr>
          <w:ilvl w:val="0"/>
          <w:numId w:val="153"/>
        </w:numPr>
        <w:spacing w:before="0"/>
      </w:pPr>
      <w:r>
        <w:t>Plantilla Z 07.02</w:t>
      </w:r>
      <w:r w:rsidR="00EE1FBA">
        <w:t>.</w:t>
      </w:r>
      <w:r>
        <w:t xml:space="preserve"> </w:t>
      </w:r>
      <w:r w:rsidR="00B64AFD" w:rsidRPr="00B64AFD">
        <w:t>Correspondencia</w:t>
      </w:r>
      <w:r w:rsidR="00B11979">
        <w:t xml:space="preserve"> </w:t>
      </w:r>
      <w:r w:rsidR="4215C57A">
        <w:t>de</w:t>
      </w:r>
      <w:r w:rsidR="003C6C34">
        <w:t xml:space="preserve"> </w:t>
      </w:r>
      <w:r>
        <w:t xml:space="preserve">las funciones económicas </w:t>
      </w:r>
      <w:r w:rsidR="248D4D30">
        <w:t>con</w:t>
      </w:r>
      <w:r>
        <w:t xml:space="preserve"> l</w:t>
      </w:r>
      <w:r w:rsidR="00525626">
        <w:t>o</w:t>
      </w:r>
      <w:r>
        <w:t xml:space="preserve">s </w:t>
      </w:r>
      <w:r w:rsidR="00525626">
        <w:t>entes</w:t>
      </w:r>
      <w:r w:rsidR="003C6C34">
        <w:t xml:space="preserve"> </w:t>
      </w:r>
      <w:r>
        <w:t>jurídic</w:t>
      </w:r>
      <w:r w:rsidR="00525626">
        <w:t>o</w:t>
      </w:r>
      <w:r>
        <w:t>s (FUNC 2)</w:t>
      </w:r>
      <w:r w:rsidR="00EE1FBA">
        <w:t>:</w:t>
      </w:r>
      <w:r w:rsidR="0049280A">
        <w:t xml:space="preserve"> establece la correspondencia entre</w:t>
      </w:r>
      <w:r>
        <w:t xml:space="preserve"> las funciones económicas, evaluadas en Z 07.01, con </w:t>
      </w:r>
      <w:r w:rsidR="009345C2">
        <w:t xml:space="preserve">los </w:t>
      </w:r>
      <w:r w:rsidR="009D3F10">
        <w:t>entes jurídicos</w:t>
      </w:r>
      <w:r>
        <w:t xml:space="preserve"> o sucursales internacionales, identificadas en Z 01.01.</w:t>
      </w:r>
    </w:p>
    <w:p w14:paraId="7FE1B8CC" w14:textId="1835DB81" w:rsidR="00414040" w:rsidRDefault="00904E1A">
      <w:pPr>
        <w:pStyle w:val="P68B1DB1-InstructionsText26"/>
        <w:numPr>
          <w:ilvl w:val="0"/>
          <w:numId w:val="153"/>
        </w:numPr>
        <w:spacing w:before="0"/>
      </w:pPr>
      <w:r w:rsidRPr="2133F407">
        <w:rPr>
          <w:lang w:val="es-ES"/>
        </w:rPr>
        <w:t xml:space="preserve">Plantilla Z 07.03. Correspondencia de las ramas de actividad principales </w:t>
      </w:r>
      <w:proofErr w:type="gramStart"/>
      <w:r w:rsidRPr="7545653C">
        <w:rPr>
          <w:lang w:val="es-ES"/>
        </w:rPr>
        <w:t>por</w:t>
      </w:r>
      <w:r w:rsidR="00A92627">
        <w:rPr>
          <w:lang w:val="es-ES"/>
        </w:rPr>
        <w:t xml:space="preserve"> </w:t>
      </w:r>
      <w:r w:rsidRPr="2133F407">
        <w:rPr>
          <w:lang w:val="es-ES"/>
        </w:rPr>
        <w:t xml:space="preserve"> entes</w:t>
      </w:r>
      <w:proofErr w:type="gramEnd"/>
      <w:r w:rsidRPr="2133F407">
        <w:rPr>
          <w:lang w:val="es-ES"/>
        </w:rPr>
        <w:t xml:space="preserve"> jurídicos (FUNC 3):</w:t>
      </w:r>
      <w:r w:rsidR="00EE1FBA">
        <w:rPr>
          <w:lang w:val="es-ES"/>
        </w:rPr>
        <w:t xml:space="preserve"> </w:t>
      </w:r>
      <w:r w:rsidRPr="2133F407">
        <w:rPr>
          <w:lang w:val="es-ES"/>
        </w:rPr>
        <w:t>ofrece una lista completa de las ramas de actividad principales y establece las pertinentes correspondencias entre cada una de ellas y los entes jurídicos.</w:t>
      </w:r>
    </w:p>
    <w:p w14:paraId="7FE1B8CD" w14:textId="79CECE50" w:rsidR="00414040" w:rsidRDefault="00904E1A">
      <w:pPr>
        <w:pStyle w:val="P68B1DB1-InstructionsText26"/>
        <w:numPr>
          <w:ilvl w:val="0"/>
          <w:numId w:val="153"/>
        </w:numPr>
        <w:spacing w:before="0"/>
      </w:pPr>
      <w:r w:rsidRPr="2133F407">
        <w:rPr>
          <w:lang w:val="es-ES"/>
        </w:rPr>
        <w:t xml:space="preserve">Plantilla Z 07.04. Correspondencias </w:t>
      </w:r>
      <w:r w:rsidR="00D2685E">
        <w:rPr>
          <w:lang w:val="es-ES"/>
        </w:rPr>
        <w:t>de</w:t>
      </w:r>
      <w:r w:rsidR="00D2685E" w:rsidRPr="2133F407">
        <w:rPr>
          <w:lang w:val="es-ES"/>
        </w:rPr>
        <w:t xml:space="preserve"> </w:t>
      </w:r>
      <w:r w:rsidRPr="2133F407">
        <w:rPr>
          <w:lang w:val="es-ES"/>
        </w:rPr>
        <w:t xml:space="preserve">las funciones económicas </w:t>
      </w:r>
      <w:r w:rsidR="00D2685E">
        <w:rPr>
          <w:lang w:val="es-ES"/>
        </w:rPr>
        <w:t>con</w:t>
      </w:r>
      <w:r w:rsidR="00D2685E" w:rsidRPr="2133F407">
        <w:rPr>
          <w:lang w:val="es-ES"/>
        </w:rPr>
        <w:t xml:space="preserve"> </w:t>
      </w:r>
      <w:r w:rsidRPr="2133F407">
        <w:rPr>
          <w:lang w:val="es-ES"/>
        </w:rPr>
        <w:t>las ramas de actividad principales (FUNC 4):</w:t>
      </w:r>
      <w:r w:rsidR="00AA0B80">
        <w:rPr>
          <w:lang w:val="es-ES"/>
        </w:rPr>
        <w:t xml:space="preserve"> </w:t>
      </w:r>
      <w:r w:rsidRPr="2133F407">
        <w:rPr>
          <w:lang w:val="es-ES"/>
        </w:rPr>
        <w:t xml:space="preserve">establece las correspondencias entre las funciones económicas </w:t>
      </w:r>
      <w:r w:rsidR="007256EE">
        <w:rPr>
          <w:lang w:val="es-ES"/>
        </w:rPr>
        <w:t>identificadas</w:t>
      </w:r>
      <w:r w:rsidR="00773D21">
        <w:rPr>
          <w:lang w:val="es-ES"/>
        </w:rPr>
        <w:t xml:space="preserve"> </w:t>
      </w:r>
      <w:r w:rsidRPr="2133F407">
        <w:rPr>
          <w:lang w:val="es-ES"/>
        </w:rPr>
        <w:t>y las ramas de actividad</w:t>
      </w:r>
      <w:r w:rsidR="00A10610">
        <w:rPr>
          <w:lang w:val="es-ES"/>
        </w:rPr>
        <w:t xml:space="preserve"> principales</w:t>
      </w:r>
      <w:r w:rsidRPr="2133F407">
        <w:rPr>
          <w:lang w:val="es-ES"/>
        </w:rPr>
        <w:t xml:space="preserve">. </w:t>
      </w:r>
    </w:p>
    <w:p w14:paraId="7FE1B8CE" w14:textId="1F0DB8EB" w:rsidR="00414040" w:rsidRDefault="00904E1A">
      <w:pPr>
        <w:pStyle w:val="P68B1DB1-InstructionsText26"/>
        <w:numPr>
          <w:ilvl w:val="0"/>
          <w:numId w:val="232"/>
        </w:numPr>
        <w:spacing w:before="0"/>
      </w:pPr>
      <w:r w:rsidRPr="4941412B">
        <w:rPr>
          <w:lang w:val="es-ES"/>
        </w:rPr>
        <w:t xml:space="preserve">Con arreglo al artículo 2, apartado 1, punto 35, de la Directiva 2014/59/UE, por «funciones esenciales» se entiende las actividades, servicios u operaciones cuyo cese podría, en uno o más Estados miembros, dar lugar a una perturbación de servicios esenciales para la economía real o de la estabilidad financiera, debido al tamaño, cuota de mercado, </w:t>
      </w:r>
      <w:r w:rsidR="00683F8C" w:rsidRPr="4941412B">
        <w:rPr>
          <w:lang w:val="es-ES"/>
        </w:rPr>
        <w:t>inter</w:t>
      </w:r>
      <w:r w:rsidRPr="4941412B">
        <w:rPr>
          <w:lang w:val="es-ES"/>
        </w:rPr>
        <w:t xml:space="preserve">conexiones internas o externas, complejidad o actividad transfronteriza de la entidad o grupo, atendiendo especialmente a la sustituibilidad de dichas actividades, servicios u operaciones. </w:t>
      </w:r>
    </w:p>
    <w:p w14:paraId="7FE1B8D0" w14:textId="23488A60" w:rsidR="00414040" w:rsidRDefault="00904E1A">
      <w:pPr>
        <w:pStyle w:val="P68B1DB1-InstructionsText26"/>
        <w:numPr>
          <w:ilvl w:val="0"/>
          <w:numId w:val="232"/>
        </w:numPr>
        <w:spacing w:before="0"/>
      </w:pPr>
      <w:r w:rsidRPr="2133F407">
        <w:rPr>
          <w:lang w:val="es-ES"/>
        </w:rPr>
        <w:t>De conformidad con el artículo 6, apartado 1, del Reglamento (UE) 2016/778 de la Comisión</w:t>
      </w:r>
      <w:r w:rsidR="00EE1FBA" w:rsidRPr="00EE1FBA">
        <w:rPr>
          <w:vertAlign w:val="superscript"/>
          <w:lang w:val="es-ES"/>
        </w:rPr>
        <w:footnoteReference w:id="18"/>
      </w:r>
      <w:r w:rsidRPr="2133F407">
        <w:rPr>
          <w:lang w:val="es-ES"/>
        </w:rPr>
        <w:t>,</w:t>
      </w:r>
      <w:r w:rsidR="00EE1FBA" w:rsidRPr="2133F407" w:rsidDel="00EE1FBA">
        <w:rPr>
          <w:lang w:val="es-ES"/>
        </w:rPr>
        <w:t xml:space="preserve"> </w:t>
      </w:r>
      <w:r w:rsidRPr="2133F407">
        <w:rPr>
          <w:lang w:val="es-ES"/>
        </w:rPr>
        <w:t>una función se considerará esencial cuando reúna las dos características siguientes:</w:t>
      </w:r>
    </w:p>
    <w:p w14:paraId="7FE1B8D1" w14:textId="0DCDDDD5" w:rsidR="00414040" w:rsidRDefault="00904E1A">
      <w:pPr>
        <w:pStyle w:val="P68B1DB1-Normal3"/>
        <w:numPr>
          <w:ilvl w:val="0"/>
          <w:numId w:val="56"/>
        </w:numPr>
        <w:spacing w:line="276" w:lineRule="auto"/>
        <w:contextualSpacing/>
        <w:jc w:val="both"/>
      </w:pPr>
      <w:r>
        <w:t xml:space="preserve">la función es facilitada por una entidad a terceros no afiliados a la entidad o al grupo; </w:t>
      </w:r>
      <w:r w:rsidR="003F31C2">
        <w:t>y</w:t>
      </w:r>
    </w:p>
    <w:p w14:paraId="7FE1B8D2" w14:textId="77777777" w:rsidR="00414040" w:rsidRDefault="00904E1A">
      <w:pPr>
        <w:pStyle w:val="P68B1DB1-Normal3"/>
        <w:numPr>
          <w:ilvl w:val="0"/>
          <w:numId w:val="56"/>
        </w:numPr>
        <w:spacing w:line="276" w:lineRule="auto"/>
        <w:contextualSpacing/>
        <w:jc w:val="both"/>
        <w:rPr>
          <w:i/>
        </w:rPr>
      </w:pPr>
      <w:r>
        <w:t>la perturbación brusca de dicha función probablemente tendría un impacto negativo significativo sobre los terceros, provocaría un contagio o socavaría la confianza general de los participantes del mercado debido a la importancia sistémica de la función para los terceros y la importancia sistémica de la entidad o el grupo en la prestación de la función.</w:t>
      </w:r>
    </w:p>
    <w:p w14:paraId="7FE1B8D3" w14:textId="6B4413EC" w:rsidR="00414040" w:rsidRDefault="00904E1A">
      <w:pPr>
        <w:pStyle w:val="P68B1DB1-InstructionsText26"/>
        <w:numPr>
          <w:ilvl w:val="0"/>
          <w:numId w:val="232"/>
        </w:numPr>
        <w:spacing w:before="0"/>
      </w:pPr>
      <w:r>
        <w:t>Con arreglo al artículo 2, apartado 1, punto 36, de la Directiva 2014/59/UE, por «ramas de actividad principales» se entiende las ramas de actividad y servicios asociados que representan importantes fuentes de ingresos, beneficios o valor de franquicia para una entidad o para el grupo del que la entidad forme parte.</w:t>
      </w:r>
    </w:p>
    <w:p w14:paraId="7FE1B8D4" w14:textId="77777777" w:rsidR="00414040" w:rsidRDefault="00904E1A">
      <w:pPr>
        <w:pStyle w:val="P68B1DB1-InstructionsText26"/>
        <w:numPr>
          <w:ilvl w:val="0"/>
          <w:numId w:val="232"/>
        </w:numPr>
        <w:spacing w:before="0"/>
      </w:pPr>
      <w:r>
        <w:lastRenderedPageBreak/>
        <w:t>A efectos de la presente plantilla, por funciones económicas se entenderá las funciones indicadas en el cuadro que figura a continuación.</w:t>
      </w:r>
    </w:p>
    <w:p w14:paraId="7FE1B8D5" w14:textId="2DC3F724" w:rsidR="00414040" w:rsidRDefault="00904E1A">
      <w:pPr>
        <w:pStyle w:val="P68B1DB1-InstructionsText26"/>
        <w:numPr>
          <w:ilvl w:val="0"/>
          <w:numId w:val="232"/>
        </w:numPr>
        <w:spacing w:before="0"/>
      </w:pPr>
      <w:r>
        <w:t xml:space="preserve">Para cada categoría de funciones económicas, se podrá </w:t>
      </w:r>
      <w:r w:rsidR="11AAAB29">
        <w:t>informar</w:t>
      </w:r>
      <w:r>
        <w:t xml:space="preserve"> la mención «otra» cuando no quepa clasificar la función correspondiente utilizando las demás funciones predefinidas.</w:t>
      </w:r>
    </w:p>
    <w:p w14:paraId="7FE1B8D6" w14:textId="0A53A886" w:rsidR="00414040" w:rsidRDefault="00904E1A">
      <w:pPr>
        <w:pStyle w:val="P68B1DB1-InstructionsText26"/>
        <w:numPr>
          <w:ilvl w:val="0"/>
          <w:numId w:val="232"/>
        </w:numPr>
        <w:spacing w:before="0"/>
      </w:pPr>
      <w:r>
        <w:t>Las contrapartes mencionadas en las filas 0010 a 0070 y 0080 a 0150 se definen de manera idéntica a los sectores de las contrapartes previstos en FINREP, anexo V, parte 1, capítulo 6. «Pymes» hace referencia a las pequeñas y medianas empresas tal como se definen en FINREP, anexo V, parte 1, apartado 5, letra i).</w:t>
      </w:r>
    </w:p>
    <w:p w14:paraId="7FE1B8D7" w14:textId="089954C5" w:rsidR="00414040" w:rsidRDefault="00904E1A">
      <w:pPr>
        <w:pStyle w:val="P68B1DB1-InstructionsText229"/>
        <w:numPr>
          <w:ilvl w:val="0"/>
          <w:numId w:val="0"/>
        </w:numPr>
        <w:rPr>
          <w:sz w:val="20"/>
          <w:szCs w:val="20"/>
          <w:lang w:val="es-ES"/>
        </w:rPr>
      </w:pPr>
      <w:r w:rsidRPr="52D666CA">
        <w:rPr>
          <w:sz w:val="20"/>
          <w:szCs w:val="20"/>
          <w:lang w:val="es-ES"/>
        </w:rPr>
        <w:t xml:space="preserve">Se </w:t>
      </w:r>
      <w:r w:rsidR="008560ED" w:rsidRPr="52D666CA">
        <w:rPr>
          <w:sz w:val="20"/>
          <w:szCs w:val="20"/>
          <w:lang w:val="es-ES"/>
        </w:rPr>
        <w:t xml:space="preserve">informará </w:t>
      </w:r>
      <w:r w:rsidRPr="52D666CA">
        <w:rPr>
          <w:sz w:val="20"/>
          <w:szCs w:val="20"/>
          <w:lang w:val="es-ES"/>
        </w:rPr>
        <w:t xml:space="preserve">una </w:t>
      </w:r>
      <w:r w:rsidR="00887169" w:rsidRPr="52D666CA">
        <w:rPr>
          <w:sz w:val="20"/>
          <w:szCs w:val="20"/>
          <w:lang w:val="es-ES"/>
        </w:rPr>
        <w:t>plantilla</w:t>
      </w:r>
      <w:r w:rsidR="00875586" w:rsidRPr="52D666CA">
        <w:rPr>
          <w:sz w:val="20"/>
          <w:szCs w:val="20"/>
          <w:lang w:val="es-ES"/>
        </w:rPr>
        <w:t xml:space="preserve"> </w:t>
      </w:r>
      <w:r w:rsidRPr="52D666CA">
        <w:rPr>
          <w:sz w:val="20"/>
          <w:szCs w:val="20"/>
          <w:lang w:val="es-ES"/>
        </w:rPr>
        <w:t>separada para cada una de las categorías de funciones económicas.</w:t>
      </w:r>
      <w:r w:rsidRPr="52D666CA">
        <w:rPr>
          <w:lang w:val="es-ES"/>
        </w:rPr>
        <w:t xml:space="preserve"> </w:t>
      </w:r>
    </w:p>
    <w:p w14:paraId="072982A7" w14:textId="0688FD4A" w:rsidR="00414040" w:rsidRDefault="00904E1A">
      <w:pPr>
        <w:spacing w:after="200" w:line="276" w:lineRule="auto"/>
      </w:pPr>
      <w:r>
        <w:br w:type="page"/>
      </w:r>
    </w:p>
    <w:p w14:paraId="7FE1B95D" w14:textId="634EB818" w:rsidR="00414040" w:rsidRDefault="00414040">
      <w:pPr>
        <w:pStyle w:val="InstructionsText2"/>
        <w:numPr>
          <w:ilvl w:val="0"/>
          <w:numId w:val="0"/>
        </w:numPr>
        <w:rPr>
          <w:rFonts w:ascii="Times New Roman" w:hAnsi="Times New Roman" w:cs="Times New Roman"/>
          <w:color w:val="000000" w:themeColor="text1"/>
        </w:rPr>
      </w:pPr>
    </w:p>
    <w:p w14:paraId="7FE1B95E" w14:textId="5DA6BC24" w:rsidR="00414040" w:rsidRDefault="00904E1A">
      <w:pPr>
        <w:pStyle w:val="P68B1DB1-Instructionsberschrift25"/>
        <w:numPr>
          <w:ilvl w:val="1"/>
          <w:numId w:val="49"/>
        </w:numPr>
        <w:ind w:left="357" w:hanging="357"/>
      </w:pPr>
      <w:bookmarkStart w:id="105" w:name="_Toc211525923"/>
      <w:r w:rsidRPr="2133F407">
        <w:rPr>
          <w:lang w:val="es-ES"/>
        </w:rPr>
        <w:t>Z 07.01</w:t>
      </w:r>
      <w:r w:rsidR="000A2AFE">
        <w:rPr>
          <w:lang w:val="es-ES"/>
        </w:rPr>
        <w:t xml:space="preserve">. </w:t>
      </w:r>
      <w:r w:rsidRPr="2133F407">
        <w:rPr>
          <w:lang w:val="es-ES"/>
        </w:rPr>
        <w:t>Evaluación del carácter esencial de las funciones económicas (FUNC 1)</w:t>
      </w:r>
      <w:bookmarkEnd w:id="105"/>
    </w:p>
    <w:p w14:paraId="7FE1B960" w14:textId="7174EDC4" w:rsidR="00414040" w:rsidRDefault="00904E1A">
      <w:pPr>
        <w:pStyle w:val="P68B1DB1-Instructionsberschrift25"/>
      </w:pPr>
      <w:r>
        <w:t xml:space="preserve"> </w:t>
      </w:r>
      <w:bookmarkStart w:id="106" w:name="_Toc172723210"/>
      <w:bookmarkEnd w:id="106"/>
    </w:p>
    <w:p w14:paraId="7FE1B961" w14:textId="77777777" w:rsidR="00414040" w:rsidRDefault="00904E1A">
      <w:pPr>
        <w:pStyle w:val="P68B1DB1-body30"/>
      </w:pPr>
      <w:bookmarkStart w:id="107" w:name="_Toc164263845"/>
      <w:r>
        <w:t>Instrucciones relativas a posiciones concretas</w:t>
      </w:r>
      <w:bookmarkEnd w:id="107"/>
    </w:p>
    <w:p w14:paraId="7FE1B963" w14:textId="4794979E" w:rsidR="00414040" w:rsidRDefault="00904E1A">
      <w:pPr>
        <w:pStyle w:val="P68B1DB1-InstructionsText26"/>
        <w:numPr>
          <w:ilvl w:val="0"/>
          <w:numId w:val="232"/>
        </w:numPr>
        <w:spacing w:before="0"/>
      </w:pPr>
      <w:r>
        <w:t xml:space="preserve">Esta plantilla se cumplimentará una vez para cada Estado miembro (identificado como «país») en el que opere el grupo. En todos los casos (con independencia del punto de entrada), las sucursales se agregarán en </w:t>
      </w:r>
      <w:r w:rsidR="006451FA">
        <w:t>la plantilla</w:t>
      </w:r>
      <w:r w:rsidR="002D3ADC">
        <w:t xml:space="preserve"> </w:t>
      </w:r>
      <w:r>
        <w:t>del país en el que presten servicios.</w:t>
      </w:r>
    </w:p>
    <w:p w14:paraId="7FE1B964" w14:textId="2A896469" w:rsidR="00414040" w:rsidRDefault="00904E1A">
      <w:pPr>
        <w:pStyle w:val="P68B1DB1-InstructionsText26"/>
        <w:numPr>
          <w:ilvl w:val="0"/>
          <w:numId w:val="232"/>
        </w:numPr>
        <w:spacing w:before="0"/>
      </w:pPr>
      <w:r>
        <w:t xml:space="preserve">Abarca todas las funciones económicas, esenciales o no, </w:t>
      </w:r>
      <w:r w:rsidR="00D12CB5">
        <w:t>desarrolladas</w:t>
      </w:r>
      <w:r w:rsidR="008C0F13">
        <w:t xml:space="preserve"> </w:t>
      </w:r>
      <w:r>
        <w:t>en dicho Estado miembro por cualquier ente del grupo.</w:t>
      </w:r>
    </w:p>
    <w:p w14:paraId="7FE1B965" w14:textId="2359C381" w:rsidR="00414040" w:rsidRDefault="00904E1A">
      <w:pPr>
        <w:pStyle w:val="P68B1DB1-InstructionsText26"/>
        <w:numPr>
          <w:ilvl w:val="0"/>
          <w:numId w:val="232"/>
        </w:numPr>
      </w:pPr>
      <w:r>
        <w:t>Información regional (solo cuando proceda)</w:t>
      </w:r>
    </w:p>
    <w:p w14:paraId="7FE1B966" w14:textId="226CA454" w:rsidR="00414040" w:rsidRDefault="00904E1A">
      <w:pPr>
        <w:pStyle w:val="P68B1DB1-InstructionsText26"/>
        <w:numPr>
          <w:ilvl w:val="0"/>
          <w:numId w:val="0"/>
        </w:numPr>
        <w:ind w:left="1440"/>
      </w:pPr>
      <w:r>
        <w:t>Para información a nivel regional, definir la región. Indicar el nombre de la región en un texto libre utilizando la siguiente convención:</w:t>
      </w:r>
    </w:p>
    <w:p w14:paraId="7FE1B967" w14:textId="73DDEC14" w:rsidR="00414040" w:rsidRDefault="00904E1A">
      <w:pPr>
        <w:pStyle w:val="P68B1DB1-InstructionsText26"/>
        <w:numPr>
          <w:ilvl w:val="0"/>
          <w:numId w:val="0"/>
        </w:numPr>
        <w:ind w:left="1440" w:firstLine="18"/>
      </w:pPr>
      <w:r>
        <w:t>Estado miembro</w:t>
      </w:r>
      <w:r w:rsidR="001E6AD3">
        <w:t>–</w:t>
      </w:r>
      <w:r>
        <w:t xml:space="preserve"> nombre de la región. Para el nombre de los Estados miembros, utilícese la </w:t>
      </w:r>
      <w:r w:rsidR="00FE33AB">
        <w:t xml:space="preserve">respectiva </w:t>
      </w:r>
      <w:r>
        <w:t>abreviatura de dos letras. Para el nombre de la región, utilícese el código o códigos de la clasificación NUTS 2021.</w:t>
      </w:r>
    </w:p>
    <w:p w14:paraId="7FE1B968" w14:textId="77777777" w:rsidR="00414040" w:rsidRDefault="00414040">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14040" w14:paraId="7FE1B96B" w14:textId="77777777" w:rsidTr="11A44BD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414040" w:rsidRDefault="00904E1A">
            <w:pPr>
              <w:pStyle w:val="P68B1DB1-TableParagraph17"/>
              <w:spacing w:before="108"/>
              <w:ind w:left="85"/>
              <w:jc w:val="both"/>
            </w:pPr>
            <w:r>
              <w:t>Filas</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414040" w:rsidRDefault="00904E1A">
            <w:pPr>
              <w:pStyle w:val="P68B1DB1-TableParagraph17"/>
              <w:spacing w:before="108"/>
              <w:ind w:left="85" w:right="1"/>
              <w:jc w:val="both"/>
            </w:pPr>
            <w:r>
              <w:t>Función económica</w:t>
            </w:r>
          </w:p>
        </w:tc>
      </w:tr>
      <w:tr w:rsidR="00414040" w14:paraId="7FE1B970" w14:textId="77777777" w:rsidTr="11A44BD7">
        <w:tc>
          <w:tcPr>
            <w:tcW w:w="9083" w:type="dxa"/>
            <w:gridSpan w:val="2"/>
            <w:tcBorders>
              <w:top w:val="single" w:sz="4" w:space="0" w:color="1A171C"/>
              <w:left w:val="nil"/>
              <w:bottom w:val="single" w:sz="4" w:space="0" w:color="1A171C"/>
            </w:tcBorders>
          </w:tcPr>
          <w:p w14:paraId="7FE1B96C" w14:textId="0D085442" w:rsidR="00414040" w:rsidRDefault="00904E1A">
            <w:pPr>
              <w:pStyle w:val="P68B1DB1-TableParagraph16"/>
              <w:spacing w:before="108"/>
              <w:ind w:left="85"/>
              <w:jc w:val="both"/>
              <w:rPr>
                <w:b/>
                <w:bCs/>
                <w:color w:val="000000" w:themeColor="text1"/>
                <w:sz w:val="20"/>
                <w:szCs w:val="20"/>
              </w:rPr>
            </w:pPr>
            <w:r>
              <w:t>Z 07.01.1 FUNC 1 DEP</w:t>
            </w:r>
          </w:p>
          <w:p w14:paraId="7FE1B96D" w14:textId="3387E4D3" w:rsidR="00414040" w:rsidRDefault="00904E1A">
            <w:pPr>
              <w:pStyle w:val="P68B1DB1-TableParagraph17"/>
              <w:spacing w:before="108"/>
              <w:ind w:left="85"/>
            </w:pPr>
            <w:r w:rsidRPr="2133F407">
              <w:rPr>
                <w:lang w:val="es-ES"/>
              </w:rPr>
              <w:t xml:space="preserve">Depósitos aceptados de contrapartes no financieras. No incluye la toma de </w:t>
            </w:r>
            <w:r w:rsidR="00C827A2">
              <w:rPr>
                <w:lang w:val="es-ES"/>
              </w:rPr>
              <w:t>financiación</w:t>
            </w:r>
            <w:r w:rsidR="00C827A2" w:rsidRPr="2133F407">
              <w:rPr>
                <w:lang w:val="es-ES"/>
              </w:rPr>
              <w:t xml:space="preserve"> </w:t>
            </w:r>
            <w:r w:rsidRPr="2133F407">
              <w:rPr>
                <w:lang w:val="es-ES"/>
              </w:rPr>
              <w:t>de otr</w:t>
            </w:r>
            <w:r w:rsidR="00B306FD">
              <w:rPr>
                <w:lang w:val="es-ES"/>
              </w:rPr>
              <w:t>a</w:t>
            </w:r>
            <w:r w:rsidRPr="2133F407">
              <w:rPr>
                <w:lang w:val="es-ES"/>
              </w:rPr>
              <w:t xml:space="preserve">s contrapartes financieras, reflejada por separado en «financiación mayorista». </w:t>
            </w:r>
          </w:p>
          <w:p w14:paraId="7FE1B96E" w14:textId="7F6232F0" w:rsidR="00414040" w:rsidRDefault="00904E1A">
            <w:pPr>
              <w:pStyle w:val="P68B1DB1-TableParagraph17"/>
              <w:spacing w:before="108"/>
              <w:ind w:left="85"/>
            </w:pPr>
            <w:r w:rsidRPr="2133F407">
              <w:rPr>
                <w:lang w:val="es-ES"/>
              </w:rPr>
              <w:t>Forman parte de los depósitos: i) las cuentas corrientes/los depósitos a un día;</w:t>
            </w:r>
            <w:r w:rsidR="00AE1886">
              <w:rPr>
                <w:lang w:val="es-ES"/>
              </w:rPr>
              <w:t xml:space="preserve"> </w:t>
            </w:r>
            <w:proofErr w:type="spellStart"/>
            <w:r w:rsidRPr="2133F407">
              <w:rPr>
                <w:lang w:val="es-ES"/>
              </w:rPr>
              <w:t>ii</w:t>
            </w:r>
            <w:proofErr w:type="spellEnd"/>
            <w:r w:rsidRPr="2133F407">
              <w:rPr>
                <w:lang w:val="es-ES"/>
              </w:rPr>
              <w:t xml:space="preserve">) los depósitos </w:t>
            </w:r>
            <w:r w:rsidR="003A6D19">
              <w:rPr>
                <w:lang w:val="es-ES"/>
              </w:rPr>
              <w:t>a plazo</w:t>
            </w:r>
            <w:r w:rsidRPr="2133F407">
              <w:rPr>
                <w:lang w:val="es-ES"/>
              </w:rPr>
              <w:t xml:space="preserve"> y </w:t>
            </w:r>
            <w:proofErr w:type="spellStart"/>
            <w:r w:rsidRPr="2133F407">
              <w:rPr>
                <w:lang w:val="es-ES"/>
              </w:rPr>
              <w:t>iii</w:t>
            </w:r>
            <w:proofErr w:type="spellEnd"/>
            <w:r w:rsidRPr="2133F407">
              <w:rPr>
                <w:lang w:val="es-ES"/>
              </w:rPr>
              <w:t>) los depósitos disponibles con preaviso, y quedan excluidos los acuerdos de recompra.</w:t>
            </w:r>
          </w:p>
          <w:p w14:paraId="7FE1B96F" w14:textId="3466C5D0" w:rsidR="00414040" w:rsidRDefault="00904E1A">
            <w:pPr>
              <w:pStyle w:val="P68B1DB1-TableParagraph13"/>
              <w:spacing w:before="108"/>
              <w:ind w:left="85"/>
              <w:rPr>
                <w:rFonts w:eastAsia="Cambria"/>
                <w:lang w:val="es-ES"/>
              </w:rPr>
            </w:pPr>
            <w:r w:rsidRPr="2133F407">
              <w:rPr>
                <w:lang w:val="es-ES"/>
              </w:rPr>
              <w:t xml:space="preserve">Referencias: Consejo de Estabilidad Financiera, </w:t>
            </w:r>
            <w:proofErr w:type="spellStart"/>
            <w:r w:rsidRPr="2133F407">
              <w:rPr>
                <w:lang w:val="es-ES"/>
              </w:rPr>
              <w:t>Guidance</w:t>
            </w:r>
            <w:proofErr w:type="spellEnd"/>
            <w:r w:rsidRPr="2133F407">
              <w:rPr>
                <w:lang w:val="es-ES"/>
              </w:rPr>
              <w:t xml:space="preserve"> </w:t>
            </w:r>
            <w:proofErr w:type="spellStart"/>
            <w:r w:rsidRPr="2133F407">
              <w:rPr>
                <w:lang w:val="es-ES"/>
              </w:rPr>
              <w:t>on</w:t>
            </w:r>
            <w:proofErr w:type="spellEnd"/>
            <w:r w:rsidRPr="2133F407">
              <w:rPr>
                <w:lang w:val="es-ES"/>
              </w:rPr>
              <w:t xml:space="preserve"> </w:t>
            </w:r>
            <w:proofErr w:type="spellStart"/>
            <w:r w:rsidRPr="2133F407">
              <w:rPr>
                <w:lang w:val="es-ES"/>
              </w:rPr>
              <w:t>Identification</w:t>
            </w:r>
            <w:proofErr w:type="spellEnd"/>
            <w:r w:rsidRPr="2133F407">
              <w:rPr>
                <w:lang w:val="es-ES"/>
              </w:rPr>
              <w:t xml:space="preserve"> of </w:t>
            </w:r>
            <w:proofErr w:type="spellStart"/>
            <w:r w:rsidRPr="2133F407">
              <w:rPr>
                <w:lang w:val="es-ES"/>
              </w:rPr>
              <w:t>Critical</w:t>
            </w:r>
            <w:proofErr w:type="spellEnd"/>
            <w:r w:rsidRPr="2133F407">
              <w:rPr>
                <w:lang w:val="es-ES"/>
              </w:rPr>
              <w:t xml:space="preserve"> </w:t>
            </w:r>
            <w:proofErr w:type="spellStart"/>
            <w:r w:rsidRPr="2133F407">
              <w:rPr>
                <w:lang w:val="es-ES"/>
              </w:rPr>
              <w:t>Functions</w:t>
            </w:r>
            <w:proofErr w:type="spellEnd"/>
            <w:r w:rsidRPr="2133F407">
              <w:rPr>
                <w:lang w:val="es-ES"/>
              </w:rPr>
              <w:t xml:space="preserve"> and </w:t>
            </w:r>
            <w:proofErr w:type="spellStart"/>
            <w:r w:rsidRPr="2133F407">
              <w:rPr>
                <w:lang w:val="es-ES"/>
              </w:rPr>
              <w:t>Critical</w:t>
            </w:r>
            <w:proofErr w:type="spellEnd"/>
            <w:r w:rsidRPr="2133F407">
              <w:rPr>
                <w:lang w:val="es-ES"/>
              </w:rPr>
              <w:t xml:space="preserve"> </w:t>
            </w:r>
            <w:proofErr w:type="spellStart"/>
            <w:r w:rsidRPr="2133F407">
              <w:rPr>
                <w:lang w:val="es-ES"/>
              </w:rPr>
              <w:t>Shared</w:t>
            </w:r>
            <w:proofErr w:type="spellEnd"/>
            <w:r w:rsidRPr="2133F407">
              <w:rPr>
                <w:lang w:val="es-ES"/>
              </w:rPr>
              <w:t xml:space="preserve"> Services (2013), p. 14; Anexo II, parte 2, categorías 9.1, 9.2 y 9.3 del Reglamento (UE) 2021/379.</w:t>
            </w:r>
          </w:p>
        </w:tc>
      </w:tr>
      <w:tr w:rsidR="00414040" w14:paraId="7FE1B973" w14:textId="77777777" w:rsidTr="11A44BD7">
        <w:tc>
          <w:tcPr>
            <w:tcW w:w="1191" w:type="dxa"/>
            <w:tcBorders>
              <w:top w:val="single" w:sz="4" w:space="0" w:color="1A171C"/>
              <w:left w:val="nil"/>
              <w:bottom w:val="single" w:sz="4" w:space="0" w:color="1A171C"/>
              <w:right w:val="single" w:sz="4" w:space="0" w:color="1A171C"/>
            </w:tcBorders>
          </w:tcPr>
          <w:p w14:paraId="7FE1B971" w14:textId="77777777" w:rsidR="00414040" w:rsidRDefault="00904E1A">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414040" w:rsidRDefault="00904E1A">
            <w:pPr>
              <w:pStyle w:val="P68B1DB1-TableParagraph14"/>
              <w:spacing w:before="108"/>
              <w:ind w:left="85"/>
              <w:jc w:val="both"/>
              <w:rPr>
                <w:rFonts w:eastAsia="Cambria"/>
              </w:rPr>
            </w:pPr>
            <w:r>
              <w:t>Hogares</w:t>
            </w:r>
          </w:p>
        </w:tc>
      </w:tr>
      <w:tr w:rsidR="00414040" w14:paraId="7FE1B976" w14:textId="77777777" w:rsidTr="11A44BD7">
        <w:tc>
          <w:tcPr>
            <w:tcW w:w="1191" w:type="dxa"/>
            <w:tcBorders>
              <w:top w:val="single" w:sz="4" w:space="0" w:color="1A171C"/>
              <w:left w:val="nil"/>
              <w:bottom w:val="single" w:sz="4" w:space="0" w:color="1A171C"/>
              <w:right w:val="single" w:sz="4" w:space="0" w:color="1A171C"/>
            </w:tcBorders>
          </w:tcPr>
          <w:p w14:paraId="7FE1B974" w14:textId="77777777" w:rsidR="00414040" w:rsidRDefault="00904E1A">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414040" w:rsidRDefault="00904E1A">
            <w:pPr>
              <w:pStyle w:val="P68B1DB1-TableParagraph14"/>
              <w:spacing w:before="108"/>
              <w:ind w:left="85"/>
              <w:jc w:val="both"/>
              <w:rPr>
                <w:rFonts w:eastAsia="Cambria"/>
              </w:rPr>
            </w:pPr>
            <w:r>
              <w:t>Sociedades no financieras (pymes)</w:t>
            </w:r>
          </w:p>
        </w:tc>
      </w:tr>
      <w:tr w:rsidR="00414040" w14:paraId="7FE1B979" w14:textId="77777777" w:rsidTr="11A44BD7">
        <w:tc>
          <w:tcPr>
            <w:tcW w:w="1191" w:type="dxa"/>
            <w:tcBorders>
              <w:top w:val="single" w:sz="4" w:space="0" w:color="1A171C"/>
              <w:left w:val="nil"/>
              <w:bottom w:val="single" w:sz="4" w:space="0" w:color="1A171C"/>
              <w:right w:val="single" w:sz="4" w:space="0" w:color="1A171C"/>
            </w:tcBorders>
          </w:tcPr>
          <w:p w14:paraId="7FE1B977" w14:textId="77777777" w:rsidR="00414040" w:rsidRDefault="00904E1A">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414040" w:rsidRDefault="00904E1A">
            <w:pPr>
              <w:pStyle w:val="P68B1DB1-TableParagraph14"/>
              <w:spacing w:before="108"/>
              <w:ind w:left="85"/>
              <w:jc w:val="both"/>
              <w:rPr>
                <w:rFonts w:eastAsia="Cambria"/>
              </w:rPr>
            </w:pPr>
            <w:r>
              <w:t>Sociedades no financieras (no pymes)</w:t>
            </w:r>
          </w:p>
        </w:tc>
      </w:tr>
      <w:tr w:rsidR="00414040" w14:paraId="7FE1B97C" w14:textId="77777777" w:rsidTr="11A44BD7">
        <w:tc>
          <w:tcPr>
            <w:tcW w:w="1191" w:type="dxa"/>
            <w:tcBorders>
              <w:top w:val="single" w:sz="4" w:space="0" w:color="1A171C"/>
              <w:left w:val="nil"/>
              <w:bottom w:val="single" w:sz="4" w:space="0" w:color="1A171C"/>
              <w:right w:val="single" w:sz="4" w:space="0" w:color="1A171C"/>
            </w:tcBorders>
          </w:tcPr>
          <w:p w14:paraId="7FE1B97A" w14:textId="77777777" w:rsidR="00414040" w:rsidRDefault="00904E1A">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414040" w:rsidRDefault="00904E1A">
            <w:pPr>
              <w:pStyle w:val="P68B1DB1-TableParagraph14"/>
              <w:spacing w:before="108"/>
              <w:ind w:left="85"/>
              <w:jc w:val="both"/>
              <w:rPr>
                <w:rFonts w:eastAsia="Cambria"/>
                <w:b w:val="0"/>
              </w:rPr>
            </w:pPr>
            <w:r>
              <w:t>Administraciones públicas</w:t>
            </w:r>
          </w:p>
        </w:tc>
      </w:tr>
      <w:tr w:rsidR="00414040" w14:paraId="7FE1B97F" w14:textId="77777777" w:rsidTr="11A44BD7">
        <w:tc>
          <w:tcPr>
            <w:tcW w:w="1191" w:type="dxa"/>
            <w:tcBorders>
              <w:top w:val="single" w:sz="4" w:space="0" w:color="1A171C"/>
              <w:left w:val="nil"/>
              <w:bottom w:val="single" w:sz="4" w:space="0" w:color="1A171C"/>
              <w:right w:val="single" w:sz="4" w:space="0" w:color="1A171C"/>
            </w:tcBorders>
          </w:tcPr>
          <w:p w14:paraId="7FE1B97D" w14:textId="77777777" w:rsidR="00414040" w:rsidRDefault="00904E1A">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0440510B" w:rsidR="00414040" w:rsidRDefault="00904E1A">
            <w:pPr>
              <w:pStyle w:val="P68B1DB1-TableParagraph14"/>
              <w:spacing w:before="108"/>
              <w:ind w:left="85"/>
              <w:jc w:val="both"/>
              <w:rPr>
                <w:rFonts w:eastAsia="Cambria"/>
              </w:rPr>
            </w:pPr>
            <w:r>
              <w:t xml:space="preserve">Otros sectores/contrapartes </w:t>
            </w:r>
            <w:r w:rsidR="00945343">
              <w:t>(</w:t>
            </w:r>
            <w:r>
              <w:t xml:space="preserve">1), </w:t>
            </w:r>
            <w:r w:rsidR="00945343">
              <w:t>(</w:t>
            </w:r>
            <w:r>
              <w:t xml:space="preserve">2) y </w:t>
            </w:r>
            <w:r w:rsidR="00945343">
              <w:t>(</w:t>
            </w:r>
            <w:r>
              <w:t>3)</w:t>
            </w:r>
          </w:p>
        </w:tc>
      </w:tr>
      <w:tr w:rsidR="00414040" w14:paraId="7FE1B983" w14:textId="77777777" w:rsidTr="11A44BD7">
        <w:tc>
          <w:tcPr>
            <w:tcW w:w="9083" w:type="dxa"/>
            <w:gridSpan w:val="2"/>
            <w:tcBorders>
              <w:top w:val="single" w:sz="4" w:space="0" w:color="1A171C"/>
              <w:left w:val="nil"/>
              <w:bottom w:val="single" w:sz="4" w:space="0" w:color="1A171C"/>
            </w:tcBorders>
          </w:tcPr>
          <w:p w14:paraId="7FE1B980" w14:textId="13950F51" w:rsidR="00414040" w:rsidRDefault="00904E1A">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10B2952A" w:rsidR="00414040" w:rsidRDefault="00904E1A">
            <w:pPr>
              <w:pStyle w:val="P68B1DB1-TableParagraph17"/>
              <w:spacing w:before="108"/>
              <w:ind w:left="85"/>
            </w:pPr>
            <w:r>
              <w:t xml:space="preserve">Concesión de </w:t>
            </w:r>
            <w:r w:rsidR="0090074D">
              <w:t xml:space="preserve">financiación </w:t>
            </w:r>
            <w:r>
              <w:t xml:space="preserve">a contrapartes no financieras, como clientes empresariales o minoristas. La concesión de </w:t>
            </w:r>
            <w:r w:rsidR="0090074D">
              <w:t xml:space="preserve">financiación </w:t>
            </w:r>
            <w:r>
              <w:t>a contrapartes financieras es una actividad distinta que se evalúa en «financiación mayorista». Los préstamos incluyen los instrumentos de deuda mantenidos por las entidades, pero no los instrumentos de deuda que sean valores, con independencia de su clasificación contable (mantenidos hasta su vencimiento, disponibles para la venta, etc.).</w:t>
            </w:r>
          </w:p>
          <w:p w14:paraId="7FE1B982" w14:textId="3FA2E141" w:rsidR="00414040" w:rsidRDefault="00904E1A">
            <w:pPr>
              <w:pStyle w:val="P68B1DB1-TableParagraph13"/>
              <w:spacing w:before="108"/>
              <w:ind w:left="85"/>
              <w:rPr>
                <w:rFonts w:eastAsia="Cambria"/>
                <w:lang w:val="es-ES"/>
              </w:rPr>
            </w:pPr>
            <w:r w:rsidRPr="2133F407">
              <w:rPr>
                <w:lang w:val="es-ES"/>
              </w:rPr>
              <w:t xml:space="preserve">Referencias: Consejo de Estabilidad Financiera, </w:t>
            </w:r>
            <w:proofErr w:type="spellStart"/>
            <w:r w:rsidRPr="2133F407">
              <w:rPr>
                <w:lang w:val="es-ES"/>
              </w:rPr>
              <w:t>Guidance</w:t>
            </w:r>
            <w:proofErr w:type="spellEnd"/>
            <w:r w:rsidRPr="2133F407">
              <w:rPr>
                <w:lang w:val="es-ES"/>
              </w:rPr>
              <w:t xml:space="preserve"> </w:t>
            </w:r>
            <w:proofErr w:type="spellStart"/>
            <w:r w:rsidRPr="2133F407">
              <w:rPr>
                <w:lang w:val="es-ES"/>
              </w:rPr>
              <w:t>on</w:t>
            </w:r>
            <w:proofErr w:type="spellEnd"/>
            <w:r w:rsidRPr="2133F407">
              <w:rPr>
                <w:lang w:val="es-ES"/>
              </w:rPr>
              <w:t xml:space="preserve"> </w:t>
            </w:r>
            <w:proofErr w:type="spellStart"/>
            <w:r w:rsidRPr="2133F407">
              <w:rPr>
                <w:lang w:val="es-ES"/>
              </w:rPr>
              <w:t>Identification</w:t>
            </w:r>
            <w:proofErr w:type="spellEnd"/>
            <w:r w:rsidRPr="2133F407">
              <w:rPr>
                <w:lang w:val="es-ES"/>
              </w:rPr>
              <w:t xml:space="preserve"> of </w:t>
            </w:r>
            <w:proofErr w:type="spellStart"/>
            <w:r w:rsidRPr="2133F407">
              <w:rPr>
                <w:lang w:val="es-ES"/>
              </w:rPr>
              <w:t>Critical</w:t>
            </w:r>
            <w:proofErr w:type="spellEnd"/>
            <w:r w:rsidRPr="2133F407">
              <w:rPr>
                <w:lang w:val="es-ES"/>
              </w:rPr>
              <w:t xml:space="preserve"> </w:t>
            </w:r>
            <w:proofErr w:type="spellStart"/>
            <w:r w:rsidRPr="2133F407">
              <w:rPr>
                <w:lang w:val="es-ES"/>
              </w:rPr>
              <w:t>Functions</w:t>
            </w:r>
            <w:proofErr w:type="spellEnd"/>
            <w:r w:rsidRPr="2133F407">
              <w:rPr>
                <w:lang w:val="es-ES"/>
              </w:rPr>
              <w:t xml:space="preserve"> and </w:t>
            </w:r>
            <w:proofErr w:type="spellStart"/>
            <w:r w:rsidRPr="2133F407">
              <w:rPr>
                <w:lang w:val="es-ES"/>
              </w:rPr>
              <w:t>Critical</w:t>
            </w:r>
            <w:proofErr w:type="spellEnd"/>
            <w:r w:rsidRPr="2133F407">
              <w:rPr>
                <w:lang w:val="es-ES"/>
              </w:rPr>
              <w:t xml:space="preserve"> </w:t>
            </w:r>
            <w:proofErr w:type="spellStart"/>
            <w:r w:rsidRPr="2133F407">
              <w:rPr>
                <w:lang w:val="es-ES"/>
              </w:rPr>
              <w:t>Shared</w:t>
            </w:r>
            <w:proofErr w:type="spellEnd"/>
            <w:r w:rsidRPr="2133F407">
              <w:rPr>
                <w:lang w:val="es-ES"/>
              </w:rPr>
              <w:t xml:space="preserve"> Services (2013), p. 17; Anexo II, parte 2, categoría 2, del Reglamento (UE) 2021/379.</w:t>
            </w:r>
          </w:p>
        </w:tc>
      </w:tr>
      <w:tr w:rsidR="00414040" w14:paraId="7FE1B987" w14:textId="77777777" w:rsidTr="11A44BD7">
        <w:tc>
          <w:tcPr>
            <w:tcW w:w="1191" w:type="dxa"/>
            <w:tcBorders>
              <w:top w:val="single" w:sz="4" w:space="0" w:color="1A171C"/>
              <w:left w:val="nil"/>
              <w:bottom w:val="single" w:sz="4" w:space="0" w:color="1A171C"/>
              <w:right w:val="single" w:sz="4" w:space="0" w:color="1A171C"/>
            </w:tcBorders>
          </w:tcPr>
          <w:p w14:paraId="7FE1B984" w14:textId="77777777" w:rsidR="00414040" w:rsidRDefault="00904E1A">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63239F45" w:rsidR="00414040" w:rsidRDefault="00904E1A">
            <w:pPr>
              <w:pStyle w:val="P68B1DB1-TableParagraph14"/>
              <w:spacing w:before="108"/>
              <w:ind w:left="85"/>
              <w:jc w:val="both"/>
              <w:rPr>
                <w:bCs/>
              </w:rPr>
            </w:pPr>
            <w:r w:rsidRPr="2133F407">
              <w:rPr>
                <w:lang w:val="es-ES"/>
              </w:rPr>
              <w:t>Hogares:</w:t>
            </w:r>
            <w:r w:rsidR="00D4602C">
              <w:rPr>
                <w:lang w:val="es-ES"/>
              </w:rPr>
              <w:t xml:space="preserve"> </w:t>
            </w:r>
            <w:r w:rsidRPr="2133F407">
              <w:rPr>
                <w:lang w:val="es-ES"/>
              </w:rPr>
              <w:t>préstamos para la adquisición de viviendas</w:t>
            </w:r>
          </w:p>
          <w:p w14:paraId="7FE1B986" w14:textId="77777777" w:rsidR="00414040" w:rsidRDefault="00904E1A">
            <w:pPr>
              <w:pStyle w:val="P68B1DB1-TableParagraph17"/>
              <w:spacing w:before="108"/>
              <w:ind w:left="85"/>
            </w:pPr>
            <w:r>
              <w:t>Préstamos garantizados concedidos a hogares con bienes inmuebles como garantía real</w:t>
            </w:r>
          </w:p>
        </w:tc>
      </w:tr>
      <w:tr w:rsidR="00414040" w14:paraId="7FE1B98A" w14:textId="77777777" w:rsidTr="11A44BD7">
        <w:tc>
          <w:tcPr>
            <w:tcW w:w="1191" w:type="dxa"/>
            <w:tcBorders>
              <w:top w:val="single" w:sz="4" w:space="0" w:color="1A171C"/>
              <w:left w:val="nil"/>
              <w:bottom w:val="single" w:sz="4" w:space="0" w:color="1A171C"/>
              <w:right w:val="single" w:sz="4" w:space="0" w:color="1A171C"/>
            </w:tcBorders>
          </w:tcPr>
          <w:p w14:paraId="7FE1B988" w14:textId="77777777" w:rsidR="00414040" w:rsidRDefault="00904E1A">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2E1134DD" w:rsidR="00414040" w:rsidRDefault="002E3FC7">
            <w:pPr>
              <w:pStyle w:val="P68B1DB1-TableParagraph14"/>
              <w:spacing w:before="108"/>
              <w:ind w:left="85"/>
              <w:jc w:val="both"/>
              <w:rPr>
                <w:bCs/>
              </w:rPr>
            </w:pPr>
            <w:r>
              <w:rPr>
                <w:lang w:val="es-ES"/>
              </w:rPr>
              <w:t>Hogares</w:t>
            </w:r>
            <w:r w:rsidR="00904E1A" w:rsidRPr="2133F407">
              <w:rPr>
                <w:lang w:val="es-ES"/>
              </w:rPr>
              <w:t>:</w:t>
            </w:r>
            <w:r w:rsidR="00D4602C">
              <w:rPr>
                <w:lang w:val="es-ES"/>
              </w:rPr>
              <w:t xml:space="preserve"> </w:t>
            </w:r>
            <w:r w:rsidR="00904E1A" w:rsidRPr="2133F407">
              <w:rPr>
                <w:lang w:val="es-ES"/>
              </w:rPr>
              <w:t>otros préstamos</w:t>
            </w:r>
          </w:p>
        </w:tc>
      </w:tr>
      <w:tr w:rsidR="00414040" w14:paraId="7FE1B98D" w14:textId="77777777" w:rsidTr="11A44BD7">
        <w:tc>
          <w:tcPr>
            <w:tcW w:w="1191" w:type="dxa"/>
            <w:tcBorders>
              <w:top w:val="single" w:sz="4" w:space="0" w:color="1A171C"/>
              <w:left w:val="nil"/>
              <w:bottom w:val="single" w:sz="4" w:space="0" w:color="1A171C"/>
              <w:right w:val="single" w:sz="4" w:space="0" w:color="1A171C"/>
            </w:tcBorders>
          </w:tcPr>
          <w:p w14:paraId="7FE1B98B" w14:textId="77777777" w:rsidR="00414040" w:rsidRDefault="00904E1A">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65BFB6FC" w:rsidR="00414040" w:rsidRDefault="00904E1A">
            <w:pPr>
              <w:pStyle w:val="P68B1DB1-TableParagraph14"/>
              <w:spacing w:before="108"/>
              <w:ind w:left="85"/>
              <w:jc w:val="both"/>
              <w:rPr>
                <w:lang w:val="es-ES"/>
              </w:rPr>
            </w:pPr>
            <w:r w:rsidRPr="2133F407">
              <w:rPr>
                <w:lang w:val="es-ES"/>
              </w:rPr>
              <w:t>Sociedades no financieras:</w:t>
            </w:r>
            <w:r w:rsidR="00D4602C">
              <w:rPr>
                <w:lang w:val="es-ES"/>
              </w:rPr>
              <w:t xml:space="preserve"> </w:t>
            </w:r>
            <w:r w:rsidRPr="2133F407">
              <w:rPr>
                <w:lang w:val="es-ES"/>
              </w:rPr>
              <w:t>pymes</w:t>
            </w:r>
          </w:p>
        </w:tc>
      </w:tr>
      <w:tr w:rsidR="00414040" w14:paraId="7FE1B990" w14:textId="77777777" w:rsidTr="11A44BD7">
        <w:tc>
          <w:tcPr>
            <w:tcW w:w="1191" w:type="dxa"/>
            <w:tcBorders>
              <w:top w:val="single" w:sz="4" w:space="0" w:color="1A171C"/>
              <w:left w:val="nil"/>
              <w:bottom w:val="single" w:sz="4" w:space="0" w:color="1A171C"/>
              <w:right w:val="single" w:sz="4" w:space="0" w:color="1A171C"/>
            </w:tcBorders>
            <w:vAlign w:val="bottom"/>
          </w:tcPr>
          <w:p w14:paraId="7FE1B98E" w14:textId="77777777" w:rsidR="00414040" w:rsidRDefault="00904E1A">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1A94EA3C" w:rsidR="00414040" w:rsidRDefault="00904E1A">
            <w:pPr>
              <w:pStyle w:val="P68B1DB1-TableParagraph14"/>
              <w:spacing w:before="108"/>
              <w:ind w:left="85"/>
              <w:jc w:val="both"/>
              <w:rPr>
                <w:bCs/>
              </w:rPr>
            </w:pPr>
            <w:r w:rsidRPr="2133F407">
              <w:rPr>
                <w:lang w:val="es-ES"/>
              </w:rPr>
              <w:t>Sociedades no financieras:</w:t>
            </w:r>
            <w:r w:rsidR="00D4602C">
              <w:rPr>
                <w:lang w:val="es-ES"/>
              </w:rPr>
              <w:t xml:space="preserve"> </w:t>
            </w:r>
            <w:r w:rsidRPr="2133F407">
              <w:rPr>
                <w:lang w:val="es-ES"/>
              </w:rPr>
              <w:t>no pymes</w:t>
            </w:r>
          </w:p>
        </w:tc>
      </w:tr>
      <w:tr w:rsidR="00414040" w14:paraId="7FE1B993" w14:textId="77777777" w:rsidTr="11A44BD7">
        <w:tc>
          <w:tcPr>
            <w:tcW w:w="1191" w:type="dxa"/>
            <w:tcBorders>
              <w:top w:val="single" w:sz="4" w:space="0" w:color="1A171C"/>
              <w:left w:val="nil"/>
              <w:bottom w:val="single" w:sz="4" w:space="0" w:color="1A171C"/>
              <w:right w:val="single" w:sz="4" w:space="0" w:color="1A171C"/>
            </w:tcBorders>
            <w:vAlign w:val="bottom"/>
          </w:tcPr>
          <w:p w14:paraId="7FE1B991" w14:textId="77777777" w:rsidR="00414040" w:rsidRDefault="00904E1A">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414040" w:rsidRDefault="00904E1A">
            <w:pPr>
              <w:pStyle w:val="P68B1DB1-TableParagraph14"/>
              <w:spacing w:before="108"/>
              <w:ind w:left="85"/>
              <w:jc w:val="both"/>
              <w:rPr>
                <w:bCs/>
              </w:rPr>
            </w:pPr>
            <w:r>
              <w:t>Administraciones públicas</w:t>
            </w:r>
          </w:p>
        </w:tc>
      </w:tr>
      <w:tr w:rsidR="00414040" w14:paraId="7FE1B996" w14:textId="77777777" w:rsidTr="11A44BD7">
        <w:tc>
          <w:tcPr>
            <w:tcW w:w="1191" w:type="dxa"/>
            <w:tcBorders>
              <w:top w:val="single" w:sz="4" w:space="0" w:color="1A171C"/>
              <w:left w:val="nil"/>
              <w:bottom w:val="single" w:sz="4" w:space="0" w:color="1A171C"/>
              <w:right w:val="single" w:sz="4" w:space="0" w:color="1A171C"/>
            </w:tcBorders>
          </w:tcPr>
          <w:p w14:paraId="7FE1B994" w14:textId="77777777" w:rsidR="00414040" w:rsidRDefault="00904E1A">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2BF46629" w:rsidR="00414040" w:rsidRDefault="00904E1A">
            <w:pPr>
              <w:pStyle w:val="P68B1DB1-TableParagraph14"/>
              <w:spacing w:before="108"/>
              <w:ind w:left="85"/>
              <w:jc w:val="both"/>
              <w:rPr>
                <w:rFonts w:eastAsia="Cambria"/>
              </w:rPr>
            </w:pPr>
            <w:r>
              <w:t xml:space="preserve">Otros sectores/contrapartes </w:t>
            </w:r>
            <w:r w:rsidR="00914CFA">
              <w:t>(</w:t>
            </w:r>
            <w:r>
              <w:t xml:space="preserve">1), </w:t>
            </w:r>
            <w:r w:rsidR="00914CFA">
              <w:t>(</w:t>
            </w:r>
            <w:r>
              <w:t xml:space="preserve">2) y </w:t>
            </w:r>
            <w:r w:rsidR="00914CFA">
              <w:t>(</w:t>
            </w:r>
            <w:r>
              <w:t>3)</w:t>
            </w:r>
          </w:p>
        </w:tc>
      </w:tr>
      <w:tr w:rsidR="00414040" w14:paraId="7FE1B99C" w14:textId="77777777" w:rsidTr="11A44BD7">
        <w:tc>
          <w:tcPr>
            <w:tcW w:w="9083" w:type="dxa"/>
            <w:gridSpan w:val="2"/>
            <w:tcBorders>
              <w:top w:val="single" w:sz="4" w:space="0" w:color="1A171C"/>
              <w:left w:val="nil"/>
              <w:bottom w:val="single" w:sz="4" w:space="0" w:color="1A171C"/>
            </w:tcBorders>
          </w:tcPr>
          <w:p w14:paraId="7FE1B997" w14:textId="7888E8A6" w:rsidR="00414040" w:rsidRPr="00210421" w:rsidRDefault="00904E1A">
            <w:pPr>
              <w:pStyle w:val="TableParagraph"/>
              <w:spacing w:before="108"/>
              <w:ind w:left="85"/>
              <w:jc w:val="both"/>
              <w:rPr>
                <w:rFonts w:ascii="Times New Roman" w:eastAsia="Cambria" w:hAnsi="Times New Roman" w:cs="Times New Roman"/>
                <w:color w:val="000000" w:themeColor="text1"/>
                <w:sz w:val="20"/>
                <w:szCs w:val="20"/>
                <w:lang w:val="en-US"/>
              </w:rPr>
            </w:pPr>
            <w:r w:rsidRPr="00210421">
              <w:rPr>
                <w:rFonts w:ascii="Times New Roman" w:hAnsi="Times New Roman" w:cs="Times New Roman"/>
                <w:lang w:val="en-US"/>
              </w:rPr>
              <w:t xml:space="preserve">Z 07.01.3 FUNC 1 </w:t>
            </w:r>
            <w:r w:rsidR="001D4D25" w:rsidRPr="00210421">
              <w:rPr>
                <w:rFonts w:ascii="Times New Roman" w:hAnsi="Times New Roman" w:cs="Times New Roman"/>
                <w:lang w:val="en-US"/>
              </w:rPr>
              <w:t>PAY</w:t>
            </w:r>
            <w:r w:rsidR="001D4D25" w:rsidRPr="00210421">
              <w:rPr>
                <w:rFonts w:ascii="Times New Roman" w:eastAsia="Cambria" w:hAnsi="Times New Roman" w:cs="Times New Roman"/>
                <w:color w:val="000000" w:themeColor="text1"/>
                <w:sz w:val="20"/>
                <w:szCs w:val="20"/>
                <w:lang w:val="en-US"/>
              </w:rPr>
              <w:t xml:space="preserve"> </w:t>
            </w:r>
          </w:p>
          <w:p w14:paraId="7FE1B998" w14:textId="7E07DF17" w:rsidR="00414040" w:rsidRPr="00210421" w:rsidRDefault="00904E1A">
            <w:pPr>
              <w:pStyle w:val="P68B1DB1-TableParagraph13"/>
              <w:spacing w:before="108"/>
              <w:ind w:left="85"/>
              <w:jc w:val="both"/>
              <w:rPr>
                <w:rFonts w:eastAsia="Cambria"/>
                <w:lang w:val="en-AU"/>
              </w:rPr>
            </w:pPr>
            <w:proofErr w:type="spellStart"/>
            <w:r w:rsidRPr="00210421">
              <w:rPr>
                <w:lang w:val="en-AU"/>
              </w:rPr>
              <w:t>Referencia</w:t>
            </w:r>
            <w:proofErr w:type="spellEnd"/>
            <w:r w:rsidRPr="00210421">
              <w:rPr>
                <w:lang w:val="en-AU"/>
              </w:rPr>
              <w:t xml:space="preserve">: Consejo de </w:t>
            </w:r>
            <w:proofErr w:type="spellStart"/>
            <w:r w:rsidRPr="00210421">
              <w:rPr>
                <w:lang w:val="en-AU"/>
              </w:rPr>
              <w:t>Estabilidad</w:t>
            </w:r>
            <w:proofErr w:type="spellEnd"/>
            <w:r w:rsidRPr="00210421">
              <w:rPr>
                <w:lang w:val="en-AU"/>
              </w:rPr>
              <w:t xml:space="preserve"> Financiera, Guidance on Identification of Critical Functions and Critical Shared Services (2013), p. 20.</w:t>
            </w:r>
          </w:p>
          <w:p w14:paraId="7FE1B999" w14:textId="37521374" w:rsidR="00414040" w:rsidRDefault="00904E1A">
            <w:pPr>
              <w:pStyle w:val="P68B1DB1-TableParagraph13"/>
              <w:spacing w:before="108"/>
              <w:ind w:left="85"/>
              <w:jc w:val="both"/>
              <w:rPr>
                <w:rFonts w:eastAsia="Cambria"/>
                <w:lang w:val="es-ES"/>
              </w:rPr>
            </w:pPr>
            <w:r w:rsidRPr="2133F407">
              <w:rPr>
                <w:lang w:val="es-ES"/>
              </w:rPr>
              <w:t xml:space="preserve">Las funciones económicas incluidas en este título consistirán en la prestación de servicios de pago, caja, </w:t>
            </w:r>
            <w:r w:rsidR="00C508C3" w:rsidRPr="2133F407">
              <w:rPr>
                <w:lang w:val="es-ES"/>
              </w:rPr>
              <w:t>liquidación</w:t>
            </w:r>
            <w:r w:rsidR="00C508C3">
              <w:rPr>
                <w:lang w:val="es-ES"/>
              </w:rPr>
              <w:t>,</w:t>
            </w:r>
            <w:r w:rsidR="00C508C3" w:rsidRPr="2133F407">
              <w:rPr>
                <w:lang w:val="es-ES"/>
              </w:rPr>
              <w:t xml:space="preserve"> </w:t>
            </w:r>
            <w:r w:rsidRPr="2133F407">
              <w:rPr>
                <w:lang w:val="es-ES"/>
              </w:rPr>
              <w:t xml:space="preserve">compensación, y custodia por una entidad de crédito, en calidad de intermediario entre los propios clientes o como intermediario entre un cliente y una o varias infraestructuras de los mercados financieros (IMF), o la prestación de acceso (indirecto) a IMF a otros bancos. En consonancia con la </w:t>
            </w:r>
            <w:proofErr w:type="spellStart"/>
            <w:r w:rsidRPr="00D6052F">
              <w:rPr>
                <w:lang w:val="es-ES"/>
              </w:rPr>
              <w:t>Guidance</w:t>
            </w:r>
            <w:proofErr w:type="spellEnd"/>
            <w:r w:rsidRPr="00D6052F">
              <w:rPr>
                <w:lang w:val="es-ES"/>
              </w:rPr>
              <w:t xml:space="preserve"> </w:t>
            </w:r>
            <w:proofErr w:type="spellStart"/>
            <w:r w:rsidRPr="00D6052F">
              <w:rPr>
                <w:lang w:val="es-ES"/>
              </w:rPr>
              <w:t>on</w:t>
            </w:r>
            <w:proofErr w:type="spellEnd"/>
            <w:r w:rsidRPr="00D6052F">
              <w:rPr>
                <w:lang w:val="es-ES"/>
              </w:rPr>
              <w:t xml:space="preserve"> </w:t>
            </w:r>
            <w:proofErr w:type="spellStart"/>
            <w:r w:rsidRPr="00D6052F">
              <w:rPr>
                <w:lang w:val="es-ES"/>
              </w:rPr>
              <w:t>Identification</w:t>
            </w:r>
            <w:proofErr w:type="spellEnd"/>
            <w:r w:rsidRPr="00D6052F">
              <w:rPr>
                <w:lang w:val="es-ES"/>
              </w:rPr>
              <w:t xml:space="preserve"> of </w:t>
            </w:r>
            <w:proofErr w:type="spellStart"/>
            <w:r w:rsidRPr="00D6052F">
              <w:rPr>
                <w:lang w:val="es-ES"/>
              </w:rPr>
              <w:t>Critical</w:t>
            </w:r>
            <w:proofErr w:type="spellEnd"/>
            <w:r w:rsidRPr="00D6052F">
              <w:rPr>
                <w:lang w:val="es-ES"/>
              </w:rPr>
              <w:t xml:space="preserve"> </w:t>
            </w:r>
            <w:proofErr w:type="spellStart"/>
            <w:r w:rsidRPr="00D6052F">
              <w:rPr>
                <w:lang w:val="es-ES"/>
              </w:rPr>
              <w:t>Functions</w:t>
            </w:r>
            <w:proofErr w:type="spellEnd"/>
            <w:r w:rsidRPr="00D6052F">
              <w:rPr>
                <w:lang w:val="es-ES"/>
              </w:rPr>
              <w:t xml:space="preserve"> and </w:t>
            </w:r>
            <w:proofErr w:type="spellStart"/>
            <w:r w:rsidRPr="00D6052F">
              <w:rPr>
                <w:lang w:val="es-ES"/>
              </w:rPr>
              <w:t>Critical</w:t>
            </w:r>
            <w:proofErr w:type="spellEnd"/>
            <w:r w:rsidRPr="00D6052F">
              <w:rPr>
                <w:lang w:val="es-ES"/>
              </w:rPr>
              <w:t xml:space="preserve"> </w:t>
            </w:r>
            <w:proofErr w:type="spellStart"/>
            <w:r w:rsidRPr="00D6052F">
              <w:rPr>
                <w:lang w:val="es-ES"/>
              </w:rPr>
              <w:t>Shared</w:t>
            </w:r>
            <w:proofErr w:type="spellEnd"/>
            <w:r w:rsidRPr="00D6052F">
              <w:rPr>
                <w:lang w:val="es-ES"/>
              </w:rPr>
              <w:t xml:space="preserve"> Services</w:t>
            </w:r>
            <w:r w:rsidRPr="2133F407">
              <w:rPr>
                <w:lang w:val="es-ES"/>
              </w:rPr>
              <w:t xml:space="preserve"> del Consejo de Estabilidad Financiera, la función de pago, compensación y liquidación se limita a los servicios prestados por los bancos a sus clientes. Esta categoría no abarca los servicios prestados por los proveedores (puros) de IMF. A efectos de esta plantilla, las IMF incluyen los sistemas de pago, los sistemas de liquidación de valores, los depositarios centrales de valores y las entidades de contrapartida central (y no incluyen los registros de operaciones).</w:t>
            </w:r>
          </w:p>
          <w:p w14:paraId="7FE1B99A" w14:textId="62C11963" w:rsidR="00414040" w:rsidRDefault="00A46BC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Para</w:t>
            </w:r>
            <w:r w:rsidR="00904E1A">
              <w:rPr>
                <w:rFonts w:ascii="Times New Roman" w:eastAsia="Cambria" w:hAnsi="Times New Roman" w:cs="Times New Roman"/>
                <w:color w:val="000000" w:themeColor="text1"/>
                <w:sz w:val="20"/>
                <w:szCs w:val="20"/>
              </w:rPr>
              <w:t xml:space="preserve"> los «servicios de pago», las «operaciones de pago» y los «sistemas de pago» se aplican las definiciones del artículo 4, apartados 3, 5 y 7, respectivamente, de la Directiva 2015/2366, sobre servicios de pago en el mercado interior</w:t>
            </w:r>
            <w:r w:rsidR="00904E1A">
              <w:rPr>
                <w:rStyle w:val="FootnoteReference"/>
                <w:rFonts w:ascii="Times New Roman" w:eastAsia="Cambria" w:hAnsi="Times New Roman" w:cs="Times New Roman"/>
                <w:color w:val="000000" w:themeColor="text1"/>
                <w:sz w:val="20"/>
                <w:szCs w:val="20"/>
              </w:rPr>
              <w:footnoteReference w:id="19"/>
            </w:r>
            <w:r w:rsidR="00904E1A">
              <w:rPr>
                <w:rFonts w:ascii="Times New Roman" w:eastAsia="Cambria" w:hAnsi="Times New Roman" w:cs="Times New Roman"/>
                <w:color w:val="000000" w:themeColor="text1"/>
                <w:sz w:val="20"/>
                <w:szCs w:val="20"/>
              </w:rPr>
              <w:t>.</w:t>
            </w:r>
          </w:p>
          <w:p w14:paraId="7FE1B99B" w14:textId="77777777" w:rsidR="00414040" w:rsidRDefault="00414040">
            <w:pPr>
              <w:pStyle w:val="TableParagraph"/>
              <w:spacing w:before="108"/>
              <w:ind w:left="85"/>
              <w:jc w:val="both"/>
              <w:rPr>
                <w:rFonts w:ascii="Times New Roman" w:eastAsia="Cambria" w:hAnsi="Times New Roman" w:cs="Times New Roman"/>
                <w:color w:val="000000" w:themeColor="text1"/>
                <w:sz w:val="20"/>
                <w:szCs w:val="20"/>
              </w:rPr>
            </w:pPr>
          </w:p>
        </w:tc>
      </w:tr>
      <w:tr w:rsidR="00414040" w14:paraId="7FE1B9A0" w14:textId="77777777" w:rsidTr="11A44BD7">
        <w:tc>
          <w:tcPr>
            <w:tcW w:w="1191" w:type="dxa"/>
            <w:tcBorders>
              <w:top w:val="single" w:sz="4" w:space="0" w:color="1A171C"/>
              <w:left w:val="nil"/>
              <w:bottom w:val="single" w:sz="4" w:space="0" w:color="1A171C"/>
              <w:right w:val="single" w:sz="4" w:space="0" w:color="1A171C"/>
            </w:tcBorders>
          </w:tcPr>
          <w:p w14:paraId="7FE1B99D" w14:textId="77777777" w:rsidR="00414040" w:rsidRDefault="00904E1A">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414040" w:rsidRDefault="00904E1A">
            <w:pPr>
              <w:pStyle w:val="P68B1DB1-TableParagraph14"/>
              <w:spacing w:before="108"/>
              <w:ind w:left="85"/>
              <w:jc w:val="both"/>
              <w:rPr>
                <w:bCs/>
              </w:rPr>
            </w:pPr>
            <w:r>
              <w:t>Servicios de pago a IFM</w:t>
            </w:r>
          </w:p>
          <w:p w14:paraId="7FE1B99F" w14:textId="19FFE88D" w:rsidR="00414040" w:rsidRDefault="00904E1A">
            <w:pPr>
              <w:pStyle w:val="P68B1DB1-TableParagraph17"/>
              <w:spacing w:before="108"/>
              <w:ind w:left="85"/>
              <w:jc w:val="both"/>
            </w:pPr>
            <w:r w:rsidRPr="11A44BD7">
              <w:rPr>
                <w:lang w:val="es-ES"/>
              </w:rPr>
              <w:t xml:space="preserve">Se </w:t>
            </w:r>
            <w:r w:rsidR="40ADB8FB" w:rsidRPr="11A44BD7">
              <w:rPr>
                <w:lang w:val="es-ES"/>
              </w:rPr>
              <w:t>informarán</w:t>
            </w:r>
            <w:r w:rsidRPr="11A44BD7">
              <w:rPr>
                <w:lang w:val="es-ES"/>
              </w:rPr>
              <w:t xml:space="preserve"> aquí los servicios de pago ofrecidos a las instituciones financieras monetarias (IFM), sirviéndose o no de sistemas externos de pago. Se incluirán también los (pagos relacionados con los) servicios de corresponsalía bancaria. Formarán parte de las IFM todas las unidades institucionales incluidas en los subsectores siguientes: </w:t>
            </w:r>
            <w:r w:rsidR="00A46BCC">
              <w:rPr>
                <w:lang w:val="es-ES"/>
              </w:rPr>
              <w:t>i</w:t>
            </w:r>
            <w:r w:rsidRPr="11A44BD7">
              <w:rPr>
                <w:lang w:val="es-ES"/>
              </w:rPr>
              <w:t xml:space="preserve">) banco central; </w:t>
            </w:r>
            <w:proofErr w:type="spellStart"/>
            <w:r w:rsidRPr="11A44BD7">
              <w:rPr>
                <w:lang w:val="es-ES"/>
              </w:rPr>
              <w:t>ii</w:t>
            </w:r>
            <w:proofErr w:type="spellEnd"/>
            <w:r w:rsidRPr="11A44BD7">
              <w:rPr>
                <w:lang w:val="es-ES"/>
              </w:rPr>
              <w:t xml:space="preserve">) sociedades de depósitos, excepto el banco central; y </w:t>
            </w:r>
            <w:proofErr w:type="spellStart"/>
            <w:r w:rsidRPr="11A44BD7">
              <w:rPr>
                <w:lang w:val="es-ES"/>
              </w:rPr>
              <w:t>iii</w:t>
            </w:r>
            <w:proofErr w:type="spellEnd"/>
            <w:r w:rsidRPr="11A44BD7">
              <w:rPr>
                <w:lang w:val="es-ES"/>
              </w:rPr>
              <w:t>) fondos del mercado monetario.</w:t>
            </w:r>
          </w:p>
        </w:tc>
      </w:tr>
      <w:tr w:rsidR="00414040" w14:paraId="7FE1B9A8" w14:textId="77777777" w:rsidTr="11A44BD7">
        <w:tc>
          <w:tcPr>
            <w:tcW w:w="1191" w:type="dxa"/>
            <w:tcBorders>
              <w:top w:val="single" w:sz="4" w:space="0" w:color="1A171C"/>
              <w:left w:val="nil"/>
              <w:bottom w:val="single" w:sz="4" w:space="0" w:color="1A171C"/>
              <w:right w:val="single" w:sz="4" w:space="0" w:color="1A171C"/>
            </w:tcBorders>
          </w:tcPr>
          <w:p w14:paraId="7FE1B9A1" w14:textId="77777777" w:rsidR="00414040" w:rsidRDefault="00904E1A">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414040" w:rsidRDefault="00904E1A">
            <w:pPr>
              <w:pStyle w:val="P68B1DB1-TableParagraph14"/>
              <w:spacing w:before="108"/>
              <w:ind w:left="85"/>
              <w:jc w:val="both"/>
              <w:rPr>
                <w:bCs/>
              </w:rPr>
            </w:pPr>
            <w:r>
              <w:t>Servicios de pago a clientes «no IFM»</w:t>
            </w:r>
          </w:p>
          <w:p w14:paraId="7FE1B9A3" w14:textId="09892B63" w:rsidR="00414040" w:rsidRDefault="00904E1A">
            <w:pPr>
              <w:pStyle w:val="P68B1DB1-TableParagraph17"/>
              <w:spacing w:before="108"/>
              <w:ind w:left="85"/>
            </w:pPr>
            <w:r>
              <w:t xml:space="preserve">Servicios de pago ofrecidos a clientes, sirviéndose o no de sistemas de pago externos. Aquí se incluirá solamente a las personas físicas o jurídicas que no pertenezcan al sector de las IFM. Los </w:t>
            </w:r>
            <w:r w:rsidR="008828B9">
              <w:t xml:space="preserve">proveedores </w:t>
            </w:r>
            <w:r>
              <w:t>de servicios de pago quedan también excluidos del sector «no IFM».</w:t>
            </w:r>
          </w:p>
          <w:p w14:paraId="7FE1B9A4" w14:textId="77777777" w:rsidR="00414040" w:rsidRDefault="00904E1A">
            <w:pPr>
              <w:pStyle w:val="P68B1DB1-TableParagraph17"/>
              <w:spacing w:before="108"/>
              <w:ind w:left="85"/>
            </w:pPr>
            <w:r>
              <w:t>La función se divide además en 3 subfunciones:</w:t>
            </w:r>
          </w:p>
          <w:p w14:paraId="7FE1B9A5" w14:textId="77777777" w:rsidR="00414040" w:rsidRDefault="00904E1A">
            <w:pPr>
              <w:pStyle w:val="P68B1DB1-TableParagraph17"/>
              <w:spacing w:before="108"/>
              <w:ind w:left="85"/>
            </w:pPr>
            <w:r>
              <w:t>(1) Hogares</w:t>
            </w:r>
          </w:p>
          <w:p w14:paraId="7FE1B9A6" w14:textId="4568C681" w:rsidR="00414040" w:rsidRDefault="00904E1A">
            <w:pPr>
              <w:pStyle w:val="P68B1DB1-TableParagraph17"/>
              <w:spacing w:before="108"/>
              <w:ind w:left="85"/>
              <w:rPr>
                <w:lang w:val="es-ES"/>
              </w:rPr>
            </w:pPr>
            <w:r w:rsidRPr="2133F407">
              <w:rPr>
                <w:lang w:val="es-ES"/>
              </w:rPr>
              <w:t>(2) Sociedades no financieras:</w:t>
            </w:r>
            <w:r w:rsidR="005E50B7">
              <w:rPr>
                <w:lang w:val="es-ES"/>
              </w:rPr>
              <w:t xml:space="preserve"> </w:t>
            </w:r>
            <w:r w:rsidRPr="2133F407">
              <w:rPr>
                <w:lang w:val="es-ES"/>
              </w:rPr>
              <w:t>pymes</w:t>
            </w:r>
          </w:p>
          <w:p w14:paraId="7FE1B9A7" w14:textId="52723D2E" w:rsidR="00414040" w:rsidRDefault="00904E1A">
            <w:pPr>
              <w:pStyle w:val="P68B1DB1-TableParagraph17"/>
              <w:spacing w:before="108"/>
              <w:ind w:left="85"/>
            </w:pPr>
            <w:r w:rsidRPr="2133F407">
              <w:rPr>
                <w:lang w:val="es-ES"/>
              </w:rPr>
              <w:t>(3) Sociedades no financieras:</w:t>
            </w:r>
            <w:r w:rsidR="005E50B7">
              <w:rPr>
                <w:lang w:val="es-ES"/>
              </w:rPr>
              <w:t xml:space="preserve"> </w:t>
            </w:r>
            <w:r w:rsidRPr="2133F407">
              <w:rPr>
                <w:lang w:val="es-ES"/>
              </w:rPr>
              <w:t>no pymes</w:t>
            </w:r>
          </w:p>
        </w:tc>
      </w:tr>
      <w:tr w:rsidR="00414040" w14:paraId="7FE1B9AC" w14:textId="77777777" w:rsidTr="11A44BD7">
        <w:tc>
          <w:tcPr>
            <w:tcW w:w="1191" w:type="dxa"/>
            <w:tcBorders>
              <w:top w:val="single" w:sz="4" w:space="0" w:color="1A171C"/>
              <w:left w:val="nil"/>
              <w:bottom w:val="single" w:sz="4" w:space="0" w:color="1A171C"/>
              <w:right w:val="single" w:sz="4" w:space="0" w:color="1A171C"/>
            </w:tcBorders>
          </w:tcPr>
          <w:p w14:paraId="7FE1B9A9" w14:textId="77777777" w:rsidR="00414040" w:rsidRDefault="00904E1A">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414040" w:rsidRDefault="00904E1A">
            <w:pPr>
              <w:pStyle w:val="P68B1DB1-TableParagraph14"/>
              <w:spacing w:before="108"/>
              <w:ind w:left="85"/>
              <w:jc w:val="both"/>
              <w:rPr>
                <w:bCs/>
              </w:rPr>
            </w:pPr>
            <w:r>
              <w:t>Servicios de caja</w:t>
            </w:r>
          </w:p>
          <w:p w14:paraId="7FE1B9AB" w14:textId="6E523759" w:rsidR="00414040" w:rsidRDefault="00904E1A">
            <w:pPr>
              <w:pStyle w:val="P68B1DB1-TableParagraph17"/>
              <w:spacing w:before="108"/>
              <w:ind w:left="85"/>
            </w:pPr>
            <w:r w:rsidRPr="1F00E86A">
              <w:rPr>
                <w:lang w:val="es-ES"/>
              </w:rPr>
              <w:lastRenderedPageBreak/>
              <w:t>Prestación de servicios de caja a clientes (tanto particulares como empresas, pero que no pertenezcan al sector de las IFM). Aquí se hace referencia a las retiradas de dinero en cajeros automáticos</w:t>
            </w:r>
            <w:r w:rsidR="00FA66AB" w:rsidRPr="1F00E86A">
              <w:rPr>
                <w:lang w:val="es-ES"/>
              </w:rPr>
              <w:t xml:space="preserve"> de la entidad</w:t>
            </w:r>
            <w:r w:rsidRPr="1F00E86A">
              <w:rPr>
                <w:lang w:val="es-ES"/>
              </w:rPr>
              <w:t xml:space="preserve"> y en las ventanillas de las sucursales, y quedan excluidos otros servicios</w:t>
            </w:r>
            <w:r w:rsidR="001867BE">
              <w:rPr>
                <w:lang w:val="es-ES"/>
              </w:rPr>
              <w:t xml:space="preserve"> de caja</w:t>
            </w:r>
            <w:r w:rsidRPr="1F00E86A">
              <w:rPr>
                <w:lang w:val="es-ES"/>
              </w:rPr>
              <w:t xml:space="preserve"> (como los de transporte de </w:t>
            </w:r>
            <w:r w:rsidR="00901A7D" w:rsidRPr="1F00E86A">
              <w:rPr>
                <w:lang w:val="es-ES"/>
              </w:rPr>
              <w:t>efectivo para grandes minoristas</w:t>
            </w:r>
            <w:r w:rsidRPr="1F00E86A">
              <w:rPr>
                <w:lang w:val="es-ES"/>
              </w:rPr>
              <w:t>). Se incluyen las retiradas de efectivo con cheques y en las ventanillas de las sucursales utilizando formularios bancarios (operaciones en las que cabe utilizar las tarjetas como medio de identificación).</w:t>
            </w:r>
          </w:p>
        </w:tc>
      </w:tr>
      <w:tr w:rsidR="00414040" w14:paraId="7FE1B9B0" w14:textId="77777777" w:rsidTr="11A44BD7">
        <w:tc>
          <w:tcPr>
            <w:tcW w:w="1191" w:type="dxa"/>
            <w:tcBorders>
              <w:top w:val="single" w:sz="4" w:space="0" w:color="1A171C"/>
              <w:left w:val="nil"/>
              <w:bottom w:val="single" w:sz="4" w:space="0" w:color="1A171C"/>
              <w:right w:val="single" w:sz="4" w:space="0" w:color="1A171C"/>
            </w:tcBorders>
          </w:tcPr>
          <w:p w14:paraId="7FE1B9AD" w14:textId="77777777" w:rsidR="00414040" w:rsidRDefault="00904E1A">
            <w:pPr>
              <w:pStyle w:val="P68B1DB1-TableParagraph17"/>
              <w:spacing w:before="108"/>
              <w:ind w:left="85"/>
              <w:jc w:val="both"/>
            </w:pPr>
            <w:r>
              <w:lastRenderedPageBreak/>
              <w:t>0190</w:t>
            </w:r>
          </w:p>
        </w:tc>
        <w:tc>
          <w:tcPr>
            <w:tcW w:w="7892" w:type="dxa"/>
            <w:tcBorders>
              <w:top w:val="single" w:sz="4" w:space="0" w:color="1A171C"/>
              <w:left w:val="single" w:sz="4" w:space="0" w:color="1A171C"/>
              <w:bottom w:val="single" w:sz="4" w:space="0" w:color="1A171C"/>
              <w:right w:val="nil"/>
            </w:tcBorders>
          </w:tcPr>
          <w:p w14:paraId="7FE1B9AE" w14:textId="77777777" w:rsidR="00414040" w:rsidRDefault="00904E1A">
            <w:pPr>
              <w:pStyle w:val="P68B1DB1-TableParagraph14"/>
              <w:spacing w:before="108"/>
              <w:ind w:left="85"/>
              <w:jc w:val="both"/>
              <w:rPr>
                <w:bCs/>
              </w:rPr>
            </w:pPr>
            <w:r>
              <w:t>Servicios de liquidación de valores</w:t>
            </w:r>
          </w:p>
          <w:p w14:paraId="7FE1B9AF" w14:textId="752C0162" w:rsidR="00414040" w:rsidRDefault="00904E1A">
            <w:pPr>
              <w:pStyle w:val="P68B1DB1-TableParagraph17"/>
              <w:spacing w:before="108"/>
              <w:ind w:left="85"/>
            </w:pPr>
            <w:r>
              <w:t xml:space="preserve">Servicios ofrecidos a los clientes para la confirmación, compensación y liquidación de operaciones con valores, sirviéndose </w:t>
            </w:r>
            <w:r w:rsidR="003324A5">
              <w:t xml:space="preserve">o </w:t>
            </w:r>
            <w:r>
              <w:t xml:space="preserve">no de sistemas de liquidación de valores. Por «liquidación» se entiende la finalización de una operación con </w:t>
            </w:r>
            <w:proofErr w:type="gramStart"/>
            <w:r>
              <w:t xml:space="preserve">valores, </w:t>
            </w:r>
            <w:r w:rsidR="00E60BAF">
              <w:t xml:space="preserve"> </w:t>
            </w:r>
            <w:r w:rsidR="00E60BAF" w:rsidRPr="00E60BAF">
              <w:t>cuando</w:t>
            </w:r>
            <w:proofErr w:type="gramEnd"/>
            <w:r w:rsidR="00E60BAF" w:rsidRPr="00E60BAF">
              <w:t xml:space="preserve"> se realiza</w:t>
            </w:r>
            <w:r>
              <w:t xml:space="preserve"> con el fin de </w:t>
            </w:r>
            <w:r w:rsidR="00495910">
              <w:t>saldar</w:t>
            </w:r>
            <w:r w:rsidR="00C92E5D" w:rsidRPr="00C92E5D" w:rsidDel="00C92E5D">
              <w:t xml:space="preserve"> </w:t>
            </w:r>
            <w:r>
              <w:t xml:space="preserve">las obligaciones de las partes </w:t>
            </w:r>
            <w:r w:rsidR="00C067CF">
              <w:t xml:space="preserve">de </w:t>
            </w:r>
            <w:r>
              <w:t>dicha operación mediante la transferencia de fondos, de valores, o de amb</w:t>
            </w:r>
            <w:r w:rsidR="00A22661">
              <w:t>o</w:t>
            </w:r>
            <w:r>
              <w:t>s.</w:t>
            </w:r>
          </w:p>
        </w:tc>
      </w:tr>
      <w:tr w:rsidR="00414040" w14:paraId="7FE1B9B4" w14:textId="77777777" w:rsidTr="11A44BD7">
        <w:tc>
          <w:tcPr>
            <w:tcW w:w="1191" w:type="dxa"/>
            <w:tcBorders>
              <w:top w:val="single" w:sz="4" w:space="0" w:color="1A171C"/>
              <w:left w:val="nil"/>
              <w:bottom w:val="single" w:sz="4" w:space="0" w:color="1A171C"/>
              <w:right w:val="single" w:sz="4" w:space="0" w:color="1A171C"/>
            </w:tcBorders>
          </w:tcPr>
          <w:p w14:paraId="7FE1B9B1" w14:textId="77777777" w:rsidR="00414040" w:rsidRDefault="00904E1A">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414040" w:rsidRDefault="00904E1A">
            <w:pPr>
              <w:pStyle w:val="P68B1DB1-TableParagraph14"/>
              <w:spacing w:before="108"/>
              <w:ind w:left="85"/>
              <w:jc w:val="both"/>
              <w:rPr>
                <w:bCs/>
              </w:rPr>
            </w:pPr>
            <w:r>
              <w:t>Servicios de compensación a través de ECC</w:t>
            </w:r>
          </w:p>
          <w:p w14:paraId="7FE1B9B3" w14:textId="77777777" w:rsidR="00414040" w:rsidRDefault="00904E1A">
            <w:pPr>
              <w:pStyle w:val="P68B1DB1-TableParagraph17"/>
              <w:spacing w:before="108"/>
              <w:ind w:left="85"/>
            </w:pPr>
            <w:r>
              <w:t>Servicios de compensación de valores y derivados prestados a clientes. Aquí se incluye también la prestación de acceso indirecto a una entidad de contrapartida central (ECC).</w:t>
            </w:r>
          </w:p>
        </w:tc>
      </w:tr>
      <w:tr w:rsidR="00414040" w14:paraId="7FE1B9B8" w14:textId="77777777" w:rsidTr="11A44BD7">
        <w:tc>
          <w:tcPr>
            <w:tcW w:w="1191" w:type="dxa"/>
            <w:tcBorders>
              <w:top w:val="single" w:sz="4" w:space="0" w:color="1A171C"/>
              <w:left w:val="nil"/>
              <w:bottom w:val="single" w:sz="4" w:space="0" w:color="1A171C"/>
              <w:right w:val="single" w:sz="4" w:space="0" w:color="1A171C"/>
            </w:tcBorders>
          </w:tcPr>
          <w:p w14:paraId="7FE1B9B5" w14:textId="77777777" w:rsidR="00414040" w:rsidRDefault="00904E1A">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414040" w:rsidRDefault="00904E1A">
            <w:pPr>
              <w:pStyle w:val="P68B1DB1-TableParagraph14"/>
              <w:spacing w:before="108"/>
              <w:ind w:left="85"/>
              <w:jc w:val="both"/>
              <w:rPr>
                <w:bCs/>
              </w:rPr>
            </w:pPr>
            <w:r>
              <w:t>Servicios de custodia</w:t>
            </w:r>
          </w:p>
          <w:p w14:paraId="7FE1B9B7" w14:textId="3C132497" w:rsidR="00414040" w:rsidRDefault="00904E1A">
            <w:pPr>
              <w:pStyle w:val="P68B1DB1-TableParagraph17"/>
              <w:spacing w:before="108"/>
              <w:ind w:left="85"/>
            </w:pPr>
            <w:r>
              <w:t>Custodia y administración de instrumentos financieros para clientes y servicios relacionados, como los de gestión de caja y de garantías reales.</w:t>
            </w:r>
          </w:p>
        </w:tc>
      </w:tr>
      <w:tr w:rsidR="00414040" w14:paraId="7FE1B9BB" w14:textId="77777777" w:rsidTr="11A44BD7">
        <w:tc>
          <w:tcPr>
            <w:tcW w:w="1191" w:type="dxa"/>
            <w:tcBorders>
              <w:top w:val="single" w:sz="4" w:space="0" w:color="1A171C"/>
              <w:left w:val="nil"/>
              <w:bottom w:val="single" w:sz="4" w:space="0" w:color="1A171C"/>
              <w:right w:val="single" w:sz="4" w:space="0" w:color="1A171C"/>
            </w:tcBorders>
          </w:tcPr>
          <w:p w14:paraId="7FE1B9B9" w14:textId="77777777" w:rsidR="00414040" w:rsidRDefault="00904E1A">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1D08E5EE" w:rsidR="00414040" w:rsidRDefault="00904E1A">
            <w:pPr>
              <w:pStyle w:val="P68B1DB1-TableParagraph14"/>
              <w:spacing w:before="108"/>
              <w:ind w:left="85"/>
              <w:jc w:val="both"/>
              <w:rPr>
                <w:rFonts w:eastAsia="Cambria"/>
              </w:rPr>
            </w:pPr>
            <w:r>
              <w:t xml:space="preserve">Otros servicios/actividades/funciones </w:t>
            </w:r>
            <w:r w:rsidR="002F2A58">
              <w:t>(</w:t>
            </w:r>
            <w:r>
              <w:t xml:space="preserve">1), </w:t>
            </w:r>
            <w:r w:rsidR="002F2A58">
              <w:t>(</w:t>
            </w:r>
            <w:r>
              <w:t xml:space="preserve">2) y </w:t>
            </w:r>
            <w:r w:rsidR="002F2A58">
              <w:t>(</w:t>
            </w:r>
            <w:r>
              <w:t>3)</w:t>
            </w:r>
          </w:p>
        </w:tc>
      </w:tr>
      <w:tr w:rsidR="00414040" w14:paraId="7FE1B9BE" w14:textId="77777777" w:rsidTr="11A44BD7">
        <w:tc>
          <w:tcPr>
            <w:tcW w:w="9083" w:type="dxa"/>
            <w:gridSpan w:val="2"/>
            <w:tcBorders>
              <w:top w:val="single" w:sz="4" w:space="0" w:color="1A171C"/>
              <w:left w:val="nil"/>
              <w:bottom w:val="single" w:sz="4" w:space="0" w:color="1A171C"/>
            </w:tcBorders>
          </w:tcPr>
          <w:p w14:paraId="7FE1B9BC" w14:textId="4228BCAA" w:rsidR="00414040" w:rsidRDefault="00904E1A">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414040" w:rsidRDefault="00904E1A">
            <w:pPr>
              <w:pStyle w:val="P68B1DB1-TableParagraph17"/>
              <w:spacing w:before="108"/>
              <w:ind w:left="85"/>
              <w:jc w:val="both"/>
            </w:pPr>
            <w:r>
              <w:t xml:space="preserve">Las actividades de los mercados de capitales harán referencia a la emisión y la negociación de valores, los servicios de asesoramiento relacionados y otros servicios conexos, como el corretaje preferencial y la creación de mercado. </w:t>
            </w:r>
          </w:p>
        </w:tc>
      </w:tr>
      <w:tr w:rsidR="00414040" w14:paraId="7FE1B9C5" w14:textId="77777777" w:rsidTr="11A44BD7">
        <w:tc>
          <w:tcPr>
            <w:tcW w:w="1191" w:type="dxa"/>
            <w:tcBorders>
              <w:top w:val="single" w:sz="4" w:space="0" w:color="1A171C"/>
              <w:left w:val="nil"/>
              <w:bottom w:val="single" w:sz="4" w:space="0" w:color="1A171C"/>
              <w:right w:val="single" w:sz="4" w:space="0" w:color="1A171C"/>
            </w:tcBorders>
          </w:tcPr>
          <w:p w14:paraId="7FE1B9BF" w14:textId="77777777" w:rsidR="00414040" w:rsidRDefault="00904E1A">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414040" w:rsidRDefault="00904E1A">
            <w:pPr>
              <w:pStyle w:val="P68B1DB1-TableParagraph14"/>
              <w:spacing w:before="108"/>
              <w:ind w:left="85"/>
              <w:jc w:val="both"/>
              <w:rPr>
                <w:bCs/>
              </w:rPr>
            </w:pPr>
            <w:r>
              <w:t>Derivados mantenidos para negociar (OTC)</w:t>
            </w:r>
          </w:p>
          <w:p w14:paraId="7FE1B9C1" w14:textId="343E0C48" w:rsidR="00414040" w:rsidRDefault="00904E1A">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Artículo 2, apartado 5, y artículo 7 del Reglamento (UE)</w:t>
            </w:r>
            <w:r w:rsidR="00ED5AD3">
              <w:t xml:space="preserve"> </w:t>
            </w:r>
            <w:r>
              <w:rPr>
                <w:rFonts w:ascii="Times New Roman" w:eastAsia="Cambria" w:hAnsi="Times New Roman" w:cs="Times New Roman"/>
                <w:color w:val="000000" w:themeColor="text1"/>
                <w:sz w:val="20"/>
                <w:szCs w:val="20"/>
              </w:rPr>
              <w:t>n.º 648/2012</w:t>
            </w:r>
            <w:r w:rsidR="0094348F">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414040" w:rsidRDefault="00904E1A">
            <w:pPr>
              <w:pStyle w:val="P68B1DB1-TableParagraph17"/>
              <w:spacing w:before="108"/>
              <w:ind w:left="85"/>
            </w:pPr>
            <w:r w:rsidRPr="2133F407">
              <w:rPr>
                <w:lang w:val="es-ES"/>
              </w:rPr>
              <w:t>Por derivado o contrato de derivados se entiende alguno de los instrumentos financieros enumerados en el anexo I, sección C, puntos 4 a 10, de la Directiva 2014/65/UE, tal como se aplican en virtud de los artículos 38 y 39 del Reglamento (CE) n.º 1287/2006.</w:t>
            </w:r>
          </w:p>
          <w:p w14:paraId="7FE1B9C3" w14:textId="583C566B" w:rsidR="00414040" w:rsidRDefault="00904E1A">
            <w:pPr>
              <w:pStyle w:val="P68B1DB1-TableParagraph17"/>
              <w:spacing w:before="108"/>
              <w:ind w:left="85"/>
            </w:pPr>
            <w:r>
              <w:t xml:space="preserve">Por derivado extrabursátil (OTC) o contrato de derivados extrabursátiles (OTC) se entiende un contrato de derivados cuya ejecución no tiene lugar en un mercado regulado, tal como se define en el artículo 4, apartado 1, punto 21, de la Directiva 2014/65/EU, o en un mercado de un tercer país que se considere equivalente a un mercado regulado de conformidad con el artículo 2 </w:t>
            </w:r>
            <w:r w:rsidRPr="00210421">
              <w:rPr>
                <w:i/>
                <w:iCs/>
              </w:rPr>
              <w:t>bis</w:t>
            </w:r>
            <w:r>
              <w:t xml:space="preserve"> del Reglamento (UE) n.º 648/2012.</w:t>
            </w:r>
          </w:p>
          <w:p w14:paraId="7FE1B9C4" w14:textId="4B69ED6A" w:rsidR="00414040" w:rsidRDefault="00904E1A">
            <w:pPr>
              <w:pStyle w:val="P68B1DB1-TableParagraph17"/>
              <w:spacing w:before="108"/>
              <w:ind w:left="85"/>
            </w:pPr>
            <w:r>
              <w:t xml:space="preserve">En el importe </w:t>
            </w:r>
            <w:r w:rsidR="1965C4CB">
              <w:t>informado</w:t>
            </w:r>
            <w:r>
              <w:t xml:space="preserve"> solo se incluirán los derivados negociados en el mercado OTC. </w:t>
            </w:r>
          </w:p>
        </w:tc>
      </w:tr>
      <w:tr w:rsidR="00414040" w14:paraId="7FE1B9C9" w14:textId="77777777" w:rsidTr="11A44BD7">
        <w:tc>
          <w:tcPr>
            <w:tcW w:w="1191" w:type="dxa"/>
            <w:tcBorders>
              <w:top w:val="single" w:sz="4" w:space="0" w:color="1A171C"/>
              <w:left w:val="nil"/>
              <w:bottom w:val="single" w:sz="4" w:space="0" w:color="1A171C"/>
              <w:right w:val="single" w:sz="4" w:space="0" w:color="1A171C"/>
            </w:tcBorders>
          </w:tcPr>
          <w:p w14:paraId="7FE1B9C6" w14:textId="77777777" w:rsidR="00414040" w:rsidRDefault="00904E1A">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414040" w:rsidRDefault="00904E1A">
            <w:pPr>
              <w:pStyle w:val="P68B1DB1-TableParagraph14"/>
              <w:spacing w:before="108"/>
              <w:ind w:left="85"/>
              <w:jc w:val="both"/>
              <w:rPr>
                <w:bCs/>
              </w:rPr>
            </w:pPr>
            <w:r>
              <w:t>Derivados mantenidos para negociar (no OTC)</w:t>
            </w:r>
          </w:p>
          <w:p w14:paraId="7FE1B9C8" w14:textId="77777777" w:rsidR="00414040" w:rsidRDefault="00904E1A">
            <w:pPr>
              <w:pStyle w:val="P68B1DB1-TableParagraph17"/>
              <w:spacing w:before="108"/>
              <w:ind w:left="85"/>
            </w:pPr>
            <w:r>
              <w:t xml:space="preserve">Todos los derivados mantenidos para negociar, excepto los derivados OTC mantenidos a tal fin. </w:t>
            </w:r>
          </w:p>
        </w:tc>
      </w:tr>
      <w:tr w:rsidR="00414040" w14:paraId="7FE1B9CF" w14:textId="77777777" w:rsidTr="11A44BD7">
        <w:tc>
          <w:tcPr>
            <w:tcW w:w="1191" w:type="dxa"/>
            <w:tcBorders>
              <w:top w:val="single" w:sz="4" w:space="0" w:color="1A171C"/>
              <w:left w:val="nil"/>
              <w:bottom w:val="single" w:sz="4" w:space="0" w:color="1A171C"/>
              <w:right w:val="single" w:sz="4" w:space="0" w:color="1A171C"/>
            </w:tcBorders>
          </w:tcPr>
          <w:p w14:paraId="7FE1B9CA" w14:textId="77777777" w:rsidR="00414040" w:rsidRDefault="00904E1A">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414040" w:rsidRDefault="00904E1A">
            <w:pPr>
              <w:pStyle w:val="P68B1DB1-TableParagraph14"/>
              <w:spacing w:before="108"/>
              <w:ind w:left="85"/>
              <w:jc w:val="both"/>
              <w:rPr>
                <w:bCs/>
              </w:rPr>
            </w:pPr>
            <w:r>
              <w:t>Mercados secundarios/negociación</w:t>
            </w:r>
          </w:p>
          <w:p w14:paraId="7FE1B9CC" w14:textId="77777777" w:rsidR="00414040" w:rsidRDefault="00904E1A">
            <w:pPr>
              <w:pStyle w:val="P68B1DB1-TableParagraph17"/>
              <w:spacing w:before="108"/>
              <w:ind w:left="85"/>
            </w:pPr>
            <w:r>
              <w:t>El mercado secundario es aquel en el que los inversores compran y venden valores. Esta función se aplica al total de la cartera de negociación (es decir, a las acciones e instrumentos asimilados, a la deuda empresarial y a la deuda soberana).</w:t>
            </w:r>
          </w:p>
          <w:p w14:paraId="7FE1B9CD" w14:textId="607DC14B" w:rsidR="00414040" w:rsidRDefault="00904E1A">
            <w:pPr>
              <w:pStyle w:val="P68B1DB1-TableParagraph17"/>
              <w:spacing w:before="108"/>
              <w:ind w:left="85"/>
            </w:pPr>
            <w:r>
              <w:lastRenderedPageBreak/>
              <w:t xml:space="preserve">El importe </w:t>
            </w:r>
            <w:r w:rsidR="530DF640">
              <w:t>informado</w:t>
            </w:r>
            <w:r>
              <w:t xml:space="preserve"> será el valor de los títulos valores, medido por el importe total de los valores incluidos en la categoría contable «mantenidos para negociar». Los valores se </w:t>
            </w:r>
            <w:r w:rsidR="231F17B5">
              <w:t>informarán</w:t>
            </w:r>
            <w:r>
              <w:t xml:space="preserve"> por su valor razonable en la fecha de </w:t>
            </w:r>
            <w:r w:rsidR="00F458E6">
              <w:t>referencia</w:t>
            </w:r>
            <w:r>
              <w:t>.</w:t>
            </w:r>
          </w:p>
          <w:p w14:paraId="7FE1B9CE" w14:textId="77777777" w:rsidR="00414040" w:rsidRDefault="00904E1A">
            <w:pPr>
              <w:pStyle w:val="P68B1DB1-TableParagraph17"/>
              <w:spacing w:before="108"/>
              <w:ind w:left="85"/>
            </w:pPr>
            <w:r>
              <w:t>En el importe no se incluirán los préstamos, los derivados y los activos no negociables (por ejemplo, cuentas a cobrar).</w:t>
            </w:r>
          </w:p>
        </w:tc>
      </w:tr>
      <w:tr w:rsidR="00414040" w14:paraId="7FE1B9D3" w14:textId="77777777" w:rsidTr="11A44BD7">
        <w:tc>
          <w:tcPr>
            <w:tcW w:w="1191" w:type="dxa"/>
            <w:tcBorders>
              <w:top w:val="single" w:sz="4" w:space="0" w:color="1A171C"/>
              <w:left w:val="nil"/>
              <w:bottom w:val="single" w:sz="4" w:space="0" w:color="1A171C"/>
              <w:right w:val="single" w:sz="4" w:space="0" w:color="1A171C"/>
            </w:tcBorders>
          </w:tcPr>
          <w:p w14:paraId="7FE1B9D0" w14:textId="77777777" w:rsidR="00414040" w:rsidRDefault="00904E1A">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414040" w:rsidRDefault="00904E1A">
            <w:pPr>
              <w:pStyle w:val="P68B1DB1-TableParagraph14"/>
              <w:spacing w:before="108"/>
              <w:ind w:left="85"/>
              <w:jc w:val="both"/>
              <w:rPr>
                <w:bCs/>
              </w:rPr>
            </w:pPr>
            <w:r>
              <w:t>Mercados primarios/aseguramiento</w:t>
            </w:r>
          </w:p>
          <w:p w14:paraId="7FE1B9D2" w14:textId="77777777" w:rsidR="00414040" w:rsidRDefault="00904E1A">
            <w:pPr>
              <w:pStyle w:val="P68B1DB1-TableParagraph17"/>
              <w:spacing w:before="108"/>
              <w:ind w:left="85"/>
            </w:pPr>
            <w:r>
              <w:t>Los mercados primarios son aquellos en los que empresas, administraciones públicas y otros grupos emiten nuevos valores a fin de obtener financiación a través de títulos de renta fija o variable (acciones ordinarias y preferentes, bonos y pagarés de empresa e instrumentos similares, bonos y obligaciones del Estado, etc.). Los consorcios aseguradores de emisiones apuntalan los mercados primarios.</w:t>
            </w:r>
          </w:p>
        </w:tc>
      </w:tr>
      <w:tr w:rsidR="00414040" w14:paraId="7FE1B9D6" w14:textId="77777777" w:rsidTr="11A44BD7">
        <w:tc>
          <w:tcPr>
            <w:tcW w:w="1191" w:type="dxa"/>
            <w:tcBorders>
              <w:top w:val="single" w:sz="4" w:space="0" w:color="1A171C"/>
              <w:left w:val="nil"/>
              <w:bottom w:val="single" w:sz="4" w:space="0" w:color="1A171C"/>
              <w:right w:val="single" w:sz="4" w:space="0" w:color="1A171C"/>
            </w:tcBorders>
          </w:tcPr>
          <w:p w14:paraId="7FE1B9D4" w14:textId="77777777" w:rsidR="00414040" w:rsidRDefault="00904E1A">
            <w:pPr>
              <w:pStyle w:val="P68B1DB1-TableParagraph17"/>
              <w:spacing w:before="108"/>
              <w:ind w:left="85"/>
              <w:jc w:val="both"/>
            </w:pPr>
            <w:r>
              <w:t>0290-0310</w:t>
            </w:r>
          </w:p>
        </w:tc>
        <w:tc>
          <w:tcPr>
            <w:tcW w:w="7892" w:type="dxa"/>
            <w:tcBorders>
              <w:top w:val="single" w:sz="4" w:space="0" w:color="1A171C"/>
              <w:left w:val="single" w:sz="4" w:space="0" w:color="1A171C"/>
              <w:bottom w:val="single" w:sz="4" w:space="0" w:color="1A171C"/>
              <w:right w:val="nil"/>
            </w:tcBorders>
          </w:tcPr>
          <w:p w14:paraId="7FE1B9D5" w14:textId="78312992" w:rsidR="00414040" w:rsidRDefault="00904E1A">
            <w:pPr>
              <w:pStyle w:val="P68B1DB1-TableParagraph14"/>
              <w:spacing w:before="108"/>
              <w:ind w:left="85"/>
              <w:jc w:val="both"/>
              <w:rPr>
                <w:rFonts w:eastAsia="Cambria"/>
              </w:rPr>
            </w:pPr>
            <w:r>
              <w:t xml:space="preserve">Otros servicios/actividades/funciones </w:t>
            </w:r>
            <w:r w:rsidR="00421DC9">
              <w:t>(</w:t>
            </w:r>
            <w:r>
              <w:t xml:space="preserve">1), </w:t>
            </w:r>
            <w:r w:rsidR="00421DC9">
              <w:t>(</w:t>
            </w:r>
            <w:r>
              <w:t xml:space="preserve">2) y </w:t>
            </w:r>
            <w:r w:rsidR="00421DC9">
              <w:t>(</w:t>
            </w:r>
            <w:r>
              <w:t>3)</w:t>
            </w:r>
          </w:p>
        </w:tc>
      </w:tr>
      <w:tr w:rsidR="00414040" w14:paraId="7FE1B9D9" w14:textId="77777777" w:rsidTr="11A44BD7">
        <w:tc>
          <w:tcPr>
            <w:tcW w:w="9083" w:type="dxa"/>
            <w:gridSpan w:val="2"/>
            <w:tcBorders>
              <w:top w:val="single" w:sz="4" w:space="0" w:color="1A171C"/>
              <w:left w:val="nil"/>
              <w:bottom w:val="single" w:sz="4" w:space="0" w:color="1A171C"/>
            </w:tcBorders>
          </w:tcPr>
          <w:p w14:paraId="7FE1B9D7" w14:textId="1DCC31B9" w:rsidR="00414040" w:rsidRDefault="00904E1A">
            <w:pPr>
              <w:pStyle w:val="P68B1DB1-TableParagraph16"/>
              <w:spacing w:before="108"/>
              <w:ind w:left="85"/>
              <w:jc w:val="both"/>
              <w:rPr>
                <w:b/>
                <w:bCs/>
                <w:color w:val="000000" w:themeColor="text1"/>
                <w:sz w:val="20"/>
                <w:szCs w:val="20"/>
              </w:rPr>
            </w:pPr>
            <w:r>
              <w:t>Z 07.01.5 FUNC 1 WF</w:t>
            </w:r>
          </w:p>
          <w:p w14:paraId="7FE1B9D8" w14:textId="5EF25965" w:rsidR="00414040" w:rsidRDefault="00904E1A">
            <w:pPr>
              <w:pStyle w:val="P68B1DB1-TableParagraph17"/>
              <w:spacing w:before="108"/>
              <w:ind w:left="85"/>
              <w:jc w:val="both"/>
            </w:pPr>
            <w:r>
              <w:t xml:space="preserve">Actividades de concesión de </w:t>
            </w:r>
            <w:r w:rsidR="0090074D">
              <w:t xml:space="preserve">financiación </w:t>
            </w:r>
            <w:r>
              <w:t xml:space="preserve">a contrapartes financieras y de </w:t>
            </w:r>
            <w:r w:rsidR="00ED5AD3">
              <w:t xml:space="preserve">toma de financiación de estas contrapartes </w:t>
            </w:r>
            <w:r>
              <w:t>(entidades de crédito y otras sociedades financieras) en los mercados mayor</w:t>
            </w:r>
            <w:r w:rsidR="00D46668">
              <w:t>istas</w:t>
            </w:r>
            <w:r>
              <w:t>.</w:t>
            </w:r>
          </w:p>
        </w:tc>
      </w:tr>
      <w:tr w:rsidR="00414040" w14:paraId="7FE1B9DD" w14:textId="77777777" w:rsidTr="11A44BD7">
        <w:tc>
          <w:tcPr>
            <w:tcW w:w="1191" w:type="dxa"/>
            <w:tcBorders>
              <w:top w:val="single" w:sz="4" w:space="0" w:color="1A171C"/>
              <w:left w:val="nil"/>
              <w:bottom w:val="single" w:sz="4" w:space="0" w:color="1A171C"/>
              <w:right w:val="single" w:sz="4" w:space="0" w:color="1A171C"/>
            </w:tcBorders>
          </w:tcPr>
          <w:p w14:paraId="7FE1B9DA" w14:textId="77777777" w:rsidR="00414040" w:rsidRDefault="00904E1A">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A26A648" w:rsidR="00414040" w:rsidRDefault="00E47A3A">
            <w:pPr>
              <w:pStyle w:val="P68B1DB1-TableParagraph14"/>
              <w:spacing w:before="108"/>
              <w:ind w:left="85"/>
              <w:jc w:val="both"/>
              <w:rPr>
                <w:bCs/>
              </w:rPr>
            </w:pPr>
            <w:r w:rsidRPr="00E47A3A">
              <w:t xml:space="preserve">Toma de </w:t>
            </w:r>
            <w:r w:rsidR="0090074D">
              <w:t>financiación</w:t>
            </w:r>
          </w:p>
          <w:p w14:paraId="7FE1B9DC" w14:textId="46760999" w:rsidR="00414040" w:rsidRDefault="00904E1A">
            <w:pPr>
              <w:pStyle w:val="P68B1DB1-TableParagraph17"/>
              <w:spacing w:before="108"/>
              <w:ind w:left="85"/>
            </w:pPr>
            <w:r>
              <w:t xml:space="preserve">Toma de </w:t>
            </w:r>
            <w:r w:rsidR="0090074D">
              <w:t xml:space="preserve">financiación </w:t>
            </w:r>
            <w:r>
              <w:t xml:space="preserve">de contrapartes financieras en los mercados mayoristas (en su caso, mediante pactos de recompra, préstamos interbancarios, </w:t>
            </w:r>
            <w:r w:rsidR="007D6727" w:rsidRPr="007D6727">
              <w:t>efectos comerciales</w:t>
            </w:r>
            <w:r>
              <w:t>, certificados de depósito, fondos del mercado monetario, líneas de crédito, pagarés de titulización y depósitos fiduciarios).</w:t>
            </w:r>
          </w:p>
        </w:tc>
      </w:tr>
      <w:tr w:rsidR="00414040" w14:paraId="7FE1B9E1" w14:textId="77777777" w:rsidTr="11A44BD7">
        <w:tc>
          <w:tcPr>
            <w:tcW w:w="1191" w:type="dxa"/>
            <w:tcBorders>
              <w:top w:val="single" w:sz="4" w:space="0" w:color="1A171C"/>
              <w:left w:val="nil"/>
              <w:bottom w:val="single" w:sz="4" w:space="0" w:color="1A171C"/>
              <w:right w:val="single" w:sz="4" w:space="0" w:color="1A171C"/>
            </w:tcBorders>
          </w:tcPr>
          <w:p w14:paraId="7FE1B9DE" w14:textId="77777777" w:rsidR="00414040" w:rsidRDefault="00904E1A">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167A6684" w:rsidR="00414040" w:rsidRDefault="00904E1A">
            <w:pPr>
              <w:pStyle w:val="P68B1DB1-TableParagraph14"/>
              <w:spacing w:before="108"/>
              <w:ind w:left="85"/>
              <w:jc w:val="both"/>
              <w:rPr>
                <w:bCs/>
              </w:rPr>
            </w:pPr>
            <w:r>
              <w:t>Derivados (activos)</w:t>
            </w:r>
          </w:p>
          <w:p w14:paraId="7FE1B9E0" w14:textId="395B14E4" w:rsidR="00414040" w:rsidRDefault="00904E1A">
            <w:pPr>
              <w:pStyle w:val="P68B1DB1-TableParagraph17"/>
              <w:spacing w:before="108"/>
              <w:ind w:left="85"/>
            </w:pPr>
            <w:r>
              <w:t>Todos los derivados con contrapartes financieras mantenidos en el activo de balance. A diferencia de lo que ocurre en la sección correspondiente a los «Mercados de capitales», en esta sección («Financiación mayorista») los derivados incluyen todos los contratos de derivados con contrapartes financieras (no solo los mantenidos para negociar).</w:t>
            </w:r>
          </w:p>
        </w:tc>
      </w:tr>
      <w:tr w:rsidR="00414040" w14:paraId="7FE1B9E5" w14:textId="77777777" w:rsidTr="11A44BD7">
        <w:tc>
          <w:tcPr>
            <w:tcW w:w="1191" w:type="dxa"/>
            <w:tcBorders>
              <w:top w:val="single" w:sz="4" w:space="0" w:color="1A171C"/>
              <w:left w:val="nil"/>
              <w:bottom w:val="single" w:sz="4" w:space="0" w:color="1A171C"/>
              <w:right w:val="single" w:sz="4" w:space="0" w:color="1A171C"/>
            </w:tcBorders>
          </w:tcPr>
          <w:p w14:paraId="7FE1B9E2" w14:textId="77777777" w:rsidR="00414040" w:rsidRDefault="00904E1A">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2425C751" w:rsidR="00414040" w:rsidRDefault="000713A1">
            <w:pPr>
              <w:pStyle w:val="P68B1DB1-TableParagraph14"/>
              <w:spacing w:before="108"/>
              <w:ind w:left="85"/>
              <w:jc w:val="both"/>
              <w:rPr>
                <w:bCs/>
              </w:rPr>
            </w:pPr>
            <w:r>
              <w:t xml:space="preserve">Concesión de </w:t>
            </w:r>
            <w:r w:rsidR="0090074D">
              <w:t>financiación</w:t>
            </w:r>
          </w:p>
          <w:p w14:paraId="7FE1B9E4" w14:textId="02DE2134" w:rsidR="00414040" w:rsidRDefault="00904E1A">
            <w:pPr>
              <w:pStyle w:val="P68B1DB1-TableParagraph17"/>
              <w:spacing w:before="108"/>
              <w:ind w:left="85"/>
            </w:pPr>
            <w:r>
              <w:t xml:space="preserve">Concesión de </w:t>
            </w:r>
            <w:r w:rsidR="0090074D">
              <w:t xml:space="preserve">financiación </w:t>
            </w:r>
            <w:r>
              <w:t xml:space="preserve">a contrapartes financieras en los mercados mayoristas (en su caso, mediante préstamos de recompra inversa, </w:t>
            </w:r>
            <w:r w:rsidR="00E17BF1" w:rsidRPr="00E17BF1">
              <w:t>efectos comerciales,</w:t>
            </w:r>
            <w:r>
              <w:t xml:space="preserve"> certificados de depósito, fondos del mercado monetario, líneas de crédito, pagarés de titulización y depósitos fiduciarios).</w:t>
            </w:r>
          </w:p>
        </w:tc>
      </w:tr>
      <w:tr w:rsidR="00414040" w14:paraId="7FE1B9E9" w14:textId="77777777" w:rsidTr="11A44BD7">
        <w:tc>
          <w:tcPr>
            <w:tcW w:w="1191" w:type="dxa"/>
            <w:tcBorders>
              <w:top w:val="single" w:sz="4" w:space="0" w:color="1A171C"/>
              <w:left w:val="nil"/>
              <w:bottom w:val="single" w:sz="4" w:space="0" w:color="1A171C"/>
              <w:right w:val="single" w:sz="4" w:space="0" w:color="1A171C"/>
            </w:tcBorders>
          </w:tcPr>
          <w:p w14:paraId="7FE1B9E6" w14:textId="77777777" w:rsidR="00414040" w:rsidRDefault="00904E1A">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0BB8AB3" w:rsidR="00414040" w:rsidRDefault="00904E1A">
            <w:pPr>
              <w:pStyle w:val="P68B1DB1-TableParagraph14"/>
              <w:spacing w:before="108"/>
              <w:ind w:left="85"/>
              <w:jc w:val="both"/>
              <w:rPr>
                <w:bCs/>
              </w:rPr>
            </w:pPr>
            <w:r>
              <w:t>Derivados (pasivos)</w:t>
            </w:r>
          </w:p>
          <w:p w14:paraId="7FE1B9E8" w14:textId="1EAC70A7" w:rsidR="00414040" w:rsidRDefault="00904E1A">
            <w:pPr>
              <w:pStyle w:val="P68B1DB1-TableParagraph17"/>
              <w:spacing w:before="108"/>
              <w:ind w:left="85"/>
              <w:jc w:val="both"/>
            </w:pPr>
            <w:r>
              <w:t xml:space="preserve">Todos los derivados con contrapartes financieras mantenidos en el pasivo de balance. </w:t>
            </w:r>
          </w:p>
        </w:tc>
      </w:tr>
      <w:tr w:rsidR="00414040" w14:paraId="7FE1B9ED" w14:textId="77777777" w:rsidTr="11A44BD7">
        <w:tc>
          <w:tcPr>
            <w:tcW w:w="1191" w:type="dxa"/>
            <w:tcBorders>
              <w:top w:val="single" w:sz="4" w:space="0" w:color="1A171C"/>
              <w:left w:val="nil"/>
              <w:bottom w:val="single" w:sz="4" w:space="0" w:color="1A171C"/>
              <w:right w:val="single" w:sz="4" w:space="0" w:color="1A171C"/>
            </w:tcBorders>
          </w:tcPr>
          <w:p w14:paraId="7FE1B9EA" w14:textId="77777777" w:rsidR="00414040" w:rsidRDefault="00904E1A">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10231035" w:rsidR="00414040" w:rsidRDefault="00904E1A">
            <w:pPr>
              <w:pStyle w:val="P68B1DB1-TableParagraph14"/>
              <w:spacing w:before="108"/>
              <w:ind w:left="85"/>
              <w:jc w:val="both"/>
              <w:rPr>
                <w:bCs/>
              </w:rPr>
            </w:pPr>
            <w:r>
              <w:t xml:space="preserve">Otros tipos de productos </w:t>
            </w:r>
            <w:r w:rsidR="0061454E">
              <w:t>(</w:t>
            </w:r>
            <w:r>
              <w:t xml:space="preserve">1), </w:t>
            </w:r>
            <w:r w:rsidR="0061454E">
              <w:t>(</w:t>
            </w:r>
            <w:r>
              <w:t xml:space="preserve">2) y </w:t>
            </w:r>
            <w:r w:rsidR="0061454E">
              <w:t>(</w:t>
            </w:r>
            <w:r>
              <w:t>3)</w:t>
            </w:r>
          </w:p>
          <w:p w14:paraId="7FE1B9EC" w14:textId="77777777" w:rsidR="00414040" w:rsidRDefault="00904E1A">
            <w:pPr>
              <w:pStyle w:val="P68B1DB1-TableParagraph17"/>
              <w:spacing w:before="108"/>
              <w:ind w:left="85"/>
            </w:pPr>
            <w:r>
              <w:t>Cualquier actividad de la función económica «Financiación mayorista» no incluida entre las anteriores.</w:t>
            </w:r>
          </w:p>
        </w:tc>
      </w:tr>
    </w:tbl>
    <w:p w14:paraId="7FE1B9EE" w14:textId="77777777" w:rsidR="00414040" w:rsidRDefault="00414040">
      <w:pPr>
        <w:pStyle w:val="InstructionsText2"/>
        <w:numPr>
          <w:ilvl w:val="0"/>
          <w:numId w:val="0"/>
        </w:numPr>
        <w:ind w:left="1440" w:firstLine="18"/>
        <w:rPr>
          <w:rFonts w:ascii="Times New Roman" w:hAnsi="Times New Roman" w:cs="Times New Roman"/>
          <w:sz w:val="20"/>
          <w:szCs w:val="20"/>
        </w:rPr>
      </w:pPr>
    </w:p>
    <w:p w14:paraId="7FE1B9EF" w14:textId="3D9C3A6F" w:rsidR="00414040" w:rsidRDefault="00904E1A">
      <w:pPr>
        <w:pStyle w:val="P68B1DB1-Instructionsberschrift25"/>
        <w:numPr>
          <w:ilvl w:val="1"/>
          <w:numId w:val="49"/>
        </w:numPr>
        <w:ind w:left="357" w:hanging="357"/>
      </w:pPr>
      <w:bookmarkStart w:id="108" w:name="_Toc211525924"/>
      <w:r>
        <w:t>Z 07.01.1 FUNC 1 DEP</w:t>
      </w:r>
      <w:bookmarkEnd w:id="108"/>
    </w:p>
    <w:p w14:paraId="7FE1B9F9" w14:textId="77777777" w:rsidR="00414040" w:rsidRDefault="00414040">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14040" w14:paraId="7FE1B9FC" w14:textId="77777777" w:rsidTr="0C3A85F4">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414040" w:rsidRDefault="00904E1A">
            <w:pPr>
              <w:pStyle w:val="P68B1DB1-TableParagraph17"/>
              <w:spacing w:before="108"/>
              <w:ind w:left="85"/>
              <w:jc w:val="both"/>
            </w:pPr>
            <w:r>
              <w:t>Columnas</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414040" w:rsidRDefault="00904E1A">
            <w:pPr>
              <w:pStyle w:val="P68B1DB1-TableParagraph17"/>
              <w:spacing w:before="108"/>
              <w:ind w:left="85" w:right="1"/>
              <w:jc w:val="both"/>
            </w:pPr>
            <w:r>
              <w:t>Instrucciones</w:t>
            </w:r>
          </w:p>
        </w:tc>
      </w:tr>
      <w:tr w:rsidR="00414040" w14:paraId="7FE1BA00" w14:textId="77777777" w:rsidTr="0C3A85F4">
        <w:tc>
          <w:tcPr>
            <w:tcW w:w="1080" w:type="dxa"/>
            <w:tcBorders>
              <w:top w:val="single" w:sz="4" w:space="0" w:color="1A171C"/>
              <w:left w:val="nil"/>
              <w:bottom w:val="single" w:sz="4" w:space="0" w:color="1A171C"/>
              <w:right w:val="single" w:sz="4" w:space="0" w:color="1A171C"/>
            </w:tcBorders>
            <w:vAlign w:val="center"/>
          </w:tcPr>
          <w:p w14:paraId="7FE1B9FD" w14:textId="77777777" w:rsidR="00414040" w:rsidRDefault="00904E1A">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414040" w:rsidRDefault="00904E1A">
            <w:pPr>
              <w:pStyle w:val="P68B1DB1-TableParagraph14"/>
              <w:spacing w:before="108"/>
              <w:ind w:left="85"/>
              <w:jc w:val="both"/>
              <w:rPr>
                <w:bCs/>
              </w:rPr>
            </w:pPr>
            <w:r>
              <w:t>Descripción de la función económica</w:t>
            </w:r>
          </w:p>
          <w:p w14:paraId="7FE1B9FF" w14:textId="2DF858EE" w:rsidR="00414040" w:rsidRDefault="00904E1A">
            <w:pPr>
              <w:pStyle w:val="P68B1DB1-TableParagraph17"/>
              <w:spacing w:before="108"/>
              <w:ind w:left="85"/>
            </w:pPr>
            <w:r>
              <w:lastRenderedPageBreak/>
              <w:t xml:space="preserve">Cuando la función económica sea del tipo «Otros» (funciones en r0050 a r0070), se facilitará una descripción de dicha función. </w:t>
            </w:r>
          </w:p>
        </w:tc>
      </w:tr>
      <w:tr w:rsidR="00414040" w14:paraId="7FE1BA04" w14:textId="77777777" w:rsidTr="0C3A85F4">
        <w:tc>
          <w:tcPr>
            <w:tcW w:w="1080" w:type="dxa"/>
            <w:tcBorders>
              <w:top w:val="single" w:sz="4" w:space="0" w:color="1A171C"/>
              <w:left w:val="nil"/>
              <w:bottom w:val="single" w:sz="4" w:space="0" w:color="1A171C"/>
              <w:right w:val="single" w:sz="4" w:space="0" w:color="1A171C"/>
            </w:tcBorders>
            <w:vAlign w:val="center"/>
          </w:tcPr>
          <w:p w14:paraId="7FE1BA01" w14:textId="77777777" w:rsidR="00414040" w:rsidRDefault="00904E1A">
            <w:pPr>
              <w:pStyle w:val="P68B1DB1-TableParagraph17"/>
              <w:spacing w:before="108"/>
              <w:ind w:left="85"/>
              <w:jc w:val="both"/>
            </w:pPr>
            <w:r>
              <w:lastRenderedPageBreak/>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414040" w:rsidRDefault="00904E1A">
            <w:pPr>
              <w:pStyle w:val="P68B1DB1-TableParagraph14"/>
              <w:spacing w:before="108"/>
              <w:ind w:left="85"/>
              <w:jc w:val="both"/>
              <w:rPr>
                <w:bCs/>
              </w:rPr>
            </w:pPr>
            <w:r>
              <w:t xml:space="preserve">Cuota de mercado </w:t>
            </w:r>
          </w:p>
          <w:p w14:paraId="7FE1BA03" w14:textId="0A22C052" w:rsidR="00414040" w:rsidRDefault="00904E1A">
            <w:pPr>
              <w:pStyle w:val="P68B1DB1-TableParagraph17"/>
              <w:spacing w:before="108"/>
              <w:ind w:left="85"/>
            </w:pPr>
            <w:r>
              <w:t>Estimación de la cuota de mercado de la entidad o el grupo en relación con la función económica en el país o área geográfica correspondiente. Un porcentaje del mercado total en términos de valor</w:t>
            </w:r>
            <w:r w:rsidR="000B3BE8">
              <w:t xml:space="preserve"> </w:t>
            </w:r>
            <w:r w:rsidR="00C71148">
              <w:t>contable</w:t>
            </w:r>
            <w:r>
              <w:t>.</w:t>
            </w:r>
          </w:p>
        </w:tc>
      </w:tr>
      <w:tr w:rsidR="00414040" w14:paraId="7FE1BA09" w14:textId="77777777" w:rsidTr="0C3A85F4">
        <w:tc>
          <w:tcPr>
            <w:tcW w:w="1080" w:type="dxa"/>
            <w:tcBorders>
              <w:top w:val="single" w:sz="4" w:space="0" w:color="1A171C"/>
              <w:left w:val="nil"/>
              <w:bottom w:val="single" w:sz="4" w:space="0" w:color="1A171C"/>
              <w:right w:val="single" w:sz="4" w:space="0" w:color="1A171C"/>
            </w:tcBorders>
            <w:vAlign w:val="center"/>
          </w:tcPr>
          <w:p w14:paraId="7FE1BA05" w14:textId="77777777" w:rsidR="00414040" w:rsidRDefault="00904E1A">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414040" w:rsidRDefault="00904E1A">
            <w:pPr>
              <w:pStyle w:val="P68B1DB1-TableParagraph14"/>
              <w:spacing w:before="108"/>
              <w:jc w:val="both"/>
              <w:rPr>
                <w:bCs/>
              </w:rPr>
            </w:pPr>
            <w:r>
              <w:t>Valor contable</w:t>
            </w:r>
          </w:p>
          <w:p w14:paraId="7FE1BA07" w14:textId="77777777" w:rsidR="00414040" w:rsidRDefault="00904E1A">
            <w:pPr>
              <w:pStyle w:val="P68B1DB1-TableParagraph17"/>
              <w:spacing w:before="108"/>
            </w:pPr>
            <w:r>
              <w:t>Importe en libros (incluidos los intereses devengados) de los depósitos aceptados</w:t>
            </w:r>
          </w:p>
          <w:p w14:paraId="7FE1BA08" w14:textId="77777777" w:rsidR="00414040" w:rsidRDefault="00904E1A">
            <w:pPr>
              <w:pStyle w:val="P68B1DB1-TableParagraph17"/>
              <w:spacing w:before="108"/>
            </w:pPr>
            <w:r>
              <w:t>Referencias: FINREP, anexos III y IV, plantilla F 08.01, y anexo V, parte 2, apartado 97.</w:t>
            </w:r>
          </w:p>
        </w:tc>
      </w:tr>
      <w:tr w:rsidR="00414040" w14:paraId="7FE1BA0D" w14:textId="77777777" w:rsidTr="0C3A85F4">
        <w:tc>
          <w:tcPr>
            <w:tcW w:w="1080" w:type="dxa"/>
            <w:tcBorders>
              <w:top w:val="single" w:sz="4" w:space="0" w:color="1A171C"/>
              <w:left w:val="nil"/>
              <w:bottom w:val="single" w:sz="4" w:space="0" w:color="1A171C"/>
              <w:right w:val="single" w:sz="4" w:space="0" w:color="1A171C"/>
            </w:tcBorders>
            <w:vAlign w:val="center"/>
          </w:tcPr>
          <w:p w14:paraId="7FE1BA0A" w14:textId="47AA2EA1" w:rsidR="00414040" w:rsidRDefault="00904E1A">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28EC01BC" w:rsidR="00414040" w:rsidRDefault="00904E1A">
            <w:pPr>
              <w:pStyle w:val="P68B1DB1-TableParagraph14"/>
              <w:spacing w:before="108"/>
              <w:jc w:val="both"/>
              <w:rPr>
                <w:bCs/>
              </w:rPr>
            </w:pPr>
            <w:bookmarkStart w:id="109" w:name="_Hlk162030772"/>
            <w:r>
              <w:t>Del cual, no asegurados</w:t>
            </w:r>
          </w:p>
          <w:p w14:paraId="7FE1BA0C" w14:textId="6DAD2759" w:rsidR="00414040" w:rsidRDefault="00904E1A">
            <w:pPr>
              <w:pStyle w:val="P68B1DB1-TableParagraph13"/>
              <w:spacing w:before="108"/>
              <w:rPr>
                <w:rFonts w:eastAsia="Cambria"/>
              </w:rPr>
            </w:pPr>
            <w:r>
              <w:t>Importe en libros (incluidos los intereses devengados) de los depósitos aceptados con el saldo de su cuenta superior a 100 000,00 EUR</w:t>
            </w:r>
            <w:bookmarkEnd w:id="109"/>
            <w:r>
              <w:t xml:space="preserve">. Solo debe </w:t>
            </w:r>
            <w:r w:rsidR="143F669E">
              <w:t>informar</w:t>
            </w:r>
            <w:r w:rsidR="00ED376F">
              <w:t xml:space="preserve">se </w:t>
            </w:r>
            <w:r>
              <w:t>el importe que exceda de 100 000 EUR.</w:t>
            </w:r>
          </w:p>
        </w:tc>
      </w:tr>
      <w:tr w:rsidR="00414040" w14:paraId="7FE1BA14" w14:textId="77777777" w:rsidTr="0C3A85F4">
        <w:tc>
          <w:tcPr>
            <w:tcW w:w="1080" w:type="dxa"/>
            <w:tcBorders>
              <w:top w:val="single" w:sz="4" w:space="0" w:color="1A171C"/>
              <w:left w:val="nil"/>
              <w:bottom w:val="single" w:sz="4" w:space="0" w:color="1A171C"/>
              <w:right w:val="single" w:sz="4" w:space="0" w:color="1A171C"/>
            </w:tcBorders>
            <w:vAlign w:val="center"/>
          </w:tcPr>
          <w:p w14:paraId="7FE1BA0E" w14:textId="13FF7421" w:rsidR="00414040" w:rsidRDefault="00904E1A">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6E6E36C3" w:rsidR="00414040" w:rsidRDefault="00904E1A">
            <w:pPr>
              <w:pStyle w:val="P68B1DB1-TableParagraph14"/>
              <w:spacing w:before="108"/>
              <w:ind w:left="85"/>
              <w:jc w:val="both"/>
              <w:rPr>
                <w:bCs/>
              </w:rPr>
            </w:pPr>
            <w:bookmarkStart w:id="110" w:name="_Hlk162030782"/>
            <w:r>
              <w:t>Del cual: recurrentes</w:t>
            </w:r>
          </w:p>
          <w:p w14:paraId="7FE1BA12" w14:textId="39C71448" w:rsidR="00414040" w:rsidRDefault="00904E1A">
            <w:pPr>
              <w:pStyle w:val="P68B1DB1-TableParagraph13"/>
              <w:spacing w:before="108"/>
              <w:ind w:left="85"/>
              <w:jc w:val="both"/>
            </w:pPr>
            <w:bookmarkStart w:id="111" w:name="_Hlk170377814"/>
            <w:bookmarkStart w:id="112" w:name="_Hlk162030851"/>
            <w:r>
              <w:t>Importe en libros (incluidos los intereses devengados) de los depósitos aceptados que se mantienen en una cuenta de depósito recurrente. Las cuentas de depósito recurrentes son cuentas de depósito en las que se ha</w:t>
            </w:r>
            <w:r w:rsidR="00ED376F">
              <w:t>n</w:t>
            </w:r>
            <w:r>
              <w:t xml:space="preserve"> cargado o abonado al menos 5 operaciones mensuales por término medio durante los 6 meses anteriores a la fecha</w:t>
            </w:r>
            <w:r w:rsidR="00424898">
              <w:t>de corte</w:t>
            </w:r>
            <w:r>
              <w:t xml:space="preserve">, </w:t>
            </w:r>
            <w:r w:rsidR="00D8633D">
              <w:t xml:space="preserve">excluyendo </w:t>
            </w:r>
            <w:r>
              <w:t xml:space="preserve">las comisiones anuales, otros gastos y el pago de intereses relacionados con la cuenta. </w:t>
            </w:r>
            <w:bookmarkEnd w:id="111"/>
          </w:p>
          <w:bookmarkEnd w:id="110"/>
          <w:bookmarkEnd w:id="112"/>
          <w:p w14:paraId="7FE1BA13" w14:textId="0C63C868" w:rsidR="00414040" w:rsidRDefault="00414040">
            <w:pPr>
              <w:pStyle w:val="TableParagraph"/>
              <w:spacing w:before="108"/>
              <w:ind w:left="85"/>
              <w:jc w:val="both"/>
              <w:rPr>
                <w:rFonts w:ascii="Times New Roman" w:hAnsi="Times New Roman" w:cs="Times New Roman"/>
                <w:color w:val="000000" w:themeColor="text1"/>
                <w:sz w:val="20"/>
                <w:szCs w:val="20"/>
              </w:rPr>
            </w:pPr>
          </w:p>
        </w:tc>
      </w:tr>
      <w:tr w:rsidR="00414040" w14:paraId="7FE1BA18" w14:textId="77777777" w:rsidTr="0C3A85F4">
        <w:tc>
          <w:tcPr>
            <w:tcW w:w="1080" w:type="dxa"/>
            <w:tcBorders>
              <w:top w:val="single" w:sz="4" w:space="0" w:color="1A171C"/>
              <w:left w:val="nil"/>
              <w:bottom w:val="single" w:sz="4" w:space="0" w:color="1A171C"/>
              <w:right w:val="single" w:sz="4" w:space="0" w:color="1A171C"/>
            </w:tcBorders>
            <w:vAlign w:val="center"/>
          </w:tcPr>
          <w:p w14:paraId="7FE1BA15" w14:textId="56462D7A" w:rsidR="00414040" w:rsidRDefault="00904E1A">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414040" w:rsidRDefault="00904E1A">
            <w:pPr>
              <w:pStyle w:val="P68B1DB1-TableParagraph14"/>
              <w:spacing w:before="108"/>
              <w:ind w:left="85"/>
              <w:jc w:val="both"/>
              <w:rPr>
                <w:bCs/>
              </w:rPr>
            </w:pPr>
            <w:r>
              <w:t>Número de clientes</w:t>
            </w:r>
          </w:p>
          <w:p w14:paraId="7FE1BA17" w14:textId="2341EF38" w:rsidR="00414040" w:rsidRDefault="00904E1A">
            <w:pPr>
              <w:pStyle w:val="P68B1DB1-TableParagraph13"/>
              <w:spacing w:before="108"/>
              <w:ind w:left="85"/>
              <w:jc w:val="both"/>
            </w:pPr>
            <w:r w:rsidRPr="1F00E86A">
              <w:rPr>
                <w:lang w:val="es-ES"/>
              </w:rPr>
              <w:t xml:space="preserve">Número total de clientes que depositaron los valores </w:t>
            </w:r>
            <w:r w:rsidR="356D460D" w:rsidRPr="1F00E86A">
              <w:rPr>
                <w:lang w:val="es-ES"/>
              </w:rPr>
              <w:t>informado</w:t>
            </w:r>
            <w:r w:rsidRPr="1F00E86A">
              <w:rPr>
                <w:lang w:val="es-ES"/>
              </w:rPr>
              <w:t xml:space="preserve">s en c0030 «valor </w:t>
            </w:r>
            <w:r w:rsidR="29C2EF7C" w:rsidRPr="1F00E86A">
              <w:rPr>
                <w:lang w:val="es-ES"/>
              </w:rPr>
              <w:t>contable</w:t>
            </w:r>
            <w:r w:rsidRPr="1F00E86A">
              <w:rPr>
                <w:lang w:val="es-ES"/>
              </w:rPr>
              <w:t>». Si un cliente utiliza más de un producto</w:t>
            </w:r>
            <w:r w:rsidR="00E56F6A" w:rsidRPr="1F00E86A">
              <w:rPr>
                <w:lang w:val="es-ES"/>
              </w:rPr>
              <w:t>/cuenta</w:t>
            </w:r>
            <w:r w:rsidRPr="1F00E86A">
              <w:rPr>
                <w:lang w:val="es-ES"/>
              </w:rPr>
              <w:t xml:space="preserve"> de depósito, el cliente solo se c</w:t>
            </w:r>
            <w:r w:rsidR="21AA0C86" w:rsidRPr="1F00E86A">
              <w:rPr>
                <w:lang w:val="es-ES"/>
              </w:rPr>
              <w:t>ontará</w:t>
            </w:r>
            <w:r w:rsidRPr="1F00E86A">
              <w:rPr>
                <w:lang w:val="es-ES"/>
              </w:rPr>
              <w:t xml:space="preserve"> una vez.</w:t>
            </w:r>
          </w:p>
        </w:tc>
      </w:tr>
      <w:tr w:rsidR="00414040" w14:paraId="7FE1BA1F" w14:textId="77777777" w:rsidTr="0C3A85F4">
        <w:tc>
          <w:tcPr>
            <w:tcW w:w="1080" w:type="dxa"/>
            <w:tcBorders>
              <w:top w:val="single" w:sz="4" w:space="0" w:color="1A171C"/>
              <w:left w:val="nil"/>
              <w:bottom w:val="single" w:sz="4" w:space="0" w:color="1A171C"/>
              <w:right w:val="single" w:sz="4" w:space="0" w:color="1A171C"/>
            </w:tcBorders>
            <w:vAlign w:val="center"/>
          </w:tcPr>
          <w:p w14:paraId="7FE1BA19" w14:textId="5D4B8FB0" w:rsidR="00414040" w:rsidRDefault="00904E1A">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414040" w:rsidRDefault="00904E1A">
            <w:pPr>
              <w:pStyle w:val="P68B1DB1-TableParagraph14"/>
              <w:spacing w:before="108"/>
              <w:ind w:left="85"/>
              <w:jc w:val="both"/>
              <w:rPr>
                <w:bCs/>
              </w:rPr>
            </w:pPr>
            <w:r>
              <w:t>Número de cuentas</w:t>
            </w:r>
          </w:p>
          <w:p w14:paraId="7FE1BA1C" w14:textId="57F3BFB5" w:rsidR="00414040" w:rsidRDefault="00904E1A" w:rsidP="00210421">
            <w:pPr>
              <w:pStyle w:val="P68B1DB1-TableParagraph13"/>
              <w:spacing w:before="108"/>
              <w:jc w:val="both"/>
            </w:pPr>
            <w:r>
              <w:t xml:space="preserve">Número total de cuentas corrientes/depósitos a un día, depósitos </w:t>
            </w:r>
            <w:r w:rsidR="003A6D19">
              <w:t xml:space="preserve">a plazo </w:t>
            </w:r>
            <w:r>
              <w:t>y</w:t>
            </w:r>
            <w:r w:rsidR="00117F93">
              <w:t xml:space="preserve"> </w:t>
            </w:r>
            <w:r w:rsidR="00645D94">
              <w:t>d</w:t>
            </w:r>
            <w:r>
              <w:t>epósitos disponibles con preaviso</w:t>
            </w:r>
            <w:r w:rsidR="00B40389">
              <w:t>.</w:t>
            </w:r>
            <w:r>
              <w:t xml:space="preserve"> Las cuentas conjuntas solo deben contabilizarse una vez. </w:t>
            </w:r>
          </w:p>
          <w:p w14:paraId="7FE1BA1D" w14:textId="331FAAF5" w:rsidR="00414040" w:rsidRDefault="5F51C68B">
            <w:pPr>
              <w:pStyle w:val="P68B1DB1-TableParagraph13"/>
              <w:spacing w:before="108"/>
              <w:ind w:left="85"/>
              <w:jc w:val="both"/>
            </w:pPr>
            <w:r>
              <w:t>E</w:t>
            </w:r>
            <w:r w:rsidR="00904E1A">
              <w:t xml:space="preserve">l número total de cuentas de esta columna corresponde al valor </w:t>
            </w:r>
            <w:r w:rsidR="0A427CAD">
              <w:t>informado</w:t>
            </w:r>
            <w:r w:rsidR="00904E1A">
              <w:t xml:space="preserve"> en c0030</w:t>
            </w:r>
            <w:r w:rsidR="006F2305">
              <w:t xml:space="preserve"> </w:t>
            </w:r>
          </w:p>
          <w:p w14:paraId="7FE1BA1E" w14:textId="77777777" w:rsidR="00414040" w:rsidRDefault="00904E1A">
            <w:pPr>
              <w:pStyle w:val="P68B1DB1-TableParagraph13"/>
              <w:spacing w:before="108"/>
              <w:ind w:left="85"/>
              <w:jc w:val="both"/>
              <w:rPr>
                <w:b/>
                <w:bCs/>
              </w:rPr>
            </w:pPr>
            <w:r>
              <w:t>«valor contable».</w:t>
            </w:r>
          </w:p>
        </w:tc>
      </w:tr>
      <w:tr w:rsidR="00414040" w14:paraId="7FE1BA23" w14:textId="77777777" w:rsidTr="0C3A85F4">
        <w:tc>
          <w:tcPr>
            <w:tcW w:w="1080" w:type="dxa"/>
            <w:tcBorders>
              <w:top w:val="single" w:sz="4" w:space="0" w:color="1A171C"/>
              <w:left w:val="nil"/>
              <w:bottom w:val="single" w:sz="4" w:space="0" w:color="1A171C"/>
              <w:right w:val="single" w:sz="4" w:space="0" w:color="1A171C"/>
            </w:tcBorders>
            <w:vAlign w:val="center"/>
          </w:tcPr>
          <w:p w14:paraId="7FE1BA20" w14:textId="175782F6" w:rsidR="00414040" w:rsidRDefault="00904E1A">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60EE4761" w:rsidR="00414040" w:rsidRDefault="00904E1A">
            <w:pPr>
              <w:pStyle w:val="P68B1DB1-TableParagraph14"/>
              <w:spacing w:before="108"/>
              <w:ind w:left="85"/>
              <w:jc w:val="both"/>
              <w:rPr>
                <w:bCs/>
              </w:rPr>
            </w:pPr>
            <w:r>
              <w:t>De l</w:t>
            </w:r>
            <w:r w:rsidR="00E56F6A">
              <w:t>a</w:t>
            </w:r>
            <w:r>
              <w:t>s cuales: recurrentes</w:t>
            </w:r>
          </w:p>
          <w:p w14:paraId="7FE1BA22" w14:textId="1B1BB31A" w:rsidR="00414040" w:rsidRDefault="00904E1A">
            <w:pPr>
              <w:pStyle w:val="P68B1DB1-TableParagraph13"/>
              <w:spacing w:before="108"/>
              <w:ind w:left="85"/>
              <w:jc w:val="both"/>
            </w:pPr>
            <w:r>
              <w:t xml:space="preserve">Número total de cuentas recurrentes </w:t>
            </w:r>
            <w:r w:rsidR="00A456DE">
              <w:t xml:space="preserve">tal y como están </w:t>
            </w:r>
            <w:r>
              <w:t>definidas en c0036</w:t>
            </w:r>
            <w:r w:rsidR="00E52BC8">
              <w:t>.</w:t>
            </w:r>
          </w:p>
        </w:tc>
      </w:tr>
      <w:tr w:rsidR="00414040" w14:paraId="7FE1BA2B" w14:textId="77777777" w:rsidTr="0C3A85F4">
        <w:tc>
          <w:tcPr>
            <w:tcW w:w="1080" w:type="dxa"/>
            <w:tcBorders>
              <w:top w:val="single" w:sz="4" w:space="0" w:color="1A171C"/>
              <w:left w:val="nil"/>
              <w:bottom w:val="single" w:sz="4" w:space="0" w:color="1A171C"/>
              <w:right w:val="single" w:sz="4" w:space="0" w:color="1A171C"/>
            </w:tcBorders>
            <w:vAlign w:val="center"/>
          </w:tcPr>
          <w:p w14:paraId="7FE1BA24" w14:textId="486A03B3" w:rsidR="00414040" w:rsidRDefault="00904E1A">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414040" w:rsidRDefault="00904E1A">
            <w:pPr>
              <w:pStyle w:val="P68B1DB1-TableParagraph14"/>
              <w:spacing w:before="108"/>
              <w:ind w:left="85"/>
              <w:jc w:val="both"/>
              <w:rPr>
                <w:bCs/>
              </w:rPr>
            </w:pPr>
            <w:r>
              <w:t>Valor transfronterizo</w:t>
            </w:r>
          </w:p>
          <w:p w14:paraId="7FE1BA29" w14:textId="58CEAC74" w:rsidR="00414040" w:rsidRDefault="00904E1A">
            <w:pPr>
              <w:pStyle w:val="P68B1DB1-TableParagraph13"/>
              <w:spacing w:before="108"/>
              <w:ind w:left="85"/>
              <w:jc w:val="both"/>
            </w:pPr>
            <w:r w:rsidRPr="5E0CDAA7">
              <w:rPr>
                <w:lang w:val="es-ES"/>
              </w:rPr>
              <w:t xml:space="preserve">Valor </w:t>
            </w:r>
            <w:r w:rsidR="00E56F6A" w:rsidRPr="5E0CDAA7">
              <w:rPr>
                <w:lang w:val="es-ES"/>
              </w:rPr>
              <w:t>contable</w:t>
            </w:r>
            <w:r w:rsidRPr="5E0CDAA7">
              <w:rPr>
                <w:lang w:val="es-ES"/>
              </w:rPr>
              <w:t xml:space="preserve"> de no residentes (no nacionales). Entre las personas nacionales se incluyen: </w:t>
            </w:r>
            <w:r w:rsidR="00E61A1A" w:rsidRPr="5E0CDAA7">
              <w:rPr>
                <w:lang w:val="es-ES"/>
              </w:rPr>
              <w:t>i</w:t>
            </w:r>
            <w:r w:rsidRPr="5E0CDAA7">
              <w:rPr>
                <w:lang w:val="es-ES"/>
              </w:rPr>
              <w:t>)</w:t>
            </w:r>
            <w:r w:rsidR="002B261A">
              <w:t xml:space="preserve"> </w:t>
            </w:r>
            <w:r>
              <w:t>personas que tengan su principal interés económico (actividades económicas durante al menos un año;</w:t>
            </w:r>
            <w:r w:rsidR="00026DAB">
              <w:t xml:space="preserve"> </w:t>
            </w:r>
            <w:r>
              <w:t>la propiedad de activos físicos se considera</w:t>
            </w:r>
            <w:r w:rsidR="004B58EF">
              <w:t xml:space="preserve"> evidencia</w:t>
            </w:r>
            <w:r>
              <w:t xml:space="preserve"> suficiente) dentro del país del</w:t>
            </w:r>
            <w:r w:rsidR="007607C5">
              <w:rPr>
                <w:lang w:val="es-ES"/>
              </w:rPr>
              <w:t>ente declarante</w:t>
            </w:r>
            <w:r w:rsidRPr="2133F407">
              <w:rPr>
                <w:lang w:val="es-ES"/>
              </w:rPr>
              <w:t xml:space="preserve">, y </w:t>
            </w:r>
            <w:proofErr w:type="spellStart"/>
            <w:r w:rsidRPr="2133F407">
              <w:rPr>
                <w:lang w:val="es-ES"/>
              </w:rPr>
              <w:t>ii</w:t>
            </w:r>
            <w:proofErr w:type="spellEnd"/>
            <w:r w:rsidRPr="2133F407">
              <w:rPr>
                <w:lang w:val="es-ES"/>
              </w:rPr>
              <w:t xml:space="preserve">) sucursales extranjeras de los clientes </w:t>
            </w:r>
            <w:r w:rsidR="002573CC">
              <w:rPr>
                <w:lang w:val="es-ES"/>
              </w:rPr>
              <w:t xml:space="preserve">del ente </w:t>
            </w:r>
            <w:r w:rsidR="0018082C">
              <w:rPr>
                <w:lang w:val="es-ES"/>
              </w:rPr>
              <w:t>declarante</w:t>
            </w:r>
            <w:r w:rsidRPr="2133F407">
              <w:rPr>
                <w:lang w:val="es-ES"/>
              </w:rPr>
              <w:t>.</w:t>
            </w:r>
          </w:p>
          <w:p w14:paraId="7FE1BA2A" w14:textId="77777777" w:rsidR="00414040" w:rsidRDefault="00904E1A">
            <w:pPr>
              <w:pStyle w:val="P68B1DB1-TableParagraph13"/>
              <w:spacing w:before="108"/>
              <w:ind w:left="85"/>
              <w:jc w:val="both"/>
              <w:rPr>
                <w:b/>
                <w:bCs/>
              </w:rPr>
            </w:pPr>
            <w:r>
              <w:t xml:space="preserve">Referencia: </w:t>
            </w:r>
          </w:p>
        </w:tc>
      </w:tr>
      <w:tr w:rsidR="00414040" w14:paraId="7FE1BA34" w14:textId="77777777" w:rsidTr="0C3A85F4">
        <w:tc>
          <w:tcPr>
            <w:tcW w:w="1080" w:type="dxa"/>
            <w:tcBorders>
              <w:top w:val="single" w:sz="4" w:space="0" w:color="1A171C"/>
              <w:left w:val="nil"/>
              <w:bottom w:val="single" w:sz="4" w:space="0" w:color="1A171C"/>
              <w:right w:val="single" w:sz="4" w:space="0" w:color="1A171C"/>
            </w:tcBorders>
            <w:vAlign w:val="center"/>
          </w:tcPr>
          <w:p w14:paraId="7FE1BA2C" w14:textId="38DDB56C" w:rsidR="00414040" w:rsidRDefault="00904E1A">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414040" w:rsidRDefault="00904E1A">
            <w:pPr>
              <w:pStyle w:val="P68B1DB1-TableParagraph14"/>
              <w:spacing w:before="108"/>
              <w:jc w:val="both"/>
              <w:rPr>
                <w:bCs/>
              </w:rPr>
            </w:pPr>
            <w:r>
              <w:t>Análisis de impacto y sustituibilidad</w:t>
            </w:r>
          </w:p>
          <w:p w14:paraId="7FE1BA2E" w14:textId="35F51937" w:rsidR="00414040" w:rsidRDefault="00904E1A">
            <w:pPr>
              <w:pStyle w:val="P68B1DB1-Normal31"/>
              <w:spacing w:line="276" w:lineRule="auto"/>
              <w:jc w:val="both"/>
            </w:pPr>
            <w:r w:rsidRPr="2133F407">
              <w:rPr>
                <w:lang w:val="es-ES"/>
              </w:rPr>
              <w:t xml:space="preserve">Los criterios de evaluación del impacto en terceros incluirán los siguientes elementos de conformidad con el Reglamento </w:t>
            </w:r>
            <w:proofErr w:type="gramStart"/>
            <w:r w:rsidRPr="2133F407">
              <w:rPr>
                <w:lang w:val="es-ES"/>
              </w:rPr>
              <w:t>Delegado</w:t>
            </w:r>
            <w:proofErr w:type="gramEnd"/>
            <w:r w:rsidRPr="2133F407">
              <w:rPr>
                <w:lang w:val="es-ES"/>
              </w:rPr>
              <w:t xml:space="preserve"> (UE) 2016/778 de la Comisión:</w:t>
            </w:r>
          </w:p>
          <w:p w14:paraId="7FE1BA2F" w14:textId="0BBAD282" w:rsidR="00414040" w:rsidRDefault="00904E1A">
            <w:pPr>
              <w:pStyle w:val="P68B1DB1-ListParagraph32"/>
              <w:numPr>
                <w:ilvl w:val="0"/>
                <w:numId w:val="131"/>
              </w:numPr>
              <w:spacing w:line="276" w:lineRule="auto"/>
              <w:rPr>
                <w:b/>
                <w:bCs/>
              </w:rPr>
            </w:pPr>
            <w:r>
              <w:rPr>
                <w:b/>
              </w:rPr>
              <w:lastRenderedPageBreak/>
              <w:t>la naturaleza y el alcance de la actividad</w:t>
            </w:r>
            <w:r>
              <w:t xml:space="preserve">, el alcance mundial, nacional o regional, el volumen y el número de transacciones; el número de clientes y contrapartes; el número de clientes para los que la entidad es el único </w:t>
            </w:r>
            <w:r w:rsidR="00C52E1F">
              <w:t xml:space="preserve">o principal </w:t>
            </w:r>
            <w:r>
              <w:t>socio bancario.</w:t>
            </w:r>
          </w:p>
          <w:p w14:paraId="7FE1BA30" w14:textId="192A7C14" w:rsidR="00414040" w:rsidRDefault="00904E1A">
            <w:pPr>
              <w:pStyle w:val="P68B1DB1-ListParagraph32"/>
              <w:numPr>
                <w:ilvl w:val="0"/>
                <w:numId w:val="131"/>
              </w:numPr>
              <w:spacing w:line="276" w:lineRule="auto"/>
              <w:rPr>
                <w:b/>
                <w:bCs/>
              </w:rPr>
            </w:pPr>
            <w:r>
              <w:rPr>
                <w:b/>
              </w:rPr>
              <w:t>la relevancia de la entidad</w:t>
            </w:r>
            <w:r>
              <w:t xml:space="preserve"> a escala local, regional, nacional o europea, según proceda para el mercado de que se trate. La </w:t>
            </w:r>
            <w:r w:rsidR="00017526">
              <w:t>relevancia</w:t>
            </w:r>
            <w:r w:rsidR="00A56F2B">
              <w:t xml:space="preserve"> </w:t>
            </w:r>
            <w:r>
              <w:t>de la entidad podrá evaluarse en función de la cuota de mercado, la interconexión, la complejidad y las actividades transfronterizas.</w:t>
            </w:r>
          </w:p>
          <w:p w14:paraId="7FE1BA31" w14:textId="6B34EFC6" w:rsidR="00414040" w:rsidRDefault="00904E1A">
            <w:pPr>
              <w:pStyle w:val="P68B1DB1-ListParagraph32"/>
              <w:numPr>
                <w:ilvl w:val="0"/>
                <w:numId w:val="131"/>
              </w:numPr>
              <w:spacing w:line="276" w:lineRule="auto"/>
              <w:rPr>
                <w:b/>
                <w:lang w:val="es-ES"/>
              </w:rPr>
            </w:pPr>
            <w:r w:rsidRPr="753E4FE1">
              <w:rPr>
                <w:b/>
                <w:lang w:val="es-ES"/>
              </w:rPr>
              <w:t xml:space="preserve">la naturaleza de los clientes y partes interesadas </w:t>
            </w:r>
            <w:r w:rsidR="00AE36B3" w:rsidRPr="753E4FE1">
              <w:rPr>
                <w:b/>
                <w:lang w:val="es-ES"/>
              </w:rPr>
              <w:t>afectados</w:t>
            </w:r>
            <w:r w:rsidR="00856841" w:rsidRPr="753E4FE1">
              <w:rPr>
                <w:b/>
                <w:lang w:val="es-ES"/>
              </w:rPr>
              <w:t xml:space="preserve"> </w:t>
            </w:r>
            <w:r w:rsidRPr="753E4FE1">
              <w:rPr>
                <w:b/>
                <w:lang w:val="es-ES"/>
              </w:rPr>
              <w:t>por la función</w:t>
            </w:r>
            <w:r w:rsidRPr="753E4FE1">
              <w:rPr>
                <w:lang w:val="es-ES"/>
              </w:rPr>
              <w:t xml:space="preserve">, </w:t>
            </w:r>
            <w:r w:rsidR="003C1477" w:rsidRPr="753E4FE1">
              <w:rPr>
                <w:lang w:val="es-ES"/>
              </w:rPr>
              <w:t xml:space="preserve">como, entre otros, </w:t>
            </w:r>
            <w:r w:rsidRPr="753E4FE1">
              <w:rPr>
                <w:lang w:val="es-ES"/>
              </w:rPr>
              <w:t xml:space="preserve">clientes minoristas, </w:t>
            </w:r>
            <w:r w:rsidR="00CD4059" w:rsidRPr="753E4FE1">
              <w:rPr>
                <w:lang w:val="es-ES"/>
              </w:rPr>
              <w:t>clientes corporativos</w:t>
            </w:r>
            <w:r w:rsidR="003F1589" w:rsidRPr="753E4FE1">
              <w:rPr>
                <w:lang w:val="es-ES"/>
              </w:rPr>
              <w:t>, clientes</w:t>
            </w:r>
            <w:r w:rsidR="00CD4059" w:rsidRPr="753E4FE1">
              <w:rPr>
                <w:lang w:val="es-ES"/>
              </w:rPr>
              <w:t xml:space="preserve"> </w:t>
            </w:r>
            <w:r w:rsidRPr="753E4FE1">
              <w:rPr>
                <w:lang w:val="es-ES"/>
              </w:rPr>
              <w:t xml:space="preserve">bancarios, </w:t>
            </w:r>
            <w:r w:rsidR="00A7788D" w:rsidRPr="753E4FE1">
              <w:rPr>
                <w:lang w:val="es-ES"/>
              </w:rPr>
              <w:t>cámaras de compensación</w:t>
            </w:r>
            <w:r w:rsidRPr="753E4FE1">
              <w:rPr>
                <w:lang w:val="es-ES"/>
              </w:rPr>
              <w:t xml:space="preserve"> y entes públicos; </w:t>
            </w:r>
          </w:p>
          <w:p w14:paraId="7FE1BA32" w14:textId="6CC528EB" w:rsidR="00414040" w:rsidRDefault="00904E1A">
            <w:pPr>
              <w:pStyle w:val="P68B1DB1-ListParagraph32"/>
              <w:numPr>
                <w:ilvl w:val="0"/>
                <w:numId w:val="131"/>
              </w:numPr>
              <w:spacing w:line="276" w:lineRule="auto"/>
              <w:rPr>
                <w:b/>
                <w:lang w:val="es-ES"/>
              </w:rPr>
            </w:pPr>
            <w:r w:rsidRPr="4D5771B3">
              <w:rPr>
                <w:b/>
                <w:lang w:val="es-ES"/>
              </w:rPr>
              <w:t xml:space="preserve">la posible perturbación de la función </w:t>
            </w:r>
            <w:r w:rsidR="00EB4177" w:rsidRPr="4D5771B3">
              <w:rPr>
                <w:b/>
                <w:lang w:val="es-ES"/>
              </w:rPr>
              <w:t>de</w:t>
            </w:r>
            <w:r w:rsidR="00BD152F">
              <w:rPr>
                <w:b/>
                <w:lang w:val="es-ES"/>
              </w:rPr>
              <w:t xml:space="preserve"> </w:t>
            </w:r>
            <w:r w:rsidRPr="4D5771B3">
              <w:rPr>
                <w:b/>
                <w:lang w:val="es-ES"/>
              </w:rPr>
              <w:t>los mercados, las infraestructuras, los clientes y los servicios públicos</w:t>
            </w:r>
            <w:r w:rsidRPr="4D5771B3">
              <w:rPr>
                <w:lang w:val="es-ES"/>
              </w:rPr>
              <w:t xml:space="preserve">. En particular, la evaluación podrá incluir el efecto sobre la liquidez de los mercados afectados, el impacto y el alcance de la perturbación de las actividades de los clientes y las necesidades de liquidez a corto plazo; </w:t>
            </w:r>
            <w:r w:rsidR="7EE5828C" w:rsidRPr="4D5771B3">
              <w:rPr>
                <w:lang w:val="es-ES"/>
              </w:rPr>
              <w:t>el</w:t>
            </w:r>
            <w:r w:rsidRPr="4D5771B3">
              <w:rPr>
                <w:lang w:val="es-ES"/>
              </w:rPr>
              <w:t xml:space="preserve"> </w:t>
            </w:r>
            <w:proofErr w:type="spellStart"/>
            <w:r w:rsidR="7EE5828C" w:rsidRPr="4D5771B3">
              <w:rPr>
                <w:lang w:val="es-ES"/>
              </w:rPr>
              <w:t>impac</w:t>
            </w:r>
            <w:r w:rsidR="7EE5828C">
              <w:t>to</w:t>
            </w:r>
            <w:proofErr w:type="spellEnd"/>
            <w:r w:rsidRPr="4D5771B3">
              <w:rPr>
                <w:lang w:val="es-ES"/>
              </w:rPr>
              <w:t xml:space="preserve"> para las contrapartes, los clientes y el público; la capacidad y la </w:t>
            </w:r>
            <w:r w:rsidR="000B1E3C" w:rsidRPr="4D5771B3">
              <w:rPr>
                <w:lang w:val="es-ES"/>
              </w:rPr>
              <w:t>rapidez</w:t>
            </w:r>
            <w:r w:rsidR="001F417E">
              <w:rPr>
                <w:lang w:val="es-ES"/>
              </w:rPr>
              <w:t xml:space="preserve"> </w:t>
            </w:r>
            <w:r w:rsidRPr="4D5771B3">
              <w:rPr>
                <w:lang w:val="es-ES"/>
              </w:rPr>
              <w:t xml:space="preserve">de reacción de los clientes; la </w:t>
            </w:r>
            <w:r w:rsidR="00B542E4" w:rsidRPr="4D5771B3">
              <w:rPr>
                <w:lang w:val="es-ES"/>
              </w:rPr>
              <w:t>relevancia</w:t>
            </w:r>
            <w:r w:rsidR="001F417E">
              <w:rPr>
                <w:lang w:val="es-ES"/>
              </w:rPr>
              <w:t xml:space="preserve"> </w:t>
            </w:r>
            <w:r w:rsidRPr="4D5771B3">
              <w:rPr>
                <w:lang w:val="es-ES"/>
              </w:rPr>
              <w:t>para el funcionamiento de otros mercados; el efecto en la liquidez, las operaciones y la estructura de otro mercado; el efecto sobre otras contrapartes relacionad</w:t>
            </w:r>
            <w:r w:rsidR="009E6104" w:rsidRPr="4D5771B3">
              <w:rPr>
                <w:lang w:val="es-ES"/>
              </w:rPr>
              <w:t>as</w:t>
            </w:r>
            <w:r w:rsidRPr="4D5771B3">
              <w:rPr>
                <w:lang w:val="es-ES"/>
              </w:rPr>
              <w:t xml:space="preserve"> con los principales clientes y la interrelación de la función con otros servicios.</w:t>
            </w:r>
          </w:p>
          <w:p w14:paraId="7FE1BA33" w14:textId="77777777" w:rsidR="00414040" w:rsidRDefault="00414040">
            <w:pPr>
              <w:pStyle w:val="TableParagraph"/>
              <w:spacing w:before="108"/>
              <w:ind w:left="85"/>
              <w:jc w:val="both"/>
              <w:rPr>
                <w:rFonts w:ascii="Times New Roman" w:hAnsi="Times New Roman" w:cs="Times New Roman"/>
                <w:b/>
                <w:bCs/>
                <w:color w:val="000000" w:themeColor="text1"/>
                <w:sz w:val="20"/>
                <w:szCs w:val="20"/>
              </w:rPr>
            </w:pPr>
          </w:p>
        </w:tc>
      </w:tr>
      <w:tr w:rsidR="00414040" w14:paraId="7FE1BA38" w14:textId="77777777" w:rsidTr="0C3A85F4">
        <w:tc>
          <w:tcPr>
            <w:tcW w:w="1080" w:type="dxa"/>
            <w:tcBorders>
              <w:top w:val="single" w:sz="4" w:space="0" w:color="1A171C"/>
              <w:left w:val="nil"/>
              <w:bottom w:val="single" w:sz="4" w:space="0" w:color="1A171C"/>
              <w:right w:val="single" w:sz="4" w:space="0" w:color="1A171C"/>
            </w:tcBorders>
            <w:vAlign w:val="center"/>
          </w:tcPr>
          <w:p w14:paraId="7FE1BA35" w14:textId="3050578F" w:rsidR="00414040" w:rsidRDefault="00904E1A">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62BFB3E2" w:rsidR="00414040" w:rsidRDefault="00904E1A">
            <w:pPr>
              <w:pStyle w:val="P68B1DB1-TableParagraph14"/>
              <w:spacing w:before="108"/>
              <w:ind w:left="85"/>
              <w:jc w:val="both"/>
              <w:rPr>
                <w:bCs/>
              </w:rPr>
            </w:pPr>
            <w:r>
              <w:t xml:space="preserve">Naturaleza y </w:t>
            </w:r>
            <w:r w:rsidR="000F31E7">
              <w:t>alcance</w:t>
            </w:r>
          </w:p>
          <w:p w14:paraId="7FE1BA37" w14:textId="6F64D052" w:rsidR="00414040" w:rsidRDefault="00904E1A">
            <w:pPr>
              <w:pStyle w:val="P68B1DB1-TableParagraph33"/>
              <w:spacing w:before="108"/>
              <w:ind w:left="85"/>
              <w:jc w:val="both"/>
              <w:rPr>
                <w:rFonts w:cs="Times New Roman"/>
                <w:b/>
                <w:bCs/>
                <w:color w:val="000000" w:themeColor="text1"/>
              </w:rPr>
            </w:pPr>
            <w:r>
              <w:t xml:space="preserve">El alcance mundial, nacional o regional, el volumen y el número de transacciones; el número de clientes y contrapartes; el número de clientes para los que la entidad es el único </w:t>
            </w:r>
            <w:r w:rsidR="00F10D8F">
              <w:t xml:space="preserve">o principal </w:t>
            </w:r>
            <w:r>
              <w:t>socio bancario.</w:t>
            </w:r>
          </w:p>
        </w:tc>
      </w:tr>
      <w:tr w:rsidR="00414040" w14:paraId="7FE1BA3F" w14:textId="77777777" w:rsidTr="0C3A85F4">
        <w:tc>
          <w:tcPr>
            <w:tcW w:w="1080" w:type="dxa"/>
            <w:tcBorders>
              <w:top w:val="single" w:sz="4" w:space="0" w:color="1A171C"/>
              <w:left w:val="nil"/>
              <w:bottom w:val="single" w:sz="4" w:space="0" w:color="1A171C"/>
              <w:right w:val="single" w:sz="4" w:space="0" w:color="1A171C"/>
            </w:tcBorders>
            <w:vAlign w:val="center"/>
          </w:tcPr>
          <w:p w14:paraId="7FE1BA39" w14:textId="153BD48E" w:rsidR="00414040" w:rsidRDefault="00904E1A">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414040" w:rsidRDefault="00904E1A">
            <w:pPr>
              <w:pStyle w:val="P68B1DB1-TableParagraph14"/>
              <w:spacing w:before="108"/>
              <w:ind w:left="85"/>
              <w:jc w:val="both"/>
              <w:rPr>
                <w:bCs/>
              </w:rPr>
            </w:pPr>
            <w:r>
              <w:t>Indicador de tamaño 1</w:t>
            </w:r>
          </w:p>
          <w:p w14:paraId="7FE1BA3B" w14:textId="74353700" w:rsidR="00414040" w:rsidRDefault="00904E1A">
            <w:pPr>
              <w:pStyle w:val="P68B1DB1-Normal31"/>
              <w:spacing w:line="276" w:lineRule="auto"/>
              <w:jc w:val="both"/>
            </w:pPr>
            <w:r>
              <w:t>Evaluar la importancia del banco en estas actividades. Esta evaluación se expresa cualitativamente como «alt</w:t>
            </w:r>
            <w:r w:rsidR="00D604BD">
              <w:t>o</w:t>
            </w:r>
            <w:r>
              <w:t>», «medi</w:t>
            </w:r>
            <w:r w:rsidR="00D604BD">
              <w:t>o-</w:t>
            </w:r>
            <w:r>
              <w:t>alt</w:t>
            </w:r>
            <w:r w:rsidR="00D604BD">
              <w:t>o</w:t>
            </w:r>
            <w:r>
              <w:t>», «medi</w:t>
            </w:r>
            <w:r w:rsidR="00D604BD">
              <w:t>o-</w:t>
            </w:r>
            <w:r>
              <w:t>baj</w:t>
            </w:r>
            <w:r w:rsidR="00D604BD">
              <w:t>o</w:t>
            </w:r>
            <w:r>
              <w:t>» o «baj</w:t>
            </w:r>
            <w:r w:rsidR="00D604BD">
              <w:t>o</w:t>
            </w:r>
            <w:r>
              <w:t>». Indíquese «</w:t>
            </w:r>
            <w:r w:rsidR="00735179">
              <w:t>alto</w:t>
            </w:r>
            <w:r>
              <w:t>» si el tamaño de la función es grande, «</w:t>
            </w:r>
            <w:r w:rsidR="00735179">
              <w:t>medio</w:t>
            </w:r>
            <w:r>
              <w:t>-alto» si es medio, «</w:t>
            </w:r>
            <w:r w:rsidR="00735179">
              <w:t>medio</w:t>
            </w:r>
            <w:r>
              <w:t>-bajo» si es pequeño y «</w:t>
            </w:r>
            <w:r w:rsidR="00735179">
              <w:t>bajo</w:t>
            </w:r>
            <w:r>
              <w:t xml:space="preserve">» si es insignificante. Utilizar variables macroeconómicas como el PIB, la población (para depósitos, </w:t>
            </w:r>
            <w:r w:rsidR="00C473C2">
              <w:t>concesión de financiación</w:t>
            </w:r>
            <w:r>
              <w:t xml:space="preserve">, </w:t>
            </w:r>
            <w:r w:rsidR="0004401E">
              <w:t xml:space="preserve">servicios de </w:t>
            </w:r>
            <w:r>
              <w:t xml:space="preserve">pago, </w:t>
            </w:r>
            <w:r w:rsidR="000D2FCF">
              <w:t>caja</w:t>
            </w:r>
            <w:r>
              <w:t xml:space="preserve">, liquidación, compensación y custodia) o el tamaño del mercado (para los mercados de capitales y la financiación </w:t>
            </w:r>
            <w:r w:rsidR="008D60E2">
              <w:t>mayorista</w:t>
            </w:r>
            <w:r>
              <w:t xml:space="preserve">) como referencia para esta evaluación cualitativa. </w:t>
            </w:r>
          </w:p>
          <w:p w14:paraId="7FE1BA3C" w14:textId="6D00C65C" w:rsidR="00414040" w:rsidRDefault="00D55A6F">
            <w:pPr>
              <w:pStyle w:val="P68B1DB1-ListParagraph32"/>
              <w:numPr>
                <w:ilvl w:val="0"/>
                <w:numId w:val="130"/>
              </w:numPr>
              <w:spacing w:line="276" w:lineRule="auto"/>
            </w:pPr>
            <w:r>
              <w:t>Juicio experto</w:t>
            </w:r>
            <w:r w:rsidR="00F94E7F">
              <w:t xml:space="preserve"> </w:t>
            </w:r>
            <w:r w:rsidR="00904E1A">
              <w:t xml:space="preserve">sobre </w:t>
            </w:r>
            <w:r w:rsidR="00D119E1">
              <w:t xml:space="preserve">la </w:t>
            </w:r>
            <w:r w:rsidR="0089718F">
              <w:t>dimensión</w:t>
            </w:r>
            <w:r w:rsidR="00D119E1">
              <w:t xml:space="preserve"> </w:t>
            </w:r>
            <w:r w:rsidR="00904E1A">
              <w:t xml:space="preserve">del </w:t>
            </w:r>
            <w:r w:rsidR="00904E1A">
              <w:rPr>
                <w:b/>
              </w:rPr>
              <w:t>valor</w:t>
            </w:r>
            <w:r w:rsidR="00904E1A">
              <w:t xml:space="preserve"> de las cuentas (c0030) desde </w:t>
            </w:r>
            <w:r w:rsidR="00F358AA">
              <w:rPr>
                <w:b/>
              </w:rPr>
              <w:t>una</w:t>
            </w:r>
            <w:r w:rsidR="00904E1A">
              <w:rPr>
                <w:b/>
              </w:rPr>
              <w:t xml:space="preserve"> perspectiva de la UE</w:t>
            </w:r>
            <w:r w:rsidR="00904E1A">
              <w:t xml:space="preserve"> </w:t>
            </w:r>
            <w:r w:rsidR="00904E1A">
              <w:rPr>
                <w:i/>
              </w:rPr>
              <w:t>[</w:t>
            </w:r>
            <w:r w:rsidR="00904E1A" w:rsidRPr="007661A7">
              <w:rPr>
                <w:i/>
              </w:rPr>
              <w:t xml:space="preserve">un nivel superior al del mercado </w:t>
            </w:r>
            <w:r w:rsidR="007661A7">
              <w:rPr>
                <w:i/>
              </w:rPr>
              <w:t>relevante</w:t>
            </w:r>
            <w:r w:rsidR="00904E1A" w:rsidRPr="007661A7">
              <w:rPr>
                <w:i/>
              </w:rPr>
              <w:t>.</w:t>
            </w:r>
            <w:r w:rsidR="00904E1A">
              <w:rPr>
                <w:i/>
              </w:rPr>
              <w:t xml:space="preserve"> Esto significa que, cuando el mercado </w:t>
            </w:r>
            <w:r w:rsidR="0022761C">
              <w:rPr>
                <w:i/>
              </w:rPr>
              <w:t>releva</w:t>
            </w:r>
            <w:r w:rsidR="00301C2C">
              <w:rPr>
                <w:i/>
              </w:rPr>
              <w:t>nte</w:t>
            </w:r>
            <w:r w:rsidR="0022761C">
              <w:rPr>
                <w:i/>
              </w:rPr>
              <w:t xml:space="preserve"> </w:t>
            </w:r>
            <w:r w:rsidR="00904E1A">
              <w:rPr>
                <w:i/>
              </w:rPr>
              <w:t>es regional, tamaño 1 = nacional; cuando sea nacional, tamaño 1 = UE; cuando se trata de la UE, tamaño 1 = global]</w:t>
            </w:r>
            <w:r w:rsidR="00904E1A">
              <w:t>:</w:t>
            </w:r>
          </w:p>
          <w:p w14:paraId="7FE1BA3D" w14:textId="27951C52" w:rsidR="00414040" w:rsidRDefault="00904E1A">
            <w:pPr>
              <w:pStyle w:val="P68B1DB1-ListParagraph32"/>
              <w:numPr>
                <w:ilvl w:val="1"/>
                <w:numId w:val="129"/>
              </w:numPr>
              <w:spacing w:line="276" w:lineRule="auto"/>
            </w:pPr>
            <w:r>
              <w:t xml:space="preserve">Desde una perspectiva de la UE, ¿cuál considera que es </w:t>
            </w:r>
            <w:r w:rsidR="0022761C">
              <w:t>la magnitud</w:t>
            </w:r>
            <w:r>
              <w:t xml:space="preserve"> del valor </w:t>
            </w:r>
            <w:r w:rsidR="003D33BD">
              <w:t xml:space="preserve">contable </w:t>
            </w:r>
            <w:r>
              <w:t xml:space="preserve">total de su entidad? </w:t>
            </w:r>
          </w:p>
          <w:p w14:paraId="7FE1BA3E" w14:textId="77777777" w:rsidR="00414040" w:rsidRDefault="00414040">
            <w:pPr>
              <w:pStyle w:val="TableParagraph"/>
              <w:spacing w:before="108"/>
              <w:ind w:left="85"/>
              <w:jc w:val="both"/>
              <w:rPr>
                <w:rFonts w:ascii="Times New Roman" w:hAnsi="Times New Roman" w:cs="Times New Roman"/>
                <w:b/>
                <w:bCs/>
                <w:color w:val="000000" w:themeColor="text1"/>
                <w:sz w:val="20"/>
                <w:szCs w:val="20"/>
              </w:rPr>
            </w:pPr>
          </w:p>
        </w:tc>
      </w:tr>
      <w:tr w:rsidR="00414040" w14:paraId="7FE1BA46" w14:textId="77777777" w:rsidTr="0C3A85F4">
        <w:tc>
          <w:tcPr>
            <w:tcW w:w="1080" w:type="dxa"/>
            <w:tcBorders>
              <w:top w:val="single" w:sz="4" w:space="0" w:color="1A171C"/>
              <w:left w:val="nil"/>
              <w:bottom w:val="single" w:sz="4" w:space="0" w:color="1A171C"/>
              <w:right w:val="single" w:sz="4" w:space="0" w:color="1A171C"/>
            </w:tcBorders>
            <w:vAlign w:val="center"/>
          </w:tcPr>
          <w:p w14:paraId="7FE1BA40" w14:textId="54B11659" w:rsidR="00414040" w:rsidRDefault="00904E1A">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414040" w:rsidRDefault="00904E1A">
            <w:pPr>
              <w:pStyle w:val="P68B1DB1-TableParagraph14"/>
              <w:spacing w:before="108"/>
              <w:ind w:left="85"/>
              <w:jc w:val="both"/>
              <w:rPr>
                <w:bCs/>
              </w:rPr>
            </w:pPr>
            <w:r>
              <w:t>Indicador de tamaño 2</w:t>
            </w:r>
          </w:p>
          <w:p w14:paraId="3B32AD4C" w14:textId="66C589BC" w:rsidR="00414040" w:rsidRDefault="00904E1A">
            <w:pPr>
              <w:pStyle w:val="P68B1DB1-Normal31"/>
              <w:spacing w:line="276" w:lineRule="auto"/>
              <w:jc w:val="both"/>
            </w:pPr>
            <w:r>
              <w:t>Evaluar la importancia del banco en estas actividades. Esta evaluación se expresa cualitativamente como «alt</w:t>
            </w:r>
            <w:r w:rsidR="00766EBD">
              <w:t>o</w:t>
            </w:r>
            <w:r>
              <w:t>», «medi</w:t>
            </w:r>
            <w:r w:rsidR="00766EBD">
              <w:t>o</w:t>
            </w:r>
            <w:r w:rsidR="00E92FE1">
              <w:t>-</w:t>
            </w:r>
            <w:r>
              <w:t>alt</w:t>
            </w:r>
            <w:r w:rsidR="00E92FE1">
              <w:t>o</w:t>
            </w:r>
            <w:r>
              <w:t>», «medi</w:t>
            </w:r>
            <w:r w:rsidR="00E92FE1">
              <w:t>o-</w:t>
            </w:r>
            <w:r>
              <w:t>baj</w:t>
            </w:r>
            <w:r w:rsidR="00E92FE1">
              <w:t>o</w:t>
            </w:r>
            <w:r>
              <w:t>» o «baj</w:t>
            </w:r>
            <w:r w:rsidR="00E92FE1">
              <w:t>o</w:t>
            </w:r>
            <w:r>
              <w:t>». Indíquese «</w:t>
            </w:r>
            <w:r w:rsidR="00735179">
              <w:t>alto</w:t>
            </w:r>
            <w:r>
              <w:t>» si el tamaño de la función es grande, «</w:t>
            </w:r>
            <w:r w:rsidR="00735179">
              <w:t>medio</w:t>
            </w:r>
            <w:r>
              <w:t>-alto» si es medio, «</w:t>
            </w:r>
            <w:r w:rsidR="00735179">
              <w:t>medio</w:t>
            </w:r>
            <w:r>
              <w:t>-bajo» si es pequeño y «</w:t>
            </w:r>
            <w:r w:rsidR="00735179">
              <w:t>bajo</w:t>
            </w:r>
            <w:r>
              <w:t xml:space="preserve">» si es insignificante. Utilizar variables macroeconómicas como el PIB, la población (para depósitos, </w:t>
            </w:r>
            <w:r w:rsidR="00C473C2">
              <w:t>concesión de financiación</w:t>
            </w:r>
            <w:r>
              <w:t>,</w:t>
            </w:r>
            <w:r w:rsidR="00D92997">
              <w:t xml:space="preserve"> servicios de</w:t>
            </w:r>
            <w:r>
              <w:t xml:space="preserve"> pago, </w:t>
            </w:r>
            <w:r w:rsidR="00D92997">
              <w:t>caja</w:t>
            </w:r>
            <w:r>
              <w:t xml:space="preserve">, liquidación, compensación y custodia) o el tamaño del mercado (para los mercados de capitales y financiación </w:t>
            </w:r>
            <w:r w:rsidR="00D92997">
              <w:t>mayorista</w:t>
            </w:r>
            <w:r>
              <w:t xml:space="preserve">) como referencia para esta evaluación cualitativa. </w:t>
            </w:r>
          </w:p>
          <w:p w14:paraId="7FE1BA42" w14:textId="7FE1DE6A" w:rsidR="00414040" w:rsidRDefault="00414040">
            <w:pPr>
              <w:spacing w:line="276" w:lineRule="auto"/>
              <w:jc w:val="both"/>
              <w:rPr>
                <w:rFonts w:ascii="Times New Roman" w:eastAsia="Times New Roman" w:hAnsi="Times New Roman" w:cs="Times New Roman"/>
                <w:sz w:val="20"/>
                <w:szCs w:val="20"/>
              </w:rPr>
            </w:pPr>
          </w:p>
          <w:p w14:paraId="7FE1BA43" w14:textId="519CB269" w:rsidR="00414040" w:rsidRDefault="00857E39">
            <w:pPr>
              <w:pStyle w:val="P68B1DB1-ListParagraph32"/>
              <w:numPr>
                <w:ilvl w:val="0"/>
                <w:numId w:val="124"/>
              </w:numPr>
              <w:spacing w:line="276" w:lineRule="auto"/>
            </w:pPr>
            <w:r>
              <w:lastRenderedPageBreak/>
              <w:t>Juicio experto</w:t>
            </w:r>
            <w:r w:rsidR="001C7E0D">
              <w:t xml:space="preserve"> </w:t>
            </w:r>
            <w:r w:rsidR="00904E1A">
              <w:t xml:space="preserve">sobre </w:t>
            </w:r>
            <w:r w:rsidR="001C7E0D">
              <w:t xml:space="preserve">la dimensión </w:t>
            </w:r>
            <w:r w:rsidR="00904E1A">
              <w:t xml:space="preserve">del </w:t>
            </w:r>
            <w:r w:rsidR="00904E1A">
              <w:rPr>
                <w:b/>
              </w:rPr>
              <w:t>número</w:t>
            </w:r>
            <w:r w:rsidR="00904E1A">
              <w:t xml:space="preserve"> de clientes (c0040) desde </w:t>
            </w:r>
            <w:r w:rsidR="00F358AA">
              <w:t>una</w:t>
            </w:r>
            <w:r w:rsidR="00904E1A">
              <w:t xml:space="preserve"> perspectiva </w:t>
            </w:r>
            <w:r w:rsidR="00904E1A">
              <w:rPr>
                <w:b/>
              </w:rPr>
              <w:t>nacional</w:t>
            </w:r>
            <w:r w:rsidR="00904E1A">
              <w:t xml:space="preserve"> </w:t>
            </w:r>
            <w:r w:rsidR="00904E1A">
              <w:rPr>
                <w:i/>
              </w:rPr>
              <w:t xml:space="preserve">[a nivel del </w:t>
            </w:r>
            <w:r w:rsidR="00904E1A" w:rsidRPr="0033384D">
              <w:rPr>
                <w:i/>
              </w:rPr>
              <w:t>mercado</w:t>
            </w:r>
            <w:r w:rsidR="00BD6421" w:rsidRPr="0033384D">
              <w:rPr>
                <w:i/>
              </w:rPr>
              <w:t xml:space="preserve"> </w:t>
            </w:r>
            <w:r w:rsidR="0033384D">
              <w:rPr>
                <w:i/>
              </w:rPr>
              <w:t>releva</w:t>
            </w:r>
            <w:r w:rsidR="00BD6421" w:rsidRPr="0033384D">
              <w:rPr>
                <w:i/>
              </w:rPr>
              <w:t>nte</w:t>
            </w:r>
            <w:r w:rsidR="00904E1A">
              <w:t>]:</w:t>
            </w:r>
          </w:p>
          <w:p w14:paraId="7FE1BA44" w14:textId="434FC1CA" w:rsidR="00414040" w:rsidRDefault="00904E1A">
            <w:pPr>
              <w:pStyle w:val="P68B1DB1-ListParagraph32"/>
              <w:numPr>
                <w:ilvl w:val="1"/>
                <w:numId w:val="122"/>
              </w:numPr>
              <w:spacing w:line="276" w:lineRule="auto"/>
            </w:pPr>
            <w:r w:rsidRPr="2133F407">
              <w:rPr>
                <w:lang w:val="es-ES"/>
              </w:rPr>
              <w:t>Desde una perspectiva nacional, ¿cuál considera que es</w:t>
            </w:r>
            <w:r w:rsidR="00895977">
              <w:rPr>
                <w:lang w:val="es-ES"/>
              </w:rPr>
              <w:t xml:space="preserve"> la </w:t>
            </w:r>
            <w:r w:rsidR="00093F22">
              <w:rPr>
                <w:lang w:val="es-ES"/>
              </w:rPr>
              <w:t>magnitud</w:t>
            </w:r>
            <w:r w:rsidRPr="2133F407">
              <w:rPr>
                <w:lang w:val="es-ES"/>
              </w:rPr>
              <w:t xml:space="preserve"> del número total de clientes de la entidad?</w:t>
            </w:r>
          </w:p>
          <w:p w14:paraId="7FE1BA45" w14:textId="77777777" w:rsidR="00414040" w:rsidRDefault="00414040">
            <w:pPr>
              <w:pStyle w:val="TableParagraph"/>
              <w:spacing w:before="108"/>
              <w:ind w:left="85"/>
              <w:jc w:val="both"/>
              <w:rPr>
                <w:rFonts w:ascii="Times New Roman" w:hAnsi="Times New Roman" w:cs="Times New Roman"/>
                <w:b/>
                <w:bCs/>
                <w:color w:val="000000" w:themeColor="text1"/>
                <w:sz w:val="20"/>
                <w:szCs w:val="20"/>
              </w:rPr>
            </w:pPr>
          </w:p>
        </w:tc>
      </w:tr>
      <w:tr w:rsidR="00414040" w14:paraId="7FE1BA51" w14:textId="77777777" w:rsidTr="0C3A85F4">
        <w:tc>
          <w:tcPr>
            <w:tcW w:w="1080" w:type="dxa"/>
            <w:tcBorders>
              <w:top w:val="single" w:sz="4" w:space="0" w:color="1A171C"/>
              <w:left w:val="nil"/>
              <w:bottom w:val="single" w:sz="4" w:space="0" w:color="1A171C"/>
              <w:right w:val="single" w:sz="4" w:space="0" w:color="1A171C"/>
            </w:tcBorders>
            <w:vAlign w:val="center"/>
          </w:tcPr>
          <w:p w14:paraId="7FE1BA47" w14:textId="171E9753" w:rsidR="00414040" w:rsidRDefault="00904E1A">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414040" w:rsidRDefault="00904E1A">
            <w:pPr>
              <w:pStyle w:val="P68B1DB1-TableParagraph14"/>
              <w:spacing w:before="108"/>
              <w:ind w:left="85"/>
              <w:jc w:val="both"/>
              <w:rPr>
                <w:bCs/>
              </w:rPr>
            </w:pPr>
            <w:r>
              <w:t>Indicador transfronterizo</w:t>
            </w:r>
          </w:p>
          <w:p w14:paraId="7FE1BA49" w14:textId="77777777" w:rsidR="00414040" w:rsidRDefault="00904E1A">
            <w:pPr>
              <w:pStyle w:val="P68B1DB1-Normal31"/>
              <w:spacing w:line="276" w:lineRule="auto"/>
              <w:jc w:val="both"/>
            </w:pPr>
            <w:r>
              <w:t>Evaluar la importancia relativa de las actividades transfronterizas para las diferentes funciones económicas.</w:t>
            </w:r>
          </w:p>
          <w:p w14:paraId="7FE1BA4A" w14:textId="1A192C85" w:rsidR="00414040" w:rsidRDefault="00904E1A">
            <w:pPr>
              <w:pStyle w:val="P68B1DB1-Normal31"/>
              <w:spacing w:line="276" w:lineRule="auto"/>
              <w:jc w:val="both"/>
            </w:pPr>
            <w:r w:rsidRPr="2133F407">
              <w:rPr>
                <w:lang w:val="es-ES"/>
              </w:rPr>
              <w:t xml:space="preserve">No es necesario llevar a cabo esta evaluación </w:t>
            </w:r>
            <w:r w:rsidR="006230A6">
              <w:rPr>
                <w:lang w:val="es-ES"/>
              </w:rPr>
              <w:t>cuando se</w:t>
            </w:r>
            <w:r w:rsidR="00FE48F3">
              <w:rPr>
                <w:lang w:val="es-ES"/>
              </w:rPr>
              <w:t xml:space="preserve"> </w:t>
            </w:r>
            <w:r w:rsidRPr="2133F407">
              <w:rPr>
                <w:lang w:val="es-ES"/>
              </w:rPr>
              <w:t xml:space="preserve">considere que el mercado </w:t>
            </w:r>
            <w:r w:rsidR="00EF18AB">
              <w:rPr>
                <w:lang w:val="es-ES"/>
              </w:rPr>
              <w:t xml:space="preserve">relevante </w:t>
            </w:r>
            <w:r w:rsidRPr="2133F407">
              <w:rPr>
                <w:lang w:val="es-ES"/>
              </w:rPr>
              <w:t xml:space="preserve">es regional. </w:t>
            </w:r>
          </w:p>
          <w:p w14:paraId="7FE1BA4B" w14:textId="379DEA3A" w:rsidR="00414040" w:rsidRDefault="00904E1A">
            <w:pPr>
              <w:pStyle w:val="P68B1DB1-ListParagraph32"/>
              <w:numPr>
                <w:ilvl w:val="0"/>
                <w:numId w:val="118"/>
              </w:numPr>
              <w:rPr>
                <w:i/>
                <w:iCs/>
              </w:rPr>
            </w:pPr>
            <w:r>
              <w:t xml:space="preserve">Número de países de la UE en los que se estima que </w:t>
            </w:r>
            <w:r w:rsidR="007607C5">
              <w:t>el ente</w:t>
            </w:r>
            <w:r>
              <w:t xml:space="preserve"> </w:t>
            </w:r>
            <w:r w:rsidR="00374F4A">
              <w:t>declarante</w:t>
            </w:r>
            <w:r w:rsidR="00EF18AB">
              <w:t xml:space="preserve"> </w:t>
            </w:r>
            <w:r>
              <w:t xml:space="preserve">tiene una cuota de mercado nacional superior al 2 %. Informe: </w:t>
            </w:r>
          </w:p>
          <w:p w14:paraId="7FE1BA4C" w14:textId="380A40CA" w:rsidR="00414040" w:rsidRDefault="00904E1A">
            <w:pPr>
              <w:pStyle w:val="P68B1DB1-ListParagraph32"/>
              <w:numPr>
                <w:ilvl w:val="1"/>
                <w:numId w:val="118"/>
              </w:numPr>
              <w:rPr>
                <w:i/>
                <w:iCs/>
              </w:rPr>
            </w:pPr>
            <w:r>
              <w:t xml:space="preserve">≤ 1 país; </w:t>
            </w:r>
          </w:p>
          <w:p w14:paraId="7FE1BA4D" w14:textId="152EAA32" w:rsidR="00414040" w:rsidRDefault="00904E1A">
            <w:pPr>
              <w:pStyle w:val="P68B1DB1-ListParagraph32"/>
              <w:numPr>
                <w:ilvl w:val="1"/>
                <w:numId w:val="118"/>
              </w:numPr>
              <w:rPr>
                <w:i/>
                <w:iCs/>
              </w:rPr>
            </w:pPr>
            <w:r>
              <w:t xml:space="preserve">2-3 países; </w:t>
            </w:r>
          </w:p>
          <w:p w14:paraId="7FE1BA4E" w14:textId="5E1FD2A4" w:rsidR="00414040" w:rsidRDefault="00904E1A">
            <w:pPr>
              <w:pStyle w:val="P68B1DB1-ListParagraph32"/>
              <w:numPr>
                <w:ilvl w:val="1"/>
                <w:numId w:val="118"/>
              </w:numPr>
              <w:rPr>
                <w:i/>
                <w:iCs/>
              </w:rPr>
            </w:pPr>
            <w:r>
              <w:t xml:space="preserve">4-5 países, </w:t>
            </w:r>
          </w:p>
          <w:p w14:paraId="7FE1BA4F" w14:textId="744AB982" w:rsidR="00414040" w:rsidRDefault="00904E1A">
            <w:pPr>
              <w:pStyle w:val="P68B1DB1-ListParagraph32"/>
              <w:numPr>
                <w:ilvl w:val="1"/>
                <w:numId w:val="118"/>
              </w:numPr>
              <w:rPr>
                <w:i/>
                <w:iCs/>
              </w:rPr>
            </w:pPr>
            <w:r>
              <w:t>&gt; 5 países.</w:t>
            </w:r>
          </w:p>
          <w:p w14:paraId="7FE1BA50" w14:textId="77777777" w:rsidR="00414040" w:rsidRDefault="00414040">
            <w:pPr>
              <w:pStyle w:val="TableParagraph"/>
              <w:spacing w:before="108"/>
              <w:jc w:val="both"/>
              <w:rPr>
                <w:rFonts w:ascii="Times New Roman" w:hAnsi="Times New Roman" w:cs="Times New Roman"/>
                <w:b/>
                <w:bCs/>
                <w:color w:val="000000" w:themeColor="text1"/>
                <w:sz w:val="20"/>
                <w:szCs w:val="20"/>
              </w:rPr>
            </w:pPr>
          </w:p>
        </w:tc>
      </w:tr>
      <w:tr w:rsidR="00414040" w14:paraId="7FE1BA60" w14:textId="77777777" w:rsidTr="0C3A85F4">
        <w:tc>
          <w:tcPr>
            <w:tcW w:w="1080" w:type="dxa"/>
            <w:tcBorders>
              <w:top w:val="single" w:sz="4" w:space="0" w:color="1A171C"/>
              <w:left w:val="nil"/>
              <w:bottom w:val="single" w:sz="4" w:space="0" w:color="1A171C"/>
              <w:right w:val="single" w:sz="4" w:space="0" w:color="1A171C"/>
            </w:tcBorders>
            <w:vAlign w:val="center"/>
          </w:tcPr>
          <w:p w14:paraId="7FE1BA52" w14:textId="05E0D2FF" w:rsidR="00414040" w:rsidRDefault="00904E1A">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402F7C6D" w:rsidR="00414040" w:rsidRDefault="00D2237F">
            <w:pPr>
              <w:pStyle w:val="P68B1DB1-TableParagraph14"/>
              <w:spacing w:before="108"/>
              <w:ind w:left="85"/>
              <w:jc w:val="both"/>
              <w:rPr>
                <w:bCs/>
              </w:rPr>
            </w:pPr>
            <w:r>
              <w:t>Relevancia</w:t>
            </w:r>
            <w:r w:rsidR="00904E1A">
              <w:t xml:space="preserve">— </w:t>
            </w:r>
          </w:p>
          <w:p w14:paraId="7FE1BA54" w14:textId="78C534C4" w:rsidR="00414040" w:rsidRDefault="00904E1A">
            <w:pPr>
              <w:pStyle w:val="P68B1DB1-TableParagraph33"/>
              <w:spacing w:before="108"/>
              <w:ind w:left="85"/>
              <w:jc w:val="both"/>
            </w:pPr>
            <w:r>
              <w:t xml:space="preserve">A escala local, regional, nacional o europea, según proceda para el mercado de que se trate. La </w:t>
            </w:r>
            <w:r w:rsidR="0086210C">
              <w:t>relevancia</w:t>
            </w:r>
            <w:r w:rsidR="00EF18AB">
              <w:t xml:space="preserve"> </w:t>
            </w:r>
            <w:r>
              <w:t>de la entidad podrá evaluarse en función de la cuota de mercado, la interconexión, la complejidad y las actividades transfronterizas.</w:t>
            </w:r>
          </w:p>
          <w:p w14:paraId="7FE1BA55" w14:textId="77777777" w:rsidR="00414040" w:rsidRDefault="00904E1A">
            <w:pPr>
              <w:pStyle w:val="P68B1DB1-TableParagraph14"/>
              <w:spacing w:before="108"/>
              <w:ind w:left="85"/>
              <w:jc w:val="both"/>
              <w:rPr>
                <w:bCs/>
              </w:rPr>
            </w:pPr>
            <w:r>
              <w:t>Cuota de mercado</w:t>
            </w:r>
          </w:p>
          <w:p w14:paraId="7FE1BA56" w14:textId="77A7179D" w:rsidR="00414040" w:rsidRDefault="00904E1A">
            <w:pPr>
              <w:pStyle w:val="P68B1DB1-Normal31"/>
              <w:spacing w:line="276" w:lineRule="auto"/>
              <w:jc w:val="both"/>
            </w:pPr>
            <w:r>
              <w:t xml:space="preserve">Evaluar la importancia de la cuota de mercado </w:t>
            </w:r>
            <w:r w:rsidR="007607C5">
              <w:t>del ente</w:t>
            </w:r>
            <w:r>
              <w:t xml:space="preserve"> declarante, en comparación con el mercado nacional u otro mercado </w:t>
            </w:r>
            <w:r w:rsidR="00B96216">
              <w:t>relevante</w:t>
            </w:r>
            <w:r>
              <w:t xml:space="preserve">, tal como se indica en la plantilla. Esta evaluación se expresa cualitativamente como: </w:t>
            </w:r>
          </w:p>
          <w:p w14:paraId="7FE1BA57" w14:textId="5A9F6F2F" w:rsidR="00414040" w:rsidRDefault="00A8691E">
            <w:pPr>
              <w:pStyle w:val="P68B1DB1-ListParagraph32"/>
              <w:numPr>
                <w:ilvl w:val="0"/>
                <w:numId w:val="276"/>
              </w:numPr>
              <w:spacing w:line="276" w:lineRule="auto"/>
              <w:jc w:val="both"/>
            </w:pPr>
            <w:r>
              <w:t>Alta</w:t>
            </w:r>
            <w:r w:rsidR="00904E1A">
              <w:t xml:space="preserve">, si la cuota de mercado es </w:t>
            </w:r>
            <w:r w:rsidR="001E3940">
              <w:t>alta</w:t>
            </w:r>
          </w:p>
          <w:p w14:paraId="7FE1BA58" w14:textId="14FADFCF" w:rsidR="00414040" w:rsidRDefault="00904E1A">
            <w:pPr>
              <w:pStyle w:val="P68B1DB1-ListParagraph32"/>
              <w:numPr>
                <w:ilvl w:val="0"/>
                <w:numId w:val="276"/>
              </w:numPr>
              <w:spacing w:line="276" w:lineRule="auto"/>
              <w:jc w:val="both"/>
            </w:pPr>
            <w:r>
              <w:t>Medi</w:t>
            </w:r>
            <w:r w:rsidR="0054347C">
              <w:t>a</w:t>
            </w:r>
            <w:r>
              <w:t>-alt</w:t>
            </w:r>
            <w:r w:rsidR="0054347C">
              <w:t>a</w:t>
            </w:r>
            <w:r>
              <w:t>, si la cuota de mercado es media</w:t>
            </w:r>
          </w:p>
          <w:p w14:paraId="7FE1BA59" w14:textId="08F48203" w:rsidR="00414040" w:rsidRDefault="00904E1A">
            <w:pPr>
              <w:pStyle w:val="P68B1DB1-ListParagraph32"/>
              <w:numPr>
                <w:ilvl w:val="0"/>
                <w:numId w:val="276"/>
              </w:numPr>
              <w:spacing w:line="276" w:lineRule="auto"/>
              <w:jc w:val="both"/>
            </w:pPr>
            <w:r>
              <w:t>Medi</w:t>
            </w:r>
            <w:r w:rsidR="0054347C">
              <w:t>a</w:t>
            </w:r>
            <w:r>
              <w:t>-baj</w:t>
            </w:r>
            <w:r w:rsidR="0054347C">
              <w:t>a</w:t>
            </w:r>
            <w:r>
              <w:t xml:space="preserve">, si la cuota de mercado es pequeña o </w:t>
            </w:r>
          </w:p>
          <w:p w14:paraId="7FE1BA5A" w14:textId="3DD284B5" w:rsidR="00414040" w:rsidRDefault="00904E1A">
            <w:pPr>
              <w:pStyle w:val="P68B1DB1-ListParagraph32"/>
              <w:numPr>
                <w:ilvl w:val="0"/>
                <w:numId w:val="276"/>
              </w:numPr>
              <w:spacing w:line="276" w:lineRule="auto"/>
              <w:jc w:val="both"/>
            </w:pPr>
            <w:r>
              <w:t xml:space="preserve">Baja, si la cuota de mercado es insignificante. </w:t>
            </w:r>
          </w:p>
          <w:p w14:paraId="7FE1BA5B" w14:textId="7E94531D" w:rsidR="00414040" w:rsidRDefault="00904E1A">
            <w:pPr>
              <w:pStyle w:val="P68B1DB1-Normal31"/>
              <w:spacing w:line="276" w:lineRule="auto"/>
              <w:jc w:val="both"/>
            </w:pPr>
            <w:r>
              <w:t xml:space="preserve">Esta evaluación tiene en cuenta la estructura del mercado del país </w:t>
            </w:r>
            <w:r w:rsidR="00215B79">
              <w:t>de</w:t>
            </w:r>
            <w:r w:rsidR="007607C5">
              <w:t>l</w:t>
            </w:r>
            <w:r w:rsidR="000E7E98">
              <w:t xml:space="preserve"> </w:t>
            </w:r>
            <w:r w:rsidR="007607C5">
              <w:t>ente</w:t>
            </w:r>
            <w:r>
              <w:t xml:space="preserve"> declarante (u otro mercado </w:t>
            </w:r>
            <w:proofErr w:type="gramStart"/>
            <w:r w:rsidR="005922F5">
              <w:t>releva</w:t>
            </w:r>
            <w:r w:rsidR="00BD6421">
              <w:t>nte</w:t>
            </w:r>
            <w:r w:rsidR="005922F5">
              <w:t xml:space="preserve"> </w:t>
            </w:r>
            <w:r>
              <w:t>)</w:t>
            </w:r>
            <w:proofErr w:type="gramEnd"/>
            <w:r>
              <w:t xml:space="preserve"> y las cuotas de mercado </w:t>
            </w:r>
            <w:r w:rsidR="006D7986">
              <w:t>declaradas</w:t>
            </w:r>
            <w:r w:rsidR="005922F5">
              <w:t xml:space="preserve"> </w:t>
            </w:r>
            <w:r>
              <w:t xml:space="preserve">en la parte 2. </w:t>
            </w:r>
          </w:p>
          <w:p w14:paraId="7FE1BA5C" w14:textId="1B457121" w:rsidR="00414040" w:rsidRDefault="00904E1A">
            <w:pPr>
              <w:pStyle w:val="P68B1DB1-Normal31"/>
              <w:spacing w:line="276" w:lineRule="auto"/>
              <w:jc w:val="both"/>
            </w:pPr>
            <w:r>
              <w:t>Datos cuantitativos:</w:t>
            </w:r>
          </w:p>
          <w:p w14:paraId="7FE1BA5D" w14:textId="2DB94B60" w:rsidR="00414040" w:rsidRDefault="003517E9">
            <w:pPr>
              <w:pStyle w:val="P68B1DB1-ListParagraph32"/>
              <w:numPr>
                <w:ilvl w:val="0"/>
                <w:numId w:val="117"/>
              </w:numPr>
              <w:spacing w:line="276" w:lineRule="auto"/>
              <w:jc w:val="both"/>
              <w:rPr>
                <w:i/>
                <w:lang w:val="es-ES"/>
              </w:rPr>
            </w:pPr>
            <w:r>
              <w:rPr>
                <w:lang w:val="es-ES"/>
              </w:rPr>
              <w:t>Juicio experto</w:t>
            </w:r>
            <w:r w:rsidR="00843EA8">
              <w:rPr>
                <w:lang w:val="es-ES"/>
              </w:rPr>
              <w:t xml:space="preserve"> </w:t>
            </w:r>
            <w:r w:rsidR="00904E1A" w:rsidRPr="2133F407">
              <w:rPr>
                <w:lang w:val="es-ES"/>
              </w:rPr>
              <w:t xml:space="preserve">sobre </w:t>
            </w:r>
            <w:r w:rsidR="00843EA8">
              <w:rPr>
                <w:lang w:val="es-ES"/>
              </w:rPr>
              <w:t xml:space="preserve">la dimensión </w:t>
            </w:r>
            <w:r w:rsidR="00904E1A" w:rsidRPr="2133F407">
              <w:rPr>
                <w:lang w:val="es-ES"/>
              </w:rPr>
              <w:t xml:space="preserve">de la cuota de mercado </w:t>
            </w:r>
            <w:r w:rsidR="00904E1A" w:rsidRPr="2133F407">
              <w:rPr>
                <w:b/>
                <w:lang w:val="es-ES"/>
              </w:rPr>
              <w:t xml:space="preserve">nacional </w:t>
            </w:r>
            <w:r w:rsidR="00904E1A" w:rsidRPr="2133F407">
              <w:rPr>
                <w:lang w:val="es-ES"/>
              </w:rPr>
              <w:t>(</w:t>
            </w:r>
            <w:r w:rsidR="003803A2">
              <w:rPr>
                <w:lang w:val="es-ES"/>
              </w:rPr>
              <w:t>declarado</w:t>
            </w:r>
            <w:r w:rsidR="003803A2" w:rsidRPr="2133F407">
              <w:rPr>
                <w:lang w:val="es-ES"/>
              </w:rPr>
              <w:t xml:space="preserve"> </w:t>
            </w:r>
            <w:r w:rsidR="00904E1A" w:rsidRPr="2133F407">
              <w:rPr>
                <w:lang w:val="es-ES"/>
              </w:rPr>
              <w:t xml:space="preserve">en c0020, excepto en los casos en que </w:t>
            </w:r>
            <w:r w:rsidR="0095704D">
              <w:rPr>
                <w:lang w:val="es-ES"/>
              </w:rPr>
              <w:t>los datos declarados</w:t>
            </w:r>
            <w:r w:rsidR="008C6A13">
              <w:rPr>
                <w:lang w:val="es-ES"/>
              </w:rPr>
              <w:t xml:space="preserve"> se refieran a un</w:t>
            </w:r>
            <w:r w:rsidR="00317D73">
              <w:rPr>
                <w:lang w:val="es-ES"/>
              </w:rPr>
              <w:t>a escala</w:t>
            </w:r>
            <w:r w:rsidR="008C6A13">
              <w:rPr>
                <w:lang w:val="es-ES"/>
              </w:rPr>
              <w:t xml:space="preserve"> </w:t>
            </w:r>
            <w:r w:rsidR="00AE4B32">
              <w:rPr>
                <w:lang w:val="es-ES"/>
              </w:rPr>
              <w:t xml:space="preserve">de </w:t>
            </w:r>
            <w:r w:rsidR="00904E1A" w:rsidRPr="2133F407">
              <w:rPr>
                <w:lang w:val="es-ES"/>
              </w:rPr>
              <w:t xml:space="preserve">mercado </w:t>
            </w:r>
            <w:r w:rsidR="00317D73">
              <w:rPr>
                <w:lang w:val="es-ES"/>
              </w:rPr>
              <w:t>relevante</w:t>
            </w:r>
            <w:r w:rsidR="008C6A13">
              <w:rPr>
                <w:lang w:val="es-ES"/>
              </w:rPr>
              <w:t xml:space="preserve"> </w:t>
            </w:r>
            <w:r w:rsidR="00904E1A" w:rsidRPr="2133F407">
              <w:rPr>
                <w:lang w:val="es-ES"/>
              </w:rPr>
              <w:t>diferente; en tales casos deberá presentarse una evaluación de</w:t>
            </w:r>
            <w:r w:rsidR="00AF06DD">
              <w:rPr>
                <w:lang w:val="es-ES"/>
              </w:rPr>
              <w:t xml:space="preserve"> </w:t>
            </w:r>
            <w:r w:rsidR="00904E1A" w:rsidRPr="2133F407">
              <w:rPr>
                <w:lang w:val="es-ES"/>
              </w:rPr>
              <w:t>l</w:t>
            </w:r>
            <w:r w:rsidR="00AF06DD">
              <w:rPr>
                <w:lang w:val="es-ES"/>
              </w:rPr>
              <w:t>a cuota del</w:t>
            </w:r>
            <w:r w:rsidR="00904E1A" w:rsidRPr="2133F407">
              <w:rPr>
                <w:lang w:val="es-ES"/>
              </w:rPr>
              <w:t xml:space="preserve"> mercado </w:t>
            </w:r>
            <w:proofErr w:type="gramStart"/>
            <w:r w:rsidR="00317D73">
              <w:rPr>
                <w:lang w:val="es-ES"/>
              </w:rPr>
              <w:t>releva</w:t>
            </w:r>
            <w:r w:rsidR="00BD6421">
              <w:rPr>
                <w:lang w:val="es-ES"/>
              </w:rPr>
              <w:t>nte</w:t>
            </w:r>
            <w:r w:rsidR="00317D73">
              <w:rPr>
                <w:lang w:val="es-ES"/>
              </w:rPr>
              <w:t xml:space="preserve"> </w:t>
            </w:r>
            <w:r w:rsidR="00904E1A" w:rsidRPr="2133F407">
              <w:rPr>
                <w:lang w:val="es-ES"/>
              </w:rPr>
              <w:t>)</w:t>
            </w:r>
            <w:proofErr w:type="gramEnd"/>
            <w:r w:rsidR="00904E1A" w:rsidRPr="2133F407">
              <w:rPr>
                <w:lang w:val="es-ES"/>
              </w:rPr>
              <w:t>.</w:t>
            </w:r>
          </w:p>
          <w:p w14:paraId="7FE1BA5E" w14:textId="77777777" w:rsidR="00414040" w:rsidRDefault="00414040">
            <w:pPr>
              <w:spacing w:line="276" w:lineRule="auto"/>
              <w:jc w:val="both"/>
              <w:rPr>
                <w:rFonts w:ascii="Times New Roman" w:eastAsia="Times New Roman" w:hAnsi="Times New Roman" w:cs="Times New Roman"/>
                <w:sz w:val="20"/>
                <w:szCs w:val="20"/>
              </w:rPr>
            </w:pPr>
          </w:p>
          <w:p w14:paraId="7FE1BA5F" w14:textId="77777777" w:rsidR="00414040" w:rsidRDefault="00414040">
            <w:pPr>
              <w:pStyle w:val="TableParagraph"/>
              <w:spacing w:before="108"/>
              <w:ind w:left="85"/>
              <w:jc w:val="both"/>
              <w:rPr>
                <w:rFonts w:ascii="Times New Roman" w:hAnsi="Times New Roman" w:cs="Times New Roman"/>
                <w:b/>
                <w:bCs/>
                <w:color w:val="000000" w:themeColor="text1"/>
                <w:sz w:val="20"/>
                <w:szCs w:val="20"/>
              </w:rPr>
            </w:pPr>
          </w:p>
        </w:tc>
      </w:tr>
      <w:tr w:rsidR="00414040" w14:paraId="7FE1BA6E" w14:textId="77777777" w:rsidTr="0C3A85F4">
        <w:tc>
          <w:tcPr>
            <w:tcW w:w="1080" w:type="dxa"/>
            <w:tcBorders>
              <w:top w:val="single" w:sz="4" w:space="0" w:color="1A171C"/>
              <w:left w:val="nil"/>
              <w:bottom w:val="single" w:sz="4" w:space="0" w:color="1A171C"/>
              <w:right w:val="single" w:sz="4" w:space="0" w:color="1A171C"/>
            </w:tcBorders>
            <w:vAlign w:val="center"/>
          </w:tcPr>
          <w:p w14:paraId="7FE1BA61" w14:textId="5039FA68" w:rsidR="00414040" w:rsidRDefault="00904E1A">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414040" w:rsidRDefault="00904E1A">
            <w:pPr>
              <w:pStyle w:val="P68B1DB1-TableParagraph14"/>
              <w:spacing w:before="108"/>
              <w:ind w:left="85"/>
              <w:jc w:val="both"/>
              <w:rPr>
                <w:bCs/>
              </w:rPr>
            </w:pPr>
            <w:r>
              <w:t>Estructura del mercado — Concentración del mercado</w:t>
            </w:r>
          </w:p>
          <w:p w14:paraId="7FE1BA66" w14:textId="24D995D8" w:rsidR="00414040" w:rsidRDefault="00904E1A">
            <w:pPr>
              <w:pStyle w:val="P68B1DB1-Normal31"/>
              <w:jc w:val="both"/>
            </w:pPr>
            <w:r>
              <w:t xml:space="preserve">La concentración del mercado, medida por el número de competidores que </w:t>
            </w:r>
            <w:r w:rsidR="00F8517B">
              <w:t>desempeñan</w:t>
            </w:r>
            <w:r w:rsidR="00746276">
              <w:t xml:space="preserve"> </w:t>
            </w:r>
            <w:r>
              <w:t xml:space="preserve">actualmente funciones económicas similares </w:t>
            </w:r>
            <w:proofErr w:type="gramStart"/>
            <w:r w:rsidR="001C2274">
              <w:t>u</w:t>
            </w:r>
            <w:r>
              <w:t xml:space="preserve"> </w:t>
            </w:r>
            <w:r w:rsidR="00BB76DE">
              <w:t xml:space="preserve"> ofrecen</w:t>
            </w:r>
            <w:proofErr w:type="gramEnd"/>
            <w:r>
              <w:t xml:space="preserve"> servicios similares en condiciones</w:t>
            </w:r>
            <w:r w:rsidR="00FC659D">
              <w:t xml:space="preserve"> equivalentes</w:t>
            </w:r>
            <w:r>
              <w:t xml:space="preserve"> (es </w:t>
            </w:r>
            <w:proofErr w:type="gramStart"/>
            <w:r>
              <w:t xml:space="preserve">decir, </w:t>
            </w:r>
            <w:r w:rsidR="003A3C95">
              <w:t xml:space="preserve"> con</w:t>
            </w:r>
            <w:proofErr w:type="gramEnd"/>
            <w:r w:rsidR="003A3C95">
              <w:t xml:space="preserve"> un</w:t>
            </w:r>
            <w:r w:rsidR="00BC6673">
              <w:t xml:space="preserve"> </w:t>
            </w:r>
            <w:r w:rsidRPr="2133F407">
              <w:rPr>
                <w:lang w:val="es-ES"/>
              </w:rPr>
              <w:t xml:space="preserve">alcance y calidad comparables y </w:t>
            </w:r>
            <w:r w:rsidR="00DC5853">
              <w:rPr>
                <w:lang w:val="es-ES"/>
              </w:rPr>
              <w:t>a</w:t>
            </w:r>
            <w:r w:rsidR="00BC6673">
              <w:rPr>
                <w:lang w:val="es-ES"/>
              </w:rPr>
              <w:t xml:space="preserve"> </w:t>
            </w:r>
            <w:r w:rsidRPr="2133F407">
              <w:rPr>
                <w:lang w:val="es-ES"/>
              </w:rPr>
              <w:t xml:space="preserve">un coste comparable) que </w:t>
            </w:r>
            <w:r w:rsidR="00F35B8C">
              <w:rPr>
                <w:lang w:val="es-ES"/>
              </w:rPr>
              <w:t xml:space="preserve">potencialmente podrían </w:t>
            </w:r>
            <w:r w:rsidRPr="2133F407">
              <w:rPr>
                <w:lang w:val="es-ES"/>
              </w:rPr>
              <w:t xml:space="preserve">asumir el control </w:t>
            </w:r>
            <w:r w:rsidR="001C2274">
              <w:rPr>
                <w:lang w:val="es-ES"/>
              </w:rPr>
              <w:t>de</w:t>
            </w:r>
            <w:r w:rsidR="00BC6673">
              <w:rPr>
                <w:lang w:val="es-ES"/>
              </w:rPr>
              <w:t xml:space="preserve"> </w:t>
            </w:r>
            <w:r>
              <w:t xml:space="preserve">(parte de) los clientes o actividades </w:t>
            </w:r>
            <w:r w:rsidR="007607C5">
              <w:t>del ente</w:t>
            </w:r>
            <w:r>
              <w:t xml:space="preserve"> declarante en un plazo razonable. </w:t>
            </w:r>
          </w:p>
          <w:p w14:paraId="7FE1BA67" w14:textId="426A9E60" w:rsidR="00414040" w:rsidRDefault="00904E1A">
            <w:pPr>
              <w:pStyle w:val="P68B1DB1-Normal31"/>
              <w:jc w:val="both"/>
            </w:pPr>
            <w:r>
              <w:t>Est</w:t>
            </w:r>
            <w:r w:rsidR="00D76F4D">
              <w:t>a información</w:t>
            </w:r>
            <w:r>
              <w:t xml:space="preserve"> debe </w:t>
            </w:r>
            <w:r w:rsidR="00804163">
              <w:t xml:space="preserve">declararse </w:t>
            </w:r>
            <w:r>
              <w:t xml:space="preserve">en segmentos, que son los mismos para cada subfunción. </w:t>
            </w:r>
          </w:p>
          <w:p w14:paraId="7FE1BA68" w14:textId="5B483BC6" w:rsidR="00414040" w:rsidRDefault="00904E1A">
            <w:pPr>
              <w:pStyle w:val="P68B1DB1-ListParagraph32"/>
              <w:numPr>
                <w:ilvl w:val="0"/>
                <w:numId w:val="277"/>
              </w:numPr>
              <w:jc w:val="both"/>
            </w:pPr>
            <w:bookmarkStart w:id="113" w:name="_Hlk194417513"/>
            <w:r>
              <w:t xml:space="preserve">&gt; 20 competidores; </w:t>
            </w:r>
          </w:p>
          <w:p w14:paraId="7FE1BA69" w14:textId="7D2A0C84" w:rsidR="00414040" w:rsidRDefault="00904E1A">
            <w:pPr>
              <w:pStyle w:val="P68B1DB1-ListParagraph32"/>
              <w:numPr>
                <w:ilvl w:val="0"/>
                <w:numId w:val="277"/>
              </w:numPr>
              <w:jc w:val="both"/>
            </w:pPr>
            <w:r>
              <w:t xml:space="preserve">11-20 competidores; </w:t>
            </w:r>
          </w:p>
          <w:p w14:paraId="7FE1BA6A" w14:textId="5EF3634F" w:rsidR="00414040" w:rsidRDefault="00904E1A">
            <w:pPr>
              <w:pStyle w:val="P68B1DB1-ListParagraph32"/>
              <w:numPr>
                <w:ilvl w:val="0"/>
                <w:numId w:val="277"/>
              </w:numPr>
              <w:jc w:val="both"/>
            </w:pPr>
            <w:r>
              <w:t xml:space="preserve">5-10 competidores, </w:t>
            </w:r>
          </w:p>
          <w:p w14:paraId="7FE1BA6B" w14:textId="2A61F615" w:rsidR="00414040" w:rsidRDefault="003E37D8">
            <w:pPr>
              <w:pStyle w:val="P68B1DB1-ListParagraph32"/>
              <w:numPr>
                <w:ilvl w:val="0"/>
                <w:numId w:val="277"/>
              </w:numPr>
              <w:jc w:val="both"/>
              <w:rPr>
                <w:b/>
                <w:bCs/>
                <w:color w:val="000000" w:themeColor="text1"/>
              </w:rPr>
            </w:pPr>
            <w:r>
              <w:lastRenderedPageBreak/>
              <w:t>&lt;</w:t>
            </w:r>
            <w:r w:rsidR="00904E1A">
              <w:t>5</w:t>
            </w:r>
            <w:bookmarkEnd w:id="113"/>
            <w:r w:rsidR="00904E1A">
              <w:t xml:space="preserve"> competidores</w:t>
            </w:r>
          </w:p>
          <w:p w14:paraId="7FE1BA6C" w14:textId="3EF24B4F" w:rsidR="00414040" w:rsidRDefault="003E37D8">
            <w:pPr>
              <w:pStyle w:val="P68B1DB1-Normal34"/>
              <w:ind w:left="360"/>
              <w:jc w:val="both"/>
              <w:rPr>
                <w:i/>
                <w:lang w:val="es-ES"/>
              </w:rPr>
            </w:pPr>
            <w:r>
              <w:rPr>
                <w:lang w:val="es-ES"/>
              </w:rPr>
              <w:t xml:space="preserve">Juicio experto </w:t>
            </w:r>
            <w:r w:rsidR="00904E1A" w:rsidRPr="2133F407">
              <w:rPr>
                <w:lang w:val="es-ES"/>
              </w:rPr>
              <w:t xml:space="preserve">sobre </w:t>
            </w:r>
            <w:r w:rsidR="008F0766">
              <w:rPr>
                <w:lang w:val="es-ES"/>
              </w:rPr>
              <w:t>la dimensión</w:t>
            </w:r>
            <w:r w:rsidR="00904E1A" w:rsidRPr="2133F407">
              <w:rPr>
                <w:lang w:val="es-ES"/>
              </w:rPr>
              <w:t xml:space="preserve"> de la cuota de mercado </w:t>
            </w:r>
            <w:r w:rsidR="00904E1A" w:rsidRPr="2133F407">
              <w:rPr>
                <w:b/>
                <w:lang w:val="es-ES"/>
              </w:rPr>
              <w:t xml:space="preserve">nacional </w:t>
            </w:r>
            <w:r w:rsidR="00904E1A" w:rsidRPr="2133F407">
              <w:rPr>
                <w:lang w:val="es-ES"/>
              </w:rPr>
              <w:t>(</w:t>
            </w:r>
            <w:r w:rsidR="00976A2C">
              <w:rPr>
                <w:lang w:val="es-ES"/>
              </w:rPr>
              <w:t>declarad</w:t>
            </w:r>
            <w:r w:rsidR="008F0766">
              <w:rPr>
                <w:lang w:val="es-ES"/>
              </w:rPr>
              <w:t>a</w:t>
            </w:r>
            <w:r w:rsidR="00976A2C" w:rsidRPr="2133F407">
              <w:rPr>
                <w:lang w:val="es-ES"/>
              </w:rPr>
              <w:t xml:space="preserve"> </w:t>
            </w:r>
            <w:r w:rsidR="00904E1A" w:rsidRPr="2133F407">
              <w:rPr>
                <w:lang w:val="es-ES"/>
              </w:rPr>
              <w:t>en c0020, excepto en los casos en que</w:t>
            </w:r>
            <w:r w:rsidR="001A1E31">
              <w:rPr>
                <w:lang w:val="es-ES"/>
              </w:rPr>
              <w:t xml:space="preserve"> los datos declarados se refieran a un</w:t>
            </w:r>
            <w:r w:rsidR="008F0766">
              <w:rPr>
                <w:lang w:val="es-ES"/>
              </w:rPr>
              <w:t>a</w:t>
            </w:r>
            <w:r w:rsidR="00904E1A" w:rsidRPr="2133F407">
              <w:rPr>
                <w:lang w:val="es-ES"/>
              </w:rPr>
              <w:t xml:space="preserve"> </w:t>
            </w:r>
            <w:r w:rsidR="008F0766">
              <w:rPr>
                <w:lang w:val="es-ES"/>
              </w:rPr>
              <w:t>escala</w:t>
            </w:r>
            <w:r w:rsidR="00AE4B32">
              <w:rPr>
                <w:lang w:val="es-ES"/>
              </w:rPr>
              <w:t xml:space="preserve"> de </w:t>
            </w:r>
            <w:r w:rsidR="00904E1A" w:rsidRPr="2133F407">
              <w:rPr>
                <w:lang w:val="es-ES"/>
              </w:rPr>
              <w:t xml:space="preserve">mercado </w:t>
            </w:r>
            <w:r w:rsidR="008F0766">
              <w:rPr>
                <w:lang w:val="es-ES"/>
              </w:rPr>
              <w:t>releva</w:t>
            </w:r>
            <w:r w:rsidR="00B53AB8">
              <w:rPr>
                <w:lang w:val="es-ES"/>
              </w:rPr>
              <w:t xml:space="preserve">nte </w:t>
            </w:r>
            <w:r w:rsidR="00904E1A" w:rsidRPr="2133F407">
              <w:rPr>
                <w:lang w:val="es-ES"/>
              </w:rPr>
              <w:t>diferente; en tales casos deberá presentarse una evaluación de</w:t>
            </w:r>
            <w:r w:rsidR="005B62A8">
              <w:rPr>
                <w:lang w:val="es-ES"/>
              </w:rPr>
              <w:t xml:space="preserve"> </w:t>
            </w:r>
            <w:r w:rsidR="00904E1A" w:rsidRPr="2133F407">
              <w:rPr>
                <w:lang w:val="es-ES"/>
              </w:rPr>
              <w:t>l</w:t>
            </w:r>
            <w:r w:rsidR="005B62A8">
              <w:rPr>
                <w:lang w:val="es-ES"/>
              </w:rPr>
              <w:t>a cuota del</w:t>
            </w:r>
            <w:r w:rsidR="00904E1A" w:rsidRPr="2133F407">
              <w:rPr>
                <w:lang w:val="es-ES"/>
              </w:rPr>
              <w:t xml:space="preserve"> mercado </w:t>
            </w:r>
            <w:r w:rsidR="008F0766">
              <w:rPr>
                <w:lang w:val="es-ES"/>
              </w:rPr>
              <w:t>releva</w:t>
            </w:r>
            <w:r w:rsidR="00B53AB8">
              <w:rPr>
                <w:lang w:val="es-ES"/>
              </w:rPr>
              <w:t>nte</w:t>
            </w:r>
            <w:r w:rsidR="00904E1A" w:rsidRPr="2133F407">
              <w:rPr>
                <w:lang w:val="es-ES"/>
              </w:rPr>
              <w:t>).</w:t>
            </w:r>
          </w:p>
          <w:p w14:paraId="7FE1BA6D" w14:textId="77777777" w:rsidR="00414040" w:rsidRDefault="00414040">
            <w:pPr>
              <w:jc w:val="both"/>
              <w:rPr>
                <w:rFonts w:ascii="Times New Roman" w:hAnsi="Times New Roman"/>
                <w:b/>
                <w:bCs/>
                <w:color w:val="000000" w:themeColor="text1"/>
                <w:sz w:val="20"/>
                <w:szCs w:val="20"/>
              </w:rPr>
            </w:pPr>
          </w:p>
        </w:tc>
      </w:tr>
      <w:tr w:rsidR="00414040" w14:paraId="7FE1BA81" w14:textId="77777777" w:rsidTr="0C3A85F4">
        <w:tc>
          <w:tcPr>
            <w:tcW w:w="1080" w:type="dxa"/>
            <w:tcBorders>
              <w:top w:val="single" w:sz="4" w:space="0" w:color="1A171C"/>
              <w:left w:val="nil"/>
              <w:bottom w:val="single" w:sz="4" w:space="0" w:color="1A171C"/>
              <w:right w:val="single" w:sz="4" w:space="0" w:color="1A171C"/>
            </w:tcBorders>
            <w:vAlign w:val="center"/>
          </w:tcPr>
          <w:p w14:paraId="7FE1BA6F" w14:textId="38765705" w:rsidR="00414040" w:rsidRDefault="00904E1A">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A70" w14:textId="703FF980" w:rsidR="00414040" w:rsidRDefault="006F5662">
            <w:pPr>
              <w:pStyle w:val="P68B1DB1-TableParagraph14"/>
              <w:spacing w:before="108"/>
              <w:ind w:left="85"/>
              <w:jc w:val="both"/>
              <w:rPr>
                <w:bCs/>
              </w:rPr>
            </w:pPr>
            <w:r>
              <w:t>Plazo</w:t>
            </w:r>
            <w:r w:rsidR="00904E1A">
              <w:t>— Tiempo previsto para la sustitución</w:t>
            </w:r>
          </w:p>
          <w:p w14:paraId="7FE1BA72" w14:textId="70A58367" w:rsidR="00414040" w:rsidRDefault="00904E1A">
            <w:pPr>
              <w:pStyle w:val="P68B1DB1-Normal31"/>
              <w:jc w:val="both"/>
            </w:pPr>
            <w:r>
              <w:t xml:space="preserve">Estimar el tiempo necesario para </w:t>
            </w:r>
            <w:r w:rsidR="00017006">
              <w:t xml:space="preserve">que </w:t>
            </w:r>
            <w:r>
              <w:t xml:space="preserve">la función económica </w:t>
            </w:r>
            <w:r w:rsidR="00A07919">
              <w:t xml:space="preserve">desempeñada </w:t>
            </w:r>
            <w:r>
              <w:t xml:space="preserve">por </w:t>
            </w:r>
            <w:r w:rsidR="008E7A44">
              <w:rPr>
                <w:lang w:val="es-ES"/>
              </w:rPr>
              <w:t>el ente</w:t>
            </w:r>
            <w:r w:rsidR="008E7A44" w:rsidRPr="2133F407">
              <w:rPr>
                <w:lang w:val="es-ES"/>
              </w:rPr>
              <w:t xml:space="preserve"> </w:t>
            </w:r>
            <w:r w:rsidR="00B05109">
              <w:rPr>
                <w:lang w:val="es-ES"/>
              </w:rPr>
              <w:t xml:space="preserve">declarante </w:t>
            </w:r>
            <w:r w:rsidR="00A07919">
              <w:rPr>
                <w:lang w:val="es-ES"/>
              </w:rPr>
              <w:t xml:space="preserve">sea </w:t>
            </w:r>
            <w:r w:rsidRPr="2133F407">
              <w:rPr>
                <w:lang w:val="es-ES"/>
              </w:rPr>
              <w:t xml:space="preserve">absorbida por el mercado en una situación de crisis. </w:t>
            </w:r>
            <w:r w:rsidR="00323FD3">
              <w:rPr>
                <w:lang w:val="es-ES"/>
              </w:rPr>
              <w:t>Incluye</w:t>
            </w:r>
            <w:r w:rsidRPr="2133F407">
              <w:rPr>
                <w:lang w:val="es-ES"/>
              </w:rPr>
              <w:t xml:space="preserve">: </w:t>
            </w:r>
          </w:p>
          <w:p w14:paraId="7FE1BA73" w14:textId="360554CD" w:rsidR="00414040" w:rsidRDefault="00904E1A">
            <w:pPr>
              <w:pStyle w:val="P68B1DB1-ListParagraph32"/>
              <w:numPr>
                <w:ilvl w:val="0"/>
                <w:numId w:val="274"/>
              </w:numPr>
              <w:jc w:val="both"/>
            </w:pPr>
            <w:r>
              <w:t xml:space="preserve">el tiempo previsto que </w:t>
            </w:r>
            <w:r w:rsidR="00327AE0">
              <w:t>necesitaría</w:t>
            </w:r>
            <w:r w:rsidR="001C2274">
              <w:t>n</w:t>
            </w:r>
            <w:r w:rsidR="00327AE0">
              <w:t xml:space="preserve"> </w:t>
            </w:r>
            <w:r>
              <w:t xml:space="preserve">uno o varios competidores para </w:t>
            </w:r>
            <w:r w:rsidR="006E3F65">
              <w:t>completar</w:t>
            </w:r>
            <w:r w:rsidR="00B07DB5">
              <w:t xml:space="preserve"> </w:t>
            </w:r>
            <w:r>
              <w:t>l</w:t>
            </w:r>
            <w:r w:rsidR="006E3F65">
              <w:t>os pasos</w:t>
            </w:r>
            <w:r>
              <w:t xml:space="preserve"> jurídic</w:t>
            </w:r>
            <w:r w:rsidR="006E3F65">
              <w:t>o</w:t>
            </w:r>
            <w:r>
              <w:t>s y técnic</w:t>
            </w:r>
            <w:r w:rsidR="006E3F65">
              <w:t>o</w:t>
            </w:r>
            <w:r>
              <w:t>s necesari</w:t>
            </w:r>
            <w:r w:rsidR="006E3F65">
              <w:t>o</w:t>
            </w:r>
            <w:r>
              <w:t xml:space="preserve">s para asumir la función; así como  </w:t>
            </w:r>
          </w:p>
          <w:p w14:paraId="7FE1BA74" w14:textId="05930E26" w:rsidR="00414040" w:rsidRDefault="00904E1A">
            <w:pPr>
              <w:pStyle w:val="P68B1DB1-ListParagraph32"/>
              <w:numPr>
                <w:ilvl w:val="0"/>
                <w:numId w:val="274"/>
              </w:numPr>
              <w:jc w:val="both"/>
            </w:pPr>
            <w:r>
              <w:t xml:space="preserve">el tiempo que necesitan los usuarios del servicio para </w:t>
            </w:r>
            <w:r w:rsidR="00AD4390">
              <w:t xml:space="preserve">cambiar </w:t>
            </w:r>
            <w:r>
              <w:t xml:space="preserve">a otro proveedor de servicios. </w:t>
            </w:r>
          </w:p>
          <w:p w14:paraId="7FE1BA75" w14:textId="77777777" w:rsidR="00414040" w:rsidRDefault="00414040">
            <w:pPr>
              <w:jc w:val="both"/>
              <w:rPr>
                <w:rFonts w:ascii="Times New Roman" w:eastAsia="Times New Roman" w:hAnsi="Times New Roman" w:cs="Times New Roman"/>
                <w:sz w:val="20"/>
                <w:szCs w:val="20"/>
              </w:rPr>
            </w:pPr>
          </w:p>
          <w:p w14:paraId="7FE1BA76" w14:textId="0F7F0B9B" w:rsidR="00414040" w:rsidRDefault="00904E1A">
            <w:pPr>
              <w:pStyle w:val="P68B1DB1-Normal31"/>
              <w:jc w:val="both"/>
            </w:pPr>
            <w:r w:rsidRPr="2133F407">
              <w:rPr>
                <w:lang w:val="es-ES"/>
              </w:rPr>
              <w:t xml:space="preserve">Para los depósitos, se refiere principalmente a la capacidad financiera, operativa y técnica de los proveedores alternativos para ofrecer servicios de </w:t>
            </w:r>
            <w:r w:rsidR="00866F76">
              <w:rPr>
                <w:lang w:val="es-ES"/>
              </w:rPr>
              <w:t xml:space="preserve">captación de </w:t>
            </w:r>
            <w:r w:rsidRPr="2133F407">
              <w:rPr>
                <w:lang w:val="es-ES"/>
              </w:rPr>
              <w:t>depósito</w:t>
            </w:r>
            <w:r w:rsidR="00866F76">
              <w:rPr>
                <w:lang w:val="es-ES"/>
              </w:rPr>
              <w:t>s</w:t>
            </w:r>
            <w:r w:rsidRPr="2133F407">
              <w:rPr>
                <w:lang w:val="es-ES"/>
              </w:rPr>
              <w:t xml:space="preserve"> a los clientes del </w:t>
            </w:r>
            <w:r w:rsidR="007607C5">
              <w:rPr>
                <w:lang w:val="es-ES"/>
              </w:rPr>
              <w:t xml:space="preserve">ente </w:t>
            </w:r>
            <w:r w:rsidRPr="2133F407">
              <w:rPr>
                <w:lang w:val="es-ES"/>
              </w:rPr>
              <w:t xml:space="preserve">declarante y no a la transferencia de los depósitos a otro proveedor como consecuencia de un acto de una autoridad o de la </w:t>
            </w:r>
            <w:r w:rsidR="00A431DB">
              <w:rPr>
                <w:lang w:val="es-ES"/>
              </w:rPr>
              <w:t>recepción</w:t>
            </w:r>
            <w:r w:rsidR="00A431DB" w:rsidRPr="2133F407">
              <w:rPr>
                <w:lang w:val="es-ES"/>
              </w:rPr>
              <w:t xml:space="preserve"> </w:t>
            </w:r>
            <w:r w:rsidRPr="2133F407">
              <w:rPr>
                <w:lang w:val="es-ES"/>
              </w:rPr>
              <w:t xml:space="preserve">de una compensación del </w:t>
            </w:r>
            <w:r w:rsidRPr="00477F20">
              <w:rPr>
                <w:lang w:val="es-ES"/>
              </w:rPr>
              <w:t>SGD</w:t>
            </w:r>
            <w:r w:rsidRPr="2133F407">
              <w:rPr>
                <w:lang w:val="es-ES"/>
              </w:rPr>
              <w:t xml:space="preserve">. </w:t>
            </w:r>
          </w:p>
          <w:p w14:paraId="7FE1BA77" w14:textId="77777777" w:rsidR="00414040" w:rsidRDefault="00414040">
            <w:pPr>
              <w:jc w:val="both"/>
              <w:rPr>
                <w:rFonts w:ascii="Times New Roman" w:eastAsia="Times New Roman" w:hAnsi="Times New Roman" w:cs="Times New Roman"/>
                <w:sz w:val="20"/>
                <w:szCs w:val="20"/>
              </w:rPr>
            </w:pPr>
          </w:p>
          <w:p w14:paraId="7FE1BA78" w14:textId="7C55FA1E" w:rsidR="00414040" w:rsidRDefault="00904E1A">
            <w:pPr>
              <w:pStyle w:val="P68B1DB1-Normal31"/>
              <w:jc w:val="both"/>
            </w:pPr>
            <w:r>
              <w:t xml:space="preserve">Como </w:t>
            </w:r>
            <w:r w:rsidR="00A540D2">
              <w:t>aproximación</w:t>
            </w:r>
            <w:r w:rsidR="00117F93">
              <w:t xml:space="preserve"> </w:t>
            </w:r>
            <w:r>
              <w:t xml:space="preserve">del primero, </w:t>
            </w:r>
            <w:r w:rsidR="00B40014">
              <w:t xml:space="preserve">debe proporcionarse </w:t>
            </w:r>
            <w:r>
              <w:t xml:space="preserve">una estimación del tiempo que le llevaría </w:t>
            </w:r>
            <w:r w:rsidR="007607C5">
              <w:t>al ente</w:t>
            </w:r>
            <w:r>
              <w:t xml:space="preserve"> </w:t>
            </w:r>
            <w:r w:rsidR="008559E6">
              <w:t>declarante</w:t>
            </w:r>
            <w:r>
              <w:t xml:space="preserve"> absorber en su propi</w:t>
            </w:r>
            <w:r w:rsidR="00FD693A">
              <w:t>o negocio</w:t>
            </w:r>
            <w:r>
              <w:t xml:space="preserve"> (parte de) el servicio prestado por otra entidad, a un coste razonable, en una situación de crisis. Indíquese el tiempo estimado para la sustitución en los segmentos facilitados en la plantilla:</w:t>
            </w:r>
          </w:p>
          <w:p w14:paraId="7FE1BA79" w14:textId="77777777" w:rsidR="00414040" w:rsidRDefault="00414040">
            <w:pPr>
              <w:jc w:val="both"/>
              <w:rPr>
                <w:rFonts w:ascii="Times New Roman" w:hAnsi="Times New Roman" w:cs="Times New Roman"/>
                <w:color w:val="000000" w:themeColor="text1"/>
                <w:sz w:val="20"/>
                <w:szCs w:val="20"/>
              </w:rPr>
            </w:pPr>
          </w:p>
          <w:p w14:paraId="7FE1BA7A" w14:textId="5302FF4D" w:rsidR="00414040" w:rsidRDefault="00904E1A">
            <w:pPr>
              <w:pStyle w:val="P68B1DB1-Normal31"/>
              <w:jc w:val="both"/>
            </w:pPr>
            <w:bookmarkStart w:id="114" w:name="_Hlk194476514"/>
            <w:r>
              <w:t xml:space="preserve">Segmentos: </w:t>
            </w:r>
          </w:p>
          <w:p w14:paraId="7FE1BA7B" w14:textId="28AF6050" w:rsidR="00414040" w:rsidRDefault="00AB3342">
            <w:pPr>
              <w:pStyle w:val="P68B1DB1-ListParagraph32"/>
              <w:numPr>
                <w:ilvl w:val="0"/>
                <w:numId w:val="280"/>
              </w:numPr>
              <w:jc w:val="both"/>
            </w:pPr>
            <w:r>
              <w:t>&lt;</w:t>
            </w:r>
            <w:r w:rsidR="00904E1A">
              <w:t xml:space="preserve">1 semana; </w:t>
            </w:r>
          </w:p>
          <w:p w14:paraId="7FE1BA7C" w14:textId="6B0EB4E0" w:rsidR="00414040" w:rsidRDefault="00904E1A">
            <w:pPr>
              <w:pStyle w:val="P68B1DB1-ListParagraph32"/>
              <w:numPr>
                <w:ilvl w:val="0"/>
                <w:numId w:val="280"/>
              </w:numPr>
              <w:jc w:val="both"/>
            </w:pPr>
            <w:r>
              <w:t xml:space="preserve">1 </w:t>
            </w:r>
            <w:r w:rsidR="00914007">
              <w:t>semana</w:t>
            </w:r>
            <w:r>
              <w:t xml:space="preserve">-1 mes; </w:t>
            </w:r>
          </w:p>
          <w:p w14:paraId="7FE1BA7D" w14:textId="05597976" w:rsidR="00414040" w:rsidRDefault="00904E1A">
            <w:pPr>
              <w:pStyle w:val="P68B1DB1-ListParagraph32"/>
              <w:numPr>
                <w:ilvl w:val="0"/>
                <w:numId w:val="280"/>
              </w:numPr>
              <w:jc w:val="both"/>
            </w:pPr>
            <w:r>
              <w:t xml:space="preserve">&gt; 1-6 meses, </w:t>
            </w:r>
          </w:p>
          <w:p w14:paraId="7FE1BA7E" w14:textId="0D41F489" w:rsidR="00414040" w:rsidRDefault="00904E1A">
            <w:pPr>
              <w:pStyle w:val="P68B1DB1-ListParagraph32"/>
              <w:numPr>
                <w:ilvl w:val="0"/>
                <w:numId w:val="280"/>
              </w:numPr>
              <w:jc w:val="both"/>
            </w:pPr>
            <w:r>
              <w:t xml:space="preserve">&gt; 6 meses  </w:t>
            </w:r>
          </w:p>
          <w:bookmarkEnd w:id="114"/>
          <w:p w14:paraId="7FE1BA7F" w14:textId="77777777" w:rsidR="00414040" w:rsidRDefault="00414040">
            <w:pPr>
              <w:jc w:val="both"/>
              <w:rPr>
                <w:rFonts w:ascii="Times New Roman" w:eastAsia="Times New Roman" w:hAnsi="Times New Roman" w:cs="Times New Roman"/>
                <w:sz w:val="20"/>
                <w:szCs w:val="20"/>
              </w:rPr>
            </w:pPr>
          </w:p>
          <w:p w14:paraId="7FE1BA80" w14:textId="77777777" w:rsidR="00414040" w:rsidRDefault="00414040">
            <w:pPr>
              <w:jc w:val="both"/>
              <w:rPr>
                <w:rFonts w:ascii="Times New Roman" w:hAnsi="Times New Roman" w:cs="Times New Roman"/>
                <w:color w:val="000000" w:themeColor="text1"/>
                <w:sz w:val="20"/>
                <w:szCs w:val="20"/>
              </w:rPr>
            </w:pPr>
          </w:p>
        </w:tc>
      </w:tr>
      <w:tr w:rsidR="00414040" w14:paraId="7FE1BA84" w14:textId="77777777" w:rsidTr="0C3A85F4">
        <w:tc>
          <w:tcPr>
            <w:tcW w:w="1080" w:type="dxa"/>
            <w:tcBorders>
              <w:top w:val="single" w:sz="4" w:space="0" w:color="1A171C"/>
              <w:left w:val="nil"/>
              <w:bottom w:val="single" w:sz="4" w:space="0" w:color="1A171C"/>
              <w:right w:val="single" w:sz="4" w:space="0" w:color="1A171C"/>
            </w:tcBorders>
            <w:vAlign w:val="center"/>
          </w:tcPr>
          <w:p w14:paraId="7FE1BA82" w14:textId="28D0359B" w:rsidR="00414040" w:rsidRDefault="00904E1A">
            <w:pPr>
              <w:pStyle w:val="P68B1DB1-TableParagraph17"/>
              <w:spacing w:before="108"/>
              <w:jc w:val="both"/>
            </w:pPr>
            <w:r>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414040" w:rsidRDefault="00904E1A">
            <w:pPr>
              <w:pStyle w:val="P68B1DB1-TableParagraph14"/>
              <w:spacing w:before="108"/>
              <w:ind w:left="85"/>
              <w:jc w:val="both"/>
              <w:rPr>
                <w:bCs/>
              </w:rPr>
            </w:pPr>
            <w:r>
              <w:t>Capacidad de sustitución</w:t>
            </w:r>
          </w:p>
        </w:tc>
      </w:tr>
      <w:tr w:rsidR="00414040" w14:paraId="7FE1BA8E" w14:textId="77777777" w:rsidTr="0C3A85F4">
        <w:tc>
          <w:tcPr>
            <w:tcW w:w="1080" w:type="dxa"/>
            <w:tcBorders>
              <w:top w:val="single" w:sz="4" w:space="0" w:color="1A171C"/>
              <w:left w:val="nil"/>
              <w:bottom w:val="single" w:sz="4" w:space="0" w:color="1A171C"/>
              <w:right w:val="single" w:sz="4" w:space="0" w:color="1A171C"/>
            </w:tcBorders>
            <w:vAlign w:val="center"/>
          </w:tcPr>
          <w:p w14:paraId="7FE1BA85" w14:textId="56A54470" w:rsidR="00414040" w:rsidRDefault="00904E1A">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174C8D8B" w:rsidR="00414040" w:rsidRDefault="00B55DD5">
            <w:pPr>
              <w:pStyle w:val="P68B1DB1-Normal35"/>
              <w:jc w:val="both"/>
              <w:rPr>
                <w:bCs/>
              </w:rPr>
            </w:pPr>
            <w:r>
              <w:t>Barreras</w:t>
            </w:r>
            <w:r w:rsidR="00117F93">
              <w:t xml:space="preserve"> </w:t>
            </w:r>
            <w:r w:rsidR="00904E1A">
              <w:t>legales a la entrada o la expansión</w:t>
            </w:r>
          </w:p>
          <w:p w14:paraId="7FE1BA87" w14:textId="77777777" w:rsidR="00414040" w:rsidRDefault="00414040">
            <w:pPr>
              <w:jc w:val="both"/>
              <w:rPr>
                <w:rFonts w:ascii="Times New Roman" w:eastAsia="Times New Roman" w:hAnsi="Times New Roman" w:cs="Times New Roman"/>
                <w:b/>
                <w:bCs/>
                <w:color w:val="000000" w:themeColor="text1"/>
                <w:sz w:val="20"/>
                <w:szCs w:val="20"/>
              </w:rPr>
            </w:pPr>
          </w:p>
          <w:p w14:paraId="7FE1BA88" w14:textId="0DCE458E" w:rsidR="00414040" w:rsidRDefault="0014518E">
            <w:pPr>
              <w:pStyle w:val="P68B1DB1-Normal36"/>
              <w:jc w:val="both"/>
            </w:pPr>
            <w:r>
              <w:t>Barreras legales</w:t>
            </w:r>
            <w:r w:rsidR="0085348E">
              <w:t xml:space="preserve"> </w:t>
            </w:r>
            <w:r w:rsidR="00904E1A">
              <w:t xml:space="preserve">para que los competidores ofrezcan el servicio. Los requisitos legales para el ejercicio de la actividad de las entidades de crédito (por ejemplo, licencias bancarias o requisitos de capital) no deben considerarse </w:t>
            </w:r>
            <w:r w:rsidR="004064B7">
              <w:t>barreras</w:t>
            </w:r>
            <w:r w:rsidR="00117F93">
              <w:t xml:space="preserve"> </w:t>
            </w:r>
            <w:r w:rsidR="00904E1A">
              <w:t xml:space="preserve">insuperables </w:t>
            </w:r>
            <w:r w:rsidR="007506FF">
              <w:t>cuando exist</w:t>
            </w:r>
            <w:r w:rsidR="009D4DD9">
              <w:t>a</w:t>
            </w:r>
            <w:r w:rsidR="007506FF">
              <w:t>n</w:t>
            </w:r>
            <w:r w:rsidR="00D374EE">
              <w:t xml:space="preserve"> </w:t>
            </w:r>
            <w:r w:rsidR="00904E1A">
              <w:t xml:space="preserve">proveedores alternativos. Este indicador debe </w:t>
            </w:r>
            <w:r w:rsidR="00E569A8">
              <w:t>reportarse</w:t>
            </w:r>
            <w:r w:rsidR="00D374EE">
              <w:t xml:space="preserve"> </w:t>
            </w:r>
            <w:r w:rsidR="00904E1A">
              <w:t xml:space="preserve">en segmentos, que son los mismos para cada subfunción: </w:t>
            </w:r>
          </w:p>
          <w:p w14:paraId="7FE1BA89" w14:textId="7A967FF7" w:rsidR="00414040" w:rsidRDefault="00904E1A">
            <w:pPr>
              <w:pStyle w:val="P68B1DB1-ListParagraph37"/>
              <w:numPr>
                <w:ilvl w:val="0"/>
                <w:numId w:val="275"/>
              </w:numPr>
              <w:jc w:val="both"/>
            </w:pPr>
            <w:r>
              <w:t xml:space="preserve">no hay barreras importantes, </w:t>
            </w:r>
          </w:p>
          <w:p w14:paraId="7FE1BA8A" w14:textId="1DF5E352" w:rsidR="00414040" w:rsidRDefault="00D374EE">
            <w:pPr>
              <w:pStyle w:val="P68B1DB1-ListParagraph37"/>
              <w:numPr>
                <w:ilvl w:val="0"/>
                <w:numId w:val="275"/>
              </w:numPr>
              <w:jc w:val="both"/>
            </w:pPr>
            <w:r>
              <w:t xml:space="preserve">algunas </w:t>
            </w:r>
            <w:r w:rsidR="00E614AC">
              <w:t>barreras</w:t>
            </w:r>
            <w:r w:rsidR="00904E1A">
              <w:t xml:space="preserve">, </w:t>
            </w:r>
          </w:p>
          <w:p w14:paraId="7FE1BA8B" w14:textId="213EABA2" w:rsidR="00414040" w:rsidRDefault="00904E1A">
            <w:pPr>
              <w:pStyle w:val="P68B1DB1-ListParagraph37"/>
              <w:numPr>
                <w:ilvl w:val="0"/>
                <w:numId w:val="275"/>
              </w:numPr>
              <w:jc w:val="both"/>
            </w:pPr>
            <w:r>
              <w:t xml:space="preserve">barreras importantes (pero superables), </w:t>
            </w:r>
          </w:p>
          <w:p w14:paraId="7FE1BA8D" w14:textId="59C2317E" w:rsidR="00414040" w:rsidRDefault="00904E1A">
            <w:pPr>
              <w:pStyle w:val="P68B1DB1-ListParagraph37"/>
              <w:numPr>
                <w:ilvl w:val="0"/>
                <w:numId w:val="275"/>
              </w:numPr>
              <w:jc w:val="both"/>
              <w:rPr>
                <w:b/>
                <w:bCs/>
              </w:rPr>
            </w:pPr>
            <w:r>
              <w:t>barreras críticas (difíciles de superar).</w:t>
            </w:r>
          </w:p>
        </w:tc>
      </w:tr>
      <w:tr w:rsidR="00414040" w14:paraId="7FE1BA9E" w14:textId="77777777" w:rsidTr="0C3A85F4">
        <w:tc>
          <w:tcPr>
            <w:tcW w:w="1080" w:type="dxa"/>
            <w:tcBorders>
              <w:top w:val="single" w:sz="4" w:space="0" w:color="1A171C"/>
              <w:left w:val="nil"/>
              <w:bottom w:val="single" w:sz="4" w:space="0" w:color="1A171C"/>
              <w:right w:val="single" w:sz="4" w:space="0" w:color="1A171C"/>
            </w:tcBorders>
            <w:vAlign w:val="center"/>
          </w:tcPr>
          <w:p w14:paraId="7FE1BA8F" w14:textId="6435816F" w:rsidR="00414040" w:rsidRDefault="00904E1A">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414040" w:rsidRDefault="00904E1A">
            <w:pPr>
              <w:pStyle w:val="P68B1DB1-Normal35"/>
              <w:jc w:val="both"/>
              <w:rPr>
                <w:bCs/>
              </w:rPr>
            </w:pPr>
            <w:r>
              <w:t>Requisitos operativos para la entrada o la expansión</w:t>
            </w:r>
          </w:p>
          <w:p w14:paraId="7FE1BA91" w14:textId="77777777" w:rsidR="00414040" w:rsidRDefault="00414040">
            <w:pPr>
              <w:jc w:val="both"/>
              <w:rPr>
                <w:rFonts w:ascii="Times New Roman" w:eastAsia="Times New Roman" w:hAnsi="Times New Roman" w:cs="Times New Roman"/>
                <w:b/>
                <w:bCs/>
                <w:color w:val="000000" w:themeColor="text1"/>
                <w:sz w:val="20"/>
                <w:szCs w:val="20"/>
              </w:rPr>
            </w:pPr>
          </w:p>
          <w:p w14:paraId="7FE1BA92" w14:textId="49376AFE" w:rsidR="00414040" w:rsidRDefault="00904E1A">
            <w:pPr>
              <w:pStyle w:val="P68B1DB1-Normal36"/>
              <w:jc w:val="both"/>
            </w:pPr>
            <w:r w:rsidRPr="7AA7F0A4">
              <w:rPr>
                <w:lang w:val="es-ES"/>
              </w:rPr>
              <w:t>Requisitos organizativos, técnicos y de infraestructura para que los competidores ofrezcan el servicio. Ofrecer los servicios relacionados con la (sub)función requiere que los proveedores inviertan en infraestructuras (nuevas o adicionales) o modifiquen sus</w:t>
            </w:r>
            <w:r w:rsidR="00117F93">
              <w:rPr>
                <w:lang w:val="es-ES"/>
              </w:rPr>
              <w:t xml:space="preserve"> </w:t>
            </w:r>
            <w:r w:rsidR="00E0150D" w:rsidRPr="7AA7F0A4">
              <w:rPr>
                <w:lang w:val="es-ES"/>
              </w:rPr>
              <w:t>estructuras organizativas</w:t>
            </w:r>
            <w:r w:rsidRPr="7AA7F0A4">
              <w:rPr>
                <w:lang w:val="es-ES"/>
              </w:rPr>
              <w:t>. Evaluar la capacidad del mercado para absorber la actividad en cuestión, por ejemplo, en términos de requisitos de capital. En el caso de los préstamos, tener en cuenta los APR asociados (</w:t>
            </w:r>
            <w:r w:rsidR="00515877" w:rsidRPr="7AA7F0A4">
              <w:rPr>
                <w:lang w:val="es-ES"/>
              </w:rPr>
              <w:t xml:space="preserve">reportados </w:t>
            </w:r>
            <w:r w:rsidRPr="7AA7F0A4">
              <w:rPr>
                <w:lang w:val="es-ES"/>
              </w:rPr>
              <w:t xml:space="preserve">en Q.17). </w:t>
            </w:r>
          </w:p>
          <w:p w14:paraId="7FE1BA93" w14:textId="6E107301" w:rsidR="00414040" w:rsidRDefault="00904E1A">
            <w:pPr>
              <w:pStyle w:val="P68B1DB1-Normal36"/>
              <w:jc w:val="both"/>
            </w:pPr>
            <w:r>
              <w:t xml:space="preserve">Este indicador debe </w:t>
            </w:r>
            <w:r w:rsidR="008E08D6">
              <w:t>reportarse</w:t>
            </w:r>
            <w:r w:rsidR="00D374EE">
              <w:t xml:space="preserve"> </w:t>
            </w:r>
            <w:r>
              <w:t xml:space="preserve">en segmentos, que son los mismos para cada subfunción: </w:t>
            </w:r>
          </w:p>
          <w:p w14:paraId="7FE1BA94" w14:textId="2E9A8492" w:rsidR="00414040" w:rsidRDefault="00904E1A">
            <w:pPr>
              <w:pStyle w:val="P68B1DB1-ListParagraph37"/>
              <w:numPr>
                <w:ilvl w:val="0"/>
                <w:numId w:val="278"/>
              </w:numPr>
              <w:jc w:val="both"/>
            </w:pPr>
            <w:r>
              <w:t xml:space="preserve">no hay requisitos importantes, </w:t>
            </w:r>
          </w:p>
          <w:p w14:paraId="7FE1BA95" w14:textId="2C17AA9E" w:rsidR="00414040" w:rsidRDefault="00904E1A">
            <w:pPr>
              <w:pStyle w:val="P68B1DB1-ListParagraph37"/>
              <w:numPr>
                <w:ilvl w:val="0"/>
                <w:numId w:val="278"/>
              </w:numPr>
              <w:jc w:val="both"/>
            </w:pPr>
            <w:r>
              <w:t xml:space="preserve">algunos requisitos, </w:t>
            </w:r>
          </w:p>
          <w:p w14:paraId="7FE1BA96" w14:textId="3197B4B5" w:rsidR="00414040" w:rsidRDefault="00904E1A">
            <w:pPr>
              <w:pStyle w:val="P68B1DB1-ListParagraph37"/>
              <w:numPr>
                <w:ilvl w:val="0"/>
                <w:numId w:val="278"/>
              </w:numPr>
              <w:jc w:val="both"/>
            </w:pPr>
            <w:r>
              <w:t xml:space="preserve">requisitos sustanciales (pero superables), </w:t>
            </w:r>
          </w:p>
          <w:p w14:paraId="7FE1BA97" w14:textId="64928FFB" w:rsidR="00414040" w:rsidRDefault="00904E1A">
            <w:pPr>
              <w:pStyle w:val="P68B1DB1-ListParagraph37"/>
              <w:numPr>
                <w:ilvl w:val="0"/>
                <w:numId w:val="278"/>
              </w:numPr>
              <w:jc w:val="both"/>
            </w:pPr>
            <w:r>
              <w:t>requisitos críticos (difíciles de superar).</w:t>
            </w:r>
          </w:p>
          <w:p w14:paraId="7FE1BA9D" w14:textId="77777777" w:rsidR="00414040" w:rsidRDefault="00414040">
            <w:pPr>
              <w:pStyle w:val="ListParagraph"/>
              <w:jc w:val="both"/>
              <w:rPr>
                <w:rFonts w:ascii="Times New Roman" w:hAnsi="Times New Roman"/>
                <w:b/>
                <w:bCs/>
                <w:color w:val="000000" w:themeColor="text1"/>
                <w:sz w:val="20"/>
                <w:szCs w:val="20"/>
              </w:rPr>
            </w:pPr>
          </w:p>
        </w:tc>
      </w:tr>
      <w:tr w:rsidR="00414040" w14:paraId="7FE1BAA9" w14:textId="77777777" w:rsidTr="0C3A85F4">
        <w:tc>
          <w:tcPr>
            <w:tcW w:w="1080" w:type="dxa"/>
            <w:tcBorders>
              <w:top w:val="single" w:sz="4" w:space="0" w:color="1A171C"/>
              <w:left w:val="nil"/>
              <w:bottom w:val="single" w:sz="4" w:space="0" w:color="1A171C"/>
              <w:right w:val="single" w:sz="4" w:space="0" w:color="1A171C"/>
            </w:tcBorders>
            <w:vAlign w:val="center"/>
          </w:tcPr>
          <w:p w14:paraId="7FE1BAA2" w14:textId="663C9747" w:rsidR="00414040" w:rsidRDefault="00904E1A">
            <w:pPr>
              <w:pStyle w:val="P68B1DB1-TableParagraph17"/>
              <w:spacing w:before="108"/>
              <w:jc w:val="both"/>
            </w:pPr>
            <w:r>
              <w:lastRenderedPageBreak/>
              <w:t>0145</w:t>
            </w:r>
          </w:p>
        </w:tc>
        <w:tc>
          <w:tcPr>
            <w:tcW w:w="8003" w:type="dxa"/>
            <w:tcBorders>
              <w:top w:val="single" w:sz="4" w:space="0" w:color="1A171C"/>
              <w:left w:val="single" w:sz="4" w:space="0" w:color="1A171C"/>
              <w:bottom w:val="single" w:sz="4" w:space="0" w:color="1A171C"/>
              <w:right w:val="nil"/>
            </w:tcBorders>
            <w:vAlign w:val="center"/>
          </w:tcPr>
          <w:p w14:paraId="7FE1BAA3" w14:textId="3C7BE6BC" w:rsidR="00414040" w:rsidRDefault="003E01A2">
            <w:pPr>
              <w:pStyle w:val="P68B1DB1-TableParagraph14"/>
              <w:spacing w:before="108"/>
              <w:jc w:val="both"/>
              <w:rPr>
                <w:bCs/>
              </w:rPr>
            </w:pPr>
            <w:r>
              <w:t>P</w:t>
            </w:r>
            <w:r w:rsidRPr="003E01A2">
              <w:t>rocedimientos de alta de clientes </w:t>
            </w:r>
            <w:r w:rsidR="00904E1A">
              <w:t xml:space="preserve">— Número de </w:t>
            </w:r>
            <w:r w:rsidR="007E73AE">
              <w:t>solicitudes</w:t>
            </w:r>
            <w:r w:rsidR="00BA6710">
              <w:t xml:space="preserve"> </w:t>
            </w:r>
            <w:r w:rsidR="00904E1A">
              <w:t>de nuevos clientes a lo largo de 1 día hábil (número de cuentas)</w:t>
            </w:r>
          </w:p>
          <w:p w14:paraId="207365D6" w14:textId="59506DED" w:rsidR="00414040" w:rsidRDefault="2C24D8D2" w:rsidP="11A44BD7">
            <w:pPr>
              <w:pStyle w:val="P68B1DB1-TableParagraph13"/>
              <w:spacing w:before="108"/>
            </w:pPr>
            <w:r>
              <w:t xml:space="preserve"> Se solicita a las entidades que faciliten el mayor número de solicitudes, cuando la entidad haya validado la solicitud de un servicio bancario.</w:t>
            </w:r>
          </w:p>
          <w:p w14:paraId="1312271B" w14:textId="7D9C61F1" w:rsidR="00414040" w:rsidRDefault="317010AA">
            <w:pPr>
              <w:pStyle w:val="P68B1DB1-TableParagraph13"/>
              <w:spacing w:before="108"/>
              <w:jc w:val="both"/>
              <w:rPr>
                <w:lang w:val="es-ES"/>
              </w:rPr>
            </w:pPr>
            <w:r w:rsidRPr="2D1CB5B7">
              <w:rPr>
                <w:lang w:val="es-ES"/>
              </w:rPr>
              <w:t>Los procedimientos de alta</w:t>
            </w:r>
            <w:r w:rsidR="00904E1A" w:rsidRPr="2D1CB5B7">
              <w:rPr>
                <w:lang w:val="es-ES"/>
              </w:rPr>
              <w:t xml:space="preserve"> en términos de número de cuentas nuevas se expresa</w:t>
            </w:r>
            <w:r w:rsidR="00A51985">
              <w:rPr>
                <w:lang w:val="es-ES"/>
              </w:rPr>
              <w:t>n</w:t>
            </w:r>
            <w:r w:rsidR="00904E1A" w:rsidRPr="2D1CB5B7">
              <w:rPr>
                <w:lang w:val="es-ES"/>
              </w:rPr>
              <w:t xml:space="preserve"> a lo largo de 1 día hábil.</w:t>
            </w:r>
          </w:p>
          <w:p w14:paraId="7FE1BAA8" w14:textId="5000509A" w:rsidR="00414040" w:rsidRDefault="00904E1A">
            <w:pPr>
              <w:pStyle w:val="P68B1DB1-TableParagraph13"/>
              <w:spacing w:before="108"/>
              <w:jc w:val="both"/>
              <w:rPr>
                <w:b/>
                <w:bCs/>
              </w:rPr>
            </w:pPr>
            <w:r>
              <w:t>Se espera que las entidades tengan en cuenta el plazo</w:t>
            </w:r>
            <w:r w:rsidR="7FFB65E3">
              <w:t xml:space="preserve"> necesario</w:t>
            </w:r>
            <w:r>
              <w:t xml:space="preserve"> para </w:t>
            </w:r>
            <w:r w:rsidR="7A8B0F2E">
              <w:t>el alta</w:t>
            </w:r>
            <w:r>
              <w:t xml:space="preserve"> de nuevos clientes, </w:t>
            </w:r>
            <w:r w:rsidR="06161E9F">
              <w:t>desde que se</w:t>
            </w:r>
            <w:r>
              <w:t xml:space="preserve"> ha solicitado un servicio bancario.</w:t>
            </w:r>
          </w:p>
        </w:tc>
      </w:tr>
      <w:tr w:rsidR="00414040" w14:paraId="7FE1BAAC" w14:textId="77777777" w:rsidTr="0C3A85F4">
        <w:tc>
          <w:tcPr>
            <w:tcW w:w="1080" w:type="dxa"/>
            <w:tcBorders>
              <w:top w:val="single" w:sz="4" w:space="0" w:color="1A171C"/>
              <w:left w:val="nil"/>
              <w:bottom w:val="single" w:sz="4" w:space="0" w:color="1A171C"/>
              <w:right w:val="single" w:sz="4" w:space="0" w:color="1A171C"/>
            </w:tcBorders>
            <w:vAlign w:val="center"/>
          </w:tcPr>
          <w:p w14:paraId="7FE1BAAA" w14:textId="71AB9851" w:rsidR="00414040" w:rsidRDefault="00904E1A">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414040" w:rsidRDefault="00904E1A">
            <w:pPr>
              <w:pStyle w:val="P68B1DB1-TableParagraph14"/>
              <w:spacing w:before="108"/>
              <w:jc w:val="both"/>
              <w:rPr>
                <w:bCs/>
              </w:rPr>
            </w:pPr>
            <w:r>
              <w:t>Evaluación del carácter esencial</w:t>
            </w:r>
          </w:p>
        </w:tc>
      </w:tr>
      <w:tr w:rsidR="00414040" w14:paraId="7FE1BAB2" w14:textId="77777777" w:rsidTr="0C3A85F4">
        <w:tc>
          <w:tcPr>
            <w:tcW w:w="1080" w:type="dxa"/>
            <w:tcBorders>
              <w:top w:val="single" w:sz="4" w:space="0" w:color="1A171C"/>
              <w:left w:val="nil"/>
              <w:bottom w:val="single" w:sz="4" w:space="0" w:color="1A171C"/>
              <w:right w:val="single" w:sz="4" w:space="0" w:color="1A171C"/>
            </w:tcBorders>
            <w:vAlign w:val="center"/>
          </w:tcPr>
          <w:p w14:paraId="7FE1BAAD" w14:textId="5EFF4F1D" w:rsidR="00414040" w:rsidRDefault="00904E1A">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414040" w:rsidRDefault="00904E1A">
            <w:pPr>
              <w:pStyle w:val="P68B1DB1-TableParagraph14"/>
              <w:spacing w:before="108"/>
              <w:jc w:val="both"/>
              <w:rPr>
                <w:bCs/>
              </w:rPr>
            </w:pPr>
            <w:r>
              <w:t xml:space="preserve">Impacto en el mercado </w:t>
            </w:r>
          </w:p>
          <w:p w14:paraId="7FE1BAAF" w14:textId="37210966" w:rsidR="00414040" w:rsidRDefault="00904E1A">
            <w:pPr>
              <w:pStyle w:val="P68B1DB1-TableParagraph13"/>
              <w:spacing w:before="108"/>
              <w:jc w:val="both"/>
            </w:pPr>
            <w:r>
              <w:t>Impacto estimado de una interrupción repentina de la función sobre terceros, los mercados financieros y la economía real, teniendo en cuenta el tamaño, la cuota de mercado en el país, la</w:t>
            </w:r>
            <w:r w:rsidR="005358CD">
              <w:t>s</w:t>
            </w:r>
            <w:r>
              <w:t xml:space="preserve"> interconexi</w:t>
            </w:r>
            <w:r w:rsidR="005358CD">
              <w:t>ones</w:t>
            </w:r>
            <w:r>
              <w:t xml:space="preserve"> interna</w:t>
            </w:r>
            <w:r w:rsidR="00290E30">
              <w:t>s</w:t>
            </w:r>
            <w:r>
              <w:t xml:space="preserve"> y externa</w:t>
            </w:r>
            <w:r w:rsidR="00290E30">
              <w:t>s</w:t>
            </w:r>
            <w:r>
              <w:t>, la complejidad y las actividades transfronterizas de la entidad.</w:t>
            </w:r>
          </w:p>
          <w:p w14:paraId="7FE1BAB0" w14:textId="765F6584" w:rsidR="00414040" w:rsidRDefault="00904E1A">
            <w:pPr>
              <w:pStyle w:val="P68B1DB1-TableParagraph13"/>
              <w:spacing w:before="108"/>
              <w:jc w:val="both"/>
            </w:pPr>
            <w:r>
              <w:t>Esta evaluación se expresará en términos cualitativos, como «alto», «medio-alto», «medio-bajo» o «bajo».</w:t>
            </w:r>
          </w:p>
          <w:p w14:paraId="7FE1BAB1" w14:textId="7ECF0695" w:rsidR="00414040" w:rsidRDefault="00904E1A">
            <w:pPr>
              <w:pStyle w:val="P68B1DB1-TableParagraph13"/>
              <w:spacing w:before="108"/>
              <w:jc w:val="both"/>
              <w:rPr>
                <w:b/>
                <w:bCs/>
              </w:rPr>
            </w:pPr>
            <w:r>
              <w:t xml:space="preserve">Se seleccionará </w:t>
            </w:r>
            <w:r w:rsidR="00F90343">
              <w:t>«alto»</w:t>
            </w:r>
            <w:r w:rsidR="00117F93">
              <w:t xml:space="preserve"> </w:t>
            </w:r>
            <w:r>
              <w:t>si la interrupción tiene un gran impacto en el mercado nacional; «</w:t>
            </w:r>
            <w:r w:rsidR="00A51985">
              <w:t>medio</w:t>
            </w:r>
            <w:r>
              <w:t>-</w:t>
            </w:r>
            <w:r w:rsidR="00A51985">
              <w:t>alto</w:t>
            </w:r>
            <w:r>
              <w:t xml:space="preserve">» si el impacto es significativo; </w:t>
            </w:r>
            <w:r w:rsidR="00C9746E">
              <w:t>«medio-bajo»</w:t>
            </w:r>
            <w:r>
              <w:t xml:space="preserve"> si el impacto es importante, pero limitado; y «</w:t>
            </w:r>
            <w:r w:rsidR="00A51985">
              <w:t>bajo</w:t>
            </w:r>
            <w:r>
              <w:t>» si el impacto es bajo.</w:t>
            </w:r>
          </w:p>
        </w:tc>
      </w:tr>
      <w:tr w:rsidR="00414040" w14:paraId="7FE1BABF" w14:textId="77777777" w:rsidTr="0C3A85F4">
        <w:tc>
          <w:tcPr>
            <w:tcW w:w="1080" w:type="dxa"/>
            <w:tcBorders>
              <w:top w:val="single" w:sz="4" w:space="0" w:color="1A171C"/>
              <w:left w:val="nil"/>
              <w:bottom w:val="single" w:sz="4" w:space="0" w:color="1A171C"/>
              <w:right w:val="single" w:sz="4" w:space="0" w:color="1A171C"/>
            </w:tcBorders>
            <w:vAlign w:val="center"/>
          </w:tcPr>
          <w:p w14:paraId="7FE1BAB3" w14:textId="0598BE56" w:rsidR="00414040" w:rsidRDefault="00904E1A">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414040" w:rsidRDefault="00904E1A">
            <w:pPr>
              <w:pStyle w:val="P68B1DB1-TableParagraph14"/>
              <w:spacing w:before="108"/>
              <w:jc w:val="both"/>
              <w:rPr>
                <w:bCs/>
              </w:rPr>
            </w:pPr>
            <w:r>
              <w:t>Sustituibilidad</w:t>
            </w:r>
          </w:p>
          <w:p w14:paraId="7FE1BAB5" w14:textId="77777777" w:rsidR="00414040" w:rsidRDefault="00904E1A">
            <w:pPr>
              <w:pStyle w:val="P68B1DB1-TableParagraph13"/>
              <w:spacing w:before="108"/>
              <w:jc w:val="both"/>
            </w:pPr>
            <w:r w:rsidRPr="2133F407">
              <w:rPr>
                <w:lang w:val="es-ES"/>
              </w:rPr>
              <w:t xml:space="preserve">Artículo 6, apartado 3, del Reglamento </w:t>
            </w:r>
            <w:proofErr w:type="gramStart"/>
            <w:r w:rsidRPr="2133F407">
              <w:rPr>
                <w:lang w:val="es-ES"/>
              </w:rPr>
              <w:t>Delegado</w:t>
            </w:r>
            <w:proofErr w:type="gramEnd"/>
            <w:r w:rsidRPr="2133F407">
              <w:rPr>
                <w:lang w:val="es-ES"/>
              </w:rPr>
              <w:t xml:space="preserve"> (UE) 2016/778.</w:t>
            </w:r>
          </w:p>
          <w:p w14:paraId="7FE1BAB6" w14:textId="77777777" w:rsidR="00414040" w:rsidRDefault="00904E1A">
            <w:pPr>
              <w:pStyle w:val="P68B1DB1-TableParagraph13"/>
              <w:spacing w:before="108"/>
              <w:jc w:val="both"/>
            </w:pPr>
            <w:r>
              <w:t>Una función se considera sustituible cuando puede reemplazarse de manera aceptable y en un plazo razonable, evitando así los problemas sistémicos para la economía real y los mercados financieros. Se tendrán en cuenta los siguientes aspectos:</w:t>
            </w:r>
          </w:p>
          <w:p w14:paraId="7FE1BAB7" w14:textId="673C78D0" w:rsidR="00414040" w:rsidRDefault="00904E1A">
            <w:pPr>
              <w:pStyle w:val="P68B1DB1-TableParagraph13"/>
              <w:spacing w:before="108"/>
              <w:jc w:val="both"/>
            </w:pPr>
            <w:r>
              <w:t xml:space="preserve">(a) la estructura del mercado para esa función y la disponibilidad de </w:t>
            </w:r>
            <w:r w:rsidR="008828B9">
              <w:t xml:space="preserve">proveedores </w:t>
            </w:r>
            <w:r>
              <w:t xml:space="preserve">alternativos; </w:t>
            </w:r>
          </w:p>
          <w:p w14:paraId="7FE1BAB8" w14:textId="65616582" w:rsidR="00414040" w:rsidRDefault="00904E1A">
            <w:pPr>
              <w:pStyle w:val="P68B1DB1-TableParagraph13"/>
              <w:spacing w:before="108"/>
              <w:jc w:val="both"/>
            </w:pPr>
            <w:r>
              <w:t xml:space="preserve">(b) la aptitud de otros </w:t>
            </w:r>
            <w:r w:rsidR="008828B9">
              <w:t xml:space="preserve">proveedores </w:t>
            </w:r>
            <w:r>
              <w:t>en términos de capacidad, los requisitos para la ejecución de la función y l</w:t>
            </w:r>
            <w:r w:rsidR="00545572">
              <w:t>a</w:t>
            </w:r>
            <w:r>
              <w:t xml:space="preserve">s posibles </w:t>
            </w:r>
            <w:r w:rsidR="00545572">
              <w:t xml:space="preserve">barreras </w:t>
            </w:r>
            <w:r>
              <w:t xml:space="preserve">a la entrada o la expansión; </w:t>
            </w:r>
          </w:p>
          <w:p w14:paraId="7FE1BAB9" w14:textId="6480113A" w:rsidR="00414040" w:rsidRDefault="00904E1A">
            <w:pPr>
              <w:pStyle w:val="P68B1DB1-TableParagraph13"/>
              <w:spacing w:before="108"/>
              <w:jc w:val="both"/>
            </w:pPr>
            <w:r>
              <w:t xml:space="preserve">(c) el incentivo de otros </w:t>
            </w:r>
            <w:r w:rsidR="008828B9">
              <w:t xml:space="preserve">proveedores </w:t>
            </w:r>
            <w:r>
              <w:t xml:space="preserve">para asumir estas actividades; </w:t>
            </w:r>
          </w:p>
          <w:p w14:paraId="7FE1BABA" w14:textId="2021D895" w:rsidR="00414040" w:rsidRDefault="00904E1A">
            <w:pPr>
              <w:pStyle w:val="P68B1DB1-TableParagraph13"/>
              <w:spacing w:before="108"/>
              <w:jc w:val="both"/>
            </w:pPr>
            <w:r>
              <w:t xml:space="preserve">(d) el tiempo que necesitan los usuarios del servicio para recibirlo del nuevo </w:t>
            </w:r>
            <w:r w:rsidR="00E94EBB">
              <w:t>proveedor</w:t>
            </w:r>
            <w:r>
              <w:t>, y los costes de tal cambio, el tiempo que necesitan otros competidores para asumir las funciones y si ese lapso es suficiente para impedir perturbaciones significativas en función del tipo de servicio.</w:t>
            </w:r>
          </w:p>
          <w:p w14:paraId="7FE1BABB" w14:textId="572A46FE" w:rsidR="00414040" w:rsidRDefault="00904E1A">
            <w:pPr>
              <w:pStyle w:val="P68B1DB1-TableParagraph13"/>
              <w:spacing w:before="108"/>
              <w:jc w:val="both"/>
            </w:pPr>
            <w:r w:rsidRPr="2133F407">
              <w:rPr>
                <w:lang w:val="es-ES"/>
              </w:rPr>
              <w:t>Proporcionar una evaluación global del grado de sustituibilidad previsto para cada función, teniendo en cuenta l</w:t>
            </w:r>
            <w:r w:rsidR="006262AE">
              <w:rPr>
                <w:lang w:val="es-ES"/>
              </w:rPr>
              <w:t>o</w:t>
            </w:r>
            <w:r w:rsidRPr="2133F407">
              <w:rPr>
                <w:lang w:val="es-ES"/>
              </w:rPr>
              <w:t xml:space="preserve">s diferentes </w:t>
            </w:r>
            <w:r w:rsidR="003425EF">
              <w:rPr>
                <w:lang w:val="es-ES"/>
              </w:rPr>
              <w:t>aspectos</w:t>
            </w:r>
            <w:r w:rsidR="003425EF" w:rsidRPr="2133F407">
              <w:rPr>
                <w:lang w:val="es-ES"/>
              </w:rPr>
              <w:t xml:space="preserve"> </w:t>
            </w:r>
            <w:r w:rsidRPr="2133F407">
              <w:rPr>
                <w:lang w:val="es-ES"/>
              </w:rPr>
              <w:t>previamente evaluad</w:t>
            </w:r>
            <w:r w:rsidR="006262AE">
              <w:rPr>
                <w:lang w:val="es-ES"/>
              </w:rPr>
              <w:t>o</w:t>
            </w:r>
            <w:r w:rsidRPr="2133F407">
              <w:rPr>
                <w:lang w:val="es-ES"/>
              </w:rPr>
              <w:t xml:space="preserve">s (cuota de mercado, concentración del mercado, tiempo </w:t>
            </w:r>
            <w:r w:rsidR="008A0A28">
              <w:rPr>
                <w:lang w:val="es-ES"/>
              </w:rPr>
              <w:t>necesario para</w:t>
            </w:r>
            <w:r w:rsidR="008A0A28" w:rsidRPr="2133F407">
              <w:rPr>
                <w:lang w:val="es-ES"/>
              </w:rPr>
              <w:t xml:space="preserve"> </w:t>
            </w:r>
            <w:r w:rsidRPr="2133F407">
              <w:rPr>
                <w:lang w:val="es-ES"/>
              </w:rPr>
              <w:t xml:space="preserve">la sustitución, </w:t>
            </w:r>
            <w:r w:rsidR="00545572">
              <w:rPr>
                <w:lang w:val="es-ES"/>
              </w:rPr>
              <w:t>barreras legales</w:t>
            </w:r>
            <w:r w:rsidRPr="2133F407">
              <w:rPr>
                <w:lang w:val="es-ES"/>
              </w:rPr>
              <w:t xml:space="preserve"> y requisitos operativos para la entrada o la expansión). Esta evaluación se expresará en términos cualitativos, como «alto», «medio-alto», «medio-bajo» o «bajo». </w:t>
            </w:r>
          </w:p>
          <w:p w14:paraId="7FE1BABC" w14:textId="0BF27138" w:rsidR="00414040" w:rsidRDefault="00904E1A">
            <w:pPr>
              <w:pStyle w:val="P68B1DB1-TableParagraph13"/>
              <w:spacing w:before="108"/>
              <w:jc w:val="both"/>
            </w:pPr>
            <w:r>
              <w:t xml:space="preserve">Se seleccionará </w:t>
            </w:r>
            <w:r w:rsidR="0056237D" w:rsidRPr="2133F407">
              <w:rPr>
                <w:lang w:val="es-ES"/>
              </w:rPr>
              <w:t>«alto»</w:t>
            </w:r>
            <w:r>
              <w:t xml:space="preserve"> si la función puede ser proporcionada por otro banco fácilmente, en condiciones comparables y en un plazo razonable;</w:t>
            </w:r>
          </w:p>
          <w:p w14:paraId="7FE1BABD" w14:textId="7FFD9091" w:rsidR="00414040" w:rsidRDefault="00904E1A">
            <w:pPr>
              <w:pStyle w:val="P68B1DB1-TableParagraph13"/>
              <w:spacing w:before="108"/>
              <w:jc w:val="both"/>
            </w:pPr>
            <w:r>
              <w:t xml:space="preserve">«Bajo» si la función no puede ser sustituida ni fácil ni rápidamente; </w:t>
            </w:r>
          </w:p>
          <w:p w14:paraId="7FE1BABE" w14:textId="5277E4EB" w:rsidR="00414040" w:rsidRDefault="00904E1A">
            <w:pPr>
              <w:pStyle w:val="P68B1DB1-TableParagraph13"/>
              <w:spacing w:before="108"/>
              <w:jc w:val="both"/>
              <w:rPr>
                <w:lang w:val="es-ES"/>
              </w:rPr>
            </w:pPr>
            <w:r w:rsidRPr="2133F407">
              <w:rPr>
                <w:lang w:val="es-ES"/>
              </w:rPr>
              <w:t>«Medio-</w:t>
            </w:r>
            <w:r w:rsidR="00545572">
              <w:rPr>
                <w:lang w:val="es-ES"/>
              </w:rPr>
              <w:t>a</w:t>
            </w:r>
            <w:r w:rsidR="00545572" w:rsidRPr="2133F407">
              <w:rPr>
                <w:lang w:val="es-ES"/>
              </w:rPr>
              <w:t>lto</w:t>
            </w:r>
            <w:r w:rsidRPr="2133F407">
              <w:rPr>
                <w:lang w:val="es-ES"/>
              </w:rPr>
              <w:t>» y «</w:t>
            </w:r>
            <w:r w:rsidR="00545572">
              <w:rPr>
                <w:lang w:val="es-ES"/>
              </w:rPr>
              <w:t>m</w:t>
            </w:r>
            <w:r w:rsidR="00545572" w:rsidRPr="2133F407">
              <w:rPr>
                <w:lang w:val="es-ES"/>
              </w:rPr>
              <w:t>edio</w:t>
            </w:r>
            <w:r w:rsidRPr="2133F407">
              <w:rPr>
                <w:lang w:val="es-ES"/>
              </w:rPr>
              <w:t>-</w:t>
            </w:r>
            <w:r w:rsidR="00545572">
              <w:rPr>
                <w:lang w:val="es-ES"/>
              </w:rPr>
              <w:t>b</w:t>
            </w:r>
            <w:r w:rsidR="00545572" w:rsidRPr="2133F407">
              <w:rPr>
                <w:lang w:val="es-ES"/>
              </w:rPr>
              <w:t>ajo</w:t>
            </w:r>
            <w:r w:rsidRPr="2133F407">
              <w:rPr>
                <w:lang w:val="es-ES"/>
              </w:rPr>
              <w:t xml:space="preserve">» en los casos intermedios, teniendo en cuenta distintos </w:t>
            </w:r>
            <w:r w:rsidRPr="009673E2">
              <w:rPr>
                <w:lang w:val="es-ES"/>
              </w:rPr>
              <w:t>aspectos</w:t>
            </w:r>
            <w:r w:rsidRPr="2133F407">
              <w:rPr>
                <w:lang w:val="es-ES"/>
              </w:rPr>
              <w:t xml:space="preserve"> (por ejemplo, cuota de mercado, concentración del mercado, tiempo necesario para la sustitución, así como </w:t>
            </w:r>
            <w:r w:rsidR="008A0A28">
              <w:rPr>
                <w:lang w:val="es-ES"/>
              </w:rPr>
              <w:t>las barreras legales</w:t>
            </w:r>
            <w:r w:rsidRPr="2133F407">
              <w:rPr>
                <w:lang w:val="es-ES"/>
              </w:rPr>
              <w:t xml:space="preserve"> a la entrada o la expansión, y los requisitos operativos de esta</w:t>
            </w:r>
            <w:r w:rsidR="00B737FD">
              <w:rPr>
                <w:lang w:val="es-ES"/>
              </w:rPr>
              <w:t>s</w:t>
            </w:r>
            <w:r w:rsidRPr="2133F407">
              <w:rPr>
                <w:lang w:val="es-ES"/>
              </w:rPr>
              <w:t>).</w:t>
            </w:r>
          </w:p>
        </w:tc>
      </w:tr>
      <w:tr w:rsidR="00414040" w14:paraId="7FE1BAC4" w14:textId="77777777" w:rsidTr="0C3A85F4">
        <w:tc>
          <w:tcPr>
            <w:tcW w:w="1080" w:type="dxa"/>
            <w:tcBorders>
              <w:top w:val="single" w:sz="4" w:space="0" w:color="1A171C"/>
              <w:left w:val="nil"/>
              <w:bottom w:val="single" w:sz="4" w:space="0" w:color="1A171C"/>
              <w:right w:val="single" w:sz="4" w:space="0" w:color="1A171C"/>
            </w:tcBorders>
            <w:vAlign w:val="center"/>
          </w:tcPr>
          <w:p w14:paraId="7FE1BAC0" w14:textId="4FCA9719" w:rsidR="00414040" w:rsidRDefault="00904E1A">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414040" w:rsidRDefault="00904E1A">
            <w:pPr>
              <w:pStyle w:val="P68B1DB1-TableParagraph14"/>
              <w:spacing w:before="108"/>
              <w:jc w:val="both"/>
              <w:rPr>
                <w:bCs/>
              </w:rPr>
            </w:pPr>
            <w:r>
              <w:t>Función esencial</w:t>
            </w:r>
          </w:p>
          <w:p w14:paraId="7FE1BAC2" w14:textId="7DFFD4DB" w:rsidR="00414040" w:rsidRDefault="00904E1A">
            <w:pPr>
              <w:pStyle w:val="P68B1DB1-TableParagraph13"/>
              <w:spacing w:before="108"/>
              <w:jc w:val="both"/>
            </w:pPr>
            <w:r w:rsidRPr="0C3A85F4">
              <w:rPr>
                <w:lang w:val="es-ES"/>
              </w:rPr>
              <w:t xml:space="preserve">En esta columna se indicará si, teniendo en cuenta el análisis de impacto y </w:t>
            </w:r>
            <w:r w:rsidR="008730C3" w:rsidRPr="0C3A85F4">
              <w:rPr>
                <w:lang w:val="es-ES"/>
              </w:rPr>
              <w:t>sustituibilidad</w:t>
            </w:r>
            <w:r w:rsidR="00F5639C">
              <w:rPr>
                <w:lang w:val="es-ES"/>
              </w:rPr>
              <w:t xml:space="preserve"> </w:t>
            </w:r>
            <w:r w:rsidRPr="0C3A85F4">
              <w:rPr>
                <w:lang w:val="es-ES"/>
              </w:rPr>
              <w:t xml:space="preserve">realizado </w:t>
            </w:r>
            <w:r w:rsidRPr="0C3A85F4">
              <w:rPr>
                <w:lang w:val="es-ES"/>
              </w:rPr>
              <w:lastRenderedPageBreak/>
              <w:t xml:space="preserve">por la </w:t>
            </w:r>
            <w:r w:rsidR="00A91BDA" w:rsidRPr="0C3A85F4">
              <w:rPr>
                <w:lang w:val="es-ES"/>
              </w:rPr>
              <w:t>entidad</w:t>
            </w:r>
            <w:r w:rsidRPr="0C3A85F4">
              <w:rPr>
                <w:lang w:val="es-ES"/>
              </w:rPr>
              <w:t>, la función económica se considera esencial en el mercado del país de que se trate.</w:t>
            </w:r>
          </w:p>
          <w:p w14:paraId="7FE1BAC3" w14:textId="77777777" w:rsidR="00414040" w:rsidRDefault="00904E1A">
            <w:pPr>
              <w:pStyle w:val="P68B1DB1-TableParagraph13"/>
              <w:spacing w:before="108"/>
              <w:jc w:val="both"/>
            </w:pPr>
            <w:r>
              <w:t>Indíquese «Sí» o «No».</w:t>
            </w:r>
          </w:p>
        </w:tc>
      </w:tr>
      <w:tr w:rsidR="00414040" w14:paraId="7FE1BAC8" w14:textId="77777777" w:rsidTr="0C3A85F4">
        <w:tc>
          <w:tcPr>
            <w:tcW w:w="1080" w:type="dxa"/>
            <w:tcBorders>
              <w:top w:val="single" w:sz="4" w:space="0" w:color="1A171C"/>
              <w:left w:val="nil"/>
              <w:bottom w:val="single" w:sz="4" w:space="0" w:color="1A171C"/>
              <w:right w:val="single" w:sz="4" w:space="0" w:color="1A171C"/>
            </w:tcBorders>
            <w:vAlign w:val="center"/>
          </w:tcPr>
          <w:p w14:paraId="7FE1BAC5" w14:textId="2A137A37" w:rsidR="00414040" w:rsidRDefault="00904E1A">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414040" w:rsidRDefault="00904E1A">
            <w:pPr>
              <w:pStyle w:val="P68B1DB1-TableParagraph14"/>
              <w:spacing w:before="108"/>
              <w:jc w:val="both"/>
              <w:rPr>
                <w:bCs/>
              </w:rPr>
            </w:pPr>
            <w:r>
              <w:t>Observaciones del Grupo</w:t>
            </w:r>
          </w:p>
          <w:p w14:paraId="7FE1BAC7" w14:textId="3E340E3F" w:rsidR="00414040" w:rsidRDefault="00904E1A">
            <w:pPr>
              <w:pStyle w:val="P68B1DB1-TableParagraph13"/>
              <w:spacing w:before="108"/>
              <w:jc w:val="both"/>
            </w:pPr>
            <w:r>
              <w:t xml:space="preserve">Este campo permite </w:t>
            </w:r>
            <w:r w:rsidR="007607C5">
              <w:t>al ente</w:t>
            </w:r>
            <w:r>
              <w:t xml:space="preserve"> </w:t>
            </w:r>
            <w:r w:rsidR="007F054B">
              <w:t>declarante</w:t>
            </w:r>
            <w:r w:rsidR="00997B5F">
              <w:t xml:space="preserve"> </w:t>
            </w:r>
            <w:r>
              <w:t>explicar cualquier hipótesis utilizada al evaluar el carácter esencial de la función o funciones comunicadas.</w:t>
            </w:r>
          </w:p>
        </w:tc>
      </w:tr>
    </w:tbl>
    <w:p w14:paraId="7FE1BAC9" w14:textId="77777777" w:rsidR="00414040" w:rsidRDefault="00414040">
      <w:pPr>
        <w:rPr>
          <w:rFonts w:ascii="Times New Roman" w:hAnsi="Times New Roman" w:cs="Times New Roman"/>
          <w:color w:val="000000" w:themeColor="text1"/>
          <w:sz w:val="20"/>
          <w:szCs w:val="20"/>
        </w:rPr>
      </w:pPr>
    </w:p>
    <w:p w14:paraId="7FE1BACA" w14:textId="77777777" w:rsidR="00414040" w:rsidRDefault="00414040">
      <w:pPr>
        <w:rPr>
          <w:rFonts w:ascii="Times New Roman" w:hAnsi="Times New Roman" w:cs="Times New Roman"/>
          <w:color w:val="000000" w:themeColor="text1"/>
          <w:sz w:val="20"/>
          <w:szCs w:val="20"/>
        </w:rPr>
      </w:pPr>
    </w:p>
    <w:p w14:paraId="7FE1BACB" w14:textId="48446B8B" w:rsidR="00414040" w:rsidRDefault="00904E1A">
      <w:pPr>
        <w:pStyle w:val="P68B1DB1-Instructionsberschrift25"/>
        <w:numPr>
          <w:ilvl w:val="1"/>
          <w:numId w:val="49"/>
        </w:numPr>
        <w:ind w:left="357" w:hanging="357"/>
      </w:pPr>
      <w:bookmarkStart w:id="115" w:name="_Toc211525925"/>
      <w:r>
        <w:t>Z 07.01.2 FUNC 1 LEN</w:t>
      </w:r>
      <w:bookmarkEnd w:id="115"/>
    </w:p>
    <w:p w14:paraId="7FE1BAD5" w14:textId="77777777" w:rsidR="00414040" w:rsidRDefault="00414040">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14040" w14:paraId="7FE1BAD8" w14:textId="77777777" w:rsidTr="0C3A85F4">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414040" w:rsidRDefault="00904E1A">
            <w:pPr>
              <w:pStyle w:val="P68B1DB1-TableParagraph17"/>
              <w:spacing w:before="108"/>
              <w:ind w:left="85"/>
              <w:jc w:val="both"/>
            </w:pPr>
            <w:bookmarkStart w:id="116" w:name="_Hlk162013303"/>
            <w:r>
              <w:t>Columnas</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414040" w:rsidRDefault="00904E1A">
            <w:pPr>
              <w:pStyle w:val="P68B1DB1-TableParagraph17"/>
              <w:spacing w:before="108"/>
              <w:ind w:left="85" w:right="1"/>
              <w:jc w:val="both"/>
            </w:pPr>
            <w:r>
              <w:t>Instrucciones</w:t>
            </w:r>
          </w:p>
        </w:tc>
      </w:tr>
      <w:tr w:rsidR="00414040" w14:paraId="7FE1BADC" w14:textId="77777777" w:rsidTr="0C3A85F4">
        <w:tc>
          <w:tcPr>
            <w:tcW w:w="1080" w:type="dxa"/>
            <w:tcBorders>
              <w:top w:val="single" w:sz="4" w:space="0" w:color="1A171C"/>
              <w:left w:val="nil"/>
              <w:bottom w:val="single" w:sz="4" w:space="0" w:color="1A171C"/>
              <w:right w:val="single" w:sz="4" w:space="0" w:color="1A171C"/>
            </w:tcBorders>
            <w:vAlign w:val="center"/>
          </w:tcPr>
          <w:p w14:paraId="7FE1BAD9" w14:textId="77777777" w:rsidR="00414040" w:rsidRDefault="00904E1A">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414040" w:rsidRDefault="00904E1A">
            <w:pPr>
              <w:pStyle w:val="P68B1DB1-TableParagraph14"/>
              <w:spacing w:before="108"/>
              <w:ind w:left="85"/>
              <w:jc w:val="both"/>
              <w:rPr>
                <w:bCs/>
              </w:rPr>
            </w:pPr>
            <w:r>
              <w:t>Descripción de la función económica</w:t>
            </w:r>
          </w:p>
          <w:p w14:paraId="7FE1BADB" w14:textId="0F1FA007" w:rsidR="00414040" w:rsidRDefault="00904E1A">
            <w:pPr>
              <w:pStyle w:val="P68B1DB1-TableParagraph17"/>
              <w:spacing w:before="108"/>
              <w:ind w:left="85"/>
            </w:pPr>
            <w:r>
              <w:t xml:space="preserve">Cuando la función económica sea del tipo «Otros» (Z 07.01.2 FUNC 1 LEN r0130 a r0150), se facilitará una descripción de dicha función. </w:t>
            </w:r>
          </w:p>
        </w:tc>
      </w:tr>
      <w:tr w:rsidR="00414040" w14:paraId="7FE1BAE0" w14:textId="77777777" w:rsidTr="0C3A85F4">
        <w:tc>
          <w:tcPr>
            <w:tcW w:w="1080" w:type="dxa"/>
            <w:tcBorders>
              <w:top w:val="single" w:sz="4" w:space="0" w:color="1A171C"/>
              <w:left w:val="nil"/>
              <w:bottom w:val="single" w:sz="4" w:space="0" w:color="1A171C"/>
              <w:right w:val="single" w:sz="4" w:space="0" w:color="1A171C"/>
            </w:tcBorders>
            <w:vAlign w:val="center"/>
          </w:tcPr>
          <w:p w14:paraId="7FE1BADD" w14:textId="77777777" w:rsidR="00414040" w:rsidRDefault="00904E1A">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414040" w:rsidRDefault="00904E1A">
            <w:pPr>
              <w:pStyle w:val="P68B1DB1-TableParagraph14"/>
              <w:spacing w:before="108"/>
              <w:ind w:left="85"/>
              <w:jc w:val="both"/>
              <w:rPr>
                <w:bCs/>
              </w:rPr>
            </w:pPr>
            <w:r>
              <w:t xml:space="preserve">Cuota de mercado </w:t>
            </w:r>
          </w:p>
          <w:p w14:paraId="7FE1BADF" w14:textId="4B4AE08B" w:rsidR="00414040" w:rsidRDefault="00904E1A">
            <w:pPr>
              <w:pStyle w:val="P68B1DB1-TableParagraph17"/>
              <w:spacing w:before="108"/>
              <w:ind w:left="85"/>
            </w:pPr>
            <w:r>
              <w:t>Estimación de la cuota de mercado de la entidad o el grupo en relación con la función económica en el país o área geográfica correspondiente. Un porcentaje del mercado total en términos de valor pendiente.</w:t>
            </w:r>
          </w:p>
        </w:tc>
      </w:tr>
      <w:tr w:rsidR="00414040" w14:paraId="7FE1BAE5" w14:textId="77777777" w:rsidTr="0C3A85F4">
        <w:tc>
          <w:tcPr>
            <w:tcW w:w="1080" w:type="dxa"/>
            <w:tcBorders>
              <w:top w:val="single" w:sz="4" w:space="0" w:color="1A171C"/>
              <w:left w:val="nil"/>
              <w:bottom w:val="single" w:sz="4" w:space="0" w:color="1A171C"/>
              <w:right w:val="single" w:sz="4" w:space="0" w:color="1A171C"/>
            </w:tcBorders>
            <w:vAlign w:val="center"/>
          </w:tcPr>
          <w:p w14:paraId="7FE1BAE1" w14:textId="77777777" w:rsidR="00414040" w:rsidRDefault="00904E1A">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414040" w:rsidRDefault="00904E1A">
            <w:pPr>
              <w:pStyle w:val="P68B1DB1-TableParagraph14"/>
              <w:spacing w:before="108"/>
              <w:rPr>
                <w:bCs/>
              </w:rPr>
            </w:pPr>
            <w:r>
              <w:t>Valor pendiente</w:t>
            </w:r>
          </w:p>
          <w:p w14:paraId="7FE1BAE3" w14:textId="77777777" w:rsidR="00414040" w:rsidRDefault="00904E1A">
            <w:pPr>
              <w:pStyle w:val="P68B1DB1-TableParagraph17"/>
              <w:spacing w:before="108"/>
            </w:pPr>
            <w:r>
              <w:t>Importe en libros bruto de los préstamos y anticipos deteriorados y no deteriorados (incluidos los intereses devengados).</w:t>
            </w:r>
          </w:p>
          <w:p w14:paraId="7FE1BAE4" w14:textId="2A1E6DB5" w:rsidR="00414040" w:rsidRDefault="00904E1A">
            <w:pPr>
              <w:pStyle w:val="P68B1DB1-TableParagraph17"/>
              <w:spacing w:before="108"/>
            </w:pPr>
            <w:r>
              <w:t>Para l</w:t>
            </w:r>
            <w:r w:rsidR="009E420B">
              <w:t>a estimación de</w:t>
            </w:r>
            <w:r>
              <w:t xml:space="preserve"> préstamos futuros se tomará como </w:t>
            </w:r>
            <w:r w:rsidR="009E420B">
              <w:t>aproximación</w:t>
            </w:r>
            <w:r>
              <w:t xml:space="preserve"> </w:t>
            </w:r>
            <w:r w:rsidR="006E3F38">
              <w:t xml:space="preserve">el stock </w:t>
            </w:r>
            <w:r>
              <w:t>de préstamos.</w:t>
            </w:r>
          </w:p>
        </w:tc>
      </w:tr>
      <w:tr w:rsidR="00414040" w14:paraId="7FE1BAEB" w14:textId="77777777" w:rsidTr="0C3A85F4">
        <w:tc>
          <w:tcPr>
            <w:tcW w:w="1080" w:type="dxa"/>
            <w:tcBorders>
              <w:top w:val="single" w:sz="4" w:space="0" w:color="1A171C"/>
              <w:left w:val="nil"/>
              <w:bottom w:val="single" w:sz="4" w:space="0" w:color="1A171C"/>
              <w:right w:val="single" w:sz="4" w:space="0" w:color="1A171C"/>
            </w:tcBorders>
            <w:vAlign w:val="center"/>
          </w:tcPr>
          <w:p w14:paraId="7FE1BAE6" w14:textId="77777777" w:rsidR="00414040" w:rsidRDefault="00904E1A">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414040" w:rsidRDefault="00904E1A">
            <w:pPr>
              <w:pStyle w:val="P68B1DB1-TableParagraph14"/>
              <w:spacing w:before="108"/>
              <w:rPr>
                <w:bCs/>
              </w:rPr>
            </w:pPr>
            <w:r>
              <w:t>Número de clientes</w:t>
            </w:r>
          </w:p>
          <w:p w14:paraId="7FE1BAE8" w14:textId="77777777" w:rsidR="00414040" w:rsidRDefault="00904E1A">
            <w:pPr>
              <w:pStyle w:val="P68B1DB1-TableParagraph17"/>
              <w:spacing w:before="108"/>
              <w:rPr>
                <w:lang w:val="es-ES"/>
              </w:rPr>
            </w:pPr>
            <w:r w:rsidRPr="2133F407">
              <w:rPr>
                <w:lang w:val="es-ES"/>
              </w:rPr>
              <w:t>Número total de clientes que recibieron los valores indicados en c0030 «valor pendiente».</w:t>
            </w:r>
          </w:p>
          <w:p w14:paraId="7FE1BAE9" w14:textId="7EA56B32" w:rsidR="00414040" w:rsidRDefault="00904E1A">
            <w:pPr>
              <w:pStyle w:val="P68B1DB1-TableParagraph17"/>
              <w:spacing w:before="108"/>
            </w:pPr>
            <w:r>
              <w:t xml:space="preserve">Si un cliente utiliza múltiples productos de préstamo/cuentas, el cliente solo se </w:t>
            </w:r>
            <w:r w:rsidR="00794E98">
              <w:t>contará</w:t>
            </w:r>
            <w:r>
              <w:t xml:space="preserve"> una vez.</w:t>
            </w:r>
          </w:p>
          <w:p w14:paraId="7FE1BAEA" w14:textId="2B0E5174" w:rsidR="00414040" w:rsidRDefault="00414040">
            <w:pPr>
              <w:pStyle w:val="P68B1DB1-TableParagraph17"/>
              <w:spacing w:before="108"/>
            </w:pPr>
          </w:p>
        </w:tc>
      </w:tr>
      <w:tr w:rsidR="00414040" w14:paraId="7FE1BAF5" w14:textId="77777777" w:rsidTr="0C3A85F4">
        <w:tc>
          <w:tcPr>
            <w:tcW w:w="1080" w:type="dxa"/>
            <w:tcBorders>
              <w:top w:val="single" w:sz="4" w:space="0" w:color="1A171C"/>
              <w:left w:val="nil"/>
              <w:bottom w:val="single" w:sz="4" w:space="0" w:color="1A171C"/>
              <w:right w:val="single" w:sz="4" w:space="0" w:color="1A171C"/>
            </w:tcBorders>
            <w:vAlign w:val="center"/>
          </w:tcPr>
          <w:p w14:paraId="7FE1BAF1" w14:textId="77777777" w:rsidR="00414040" w:rsidRDefault="00904E1A">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414040" w:rsidRDefault="00904E1A">
            <w:pPr>
              <w:pStyle w:val="P68B1DB1-TableParagraph14"/>
              <w:spacing w:before="108"/>
              <w:ind w:left="85"/>
              <w:jc w:val="both"/>
              <w:rPr>
                <w:bCs/>
              </w:rPr>
            </w:pPr>
            <w:r>
              <w:t>Valor pendiente — Valor transfronterizo</w:t>
            </w:r>
          </w:p>
          <w:p w14:paraId="7FE1BAF3" w14:textId="5F57A562" w:rsidR="00414040" w:rsidRDefault="00904E1A">
            <w:pPr>
              <w:pStyle w:val="P68B1DB1-TableParagraph13"/>
              <w:spacing w:before="108"/>
              <w:ind w:left="85"/>
              <w:jc w:val="both"/>
            </w:pPr>
            <w:r>
              <w:t>Valor pendiente (c0030) de los préstamos a no residentes, véase Depósitos (c0060) «valor transfronterizo».</w:t>
            </w:r>
          </w:p>
          <w:p w14:paraId="7FE1BAF4" w14:textId="40707D10" w:rsidR="00414040" w:rsidRDefault="00414040">
            <w:pPr>
              <w:pStyle w:val="P68B1DB1-TableParagraph13"/>
              <w:spacing w:before="108"/>
              <w:ind w:left="85"/>
              <w:jc w:val="both"/>
              <w:rPr>
                <w:b/>
                <w:bCs/>
              </w:rPr>
            </w:pPr>
          </w:p>
        </w:tc>
      </w:tr>
      <w:bookmarkEnd w:id="116"/>
      <w:tr w:rsidR="00414040" w14:paraId="7FE1BB01" w14:textId="77777777" w:rsidTr="0C3A85F4">
        <w:tc>
          <w:tcPr>
            <w:tcW w:w="1080" w:type="dxa"/>
            <w:tcBorders>
              <w:top w:val="single" w:sz="4" w:space="0" w:color="1A171C"/>
              <w:left w:val="nil"/>
              <w:bottom w:val="single" w:sz="4" w:space="0" w:color="1A171C"/>
              <w:right w:val="single" w:sz="4" w:space="0" w:color="1A171C"/>
            </w:tcBorders>
            <w:vAlign w:val="center"/>
          </w:tcPr>
          <w:p w14:paraId="7FE1BAF9" w14:textId="14542C41" w:rsidR="00414040" w:rsidRDefault="00904E1A">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414040" w:rsidRDefault="00904E1A">
            <w:pPr>
              <w:pStyle w:val="P68B1DB1-TableParagraph14"/>
              <w:spacing w:before="108"/>
              <w:jc w:val="both"/>
              <w:rPr>
                <w:bCs/>
              </w:rPr>
            </w:pPr>
            <w:r>
              <w:t>Análisis de impacto y sustituibilidad</w:t>
            </w:r>
          </w:p>
          <w:p w14:paraId="7FE1BAFB" w14:textId="73BB2470" w:rsidR="00414040" w:rsidRDefault="00904E1A">
            <w:pPr>
              <w:pStyle w:val="P68B1DB1-TableParagraph13"/>
              <w:spacing w:before="108"/>
            </w:pPr>
            <w:r w:rsidRPr="2133F407">
              <w:rPr>
                <w:lang w:val="es-ES"/>
              </w:rPr>
              <w:t xml:space="preserve">Los criterios de evaluación del impacto en terceros incluirán los siguientes elementos de conformidad con el Reglamento </w:t>
            </w:r>
            <w:proofErr w:type="gramStart"/>
            <w:r w:rsidRPr="2133F407">
              <w:rPr>
                <w:lang w:val="es-ES"/>
              </w:rPr>
              <w:t>Delegado</w:t>
            </w:r>
            <w:proofErr w:type="gramEnd"/>
            <w:r w:rsidRPr="2133F407">
              <w:rPr>
                <w:lang w:val="es-ES"/>
              </w:rPr>
              <w:t xml:space="preserve"> (UE) 2016/778 de la Comisión sobre las funciones esenciales:</w:t>
            </w:r>
          </w:p>
          <w:p w14:paraId="7FE1BAFC" w14:textId="2A06C245" w:rsidR="00414040" w:rsidRDefault="00904E1A">
            <w:pPr>
              <w:pStyle w:val="P68B1DB1-ListParagraph38"/>
              <w:numPr>
                <w:ilvl w:val="0"/>
                <w:numId w:val="131"/>
              </w:numPr>
              <w:spacing w:line="276" w:lineRule="auto"/>
            </w:pPr>
            <w:r>
              <w:t xml:space="preserve">la naturaleza y el alcance de la actividad, el alcance mundial, nacional o regional, el volumen y el número de transacciones; el número de clientes y contrapartes; el número de clientes para los que la entidad es el único </w:t>
            </w:r>
            <w:r w:rsidR="001E51B8">
              <w:t xml:space="preserve">o principal </w:t>
            </w:r>
            <w:r>
              <w:t>socio bancario.</w:t>
            </w:r>
          </w:p>
          <w:p w14:paraId="7FE1BAFD" w14:textId="60579C38" w:rsidR="00414040" w:rsidRDefault="00904E1A">
            <w:pPr>
              <w:pStyle w:val="P68B1DB1-ListParagraph38"/>
              <w:numPr>
                <w:ilvl w:val="0"/>
                <w:numId w:val="131"/>
              </w:numPr>
              <w:spacing w:line="276" w:lineRule="auto"/>
            </w:pPr>
            <w:r>
              <w:t xml:space="preserve">la relevancia de la entidad a escala local, regional, nacional o europea, según proceda para el mercado de que se trate. La </w:t>
            </w:r>
            <w:r w:rsidR="007D320C">
              <w:t>relevancia</w:t>
            </w:r>
            <w:r w:rsidR="0045726E">
              <w:t xml:space="preserve"> </w:t>
            </w:r>
            <w:r>
              <w:t>de la entidad podrá evaluarse en función de la cuota de mercado, la interconexión, la complejidad y las actividades transfronterizas.</w:t>
            </w:r>
          </w:p>
          <w:p w14:paraId="7FE1BAFE" w14:textId="0B8549C9" w:rsidR="00414040" w:rsidRDefault="00904E1A">
            <w:pPr>
              <w:pStyle w:val="P68B1DB1-ListParagraph38"/>
              <w:numPr>
                <w:ilvl w:val="0"/>
                <w:numId w:val="131"/>
              </w:numPr>
              <w:spacing w:line="276" w:lineRule="auto"/>
            </w:pPr>
            <w:r>
              <w:lastRenderedPageBreak/>
              <w:t xml:space="preserve">la naturaleza de los clientes y partes interesadas </w:t>
            </w:r>
            <w:r w:rsidR="00900E7D">
              <w:t>afectadas</w:t>
            </w:r>
            <w:r w:rsidR="0045726E">
              <w:t xml:space="preserve"> </w:t>
            </w:r>
            <w:r>
              <w:t xml:space="preserve">por la función, </w:t>
            </w:r>
            <w:r w:rsidR="008F0DF4">
              <w:t xml:space="preserve">como, entre otros, </w:t>
            </w:r>
            <w:r>
              <w:t xml:space="preserve">clientes minoristas, </w:t>
            </w:r>
            <w:r w:rsidR="00074521">
              <w:t xml:space="preserve">clientes corporativos, clientes </w:t>
            </w:r>
            <w:r>
              <w:t xml:space="preserve">bancarios, </w:t>
            </w:r>
            <w:r w:rsidR="006E3F38">
              <w:t>cámaras de compensación</w:t>
            </w:r>
            <w:r>
              <w:t xml:space="preserve"> y entes públicos; </w:t>
            </w:r>
          </w:p>
          <w:p w14:paraId="7FE1BAFF" w14:textId="19E8BCDB" w:rsidR="00414040" w:rsidRDefault="00904E1A">
            <w:pPr>
              <w:pStyle w:val="P68B1DB1-ListParagraph38"/>
              <w:numPr>
                <w:ilvl w:val="0"/>
                <w:numId w:val="131"/>
              </w:numPr>
              <w:spacing w:line="276" w:lineRule="auto"/>
              <w:rPr>
                <w:lang w:val="es-ES"/>
              </w:rPr>
            </w:pPr>
            <w:r w:rsidRPr="371CADA7">
              <w:rPr>
                <w:lang w:val="es-ES"/>
              </w:rPr>
              <w:t xml:space="preserve">la posible perturbación de la función </w:t>
            </w:r>
            <w:r w:rsidR="00FC23CB" w:rsidRPr="371CADA7">
              <w:rPr>
                <w:lang w:val="es-ES"/>
              </w:rPr>
              <w:t>de</w:t>
            </w:r>
            <w:r w:rsidR="00B54B81">
              <w:rPr>
                <w:lang w:val="es-ES"/>
              </w:rPr>
              <w:t xml:space="preserve"> </w:t>
            </w:r>
            <w:r w:rsidRPr="371CADA7">
              <w:rPr>
                <w:lang w:val="es-ES"/>
              </w:rPr>
              <w:t xml:space="preserve">los mercados, las infraestructuras, los clientes y los servicios públicos. En particular, la evaluación podrá incluir el efecto sobre la liquidez de los mercados afectados, el impacto y el alcance de la perturbación de la actividad de los clientes y las necesidades de liquidez a corto plazo; </w:t>
            </w:r>
            <w:r w:rsidR="008F6BFE" w:rsidRPr="371CADA7">
              <w:rPr>
                <w:lang w:val="es-ES"/>
              </w:rPr>
              <w:t>el impacto</w:t>
            </w:r>
            <w:r w:rsidRPr="371CADA7">
              <w:rPr>
                <w:lang w:val="es-ES"/>
              </w:rPr>
              <w:t xml:space="preserve"> para las contrapartes, los clientes y el público; la capacidad y la </w:t>
            </w:r>
            <w:r w:rsidR="00790B43" w:rsidRPr="371CADA7">
              <w:rPr>
                <w:lang w:val="es-ES"/>
              </w:rPr>
              <w:t>rapidez</w:t>
            </w:r>
            <w:r w:rsidR="00E54F6E" w:rsidRPr="371CADA7">
              <w:rPr>
                <w:lang w:val="es-ES"/>
              </w:rPr>
              <w:t xml:space="preserve"> </w:t>
            </w:r>
            <w:r w:rsidRPr="371CADA7">
              <w:rPr>
                <w:lang w:val="es-ES"/>
              </w:rPr>
              <w:t xml:space="preserve">de reacción de los clientes; la </w:t>
            </w:r>
            <w:r w:rsidR="00790B43" w:rsidRPr="371CADA7">
              <w:rPr>
                <w:lang w:val="es-ES"/>
              </w:rPr>
              <w:t>relevancia</w:t>
            </w:r>
            <w:r w:rsidR="00E54F6E" w:rsidRPr="371CADA7">
              <w:rPr>
                <w:lang w:val="es-ES"/>
              </w:rPr>
              <w:t xml:space="preserve"> </w:t>
            </w:r>
            <w:r w:rsidRPr="371CADA7">
              <w:rPr>
                <w:lang w:val="es-ES"/>
              </w:rPr>
              <w:t>para el funcionamiento de otros mercados; el efecto en la liquidez, las operaciones y la estructura de otro mercado; el efecto sobre otras contrapartes relacionad</w:t>
            </w:r>
            <w:r w:rsidR="005F2C00" w:rsidRPr="371CADA7">
              <w:rPr>
                <w:lang w:val="es-ES"/>
              </w:rPr>
              <w:t>as</w:t>
            </w:r>
            <w:r w:rsidRPr="371CADA7">
              <w:rPr>
                <w:lang w:val="es-ES"/>
              </w:rPr>
              <w:t xml:space="preserve"> con los principales clientes y la interrelación de la función con otros servicios.</w:t>
            </w:r>
          </w:p>
          <w:p w14:paraId="7FE1BB00"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B05" w14:textId="77777777" w:rsidTr="0C3A85F4">
        <w:tc>
          <w:tcPr>
            <w:tcW w:w="1080" w:type="dxa"/>
            <w:tcBorders>
              <w:top w:val="single" w:sz="4" w:space="0" w:color="1A171C"/>
              <w:left w:val="nil"/>
              <w:bottom w:val="single" w:sz="4" w:space="0" w:color="1A171C"/>
              <w:right w:val="single" w:sz="4" w:space="0" w:color="1A171C"/>
            </w:tcBorders>
            <w:vAlign w:val="center"/>
          </w:tcPr>
          <w:p w14:paraId="7FE1BB02" w14:textId="36421503" w:rsidR="00414040" w:rsidRDefault="00904E1A">
            <w:pPr>
              <w:pStyle w:val="P68B1DB1-TableParagraph17"/>
              <w:spacing w:before="108"/>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B03" w14:textId="10A1D336" w:rsidR="00414040" w:rsidRDefault="00904E1A">
            <w:pPr>
              <w:pStyle w:val="P68B1DB1-TableParagraph14"/>
              <w:spacing w:before="108"/>
              <w:jc w:val="both"/>
              <w:rPr>
                <w:bCs/>
              </w:rPr>
            </w:pPr>
            <w:r>
              <w:t xml:space="preserve">Naturaleza y </w:t>
            </w:r>
            <w:r w:rsidR="000F1D1E">
              <w:t>alcance</w:t>
            </w:r>
          </w:p>
          <w:p w14:paraId="7FE1BB04" w14:textId="2B307431" w:rsidR="00414040" w:rsidRDefault="00904E1A">
            <w:pPr>
              <w:pStyle w:val="P68B1DB1-TableParagraph13"/>
              <w:spacing w:before="108"/>
              <w:jc w:val="both"/>
            </w:pPr>
            <w:r>
              <w:t xml:space="preserve">El alcance mundial, nacional o regional, el volumen y el número de transacciones; el número de clientes y contrapartes; el número de clientes para los que la entidad es el único </w:t>
            </w:r>
            <w:r w:rsidR="000F1D1E">
              <w:t xml:space="preserve">o principal </w:t>
            </w:r>
            <w:r>
              <w:t>socio bancario.</w:t>
            </w:r>
          </w:p>
        </w:tc>
      </w:tr>
      <w:tr w:rsidR="00414040" w14:paraId="7FE1BB0C" w14:textId="77777777" w:rsidTr="0C3A85F4">
        <w:tc>
          <w:tcPr>
            <w:tcW w:w="1080" w:type="dxa"/>
            <w:tcBorders>
              <w:top w:val="single" w:sz="4" w:space="0" w:color="1A171C"/>
              <w:left w:val="nil"/>
              <w:bottom w:val="single" w:sz="4" w:space="0" w:color="1A171C"/>
              <w:right w:val="single" w:sz="4" w:space="0" w:color="1A171C"/>
            </w:tcBorders>
            <w:vAlign w:val="center"/>
          </w:tcPr>
          <w:p w14:paraId="7FE1BB06" w14:textId="202CD428" w:rsidR="00414040" w:rsidRDefault="00904E1A">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414040" w:rsidRDefault="00904E1A">
            <w:pPr>
              <w:pStyle w:val="P68B1DB1-TableParagraph14"/>
              <w:spacing w:before="108"/>
              <w:jc w:val="both"/>
              <w:rPr>
                <w:bCs/>
              </w:rPr>
            </w:pPr>
            <w:r>
              <w:t>Indicador de tamaño 1</w:t>
            </w:r>
          </w:p>
          <w:p w14:paraId="50B226E0" w14:textId="55A418B9" w:rsidR="00414040" w:rsidRDefault="00904E1A">
            <w:pPr>
              <w:pStyle w:val="P68B1DB1-Normal31"/>
              <w:spacing w:line="276" w:lineRule="auto"/>
              <w:jc w:val="both"/>
            </w:pPr>
            <w:r>
              <w:t>Evaluar la importancia del banco en estas actividades. Esta evaluación se expresa cualitativamente como «alt</w:t>
            </w:r>
            <w:r w:rsidR="00D16156">
              <w:t>o</w:t>
            </w:r>
            <w:r>
              <w:t>», «medi</w:t>
            </w:r>
            <w:r w:rsidR="00D16156">
              <w:t>o-</w:t>
            </w:r>
            <w:r>
              <w:t>alt</w:t>
            </w:r>
            <w:r w:rsidR="00D16156">
              <w:t>o</w:t>
            </w:r>
            <w:r>
              <w:t>», «medi</w:t>
            </w:r>
            <w:r w:rsidR="00D16156">
              <w:t>o-</w:t>
            </w:r>
            <w:r>
              <w:t>baj</w:t>
            </w:r>
            <w:r w:rsidR="00D16156">
              <w:t>o</w:t>
            </w:r>
            <w:r>
              <w:t>» o «baj</w:t>
            </w:r>
            <w:r w:rsidR="00D16156">
              <w:t>o</w:t>
            </w:r>
            <w:r>
              <w:t>». Indíquese «</w:t>
            </w:r>
            <w:r w:rsidR="00735179">
              <w:t>alto</w:t>
            </w:r>
            <w:r>
              <w:t>» si el tamaño de la función es grande, «</w:t>
            </w:r>
            <w:r w:rsidR="00735179">
              <w:t>medio</w:t>
            </w:r>
            <w:r>
              <w:t>-alto» si es medio, «</w:t>
            </w:r>
            <w:r w:rsidR="00735179">
              <w:t>medio</w:t>
            </w:r>
            <w:r>
              <w:t>-bajo» si es pequeño y «</w:t>
            </w:r>
            <w:r w:rsidR="00735179">
              <w:t>bajo</w:t>
            </w:r>
            <w:r>
              <w:t xml:space="preserve">» si es insignificante. Utilizar variables macroeconómicas como el PIB, la población (para depósitos, </w:t>
            </w:r>
            <w:r w:rsidR="00C473C2">
              <w:t>concesión de financiación</w:t>
            </w:r>
            <w:r>
              <w:t xml:space="preserve">, </w:t>
            </w:r>
            <w:r w:rsidR="008F318D">
              <w:t xml:space="preserve">servicios de </w:t>
            </w:r>
            <w:r>
              <w:t xml:space="preserve">pago, </w:t>
            </w:r>
            <w:proofErr w:type="gramStart"/>
            <w:r w:rsidR="008F318D">
              <w:t xml:space="preserve">caja, </w:t>
            </w:r>
            <w:r>
              <w:t xml:space="preserve"> liquidación</w:t>
            </w:r>
            <w:proofErr w:type="gramEnd"/>
            <w:r>
              <w:t xml:space="preserve">, compensación y custodia) o el tamaño del mercado (para los mercados de capitales y la financiación </w:t>
            </w:r>
            <w:r w:rsidR="008F1D3A">
              <w:t>mayorist</w:t>
            </w:r>
            <w:r w:rsidR="00F23139">
              <w:t>a</w:t>
            </w:r>
            <w:r>
              <w:t xml:space="preserve">) como referencia para esta evaluación cualitativa. </w:t>
            </w:r>
          </w:p>
          <w:p w14:paraId="7FE1BB08" w14:textId="658E0B92" w:rsidR="00414040" w:rsidRDefault="00414040">
            <w:pPr>
              <w:pStyle w:val="TableParagraph"/>
              <w:spacing w:before="108"/>
              <w:rPr>
                <w:rFonts w:ascii="Times New Roman" w:hAnsi="Times New Roman" w:cs="Times New Roman"/>
                <w:color w:val="000000" w:themeColor="text1"/>
                <w:sz w:val="20"/>
                <w:szCs w:val="20"/>
              </w:rPr>
            </w:pPr>
          </w:p>
          <w:p w14:paraId="7FE1BB09" w14:textId="38E14116" w:rsidR="00414040" w:rsidRDefault="00E73052">
            <w:pPr>
              <w:pStyle w:val="P68B1DB1-ListParagraph32"/>
              <w:numPr>
                <w:ilvl w:val="0"/>
                <w:numId w:val="130"/>
              </w:numPr>
              <w:spacing w:line="276" w:lineRule="auto"/>
            </w:pPr>
            <w:r>
              <w:t>Juicio experto</w:t>
            </w:r>
            <w:r w:rsidR="00FA3B6C">
              <w:t xml:space="preserve"> </w:t>
            </w:r>
            <w:r w:rsidR="00904E1A">
              <w:t xml:space="preserve">sobre </w:t>
            </w:r>
            <w:r w:rsidR="00D119E1">
              <w:t xml:space="preserve">la </w:t>
            </w:r>
            <w:r w:rsidR="00FC2B14">
              <w:t>dimensión</w:t>
            </w:r>
            <w:r w:rsidR="00D119E1">
              <w:t xml:space="preserve"> </w:t>
            </w:r>
            <w:r w:rsidR="00904E1A">
              <w:t xml:space="preserve">del valor de los préstamos pendientes (c0030) desde </w:t>
            </w:r>
            <w:r w:rsidR="00250908">
              <w:t>una</w:t>
            </w:r>
            <w:r w:rsidR="00904E1A">
              <w:t xml:space="preserve"> perspectiva de la UE </w:t>
            </w:r>
            <w:r w:rsidR="00904E1A">
              <w:rPr>
                <w:i/>
              </w:rPr>
              <w:t xml:space="preserve">[un nivel superior al del mercado </w:t>
            </w:r>
            <w:r w:rsidR="008E2AE7">
              <w:rPr>
                <w:i/>
              </w:rPr>
              <w:t>releva</w:t>
            </w:r>
            <w:r w:rsidR="00172F83">
              <w:rPr>
                <w:i/>
              </w:rPr>
              <w:t>nte</w:t>
            </w:r>
            <w:r w:rsidR="00904E1A">
              <w:rPr>
                <w:i/>
              </w:rPr>
              <w:t>].</w:t>
            </w:r>
            <w:r w:rsidR="00904E1A">
              <w:t xml:space="preserve"> En la evaluación de este indicador de tamaño, tenga también en cuenta los posibles flujos de préstamos futuros. Puede utilizar el </w:t>
            </w:r>
            <w:r w:rsidR="00904E1A" w:rsidRPr="00210421">
              <w:rPr>
                <w:i/>
                <w:iCs/>
              </w:rPr>
              <w:t>stock</w:t>
            </w:r>
            <w:r w:rsidR="00904E1A">
              <w:t xml:space="preserve"> de préstamos existente como indicador de los futuros flujos de préstamos, si considera que la actividad pasada refleja con exactitud la actividad de préstamo prevista a corto y medio plazo. </w:t>
            </w:r>
          </w:p>
          <w:p w14:paraId="7FE1BB0A" w14:textId="3B30B8FC" w:rsidR="00414040" w:rsidRDefault="00904E1A">
            <w:pPr>
              <w:pStyle w:val="P68B1DB1-ListParagraph32"/>
              <w:numPr>
                <w:ilvl w:val="1"/>
                <w:numId w:val="127"/>
              </w:numPr>
              <w:spacing w:line="276" w:lineRule="auto"/>
            </w:pPr>
            <w:r>
              <w:t xml:space="preserve">Desde el punto de vista de la UE, ¿cuál considera que es </w:t>
            </w:r>
            <w:r w:rsidR="4E26C3E1">
              <w:t xml:space="preserve">la magnitud </w:t>
            </w:r>
            <w:r>
              <w:t xml:space="preserve">del valor de los préstamos pendientes y comprometidos, </w:t>
            </w:r>
            <w:proofErr w:type="gramStart"/>
            <w:r>
              <w:t xml:space="preserve">como </w:t>
            </w:r>
            <w:r w:rsidR="00E36809">
              <w:t xml:space="preserve"> aproximación</w:t>
            </w:r>
            <w:proofErr w:type="gramEnd"/>
            <w:r w:rsidR="00E36809">
              <w:t xml:space="preserve"> </w:t>
            </w:r>
            <w:r>
              <w:t xml:space="preserve">de los futuros flujos de concesión de </w:t>
            </w:r>
            <w:r w:rsidR="0090074D">
              <w:t>financiación</w:t>
            </w:r>
            <w:r>
              <w:t>?</w:t>
            </w:r>
          </w:p>
          <w:p w14:paraId="7FE1BB0B"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B18" w14:textId="77777777" w:rsidTr="0C3A85F4">
        <w:tc>
          <w:tcPr>
            <w:tcW w:w="1080" w:type="dxa"/>
            <w:tcBorders>
              <w:top w:val="single" w:sz="4" w:space="0" w:color="1A171C"/>
              <w:left w:val="nil"/>
              <w:bottom w:val="single" w:sz="4" w:space="0" w:color="1A171C"/>
              <w:right w:val="single" w:sz="4" w:space="0" w:color="1A171C"/>
            </w:tcBorders>
            <w:vAlign w:val="center"/>
          </w:tcPr>
          <w:p w14:paraId="7FE1BB0D" w14:textId="28626F4D" w:rsidR="00414040" w:rsidRDefault="00904E1A">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414040" w:rsidRDefault="00904E1A">
            <w:pPr>
              <w:pStyle w:val="P68B1DB1-TableParagraph14"/>
              <w:spacing w:before="108"/>
              <w:jc w:val="both"/>
              <w:rPr>
                <w:bCs/>
              </w:rPr>
            </w:pPr>
            <w:r>
              <w:t>Indicador de tamaño 2</w:t>
            </w:r>
          </w:p>
          <w:p w14:paraId="68B7FEDE" w14:textId="4B677F12" w:rsidR="00414040" w:rsidRDefault="00904E1A">
            <w:pPr>
              <w:pStyle w:val="P68B1DB1-Normal31"/>
              <w:spacing w:line="276" w:lineRule="auto"/>
              <w:jc w:val="both"/>
            </w:pPr>
            <w:r>
              <w:t>Evaluar la importancia del banco en estas actividades. Esta evaluación se expresa cualitativamente como «alt</w:t>
            </w:r>
            <w:r w:rsidR="00D16156">
              <w:t>o</w:t>
            </w:r>
            <w:r>
              <w:t>», «medi</w:t>
            </w:r>
            <w:r w:rsidR="00D16156">
              <w:t>o-</w:t>
            </w:r>
            <w:r>
              <w:t>alt</w:t>
            </w:r>
            <w:r w:rsidR="00D16156">
              <w:t>o</w:t>
            </w:r>
            <w:r>
              <w:t>», «medi</w:t>
            </w:r>
            <w:r w:rsidR="00D16156">
              <w:t>o-</w:t>
            </w:r>
            <w:r>
              <w:t>baj</w:t>
            </w:r>
            <w:r w:rsidR="00D16156">
              <w:t>o</w:t>
            </w:r>
            <w:r>
              <w:t>» o «baj</w:t>
            </w:r>
            <w:r w:rsidR="00D16156">
              <w:t>o</w:t>
            </w:r>
            <w:r>
              <w:t>». Indíquese «</w:t>
            </w:r>
            <w:r w:rsidR="00735179">
              <w:t>alto</w:t>
            </w:r>
            <w:r>
              <w:t>» si el tamaño de la función es grande, «</w:t>
            </w:r>
            <w:r w:rsidR="00735179">
              <w:t>medio</w:t>
            </w:r>
            <w:r>
              <w:t>-alto» si es medio, «</w:t>
            </w:r>
            <w:r w:rsidR="00735179">
              <w:t>medio</w:t>
            </w:r>
            <w:r>
              <w:t>-bajo» si es pequeño y «</w:t>
            </w:r>
            <w:r w:rsidR="00735179">
              <w:t>bajo</w:t>
            </w:r>
            <w:r>
              <w:t xml:space="preserve">» si es insignificante. Utilizar variables macroeconómicas como el PIB, la población (para depósitos, </w:t>
            </w:r>
            <w:r w:rsidR="00C473C2">
              <w:t>concesión de financiación</w:t>
            </w:r>
            <w:r>
              <w:t xml:space="preserve">, </w:t>
            </w:r>
            <w:r w:rsidR="00920D00">
              <w:t xml:space="preserve">servicios de </w:t>
            </w:r>
            <w:r>
              <w:t xml:space="preserve">pago, </w:t>
            </w:r>
            <w:r w:rsidR="00920D00">
              <w:t>caja</w:t>
            </w:r>
            <w:r>
              <w:t xml:space="preserve">, liquidación, compensación y custodia) o el tamaño del mercado (para los mercados de capitales y la financiación </w:t>
            </w:r>
            <w:r w:rsidR="00920D00">
              <w:t>mayorista</w:t>
            </w:r>
            <w:r>
              <w:t xml:space="preserve">) como referencia para esta evaluación cualitativa. </w:t>
            </w:r>
          </w:p>
          <w:p w14:paraId="7FE1BB0F" w14:textId="40E27EAB" w:rsidR="00414040" w:rsidRDefault="00414040">
            <w:pPr>
              <w:pStyle w:val="TableParagraph"/>
              <w:spacing w:before="108"/>
              <w:rPr>
                <w:rFonts w:ascii="Times New Roman" w:hAnsi="Times New Roman" w:cs="Times New Roman"/>
                <w:color w:val="000000" w:themeColor="text1"/>
                <w:sz w:val="20"/>
                <w:szCs w:val="20"/>
              </w:rPr>
            </w:pPr>
          </w:p>
          <w:p w14:paraId="7FE1BB10" w14:textId="70F913AE" w:rsidR="00414040" w:rsidRDefault="00573699">
            <w:pPr>
              <w:pStyle w:val="P68B1DB1-ListParagraph32"/>
              <w:numPr>
                <w:ilvl w:val="0"/>
                <w:numId w:val="121"/>
              </w:numPr>
              <w:spacing w:line="276" w:lineRule="auto"/>
            </w:pPr>
            <w:r>
              <w:t>Juicio experto</w:t>
            </w:r>
            <w:r w:rsidR="00FA3B6C">
              <w:t xml:space="preserve"> </w:t>
            </w:r>
            <w:r w:rsidR="00904E1A">
              <w:t xml:space="preserve">sobre </w:t>
            </w:r>
            <w:r w:rsidR="00FA3B6C">
              <w:t>la dimensión</w:t>
            </w:r>
            <w:r w:rsidR="00904E1A">
              <w:t xml:space="preserve"> del </w:t>
            </w:r>
            <w:r w:rsidR="00904E1A">
              <w:rPr>
                <w:b/>
              </w:rPr>
              <w:t>número</w:t>
            </w:r>
            <w:r w:rsidR="00904E1A">
              <w:t xml:space="preserve"> de clientes (c0040) desde la perspectiva </w:t>
            </w:r>
            <w:r w:rsidR="00904E1A">
              <w:rPr>
                <w:b/>
              </w:rPr>
              <w:t>nacional</w:t>
            </w:r>
            <w:r w:rsidR="00904E1A">
              <w:t xml:space="preserve"> </w:t>
            </w:r>
            <w:r w:rsidR="00904E1A">
              <w:rPr>
                <w:i/>
              </w:rPr>
              <w:t xml:space="preserve">[a nivel del mercado </w:t>
            </w:r>
            <w:r w:rsidR="00FA3B6C">
              <w:rPr>
                <w:i/>
              </w:rPr>
              <w:t>releva</w:t>
            </w:r>
            <w:r w:rsidR="00A639DE">
              <w:rPr>
                <w:i/>
              </w:rPr>
              <w:t>nte</w:t>
            </w:r>
            <w:r w:rsidR="00904E1A">
              <w:rPr>
                <w:i/>
              </w:rPr>
              <w:t>]</w:t>
            </w:r>
            <w:r w:rsidR="00904E1A">
              <w:t>:</w:t>
            </w:r>
          </w:p>
          <w:p w14:paraId="7FE1BB11" w14:textId="5EC8B01D" w:rsidR="00414040" w:rsidRDefault="00904E1A">
            <w:pPr>
              <w:pStyle w:val="P68B1DB1-ListParagraph32"/>
              <w:numPr>
                <w:ilvl w:val="1"/>
                <w:numId w:val="121"/>
              </w:numPr>
              <w:spacing w:line="276" w:lineRule="auto"/>
              <w:rPr>
                <w:lang w:val="es-ES"/>
              </w:rPr>
            </w:pPr>
            <w:r w:rsidRPr="2133F407">
              <w:rPr>
                <w:lang w:val="es-ES"/>
              </w:rPr>
              <w:lastRenderedPageBreak/>
              <w:t xml:space="preserve">Desde una perspectiva nacional, ¿cuál considera que es </w:t>
            </w:r>
            <w:r w:rsidR="00FA3B6C">
              <w:rPr>
                <w:lang w:val="es-ES"/>
              </w:rPr>
              <w:t>la magnitud</w:t>
            </w:r>
            <w:r w:rsidRPr="2133F407">
              <w:rPr>
                <w:lang w:val="es-ES"/>
              </w:rPr>
              <w:t xml:space="preserve"> del número total de clientes de la entidad?</w:t>
            </w:r>
          </w:p>
          <w:p w14:paraId="7FE1BB17" w14:textId="77777777" w:rsidR="00414040" w:rsidRDefault="00414040">
            <w:pPr>
              <w:rPr>
                <w:rFonts w:ascii="Times New Roman" w:hAnsi="Times New Roman"/>
                <w:color w:val="000000" w:themeColor="text1"/>
                <w:sz w:val="20"/>
                <w:szCs w:val="20"/>
              </w:rPr>
            </w:pPr>
          </w:p>
        </w:tc>
      </w:tr>
      <w:tr w:rsidR="00414040" w14:paraId="7FE1BB22" w14:textId="77777777" w:rsidTr="0C3A85F4">
        <w:tc>
          <w:tcPr>
            <w:tcW w:w="1080" w:type="dxa"/>
            <w:tcBorders>
              <w:top w:val="single" w:sz="4" w:space="0" w:color="1A171C"/>
              <w:left w:val="nil"/>
              <w:bottom w:val="single" w:sz="4" w:space="0" w:color="1A171C"/>
              <w:right w:val="single" w:sz="4" w:space="0" w:color="1A171C"/>
            </w:tcBorders>
            <w:vAlign w:val="center"/>
          </w:tcPr>
          <w:p w14:paraId="7FE1BB19" w14:textId="68DEE50C" w:rsidR="00414040" w:rsidRDefault="00904E1A">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414040" w:rsidRDefault="00904E1A">
            <w:pPr>
              <w:pStyle w:val="P68B1DB1-TableParagraph14"/>
              <w:spacing w:before="108"/>
              <w:jc w:val="both"/>
              <w:rPr>
                <w:bCs/>
              </w:rPr>
            </w:pPr>
            <w:r>
              <w:t>Indicador transfronterizo</w:t>
            </w:r>
          </w:p>
          <w:p w14:paraId="7FE1BB1B" w14:textId="77777777" w:rsidR="00414040" w:rsidRDefault="00904E1A">
            <w:pPr>
              <w:pStyle w:val="P68B1DB1-TableParagraph13"/>
              <w:spacing w:before="108"/>
            </w:pPr>
            <w:r>
              <w:t>Evaluar la importancia relativa de las actividades transfronterizas para las diferentes funciones económicas.</w:t>
            </w:r>
          </w:p>
          <w:p w14:paraId="7FE1BB1C" w14:textId="676A5EF4" w:rsidR="00414040" w:rsidRDefault="00904E1A">
            <w:pPr>
              <w:pStyle w:val="P68B1DB1-TableParagraph13"/>
              <w:spacing w:before="108"/>
            </w:pPr>
            <w:r w:rsidRPr="2133F407">
              <w:rPr>
                <w:lang w:val="es-ES"/>
              </w:rPr>
              <w:t xml:space="preserve">No es necesario llevar a cabo esta evaluación </w:t>
            </w:r>
            <w:r w:rsidR="00610B6F">
              <w:rPr>
                <w:lang w:val="es-ES"/>
              </w:rPr>
              <w:t>cuando</w:t>
            </w:r>
            <w:r w:rsidR="00FA3B6C">
              <w:rPr>
                <w:lang w:val="es-ES"/>
              </w:rPr>
              <w:t xml:space="preserve"> </w:t>
            </w:r>
            <w:r w:rsidRPr="2133F407">
              <w:rPr>
                <w:lang w:val="es-ES"/>
              </w:rPr>
              <w:t xml:space="preserve">se considere que el mercado </w:t>
            </w:r>
            <w:r w:rsidR="00FA3B6C">
              <w:rPr>
                <w:lang w:val="es-ES"/>
              </w:rPr>
              <w:t xml:space="preserve">relevante </w:t>
            </w:r>
            <w:r w:rsidRPr="2133F407">
              <w:rPr>
                <w:lang w:val="es-ES"/>
              </w:rPr>
              <w:t xml:space="preserve">es regional. </w:t>
            </w:r>
          </w:p>
          <w:p w14:paraId="7FE1BB1D" w14:textId="30593218" w:rsidR="00414040" w:rsidRDefault="00904E1A">
            <w:pPr>
              <w:pStyle w:val="P68B1DB1-TableParagraph33"/>
              <w:spacing w:before="108"/>
              <w:jc w:val="both"/>
            </w:pPr>
            <w:r>
              <w:t xml:space="preserve">Número de países de la UE en los que la cuota de mercado </w:t>
            </w:r>
            <w:r w:rsidR="007607C5">
              <w:t>del ente</w:t>
            </w:r>
            <w:r>
              <w:t xml:space="preserve"> </w:t>
            </w:r>
            <w:r w:rsidR="00A60876">
              <w:t>declarante</w:t>
            </w:r>
            <w:r>
              <w:t xml:space="preserve"> es superior al 2 % (expresado en valor de los préstamos pendientes). Informe: </w:t>
            </w:r>
          </w:p>
          <w:p w14:paraId="7FE1BB1E" w14:textId="1382E45D" w:rsidR="00414040" w:rsidRDefault="00904E1A">
            <w:pPr>
              <w:pStyle w:val="P68B1DB1-TableParagraph33"/>
              <w:numPr>
                <w:ilvl w:val="0"/>
                <w:numId w:val="282"/>
              </w:numPr>
              <w:spacing w:before="108"/>
              <w:jc w:val="both"/>
            </w:pPr>
            <w:r>
              <w:t xml:space="preserve">≤ 1 país; </w:t>
            </w:r>
          </w:p>
          <w:p w14:paraId="7FE1BB1F" w14:textId="1384F453" w:rsidR="00414040" w:rsidRDefault="00904E1A">
            <w:pPr>
              <w:pStyle w:val="P68B1DB1-TableParagraph33"/>
              <w:numPr>
                <w:ilvl w:val="0"/>
                <w:numId w:val="282"/>
              </w:numPr>
              <w:spacing w:before="108"/>
              <w:jc w:val="both"/>
            </w:pPr>
            <w:r>
              <w:t xml:space="preserve">2-3 países; </w:t>
            </w:r>
          </w:p>
          <w:p w14:paraId="7FE1BB20" w14:textId="2782B087" w:rsidR="00414040" w:rsidRDefault="00904E1A">
            <w:pPr>
              <w:pStyle w:val="P68B1DB1-TableParagraph33"/>
              <w:numPr>
                <w:ilvl w:val="0"/>
                <w:numId w:val="282"/>
              </w:numPr>
              <w:spacing w:before="108"/>
              <w:jc w:val="both"/>
            </w:pPr>
            <w:r>
              <w:t xml:space="preserve">4-5 países, </w:t>
            </w:r>
          </w:p>
          <w:p w14:paraId="7FE1BB21" w14:textId="6E7B19E5" w:rsidR="00414040" w:rsidRDefault="00904E1A">
            <w:pPr>
              <w:pStyle w:val="P68B1DB1-TableParagraph33"/>
              <w:numPr>
                <w:ilvl w:val="0"/>
                <w:numId w:val="282"/>
              </w:numPr>
              <w:spacing w:before="108"/>
              <w:jc w:val="both"/>
              <w:rPr>
                <w:rFonts w:cs="Times New Roman"/>
                <w:color w:val="000000" w:themeColor="text1"/>
              </w:rPr>
            </w:pPr>
            <w:r>
              <w:t>&gt; 5 países.</w:t>
            </w:r>
          </w:p>
        </w:tc>
      </w:tr>
      <w:tr w:rsidR="00414040" w14:paraId="7FE1BB31" w14:textId="77777777" w:rsidTr="0C3A85F4">
        <w:tc>
          <w:tcPr>
            <w:tcW w:w="1080" w:type="dxa"/>
            <w:tcBorders>
              <w:top w:val="single" w:sz="4" w:space="0" w:color="1A171C"/>
              <w:left w:val="nil"/>
              <w:bottom w:val="single" w:sz="4" w:space="0" w:color="1A171C"/>
              <w:right w:val="single" w:sz="4" w:space="0" w:color="1A171C"/>
            </w:tcBorders>
            <w:vAlign w:val="center"/>
          </w:tcPr>
          <w:p w14:paraId="7FE1BB23" w14:textId="4A05DE2B" w:rsidR="00414040" w:rsidRDefault="00904E1A">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68E396DC" w:rsidR="00414040" w:rsidRDefault="00AE34D9">
            <w:pPr>
              <w:pStyle w:val="P68B1DB1-TableParagraph13"/>
              <w:spacing w:before="108"/>
              <w:jc w:val="both"/>
            </w:pPr>
            <w:r>
              <w:rPr>
                <w:b/>
              </w:rPr>
              <w:t>Relevancia</w:t>
            </w:r>
            <w:r w:rsidR="00904E1A">
              <w:t xml:space="preserve">— </w:t>
            </w:r>
          </w:p>
          <w:p w14:paraId="7FE1BB25" w14:textId="7E1F7572" w:rsidR="00414040" w:rsidRDefault="00904E1A">
            <w:pPr>
              <w:pStyle w:val="P68B1DB1-TableParagraph13"/>
              <w:spacing w:before="108"/>
              <w:jc w:val="both"/>
            </w:pPr>
            <w:r>
              <w:t xml:space="preserve">A escala local, regional, nacional o europea, según proceda para el mercado de que se trate. La </w:t>
            </w:r>
            <w:r w:rsidR="00190CB7">
              <w:t>relevancia</w:t>
            </w:r>
            <w:r w:rsidR="00FA3B6C">
              <w:t xml:space="preserve"> </w:t>
            </w:r>
            <w:r>
              <w:t>de la entidad podrá evaluarse en función de la cuota de mercado, la interconexión, la complejidad y las actividades transfronterizas.</w:t>
            </w:r>
          </w:p>
          <w:p w14:paraId="7FE1BB26" w14:textId="77777777" w:rsidR="00414040" w:rsidRDefault="00904E1A">
            <w:pPr>
              <w:pStyle w:val="P68B1DB1-TableParagraph14"/>
              <w:spacing w:before="108"/>
              <w:jc w:val="both"/>
              <w:rPr>
                <w:bCs/>
              </w:rPr>
            </w:pPr>
            <w:r>
              <w:t>Cuota de mercado</w:t>
            </w:r>
          </w:p>
          <w:p w14:paraId="4A7FDA65" w14:textId="7824330E" w:rsidR="00414040" w:rsidRDefault="00904E1A">
            <w:pPr>
              <w:pStyle w:val="P68B1DB1-Normal31"/>
              <w:spacing w:line="276" w:lineRule="auto"/>
              <w:jc w:val="both"/>
            </w:pPr>
            <w:r>
              <w:t xml:space="preserve">Evaluar la importancia de la cuota de mercado </w:t>
            </w:r>
            <w:r w:rsidR="007607C5">
              <w:t>del ente</w:t>
            </w:r>
            <w:r>
              <w:t xml:space="preserve"> declarante, en comparación con el mercado nacional u otro mercado </w:t>
            </w:r>
            <w:r w:rsidR="00B96216">
              <w:t>relevante</w:t>
            </w:r>
            <w:r>
              <w:t xml:space="preserve">, tal como se indica en la plantilla. Esta evaluación se expresa cualitativamente como: </w:t>
            </w:r>
          </w:p>
          <w:p w14:paraId="25EA33C7" w14:textId="47297664" w:rsidR="00414040" w:rsidRDefault="00243FE7">
            <w:pPr>
              <w:pStyle w:val="P68B1DB1-ListParagraph32"/>
              <w:numPr>
                <w:ilvl w:val="0"/>
                <w:numId w:val="276"/>
              </w:numPr>
              <w:spacing w:line="276" w:lineRule="auto"/>
              <w:jc w:val="both"/>
            </w:pPr>
            <w:r>
              <w:t>Alta</w:t>
            </w:r>
            <w:r w:rsidR="00904E1A">
              <w:t xml:space="preserve">, si la cuota de mercado es </w:t>
            </w:r>
            <w:r>
              <w:t>alta</w:t>
            </w:r>
          </w:p>
          <w:p w14:paraId="24D12007" w14:textId="1E65A75A" w:rsidR="00414040" w:rsidRDefault="00904E1A">
            <w:pPr>
              <w:pStyle w:val="P68B1DB1-ListParagraph32"/>
              <w:numPr>
                <w:ilvl w:val="0"/>
                <w:numId w:val="276"/>
              </w:numPr>
              <w:spacing w:line="276" w:lineRule="auto"/>
              <w:jc w:val="both"/>
            </w:pPr>
            <w:r>
              <w:t>Medi</w:t>
            </w:r>
            <w:r w:rsidR="00A22F1C">
              <w:t>a</w:t>
            </w:r>
            <w:r>
              <w:t>-alt</w:t>
            </w:r>
            <w:r w:rsidR="00A22F1C">
              <w:t>a</w:t>
            </w:r>
            <w:r>
              <w:t>, si la cuota de mercado es media</w:t>
            </w:r>
          </w:p>
          <w:p w14:paraId="05C67201" w14:textId="45537EF2" w:rsidR="00414040" w:rsidRDefault="00904E1A">
            <w:pPr>
              <w:pStyle w:val="P68B1DB1-ListParagraph32"/>
              <w:numPr>
                <w:ilvl w:val="0"/>
                <w:numId w:val="276"/>
              </w:numPr>
              <w:spacing w:line="276" w:lineRule="auto"/>
              <w:jc w:val="both"/>
            </w:pPr>
            <w:r>
              <w:t>Medi</w:t>
            </w:r>
            <w:r w:rsidR="00A22F1C">
              <w:t>a</w:t>
            </w:r>
            <w:r>
              <w:t>-baj</w:t>
            </w:r>
            <w:r w:rsidR="00A22F1C">
              <w:t>a</w:t>
            </w:r>
            <w:r>
              <w:t xml:space="preserve">, si la cuota de mercado es pequeña </w:t>
            </w:r>
          </w:p>
          <w:p w14:paraId="29105274" w14:textId="77777777" w:rsidR="00414040" w:rsidRDefault="00904E1A">
            <w:pPr>
              <w:pStyle w:val="P68B1DB1-ListParagraph32"/>
              <w:numPr>
                <w:ilvl w:val="0"/>
                <w:numId w:val="276"/>
              </w:numPr>
              <w:spacing w:line="276" w:lineRule="auto"/>
              <w:jc w:val="both"/>
            </w:pPr>
            <w:r>
              <w:t xml:space="preserve">Baja, si la cuota de mercado es insignificante. </w:t>
            </w:r>
          </w:p>
          <w:p w14:paraId="7FE1BB2B" w14:textId="586F4387" w:rsidR="00414040" w:rsidRDefault="00414040">
            <w:pPr>
              <w:pStyle w:val="ListParagraph"/>
              <w:spacing w:line="276" w:lineRule="auto"/>
              <w:jc w:val="both"/>
              <w:rPr>
                <w:rFonts w:ascii="Times New Roman" w:eastAsiaTheme="minorHAnsi" w:hAnsi="Times New Roman"/>
                <w:color w:val="000000" w:themeColor="text1"/>
                <w:sz w:val="20"/>
                <w:szCs w:val="20"/>
              </w:rPr>
            </w:pPr>
          </w:p>
          <w:p w14:paraId="55721696" w14:textId="0D0E1F1A" w:rsidR="00D33D19" w:rsidRDefault="00904E1A">
            <w:pPr>
              <w:pStyle w:val="P68B1DB1-TableParagraph13"/>
              <w:spacing w:before="108"/>
            </w:pPr>
            <w:r>
              <w:t xml:space="preserve">Esta evaluación tiene en cuenta la estructura del mercado del país </w:t>
            </w:r>
            <w:r w:rsidR="007607C5">
              <w:t>del ente</w:t>
            </w:r>
            <w:r>
              <w:t xml:space="preserve"> declarante (u otro mercado </w:t>
            </w:r>
            <w:r w:rsidR="007755FD">
              <w:t>releva</w:t>
            </w:r>
            <w:r w:rsidR="00EA722D">
              <w:t>nte</w:t>
            </w:r>
            <w:r>
              <w:t xml:space="preserve">) y las cuotas de mercado </w:t>
            </w:r>
            <w:r w:rsidR="004D49FF">
              <w:t>declaradas</w:t>
            </w:r>
            <w:r w:rsidR="007755FD">
              <w:t xml:space="preserve"> </w:t>
            </w:r>
            <w:r>
              <w:t>en la parte 2.</w:t>
            </w:r>
          </w:p>
          <w:p w14:paraId="7FE1BB2D" w14:textId="73EA0E00" w:rsidR="00414040" w:rsidRDefault="00904E1A">
            <w:pPr>
              <w:pStyle w:val="P68B1DB1-TableParagraph13"/>
              <w:spacing w:before="108"/>
            </w:pPr>
            <w:r>
              <w:t>Datos cuantitativos:</w:t>
            </w:r>
          </w:p>
          <w:p w14:paraId="7FE1BB2E" w14:textId="5CFC3657" w:rsidR="00414040" w:rsidRDefault="00DA3288">
            <w:pPr>
              <w:pStyle w:val="P68B1DB1-ListParagraph32"/>
              <w:numPr>
                <w:ilvl w:val="0"/>
                <w:numId w:val="117"/>
              </w:numPr>
              <w:spacing w:line="276" w:lineRule="auto"/>
              <w:jc w:val="both"/>
              <w:rPr>
                <w:i/>
                <w:lang w:val="es-ES"/>
              </w:rPr>
            </w:pPr>
            <w:r>
              <w:rPr>
                <w:lang w:val="es-ES"/>
              </w:rPr>
              <w:t>Juicio experto</w:t>
            </w:r>
            <w:r w:rsidR="007755FD">
              <w:rPr>
                <w:lang w:val="es-ES"/>
              </w:rPr>
              <w:t xml:space="preserve"> </w:t>
            </w:r>
            <w:r w:rsidR="00904E1A" w:rsidRPr="2133F407">
              <w:rPr>
                <w:lang w:val="es-ES"/>
              </w:rPr>
              <w:t xml:space="preserve">sobre </w:t>
            </w:r>
            <w:r w:rsidR="007755FD">
              <w:rPr>
                <w:lang w:val="es-ES"/>
              </w:rPr>
              <w:t>la dimensión</w:t>
            </w:r>
            <w:r w:rsidR="00904E1A" w:rsidRPr="2133F407">
              <w:rPr>
                <w:lang w:val="es-ES"/>
              </w:rPr>
              <w:t xml:space="preserve"> de la cuota de mercado </w:t>
            </w:r>
            <w:r w:rsidR="00904E1A" w:rsidRPr="2133F407">
              <w:rPr>
                <w:b/>
                <w:lang w:val="es-ES"/>
              </w:rPr>
              <w:t xml:space="preserve">nacional </w:t>
            </w:r>
            <w:r w:rsidR="00904E1A" w:rsidRPr="2133F407">
              <w:rPr>
                <w:lang w:val="es-ES"/>
              </w:rPr>
              <w:t>(</w:t>
            </w:r>
            <w:r w:rsidR="00F47A5C">
              <w:rPr>
                <w:lang w:val="es-ES"/>
              </w:rPr>
              <w:t>declarad</w:t>
            </w:r>
            <w:r w:rsidR="007755FD">
              <w:rPr>
                <w:lang w:val="es-ES"/>
              </w:rPr>
              <w:t xml:space="preserve">a </w:t>
            </w:r>
            <w:r w:rsidR="00904E1A" w:rsidRPr="2133F407">
              <w:rPr>
                <w:lang w:val="es-ES"/>
              </w:rPr>
              <w:t>en c0020, excepto en los casos en que</w:t>
            </w:r>
            <w:r w:rsidR="002B530D" w:rsidRPr="2133F407">
              <w:rPr>
                <w:lang w:val="es-ES"/>
              </w:rPr>
              <w:t xml:space="preserve"> </w:t>
            </w:r>
            <w:r w:rsidR="002B530D">
              <w:rPr>
                <w:lang w:val="es-ES"/>
              </w:rPr>
              <w:t>los datos declarados se refieran a un</w:t>
            </w:r>
            <w:r w:rsidR="007755FD">
              <w:rPr>
                <w:lang w:val="es-ES"/>
              </w:rPr>
              <w:t>a</w:t>
            </w:r>
            <w:r w:rsidR="002B530D">
              <w:rPr>
                <w:lang w:val="es-ES"/>
              </w:rPr>
              <w:t xml:space="preserve"> </w:t>
            </w:r>
            <w:r w:rsidR="007755FD">
              <w:rPr>
                <w:lang w:val="es-ES"/>
              </w:rPr>
              <w:t>escala</w:t>
            </w:r>
            <w:r w:rsidR="002B530D">
              <w:rPr>
                <w:lang w:val="es-ES"/>
              </w:rPr>
              <w:t xml:space="preserve"> de</w:t>
            </w:r>
            <w:r w:rsidR="00904E1A" w:rsidRPr="2133F407">
              <w:rPr>
                <w:lang w:val="es-ES"/>
              </w:rPr>
              <w:t xml:space="preserve"> mercado </w:t>
            </w:r>
            <w:r w:rsidR="007755FD">
              <w:rPr>
                <w:lang w:val="es-ES"/>
              </w:rPr>
              <w:t>releva</w:t>
            </w:r>
            <w:r w:rsidR="00B21E07">
              <w:rPr>
                <w:lang w:val="es-ES"/>
              </w:rPr>
              <w:t>nte</w:t>
            </w:r>
            <w:r w:rsidR="007755FD">
              <w:rPr>
                <w:lang w:val="es-ES"/>
              </w:rPr>
              <w:t xml:space="preserve"> </w:t>
            </w:r>
            <w:r w:rsidR="00904E1A" w:rsidRPr="2133F407">
              <w:rPr>
                <w:lang w:val="es-ES"/>
              </w:rPr>
              <w:t>diferente; en tales casos deberá presentarse una evaluación de</w:t>
            </w:r>
            <w:r w:rsidR="0022336A">
              <w:rPr>
                <w:lang w:val="es-ES"/>
              </w:rPr>
              <w:t xml:space="preserve"> </w:t>
            </w:r>
            <w:r w:rsidR="00904E1A" w:rsidRPr="2133F407">
              <w:rPr>
                <w:lang w:val="es-ES"/>
              </w:rPr>
              <w:t>l</w:t>
            </w:r>
            <w:r w:rsidR="0022336A">
              <w:rPr>
                <w:lang w:val="es-ES"/>
              </w:rPr>
              <w:t>a cuota de</w:t>
            </w:r>
            <w:r w:rsidR="00904E1A" w:rsidRPr="2133F407">
              <w:rPr>
                <w:lang w:val="es-ES"/>
              </w:rPr>
              <w:t xml:space="preserve"> mercado </w:t>
            </w:r>
            <w:r w:rsidR="007755FD">
              <w:rPr>
                <w:lang w:val="es-ES"/>
              </w:rPr>
              <w:t>releva</w:t>
            </w:r>
            <w:r w:rsidR="009E3207">
              <w:rPr>
                <w:lang w:val="es-ES"/>
              </w:rPr>
              <w:t>nte</w:t>
            </w:r>
            <w:r w:rsidR="00904E1A" w:rsidRPr="2133F407">
              <w:rPr>
                <w:lang w:val="es-ES"/>
              </w:rPr>
              <w:t>).</w:t>
            </w:r>
          </w:p>
          <w:p w14:paraId="7FE1BB2F" w14:textId="77777777" w:rsidR="00414040" w:rsidRDefault="00414040">
            <w:pPr>
              <w:pStyle w:val="TableParagraph"/>
              <w:spacing w:before="108"/>
              <w:rPr>
                <w:rFonts w:ascii="Times New Roman" w:hAnsi="Times New Roman" w:cs="Times New Roman"/>
                <w:color w:val="000000" w:themeColor="text1"/>
                <w:sz w:val="20"/>
                <w:szCs w:val="20"/>
              </w:rPr>
            </w:pPr>
          </w:p>
          <w:p w14:paraId="7FE1BB30"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B3D" w14:textId="77777777" w:rsidTr="0C3A85F4">
        <w:tc>
          <w:tcPr>
            <w:tcW w:w="1080" w:type="dxa"/>
            <w:tcBorders>
              <w:top w:val="single" w:sz="4" w:space="0" w:color="1A171C"/>
              <w:left w:val="nil"/>
              <w:bottom w:val="single" w:sz="4" w:space="0" w:color="1A171C"/>
              <w:right w:val="single" w:sz="4" w:space="0" w:color="1A171C"/>
            </w:tcBorders>
            <w:vAlign w:val="center"/>
          </w:tcPr>
          <w:p w14:paraId="7FE1BB32" w14:textId="3F7E8117" w:rsidR="00414040" w:rsidRDefault="00904E1A">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414040" w:rsidRDefault="00904E1A">
            <w:pPr>
              <w:pStyle w:val="P68B1DB1-TableParagraph14"/>
              <w:spacing w:before="108"/>
              <w:jc w:val="both"/>
              <w:rPr>
                <w:bCs/>
              </w:rPr>
            </w:pPr>
            <w:r>
              <w:t>Estructura del mercado — Concentración del mercado</w:t>
            </w:r>
          </w:p>
          <w:p w14:paraId="7FE1BB37" w14:textId="1C60806D" w:rsidR="00414040" w:rsidRDefault="00904E1A">
            <w:pPr>
              <w:pStyle w:val="P68B1DB1-TableParagraph13"/>
              <w:spacing w:before="108"/>
            </w:pPr>
            <w:r>
              <w:t xml:space="preserve">La concentración del mercado, medida por el número de competidores que </w:t>
            </w:r>
            <w:r w:rsidR="004E3F5A">
              <w:t>desempeñan</w:t>
            </w:r>
            <w:r w:rsidR="007755FD">
              <w:t xml:space="preserve"> </w:t>
            </w:r>
            <w:r>
              <w:t xml:space="preserve">actualmente funciones económicas similares </w:t>
            </w:r>
            <w:r w:rsidR="002C3345">
              <w:t>u</w:t>
            </w:r>
            <w:r w:rsidR="00166CF9">
              <w:t xml:space="preserve"> ofrecen</w:t>
            </w:r>
            <w:r w:rsidR="00E07809">
              <w:t xml:space="preserve"> </w:t>
            </w:r>
            <w:r>
              <w:t>servicios similares en condiciones</w:t>
            </w:r>
            <w:r w:rsidR="00166CF9">
              <w:t xml:space="preserve"> equivalentes</w:t>
            </w:r>
            <w:r>
              <w:t xml:space="preserve"> (es decir, </w:t>
            </w:r>
            <w:r w:rsidR="00B62DC8">
              <w:t>con un</w:t>
            </w:r>
            <w:r>
              <w:t xml:space="preserve"> </w:t>
            </w:r>
            <w:r w:rsidRPr="2133F407">
              <w:rPr>
                <w:lang w:val="es-ES"/>
              </w:rPr>
              <w:t xml:space="preserve">alcance y calidad comparables y </w:t>
            </w:r>
            <w:r w:rsidR="003061FF">
              <w:rPr>
                <w:lang w:val="es-ES"/>
              </w:rPr>
              <w:t>a</w:t>
            </w:r>
            <w:r w:rsidR="002C3345">
              <w:rPr>
                <w:lang w:val="es-ES"/>
              </w:rPr>
              <w:t xml:space="preserve"> </w:t>
            </w:r>
            <w:r w:rsidRPr="2133F407">
              <w:rPr>
                <w:lang w:val="es-ES"/>
              </w:rPr>
              <w:t xml:space="preserve">un coste comparable) que </w:t>
            </w:r>
            <w:r w:rsidR="0010505D">
              <w:rPr>
                <w:lang w:val="es-ES"/>
              </w:rPr>
              <w:t xml:space="preserve">potencialmente podrían </w:t>
            </w:r>
            <w:r w:rsidRPr="2133F407">
              <w:rPr>
                <w:lang w:val="es-ES"/>
              </w:rPr>
              <w:t xml:space="preserve">asumir el control </w:t>
            </w:r>
            <w:r w:rsidR="002C3345">
              <w:rPr>
                <w:lang w:val="es-ES"/>
              </w:rPr>
              <w:t xml:space="preserve">de </w:t>
            </w:r>
            <w:r>
              <w:t xml:space="preserve">(parte de) los clientes o actividades </w:t>
            </w:r>
            <w:r w:rsidR="007607C5">
              <w:t>del ente</w:t>
            </w:r>
            <w:r>
              <w:t xml:space="preserve"> declarante en un plazo razonable. </w:t>
            </w:r>
          </w:p>
          <w:p w14:paraId="7FE1BB38" w14:textId="4B55E2A4" w:rsidR="00414040" w:rsidRDefault="00904E1A">
            <w:pPr>
              <w:pStyle w:val="P68B1DB1-TableParagraph13"/>
              <w:spacing w:before="108"/>
            </w:pPr>
            <w:r>
              <w:t>Est</w:t>
            </w:r>
            <w:r w:rsidR="002A509A">
              <w:t>a</w:t>
            </w:r>
            <w:r>
              <w:t xml:space="preserve"> </w:t>
            </w:r>
            <w:r w:rsidR="002A509A">
              <w:t xml:space="preserve">información </w:t>
            </w:r>
            <w:r>
              <w:t xml:space="preserve">debe </w:t>
            </w:r>
            <w:r w:rsidR="002A509A">
              <w:t>declararse</w:t>
            </w:r>
            <w:r w:rsidR="00E07809">
              <w:t xml:space="preserve"> </w:t>
            </w:r>
            <w:r>
              <w:t xml:space="preserve">en segmentos, que son los mismos para cada subfunción. </w:t>
            </w:r>
          </w:p>
          <w:p w14:paraId="6E06F623" w14:textId="77777777" w:rsidR="00414040" w:rsidRDefault="00904E1A">
            <w:pPr>
              <w:pStyle w:val="P68B1DB1-ListParagraph32"/>
              <w:numPr>
                <w:ilvl w:val="0"/>
                <w:numId w:val="277"/>
              </w:numPr>
              <w:jc w:val="both"/>
            </w:pPr>
            <w:r>
              <w:t xml:space="preserve">&gt; 20 competidores; </w:t>
            </w:r>
          </w:p>
          <w:p w14:paraId="1C1D9521" w14:textId="77777777" w:rsidR="00414040" w:rsidRDefault="00904E1A">
            <w:pPr>
              <w:pStyle w:val="P68B1DB1-ListParagraph32"/>
              <w:numPr>
                <w:ilvl w:val="0"/>
                <w:numId w:val="277"/>
              </w:numPr>
              <w:jc w:val="both"/>
            </w:pPr>
            <w:r>
              <w:lastRenderedPageBreak/>
              <w:t xml:space="preserve">11-20 competidores; </w:t>
            </w:r>
          </w:p>
          <w:p w14:paraId="35EEC292" w14:textId="77777777" w:rsidR="00414040" w:rsidRDefault="00904E1A">
            <w:pPr>
              <w:pStyle w:val="P68B1DB1-ListParagraph32"/>
              <w:numPr>
                <w:ilvl w:val="0"/>
                <w:numId w:val="277"/>
              </w:numPr>
              <w:jc w:val="both"/>
            </w:pPr>
            <w:r>
              <w:t xml:space="preserve">5-10 competidores, </w:t>
            </w:r>
          </w:p>
          <w:p w14:paraId="23AB1BA1" w14:textId="33961540" w:rsidR="00414040" w:rsidRDefault="002E328B">
            <w:pPr>
              <w:pStyle w:val="P68B1DB1-ListParagraph32"/>
              <w:numPr>
                <w:ilvl w:val="0"/>
                <w:numId w:val="277"/>
              </w:numPr>
              <w:jc w:val="both"/>
              <w:rPr>
                <w:b/>
                <w:bCs/>
                <w:color w:val="000000" w:themeColor="text1"/>
              </w:rPr>
            </w:pPr>
            <w:r>
              <w:t>&lt;</w:t>
            </w:r>
            <w:r w:rsidR="00904E1A">
              <w:t>5 competidores</w:t>
            </w:r>
          </w:p>
          <w:p w14:paraId="7FE1BB3C" w14:textId="356BF98D" w:rsidR="00414040" w:rsidRDefault="00414040">
            <w:pPr>
              <w:jc w:val="both"/>
              <w:rPr>
                <w:rFonts w:ascii="Times New Roman" w:hAnsi="Times New Roman"/>
                <w:color w:val="000000" w:themeColor="text1"/>
                <w:sz w:val="20"/>
                <w:szCs w:val="20"/>
              </w:rPr>
            </w:pPr>
          </w:p>
        </w:tc>
      </w:tr>
      <w:tr w:rsidR="00414040" w14:paraId="7FE1BB49" w14:textId="77777777" w:rsidTr="0C3A85F4">
        <w:tc>
          <w:tcPr>
            <w:tcW w:w="1080" w:type="dxa"/>
            <w:tcBorders>
              <w:top w:val="single" w:sz="4" w:space="0" w:color="1A171C"/>
              <w:left w:val="nil"/>
              <w:bottom w:val="single" w:sz="4" w:space="0" w:color="1A171C"/>
              <w:right w:val="single" w:sz="4" w:space="0" w:color="1A171C"/>
            </w:tcBorders>
            <w:vAlign w:val="center"/>
          </w:tcPr>
          <w:p w14:paraId="7FE1BB3E" w14:textId="0A51607B" w:rsidR="00414040" w:rsidRDefault="00904E1A">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3F" w14:textId="1FB9FD1D" w:rsidR="00414040" w:rsidRDefault="00B74E2B">
            <w:pPr>
              <w:pStyle w:val="P68B1DB1-TableParagraph14"/>
              <w:spacing w:before="108"/>
              <w:jc w:val="both"/>
              <w:rPr>
                <w:bCs/>
              </w:rPr>
            </w:pPr>
            <w:r>
              <w:t xml:space="preserve">Plazo </w:t>
            </w:r>
            <w:r w:rsidR="00904E1A">
              <w:t>— Tiempo previsto para la sustitución</w:t>
            </w:r>
          </w:p>
          <w:p w14:paraId="7FE1BB41" w14:textId="01239FD4" w:rsidR="00414040" w:rsidRDefault="00904E1A">
            <w:pPr>
              <w:pStyle w:val="P68B1DB1-TableParagraph13"/>
              <w:spacing w:before="108"/>
            </w:pPr>
            <w:r>
              <w:t xml:space="preserve">Estimar el tiempo necesario para </w:t>
            </w:r>
            <w:r w:rsidR="000C0AEB">
              <w:t xml:space="preserve">que </w:t>
            </w:r>
            <w:r>
              <w:t xml:space="preserve">la función económica </w:t>
            </w:r>
            <w:r w:rsidR="00DC4089">
              <w:t>desempeñada</w:t>
            </w:r>
            <w:r w:rsidR="00E07809">
              <w:t xml:space="preserve"> </w:t>
            </w:r>
            <w:r>
              <w:t xml:space="preserve">por </w:t>
            </w:r>
            <w:r w:rsidR="00194765">
              <w:t xml:space="preserve">el </w:t>
            </w:r>
            <w:r w:rsidR="00194765">
              <w:rPr>
                <w:lang w:val="es-ES"/>
              </w:rPr>
              <w:t>ente</w:t>
            </w:r>
            <w:r w:rsidR="00194765" w:rsidRPr="2133F407">
              <w:rPr>
                <w:lang w:val="es-ES"/>
              </w:rPr>
              <w:t xml:space="preserve"> </w:t>
            </w:r>
            <w:r w:rsidR="00DC4089">
              <w:rPr>
                <w:lang w:val="es-ES"/>
              </w:rPr>
              <w:t xml:space="preserve">declarante </w:t>
            </w:r>
            <w:r w:rsidR="00931CAE">
              <w:rPr>
                <w:lang w:val="es-ES"/>
              </w:rPr>
              <w:t>sea</w:t>
            </w:r>
            <w:r w:rsidR="00E07809">
              <w:rPr>
                <w:lang w:val="es-ES"/>
              </w:rPr>
              <w:t xml:space="preserve"> </w:t>
            </w:r>
            <w:r w:rsidRPr="2133F407">
              <w:rPr>
                <w:lang w:val="es-ES"/>
              </w:rPr>
              <w:t xml:space="preserve">absorbida por el mercado en una situación de crisis. </w:t>
            </w:r>
            <w:r w:rsidR="00931CAE">
              <w:rPr>
                <w:lang w:val="es-ES"/>
              </w:rPr>
              <w:t>Incluye</w:t>
            </w:r>
            <w:r w:rsidRPr="2133F407">
              <w:rPr>
                <w:lang w:val="es-ES"/>
              </w:rPr>
              <w:t xml:space="preserve">: </w:t>
            </w:r>
          </w:p>
          <w:p w14:paraId="7FE1BB42" w14:textId="0C28E2BA" w:rsidR="00414040" w:rsidRDefault="00904E1A">
            <w:pPr>
              <w:pStyle w:val="P68B1DB1-ListParagraph38"/>
              <w:numPr>
                <w:ilvl w:val="0"/>
                <w:numId w:val="274"/>
              </w:numPr>
              <w:jc w:val="both"/>
            </w:pPr>
            <w:r>
              <w:t xml:space="preserve">el tiempo previsto que </w:t>
            </w:r>
            <w:r w:rsidR="00EB4933">
              <w:t>necesitaría</w:t>
            </w:r>
            <w:r w:rsidR="00BF3BE4">
              <w:t>n</w:t>
            </w:r>
            <w:r w:rsidR="00EB4933">
              <w:t xml:space="preserve"> </w:t>
            </w:r>
            <w:r>
              <w:t xml:space="preserve">uno o varios competidores para </w:t>
            </w:r>
            <w:r w:rsidR="00B54D75">
              <w:t>completar</w:t>
            </w:r>
            <w:r>
              <w:t xml:space="preserve"> l</w:t>
            </w:r>
            <w:r w:rsidR="00B54D75">
              <w:t>o</w:t>
            </w:r>
            <w:r>
              <w:t xml:space="preserve">s </w:t>
            </w:r>
            <w:r w:rsidR="00B54D75">
              <w:t>pasos</w:t>
            </w:r>
            <w:r w:rsidR="00E07809">
              <w:t xml:space="preserve"> </w:t>
            </w:r>
            <w:r>
              <w:t>jurídic</w:t>
            </w:r>
            <w:r w:rsidR="00CE46DF">
              <w:t>o</w:t>
            </w:r>
            <w:r>
              <w:t>s y técnic</w:t>
            </w:r>
            <w:r w:rsidR="00CE46DF">
              <w:t>o</w:t>
            </w:r>
            <w:r>
              <w:t>s necesari</w:t>
            </w:r>
            <w:r w:rsidR="00CE46DF">
              <w:t>o</w:t>
            </w:r>
            <w:r>
              <w:t xml:space="preserve">s para asumir la función; así como  </w:t>
            </w:r>
          </w:p>
          <w:p w14:paraId="7FE1BB43" w14:textId="178EC374" w:rsidR="00414040" w:rsidRDefault="00904E1A">
            <w:pPr>
              <w:pStyle w:val="P68B1DB1-ListParagraph38"/>
              <w:numPr>
                <w:ilvl w:val="0"/>
                <w:numId w:val="274"/>
              </w:numPr>
              <w:jc w:val="both"/>
            </w:pPr>
            <w:r>
              <w:t xml:space="preserve">el tiempo que necesitan los usuarios del servicio para </w:t>
            </w:r>
            <w:r w:rsidR="00D414BB">
              <w:t>cambiar</w:t>
            </w:r>
            <w:r w:rsidR="00E07809">
              <w:t xml:space="preserve"> </w:t>
            </w:r>
            <w:r>
              <w:t xml:space="preserve">a otro proveedor de servicios. </w:t>
            </w:r>
          </w:p>
          <w:p w14:paraId="7FE1BB44" w14:textId="77777777" w:rsidR="00414040" w:rsidRDefault="00414040">
            <w:pPr>
              <w:pStyle w:val="TableParagraph"/>
              <w:spacing w:before="108"/>
              <w:rPr>
                <w:rFonts w:ascii="Times New Roman" w:hAnsi="Times New Roman" w:cs="Times New Roman"/>
                <w:color w:val="000000" w:themeColor="text1"/>
                <w:sz w:val="20"/>
                <w:szCs w:val="20"/>
              </w:rPr>
            </w:pPr>
          </w:p>
          <w:p w14:paraId="7FE1BB45" w14:textId="4ECDF49A" w:rsidR="00414040" w:rsidRDefault="00904E1A">
            <w:pPr>
              <w:pStyle w:val="P68B1DB1-TableParagraph13"/>
              <w:spacing w:before="108"/>
            </w:pPr>
            <w:r>
              <w:t xml:space="preserve">Para </w:t>
            </w:r>
            <w:r w:rsidR="005B1C0A">
              <w:t>los</w:t>
            </w:r>
            <w:r>
              <w:t xml:space="preserve"> préstamo</w:t>
            </w:r>
            <w:r w:rsidR="005B1C0A">
              <w:t>s</w:t>
            </w:r>
            <w:r>
              <w:t xml:space="preserve">, por ejemplo, esto no se refiere a la liquidación de la cartera pendiente o a la transferencia de esa cartera a un comprador potencial, sino más bien a la capacidad de los hogares, las empresas y las administraciones </w:t>
            </w:r>
            <w:r w:rsidR="00B40014">
              <w:t xml:space="preserve">públicas </w:t>
            </w:r>
            <w:r>
              <w:t xml:space="preserve">para obtener préstamos similares de otros </w:t>
            </w:r>
            <w:r w:rsidR="008828B9">
              <w:t>proveedores</w:t>
            </w:r>
            <w:r>
              <w:t xml:space="preserve">. </w:t>
            </w:r>
          </w:p>
          <w:p w14:paraId="7FE1BB46" w14:textId="77777777" w:rsidR="00414040" w:rsidRDefault="00414040">
            <w:pPr>
              <w:pStyle w:val="TableParagraph"/>
              <w:spacing w:before="108"/>
              <w:rPr>
                <w:rFonts w:ascii="Times New Roman" w:hAnsi="Times New Roman" w:cs="Times New Roman"/>
                <w:color w:val="000000" w:themeColor="text1"/>
                <w:sz w:val="20"/>
                <w:szCs w:val="20"/>
              </w:rPr>
            </w:pPr>
          </w:p>
          <w:p w14:paraId="7FE1BB47" w14:textId="10895D57" w:rsidR="00414040" w:rsidRDefault="00904E1A">
            <w:pPr>
              <w:pStyle w:val="P68B1DB1-TableParagraph13"/>
              <w:spacing w:before="108"/>
            </w:pPr>
            <w:r>
              <w:t xml:space="preserve">Como </w:t>
            </w:r>
            <w:r w:rsidR="004C162F">
              <w:t xml:space="preserve">aproximación </w:t>
            </w:r>
            <w:r>
              <w:t xml:space="preserve">del primero, </w:t>
            </w:r>
            <w:r w:rsidR="00B40014">
              <w:t xml:space="preserve">debe proporcionarse </w:t>
            </w:r>
            <w:r>
              <w:t xml:space="preserve">una estimación del tiempo que le llevaría </w:t>
            </w:r>
            <w:r w:rsidR="007607C5">
              <w:t>al ente</w:t>
            </w:r>
            <w:r>
              <w:t xml:space="preserve"> </w:t>
            </w:r>
            <w:r w:rsidR="003932F8">
              <w:t>declarante</w:t>
            </w:r>
            <w:r w:rsidR="00E07809">
              <w:t xml:space="preserve"> </w:t>
            </w:r>
            <w:r>
              <w:t>absorber en su propi</w:t>
            </w:r>
            <w:r w:rsidR="003932F8">
              <w:t>o</w:t>
            </w:r>
            <w:r>
              <w:t xml:space="preserve"> </w:t>
            </w:r>
            <w:r w:rsidR="003932F8">
              <w:t>negocio</w:t>
            </w:r>
            <w:r w:rsidR="00E07809">
              <w:t xml:space="preserve"> </w:t>
            </w:r>
            <w:r>
              <w:t>(parte de) el servicio prestado por otra entidad, a un coste razonable, en una situación de crisis. Indíquese el tiempo estimado para la sustitución en los segmentos facilitados en la plantilla</w:t>
            </w:r>
            <w:r w:rsidR="00822826">
              <w:t>.</w:t>
            </w:r>
          </w:p>
          <w:p w14:paraId="7FE1BB48" w14:textId="77777777" w:rsidR="00414040" w:rsidRDefault="00414040">
            <w:pPr>
              <w:pStyle w:val="TableParagraph"/>
              <w:spacing w:before="108"/>
              <w:rPr>
                <w:rFonts w:ascii="Times New Roman" w:hAnsi="Times New Roman" w:cs="Times New Roman"/>
                <w:color w:val="000000" w:themeColor="text1"/>
                <w:sz w:val="20"/>
                <w:szCs w:val="20"/>
              </w:rPr>
            </w:pPr>
          </w:p>
        </w:tc>
      </w:tr>
      <w:tr w:rsidR="00414040" w14:paraId="7FE1BB4C" w14:textId="77777777" w:rsidTr="0C3A85F4">
        <w:tc>
          <w:tcPr>
            <w:tcW w:w="1080" w:type="dxa"/>
            <w:tcBorders>
              <w:top w:val="single" w:sz="4" w:space="0" w:color="1A171C"/>
              <w:left w:val="nil"/>
              <w:bottom w:val="single" w:sz="4" w:space="0" w:color="1A171C"/>
              <w:right w:val="single" w:sz="4" w:space="0" w:color="1A171C"/>
            </w:tcBorders>
            <w:vAlign w:val="center"/>
          </w:tcPr>
          <w:p w14:paraId="7FE1BB4A" w14:textId="623B502D" w:rsidR="00414040" w:rsidRDefault="00904E1A">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414040" w:rsidRDefault="00904E1A">
            <w:pPr>
              <w:pStyle w:val="P68B1DB1-TableParagraph14"/>
              <w:spacing w:before="108"/>
              <w:jc w:val="both"/>
              <w:rPr>
                <w:bCs/>
              </w:rPr>
            </w:pPr>
            <w:r>
              <w:t>Capacidad de sustitución</w:t>
            </w:r>
          </w:p>
        </w:tc>
      </w:tr>
      <w:tr w:rsidR="00414040" w14:paraId="7FE1BB56" w14:textId="77777777" w:rsidTr="0C3A85F4">
        <w:tc>
          <w:tcPr>
            <w:tcW w:w="1080" w:type="dxa"/>
            <w:tcBorders>
              <w:top w:val="single" w:sz="4" w:space="0" w:color="1A171C"/>
              <w:left w:val="nil"/>
              <w:bottom w:val="single" w:sz="4" w:space="0" w:color="1A171C"/>
              <w:right w:val="single" w:sz="4" w:space="0" w:color="1A171C"/>
            </w:tcBorders>
            <w:vAlign w:val="center"/>
          </w:tcPr>
          <w:p w14:paraId="7FE1BB4D" w14:textId="187FC1D1" w:rsidR="00414040" w:rsidRDefault="00904E1A">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00CE87BC" w:rsidR="00414040" w:rsidRDefault="0080262E">
            <w:pPr>
              <w:pStyle w:val="P68B1DB1-TableParagraph14"/>
              <w:spacing w:before="108"/>
              <w:rPr>
                <w:bCs/>
              </w:rPr>
            </w:pPr>
            <w:r>
              <w:t>Barreras</w:t>
            </w:r>
            <w:r w:rsidR="00E07809">
              <w:t xml:space="preserve"> </w:t>
            </w:r>
            <w:r w:rsidR="00904E1A">
              <w:t>legales a la entrada o la expansión</w:t>
            </w:r>
          </w:p>
          <w:p w14:paraId="7FE1BB4F" w14:textId="77777777" w:rsidR="00414040" w:rsidRDefault="00414040">
            <w:pPr>
              <w:pStyle w:val="TableParagraph"/>
              <w:spacing w:before="108"/>
              <w:rPr>
                <w:rFonts w:ascii="Times New Roman" w:hAnsi="Times New Roman" w:cs="Times New Roman"/>
                <w:color w:val="000000" w:themeColor="text1"/>
                <w:sz w:val="20"/>
                <w:szCs w:val="20"/>
              </w:rPr>
            </w:pPr>
          </w:p>
          <w:p w14:paraId="7FE1BB50" w14:textId="398DF712" w:rsidR="00414040" w:rsidRDefault="0087142D">
            <w:pPr>
              <w:pStyle w:val="P68B1DB1-TableParagraph13"/>
              <w:spacing w:before="108"/>
            </w:pPr>
            <w:r>
              <w:t>Barreras legales</w:t>
            </w:r>
            <w:r w:rsidR="00904E1A">
              <w:t xml:space="preserve"> para que los competidores ofrezcan el servicio. Los requisitos legales para el ejercicio de la actividad de las entidades de crédito (por ejemplo, licencias bancarias o requisitos de capital) no deben considerarse </w:t>
            </w:r>
            <w:r>
              <w:t>barreras</w:t>
            </w:r>
            <w:r w:rsidR="00E07809">
              <w:t xml:space="preserve"> </w:t>
            </w:r>
            <w:r w:rsidR="00904E1A">
              <w:t xml:space="preserve">insuperables </w:t>
            </w:r>
            <w:r>
              <w:t>cuando existan</w:t>
            </w:r>
            <w:r w:rsidR="00E07809">
              <w:t xml:space="preserve"> </w:t>
            </w:r>
            <w:r w:rsidR="00904E1A">
              <w:t xml:space="preserve">proveedores alternativos. Este indicador debe </w:t>
            </w:r>
            <w:r w:rsidR="00651B94">
              <w:t>reportarse</w:t>
            </w:r>
            <w:r w:rsidR="00E07809">
              <w:t xml:space="preserve"> </w:t>
            </w:r>
            <w:r w:rsidR="00904E1A">
              <w:t xml:space="preserve">en segmentos, que son los mismos para cada subfunción: </w:t>
            </w:r>
          </w:p>
          <w:p w14:paraId="7FE1BB51" w14:textId="3F1CF6B0" w:rsidR="00414040" w:rsidRDefault="00904E1A">
            <w:pPr>
              <w:pStyle w:val="P68B1DB1-ListParagraph39"/>
              <w:numPr>
                <w:ilvl w:val="0"/>
                <w:numId w:val="275"/>
              </w:numPr>
              <w:jc w:val="both"/>
            </w:pPr>
            <w:r>
              <w:t xml:space="preserve">no hay barreras importantes, </w:t>
            </w:r>
          </w:p>
          <w:p w14:paraId="7FE1BB52" w14:textId="08BF95E1" w:rsidR="00414040" w:rsidRDefault="00904E1A">
            <w:pPr>
              <w:pStyle w:val="P68B1DB1-ListParagraph39"/>
              <w:numPr>
                <w:ilvl w:val="0"/>
                <w:numId w:val="275"/>
              </w:numPr>
              <w:jc w:val="both"/>
            </w:pPr>
            <w:r>
              <w:t>algun</w:t>
            </w:r>
            <w:r w:rsidR="00227309">
              <w:t>a</w:t>
            </w:r>
            <w:r>
              <w:t xml:space="preserve">s </w:t>
            </w:r>
            <w:r w:rsidR="00E614AC">
              <w:t>barreras</w:t>
            </w:r>
            <w:r>
              <w:t xml:space="preserve">, </w:t>
            </w:r>
          </w:p>
          <w:p w14:paraId="7FE1BB53" w14:textId="6018E8E9" w:rsidR="00414040" w:rsidRDefault="00904E1A">
            <w:pPr>
              <w:pStyle w:val="P68B1DB1-ListParagraph39"/>
              <w:numPr>
                <w:ilvl w:val="0"/>
                <w:numId w:val="275"/>
              </w:numPr>
              <w:jc w:val="both"/>
            </w:pPr>
            <w:r>
              <w:t xml:space="preserve">barreras importantes (pero superables), </w:t>
            </w:r>
          </w:p>
          <w:p w14:paraId="7FE1BB55" w14:textId="77491D36" w:rsidR="00414040" w:rsidRDefault="00904E1A">
            <w:pPr>
              <w:pStyle w:val="P68B1DB1-ListParagraph8"/>
              <w:numPr>
                <w:ilvl w:val="0"/>
                <w:numId w:val="275"/>
              </w:numPr>
              <w:jc w:val="both"/>
            </w:pPr>
            <w:r>
              <w:t>barreras críticas (difíciles de superar).</w:t>
            </w:r>
          </w:p>
        </w:tc>
      </w:tr>
      <w:tr w:rsidR="00414040" w14:paraId="7FE1BB65" w14:textId="77777777" w:rsidTr="0C3A85F4">
        <w:tc>
          <w:tcPr>
            <w:tcW w:w="1080" w:type="dxa"/>
            <w:tcBorders>
              <w:top w:val="single" w:sz="4" w:space="0" w:color="1A171C"/>
              <w:left w:val="nil"/>
              <w:bottom w:val="single" w:sz="4" w:space="0" w:color="1A171C"/>
              <w:right w:val="single" w:sz="4" w:space="0" w:color="1A171C"/>
            </w:tcBorders>
            <w:vAlign w:val="center"/>
          </w:tcPr>
          <w:p w14:paraId="7FE1BB57" w14:textId="761A85F3" w:rsidR="00414040" w:rsidRDefault="00904E1A">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414040" w:rsidRDefault="00904E1A">
            <w:pPr>
              <w:pStyle w:val="P68B1DB1-TableParagraph14"/>
              <w:spacing w:before="108"/>
              <w:rPr>
                <w:bCs/>
              </w:rPr>
            </w:pPr>
            <w:r>
              <w:t>Requisitos operativos para la entrada o la expansión</w:t>
            </w:r>
          </w:p>
          <w:p w14:paraId="7FE1BB59" w14:textId="77777777" w:rsidR="00414040" w:rsidRDefault="00414040">
            <w:pPr>
              <w:pStyle w:val="TableParagraph"/>
              <w:spacing w:before="108"/>
              <w:rPr>
                <w:rFonts w:ascii="Times New Roman" w:hAnsi="Times New Roman" w:cs="Times New Roman"/>
                <w:color w:val="000000" w:themeColor="text1"/>
                <w:sz w:val="20"/>
                <w:szCs w:val="20"/>
              </w:rPr>
            </w:pPr>
          </w:p>
          <w:p w14:paraId="7FE1BB5A" w14:textId="575841A3" w:rsidR="00414040" w:rsidRDefault="00904E1A">
            <w:pPr>
              <w:pStyle w:val="P68B1DB1-TableParagraph13"/>
              <w:spacing w:before="108"/>
            </w:pPr>
            <w:r>
              <w:t xml:space="preserve">Requisitos organizativos, técnicos y de infraestructura para que los competidores ofrezcan el servicio. Ofrecer los servicios relacionados con la (sub)función requiere que los proveedores inviertan en infraestructuras (nuevas o adicionales) o modifiquen sus </w:t>
            </w:r>
            <w:r w:rsidR="00852F1A">
              <w:t>estructuras org</w:t>
            </w:r>
            <w:r w:rsidR="00E07809">
              <w:t>a</w:t>
            </w:r>
            <w:r w:rsidR="00852F1A">
              <w:t>nizativas</w:t>
            </w:r>
            <w:r>
              <w:t xml:space="preserve">. Evaluar la capacidad del mercado para absorber el negocio en cuestión. </w:t>
            </w:r>
          </w:p>
          <w:p w14:paraId="7FE1BB5B" w14:textId="6FDAEDA4" w:rsidR="00414040" w:rsidRDefault="00904E1A">
            <w:pPr>
              <w:pStyle w:val="P68B1DB1-TableParagraph13"/>
              <w:spacing w:before="108"/>
            </w:pPr>
            <w:r>
              <w:t xml:space="preserve">Este indicador debe </w:t>
            </w:r>
            <w:r w:rsidR="00A13448">
              <w:t xml:space="preserve">reportarse </w:t>
            </w:r>
            <w:r>
              <w:t xml:space="preserve">en segmentos, que son los mismos para cada subfunción: </w:t>
            </w:r>
          </w:p>
          <w:p w14:paraId="7FE1BB5C" w14:textId="7C8E68F5" w:rsidR="00414040" w:rsidRDefault="00904E1A">
            <w:pPr>
              <w:pStyle w:val="P68B1DB1-ListParagraph39"/>
              <w:numPr>
                <w:ilvl w:val="0"/>
                <w:numId w:val="278"/>
              </w:numPr>
              <w:jc w:val="both"/>
            </w:pPr>
            <w:r>
              <w:t xml:space="preserve">no hay requisitos importantes, </w:t>
            </w:r>
          </w:p>
          <w:p w14:paraId="7FE1BB5D" w14:textId="227F4B1C" w:rsidR="00414040" w:rsidRDefault="00904E1A">
            <w:pPr>
              <w:pStyle w:val="P68B1DB1-ListParagraph39"/>
              <w:numPr>
                <w:ilvl w:val="0"/>
                <w:numId w:val="278"/>
              </w:numPr>
              <w:jc w:val="both"/>
            </w:pPr>
            <w:r>
              <w:t xml:space="preserve">algunos requisitos, </w:t>
            </w:r>
          </w:p>
          <w:p w14:paraId="7FE1BB5E" w14:textId="11C740DB" w:rsidR="00414040" w:rsidRDefault="00904E1A">
            <w:pPr>
              <w:pStyle w:val="P68B1DB1-ListParagraph39"/>
              <w:numPr>
                <w:ilvl w:val="0"/>
                <w:numId w:val="278"/>
              </w:numPr>
              <w:jc w:val="both"/>
            </w:pPr>
            <w:r>
              <w:t xml:space="preserve">requisitos sustanciales (pero superables), </w:t>
            </w:r>
          </w:p>
          <w:p w14:paraId="7FE1BB5F" w14:textId="701458A3" w:rsidR="00414040" w:rsidRDefault="00904E1A">
            <w:pPr>
              <w:pStyle w:val="P68B1DB1-ListParagraph39"/>
              <w:numPr>
                <w:ilvl w:val="0"/>
                <w:numId w:val="278"/>
              </w:numPr>
              <w:jc w:val="both"/>
            </w:pPr>
            <w:r>
              <w:t>requisitos críticos (difíciles de superar).</w:t>
            </w:r>
          </w:p>
          <w:p w14:paraId="7FE1BB64" w14:textId="7064EEB7" w:rsidR="00414040" w:rsidRDefault="00904E1A">
            <w:pPr>
              <w:pStyle w:val="P68B1DB1-TableParagraph40"/>
              <w:spacing w:before="108"/>
              <w:ind w:left="720"/>
              <w:jc w:val="both"/>
              <w:rPr>
                <w:color w:val="000000" w:themeColor="text1"/>
              </w:rPr>
            </w:pPr>
            <w:r>
              <w:t xml:space="preserve"> </w:t>
            </w:r>
          </w:p>
        </w:tc>
      </w:tr>
      <w:tr w:rsidR="00414040" w14:paraId="7FE1BB68" w14:textId="77777777" w:rsidTr="0C3A85F4">
        <w:tc>
          <w:tcPr>
            <w:tcW w:w="1080" w:type="dxa"/>
            <w:tcBorders>
              <w:top w:val="single" w:sz="4" w:space="0" w:color="1A171C"/>
              <w:left w:val="nil"/>
              <w:bottom w:val="single" w:sz="4" w:space="0" w:color="1A171C"/>
              <w:right w:val="single" w:sz="4" w:space="0" w:color="1A171C"/>
            </w:tcBorders>
            <w:vAlign w:val="center"/>
          </w:tcPr>
          <w:p w14:paraId="7FE1BB66" w14:textId="4C88941E" w:rsidR="00414040" w:rsidRDefault="00904E1A">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414040" w:rsidRDefault="00904E1A">
            <w:pPr>
              <w:pStyle w:val="P68B1DB1-TableParagraph14"/>
              <w:spacing w:before="108"/>
              <w:rPr>
                <w:bCs/>
              </w:rPr>
            </w:pPr>
            <w:r>
              <w:t>Evaluación del carácter esencial</w:t>
            </w:r>
          </w:p>
        </w:tc>
      </w:tr>
      <w:tr w:rsidR="00414040" w14:paraId="7FE1BB6E" w14:textId="77777777" w:rsidTr="0C3A85F4">
        <w:tc>
          <w:tcPr>
            <w:tcW w:w="1080" w:type="dxa"/>
            <w:tcBorders>
              <w:top w:val="single" w:sz="4" w:space="0" w:color="1A171C"/>
              <w:left w:val="nil"/>
              <w:bottom w:val="single" w:sz="4" w:space="0" w:color="1A171C"/>
              <w:right w:val="single" w:sz="4" w:space="0" w:color="1A171C"/>
            </w:tcBorders>
            <w:vAlign w:val="center"/>
          </w:tcPr>
          <w:p w14:paraId="7FE1BB69" w14:textId="2EA729ED" w:rsidR="00414040" w:rsidRDefault="00904E1A">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414040" w:rsidRDefault="00904E1A">
            <w:pPr>
              <w:pStyle w:val="P68B1DB1-TableParagraph14"/>
              <w:spacing w:before="108"/>
              <w:rPr>
                <w:bCs/>
              </w:rPr>
            </w:pPr>
            <w:r>
              <w:t xml:space="preserve">Impacto en el mercado </w:t>
            </w:r>
          </w:p>
          <w:p w14:paraId="7FE1BB6B" w14:textId="3CDBAE34" w:rsidR="00414040" w:rsidRDefault="00904E1A">
            <w:pPr>
              <w:pStyle w:val="P68B1DB1-TableParagraph13"/>
              <w:spacing w:before="108"/>
            </w:pPr>
            <w:r>
              <w:t>Impacto estimado de una interrupción repentina de la función sobre terceros, los mercados financieros y la economía real, teniendo en cuenta el tamaño, la cuota de mercado en el país, la</w:t>
            </w:r>
            <w:r w:rsidR="005160E6">
              <w:t>s</w:t>
            </w:r>
            <w:r>
              <w:t xml:space="preserve"> interconexi</w:t>
            </w:r>
            <w:r w:rsidR="005160E6">
              <w:t>ones</w:t>
            </w:r>
            <w:r>
              <w:t xml:space="preserve"> interna</w:t>
            </w:r>
            <w:r w:rsidR="005160E6">
              <w:t>s</w:t>
            </w:r>
            <w:r>
              <w:t xml:space="preserve"> y externa</w:t>
            </w:r>
            <w:r w:rsidR="005160E6">
              <w:t>s</w:t>
            </w:r>
            <w:r>
              <w:t>, la complejidad y las actividades transfronterizas de la entidad.</w:t>
            </w:r>
          </w:p>
          <w:p w14:paraId="7FE1BB6C" w14:textId="3006E0F1" w:rsidR="00414040" w:rsidRDefault="00904E1A">
            <w:pPr>
              <w:pStyle w:val="P68B1DB1-TableParagraph13"/>
              <w:spacing w:before="108"/>
            </w:pPr>
            <w:r>
              <w:t>Esta evaluación se expresará en términos cualitativos, como «alto», «medio-alto», «medio-bajo» o «bajo».</w:t>
            </w:r>
          </w:p>
          <w:p w14:paraId="7FE1BB6D" w14:textId="2C66701F" w:rsidR="00414040" w:rsidRDefault="00904E1A">
            <w:pPr>
              <w:pStyle w:val="P68B1DB1-TableParagraph13"/>
              <w:spacing w:before="108"/>
            </w:pPr>
            <w:r>
              <w:t xml:space="preserve">Se seleccionará </w:t>
            </w:r>
            <w:r w:rsidR="00F31619">
              <w:t>«alto»</w:t>
            </w:r>
            <w:r>
              <w:t xml:space="preserve"> si la interrupción tiene un gran impacto en el mercado nacional; «</w:t>
            </w:r>
            <w:r w:rsidR="00B238ED">
              <w:t>medio</w:t>
            </w:r>
            <w:r>
              <w:t>-</w:t>
            </w:r>
            <w:r w:rsidR="00B238ED">
              <w:t>alto</w:t>
            </w:r>
            <w:r>
              <w:t xml:space="preserve">» si el impacto es significativo; </w:t>
            </w:r>
            <w:r w:rsidR="007F3103">
              <w:t>«medio-bajo»</w:t>
            </w:r>
            <w:r>
              <w:t xml:space="preserve"> si el impacto es importante, pero limitado; y «</w:t>
            </w:r>
            <w:r w:rsidR="00B238ED">
              <w:t>bajo</w:t>
            </w:r>
            <w:r>
              <w:t>» si el impacto es bajo.</w:t>
            </w:r>
          </w:p>
        </w:tc>
      </w:tr>
      <w:tr w:rsidR="00414040" w14:paraId="7FE1BB7B" w14:textId="77777777" w:rsidTr="0C3A85F4">
        <w:tc>
          <w:tcPr>
            <w:tcW w:w="1080" w:type="dxa"/>
            <w:tcBorders>
              <w:top w:val="single" w:sz="4" w:space="0" w:color="1A171C"/>
              <w:left w:val="nil"/>
              <w:bottom w:val="single" w:sz="4" w:space="0" w:color="1A171C"/>
              <w:right w:val="single" w:sz="4" w:space="0" w:color="1A171C"/>
            </w:tcBorders>
            <w:vAlign w:val="center"/>
          </w:tcPr>
          <w:p w14:paraId="7FE1BB6F" w14:textId="12F05B84" w:rsidR="00414040" w:rsidRDefault="00904E1A">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414040" w:rsidRDefault="00904E1A">
            <w:pPr>
              <w:pStyle w:val="P68B1DB1-TableParagraph14"/>
              <w:spacing w:before="108"/>
              <w:rPr>
                <w:bCs/>
              </w:rPr>
            </w:pPr>
            <w:r>
              <w:t>Sustituibilidad</w:t>
            </w:r>
          </w:p>
          <w:p w14:paraId="7FE1BB71" w14:textId="77777777" w:rsidR="00414040" w:rsidRDefault="00904E1A">
            <w:pPr>
              <w:pStyle w:val="P68B1DB1-TableParagraph13"/>
              <w:spacing w:before="108"/>
            </w:pPr>
            <w:r w:rsidRPr="2133F407">
              <w:rPr>
                <w:lang w:val="es-ES"/>
              </w:rPr>
              <w:t xml:space="preserve">Artículo 6, apartado 3, del Reglamento </w:t>
            </w:r>
            <w:proofErr w:type="gramStart"/>
            <w:r w:rsidRPr="2133F407">
              <w:rPr>
                <w:lang w:val="es-ES"/>
              </w:rPr>
              <w:t>Delegado</w:t>
            </w:r>
            <w:proofErr w:type="gramEnd"/>
            <w:r w:rsidRPr="2133F407">
              <w:rPr>
                <w:lang w:val="es-ES"/>
              </w:rPr>
              <w:t xml:space="preserve"> (UE) 2016/778.</w:t>
            </w:r>
          </w:p>
          <w:p w14:paraId="7FE1BB72" w14:textId="77777777" w:rsidR="00414040" w:rsidRDefault="00904E1A">
            <w:pPr>
              <w:pStyle w:val="P68B1DB1-TableParagraph13"/>
              <w:spacing w:before="108"/>
            </w:pPr>
            <w:r>
              <w:t>Una función se considera sustituible cuando puede reemplazarse de manera aceptable y en un plazo razonable, evitando así los problemas sistémicos para la economía real y los mercados financieros. Se tendrán en cuenta los siguientes aspectos:</w:t>
            </w:r>
          </w:p>
          <w:p w14:paraId="7FE1BB73" w14:textId="70E83099" w:rsidR="00414040" w:rsidRDefault="00904E1A">
            <w:pPr>
              <w:pStyle w:val="P68B1DB1-TableParagraph13"/>
              <w:spacing w:before="108"/>
            </w:pPr>
            <w:r>
              <w:t xml:space="preserve">(a) la estructura del mercado para esa función y la disponibilidad de </w:t>
            </w:r>
            <w:r w:rsidR="008828B9">
              <w:t xml:space="preserve">proveedores </w:t>
            </w:r>
            <w:r>
              <w:t xml:space="preserve">alternativos; </w:t>
            </w:r>
          </w:p>
          <w:p w14:paraId="7FE1BB74" w14:textId="3BEC7AE8" w:rsidR="00414040" w:rsidRDefault="00904E1A">
            <w:pPr>
              <w:pStyle w:val="P68B1DB1-TableParagraph13"/>
              <w:spacing w:before="108"/>
            </w:pPr>
            <w:r>
              <w:t xml:space="preserve">(b) la aptitud de otros </w:t>
            </w:r>
            <w:r w:rsidR="008828B9">
              <w:t xml:space="preserve">proveedores </w:t>
            </w:r>
            <w:r>
              <w:t xml:space="preserve">en términos de capacidad, los requisitos para la ejecución de la función y </w:t>
            </w:r>
            <w:r w:rsidR="00B238ED">
              <w:t xml:space="preserve">las </w:t>
            </w:r>
            <w:r>
              <w:t xml:space="preserve">posibles </w:t>
            </w:r>
            <w:r w:rsidR="00B238ED">
              <w:t xml:space="preserve">barreras </w:t>
            </w:r>
            <w:r>
              <w:t xml:space="preserve">a la entrada o la expansión; </w:t>
            </w:r>
          </w:p>
          <w:p w14:paraId="7FE1BB75" w14:textId="7A33E015" w:rsidR="00414040" w:rsidRDefault="00904E1A">
            <w:pPr>
              <w:pStyle w:val="P68B1DB1-TableParagraph13"/>
              <w:spacing w:before="108"/>
            </w:pPr>
            <w:r>
              <w:t xml:space="preserve">(c) el incentivo de otros </w:t>
            </w:r>
            <w:r w:rsidR="008828B9">
              <w:t xml:space="preserve">proveedores </w:t>
            </w:r>
            <w:r>
              <w:t xml:space="preserve">para asumir estas actividades; </w:t>
            </w:r>
          </w:p>
          <w:p w14:paraId="7FE1BB76" w14:textId="3328829C" w:rsidR="00414040" w:rsidRDefault="00904E1A">
            <w:pPr>
              <w:pStyle w:val="P68B1DB1-TableParagraph13"/>
              <w:spacing w:before="108"/>
            </w:pPr>
            <w:r>
              <w:t xml:space="preserve">(d) el tiempo que necesitan los usuarios del servicio para recibirlo del nuevo </w:t>
            </w:r>
            <w:r w:rsidR="0088326C">
              <w:t>proveedor</w:t>
            </w:r>
            <w:r>
              <w:t>, y los costes de tal cambio, el tiempo que necesitan otros competidores para asumir las funciones y si ese lapso es suficiente para impedir perturbaciones significativas en función del tipo de servicio.</w:t>
            </w:r>
          </w:p>
          <w:p w14:paraId="7FE1BB77" w14:textId="2EB1E368" w:rsidR="00414040" w:rsidRDefault="00904E1A">
            <w:pPr>
              <w:pStyle w:val="P68B1DB1-TableParagraph13"/>
              <w:spacing w:before="108"/>
            </w:pPr>
            <w:r w:rsidRPr="2133F407">
              <w:rPr>
                <w:lang w:val="es-ES"/>
              </w:rPr>
              <w:t xml:space="preserve">Proporcionar una evaluación global del grado de sustituibilidad previsto para cada función, teniendo en cuenta </w:t>
            </w:r>
            <w:r w:rsidR="00746937" w:rsidRPr="2133F407">
              <w:rPr>
                <w:lang w:val="es-ES"/>
              </w:rPr>
              <w:t>l</w:t>
            </w:r>
            <w:r w:rsidR="00746937">
              <w:rPr>
                <w:lang w:val="es-ES"/>
              </w:rPr>
              <w:t>o</w:t>
            </w:r>
            <w:r w:rsidR="00746937" w:rsidRPr="2133F407">
              <w:rPr>
                <w:lang w:val="es-ES"/>
              </w:rPr>
              <w:t xml:space="preserve">s </w:t>
            </w:r>
            <w:r w:rsidRPr="2133F407">
              <w:rPr>
                <w:lang w:val="es-ES"/>
              </w:rPr>
              <w:t xml:space="preserve">diferentes </w:t>
            </w:r>
            <w:r w:rsidR="003425EF">
              <w:rPr>
                <w:lang w:val="es-ES"/>
              </w:rPr>
              <w:t>aspectos</w:t>
            </w:r>
            <w:r w:rsidR="003425EF" w:rsidRPr="2133F407">
              <w:rPr>
                <w:lang w:val="es-ES"/>
              </w:rPr>
              <w:t xml:space="preserve"> </w:t>
            </w:r>
            <w:r w:rsidRPr="2133F407">
              <w:rPr>
                <w:lang w:val="es-ES"/>
              </w:rPr>
              <w:t xml:space="preserve">previamente </w:t>
            </w:r>
            <w:r w:rsidR="00746937" w:rsidRPr="2133F407">
              <w:rPr>
                <w:lang w:val="es-ES"/>
              </w:rPr>
              <w:t>evaluad</w:t>
            </w:r>
            <w:r w:rsidR="00746937">
              <w:rPr>
                <w:lang w:val="es-ES"/>
              </w:rPr>
              <w:t>o</w:t>
            </w:r>
            <w:r w:rsidR="00746937" w:rsidRPr="2133F407">
              <w:rPr>
                <w:lang w:val="es-ES"/>
              </w:rPr>
              <w:t xml:space="preserve">s </w:t>
            </w:r>
            <w:r w:rsidRPr="2133F407">
              <w:rPr>
                <w:lang w:val="es-ES"/>
              </w:rPr>
              <w:t xml:space="preserve">(cuota de mercado, concentración del mercado, tiempo hasta la sustitución, </w:t>
            </w:r>
            <w:r w:rsidR="005D166A">
              <w:rPr>
                <w:lang w:val="es-ES"/>
              </w:rPr>
              <w:t>barreras</w:t>
            </w:r>
            <w:r w:rsidR="005D166A" w:rsidRPr="2133F407">
              <w:rPr>
                <w:lang w:val="es-ES"/>
              </w:rPr>
              <w:t xml:space="preserve"> </w:t>
            </w:r>
            <w:r w:rsidR="005D166A">
              <w:rPr>
                <w:lang w:val="es-ES"/>
              </w:rPr>
              <w:t>legales</w:t>
            </w:r>
            <w:r w:rsidR="005D166A" w:rsidRPr="2133F407">
              <w:rPr>
                <w:lang w:val="es-ES"/>
              </w:rPr>
              <w:t xml:space="preserve"> </w:t>
            </w:r>
            <w:r w:rsidRPr="2133F407">
              <w:rPr>
                <w:lang w:val="es-ES"/>
              </w:rPr>
              <w:t xml:space="preserve">y requisitos operativos para la entrada o la expansión). Esta evaluación se expresará en términos cualitativos, como «alto», «medio-alto», «medio-bajo» o «bajo». </w:t>
            </w:r>
          </w:p>
          <w:p w14:paraId="7FE1BB78" w14:textId="796DD72F" w:rsidR="00414040" w:rsidRDefault="00904E1A">
            <w:pPr>
              <w:pStyle w:val="P68B1DB1-TableParagraph13"/>
              <w:spacing w:before="108"/>
            </w:pPr>
            <w:r>
              <w:t xml:space="preserve">Se seleccionará </w:t>
            </w:r>
            <w:r w:rsidR="00A273D7">
              <w:t>«alto»</w:t>
            </w:r>
            <w:r>
              <w:t xml:space="preserve"> si la función puede ser proporcionada por otro banco fácilmente, en condiciones comparables y en un plazo razonable;</w:t>
            </w:r>
          </w:p>
          <w:p w14:paraId="7FE1BB79" w14:textId="3DFD8C4F" w:rsidR="00414040" w:rsidRDefault="00904E1A">
            <w:pPr>
              <w:pStyle w:val="P68B1DB1-TableParagraph13"/>
              <w:spacing w:before="108"/>
            </w:pPr>
            <w:r>
              <w:t xml:space="preserve">«Bajo» si la función no puede ser sustituida ni fácil ni rápidamente; </w:t>
            </w:r>
          </w:p>
          <w:p w14:paraId="7FE1BB7A" w14:textId="30CA417F" w:rsidR="00414040" w:rsidRDefault="00904E1A">
            <w:pPr>
              <w:pStyle w:val="P68B1DB1-TableParagraph13"/>
              <w:spacing w:before="108"/>
              <w:rPr>
                <w:lang w:val="es-ES"/>
              </w:rPr>
            </w:pPr>
            <w:r w:rsidRPr="2133F407">
              <w:rPr>
                <w:lang w:val="es-ES"/>
              </w:rPr>
              <w:t>«Medio</w:t>
            </w:r>
            <w:r w:rsidR="005D166A">
              <w:rPr>
                <w:lang w:val="es-ES"/>
              </w:rPr>
              <w:t>-a</w:t>
            </w:r>
            <w:r w:rsidRPr="2133F407">
              <w:rPr>
                <w:lang w:val="es-ES"/>
              </w:rPr>
              <w:t>lto» y «</w:t>
            </w:r>
            <w:r w:rsidR="005D166A">
              <w:rPr>
                <w:lang w:val="es-ES"/>
              </w:rPr>
              <w:t>m</w:t>
            </w:r>
            <w:r w:rsidR="005D166A" w:rsidRPr="2133F407">
              <w:rPr>
                <w:lang w:val="es-ES"/>
              </w:rPr>
              <w:t>edio</w:t>
            </w:r>
            <w:r w:rsidR="005D166A">
              <w:rPr>
                <w:lang w:val="es-ES"/>
              </w:rPr>
              <w:t>-b</w:t>
            </w:r>
            <w:r w:rsidRPr="2133F407">
              <w:rPr>
                <w:lang w:val="es-ES"/>
              </w:rPr>
              <w:t xml:space="preserve">ajo» en los casos intermedios, teniendo en cuenta distintos </w:t>
            </w:r>
            <w:r w:rsidRPr="000A2005">
              <w:rPr>
                <w:lang w:val="es-ES"/>
              </w:rPr>
              <w:t>aspectos</w:t>
            </w:r>
            <w:r w:rsidRPr="2133F407">
              <w:rPr>
                <w:lang w:val="es-ES"/>
              </w:rPr>
              <w:t xml:space="preserve"> (por ejemplo, cuota de mercado, concentración del mercado, tiempo necesario para la sustitución, así como </w:t>
            </w:r>
            <w:r w:rsidR="005D166A">
              <w:rPr>
                <w:lang w:val="es-ES"/>
              </w:rPr>
              <w:t>las barreras legales</w:t>
            </w:r>
            <w:r w:rsidRPr="2133F407">
              <w:rPr>
                <w:lang w:val="es-ES"/>
              </w:rPr>
              <w:t xml:space="preserve"> a la entrada o la expansión, y los requisitos operativos de esta</w:t>
            </w:r>
            <w:r w:rsidR="00B737FD">
              <w:rPr>
                <w:lang w:val="es-ES"/>
              </w:rPr>
              <w:t>s</w:t>
            </w:r>
            <w:r w:rsidRPr="2133F407">
              <w:rPr>
                <w:lang w:val="es-ES"/>
              </w:rPr>
              <w:t>).</w:t>
            </w:r>
          </w:p>
        </w:tc>
      </w:tr>
      <w:tr w:rsidR="00414040" w14:paraId="7FE1BB80" w14:textId="77777777" w:rsidTr="0C3A85F4">
        <w:tc>
          <w:tcPr>
            <w:tcW w:w="1080" w:type="dxa"/>
            <w:tcBorders>
              <w:top w:val="single" w:sz="4" w:space="0" w:color="1A171C"/>
              <w:left w:val="nil"/>
              <w:bottom w:val="single" w:sz="4" w:space="0" w:color="1A171C"/>
              <w:right w:val="single" w:sz="4" w:space="0" w:color="1A171C"/>
            </w:tcBorders>
            <w:vAlign w:val="center"/>
          </w:tcPr>
          <w:p w14:paraId="7FE1BB7C" w14:textId="42FC8366" w:rsidR="00414040" w:rsidRDefault="00904E1A">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414040" w:rsidRDefault="00904E1A">
            <w:pPr>
              <w:pStyle w:val="P68B1DB1-TableParagraph14"/>
              <w:spacing w:before="108"/>
              <w:rPr>
                <w:bCs/>
              </w:rPr>
            </w:pPr>
            <w:r>
              <w:t>Función esencial</w:t>
            </w:r>
          </w:p>
          <w:p w14:paraId="7FE1BB7E" w14:textId="4CDAFDD3" w:rsidR="00414040" w:rsidRDefault="00904E1A">
            <w:pPr>
              <w:pStyle w:val="P68B1DB1-TableParagraph13"/>
              <w:spacing w:before="108"/>
            </w:pPr>
            <w:r w:rsidRPr="0C3A85F4">
              <w:rPr>
                <w:lang w:val="es-ES"/>
              </w:rPr>
              <w:t xml:space="preserve">En esta columna se indicará si, teniendo en cuenta el análisis de impacto y </w:t>
            </w:r>
            <w:proofErr w:type="gramStart"/>
            <w:r w:rsidR="008730C3" w:rsidRPr="0C3A85F4">
              <w:rPr>
                <w:lang w:val="es-ES"/>
              </w:rPr>
              <w:t xml:space="preserve">sustituibilidad  </w:t>
            </w:r>
            <w:r w:rsidRPr="0C3A85F4">
              <w:rPr>
                <w:lang w:val="es-ES"/>
              </w:rPr>
              <w:t>realizado</w:t>
            </w:r>
            <w:proofErr w:type="gramEnd"/>
            <w:r w:rsidRPr="0C3A85F4">
              <w:rPr>
                <w:lang w:val="es-ES"/>
              </w:rPr>
              <w:t xml:space="preserve"> por la </w:t>
            </w:r>
            <w:r w:rsidR="001376F0" w:rsidRPr="0C3A85F4">
              <w:rPr>
                <w:lang w:val="es-ES"/>
              </w:rPr>
              <w:t>entidad</w:t>
            </w:r>
            <w:r w:rsidRPr="0C3A85F4">
              <w:rPr>
                <w:lang w:val="es-ES"/>
              </w:rPr>
              <w:t>, la función económica se considera esencial en el mercado del país de que se trate.</w:t>
            </w:r>
          </w:p>
          <w:p w14:paraId="7FE1BB7F" w14:textId="77777777" w:rsidR="00414040" w:rsidRDefault="00904E1A">
            <w:pPr>
              <w:pStyle w:val="P68B1DB1-TableParagraph13"/>
              <w:spacing w:before="108"/>
            </w:pPr>
            <w:r>
              <w:t>Indíquese «Sí» o «No».</w:t>
            </w:r>
          </w:p>
        </w:tc>
      </w:tr>
      <w:tr w:rsidR="00414040" w14:paraId="7FE1BB84" w14:textId="77777777" w:rsidTr="0C3A85F4">
        <w:tc>
          <w:tcPr>
            <w:tcW w:w="1080" w:type="dxa"/>
            <w:tcBorders>
              <w:top w:val="single" w:sz="4" w:space="0" w:color="1A171C"/>
              <w:left w:val="nil"/>
              <w:bottom w:val="single" w:sz="4" w:space="0" w:color="1A171C"/>
              <w:right w:val="single" w:sz="4" w:space="0" w:color="1A171C"/>
            </w:tcBorders>
            <w:vAlign w:val="center"/>
          </w:tcPr>
          <w:p w14:paraId="7FE1BB81" w14:textId="6C49AB94" w:rsidR="00414040" w:rsidRDefault="00904E1A">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414040" w:rsidRDefault="00904E1A">
            <w:pPr>
              <w:pStyle w:val="P68B1DB1-TableParagraph14"/>
              <w:spacing w:before="108"/>
              <w:rPr>
                <w:bCs/>
              </w:rPr>
            </w:pPr>
            <w:r>
              <w:t>Observaciones del Grupo</w:t>
            </w:r>
          </w:p>
          <w:p w14:paraId="7FE1BB83" w14:textId="5D915C45" w:rsidR="00414040" w:rsidRDefault="00904E1A">
            <w:pPr>
              <w:pStyle w:val="P68B1DB1-TableParagraph13"/>
              <w:spacing w:before="108"/>
            </w:pPr>
            <w:r>
              <w:t xml:space="preserve">Este campo permite </w:t>
            </w:r>
            <w:r w:rsidR="007607C5">
              <w:t>al ente</w:t>
            </w:r>
            <w:r>
              <w:t xml:space="preserve"> </w:t>
            </w:r>
            <w:r w:rsidR="00F97D86">
              <w:t>declarante</w:t>
            </w:r>
            <w:r w:rsidR="005309A9">
              <w:t xml:space="preserve"> </w:t>
            </w:r>
            <w:r>
              <w:t>explicar cualquier hipótesis utilizada al evaluar el carácter esencial de la función o funciones comunicadas.</w:t>
            </w:r>
          </w:p>
        </w:tc>
      </w:tr>
    </w:tbl>
    <w:p w14:paraId="7FE1BB85" w14:textId="77777777" w:rsidR="00414040" w:rsidRDefault="00414040">
      <w:pPr>
        <w:rPr>
          <w:rFonts w:ascii="Times New Roman" w:hAnsi="Times New Roman" w:cs="Times New Roman"/>
          <w:color w:val="000000" w:themeColor="text1"/>
          <w:sz w:val="20"/>
          <w:szCs w:val="20"/>
        </w:rPr>
      </w:pPr>
    </w:p>
    <w:p w14:paraId="7FE1BB86" w14:textId="2C8DA5C0" w:rsidR="00414040" w:rsidRDefault="00904E1A">
      <w:pPr>
        <w:pStyle w:val="P68B1DB1-Instructionsberschrift25"/>
        <w:numPr>
          <w:ilvl w:val="1"/>
          <w:numId w:val="49"/>
        </w:numPr>
        <w:ind w:left="357" w:hanging="357"/>
      </w:pPr>
      <w:bookmarkStart w:id="117" w:name="_Toc211525926"/>
      <w:r>
        <w:lastRenderedPageBreak/>
        <w:t xml:space="preserve">Z 07.01.3 FUNC 1 </w:t>
      </w:r>
      <w:r w:rsidR="00605615">
        <w:t>PAY</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14040" w14:paraId="7FE1BB91" w14:textId="77777777" w:rsidTr="00210421">
        <w:trPr>
          <w:trHeight w:val="300"/>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414040" w:rsidRDefault="00904E1A">
            <w:pPr>
              <w:pStyle w:val="P68B1DB1-TableParagraph17"/>
              <w:spacing w:before="108"/>
              <w:ind w:left="85"/>
              <w:jc w:val="both"/>
            </w:pPr>
            <w:r>
              <w:t>Columnas</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414040" w:rsidRDefault="00904E1A">
            <w:pPr>
              <w:pStyle w:val="P68B1DB1-TableParagraph17"/>
              <w:spacing w:before="108"/>
              <w:ind w:left="85" w:right="1"/>
              <w:jc w:val="both"/>
            </w:pPr>
            <w:r>
              <w:t>Instrucciones</w:t>
            </w:r>
          </w:p>
        </w:tc>
      </w:tr>
      <w:tr w:rsidR="00414040" w14:paraId="7FE1BB95"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92" w14:textId="77777777" w:rsidR="00414040" w:rsidRDefault="00904E1A">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414040" w:rsidRDefault="00904E1A">
            <w:pPr>
              <w:pStyle w:val="P68B1DB1-TableParagraph14"/>
              <w:spacing w:before="108"/>
              <w:ind w:left="85"/>
              <w:jc w:val="both"/>
              <w:rPr>
                <w:bCs/>
              </w:rPr>
            </w:pPr>
            <w:r>
              <w:t>Descripción de la función económica</w:t>
            </w:r>
          </w:p>
          <w:p w14:paraId="7FE1BB94" w14:textId="56901CA7" w:rsidR="00414040" w:rsidRDefault="00904E1A">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Cuando la función económica sea del tipo «Otros» (</w:t>
            </w:r>
            <w:r>
              <w:t>Z 07.01.3 FUNC 1 PAY r0220 a r0240)</w:t>
            </w:r>
            <w:r>
              <w:rPr>
                <w:rFonts w:ascii="Times New Roman" w:eastAsia="Cambria" w:hAnsi="Times New Roman" w:cs="Times New Roman"/>
                <w:color w:val="000000" w:themeColor="text1"/>
                <w:sz w:val="20"/>
                <w:szCs w:val="20"/>
              </w:rPr>
              <w:t xml:space="preserve">, se facilitará una descripción de dicha función. </w:t>
            </w:r>
          </w:p>
        </w:tc>
      </w:tr>
      <w:tr w:rsidR="00414040" w14:paraId="7FE1BB99"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96" w14:textId="77777777" w:rsidR="00414040" w:rsidRDefault="00904E1A">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414040" w:rsidRDefault="00904E1A">
            <w:pPr>
              <w:pStyle w:val="P68B1DB1-TableParagraph14"/>
              <w:spacing w:before="108"/>
              <w:ind w:left="85"/>
              <w:jc w:val="both"/>
              <w:rPr>
                <w:bCs/>
              </w:rPr>
            </w:pPr>
            <w:r>
              <w:t xml:space="preserve">Cuota de mercado </w:t>
            </w:r>
          </w:p>
          <w:p w14:paraId="7FE1BB98" w14:textId="4AA5BA0E" w:rsidR="00414040" w:rsidRDefault="00904E1A">
            <w:pPr>
              <w:pStyle w:val="P68B1DB1-TableParagraph17"/>
              <w:spacing w:before="108"/>
              <w:ind w:left="85"/>
            </w:pPr>
            <w:r w:rsidRPr="7A1B0B7D">
              <w:rPr>
                <w:lang w:val="es-ES"/>
              </w:rPr>
              <w:t>Estimación de la cuota de mercado de la entidad o el grupo en relación con la función económica en el país o área geográfica correspondiente. Un porcentaje del mercado total en términos de importe monetario. Est</w:t>
            </w:r>
            <w:r w:rsidR="00DD0B80" w:rsidRPr="7A1B0B7D">
              <w:rPr>
                <w:lang w:val="es-ES"/>
              </w:rPr>
              <w:t>e importe</w:t>
            </w:r>
            <w:r w:rsidRPr="7A1B0B7D">
              <w:rPr>
                <w:lang w:val="es-ES"/>
              </w:rPr>
              <w:t xml:space="preserve"> corresponde al valor de las operaciones para los servicios de pago a IFM y </w:t>
            </w:r>
            <w:r w:rsidR="00A60022" w:rsidRPr="00210421">
              <w:rPr>
                <w:lang w:val="es-ES"/>
              </w:rPr>
              <w:t>«no IFM»</w:t>
            </w:r>
            <w:r w:rsidRPr="7A1B0B7D">
              <w:rPr>
                <w:lang w:val="es-ES"/>
              </w:rPr>
              <w:t xml:space="preserve">, al valor de las posiciones abiertas para los servicios de compensación de ECC y al valor de los activos </w:t>
            </w:r>
            <w:r w:rsidR="00F30FE4" w:rsidRPr="7A1B0B7D">
              <w:rPr>
                <w:lang w:val="es-ES"/>
              </w:rPr>
              <w:t xml:space="preserve">en </w:t>
            </w:r>
            <w:r w:rsidRPr="7A1B0B7D">
              <w:rPr>
                <w:lang w:val="es-ES"/>
              </w:rPr>
              <w:t>custodia para los servicios de custodia.</w:t>
            </w:r>
          </w:p>
        </w:tc>
      </w:tr>
      <w:tr w:rsidR="00414040" w14:paraId="7FE1BBA5" w14:textId="77777777" w:rsidTr="00037925">
        <w:trPr>
          <w:trHeight w:val="300"/>
        </w:trPr>
        <w:tc>
          <w:tcPr>
            <w:tcW w:w="1080" w:type="dxa"/>
            <w:tcBorders>
              <w:top w:val="single" w:sz="4" w:space="0" w:color="1A171C"/>
              <w:left w:val="nil"/>
              <w:bottom w:val="single" w:sz="4" w:space="0" w:color="1A171C"/>
              <w:right w:val="single" w:sz="4" w:space="0" w:color="1A171C"/>
            </w:tcBorders>
            <w:vAlign w:val="center"/>
          </w:tcPr>
          <w:p w14:paraId="7FE1BB9A" w14:textId="77777777" w:rsidR="00414040" w:rsidRDefault="00904E1A">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5F1333ED" w:rsidR="00414040" w:rsidRDefault="00904E1A">
            <w:pPr>
              <w:pStyle w:val="P68B1DB1-TableParagraph14"/>
              <w:spacing w:before="108"/>
              <w:rPr>
                <w:bCs/>
              </w:rPr>
            </w:pPr>
            <w:r>
              <w:t>Valor de las operaciones</w:t>
            </w:r>
          </w:p>
          <w:p w14:paraId="7FE1BB9C" w14:textId="64ECBEE7" w:rsidR="00414040" w:rsidRDefault="00904E1A">
            <w:pPr>
              <w:pStyle w:val="P68B1DB1-TableParagraph17"/>
              <w:spacing w:before="108"/>
            </w:pPr>
            <w:r>
              <w:t xml:space="preserve">Como norma general, se </w:t>
            </w:r>
            <w:r w:rsidR="00542A0C">
              <w:t>inform</w:t>
            </w:r>
            <w:r w:rsidR="00E31874">
              <w:t xml:space="preserve">ará </w:t>
            </w:r>
            <w:r>
              <w:t xml:space="preserve">la media de las operaciones diarias durante el año. Si no está disponible, podrá </w:t>
            </w:r>
            <w:r w:rsidR="0080115C">
              <w:t xml:space="preserve">informarse </w:t>
            </w:r>
            <w:r>
              <w:t>una media referida a un período más breve (de unos pocos meses, por ejemplo).</w:t>
            </w:r>
          </w:p>
          <w:p w14:paraId="7FE1BB9D" w14:textId="54C54D43" w:rsidR="00414040" w:rsidRDefault="00904E1A">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Servicios de pago (</w:t>
            </w:r>
            <w:r w:rsidR="006D7561">
              <w:rPr>
                <w:rFonts w:ascii="Times New Roman" w:eastAsia="Cambria" w:hAnsi="Times New Roman" w:cs="Times New Roman"/>
                <w:color w:val="000000" w:themeColor="text1"/>
                <w:sz w:val="20"/>
                <w:szCs w:val="20"/>
              </w:rPr>
              <w:t>i</w:t>
            </w:r>
            <w:r w:rsidR="000A5E22" w:rsidRPr="000A5E22">
              <w:rPr>
                <w:rFonts w:ascii="Times New Roman" w:eastAsia="Cambria" w:hAnsi="Times New Roman" w:cs="Times New Roman"/>
                <w:color w:val="000000" w:themeColor="text1"/>
                <w:sz w:val="20"/>
                <w:szCs w:val="20"/>
              </w:rPr>
              <w:t xml:space="preserve">dentificador </w:t>
            </w:r>
            <w:r>
              <w:rPr>
                <w:rFonts w:ascii="Times New Roman" w:eastAsia="Cambria" w:hAnsi="Times New Roman" w:cs="Times New Roman"/>
                <w:color w:val="000000" w:themeColor="text1"/>
                <w:sz w:val="20"/>
                <w:szCs w:val="20"/>
              </w:rPr>
              <w:t>de función 3.1 y 3.2): Valor de las operaciones enviadas.</w:t>
            </w:r>
            <w:r>
              <w:t xml:space="preserve"> </w:t>
            </w:r>
            <w:r>
              <w:rPr>
                <w:rFonts w:ascii="Times New Roman" w:eastAsia="Cambria" w:hAnsi="Times New Roman" w:cs="Times New Roman"/>
                <w:color w:val="000000" w:themeColor="text1"/>
                <w:sz w:val="20"/>
                <w:szCs w:val="20"/>
              </w:rPr>
              <w:t>Referencias: Artículo 4, apartado 5, de la Directiva 2015/2366</w:t>
            </w:r>
            <w:r w:rsidR="00450611">
              <w:rPr>
                <w:rFonts w:ascii="Times New Roman" w:eastAsia="Cambria" w:hAnsi="Times New Roman" w:cs="Times New Roman"/>
                <w:color w:val="000000" w:themeColor="text1"/>
                <w:sz w:val="20"/>
                <w:szCs w:val="20"/>
              </w:rPr>
              <w:t>/UE</w:t>
            </w:r>
            <w:r>
              <w:rPr>
                <w:rFonts w:ascii="Times New Roman" w:eastAsia="Cambria" w:hAnsi="Times New Roman" w:cs="Times New Roman"/>
                <w:color w:val="000000" w:themeColor="text1"/>
                <w:sz w:val="20"/>
                <w:szCs w:val="20"/>
              </w:rPr>
              <w:t xml:space="preserve"> sobre servicios de pago en el mercado interior; Reglamento (UE) 2020/2011 del Banco Central Europeo por el que se modifica el Reglamento (UE) n.º 1409/2013 sobre estadísticas de pagos (ECB/2020/59)</w:t>
            </w:r>
            <w:r w:rsidR="00073B64">
              <w:rPr>
                <w:rFonts w:ascii="Times New Roman" w:eastAsia="Cambria" w:hAnsi="Times New Roman" w:cs="Times New Roman"/>
                <w:color w:val="000000" w:themeColor="text1"/>
                <w:sz w:val="20"/>
                <w:szCs w:val="20"/>
              </w:rPr>
              <w:t>.</w:t>
            </w:r>
          </w:p>
          <w:p w14:paraId="7FE1BBA0" w14:textId="3137BB00" w:rsidR="00414040" w:rsidRDefault="00904E1A" w:rsidP="00037925">
            <w:pPr>
              <w:pStyle w:val="P68B1DB1-TableParagraph17"/>
              <w:spacing w:before="108"/>
            </w:pPr>
            <w:r>
              <w:t xml:space="preserve">Servicios de </w:t>
            </w:r>
            <w:r w:rsidR="00FB06BB">
              <w:t>caja</w:t>
            </w:r>
            <w:r w:rsidR="00073B64">
              <w:t xml:space="preserve"> </w:t>
            </w:r>
            <w:r>
              <w:t>(</w:t>
            </w:r>
            <w:r w:rsidR="006D7561">
              <w:t>i</w:t>
            </w:r>
            <w:r w:rsidR="000A5E22">
              <w:t xml:space="preserve">dentificador </w:t>
            </w:r>
            <w:r>
              <w:t xml:space="preserve">de función 3.3): Valor de las operaciones de cajeros automáticos en cajeros automáticos </w:t>
            </w:r>
            <w:r w:rsidR="00073B64">
              <w:t>del</w:t>
            </w:r>
            <w:r>
              <w:t xml:space="preserve"> </w:t>
            </w:r>
            <w:r w:rsidR="00073B64">
              <w:rPr>
                <w:lang w:val="es-ES"/>
              </w:rPr>
              <w:t>ente</w:t>
            </w:r>
            <w:r w:rsidR="00A7381E">
              <w:rPr>
                <w:lang w:val="es-ES"/>
              </w:rPr>
              <w:t xml:space="preserve"> declarant</w:t>
            </w:r>
            <w:r w:rsidR="003132DC">
              <w:rPr>
                <w:lang w:val="es-ES"/>
              </w:rPr>
              <w:t>e</w:t>
            </w:r>
            <w:r w:rsidRPr="69E604A3">
              <w:rPr>
                <w:lang w:val="es-ES"/>
              </w:rPr>
              <w:t xml:space="preserve">, tal como se define en el Reglamento (UE) n.º 1409/2013 del Banco Central Europeo, sobre estadísticas de pagos (ECB/2013/43), cuadro 5.a, así como </w:t>
            </w:r>
            <w:r w:rsidR="00DD66D2">
              <w:rPr>
                <w:lang w:val="es-ES"/>
              </w:rPr>
              <w:t xml:space="preserve">retiradas de </w:t>
            </w:r>
            <w:r w:rsidRPr="69E604A3">
              <w:rPr>
                <w:lang w:val="es-ES"/>
              </w:rPr>
              <w:t>efectivo en</w:t>
            </w:r>
            <w:r w:rsidR="00DD66D2">
              <w:t xml:space="preserve"> ventanilla</w:t>
            </w:r>
            <w:r>
              <w:t xml:space="preserve"> en sucursales </w:t>
            </w:r>
            <w:r w:rsidR="007607C5">
              <w:t>del ente</w:t>
            </w:r>
            <w:r>
              <w:t xml:space="preserve"> declarante, tal como se definen en el cuadro ECB/2014/15</w:t>
            </w:r>
            <w:r w:rsidR="00037925">
              <w:rPr>
                <w:rStyle w:val="FootnoteReference"/>
              </w:rPr>
              <w:footnoteReference w:id="21"/>
            </w:r>
            <w:r w:rsidR="00073B64">
              <w:t>.</w:t>
            </w:r>
          </w:p>
          <w:p w14:paraId="7FE1BBA4" w14:textId="2CB82885" w:rsidR="00414040" w:rsidRDefault="00904E1A">
            <w:pPr>
              <w:pStyle w:val="P68B1DB1-TableParagraph17"/>
              <w:spacing w:before="108"/>
            </w:pPr>
            <w:r>
              <w:t>Servicios de liquidación de valores (</w:t>
            </w:r>
            <w:r w:rsidR="006D7561">
              <w:t>i</w:t>
            </w:r>
            <w:r w:rsidR="000A5E22">
              <w:t xml:space="preserve">dentificador </w:t>
            </w:r>
            <w:r>
              <w:t>de función 3.4): Valor de las transferencias de valores procesadas</w:t>
            </w:r>
            <w:r w:rsidR="00037925">
              <w:t xml:space="preserve"> </w:t>
            </w:r>
            <w:r>
              <w:t xml:space="preserve">por cuenta de clientes. Esto incluye las operaciones liquidadas </w:t>
            </w:r>
            <w:r w:rsidR="0026419D">
              <w:t>a través de un sistema de</w:t>
            </w:r>
            <w:r w:rsidR="00617D99">
              <w:t xml:space="preserve"> </w:t>
            </w:r>
            <w:r>
              <w:t>liquidación de valores</w:t>
            </w:r>
            <w:r w:rsidR="00073B64">
              <w:t xml:space="preserve"> </w:t>
            </w:r>
            <w:r w:rsidRPr="5264726E">
              <w:rPr>
                <w:lang w:val="es-ES"/>
              </w:rPr>
              <w:t xml:space="preserve">o </w:t>
            </w:r>
            <w:r w:rsidR="00037925" w:rsidRPr="5264726E">
              <w:rPr>
                <w:lang w:val="es-ES"/>
              </w:rPr>
              <w:t xml:space="preserve">liquidadas </w:t>
            </w:r>
            <w:r w:rsidRPr="5264726E">
              <w:rPr>
                <w:lang w:val="es-ES"/>
              </w:rPr>
              <w:t xml:space="preserve">internamente por </w:t>
            </w:r>
            <w:r w:rsidR="00073B64">
              <w:rPr>
                <w:lang w:val="es-ES"/>
              </w:rPr>
              <w:t>los entes</w:t>
            </w:r>
            <w:r w:rsidRPr="5264726E">
              <w:rPr>
                <w:lang w:val="es-ES"/>
              </w:rPr>
              <w:t xml:space="preserve"> </w:t>
            </w:r>
            <w:r w:rsidR="008B4D65" w:rsidRPr="5264726E">
              <w:rPr>
                <w:lang w:val="es-ES"/>
              </w:rPr>
              <w:t>declarantes</w:t>
            </w:r>
            <w:r w:rsidRPr="5264726E">
              <w:rPr>
                <w:lang w:val="es-ES"/>
              </w:rPr>
              <w:t xml:space="preserve">, y </w:t>
            </w:r>
            <w:r w:rsidR="00037925" w:rsidRPr="5264726E">
              <w:rPr>
                <w:lang w:val="es-ES"/>
              </w:rPr>
              <w:t xml:space="preserve">las </w:t>
            </w:r>
            <w:r w:rsidR="008B4D65" w:rsidRPr="5264726E">
              <w:rPr>
                <w:lang w:val="es-ES"/>
              </w:rPr>
              <w:t xml:space="preserve">operaciones </w:t>
            </w:r>
            <w:r w:rsidRPr="5264726E">
              <w:rPr>
                <w:lang w:val="es-ES"/>
              </w:rPr>
              <w:t>«libre</w:t>
            </w:r>
            <w:r w:rsidR="008B4D65" w:rsidRPr="5264726E">
              <w:rPr>
                <w:lang w:val="es-ES"/>
              </w:rPr>
              <w:t>s</w:t>
            </w:r>
            <w:r w:rsidRPr="5264726E">
              <w:rPr>
                <w:lang w:val="es-ES"/>
              </w:rPr>
              <w:t xml:space="preserve"> de pago»</w:t>
            </w:r>
            <w:r>
              <w:t xml:space="preserve">. </w:t>
            </w:r>
            <w:r w:rsidR="00037925">
              <w:t>Debe declararse</w:t>
            </w:r>
            <w:r w:rsidR="003F5D4F">
              <w:t xml:space="preserve"> </w:t>
            </w:r>
            <w:r>
              <w:t>solo el valor de las operaciones enviadas.</w:t>
            </w:r>
          </w:p>
        </w:tc>
      </w:tr>
      <w:tr w:rsidR="00414040" w14:paraId="7FE1BBA9"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A6" w14:textId="77777777" w:rsidR="00414040" w:rsidRDefault="00904E1A">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BA7" w14:textId="60D66BA5" w:rsidR="00414040" w:rsidRDefault="00904E1A">
            <w:pPr>
              <w:pStyle w:val="P68B1DB1-TableParagraph14"/>
              <w:spacing w:before="108"/>
              <w:rPr>
                <w:bCs/>
              </w:rPr>
            </w:pPr>
            <w:r>
              <w:t>Valor de las operaciones</w:t>
            </w:r>
            <w:r w:rsidR="009B4E2A">
              <w:t>, de las cuales</w:t>
            </w:r>
            <w:r>
              <w:t xml:space="preserve"> recurrentes</w:t>
            </w:r>
          </w:p>
          <w:p w14:paraId="7FE1BBA8" w14:textId="7F82965C" w:rsidR="00414040" w:rsidRDefault="00904E1A">
            <w:pPr>
              <w:pStyle w:val="P68B1DB1-TableParagraph17"/>
              <w:spacing w:before="108"/>
              <w:rPr>
                <w:lang w:val="es-ES"/>
              </w:rPr>
            </w:pPr>
            <w:r w:rsidRPr="69E604A3">
              <w:rPr>
                <w:lang w:val="es-ES"/>
              </w:rPr>
              <w:t xml:space="preserve">Valor de las operaciones </w:t>
            </w:r>
            <w:r w:rsidR="003E5F30">
              <w:rPr>
                <w:lang w:val="es-ES"/>
              </w:rPr>
              <w:t>declaradas</w:t>
            </w:r>
            <w:r w:rsidR="003F5D4F">
              <w:rPr>
                <w:lang w:val="es-ES"/>
              </w:rPr>
              <w:t xml:space="preserve"> </w:t>
            </w:r>
            <w:r w:rsidRPr="69E604A3">
              <w:rPr>
                <w:lang w:val="es-ES"/>
              </w:rPr>
              <w:t xml:space="preserve">en (c0030) efectuadas </w:t>
            </w:r>
            <w:r w:rsidR="00E12486">
              <w:rPr>
                <w:lang w:val="es-ES"/>
              </w:rPr>
              <w:t>a través de</w:t>
            </w:r>
            <w:r w:rsidR="00E12486" w:rsidRPr="69E604A3">
              <w:rPr>
                <w:lang w:val="es-ES"/>
              </w:rPr>
              <w:t xml:space="preserve"> </w:t>
            </w:r>
            <w:r w:rsidRPr="69E604A3">
              <w:rPr>
                <w:lang w:val="es-ES"/>
              </w:rPr>
              <w:t>cuenta</w:t>
            </w:r>
            <w:r w:rsidR="00E12486">
              <w:rPr>
                <w:lang w:val="es-ES"/>
              </w:rPr>
              <w:t>s</w:t>
            </w:r>
            <w:r w:rsidRPr="69E604A3">
              <w:rPr>
                <w:lang w:val="es-ES"/>
              </w:rPr>
              <w:t xml:space="preserve"> de servicios de pago recurrentes.  Las cuentas de servicios de pago recurrentes son cuentas de servicios de pago en las que se ha</w:t>
            </w:r>
            <w:r w:rsidR="009022CD">
              <w:rPr>
                <w:lang w:val="es-ES"/>
              </w:rPr>
              <w:t>n</w:t>
            </w:r>
            <w:r w:rsidRPr="69E604A3">
              <w:rPr>
                <w:lang w:val="es-ES"/>
              </w:rPr>
              <w:t xml:space="preserve"> cargado o abonado al menos 5 operaciones mensuales por término medio durante los 6 meses anteriores a la fecha </w:t>
            </w:r>
            <w:r w:rsidR="00237C02">
              <w:rPr>
                <w:lang w:val="es-ES"/>
              </w:rPr>
              <w:t>de corte</w:t>
            </w:r>
            <w:r w:rsidRPr="69E604A3">
              <w:rPr>
                <w:lang w:val="es-ES"/>
              </w:rPr>
              <w:t xml:space="preserve">, </w:t>
            </w:r>
            <w:r w:rsidR="0099238E">
              <w:rPr>
                <w:lang w:val="es-ES"/>
              </w:rPr>
              <w:t>excluyendo l</w:t>
            </w:r>
            <w:r w:rsidRPr="69E604A3">
              <w:rPr>
                <w:lang w:val="es-ES"/>
              </w:rPr>
              <w:t>as comisiones anuales, otros gastos y el pago de intereses relacionados con la cuenta.</w:t>
            </w:r>
            <w:r>
              <w:tab/>
            </w:r>
            <w:r>
              <w:tab/>
            </w:r>
            <w:r>
              <w:tab/>
            </w:r>
            <w:r>
              <w:tab/>
            </w:r>
            <w:r>
              <w:tab/>
            </w:r>
            <w:r>
              <w:tab/>
            </w:r>
            <w:r>
              <w:tab/>
            </w:r>
            <w:r>
              <w:tab/>
            </w:r>
          </w:p>
        </w:tc>
      </w:tr>
      <w:tr w:rsidR="00414040" w14:paraId="7FE1BBB1"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AA" w14:textId="77777777" w:rsidR="00414040" w:rsidRDefault="00904E1A">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414040" w:rsidRDefault="00904E1A">
            <w:pPr>
              <w:pStyle w:val="P68B1DB1-Normal42"/>
              <w:rPr>
                <w:bCs/>
              </w:rPr>
            </w:pPr>
            <w:r>
              <w:t>Valor de las posiciones abiertas</w:t>
            </w:r>
          </w:p>
          <w:p w14:paraId="7FE1BBB0" w14:textId="67A4F13E" w:rsidR="00414040" w:rsidRDefault="00A13CEE">
            <w:pPr>
              <w:pStyle w:val="P68B1DB1-TableParagraph17"/>
              <w:spacing w:before="108"/>
              <w:jc w:val="both"/>
            </w:pPr>
            <w:r>
              <w:t>Informar s</w:t>
            </w:r>
            <w:r w:rsidR="00904E1A">
              <w:t>olo para</w:t>
            </w:r>
            <w:r w:rsidR="000B45EC">
              <w:t xml:space="preserve"> la función</w:t>
            </w:r>
            <w:r w:rsidR="00904E1A">
              <w:t xml:space="preserve"> </w:t>
            </w:r>
            <w:r w:rsidR="004017BE">
              <w:t xml:space="preserve">con </w:t>
            </w:r>
            <w:r w:rsidR="000A5E22">
              <w:t xml:space="preserve">identificador </w:t>
            </w:r>
            <w:r w:rsidR="00904E1A">
              <w:t>3.5 «Servicios de compensación a través de ECC»: las posiciones (exposición) que la</w:t>
            </w:r>
            <w:r w:rsidR="00DB3B06">
              <w:t>s</w:t>
            </w:r>
            <w:r w:rsidR="00904E1A">
              <w:t xml:space="preserve"> ECC de las que la entidad es miembro asumen con la entidad en nombre de </w:t>
            </w:r>
            <w:r w:rsidR="00C551CF">
              <w:t>sus</w:t>
            </w:r>
            <w:r w:rsidR="00F5639C">
              <w:t xml:space="preserve"> </w:t>
            </w:r>
            <w:r w:rsidR="00904E1A">
              <w:t>clientes. Indíquese la media del valor diario de las posiciones abiertas relacionadas con la actividad de los clientes en las ECC.</w:t>
            </w:r>
            <w:r w:rsidR="009022CD">
              <w:t xml:space="preserve"> </w:t>
            </w:r>
            <w:r w:rsidR="00904E1A">
              <w:t xml:space="preserve">Si no está disponible, podrán </w:t>
            </w:r>
            <w:r w:rsidR="00980996">
              <w:t>informarse</w:t>
            </w:r>
            <w:r w:rsidR="00A1146B">
              <w:t xml:space="preserve"> </w:t>
            </w:r>
            <w:r w:rsidR="00904E1A">
              <w:t>medias referidas a un período más breve (de unos pocos meses, por ejemplo)</w:t>
            </w:r>
            <w:r w:rsidR="009022CD">
              <w:t xml:space="preserve"> </w:t>
            </w:r>
            <w:r w:rsidR="00904E1A">
              <w:t>o posiciones abiertas al final del año.</w:t>
            </w:r>
          </w:p>
        </w:tc>
      </w:tr>
      <w:tr w:rsidR="00414040" w14:paraId="7FE1BBBA"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B2" w14:textId="77777777" w:rsidR="00414040" w:rsidRDefault="00904E1A">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414040" w:rsidRDefault="00904E1A">
            <w:pPr>
              <w:pStyle w:val="P68B1DB1-Normal42"/>
              <w:rPr>
                <w:bCs/>
              </w:rPr>
            </w:pPr>
            <w:r>
              <w:t>Valor de los activos en custodia</w:t>
            </w:r>
          </w:p>
          <w:p w14:paraId="7FE1BBB8" w14:textId="516ECB60" w:rsidR="00414040" w:rsidRDefault="00953AD1">
            <w:pPr>
              <w:pStyle w:val="P68B1DB1-TableParagraph13"/>
              <w:spacing w:before="108"/>
              <w:jc w:val="both"/>
            </w:pPr>
            <w:r>
              <w:t>Informar s</w:t>
            </w:r>
            <w:r w:rsidR="00904E1A">
              <w:t xml:space="preserve">olo para </w:t>
            </w:r>
            <w:r>
              <w:t>la función</w:t>
            </w:r>
            <w:r w:rsidR="00904E1A">
              <w:t xml:space="preserve"> </w:t>
            </w:r>
            <w:r w:rsidR="004017BE">
              <w:t xml:space="preserve">con identificador </w:t>
            </w:r>
            <w:r w:rsidR="00904E1A">
              <w:t>3.6 «Servicios de custodia»: el importe de los activos en custodia</w:t>
            </w:r>
            <w:r w:rsidR="00F30FE4">
              <w:t xml:space="preserve">, </w:t>
            </w:r>
            <w:r w:rsidR="00A1146B">
              <w:t>u</w:t>
            </w:r>
            <w:r w:rsidR="00F71AF9">
              <w:t>sando</w:t>
            </w:r>
            <w:r w:rsidR="00A1146B">
              <w:t xml:space="preserve"> </w:t>
            </w:r>
            <w:r w:rsidR="00904E1A">
              <w:t xml:space="preserve">el valor razonable. Si no se dispone del valor razonable, pueden utilizarse otras bases de valoración, entre ellas el valor nominal. En los casos en que la entidad preste servicios a </w:t>
            </w:r>
            <w:r w:rsidR="00710EB6">
              <w:t>entes</w:t>
            </w:r>
            <w:r w:rsidR="00F30FE4">
              <w:t xml:space="preserve"> </w:t>
            </w:r>
            <w:r w:rsidR="00904E1A">
              <w:t xml:space="preserve">como los organismos de inversión colectiva o los fondos de pensiones, los activos en cuestión </w:t>
            </w:r>
            <w:r w:rsidR="00022605">
              <w:t>podrán mostrarse por</w:t>
            </w:r>
            <w:r w:rsidR="00F30FE4">
              <w:t xml:space="preserve"> </w:t>
            </w:r>
            <w:r w:rsidR="00904E1A">
              <w:t xml:space="preserve">el valor al que </w:t>
            </w:r>
            <w:r w:rsidR="008F6025">
              <w:t>estos entes</w:t>
            </w:r>
            <w:r w:rsidR="00904E1A">
              <w:t xml:space="preserve"> </w:t>
            </w:r>
            <w:r w:rsidR="00E037FA">
              <w:t>declaran</w:t>
            </w:r>
            <w:r w:rsidR="00A1146B">
              <w:t xml:space="preserve"> </w:t>
            </w:r>
            <w:r w:rsidR="00904E1A">
              <w:t>los activos en su propio balance.</w:t>
            </w:r>
          </w:p>
          <w:p w14:paraId="7FE1BBB9" w14:textId="227D1138" w:rsidR="00414040" w:rsidRDefault="00904E1A">
            <w:pPr>
              <w:pStyle w:val="P68B1DB1-TableParagraph13"/>
              <w:spacing w:before="108"/>
              <w:jc w:val="both"/>
              <w:rPr>
                <w:b/>
                <w:bCs/>
              </w:rPr>
            </w:pPr>
            <w:r>
              <w:t xml:space="preserve">Los importes </w:t>
            </w:r>
            <w:r w:rsidR="0062464C">
              <w:t>declarados</w:t>
            </w:r>
            <w:r w:rsidR="00A1146B">
              <w:t xml:space="preserve"> </w:t>
            </w:r>
            <w:r>
              <w:t>incluirán los intereses devengados, si procede.</w:t>
            </w:r>
          </w:p>
        </w:tc>
      </w:tr>
      <w:tr w:rsidR="00414040" w14:paraId="7FE1BBBF"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BB" w14:textId="77777777" w:rsidR="00414040" w:rsidRDefault="00904E1A">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414040" w:rsidRDefault="00904E1A">
            <w:pPr>
              <w:pStyle w:val="P68B1DB1-TableParagraph14"/>
              <w:spacing w:before="108"/>
              <w:ind w:left="85"/>
              <w:jc w:val="both"/>
              <w:rPr>
                <w:bCs/>
              </w:rPr>
            </w:pPr>
            <w:r>
              <w:t>Valor transfronterizo</w:t>
            </w:r>
          </w:p>
          <w:p w14:paraId="7FE1BBBE" w14:textId="7A55E300" w:rsidR="00414040" w:rsidRDefault="00904E1A" w:rsidP="00635429">
            <w:pPr>
              <w:pStyle w:val="P68B1DB1-TableParagraph13"/>
              <w:spacing w:before="108"/>
              <w:ind w:left="85"/>
              <w:jc w:val="both"/>
              <w:rPr>
                <w:b/>
                <w:bCs/>
              </w:rPr>
            </w:pPr>
            <w:r>
              <w:t xml:space="preserve">En el caso de las operaciones enviadas, para evitar la doble contabilización, las transacciones transfronterizas </w:t>
            </w:r>
            <w:r w:rsidR="00635429">
              <w:t>se contabilizarán</w:t>
            </w:r>
            <w:r w:rsidR="00DE7084">
              <w:t xml:space="preserve"> </w:t>
            </w:r>
            <w:r>
              <w:t xml:space="preserve">en el país </w:t>
            </w:r>
            <w:r w:rsidR="00C333BD">
              <w:t>en el que se origina</w:t>
            </w:r>
            <w:r w:rsidR="00DE7084">
              <w:t xml:space="preserve"> </w:t>
            </w:r>
            <w:r>
              <w:t>la operación.</w:t>
            </w:r>
          </w:p>
        </w:tc>
      </w:tr>
      <w:tr w:rsidR="00414040" w14:paraId="7FE1BBC6"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C0" w14:textId="77777777" w:rsidR="00414040" w:rsidRDefault="00904E1A">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414040" w:rsidRDefault="00904E1A">
            <w:pPr>
              <w:pStyle w:val="P68B1DB1-Normal42"/>
              <w:rPr>
                <w:bCs/>
              </w:rPr>
            </w:pPr>
            <w:r>
              <w:t>Número de operaciones</w:t>
            </w:r>
          </w:p>
          <w:p w14:paraId="7FE1BBC2" w14:textId="4A6D71AD" w:rsidR="00414040" w:rsidRDefault="00904E1A">
            <w:pPr>
              <w:pStyle w:val="P68B1DB1-TableParagraph16"/>
              <w:spacing w:before="108"/>
              <w:jc w:val="both"/>
            </w:pPr>
            <w:r>
              <w:t xml:space="preserve">Por regla general, se </w:t>
            </w:r>
            <w:r w:rsidR="003E1B4A">
              <w:t>informará</w:t>
            </w:r>
            <w:r w:rsidR="00DE7084">
              <w:t xml:space="preserve"> </w:t>
            </w:r>
            <w:r>
              <w:t xml:space="preserve">el número medio de operaciones diarias durante el año correspondiente a los valores indicados en las </w:t>
            </w:r>
            <w:r w:rsidRPr="008F6025">
              <w:t xml:space="preserve">funciones con </w:t>
            </w:r>
            <w:r w:rsidR="004017BE" w:rsidRPr="008F6025">
              <w:t xml:space="preserve">identificador </w:t>
            </w:r>
            <w:r>
              <w:t xml:space="preserve">3.1 a 3.4, filas 0160 a 0190, columna 0030. Si no está disponible, podrán </w:t>
            </w:r>
            <w:r w:rsidR="005C52B7">
              <w:t>informarse</w:t>
            </w:r>
            <w:r w:rsidR="00DE7084">
              <w:t xml:space="preserve"> </w:t>
            </w:r>
            <w:r>
              <w:t xml:space="preserve">medias referidas a un período más breve (de unos pocos meses, por ejemplo). Específicamente en lo que se refiere a las diferentes funciones, se utilizarán las medidas siguientes </w:t>
            </w:r>
          </w:p>
          <w:p w14:paraId="7FE1BBC3" w14:textId="63AEDE2D" w:rsidR="00414040" w:rsidRDefault="00904E1A">
            <w:pPr>
              <w:pStyle w:val="P68B1DB1-TableParagraph16"/>
              <w:spacing w:before="108"/>
              <w:jc w:val="both"/>
            </w:pPr>
            <w:r>
              <w:t>Servicios de pago (</w:t>
            </w:r>
            <w:r w:rsidR="006D7561">
              <w:t>i</w:t>
            </w:r>
            <w:r w:rsidR="004017BE">
              <w:t xml:space="preserve">dentificador </w:t>
            </w:r>
            <w:r>
              <w:t xml:space="preserve">3.1 y 3.2): Número de operaciones enviadas. Referencias: Directiva de la UE sobre servicios de pago en el mercado interior (2015/2366), artículo 4, apartado 5; Reglamento del BCE sobre estadísticas de pagos (BCE/2013/43). </w:t>
            </w:r>
          </w:p>
          <w:p w14:paraId="7FE1BBC4" w14:textId="4730B90B" w:rsidR="00414040" w:rsidRDefault="00904E1A">
            <w:pPr>
              <w:pStyle w:val="P68B1DB1-TableParagraph16"/>
              <w:spacing w:before="108"/>
              <w:jc w:val="both"/>
            </w:pPr>
            <w:r w:rsidRPr="69E604A3">
              <w:rPr>
                <w:lang w:val="es-ES"/>
              </w:rPr>
              <w:t xml:space="preserve">Servicios de </w:t>
            </w:r>
            <w:r w:rsidR="001E25C3">
              <w:rPr>
                <w:lang w:val="es-ES"/>
              </w:rPr>
              <w:t>caja</w:t>
            </w:r>
            <w:r w:rsidR="008F6025">
              <w:rPr>
                <w:lang w:val="es-ES"/>
              </w:rPr>
              <w:t xml:space="preserve"> </w:t>
            </w:r>
            <w:r w:rsidRPr="69E604A3">
              <w:rPr>
                <w:lang w:val="es-ES"/>
              </w:rPr>
              <w:t>(</w:t>
            </w:r>
            <w:r w:rsidR="004017BE">
              <w:t xml:space="preserve">identificador </w:t>
            </w:r>
            <w:r w:rsidRPr="69E604A3">
              <w:rPr>
                <w:lang w:val="es-ES"/>
              </w:rPr>
              <w:t xml:space="preserve">3.3): </w:t>
            </w:r>
            <w:r w:rsidRPr="00AE4831">
              <w:rPr>
                <w:lang w:val="es-ES"/>
              </w:rPr>
              <w:t>Número de operaciones de cajeros automáticos</w:t>
            </w:r>
            <w:r w:rsidRPr="69E604A3">
              <w:rPr>
                <w:lang w:val="es-ES"/>
              </w:rPr>
              <w:t xml:space="preserve">, tal como se definen en BCE/2021/16, </w:t>
            </w:r>
            <w:r w:rsidRPr="00AE4831">
              <w:rPr>
                <w:lang w:val="es-ES"/>
              </w:rPr>
              <w:t>cuadro 5</w:t>
            </w:r>
            <w:r w:rsidR="00D4799B">
              <w:rPr>
                <w:lang w:val="es-ES"/>
              </w:rPr>
              <w:t>a</w:t>
            </w:r>
            <w:r w:rsidRPr="69E604A3">
              <w:rPr>
                <w:lang w:val="es-ES"/>
              </w:rPr>
              <w:t xml:space="preserve"> así como de retiradas de efectivo en ventanilla, tal como se definen en BCE/2014/15, cuadro 4. </w:t>
            </w:r>
          </w:p>
          <w:p w14:paraId="7FE1BBC5" w14:textId="5C9811CE" w:rsidR="00414040" w:rsidRDefault="00904E1A">
            <w:pPr>
              <w:pStyle w:val="P68B1DB1-TableParagraph16"/>
              <w:spacing w:before="108"/>
              <w:jc w:val="both"/>
              <w:rPr>
                <w:b/>
                <w:color w:val="000000" w:themeColor="text1"/>
                <w:sz w:val="20"/>
                <w:szCs w:val="20"/>
                <w:lang w:val="es-ES"/>
              </w:rPr>
            </w:pPr>
            <w:r w:rsidRPr="69E604A3">
              <w:rPr>
                <w:lang w:val="es-ES"/>
              </w:rPr>
              <w:t>Servicios de liquidación de valores</w:t>
            </w:r>
            <w:r w:rsidR="00B11C4C">
              <w:rPr>
                <w:lang w:val="es-ES"/>
              </w:rPr>
              <w:t xml:space="preserve"> </w:t>
            </w:r>
            <w:r w:rsidRPr="69E604A3">
              <w:rPr>
                <w:lang w:val="es-ES"/>
              </w:rPr>
              <w:t>(</w:t>
            </w:r>
            <w:r w:rsidR="004017BE">
              <w:t xml:space="preserve">identificador </w:t>
            </w:r>
            <w:r w:rsidRPr="69E604A3">
              <w:rPr>
                <w:lang w:val="es-ES"/>
              </w:rPr>
              <w:t xml:space="preserve">3.4): Número de operaciones de transferencia de valores </w:t>
            </w:r>
            <w:r w:rsidR="008D4C7B">
              <w:rPr>
                <w:lang w:val="es-ES"/>
              </w:rPr>
              <w:t>procesadas</w:t>
            </w:r>
            <w:r w:rsidR="00B11C4C">
              <w:rPr>
                <w:lang w:val="es-ES"/>
              </w:rPr>
              <w:t xml:space="preserve"> </w:t>
            </w:r>
            <w:r w:rsidRPr="69E604A3">
              <w:rPr>
                <w:lang w:val="es-ES"/>
              </w:rPr>
              <w:t xml:space="preserve">en nombre de clientes. Esto incluye las operaciones liquidadas en el marco de un sistema de liquidación de valores o liquidadas internamente por </w:t>
            </w:r>
            <w:r w:rsidR="008F6025">
              <w:rPr>
                <w:lang w:val="es-ES"/>
              </w:rPr>
              <w:t>los entes</w:t>
            </w:r>
            <w:r w:rsidRPr="69E604A3">
              <w:rPr>
                <w:lang w:val="es-ES"/>
              </w:rPr>
              <w:t xml:space="preserve"> declarantes, y las operaciones «</w:t>
            </w:r>
            <w:r w:rsidR="001546F1">
              <w:rPr>
                <w:lang w:val="es-ES"/>
              </w:rPr>
              <w:t>libre</w:t>
            </w:r>
            <w:r w:rsidR="00E667EE">
              <w:rPr>
                <w:lang w:val="es-ES"/>
              </w:rPr>
              <w:t>s</w:t>
            </w:r>
            <w:r w:rsidR="001546F1">
              <w:rPr>
                <w:lang w:val="es-ES"/>
              </w:rPr>
              <w:t xml:space="preserve"> de</w:t>
            </w:r>
            <w:r w:rsidRPr="69E604A3">
              <w:rPr>
                <w:lang w:val="es-ES"/>
              </w:rPr>
              <w:t xml:space="preserve"> pago».</w:t>
            </w:r>
          </w:p>
        </w:tc>
      </w:tr>
      <w:tr w:rsidR="00414040" w14:paraId="7FE1BBCA"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C7" w14:textId="77777777" w:rsidR="00414040" w:rsidRDefault="00904E1A">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414040" w:rsidRDefault="00904E1A">
            <w:pPr>
              <w:pStyle w:val="P68B1DB1-TableParagraph14"/>
              <w:spacing w:before="108"/>
              <w:ind w:left="85"/>
              <w:jc w:val="both"/>
              <w:rPr>
                <w:bCs/>
              </w:rPr>
            </w:pPr>
            <w:r>
              <w:t>Número de clientes</w:t>
            </w:r>
          </w:p>
          <w:p w14:paraId="7FE1BBC9" w14:textId="5C934B58" w:rsidR="00414040" w:rsidRDefault="00904E1A">
            <w:pPr>
              <w:pStyle w:val="P68B1DB1-TableParagraph13"/>
              <w:spacing w:before="108"/>
              <w:ind w:left="85"/>
              <w:jc w:val="both"/>
            </w:pPr>
            <w:r>
              <w:t>Número de clientes (residentes y no residentes) a los que se presta el servicio. Si un cliente utiliza un servicio dentro de una subfunción más de una vez, el cliente se contará una sola vez.</w:t>
            </w:r>
          </w:p>
        </w:tc>
      </w:tr>
      <w:tr w:rsidR="00414040" w14:paraId="7FE1BBD6"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CE" w14:textId="77777777" w:rsidR="00414040" w:rsidRDefault="00904E1A">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414040" w:rsidRDefault="00904E1A">
            <w:pPr>
              <w:pStyle w:val="P68B1DB1-TableParagraph14"/>
              <w:spacing w:before="108"/>
              <w:jc w:val="both"/>
              <w:rPr>
                <w:bCs/>
              </w:rPr>
            </w:pPr>
            <w:r>
              <w:t>Análisis de impacto y sustituibilidad</w:t>
            </w:r>
          </w:p>
          <w:p w14:paraId="7FE1BBD0" w14:textId="230B1931" w:rsidR="00414040" w:rsidRDefault="00904E1A">
            <w:pPr>
              <w:pStyle w:val="P68B1DB1-TableParagraph13"/>
              <w:spacing w:before="108"/>
              <w:jc w:val="both"/>
            </w:pPr>
            <w:r w:rsidRPr="69E604A3">
              <w:rPr>
                <w:lang w:val="es-ES"/>
              </w:rPr>
              <w:t xml:space="preserve">Los criterios de evaluación del impacto en terceros incluirán los siguientes elementos de conformidad con el Reglamento </w:t>
            </w:r>
            <w:proofErr w:type="gramStart"/>
            <w:r w:rsidRPr="69E604A3">
              <w:rPr>
                <w:lang w:val="es-ES"/>
              </w:rPr>
              <w:t>Delegado</w:t>
            </w:r>
            <w:proofErr w:type="gramEnd"/>
            <w:r w:rsidRPr="69E604A3">
              <w:rPr>
                <w:lang w:val="es-ES"/>
              </w:rPr>
              <w:t xml:space="preserve"> (UE) 2016/778 de la Comisión sobre las funciones esenciales:</w:t>
            </w:r>
          </w:p>
          <w:p w14:paraId="7FE1BBD1" w14:textId="50F0042C" w:rsidR="00414040" w:rsidRDefault="00904E1A">
            <w:pPr>
              <w:pStyle w:val="P68B1DB1-ListParagraph38"/>
              <w:numPr>
                <w:ilvl w:val="0"/>
                <w:numId w:val="131"/>
              </w:numPr>
              <w:spacing w:line="276" w:lineRule="auto"/>
            </w:pPr>
            <w:r>
              <w:t>la naturaleza y el alcance de la actividad, el alcance mundial, nacional o regional, el volumen y el número de transacciones; el número de clientes y contrapartes; el número de clientes para los que la entidad es el único</w:t>
            </w:r>
            <w:r w:rsidR="007728CB">
              <w:t xml:space="preserve"> o principal</w:t>
            </w:r>
            <w:r>
              <w:t xml:space="preserve"> socio bancario.</w:t>
            </w:r>
          </w:p>
          <w:p w14:paraId="7FE1BBD2" w14:textId="22DCDAE3" w:rsidR="00414040" w:rsidRDefault="00904E1A">
            <w:pPr>
              <w:pStyle w:val="P68B1DB1-ListParagraph38"/>
              <w:numPr>
                <w:ilvl w:val="0"/>
                <w:numId w:val="131"/>
              </w:numPr>
              <w:spacing w:line="276" w:lineRule="auto"/>
            </w:pPr>
            <w:r>
              <w:t xml:space="preserve">la relevancia de la entidad a escala local, regional, nacional o europea, según proceda para el mercado de que se trate. La </w:t>
            </w:r>
            <w:r w:rsidR="007728CB">
              <w:t>relevancia</w:t>
            </w:r>
            <w:r w:rsidR="00B11C4C">
              <w:t xml:space="preserve"> </w:t>
            </w:r>
            <w:r>
              <w:t>de la entidad podrá evaluarse en función de la cuota de mercado, la interconexión, la complejidad y las actividades transfronterizas.</w:t>
            </w:r>
          </w:p>
          <w:p w14:paraId="7FE1BBD3" w14:textId="1B49013D" w:rsidR="00414040" w:rsidRDefault="00904E1A">
            <w:pPr>
              <w:pStyle w:val="P68B1DB1-ListParagraph38"/>
              <w:numPr>
                <w:ilvl w:val="0"/>
                <w:numId w:val="131"/>
              </w:numPr>
              <w:spacing w:line="276" w:lineRule="auto"/>
            </w:pPr>
            <w:r>
              <w:t xml:space="preserve">la naturaleza de los clientes y partes interesadas </w:t>
            </w:r>
            <w:r w:rsidR="007728CB">
              <w:t>afectadas</w:t>
            </w:r>
            <w:r w:rsidR="00B11C4C">
              <w:t xml:space="preserve"> </w:t>
            </w:r>
            <w:r>
              <w:t xml:space="preserve">por la función, </w:t>
            </w:r>
            <w:r w:rsidR="000B4F33">
              <w:t>como, entre otros</w:t>
            </w:r>
            <w:r>
              <w:t xml:space="preserve">, clientes minoristas, </w:t>
            </w:r>
            <w:r w:rsidR="000B4F33">
              <w:t xml:space="preserve">clientes </w:t>
            </w:r>
            <w:proofErr w:type="gramStart"/>
            <w:r w:rsidR="000B4F33">
              <w:t>corporativos</w:t>
            </w:r>
            <w:r w:rsidR="00C50DF6">
              <w:t>,  clientes</w:t>
            </w:r>
            <w:proofErr w:type="gramEnd"/>
            <w:r w:rsidR="00C50DF6">
              <w:t xml:space="preserve"> </w:t>
            </w:r>
            <w:r>
              <w:t xml:space="preserve">bancarios, </w:t>
            </w:r>
            <w:r w:rsidR="00EA31AD">
              <w:t>cámaras de compensación</w:t>
            </w:r>
            <w:r>
              <w:t xml:space="preserve"> y entes públicos; </w:t>
            </w:r>
          </w:p>
          <w:p w14:paraId="7FE1BBD4" w14:textId="3332BD1B" w:rsidR="00414040" w:rsidRDefault="00904E1A">
            <w:pPr>
              <w:pStyle w:val="P68B1DB1-ListParagraph38"/>
              <w:numPr>
                <w:ilvl w:val="0"/>
                <w:numId w:val="131"/>
              </w:numPr>
              <w:spacing w:line="276" w:lineRule="auto"/>
            </w:pPr>
            <w:r w:rsidRPr="57D84BD5">
              <w:rPr>
                <w:lang w:val="es-ES"/>
              </w:rPr>
              <w:t xml:space="preserve">la posible perturbación de la función </w:t>
            </w:r>
            <w:r w:rsidR="002C0AC5" w:rsidRPr="57D84BD5">
              <w:rPr>
                <w:lang w:val="es-ES"/>
              </w:rPr>
              <w:t>de</w:t>
            </w:r>
            <w:r w:rsidR="00262B21" w:rsidRPr="57D84BD5">
              <w:rPr>
                <w:lang w:val="es-ES"/>
              </w:rPr>
              <w:t xml:space="preserve"> </w:t>
            </w:r>
            <w:r w:rsidRPr="57D84BD5">
              <w:rPr>
                <w:lang w:val="es-ES"/>
              </w:rPr>
              <w:t xml:space="preserve">los mercados, las infraestructuras, los clientes y los servicios públicos. En particular, la evaluación podrá incluir el efecto sobre la liquidez de los mercados afectados, el impacto y el alcance de la perturbación de las actividades de </w:t>
            </w:r>
            <w:r w:rsidRPr="57D84BD5">
              <w:rPr>
                <w:lang w:val="es-ES"/>
              </w:rPr>
              <w:lastRenderedPageBreak/>
              <w:t xml:space="preserve">los clientes y las necesidades de liquidez a corto plazo; </w:t>
            </w:r>
            <w:r w:rsidR="008F6BFE" w:rsidRPr="57D84BD5">
              <w:rPr>
                <w:lang w:val="es-ES"/>
              </w:rPr>
              <w:t>el impacto</w:t>
            </w:r>
            <w:r w:rsidRPr="57D84BD5">
              <w:rPr>
                <w:lang w:val="es-ES"/>
              </w:rPr>
              <w:t xml:space="preserve"> para las contrapartes, los clientes y el público; la capacidad y la </w:t>
            </w:r>
            <w:r w:rsidR="008A6BF3" w:rsidRPr="57D84BD5">
              <w:rPr>
                <w:lang w:val="es-ES"/>
              </w:rPr>
              <w:t>rapidez</w:t>
            </w:r>
            <w:r w:rsidR="00D01430" w:rsidRPr="57D84BD5">
              <w:rPr>
                <w:lang w:val="es-ES"/>
              </w:rPr>
              <w:t xml:space="preserve"> </w:t>
            </w:r>
            <w:r w:rsidRPr="57D84BD5">
              <w:rPr>
                <w:lang w:val="es-ES"/>
              </w:rPr>
              <w:t xml:space="preserve">de reacción de los clientes; la </w:t>
            </w:r>
            <w:r w:rsidR="008A6BF3" w:rsidRPr="57D84BD5">
              <w:rPr>
                <w:lang w:val="es-ES"/>
              </w:rPr>
              <w:t>relevancia</w:t>
            </w:r>
            <w:r w:rsidR="00D01430" w:rsidRPr="57D84BD5">
              <w:rPr>
                <w:lang w:val="es-ES"/>
              </w:rPr>
              <w:t xml:space="preserve"> </w:t>
            </w:r>
            <w:r w:rsidRPr="57D84BD5">
              <w:rPr>
                <w:lang w:val="es-ES"/>
              </w:rPr>
              <w:t>para el funcionamiento de otros mercados; el efecto en la liquidez, las operaciones y la estructura de otro mercado; el efecto sobre otras contrapartes relacionad</w:t>
            </w:r>
            <w:r w:rsidR="00FC23CB" w:rsidRPr="57D84BD5">
              <w:rPr>
                <w:lang w:val="es-ES"/>
              </w:rPr>
              <w:t>as</w:t>
            </w:r>
            <w:r w:rsidRPr="57D84BD5">
              <w:rPr>
                <w:lang w:val="es-ES"/>
              </w:rPr>
              <w:t xml:space="preserve"> con los principales clientes y la interrelación de la función con otros servicios.</w:t>
            </w:r>
          </w:p>
          <w:p w14:paraId="7FE1BBD5"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BDA"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D7" w14:textId="77777777" w:rsidR="00414040" w:rsidRDefault="00904E1A">
            <w:pPr>
              <w:pStyle w:val="P68B1DB1-TableParagraph17"/>
              <w:spacing w:before="108"/>
              <w:jc w:val="both"/>
            </w:pPr>
            <w:r>
              <w:lastRenderedPageBreak/>
              <w:t>0120-0140</w:t>
            </w:r>
          </w:p>
        </w:tc>
        <w:tc>
          <w:tcPr>
            <w:tcW w:w="8003" w:type="dxa"/>
            <w:tcBorders>
              <w:top w:val="single" w:sz="4" w:space="0" w:color="1A171C"/>
              <w:left w:val="single" w:sz="4" w:space="0" w:color="1A171C"/>
              <w:bottom w:val="single" w:sz="4" w:space="0" w:color="1A171C"/>
              <w:right w:val="nil"/>
            </w:tcBorders>
            <w:vAlign w:val="center"/>
          </w:tcPr>
          <w:p w14:paraId="7FE1BBD8" w14:textId="3C8D94CB" w:rsidR="00414040" w:rsidRDefault="00904E1A">
            <w:pPr>
              <w:pStyle w:val="P68B1DB1-TableParagraph14"/>
              <w:spacing w:before="108"/>
              <w:jc w:val="both"/>
              <w:rPr>
                <w:bCs/>
              </w:rPr>
            </w:pPr>
            <w:r>
              <w:t xml:space="preserve">Naturaleza y </w:t>
            </w:r>
            <w:r w:rsidR="008A6BF3">
              <w:t>alcance</w:t>
            </w:r>
          </w:p>
          <w:p w14:paraId="7FE1BBD9" w14:textId="1E91FD60" w:rsidR="00414040" w:rsidRDefault="00904E1A">
            <w:pPr>
              <w:pStyle w:val="P68B1DB1-TableParagraph13"/>
              <w:spacing w:before="108"/>
              <w:jc w:val="both"/>
            </w:pPr>
            <w:r>
              <w:t>El alcance mundial, nacional o regional, el volumen y el número de transacciones; el número de clientes y contrapartes; el número de clientes para los que la entidad es el único</w:t>
            </w:r>
            <w:r w:rsidR="00A22F71">
              <w:t xml:space="preserve"> o principal</w:t>
            </w:r>
            <w:r>
              <w:t xml:space="preserve"> socio bancario.</w:t>
            </w:r>
          </w:p>
        </w:tc>
      </w:tr>
      <w:tr w:rsidR="00414040" w14:paraId="7FE1BBE0" w14:textId="77777777" w:rsidTr="000C1E8B">
        <w:tblPrEx>
          <w:tblCellMar>
            <w:top w:w="0" w:type="dxa"/>
            <w:left w:w="108" w:type="dxa"/>
            <w:bottom w:w="0" w:type="dxa"/>
            <w:right w:w="108" w:type="dxa"/>
          </w:tblCellMar>
        </w:tblPrEx>
        <w:trPr>
          <w:trHeight w:val="300"/>
        </w:trPr>
        <w:tc>
          <w:tcPr>
            <w:tcW w:w="1080" w:type="dxa"/>
            <w:tcBorders>
              <w:top w:val="single" w:sz="4" w:space="0" w:color="1A171C"/>
              <w:left w:val="nil"/>
              <w:bottom w:val="single" w:sz="4" w:space="0" w:color="1A171C"/>
              <w:right w:val="single" w:sz="4" w:space="0" w:color="1A171C"/>
            </w:tcBorders>
            <w:vAlign w:val="center"/>
          </w:tcPr>
          <w:p w14:paraId="7FE1BBDB" w14:textId="77777777" w:rsidR="00414040" w:rsidRDefault="00904E1A">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414040" w:rsidRDefault="00904E1A">
            <w:pPr>
              <w:pStyle w:val="P68B1DB1-TableParagraph14"/>
              <w:spacing w:before="108"/>
              <w:jc w:val="both"/>
              <w:rPr>
                <w:bCs/>
              </w:rPr>
            </w:pPr>
            <w:r>
              <w:t>Indicador de tamaño 1</w:t>
            </w:r>
          </w:p>
          <w:p w14:paraId="0D530995" w14:textId="77323896" w:rsidR="00414040" w:rsidRDefault="00904E1A">
            <w:pPr>
              <w:pStyle w:val="P68B1DB1-Normal31"/>
              <w:spacing w:line="276" w:lineRule="auto"/>
              <w:jc w:val="both"/>
            </w:pPr>
            <w:r>
              <w:t xml:space="preserve">Evaluar la importancia del banco en estas actividades. Esta evaluación se expresa cualitativamente como </w:t>
            </w:r>
            <w:r w:rsidR="00D16156">
              <w:t>«</w:t>
            </w:r>
            <w:r w:rsidR="00735179">
              <w:t>a</w:t>
            </w:r>
            <w:r w:rsidR="00D16156">
              <w:t>lto», «</w:t>
            </w:r>
            <w:r w:rsidR="00735179">
              <w:t>m</w:t>
            </w:r>
            <w:r w:rsidR="00D16156">
              <w:t>edio-alto», «</w:t>
            </w:r>
            <w:r w:rsidR="00735179">
              <w:t>m</w:t>
            </w:r>
            <w:r w:rsidR="00D16156">
              <w:t>edio-bajo» o «</w:t>
            </w:r>
            <w:r w:rsidR="00735179">
              <w:t>b</w:t>
            </w:r>
            <w:r w:rsidR="00D16156">
              <w:t>ajo»</w:t>
            </w:r>
            <w:r>
              <w:t>. Indíquese «</w:t>
            </w:r>
            <w:r w:rsidR="00735179">
              <w:t>alto</w:t>
            </w:r>
            <w:r>
              <w:t>» si el tamaño de la función es grande, «</w:t>
            </w:r>
            <w:r w:rsidR="00735179">
              <w:t>medio</w:t>
            </w:r>
            <w:r>
              <w:t>-alto» si es medio, «</w:t>
            </w:r>
            <w:r w:rsidR="00735179">
              <w:t>medio</w:t>
            </w:r>
            <w:r>
              <w:t>-bajo» si es pequeño y «</w:t>
            </w:r>
            <w:r w:rsidR="00735179">
              <w:t>bajo</w:t>
            </w:r>
            <w:r>
              <w:t xml:space="preserve">» si es insignificante. Utilizar variables macroeconómicas como el PIB, la población (para depósitos, </w:t>
            </w:r>
            <w:r w:rsidR="00C473C2">
              <w:t>concesión de financiación</w:t>
            </w:r>
            <w:r>
              <w:t xml:space="preserve">, </w:t>
            </w:r>
            <w:r w:rsidR="008E05CA">
              <w:t xml:space="preserve">servicios de </w:t>
            </w:r>
            <w:r>
              <w:t xml:space="preserve">pago, </w:t>
            </w:r>
            <w:r w:rsidR="008E05CA">
              <w:t>caja</w:t>
            </w:r>
            <w:r>
              <w:t xml:space="preserve">, liquidación, compensación y custodia) o el tamaño del mercado (para los mercados de capitales y la financiación </w:t>
            </w:r>
            <w:r w:rsidR="00362DCC">
              <w:t>mayorista</w:t>
            </w:r>
            <w:r>
              <w:t xml:space="preserve">) como referencia para esta evaluación cualitativa. </w:t>
            </w:r>
          </w:p>
          <w:p w14:paraId="7FE1BBDD" w14:textId="31D8226E" w:rsidR="00414040" w:rsidRDefault="00414040">
            <w:pPr>
              <w:pStyle w:val="TableParagraph"/>
              <w:spacing w:before="108"/>
              <w:jc w:val="both"/>
              <w:rPr>
                <w:rFonts w:ascii="Times New Roman" w:hAnsi="Times New Roman" w:cs="Times New Roman"/>
                <w:color w:val="000000" w:themeColor="text1"/>
                <w:sz w:val="20"/>
                <w:szCs w:val="20"/>
              </w:rPr>
            </w:pPr>
          </w:p>
          <w:p w14:paraId="7FE1BBDE" w14:textId="5D6D45B1" w:rsidR="00414040" w:rsidRDefault="00362DCC">
            <w:pPr>
              <w:pStyle w:val="P68B1DB1-ListParagraph32"/>
              <w:numPr>
                <w:ilvl w:val="0"/>
                <w:numId w:val="300"/>
              </w:numPr>
              <w:spacing w:line="276" w:lineRule="auto"/>
            </w:pPr>
            <w:r w:rsidRPr="488EBA44">
              <w:rPr>
                <w:lang w:val="es-ES"/>
              </w:rPr>
              <w:t>Juicio</w:t>
            </w:r>
            <w:r w:rsidR="00904E1A" w:rsidRPr="488EBA44">
              <w:rPr>
                <w:lang w:val="es-ES"/>
              </w:rPr>
              <w:t xml:space="preserve"> experto sobre </w:t>
            </w:r>
            <w:r w:rsidR="00D119E1" w:rsidRPr="488EBA44">
              <w:rPr>
                <w:lang w:val="es-ES"/>
              </w:rPr>
              <w:t xml:space="preserve">la </w:t>
            </w:r>
            <w:r w:rsidR="00780132" w:rsidRPr="488EBA44">
              <w:rPr>
                <w:lang w:val="es-ES"/>
              </w:rPr>
              <w:t>dimensión</w:t>
            </w:r>
            <w:r w:rsidR="00D119E1" w:rsidRPr="488EBA44">
              <w:rPr>
                <w:lang w:val="es-ES"/>
              </w:rPr>
              <w:t xml:space="preserve"> </w:t>
            </w:r>
            <w:r w:rsidR="00904E1A" w:rsidRPr="488EBA44">
              <w:rPr>
                <w:lang w:val="es-ES"/>
              </w:rPr>
              <w:t xml:space="preserve">del </w:t>
            </w:r>
            <w:r w:rsidR="00904E1A" w:rsidRPr="488EBA44">
              <w:rPr>
                <w:b/>
                <w:lang w:val="es-ES"/>
              </w:rPr>
              <w:t>valor</w:t>
            </w:r>
            <w:r w:rsidR="00904E1A" w:rsidRPr="488EBA44">
              <w:rPr>
                <w:lang w:val="es-ES"/>
              </w:rPr>
              <w:t xml:space="preserve"> de las operaciones (c0030 para las funciones</w:t>
            </w:r>
            <w:r w:rsidR="004017BE" w:rsidRPr="488EBA44">
              <w:rPr>
                <w:lang w:val="es-ES"/>
              </w:rPr>
              <w:t xml:space="preserve"> con</w:t>
            </w:r>
            <w:r w:rsidR="00904E1A" w:rsidRPr="488EBA44">
              <w:rPr>
                <w:lang w:val="es-ES"/>
              </w:rPr>
              <w:t xml:space="preserve"> </w:t>
            </w:r>
            <w:r w:rsidR="004017BE" w:rsidRPr="488EBA44">
              <w:rPr>
                <w:lang w:val="es-ES"/>
              </w:rPr>
              <w:t xml:space="preserve">identificador </w:t>
            </w:r>
            <w:r w:rsidR="00904E1A" w:rsidRPr="488EBA44">
              <w:rPr>
                <w:lang w:val="es-ES"/>
              </w:rPr>
              <w:t>3.1, 3.2, 3.3 y 3.4); posiciones abiertas (c0050 para</w:t>
            </w:r>
            <w:r w:rsidR="00654BA6" w:rsidRPr="488EBA44">
              <w:rPr>
                <w:lang w:val="es-ES"/>
              </w:rPr>
              <w:t xml:space="preserve"> el</w:t>
            </w:r>
            <w:r w:rsidR="00904E1A" w:rsidRPr="488EBA44">
              <w:rPr>
                <w:lang w:val="es-ES"/>
              </w:rPr>
              <w:t xml:space="preserve"> </w:t>
            </w:r>
            <w:r w:rsidR="004017BE" w:rsidRPr="488EBA44">
              <w:rPr>
                <w:lang w:val="es-ES"/>
              </w:rPr>
              <w:t xml:space="preserve">identificador </w:t>
            </w:r>
            <w:r w:rsidR="00904E1A" w:rsidRPr="488EBA44">
              <w:rPr>
                <w:lang w:val="es-ES"/>
              </w:rPr>
              <w:t xml:space="preserve">3.5); o total de los activos en custodia (c0060 para </w:t>
            </w:r>
            <w:r w:rsidR="004017BE" w:rsidRPr="488EBA44">
              <w:rPr>
                <w:lang w:val="es-ES"/>
              </w:rPr>
              <w:t xml:space="preserve">identificador </w:t>
            </w:r>
            <w:r w:rsidR="00904E1A" w:rsidRPr="488EBA44">
              <w:rPr>
                <w:lang w:val="es-ES"/>
              </w:rPr>
              <w:t xml:space="preserve">3.6) desde una perspectiva de </w:t>
            </w:r>
            <w:r w:rsidR="00904E1A" w:rsidRPr="488EBA44">
              <w:rPr>
                <w:b/>
                <w:lang w:val="es-ES"/>
              </w:rPr>
              <w:t>la UE</w:t>
            </w:r>
            <w:r w:rsidR="00904E1A" w:rsidRPr="488EBA44">
              <w:rPr>
                <w:lang w:val="es-ES"/>
              </w:rPr>
              <w:t xml:space="preserve"> </w:t>
            </w:r>
            <w:r w:rsidR="00904E1A" w:rsidRPr="488EBA44">
              <w:rPr>
                <w:i/>
                <w:lang w:val="es-ES"/>
              </w:rPr>
              <w:t xml:space="preserve">[un nivel superior al del mercado </w:t>
            </w:r>
            <w:r w:rsidR="00B65B04" w:rsidRPr="488EBA44">
              <w:rPr>
                <w:i/>
                <w:lang w:val="es-ES"/>
              </w:rPr>
              <w:t>releva</w:t>
            </w:r>
            <w:r w:rsidR="00717CFD" w:rsidRPr="488EBA44">
              <w:rPr>
                <w:i/>
                <w:lang w:val="es-ES"/>
              </w:rPr>
              <w:t>nte</w:t>
            </w:r>
            <w:r w:rsidR="00904E1A" w:rsidRPr="488EBA44">
              <w:rPr>
                <w:i/>
                <w:lang w:val="es-ES"/>
              </w:rPr>
              <w:t>]</w:t>
            </w:r>
            <w:r w:rsidR="00904E1A" w:rsidRPr="488EBA44">
              <w:rPr>
                <w:lang w:val="es-ES"/>
              </w:rPr>
              <w:t xml:space="preserve">: </w:t>
            </w:r>
          </w:p>
          <w:p w14:paraId="7FE1BBDF" w14:textId="4E4D860F" w:rsidR="00414040" w:rsidRDefault="00904E1A">
            <w:pPr>
              <w:pStyle w:val="P68B1DB1-ListParagraph32"/>
              <w:numPr>
                <w:ilvl w:val="0"/>
                <w:numId w:val="126"/>
              </w:numPr>
              <w:spacing w:line="276" w:lineRule="auto"/>
            </w:pPr>
            <w:r>
              <w:t xml:space="preserve">Desde </w:t>
            </w:r>
            <w:r w:rsidR="00F336B4">
              <w:t xml:space="preserve">una perspectiva </w:t>
            </w:r>
            <w:r>
              <w:t>de la UE, ¿</w:t>
            </w:r>
            <w:r w:rsidR="00F5639C">
              <w:t>cuá</w:t>
            </w:r>
            <w:r w:rsidR="00B65B04">
              <w:t>l</w:t>
            </w:r>
            <w:r>
              <w:t xml:space="preserve"> considera que</w:t>
            </w:r>
            <w:r w:rsidR="00B65B04">
              <w:t xml:space="preserve"> es la </w:t>
            </w:r>
            <w:r w:rsidR="00780132">
              <w:t>magnitud</w:t>
            </w:r>
            <w:r>
              <w:t xml:space="preserve"> </w:t>
            </w:r>
            <w:r w:rsidR="00B65B04">
              <w:t>d</w:t>
            </w:r>
            <w:r>
              <w:t xml:space="preserve">el valor de las operaciones procesadas por su banco </w:t>
            </w:r>
            <w:r>
              <w:rPr>
                <w:i/>
              </w:rPr>
              <w:t>o</w:t>
            </w:r>
            <w:r>
              <w:t xml:space="preserve"> las posiciones abiertas de sus clientes en las ECC, </w:t>
            </w:r>
            <w:r>
              <w:rPr>
                <w:i/>
              </w:rPr>
              <w:t>o</w:t>
            </w:r>
            <w:r>
              <w:t xml:space="preserve"> los activos totales que su entidad mantiene en custodia para sus clientes?</w:t>
            </w:r>
          </w:p>
        </w:tc>
      </w:tr>
      <w:tr w:rsidR="00414040" w14:paraId="7FE1BBE7" w14:textId="77777777" w:rsidTr="000C1E8B">
        <w:tblPrEx>
          <w:tblCellMar>
            <w:top w:w="0" w:type="dxa"/>
            <w:left w:w="108" w:type="dxa"/>
            <w:bottom w:w="0" w:type="dxa"/>
            <w:right w:w="108" w:type="dxa"/>
          </w:tblCellMar>
        </w:tblPrEx>
        <w:trPr>
          <w:trHeight w:val="300"/>
        </w:trPr>
        <w:tc>
          <w:tcPr>
            <w:tcW w:w="1080" w:type="dxa"/>
            <w:tcBorders>
              <w:top w:val="single" w:sz="4" w:space="0" w:color="1A171C"/>
              <w:left w:val="nil"/>
              <w:bottom w:val="single" w:sz="4" w:space="0" w:color="1A171C"/>
              <w:right w:val="single" w:sz="4" w:space="0" w:color="1A171C"/>
            </w:tcBorders>
            <w:vAlign w:val="center"/>
          </w:tcPr>
          <w:p w14:paraId="7FE1BBE1" w14:textId="77777777" w:rsidR="00414040" w:rsidRDefault="00904E1A">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414040" w:rsidRDefault="00904E1A">
            <w:pPr>
              <w:pStyle w:val="P68B1DB1-TableParagraph14"/>
              <w:spacing w:before="108"/>
              <w:jc w:val="both"/>
              <w:rPr>
                <w:bCs/>
              </w:rPr>
            </w:pPr>
            <w:r>
              <w:t>Indicador de tamaño 2</w:t>
            </w:r>
          </w:p>
          <w:p w14:paraId="7D6A05E9" w14:textId="4D9907C9" w:rsidR="00414040" w:rsidRDefault="00904E1A">
            <w:pPr>
              <w:pStyle w:val="P68B1DB1-Normal31"/>
              <w:spacing w:line="276" w:lineRule="auto"/>
              <w:jc w:val="both"/>
            </w:pPr>
            <w:r w:rsidRPr="77CB6E75">
              <w:rPr>
                <w:lang w:val="es-ES"/>
              </w:rPr>
              <w:t xml:space="preserve">Evaluar la importancia del banco en estas actividades. Esta evaluación se expresa cualitativamente como </w:t>
            </w:r>
            <w:r w:rsidR="000C1E8B" w:rsidRPr="77CB6E75">
              <w:rPr>
                <w:lang w:val="es-ES"/>
              </w:rPr>
              <w:t>«</w:t>
            </w:r>
            <w:r w:rsidR="00735179">
              <w:rPr>
                <w:lang w:val="es-ES"/>
              </w:rPr>
              <w:t>a</w:t>
            </w:r>
            <w:r w:rsidR="000C1E8B" w:rsidRPr="77CB6E75">
              <w:rPr>
                <w:lang w:val="es-ES"/>
              </w:rPr>
              <w:t>lto», «</w:t>
            </w:r>
            <w:r w:rsidR="00735179">
              <w:rPr>
                <w:lang w:val="es-ES"/>
              </w:rPr>
              <w:t>m</w:t>
            </w:r>
            <w:r w:rsidR="000C1E8B" w:rsidRPr="77CB6E75">
              <w:rPr>
                <w:lang w:val="es-ES"/>
              </w:rPr>
              <w:t>edio-alto», «</w:t>
            </w:r>
            <w:r w:rsidR="00735179">
              <w:rPr>
                <w:lang w:val="es-ES"/>
              </w:rPr>
              <w:t>m</w:t>
            </w:r>
            <w:r w:rsidR="000C1E8B" w:rsidRPr="77CB6E75">
              <w:rPr>
                <w:lang w:val="es-ES"/>
              </w:rPr>
              <w:t>edio-bajo» o «</w:t>
            </w:r>
            <w:r w:rsidR="00735179">
              <w:rPr>
                <w:lang w:val="es-ES"/>
              </w:rPr>
              <w:t>b</w:t>
            </w:r>
            <w:r w:rsidR="000C1E8B" w:rsidRPr="77CB6E75">
              <w:rPr>
                <w:lang w:val="es-ES"/>
              </w:rPr>
              <w:t>ajo»</w:t>
            </w:r>
            <w:r w:rsidRPr="77CB6E75">
              <w:rPr>
                <w:lang w:val="es-ES"/>
              </w:rPr>
              <w:t>. Indíquese «</w:t>
            </w:r>
            <w:r w:rsidR="00735179">
              <w:rPr>
                <w:lang w:val="es-ES"/>
              </w:rPr>
              <w:t>a</w:t>
            </w:r>
            <w:r w:rsidR="00735179" w:rsidRPr="77CB6E75">
              <w:rPr>
                <w:lang w:val="es-ES"/>
              </w:rPr>
              <w:t>lto</w:t>
            </w:r>
            <w:r w:rsidRPr="77CB6E75">
              <w:rPr>
                <w:lang w:val="es-ES"/>
              </w:rPr>
              <w:t>» si el tamaño de la función es grande, «</w:t>
            </w:r>
            <w:r w:rsidR="00735179">
              <w:rPr>
                <w:lang w:val="es-ES"/>
              </w:rPr>
              <w:t>m</w:t>
            </w:r>
            <w:r w:rsidR="00735179" w:rsidRPr="77CB6E75">
              <w:rPr>
                <w:lang w:val="es-ES"/>
              </w:rPr>
              <w:t>edio</w:t>
            </w:r>
            <w:r w:rsidRPr="77CB6E75">
              <w:rPr>
                <w:lang w:val="es-ES"/>
              </w:rPr>
              <w:t>-alto» si es medio, «</w:t>
            </w:r>
            <w:r w:rsidR="00735179">
              <w:rPr>
                <w:lang w:val="es-ES"/>
              </w:rPr>
              <w:t>m</w:t>
            </w:r>
            <w:r w:rsidR="00735179" w:rsidRPr="77CB6E75">
              <w:rPr>
                <w:lang w:val="es-ES"/>
              </w:rPr>
              <w:t>edio</w:t>
            </w:r>
            <w:r w:rsidRPr="77CB6E75">
              <w:rPr>
                <w:lang w:val="es-ES"/>
              </w:rPr>
              <w:t>-bajo» si es pequeño y «</w:t>
            </w:r>
            <w:r w:rsidR="00735179">
              <w:rPr>
                <w:lang w:val="es-ES"/>
              </w:rPr>
              <w:t>b</w:t>
            </w:r>
            <w:r w:rsidR="00735179" w:rsidRPr="77CB6E75">
              <w:rPr>
                <w:lang w:val="es-ES"/>
              </w:rPr>
              <w:t>ajo</w:t>
            </w:r>
            <w:r w:rsidRPr="77CB6E75">
              <w:rPr>
                <w:lang w:val="es-ES"/>
              </w:rPr>
              <w:t xml:space="preserve">» si es insignificante. Utilizar variables macroeconómicas como el PIB, la población (para depósitos, </w:t>
            </w:r>
            <w:r w:rsidR="004F6554">
              <w:rPr>
                <w:lang w:val="es-ES"/>
              </w:rPr>
              <w:t>concesión de financiación</w:t>
            </w:r>
            <w:r w:rsidRPr="77CB6E75">
              <w:rPr>
                <w:lang w:val="es-ES"/>
              </w:rPr>
              <w:t xml:space="preserve">, </w:t>
            </w:r>
            <w:r w:rsidR="00B6318F" w:rsidRPr="77CB6E75">
              <w:rPr>
                <w:lang w:val="es-ES"/>
              </w:rPr>
              <w:t xml:space="preserve">servicios de </w:t>
            </w:r>
            <w:r w:rsidRPr="77CB6E75">
              <w:rPr>
                <w:lang w:val="es-ES"/>
              </w:rPr>
              <w:t xml:space="preserve">pago, </w:t>
            </w:r>
            <w:r w:rsidR="00B6318F" w:rsidRPr="77CB6E75">
              <w:rPr>
                <w:lang w:val="es-ES"/>
              </w:rPr>
              <w:t>caja</w:t>
            </w:r>
            <w:r w:rsidRPr="77CB6E75">
              <w:rPr>
                <w:lang w:val="es-ES"/>
              </w:rPr>
              <w:t xml:space="preserve">, liquidación, compensación y custodia) o el tamaño del mercado (para los mercados de capitales y financiación </w:t>
            </w:r>
            <w:r w:rsidR="00B6318F" w:rsidRPr="77CB6E75">
              <w:rPr>
                <w:lang w:val="es-ES"/>
              </w:rPr>
              <w:t>mayorista</w:t>
            </w:r>
            <w:r w:rsidRPr="77CB6E75">
              <w:rPr>
                <w:lang w:val="es-ES"/>
              </w:rPr>
              <w:t xml:space="preserve">) como referencia para esta evaluación cualitativa. </w:t>
            </w:r>
          </w:p>
          <w:p w14:paraId="7FE1BBE3" w14:textId="27BCCC99" w:rsidR="00414040" w:rsidRDefault="00904E1A">
            <w:pPr>
              <w:pStyle w:val="P68B1DB1-TableParagraph13"/>
              <w:spacing w:before="108"/>
              <w:jc w:val="both"/>
            </w:pPr>
            <w:r>
              <w:t xml:space="preserve"> </w:t>
            </w:r>
          </w:p>
          <w:p w14:paraId="7FE1BBE4" w14:textId="06D88045" w:rsidR="00414040" w:rsidRDefault="00292B33">
            <w:pPr>
              <w:pStyle w:val="P68B1DB1-ListParagraph32"/>
              <w:numPr>
                <w:ilvl w:val="0"/>
                <w:numId w:val="120"/>
              </w:numPr>
              <w:spacing w:line="276" w:lineRule="auto"/>
            </w:pPr>
            <w:r>
              <w:t>Juicio</w:t>
            </w:r>
            <w:r w:rsidR="001F2797">
              <w:t xml:space="preserve"> </w:t>
            </w:r>
            <w:r w:rsidR="00904E1A">
              <w:t xml:space="preserve">experto sobre </w:t>
            </w:r>
            <w:r w:rsidR="00780132">
              <w:t>la dimensión</w:t>
            </w:r>
            <w:r w:rsidR="00904E1A">
              <w:t xml:space="preserve"> del </w:t>
            </w:r>
            <w:r w:rsidR="00904E1A">
              <w:rPr>
                <w:b/>
              </w:rPr>
              <w:t>número</w:t>
            </w:r>
            <w:r w:rsidR="00904E1A">
              <w:t xml:space="preserve"> de operaciones (c0100 para los </w:t>
            </w:r>
            <w:r w:rsidR="004017BE">
              <w:t xml:space="preserve">identificadores </w:t>
            </w:r>
            <w:r w:rsidR="00904E1A">
              <w:t xml:space="preserve">de función 3.1, 3.2, 3.3 y 3.4); o número de clientes (c0110 para los </w:t>
            </w:r>
            <w:r w:rsidR="004017BE">
              <w:t xml:space="preserve">identificadores </w:t>
            </w:r>
            <w:r w:rsidR="00904E1A">
              <w:t xml:space="preserve">3.5 y 3.6) desde una perspectiva </w:t>
            </w:r>
            <w:r w:rsidR="00904E1A">
              <w:rPr>
                <w:b/>
              </w:rPr>
              <w:t>nacional</w:t>
            </w:r>
            <w:r w:rsidR="00904E1A">
              <w:t xml:space="preserve"> [</w:t>
            </w:r>
            <w:r w:rsidR="00904E1A">
              <w:rPr>
                <w:i/>
              </w:rPr>
              <w:t xml:space="preserve">a nivel del mercado </w:t>
            </w:r>
            <w:r w:rsidR="00421D8F">
              <w:rPr>
                <w:i/>
              </w:rPr>
              <w:t>relevante</w:t>
            </w:r>
            <w:r w:rsidR="00904E1A">
              <w:t>]:</w:t>
            </w:r>
          </w:p>
          <w:p w14:paraId="7FE1BBE5" w14:textId="4498F69E" w:rsidR="00414040" w:rsidRDefault="00904E1A">
            <w:pPr>
              <w:pStyle w:val="P68B1DB1-ListParagraph32"/>
              <w:numPr>
                <w:ilvl w:val="1"/>
                <w:numId w:val="124"/>
              </w:numPr>
              <w:spacing w:line="276" w:lineRule="auto"/>
            </w:pPr>
            <w:r>
              <w:t xml:space="preserve">Desde una perspectiva nacional, ¿cuál es </w:t>
            </w:r>
            <w:r w:rsidR="008E0D75">
              <w:t>la magnitud d</w:t>
            </w:r>
            <w:r>
              <w:t>el número estimado total de operaciones</w:t>
            </w:r>
            <w:r>
              <w:rPr>
                <w:i/>
              </w:rPr>
              <w:t xml:space="preserve"> o</w:t>
            </w:r>
            <w:r>
              <w:t xml:space="preserve"> el número estimado de clientes de su entidad?</w:t>
            </w:r>
          </w:p>
          <w:p w14:paraId="7FE1BBE6" w14:textId="77777777" w:rsidR="00414040" w:rsidRDefault="00414040">
            <w:pPr>
              <w:spacing w:line="276" w:lineRule="auto"/>
              <w:rPr>
                <w:rFonts w:ascii="Times New Roman" w:hAnsi="Times New Roman"/>
                <w:color w:val="000000" w:themeColor="text1"/>
                <w:sz w:val="20"/>
                <w:szCs w:val="20"/>
              </w:rPr>
            </w:pPr>
          </w:p>
        </w:tc>
      </w:tr>
      <w:tr w:rsidR="00414040" w14:paraId="7FE1BBEE"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E8" w14:textId="77777777" w:rsidR="00414040" w:rsidRDefault="00904E1A">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414040" w:rsidRDefault="00904E1A">
            <w:pPr>
              <w:pStyle w:val="P68B1DB1-TableParagraph14"/>
              <w:spacing w:before="108"/>
              <w:jc w:val="both"/>
              <w:rPr>
                <w:bCs/>
              </w:rPr>
            </w:pPr>
            <w:r>
              <w:t>Indicador transfronterizo</w:t>
            </w:r>
          </w:p>
          <w:p w14:paraId="7FE1BBEA" w14:textId="77777777" w:rsidR="00414040" w:rsidRDefault="00904E1A">
            <w:pPr>
              <w:pStyle w:val="P68B1DB1-TableParagraph13"/>
              <w:spacing w:before="108"/>
              <w:jc w:val="both"/>
            </w:pPr>
            <w:r>
              <w:t>Evaluar la importancia relativa de las actividades transfronterizas para las diferentes funciones económicas.</w:t>
            </w:r>
          </w:p>
          <w:p w14:paraId="7FE1BBEB" w14:textId="14CC246C" w:rsidR="00414040" w:rsidRDefault="00904E1A">
            <w:pPr>
              <w:pStyle w:val="P68B1DB1-TableParagraph13"/>
              <w:spacing w:before="108"/>
              <w:jc w:val="both"/>
            </w:pPr>
            <w:r w:rsidRPr="69E604A3">
              <w:rPr>
                <w:lang w:val="es-ES"/>
              </w:rPr>
              <w:lastRenderedPageBreak/>
              <w:t xml:space="preserve">No es necesario llevar a cabo esta evaluación </w:t>
            </w:r>
            <w:r w:rsidR="00823D1A">
              <w:rPr>
                <w:lang w:val="es-ES"/>
              </w:rPr>
              <w:t>cuando</w:t>
            </w:r>
            <w:r w:rsidR="0094170A">
              <w:rPr>
                <w:lang w:val="es-ES"/>
              </w:rPr>
              <w:t xml:space="preserve"> </w:t>
            </w:r>
            <w:r w:rsidRPr="69E604A3">
              <w:rPr>
                <w:lang w:val="es-ES"/>
              </w:rPr>
              <w:t xml:space="preserve">se considere que el mercado </w:t>
            </w:r>
            <w:r w:rsidR="0094170A">
              <w:rPr>
                <w:lang w:val="es-ES"/>
              </w:rPr>
              <w:t>releva</w:t>
            </w:r>
            <w:r w:rsidR="00BE4463">
              <w:rPr>
                <w:lang w:val="es-ES"/>
              </w:rPr>
              <w:t>nte</w:t>
            </w:r>
            <w:r w:rsidR="0094170A">
              <w:rPr>
                <w:lang w:val="es-ES"/>
              </w:rPr>
              <w:t xml:space="preserve"> </w:t>
            </w:r>
            <w:r w:rsidRPr="69E604A3">
              <w:rPr>
                <w:lang w:val="es-ES"/>
              </w:rPr>
              <w:t xml:space="preserve">es regional. </w:t>
            </w:r>
          </w:p>
          <w:p w14:paraId="31893031" w14:textId="35D056C8" w:rsidR="00414040" w:rsidRDefault="00904E1A">
            <w:pPr>
              <w:pStyle w:val="P68B1DB1-TableParagraph33"/>
              <w:spacing w:before="108"/>
              <w:jc w:val="both"/>
            </w:pPr>
            <w:r>
              <w:t xml:space="preserve">Número de países de la UE en los que </w:t>
            </w:r>
            <w:r w:rsidR="007607C5">
              <w:t>el ente</w:t>
            </w:r>
            <w:r>
              <w:t xml:space="preserve"> </w:t>
            </w:r>
            <w:r w:rsidR="00B33E0B">
              <w:t>declarante</w:t>
            </w:r>
            <w:r w:rsidR="0094170A">
              <w:t xml:space="preserve"> </w:t>
            </w:r>
            <w:r>
              <w:t>tiene una cuota de mercado superior al 2 % (expresado en valor de pago</w:t>
            </w:r>
            <w:r w:rsidR="006E7868">
              <w:t>s</w:t>
            </w:r>
            <w:r>
              <w:t xml:space="preserve">, </w:t>
            </w:r>
            <w:r w:rsidR="001A0C0E">
              <w:t xml:space="preserve">transacciones de </w:t>
            </w:r>
            <w:r>
              <w:t>valores o efectivo, posiciones abiertas de clientes en las ECC, o activos totales en custodia). Inform</w:t>
            </w:r>
            <w:r w:rsidR="00613E1F">
              <w:t>ar</w:t>
            </w:r>
            <w:r>
              <w:t xml:space="preserve">: </w:t>
            </w:r>
          </w:p>
          <w:p w14:paraId="58BCAA6E" w14:textId="090336B0" w:rsidR="00414040" w:rsidRDefault="00904E1A">
            <w:pPr>
              <w:pStyle w:val="P68B1DB1-TableParagraph33"/>
              <w:numPr>
                <w:ilvl w:val="0"/>
                <w:numId w:val="282"/>
              </w:numPr>
              <w:spacing w:before="108"/>
              <w:jc w:val="both"/>
            </w:pPr>
            <w:r>
              <w:t xml:space="preserve">≤ 1 país; </w:t>
            </w:r>
          </w:p>
          <w:p w14:paraId="5B55A7F9" w14:textId="6B3C23F3" w:rsidR="00414040" w:rsidRDefault="00904E1A">
            <w:pPr>
              <w:pStyle w:val="P68B1DB1-TableParagraph33"/>
              <w:numPr>
                <w:ilvl w:val="0"/>
                <w:numId w:val="282"/>
              </w:numPr>
              <w:spacing w:before="108"/>
              <w:jc w:val="both"/>
            </w:pPr>
            <w:r>
              <w:t>2-3 países</w:t>
            </w:r>
          </w:p>
          <w:p w14:paraId="6A334CED" w14:textId="15F946E0" w:rsidR="00414040" w:rsidRDefault="00904E1A">
            <w:pPr>
              <w:pStyle w:val="P68B1DB1-TableParagraph33"/>
              <w:numPr>
                <w:ilvl w:val="0"/>
                <w:numId w:val="282"/>
              </w:numPr>
              <w:spacing w:before="108"/>
              <w:jc w:val="both"/>
            </w:pPr>
            <w:r>
              <w:t xml:space="preserve">4-5 países; </w:t>
            </w:r>
          </w:p>
          <w:p w14:paraId="4D1B0AB8" w14:textId="149E0D5A" w:rsidR="00414040" w:rsidRDefault="00904E1A">
            <w:pPr>
              <w:pStyle w:val="P68B1DB1-TableParagraph33"/>
              <w:numPr>
                <w:ilvl w:val="0"/>
                <w:numId w:val="282"/>
              </w:numPr>
              <w:spacing w:before="108"/>
              <w:jc w:val="both"/>
            </w:pPr>
            <w:r>
              <w:t>&gt; 5 países</w:t>
            </w:r>
            <w:r w:rsidR="006A7A49">
              <w:t xml:space="preserve">. </w:t>
            </w:r>
          </w:p>
          <w:p w14:paraId="7FE1BBED" w14:textId="6A2A41A1" w:rsidR="00414040" w:rsidRDefault="00904E1A">
            <w:pPr>
              <w:pStyle w:val="P68B1DB1-TableParagraph33"/>
              <w:spacing w:before="108"/>
              <w:jc w:val="both"/>
              <w:rPr>
                <w:rFonts w:cs="Times New Roman"/>
                <w:color w:val="000000" w:themeColor="text1"/>
              </w:rPr>
            </w:pPr>
            <w:r>
              <w:t xml:space="preserve"> </w:t>
            </w:r>
          </w:p>
        </w:tc>
      </w:tr>
      <w:tr w:rsidR="00414040" w14:paraId="7FE1BBFD"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EF" w14:textId="77777777" w:rsidR="00414040" w:rsidRDefault="00904E1A">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F0" w14:textId="0E72EF3E" w:rsidR="00414040" w:rsidRDefault="00BC6003">
            <w:pPr>
              <w:pStyle w:val="P68B1DB1-TableParagraph14"/>
              <w:spacing w:before="108"/>
              <w:jc w:val="both"/>
              <w:rPr>
                <w:bCs/>
              </w:rPr>
            </w:pPr>
            <w:r>
              <w:t>Relevancia</w:t>
            </w:r>
            <w:r w:rsidR="00904E1A">
              <w:t xml:space="preserve">— </w:t>
            </w:r>
          </w:p>
          <w:p w14:paraId="7FE1BBF1" w14:textId="6A50E42E" w:rsidR="00414040" w:rsidRDefault="00904E1A">
            <w:pPr>
              <w:pStyle w:val="P68B1DB1-TableParagraph13"/>
              <w:spacing w:before="108"/>
              <w:jc w:val="both"/>
            </w:pPr>
            <w:r>
              <w:t xml:space="preserve">A escala local, regional, nacional o europea, según proceda para el mercado de que se trate. La </w:t>
            </w:r>
            <w:r w:rsidR="00BC6003">
              <w:t>relevancia</w:t>
            </w:r>
            <w:r w:rsidR="00025758">
              <w:t xml:space="preserve"> </w:t>
            </w:r>
            <w:r>
              <w:t>de la entidad podrá evaluarse en función de la cuota de mercado, la interconexión, la complejidad y las actividades transfronterizas.</w:t>
            </w:r>
          </w:p>
          <w:p w14:paraId="7FE1BBF2" w14:textId="77777777" w:rsidR="00414040" w:rsidRDefault="00904E1A">
            <w:pPr>
              <w:pStyle w:val="P68B1DB1-TableParagraph14"/>
              <w:spacing w:before="108"/>
              <w:jc w:val="both"/>
              <w:rPr>
                <w:bCs/>
              </w:rPr>
            </w:pPr>
            <w:r>
              <w:t>Cuota de mercado</w:t>
            </w:r>
          </w:p>
          <w:p w14:paraId="30AC503F" w14:textId="2EFF89E3" w:rsidR="00414040" w:rsidRDefault="00904E1A">
            <w:pPr>
              <w:pStyle w:val="P68B1DB1-Normal31"/>
              <w:spacing w:line="276" w:lineRule="auto"/>
              <w:jc w:val="both"/>
            </w:pPr>
            <w:r>
              <w:t xml:space="preserve">Evaluar la importancia de la cuota de mercado </w:t>
            </w:r>
            <w:r w:rsidR="007A2292">
              <w:t>del ente</w:t>
            </w:r>
            <w:r>
              <w:t xml:space="preserve"> declarante, en comparación con el mercado nacional u otro mercado </w:t>
            </w:r>
            <w:r w:rsidR="00B96216">
              <w:t>relevante</w:t>
            </w:r>
            <w:r>
              <w:t xml:space="preserve">, tal como se indica en la plantilla. Esta evaluación se expresa cualitativamente como: </w:t>
            </w:r>
          </w:p>
          <w:p w14:paraId="5D8F45F8" w14:textId="313D4E29" w:rsidR="00414040" w:rsidRDefault="00FE45C8">
            <w:pPr>
              <w:pStyle w:val="P68B1DB1-ListParagraph32"/>
              <w:numPr>
                <w:ilvl w:val="0"/>
                <w:numId w:val="276"/>
              </w:numPr>
              <w:spacing w:line="276" w:lineRule="auto"/>
              <w:jc w:val="both"/>
            </w:pPr>
            <w:r>
              <w:t>A</w:t>
            </w:r>
            <w:r w:rsidR="00025758">
              <w:t>l</w:t>
            </w:r>
            <w:r>
              <w:t>ta</w:t>
            </w:r>
            <w:r w:rsidR="00904E1A">
              <w:t xml:space="preserve">, si la cuota de mercado es </w:t>
            </w:r>
            <w:r>
              <w:t>alta</w:t>
            </w:r>
          </w:p>
          <w:p w14:paraId="5C7C2710" w14:textId="614798C9" w:rsidR="00414040" w:rsidRDefault="00904E1A">
            <w:pPr>
              <w:pStyle w:val="P68B1DB1-ListParagraph32"/>
              <w:numPr>
                <w:ilvl w:val="0"/>
                <w:numId w:val="276"/>
              </w:numPr>
              <w:spacing w:line="276" w:lineRule="auto"/>
              <w:jc w:val="both"/>
            </w:pPr>
            <w:r>
              <w:t>Medi</w:t>
            </w:r>
            <w:r w:rsidR="00FE45C8">
              <w:t>a</w:t>
            </w:r>
            <w:r>
              <w:t>-alt</w:t>
            </w:r>
            <w:r w:rsidR="00FE45C8">
              <w:t>a</w:t>
            </w:r>
            <w:r>
              <w:t>, si la cuota de mercado es media</w:t>
            </w:r>
          </w:p>
          <w:p w14:paraId="21F38734" w14:textId="011C01AC" w:rsidR="00414040" w:rsidRDefault="00904E1A">
            <w:pPr>
              <w:pStyle w:val="P68B1DB1-ListParagraph32"/>
              <w:numPr>
                <w:ilvl w:val="0"/>
                <w:numId w:val="276"/>
              </w:numPr>
              <w:spacing w:line="276" w:lineRule="auto"/>
              <w:jc w:val="both"/>
            </w:pPr>
            <w:r>
              <w:t>Medi</w:t>
            </w:r>
            <w:r w:rsidR="00FE45C8">
              <w:t>a</w:t>
            </w:r>
            <w:r>
              <w:t>-baj</w:t>
            </w:r>
            <w:r w:rsidR="00FE45C8">
              <w:t>a</w:t>
            </w:r>
            <w:r>
              <w:t xml:space="preserve">, si la cuota de mercado es pequeña o </w:t>
            </w:r>
          </w:p>
          <w:p w14:paraId="16968912" w14:textId="77777777" w:rsidR="00414040" w:rsidRDefault="00904E1A">
            <w:pPr>
              <w:pStyle w:val="P68B1DB1-ListParagraph32"/>
              <w:numPr>
                <w:ilvl w:val="0"/>
                <w:numId w:val="276"/>
              </w:numPr>
              <w:spacing w:line="276" w:lineRule="auto"/>
              <w:jc w:val="both"/>
            </w:pPr>
            <w:r>
              <w:t xml:space="preserve">Baja, si la cuota de mercado es insignificante. </w:t>
            </w:r>
          </w:p>
          <w:p w14:paraId="7FE1BBF7" w14:textId="3931B1D9" w:rsidR="00414040" w:rsidRDefault="00414040">
            <w:pPr>
              <w:pStyle w:val="ListParagraph"/>
              <w:spacing w:line="276" w:lineRule="auto"/>
              <w:jc w:val="both"/>
              <w:rPr>
                <w:rFonts w:ascii="Times New Roman" w:eastAsiaTheme="minorHAnsi" w:hAnsi="Times New Roman"/>
                <w:color w:val="000000" w:themeColor="text1"/>
                <w:sz w:val="20"/>
                <w:szCs w:val="20"/>
              </w:rPr>
            </w:pPr>
          </w:p>
          <w:p w14:paraId="272C8A79" w14:textId="7B845887" w:rsidR="00CB153C" w:rsidRDefault="00904E1A">
            <w:pPr>
              <w:pStyle w:val="P68B1DB1-TableParagraph13"/>
              <w:spacing w:before="108"/>
              <w:jc w:val="both"/>
            </w:pPr>
            <w:r>
              <w:t xml:space="preserve">Esta evaluación tiene en cuenta la estructura del mercado del país </w:t>
            </w:r>
            <w:proofErr w:type="spellStart"/>
            <w:r w:rsidR="00ED29F3">
              <w:t>de</w:t>
            </w:r>
            <w:r w:rsidR="00E30889">
              <w:t xml:space="preserve"> </w:t>
            </w:r>
            <w:r w:rsidR="007A2292">
              <w:t>el</w:t>
            </w:r>
            <w:proofErr w:type="spellEnd"/>
            <w:r w:rsidR="007A2292">
              <w:t xml:space="preserve"> ente</w:t>
            </w:r>
            <w:r>
              <w:t xml:space="preserve"> declarante (u otro mercado </w:t>
            </w:r>
            <w:r w:rsidR="00025758">
              <w:t>releva</w:t>
            </w:r>
            <w:r w:rsidR="00ED29F3">
              <w:t>nte</w:t>
            </w:r>
            <w:r>
              <w:t xml:space="preserve">) y las cuotas de mercado </w:t>
            </w:r>
            <w:r w:rsidR="003E5F30">
              <w:t>declaradas</w:t>
            </w:r>
            <w:r w:rsidR="00E67E96">
              <w:t xml:space="preserve"> </w:t>
            </w:r>
            <w:r>
              <w:t>en la parte 2.</w:t>
            </w:r>
          </w:p>
          <w:p w14:paraId="7FE1BBF9" w14:textId="72C91CD2" w:rsidR="00414040" w:rsidRDefault="00904E1A">
            <w:pPr>
              <w:pStyle w:val="P68B1DB1-TableParagraph13"/>
              <w:spacing w:before="108"/>
              <w:jc w:val="both"/>
            </w:pPr>
            <w:r>
              <w:t>Datos cuantitativos:</w:t>
            </w:r>
          </w:p>
          <w:p w14:paraId="7FE1BBFA" w14:textId="617D8AC1" w:rsidR="00414040" w:rsidRDefault="00ED29F3">
            <w:pPr>
              <w:pStyle w:val="P68B1DB1-ListParagraph32"/>
              <w:numPr>
                <w:ilvl w:val="0"/>
                <w:numId w:val="117"/>
              </w:numPr>
              <w:jc w:val="both"/>
              <w:rPr>
                <w:i/>
                <w:lang w:val="es-ES"/>
              </w:rPr>
            </w:pPr>
            <w:r>
              <w:rPr>
                <w:lang w:val="es-ES"/>
              </w:rPr>
              <w:t>Juicio experto</w:t>
            </w:r>
            <w:r w:rsidR="00E67E96">
              <w:rPr>
                <w:lang w:val="es-ES"/>
              </w:rPr>
              <w:t xml:space="preserve"> </w:t>
            </w:r>
            <w:r w:rsidR="00904E1A" w:rsidRPr="69E604A3">
              <w:rPr>
                <w:lang w:val="es-ES"/>
              </w:rPr>
              <w:t xml:space="preserve">sobre </w:t>
            </w:r>
            <w:r w:rsidR="00E67E96">
              <w:rPr>
                <w:lang w:val="es-ES"/>
              </w:rPr>
              <w:t xml:space="preserve">la dimensión </w:t>
            </w:r>
            <w:r w:rsidR="00904E1A" w:rsidRPr="69E604A3">
              <w:rPr>
                <w:lang w:val="es-ES"/>
              </w:rPr>
              <w:t xml:space="preserve">de la cuota de mercado </w:t>
            </w:r>
            <w:r w:rsidR="00904E1A" w:rsidRPr="69E604A3">
              <w:rPr>
                <w:b/>
                <w:lang w:val="es-ES"/>
              </w:rPr>
              <w:t xml:space="preserve">nacional </w:t>
            </w:r>
            <w:r w:rsidR="00904E1A" w:rsidRPr="69E604A3">
              <w:rPr>
                <w:lang w:val="es-ES"/>
              </w:rPr>
              <w:t>(</w:t>
            </w:r>
            <w:r w:rsidR="001E1268">
              <w:rPr>
                <w:lang w:val="es-ES"/>
              </w:rPr>
              <w:t>declarad</w:t>
            </w:r>
            <w:r w:rsidR="00E67E96">
              <w:rPr>
                <w:lang w:val="es-ES"/>
              </w:rPr>
              <w:t xml:space="preserve">a </w:t>
            </w:r>
            <w:r w:rsidR="00904E1A" w:rsidRPr="69E604A3">
              <w:rPr>
                <w:lang w:val="es-ES"/>
              </w:rPr>
              <w:t xml:space="preserve">en c0020, excepto en los casos en que </w:t>
            </w:r>
            <w:r w:rsidR="00892B1E">
              <w:rPr>
                <w:lang w:val="es-ES"/>
              </w:rPr>
              <w:t>los datos declarados se refieran a un</w:t>
            </w:r>
            <w:r w:rsidR="00E67E96">
              <w:rPr>
                <w:lang w:val="es-ES"/>
              </w:rPr>
              <w:t>a</w:t>
            </w:r>
            <w:r w:rsidR="00892B1E">
              <w:rPr>
                <w:lang w:val="es-ES"/>
              </w:rPr>
              <w:t xml:space="preserve"> </w:t>
            </w:r>
            <w:r w:rsidR="00E67E96">
              <w:rPr>
                <w:lang w:val="es-ES"/>
              </w:rPr>
              <w:t>escala</w:t>
            </w:r>
            <w:r w:rsidR="00892B1E">
              <w:rPr>
                <w:lang w:val="es-ES"/>
              </w:rPr>
              <w:t xml:space="preserve"> de </w:t>
            </w:r>
            <w:r w:rsidR="00904E1A" w:rsidRPr="69E604A3">
              <w:rPr>
                <w:lang w:val="es-ES"/>
              </w:rPr>
              <w:t>mercado</w:t>
            </w:r>
            <w:r w:rsidR="00892B1E">
              <w:rPr>
                <w:lang w:val="es-ES"/>
              </w:rPr>
              <w:t xml:space="preserve"> </w:t>
            </w:r>
            <w:r w:rsidR="00E67E96">
              <w:rPr>
                <w:lang w:val="es-ES"/>
              </w:rPr>
              <w:t>releva</w:t>
            </w:r>
            <w:r w:rsidR="00892B1E">
              <w:rPr>
                <w:lang w:val="es-ES"/>
              </w:rPr>
              <w:t>nte</w:t>
            </w:r>
            <w:r w:rsidR="00904E1A" w:rsidRPr="69E604A3">
              <w:rPr>
                <w:lang w:val="es-ES"/>
              </w:rPr>
              <w:t xml:space="preserve"> diferente; en tales casos deberá presentarse una evaluación de</w:t>
            </w:r>
            <w:r w:rsidR="00913464">
              <w:rPr>
                <w:lang w:val="es-ES"/>
              </w:rPr>
              <w:t xml:space="preserve"> </w:t>
            </w:r>
            <w:r w:rsidR="00904E1A" w:rsidRPr="69E604A3">
              <w:rPr>
                <w:lang w:val="es-ES"/>
              </w:rPr>
              <w:t>l</w:t>
            </w:r>
            <w:r w:rsidR="00913464">
              <w:rPr>
                <w:lang w:val="es-ES"/>
              </w:rPr>
              <w:t>a cuota de</w:t>
            </w:r>
            <w:r w:rsidR="00904E1A" w:rsidRPr="69E604A3">
              <w:rPr>
                <w:lang w:val="es-ES"/>
              </w:rPr>
              <w:t xml:space="preserve"> mercado </w:t>
            </w:r>
            <w:r w:rsidR="00E67E96">
              <w:rPr>
                <w:lang w:val="es-ES"/>
              </w:rPr>
              <w:t>releva</w:t>
            </w:r>
            <w:r w:rsidR="00892B1E">
              <w:rPr>
                <w:lang w:val="es-ES"/>
              </w:rPr>
              <w:t>nte</w:t>
            </w:r>
            <w:r w:rsidR="00904E1A" w:rsidRPr="69E604A3">
              <w:rPr>
                <w:lang w:val="es-ES"/>
              </w:rPr>
              <w:t>).</w:t>
            </w:r>
          </w:p>
          <w:p w14:paraId="7FE1BBFB" w14:textId="77777777" w:rsidR="00414040" w:rsidRDefault="00414040">
            <w:pPr>
              <w:pStyle w:val="TableParagraph"/>
              <w:spacing w:before="108"/>
              <w:jc w:val="both"/>
              <w:rPr>
                <w:rFonts w:ascii="Times New Roman" w:hAnsi="Times New Roman" w:cs="Times New Roman"/>
                <w:color w:val="000000" w:themeColor="text1"/>
                <w:sz w:val="20"/>
                <w:szCs w:val="20"/>
              </w:rPr>
            </w:pPr>
          </w:p>
          <w:p w14:paraId="7FE1BBFC"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C09"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BFE" w14:textId="77777777" w:rsidR="00414040" w:rsidRDefault="00904E1A">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414040" w:rsidRDefault="00904E1A">
            <w:pPr>
              <w:pStyle w:val="P68B1DB1-TableParagraph14"/>
              <w:spacing w:before="108"/>
              <w:jc w:val="both"/>
              <w:rPr>
                <w:bCs/>
              </w:rPr>
            </w:pPr>
            <w:r>
              <w:t>Estructura del mercado — Concentración del mercado</w:t>
            </w:r>
          </w:p>
          <w:p w14:paraId="7FE1BC03" w14:textId="4BF7AA76" w:rsidR="00414040" w:rsidRDefault="00904E1A">
            <w:pPr>
              <w:pStyle w:val="P68B1DB1-TableParagraph13"/>
              <w:spacing w:before="108"/>
              <w:jc w:val="both"/>
            </w:pPr>
            <w:r>
              <w:t xml:space="preserve">La concentración del mercado, medida por el número de competidores que </w:t>
            </w:r>
            <w:r w:rsidR="000C05F6">
              <w:t>desempeñan</w:t>
            </w:r>
            <w:r w:rsidR="00E67E96">
              <w:t xml:space="preserve"> </w:t>
            </w:r>
            <w:proofErr w:type="gramStart"/>
            <w:r>
              <w:t xml:space="preserve">actualmente </w:t>
            </w:r>
            <w:r w:rsidR="00694516">
              <w:t xml:space="preserve"> </w:t>
            </w:r>
            <w:r>
              <w:t>funciones</w:t>
            </w:r>
            <w:proofErr w:type="gramEnd"/>
            <w:r>
              <w:t xml:space="preserve"> económicas similares </w:t>
            </w:r>
            <w:r w:rsidR="00694516">
              <w:t>u</w:t>
            </w:r>
            <w:r w:rsidR="00317BAE">
              <w:t xml:space="preserve"> ofrecen</w:t>
            </w:r>
            <w:r w:rsidR="008358CF">
              <w:t xml:space="preserve"> </w:t>
            </w:r>
            <w:r>
              <w:t xml:space="preserve">servicios similares en condiciones </w:t>
            </w:r>
            <w:r w:rsidR="00317BAE">
              <w:t xml:space="preserve">equivalentes </w:t>
            </w:r>
            <w:r>
              <w:t xml:space="preserve">(es decir, </w:t>
            </w:r>
            <w:r w:rsidR="00317BAE">
              <w:t>con un</w:t>
            </w:r>
            <w:r w:rsidR="00694516">
              <w:t xml:space="preserve"> </w:t>
            </w:r>
            <w:r w:rsidRPr="69E604A3">
              <w:rPr>
                <w:lang w:val="es-ES"/>
              </w:rPr>
              <w:t xml:space="preserve">alcance y calidad comparables y </w:t>
            </w:r>
            <w:r w:rsidR="00317BAE">
              <w:rPr>
                <w:lang w:val="es-ES"/>
              </w:rPr>
              <w:t>a</w:t>
            </w:r>
            <w:r w:rsidR="00694516">
              <w:rPr>
                <w:lang w:val="es-ES"/>
              </w:rPr>
              <w:t xml:space="preserve"> </w:t>
            </w:r>
            <w:r w:rsidRPr="69E604A3">
              <w:rPr>
                <w:lang w:val="es-ES"/>
              </w:rPr>
              <w:t xml:space="preserve">un coste comparable) que </w:t>
            </w:r>
            <w:r w:rsidR="00317BAE">
              <w:rPr>
                <w:lang w:val="es-ES"/>
              </w:rPr>
              <w:t xml:space="preserve">potencialmente podrían </w:t>
            </w:r>
            <w:r w:rsidRPr="69E604A3">
              <w:rPr>
                <w:lang w:val="es-ES"/>
              </w:rPr>
              <w:t>asumir el control</w:t>
            </w:r>
            <w:r w:rsidR="00694516">
              <w:rPr>
                <w:lang w:val="es-ES"/>
              </w:rPr>
              <w:t xml:space="preserve"> de </w:t>
            </w:r>
            <w:r w:rsidRPr="25F34CF5">
              <w:rPr>
                <w:lang w:val="es-ES"/>
              </w:rPr>
              <w:t xml:space="preserve">(parte de) los clientes o actividades </w:t>
            </w:r>
            <w:r w:rsidR="007A2292">
              <w:rPr>
                <w:lang w:val="es-ES"/>
              </w:rPr>
              <w:t>del ente</w:t>
            </w:r>
            <w:r w:rsidRPr="25F34CF5">
              <w:rPr>
                <w:lang w:val="es-ES"/>
              </w:rPr>
              <w:t xml:space="preserve"> declarante en un plazo razonable. </w:t>
            </w:r>
          </w:p>
          <w:p w14:paraId="7FE1BC04" w14:textId="53A7996E" w:rsidR="00414040" w:rsidRDefault="00904E1A">
            <w:pPr>
              <w:pStyle w:val="P68B1DB1-TableParagraph13"/>
              <w:spacing w:before="108"/>
              <w:jc w:val="both"/>
            </w:pPr>
            <w:r>
              <w:t>Est</w:t>
            </w:r>
            <w:r w:rsidR="00317BAE">
              <w:t>a información</w:t>
            </w:r>
            <w:r>
              <w:t xml:space="preserve"> debe </w:t>
            </w:r>
            <w:r w:rsidR="00317BAE">
              <w:t>declararse</w:t>
            </w:r>
            <w:r w:rsidR="00461A79">
              <w:t xml:space="preserve"> </w:t>
            </w:r>
            <w:r>
              <w:t xml:space="preserve">en segmentos, que son los mismos para cada subfunción. </w:t>
            </w:r>
          </w:p>
          <w:p w14:paraId="4C2F14CB" w14:textId="77777777" w:rsidR="00414040" w:rsidRDefault="00904E1A">
            <w:pPr>
              <w:pStyle w:val="P68B1DB1-ListParagraph32"/>
              <w:numPr>
                <w:ilvl w:val="0"/>
                <w:numId w:val="277"/>
              </w:numPr>
              <w:jc w:val="both"/>
            </w:pPr>
            <w:r>
              <w:t xml:space="preserve">&gt; 20 competidores; </w:t>
            </w:r>
          </w:p>
          <w:p w14:paraId="453D853E" w14:textId="77777777" w:rsidR="00414040" w:rsidRDefault="00904E1A">
            <w:pPr>
              <w:pStyle w:val="P68B1DB1-ListParagraph32"/>
              <w:numPr>
                <w:ilvl w:val="0"/>
                <w:numId w:val="277"/>
              </w:numPr>
              <w:jc w:val="both"/>
            </w:pPr>
            <w:r>
              <w:t xml:space="preserve">11-20 competidores; </w:t>
            </w:r>
          </w:p>
          <w:p w14:paraId="642D6421" w14:textId="77777777" w:rsidR="00414040" w:rsidRDefault="00904E1A">
            <w:pPr>
              <w:pStyle w:val="P68B1DB1-ListParagraph32"/>
              <w:numPr>
                <w:ilvl w:val="0"/>
                <w:numId w:val="277"/>
              </w:numPr>
              <w:jc w:val="both"/>
            </w:pPr>
            <w:r>
              <w:t xml:space="preserve">5-10 competidores, </w:t>
            </w:r>
          </w:p>
          <w:p w14:paraId="3C672034" w14:textId="6347F1C3" w:rsidR="00414040" w:rsidRDefault="0055374F">
            <w:pPr>
              <w:pStyle w:val="P68B1DB1-ListParagraph32"/>
              <w:numPr>
                <w:ilvl w:val="0"/>
                <w:numId w:val="277"/>
              </w:numPr>
              <w:jc w:val="both"/>
              <w:rPr>
                <w:b/>
                <w:bCs/>
                <w:color w:val="000000" w:themeColor="text1"/>
              </w:rPr>
            </w:pPr>
            <w:r>
              <w:t>&lt;</w:t>
            </w:r>
            <w:r w:rsidR="00904E1A">
              <w:t>5 competidores</w:t>
            </w:r>
            <w:r>
              <w:t>.</w:t>
            </w:r>
          </w:p>
          <w:p w14:paraId="7FE1BC08" w14:textId="3B09659F" w:rsidR="00414040" w:rsidRDefault="00414040">
            <w:pPr>
              <w:jc w:val="both"/>
              <w:rPr>
                <w:rFonts w:ascii="Times New Roman" w:hAnsi="Times New Roman"/>
                <w:color w:val="000000" w:themeColor="text1"/>
                <w:sz w:val="20"/>
                <w:szCs w:val="20"/>
              </w:rPr>
            </w:pPr>
          </w:p>
        </w:tc>
      </w:tr>
      <w:tr w:rsidR="00414040" w14:paraId="7FE1BC19"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C0A" w14:textId="77777777" w:rsidR="00414040" w:rsidRDefault="00904E1A">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414040" w:rsidRDefault="00904E1A">
            <w:pPr>
              <w:pStyle w:val="P68B1DB1-TableParagraph14"/>
              <w:spacing w:before="108"/>
              <w:jc w:val="both"/>
              <w:rPr>
                <w:bCs/>
              </w:rPr>
            </w:pPr>
            <w:r>
              <w:t>Calendario — Tiempo previsto para la sustitución</w:t>
            </w:r>
          </w:p>
          <w:p w14:paraId="7FE1BC0D" w14:textId="7BDC861B" w:rsidR="00414040" w:rsidRDefault="00904E1A">
            <w:pPr>
              <w:pStyle w:val="P68B1DB1-TableParagraph13"/>
              <w:spacing w:before="108"/>
              <w:jc w:val="both"/>
            </w:pPr>
            <w:r>
              <w:lastRenderedPageBreak/>
              <w:t xml:space="preserve">Estimar el tiempo necesario para </w:t>
            </w:r>
            <w:r w:rsidR="00E31465">
              <w:t xml:space="preserve">que </w:t>
            </w:r>
            <w:r>
              <w:t xml:space="preserve">la función económica </w:t>
            </w:r>
            <w:r w:rsidR="00E31465">
              <w:t>desempeñada</w:t>
            </w:r>
            <w:r w:rsidR="00461A79">
              <w:t xml:space="preserve"> </w:t>
            </w:r>
            <w:r>
              <w:t xml:space="preserve">por </w:t>
            </w:r>
            <w:proofErr w:type="gramStart"/>
            <w:r w:rsidR="002573CC">
              <w:t xml:space="preserve">el </w:t>
            </w:r>
            <w:r w:rsidR="00304471">
              <w:rPr>
                <w:lang w:val="es-ES"/>
              </w:rPr>
              <w:t xml:space="preserve"> </w:t>
            </w:r>
            <w:r w:rsidR="002573CC">
              <w:rPr>
                <w:lang w:val="es-ES"/>
              </w:rPr>
              <w:t>ente</w:t>
            </w:r>
            <w:proofErr w:type="gramEnd"/>
            <w:r w:rsidR="002573CC" w:rsidRPr="69E604A3">
              <w:rPr>
                <w:lang w:val="es-ES"/>
              </w:rPr>
              <w:t xml:space="preserve"> </w:t>
            </w:r>
            <w:r w:rsidR="00E31465">
              <w:rPr>
                <w:lang w:val="es-ES"/>
              </w:rPr>
              <w:t>declarante sea</w:t>
            </w:r>
            <w:r w:rsidR="00461A79">
              <w:rPr>
                <w:lang w:val="es-ES"/>
              </w:rPr>
              <w:t xml:space="preserve"> </w:t>
            </w:r>
            <w:r w:rsidRPr="69E604A3">
              <w:rPr>
                <w:lang w:val="es-ES"/>
              </w:rPr>
              <w:t xml:space="preserve">absorbida por el mercado en una situación de crisis. </w:t>
            </w:r>
            <w:r w:rsidR="00E31465">
              <w:rPr>
                <w:lang w:val="es-ES"/>
              </w:rPr>
              <w:t>Incluye</w:t>
            </w:r>
            <w:r w:rsidRPr="69E604A3">
              <w:rPr>
                <w:lang w:val="es-ES"/>
              </w:rPr>
              <w:t xml:space="preserve">: </w:t>
            </w:r>
          </w:p>
          <w:p w14:paraId="7FE1BC0E" w14:textId="4E91DAE2" w:rsidR="00414040" w:rsidRDefault="00904E1A">
            <w:pPr>
              <w:pStyle w:val="P68B1DB1-ListParagraph38"/>
              <w:numPr>
                <w:ilvl w:val="0"/>
                <w:numId w:val="274"/>
              </w:numPr>
              <w:jc w:val="both"/>
            </w:pPr>
            <w:r>
              <w:t xml:space="preserve">el tiempo previsto que </w:t>
            </w:r>
            <w:r w:rsidR="00E31465">
              <w:t>necesitaría</w:t>
            </w:r>
            <w:r w:rsidR="00694516">
              <w:t>n</w:t>
            </w:r>
            <w:r w:rsidR="00E31465">
              <w:t xml:space="preserve"> </w:t>
            </w:r>
            <w:r>
              <w:t xml:space="preserve">uno o varios competidores para </w:t>
            </w:r>
            <w:r w:rsidR="00E31465">
              <w:t>completar</w:t>
            </w:r>
            <w:r>
              <w:t>l</w:t>
            </w:r>
            <w:r w:rsidR="00E31465">
              <w:t>o</w:t>
            </w:r>
            <w:r>
              <w:t xml:space="preserve">s </w:t>
            </w:r>
            <w:r w:rsidR="00E31465">
              <w:t>pasos</w:t>
            </w:r>
            <w:r w:rsidR="00461A79">
              <w:t xml:space="preserve"> </w:t>
            </w:r>
            <w:r>
              <w:t>jurídic</w:t>
            </w:r>
            <w:r w:rsidR="00E31465">
              <w:t>o</w:t>
            </w:r>
            <w:r>
              <w:t>s y técnic</w:t>
            </w:r>
            <w:r w:rsidR="00E31465">
              <w:t>o</w:t>
            </w:r>
            <w:r>
              <w:t>s necesari</w:t>
            </w:r>
            <w:r w:rsidR="00E31465">
              <w:t>o</w:t>
            </w:r>
            <w:r>
              <w:t xml:space="preserve">s para asumir la función; así como  </w:t>
            </w:r>
          </w:p>
          <w:p w14:paraId="7FE1BC0F" w14:textId="4C86ED89" w:rsidR="00414040" w:rsidRDefault="00904E1A">
            <w:pPr>
              <w:pStyle w:val="P68B1DB1-ListParagraph38"/>
              <w:numPr>
                <w:ilvl w:val="0"/>
                <w:numId w:val="274"/>
              </w:numPr>
              <w:jc w:val="both"/>
            </w:pPr>
            <w:r>
              <w:t xml:space="preserve">el tiempo que necesitan los usuarios del servicio para </w:t>
            </w:r>
            <w:r w:rsidR="00E31465">
              <w:t>cambiar</w:t>
            </w:r>
            <w:r w:rsidR="00E4240E">
              <w:t xml:space="preserve"> </w:t>
            </w:r>
            <w:r>
              <w:t xml:space="preserve">a otro proveedor de servicios. </w:t>
            </w:r>
          </w:p>
          <w:p w14:paraId="7FE1BC10" w14:textId="77777777" w:rsidR="00414040" w:rsidRDefault="00414040">
            <w:pPr>
              <w:pStyle w:val="TableParagraph"/>
              <w:spacing w:before="108"/>
              <w:jc w:val="both"/>
              <w:rPr>
                <w:rFonts w:ascii="Times New Roman" w:hAnsi="Times New Roman" w:cs="Times New Roman"/>
                <w:color w:val="000000" w:themeColor="text1"/>
                <w:sz w:val="20"/>
                <w:szCs w:val="20"/>
              </w:rPr>
            </w:pPr>
          </w:p>
          <w:p w14:paraId="7FE1BC11" w14:textId="7E535A76" w:rsidR="00414040" w:rsidRDefault="00904E1A">
            <w:pPr>
              <w:pStyle w:val="P68B1DB1-TableParagraph13"/>
              <w:spacing w:before="108"/>
              <w:jc w:val="both"/>
            </w:pPr>
            <w:r w:rsidRPr="57D84BD5">
              <w:rPr>
                <w:lang w:val="es-ES"/>
              </w:rPr>
              <w:t xml:space="preserve">Como </w:t>
            </w:r>
            <w:r w:rsidR="00E31465" w:rsidRPr="57D84BD5">
              <w:rPr>
                <w:lang w:val="es-ES"/>
              </w:rPr>
              <w:t>aproximación</w:t>
            </w:r>
            <w:r w:rsidR="00461A79" w:rsidRPr="57D84BD5">
              <w:rPr>
                <w:lang w:val="es-ES"/>
              </w:rPr>
              <w:t xml:space="preserve"> </w:t>
            </w:r>
            <w:r w:rsidRPr="57D84BD5">
              <w:rPr>
                <w:lang w:val="es-ES"/>
              </w:rPr>
              <w:t xml:space="preserve">del primero, proporcione una estimación del tiempo que le llevaría </w:t>
            </w:r>
            <w:r w:rsidR="007A2292">
              <w:rPr>
                <w:lang w:val="es-ES"/>
              </w:rPr>
              <w:t>al ente</w:t>
            </w:r>
            <w:r w:rsidRPr="57D84BD5">
              <w:rPr>
                <w:lang w:val="es-ES"/>
              </w:rPr>
              <w:t xml:space="preserve"> </w:t>
            </w:r>
            <w:r w:rsidR="00E31465" w:rsidRPr="57D84BD5">
              <w:rPr>
                <w:lang w:val="es-ES"/>
              </w:rPr>
              <w:t>declarante</w:t>
            </w:r>
            <w:r w:rsidRPr="57D84BD5">
              <w:rPr>
                <w:lang w:val="es-ES"/>
              </w:rPr>
              <w:t xml:space="preserve"> absorber en su propi</w:t>
            </w:r>
            <w:r w:rsidR="00E31465" w:rsidRPr="57D84BD5">
              <w:rPr>
                <w:lang w:val="es-ES"/>
              </w:rPr>
              <w:t>o</w:t>
            </w:r>
            <w:r w:rsidRPr="57D84BD5">
              <w:rPr>
                <w:lang w:val="es-ES"/>
              </w:rPr>
              <w:t xml:space="preserve"> </w:t>
            </w:r>
            <w:r w:rsidR="00E31465" w:rsidRPr="57D84BD5">
              <w:rPr>
                <w:lang w:val="es-ES"/>
              </w:rPr>
              <w:t>negocio</w:t>
            </w:r>
            <w:r w:rsidR="00304471">
              <w:rPr>
                <w:lang w:val="es-ES"/>
              </w:rPr>
              <w:t xml:space="preserve"> </w:t>
            </w:r>
            <w:r w:rsidRPr="57D84BD5">
              <w:rPr>
                <w:lang w:val="es-ES"/>
              </w:rPr>
              <w:t>(parte de) el servicio prestado por otra entidad, a un coste razonable, en una situación de crisis. Indíquese el tiempo estimado para la sustitución en los segmentos facilitados en la plantilla:</w:t>
            </w:r>
          </w:p>
          <w:p w14:paraId="7FE1BC12" w14:textId="77777777" w:rsidR="00414040" w:rsidRDefault="00414040">
            <w:pPr>
              <w:jc w:val="both"/>
              <w:rPr>
                <w:rFonts w:ascii="Times New Roman" w:eastAsia="Times New Roman" w:hAnsi="Times New Roman" w:cs="Times New Roman"/>
                <w:sz w:val="20"/>
                <w:szCs w:val="20"/>
              </w:rPr>
            </w:pPr>
          </w:p>
          <w:p w14:paraId="7FE1BC13" w14:textId="77777777" w:rsidR="00414040" w:rsidRDefault="00904E1A">
            <w:pPr>
              <w:pStyle w:val="P68B1DB1-Normal31"/>
              <w:jc w:val="both"/>
            </w:pPr>
            <w:bookmarkStart w:id="118" w:name="_Hlk194476081"/>
            <w:r>
              <w:t xml:space="preserve">Segmentos: </w:t>
            </w:r>
          </w:p>
          <w:p w14:paraId="7FE1BC14" w14:textId="5FD99AE4" w:rsidR="00414040" w:rsidRDefault="00BC3948">
            <w:pPr>
              <w:pStyle w:val="P68B1DB1-ListParagraph32"/>
              <w:numPr>
                <w:ilvl w:val="0"/>
                <w:numId w:val="284"/>
              </w:numPr>
              <w:jc w:val="both"/>
            </w:pPr>
            <w:r>
              <w:t>&lt;</w:t>
            </w:r>
            <w:r w:rsidR="00904E1A">
              <w:t xml:space="preserve">1 día; </w:t>
            </w:r>
          </w:p>
          <w:p w14:paraId="7FE1BC15" w14:textId="15883A0D" w:rsidR="00414040" w:rsidRDefault="00904E1A">
            <w:pPr>
              <w:pStyle w:val="P68B1DB1-ListParagraph32"/>
              <w:numPr>
                <w:ilvl w:val="0"/>
                <w:numId w:val="284"/>
              </w:numPr>
              <w:jc w:val="both"/>
            </w:pPr>
            <w:r>
              <w:t xml:space="preserve">De 1 a 2 días; </w:t>
            </w:r>
          </w:p>
          <w:p w14:paraId="7FE1BC16" w14:textId="0B950876" w:rsidR="00414040" w:rsidRDefault="00904E1A">
            <w:pPr>
              <w:pStyle w:val="P68B1DB1-ListParagraph32"/>
              <w:numPr>
                <w:ilvl w:val="0"/>
                <w:numId w:val="284"/>
              </w:numPr>
              <w:jc w:val="both"/>
            </w:pPr>
            <w:r>
              <w:t xml:space="preserve">&gt; 2 días ≤ 1 semana </w:t>
            </w:r>
          </w:p>
          <w:p w14:paraId="7FE1BC17" w14:textId="0973D87D" w:rsidR="00414040" w:rsidRDefault="00904E1A">
            <w:pPr>
              <w:pStyle w:val="P68B1DB1-ListParagraph32"/>
              <w:numPr>
                <w:ilvl w:val="0"/>
                <w:numId w:val="284"/>
              </w:numPr>
              <w:jc w:val="both"/>
            </w:pPr>
            <w:r>
              <w:t xml:space="preserve">&gt; 1 semana. </w:t>
            </w:r>
          </w:p>
          <w:bookmarkEnd w:id="118"/>
          <w:p w14:paraId="7FE1BC18"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C1C"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C1A" w14:textId="77777777" w:rsidR="00414040" w:rsidRDefault="00904E1A">
            <w:pPr>
              <w:pStyle w:val="P68B1DB1-TableParagraph17"/>
              <w:spacing w:before="108"/>
              <w:jc w:val="both"/>
            </w:pPr>
            <w:r>
              <w:lastRenderedPageBreak/>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414040" w:rsidRDefault="00904E1A">
            <w:pPr>
              <w:pStyle w:val="P68B1DB1-TableParagraph14"/>
              <w:spacing w:before="108"/>
              <w:jc w:val="both"/>
              <w:rPr>
                <w:bCs/>
              </w:rPr>
            </w:pPr>
            <w:r>
              <w:t>Capacidad de sustitución</w:t>
            </w:r>
          </w:p>
        </w:tc>
      </w:tr>
      <w:tr w:rsidR="00414040" w14:paraId="7FE1BC26"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C1D" w14:textId="77777777" w:rsidR="00414040" w:rsidRDefault="00904E1A">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3A180787" w:rsidR="00414040" w:rsidRDefault="004D6C0C">
            <w:pPr>
              <w:pStyle w:val="P68B1DB1-TableParagraph14"/>
              <w:spacing w:before="108"/>
              <w:jc w:val="both"/>
              <w:rPr>
                <w:bCs/>
              </w:rPr>
            </w:pPr>
            <w:r>
              <w:t xml:space="preserve">Barreras </w:t>
            </w:r>
            <w:r w:rsidR="00904E1A">
              <w:t>legales a la entrada o la expansión</w:t>
            </w:r>
          </w:p>
          <w:p w14:paraId="7FE1BC1F" w14:textId="77777777" w:rsidR="00414040" w:rsidRDefault="00414040">
            <w:pPr>
              <w:pStyle w:val="TableParagraph"/>
              <w:spacing w:before="108"/>
              <w:jc w:val="both"/>
              <w:rPr>
                <w:rFonts w:ascii="Times New Roman" w:hAnsi="Times New Roman" w:cs="Times New Roman"/>
                <w:color w:val="000000" w:themeColor="text1"/>
                <w:sz w:val="20"/>
                <w:szCs w:val="20"/>
              </w:rPr>
            </w:pPr>
          </w:p>
          <w:p w14:paraId="7FE1BC20" w14:textId="3860C767" w:rsidR="00414040" w:rsidRDefault="004D6C0C">
            <w:pPr>
              <w:pStyle w:val="P68B1DB1-TableParagraph13"/>
              <w:spacing w:before="108"/>
              <w:jc w:val="both"/>
            </w:pPr>
            <w:r>
              <w:t>Barreras legales</w:t>
            </w:r>
            <w:r w:rsidR="00E4240E">
              <w:t xml:space="preserve"> </w:t>
            </w:r>
            <w:r w:rsidR="00904E1A">
              <w:t xml:space="preserve">para que los competidores ofrezcan el servicio. Los requisitos legales para el ejercicio de la actividad de las entidades de crédito (por ejemplo, licencias bancarias o requisitos de capital) no deben considerarse </w:t>
            </w:r>
            <w:r>
              <w:t>barreras</w:t>
            </w:r>
            <w:r w:rsidR="00E4240E">
              <w:t xml:space="preserve"> </w:t>
            </w:r>
            <w:r w:rsidR="00904E1A">
              <w:t xml:space="preserve">insuperables </w:t>
            </w:r>
            <w:r>
              <w:t>cuando existan</w:t>
            </w:r>
            <w:r w:rsidR="00E4240E">
              <w:t xml:space="preserve"> </w:t>
            </w:r>
            <w:r w:rsidR="00904E1A">
              <w:t xml:space="preserve">proveedores alternativos. Este indicador debe </w:t>
            </w:r>
            <w:r w:rsidR="00071A1E">
              <w:t>reportarse</w:t>
            </w:r>
            <w:r w:rsidR="00E4240E">
              <w:t xml:space="preserve"> </w:t>
            </w:r>
            <w:r w:rsidR="00904E1A">
              <w:t xml:space="preserve">en segmentos, que son los mismos para cada subfunción: </w:t>
            </w:r>
          </w:p>
          <w:p w14:paraId="7FE1BC21" w14:textId="474C67C3" w:rsidR="00414040" w:rsidRDefault="00904E1A">
            <w:pPr>
              <w:pStyle w:val="P68B1DB1-ListParagraph39"/>
              <w:numPr>
                <w:ilvl w:val="0"/>
                <w:numId w:val="275"/>
              </w:numPr>
              <w:jc w:val="both"/>
            </w:pPr>
            <w:r>
              <w:t xml:space="preserve">no hay barreras importantes, </w:t>
            </w:r>
          </w:p>
          <w:p w14:paraId="7FE1BC22" w14:textId="56EF5B96" w:rsidR="00414040" w:rsidRDefault="00904E1A">
            <w:pPr>
              <w:pStyle w:val="P68B1DB1-ListParagraph39"/>
              <w:numPr>
                <w:ilvl w:val="0"/>
                <w:numId w:val="275"/>
              </w:numPr>
              <w:jc w:val="both"/>
            </w:pPr>
            <w:r>
              <w:t>algun</w:t>
            </w:r>
            <w:r w:rsidR="00694516">
              <w:t>a</w:t>
            </w:r>
            <w:r>
              <w:t xml:space="preserve">s </w:t>
            </w:r>
            <w:r w:rsidR="00DF1235">
              <w:t>barreras</w:t>
            </w:r>
            <w:r>
              <w:t xml:space="preserve">, </w:t>
            </w:r>
          </w:p>
          <w:p w14:paraId="7FE1BC23" w14:textId="78601E46" w:rsidR="00414040" w:rsidRDefault="00904E1A">
            <w:pPr>
              <w:pStyle w:val="P68B1DB1-ListParagraph39"/>
              <w:numPr>
                <w:ilvl w:val="0"/>
                <w:numId w:val="275"/>
              </w:numPr>
              <w:jc w:val="both"/>
            </w:pPr>
            <w:r>
              <w:t xml:space="preserve">barreras importantes (pero superables), </w:t>
            </w:r>
          </w:p>
          <w:p w14:paraId="7FE1BC25" w14:textId="12D666ED" w:rsidR="00414040" w:rsidRDefault="00904E1A">
            <w:pPr>
              <w:pStyle w:val="P68B1DB1-ListParagraph8"/>
              <w:numPr>
                <w:ilvl w:val="0"/>
                <w:numId w:val="275"/>
              </w:numPr>
              <w:jc w:val="both"/>
            </w:pPr>
            <w:r>
              <w:t>barreras críticas (difíciles de superar).</w:t>
            </w:r>
          </w:p>
        </w:tc>
      </w:tr>
      <w:tr w:rsidR="00414040" w14:paraId="7FE1BC31" w14:textId="77777777" w:rsidTr="00A73313">
        <w:trPr>
          <w:trHeight w:val="300"/>
        </w:trPr>
        <w:tc>
          <w:tcPr>
            <w:tcW w:w="1080" w:type="dxa"/>
            <w:tcBorders>
              <w:top w:val="single" w:sz="4" w:space="0" w:color="1A171C"/>
              <w:left w:val="nil"/>
              <w:bottom w:val="single" w:sz="4" w:space="0" w:color="1A171C"/>
              <w:right w:val="single" w:sz="4" w:space="0" w:color="1A171C"/>
            </w:tcBorders>
            <w:vAlign w:val="center"/>
          </w:tcPr>
          <w:p w14:paraId="7FE1BC27" w14:textId="77777777" w:rsidR="00414040" w:rsidRDefault="00904E1A">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414040" w:rsidRDefault="00904E1A">
            <w:pPr>
              <w:pStyle w:val="P68B1DB1-TableParagraph14"/>
              <w:spacing w:before="108"/>
              <w:jc w:val="both"/>
              <w:rPr>
                <w:bCs/>
              </w:rPr>
            </w:pPr>
            <w:r>
              <w:t>Requisitos operativos para la entrada o la expansión</w:t>
            </w:r>
          </w:p>
          <w:p w14:paraId="7FE1BC29" w14:textId="77777777" w:rsidR="00414040" w:rsidRDefault="00414040">
            <w:pPr>
              <w:pStyle w:val="TableParagraph"/>
              <w:spacing w:before="108"/>
              <w:jc w:val="both"/>
              <w:rPr>
                <w:rFonts w:ascii="Times New Roman" w:hAnsi="Times New Roman" w:cs="Times New Roman"/>
                <w:color w:val="000000" w:themeColor="text1"/>
                <w:sz w:val="20"/>
                <w:szCs w:val="20"/>
              </w:rPr>
            </w:pPr>
          </w:p>
          <w:p w14:paraId="7FE1BC2A" w14:textId="15F9DDB9" w:rsidR="00414040" w:rsidRDefault="00904E1A">
            <w:pPr>
              <w:pStyle w:val="P68B1DB1-TableParagraph13"/>
              <w:spacing w:before="108"/>
              <w:jc w:val="both"/>
            </w:pPr>
            <w:r>
              <w:t xml:space="preserve">Requisitos organizativos, técnicos y de infraestructura para que los competidores ofrezcan el servicio. Ofrecer los servicios relacionados con la (sub)función requiere que los proveedores inviertan en infraestructuras (nuevas o adicionales) o modifiquen sus </w:t>
            </w:r>
            <w:r w:rsidR="000B18CC">
              <w:t>estructuras organizativas</w:t>
            </w:r>
            <w:r>
              <w:t xml:space="preserve">. Evaluar la capacidad del mercado para absorber la actividad en cuestión, por ejemplo, en términos de requisitos de capital. </w:t>
            </w:r>
          </w:p>
          <w:p w14:paraId="7FE1BC2B" w14:textId="2DBBB1F0" w:rsidR="00414040" w:rsidRDefault="00904E1A">
            <w:pPr>
              <w:pStyle w:val="P68B1DB1-TableParagraph13"/>
              <w:spacing w:before="108"/>
              <w:jc w:val="both"/>
            </w:pPr>
            <w:r>
              <w:t xml:space="preserve">Este indicador debe </w:t>
            </w:r>
            <w:r w:rsidR="007E66FE">
              <w:t>informarse</w:t>
            </w:r>
            <w:r w:rsidR="00E4240E">
              <w:t xml:space="preserve"> </w:t>
            </w:r>
            <w:r>
              <w:t xml:space="preserve">en segmentos, que son los mismos para cada subfunción: </w:t>
            </w:r>
          </w:p>
          <w:p w14:paraId="7FE1BC2C" w14:textId="59F4E6B2" w:rsidR="00414040" w:rsidRDefault="00904E1A">
            <w:pPr>
              <w:pStyle w:val="P68B1DB1-ListParagraph39"/>
              <w:numPr>
                <w:ilvl w:val="0"/>
                <w:numId w:val="278"/>
              </w:numPr>
              <w:jc w:val="both"/>
            </w:pPr>
            <w:r>
              <w:t xml:space="preserve">no hay requisitos importantes, </w:t>
            </w:r>
          </w:p>
          <w:p w14:paraId="7FE1BC2D" w14:textId="17A47EF8" w:rsidR="00414040" w:rsidRDefault="00904E1A">
            <w:pPr>
              <w:pStyle w:val="P68B1DB1-ListParagraph39"/>
              <w:numPr>
                <w:ilvl w:val="0"/>
                <w:numId w:val="278"/>
              </w:numPr>
              <w:jc w:val="both"/>
            </w:pPr>
            <w:r>
              <w:t xml:space="preserve">algunos requisitos, </w:t>
            </w:r>
          </w:p>
          <w:p w14:paraId="7FE1BC2E" w14:textId="6B2B459E" w:rsidR="00414040" w:rsidRDefault="00904E1A">
            <w:pPr>
              <w:pStyle w:val="P68B1DB1-ListParagraph39"/>
              <w:numPr>
                <w:ilvl w:val="0"/>
                <w:numId w:val="278"/>
              </w:numPr>
              <w:jc w:val="both"/>
            </w:pPr>
            <w:r>
              <w:t xml:space="preserve">requisitos sustanciales (pero superables), </w:t>
            </w:r>
          </w:p>
          <w:p w14:paraId="7FE1BC2F" w14:textId="79851C7C" w:rsidR="00414040" w:rsidRDefault="00904E1A">
            <w:pPr>
              <w:pStyle w:val="P68B1DB1-ListParagraph39"/>
              <w:numPr>
                <w:ilvl w:val="0"/>
                <w:numId w:val="278"/>
              </w:numPr>
              <w:jc w:val="both"/>
            </w:pPr>
            <w:r>
              <w:t>requisitos críticos (difíciles de superar).</w:t>
            </w:r>
          </w:p>
          <w:p w14:paraId="7FE1BC30"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C3C"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C32" w14:textId="52B11BD9" w:rsidR="00414040" w:rsidRDefault="00904E1A">
            <w:pPr>
              <w:pStyle w:val="P68B1DB1-TableParagraph17"/>
              <w:spacing w:before="108"/>
              <w:jc w:val="both"/>
            </w:pPr>
            <w:r>
              <w:t>0200-0210</w:t>
            </w:r>
          </w:p>
        </w:tc>
        <w:tc>
          <w:tcPr>
            <w:tcW w:w="8003" w:type="dxa"/>
            <w:tcBorders>
              <w:top w:val="single" w:sz="4" w:space="0" w:color="1A171C"/>
              <w:left w:val="single" w:sz="4" w:space="0" w:color="1A171C"/>
              <w:bottom w:val="single" w:sz="4" w:space="0" w:color="1A171C"/>
              <w:right w:val="nil"/>
            </w:tcBorders>
            <w:vAlign w:val="center"/>
          </w:tcPr>
          <w:p w14:paraId="7FE1BC3B" w14:textId="14A612B7" w:rsidR="00414040" w:rsidRDefault="7CD20A3E">
            <w:pPr>
              <w:pStyle w:val="P68B1DB1-TableParagraph14"/>
              <w:spacing w:before="108"/>
              <w:jc w:val="both"/>
            </w:pPr>
            <w:r>
              <w:t>Procedimiento de alta de clientes</w:t>
            </w:r>
          </w:p>
        </w:tc>
      </w:tr>
      <w:tr w:rsidR="00414040" w14:paraId="0BE6FD10"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1AAF59C4" w14:textId="076A6069" w:rsidR="00414040" w:rsidRDefault="00904E1A" w:rsidP="00210421">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4228B7BE" w:rsidR="00414040" w:rsidRDefault="3983E7FF">
            <w:pPr>
              <w:pStyle w:val="P68B1DB1-TableParagraph14"/>
              <w:spacing w:before="108"/>
            </w:pPr>
            <w:r>
              <w:t>Procedimiento de alta de clientes</w:t>
            </w:r>
            <w:r w:rsidR="00904E1A" w:rsidRPr="11A44BD7">
              <w:rPr>
                <w:lang w:val="es-ES"/>
              </w:rPr>
              <w:t xml:space="preserve"> — Número de solicitudes de nuevos clientes </w:t>
            </w:r>
            <w:r w:rsidR="1E1AE299" w:rsidRPr="11A44BD7">
              <w:rPr>
                <w:lang w:val="es-ES"/>
              </w:rPr>
              <w:t xml:space="preserve">a lo largo de </w:t>
            </w:r>
            <w:r w:rsidR="00904E1A" w:rsidRPr="11A44BD7">
              <w:rPr>
                <w:lang w:val="es-ES"/>
              </w:rPr>
              <w:t>1 día hábil (número)</w:t>
            </w:r>
          </w:p>
          <w:p w14:paraId="2BBAFCB8" w14:textId="2F1DD5E2" w:rsidR="00414040" w:rsidRDefault="00904E1A">
            <w:pPr>
              <w:pStyle w:val="P68B1DB1-TableParagraph13"/>
              <w:spacing w:before="108"/>
            </w:pPr>
            <w:r>
              <w:t xml:space="preserve">Se </w:t>
            </w:r>
            <w:r w:rsidR="00F76026">
              <w:t>solicita</w:t>
            </w:r>
            <w:r w:rsidR="00300210">
              <w:t xml:space="preserve"> </w:t>
            </w:r>
            <w:r>
              <w:t>a las entidades que faciliten el mayor número de solicitudes</w:t>
            </w:r>
            <w:r w:rsidR="006C2AFF">
              <w:t>,</w:t>
            </w:r>
            <w:r>
              <w:t xml:space="preserve"> cuando la entidad haya validado la solicitud de un servicio bancario.</w:t>
            </w:r>
          </w:p>
          <w:p w14:paraId="3F7DDDEF" w14:textId="77777777" w:rsidR="00414040" w:rsidRDefault="00414040">
            <w:pPr>
              <w:pStyle w:val="TableParagraph"/>
              <w:spacing w:before="108"/>
              <w:jc w:val="both"/>
              <w:rPr>
                <w:rFonts w:ascii="Times New Roman" w:hAnsi="Times New Roman" w:cs="Times New Roman"/>
                <w:color w:val="000000" w:themeColor="text1"/>
                <w:sz w:val="20"/>
                <w:szCs w:val="20"/>
              </w:rPr>
            </w:pPr>
          </w:p>
          <w:p w14:paraId="5AB7F16A" w14:textId="2B15CDBE" w:rsidR="00414040" w:rsidRDefault="672EE3A9" w:rsidP="11A44BD7">
            <w:pPr>
              <w:pStyle w:val="P68B1DB1-TableParagraph13"/>
              <w:spacing w:before="108"/>
              <w:jc w:val="both"/>
              <w:rPr>
                <w:b/>
                <w:bCs/>
                <w:lang w:val="es-ES"/>
              </w:rPr>
            </w:pPr>
            <w:r w:rsidRPr="11A44BD7">
              <w:rPr>
                <w:lang w:val="es-ES"/>
              </w:rPr>
              <w:t>El procedimiento de alta de clientes</w:t>
            </w:r>
            <w:r w:rsidR="00904E1A" w:rsidRPr="11A44BD7">
              <w:rPr>
                <w:lang w:val="es-ES"/>
              </w:rPr>
              <w:t xml:space="preserve"> </w:t>
            </w:r>
            <w:r w:rsidR="5AC995EA" w:rsidRPr="11A44BD7">
              <w:rPr>
                <w:lang w:val="es-ES"/>
              </w:rPr>
              <w:t>para</w:t>
            </w:r>
            <w:r w:rsidR="1A2CAB8A" w:rsidRPr="11A44BD7">
              <w:rPr>
                <w:lang w:val="es-ES"/>
              </w:rPr>
              <w:t xml:space="preserve"> </w:t>
            </w:r>
            <w:r w:rsidR="00904E1A" w:rsidRPr="11A44BD7">
              <w:rPr>
                <w:lang w:val="es-ES"/>
              </w:rPr>
              <w:t xml:space="preserve">los servicios de pago a IFM, los servicios de pago a </w:t>
            </w:r>
            <w:r w:rsidR="00141150">
              <w:rPr>
                <w:lang w:val="es-ES"/>
              </w:rPr>
              <w:t>«no-IFM»</w:t>
            </w:r>
            <w:r w:rsidR="00904E1A" w:rsidRPr="11A44BD7">
              <w:rPr>
                <w:lang w:val="es-ES"/>
              </w:rPr>
              <w:t xml:space="preserve"> y los servicios de </w:t>
            </w:r>
            <w:r w:rsidR="1A2CAB8A" w:rsidRPr="11A44BD7">
              <w:rPr>
                <w:lang w:val="es-ES"/>
              </w:rPr>
              <w:t>caja</w:t>
            </w:r>
            <w:r w:rsidR="6CB3E030" w:rsidRPr="11A44BD7">
              <w:rPr>
                <w:lang w:val="es-ES"/>
              </w:rPr>
              <w:t xml:space="preserve"> </w:t>
            </w:r>
            <w:r w:rsidR="00904E1A" w:rsidRPr="11A44BD7">
              <w:rPr>
                <w:lang w:val="es-ES"/>
              </w:rPr>
              <w:t xml:space="preserve">en términos de número de cuentas nuevas se expresa a lo largo de 1 día hábil. </w:t>
            </w:r>
          </w:p>
          <w:p w14:paraId="10BCF6A2" w14:textId="79835E16" w:rsidR="00414040" w:rsidRDefault="00904E1A">
            <w:pPr>
              <w:pStyle w:val="P68B1DB1-TableParagraph13"/>
              <w:spacing w:before="108"/>
              <w:jc w:val="both"/>
              <w:rPr>
                <w:b/>
                <w:bCs/>
              </w:rPr>
            </w:pPr>
            <w:r>
              <w:t xml:space="preserve">Se espera que las entidades tengan en cuenta el plazo </w:t>
            </w:r>
            <w:r w:rsidR="000B5767">
              <w:t xml:space="preserve">necesario </w:t>
            </w:r>
            <w:r>
              <w:t xml:space="preserve">para la incorporación de nuevos clientes </w:t>
            </w:r>
            <w:r w:rsidR="002577BC">
              <w:t>desde que se</w:t>
            </w:r>
            <w:r w:rsidR="00300210">
              <w:t xml:space="preserve"> </w:t>
            </w:r>
            <w:r>
              <w:t>ha solicitado un servicio bancario.</w:t>
            </w:r>
          </w:p>
          <w:p w14:paraId="54138520" w14:textId="77777777" w:rsidR="00414040" w:rsidRDefault="00414040">
            <w:pPr>
              <w:pStyle w:val="TableParagraph"/>
              <w:spacing w:before="108"/>
              <w:rPr>
                <w:rFonts w:ascii="Times New Roman" w:hAnsi="Times New Roman" w:cs="Times New Roman"/>
                <w:b/>
                <w:bCs/>
                <w:color w:val="000000" w:themeColor="text1"/>
                <w:sz w:val="20"/>
                <w:szCs w:val="20"/>
              </w:rPr>
            </w:pPr>
          </w:p>
        </w:tc>
      </w:tr>
      <w:tr w:rsidR="00414040" w14:paraId="2D232CA8"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2162C590" w14:textId="3E29DAE4" w:rsidR="00414040" w:rsidRDefault="00904E1A">
            <w:pPr>
              <w:pStyle w:val="P68B1DB1-TableParagraph17"/>
              <w:spacing w:before="108"/>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65DBE0BE" w14:textId="5F491723" w:rsidR="00414040" w:rsidRDefault="60E14089">
            <w:pPr>
              <w:pStyle w:val="P68B1DB1-TableParagraph14"/>
              <w:spacing w:before="108"/>
            </w:pPr>
            <w:r>
              <w:t>Procedimiento de alta de clien</w:t>
            </w:r>
            <w:r w:rsidR="00A73313">
              <w:t>te</w:t>
            </w:r>
            <w:r>
              <w:t>s</w:t>
            </w:r>
            <w:r w:rsidR="00904E1A" w:rsidRPr="11A44BD7">
              <w:rPr>
                <w:lang w:val="es-ES"/>
              </w:rPr>
              <w:t xml:space="preserve"> — Número de solicitudes de nuevos clientes a lo largo de 7 días laborables (número)</w:t>
            </w:r>
          </w:p>
          <w:p w14:paraId="6C6045B8" w14:textId="120984B7" w:rsidR="00414040" w:rsidRDefault="00904E1A">
            <w:pPr>
              <w:pStyle w:val="P68B1DB1-TableParagraph13"/>
              <w:spacing w:before="108"/>
            </w:pPr>
            <w:r>
              <w:t xml:space="preserve">Se </w:t>
            </w:r>
            <w:r w:rsidR="008E54B7">
              <w:t>solicita</w:t>
            </w:r>
            <w:r w:rsidR="00300210">
              <w:t xml:space="preserve"> </w:t>
            </w:r>
            <w:r>
              <w:t>a las entidades que faciliten el mayor número de solicitudes</w:t>
            </w:r>
            <w:r w:rsidR="00FD3360">
              <w:t>,</w:t>
            </w:r>
            <w:r>
              <w:t xml:space="preserve"> cuando la entidad haya validado la solicitud de un servicio bancario.</w:t>
            </w:r>
          </w:p>
          <w:p w14:paraId="59CBAFC9" w14:textId="123522A5" w:rsidR="00414040" w:rsidRDefault="1C113E91">
            <w:pPr>
              <w:pStyle w:val="P68B1DB1-TableParagraph13"/>
              <w:spacing w:before="108"/>
              <w:jc w:val="both"/>
              <w:rPr>
                <w:lang w:val="es-ES"/>
              </w:rPr>
            </w:pPr>
            <w:r w:rsidRPr="11A44BD7">
              <w:rPr>
                <w:lang w:val="es-ES"/>
              </w:rPr>
              <w:t>El procedimiento de alta de clientes</w:t>
            </w:r>
            <w:r w:rsidR="00904E1A" w:rsidRPr="11A44BD7">
              <w:rPr>
                <w:lang w:val="es-ES"/>
              </w:rPr>
              <w:t xml:space="preserve"> para los servicios de liquidación de valores, los servicios de compensación de ECC y los servicios de custodia en términos de número de cuentas nuevas se expresa a lo largo de 7 días hábiles.</w:t>
            </w:r>
          </w:p>
          <w:p w14:paraId="7623A7E1" w14:textId="6BF12BCE" w:rsidR="00414040" w:rsidRDefault="00904E1A">
            <w:pPr>
              <w:pStyle w:val="P68B1DB1-TableParagraph13"/>
              <w:spacing w:before="108"/>
              <w:jc w:val="both"/>
              <w:rPr>
                <w:b/>
                <w:bCs/>
              </w:rPr>
            </w:pPr>
            <w:r>
              <w:t xml:space="preserve">Se espera que las entidades tengan en cuenta el plazo </w:t>
            </w:r>
            <w:r w:rsidR="00537B05">
              <w:t xml:space="preserve">necesario </w:t>
            </w:r>
            <w:r>
              <w:t xml:space="preserve">para la incorporación de nuevos clientes </w:t>
            </w:r>
            <w:r w:rsidR="00537B05">
              <w:t>desde que se</w:t>
            </w:r>
            <w:r>
              <w:t xml:space="preserve"> ha solicitado un servicio bancario.</w:t>
            </w:r>
          </w:p>
          <w:p w14:paraId="6541ECB8" w14:textId="7269F4A9" w:rsidR="00414040" w:rsidRDefault="00414040">
            <w:pPr>
              <w:pStyle w:val="TableParagraph"/>
              <w:spacing w:before="108"/>
              <w:rPr>
                <w:rFonts w:ascii="Times New Roman" w:hAnsi="Times New Roman" w:cs="Times New Roman"/>
                <w:b/>
                <w:bCs/>
                <w:color w:val="000000" w:themeColor="text1"/>
                <w:sz w:val="20"/>
                <w:szCs w:val="20"/>
              </w:rPr>
            </w:pPr>
          </w:p>
        </w:tc>
      </w:tr>
      <w:tr w:rsidR="00414040" w14:paraId="7FE1BC3F"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C3D" w14:textId="77777777" w:rsidR="00414040" w:rsidRDefault="00904E1A">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414040" w:rsidRDefault="00904E1A">
            <w:pPr>
              <w:pStyle w:val="P68B1DB1-TableParagraph14"/>
              <w:spacing w:before="108"/>
              <w:rPr>
                <w:bCs/>
              </w:rPr>
            </w:pPr>
            <w:r>
              <w:t>Evaluación del carácter esencial</w:t>
            </w:r>
          </w:p>
        </w:tc>
      </w:tr>
      <w:tr w:rsidR="00414040" w14:paraId="7FE1BC45"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C40" w14:textId="77777777" w:rsidR="00414040" w:rsidRDefault="00904E1A">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414040" w:rsidRDefault="00904E1A">
            <w:pPr>
              <w:pStyle w:val="P68B1DB1-TableParagraph13"/>
              <w:spacing w:before="108"/>
            </w:pPr>
            <w:r>
              <w:t xml:space="preserve">Impacto en el mercado </w:t>
            </w:r>
          </w:p>
          <w:p w14:paraId="7FE1BC42" w14:textId="1E2A6F21" w:rsidR="00414040" w:rsidRDefault="00904E1A">
            <w:pPr>
              <w:pStyle w:val="P68B1DB1-TableParagraph13"/>
              <w:spacing w:before="108"/>
            </w:pPr>
            <w:r>
              <w:t>Impacto estimado de una interrupción repentina de la función sobre terceros, los mercados financieros y la economía real, teniendo en cuenta el tamaño, la cuota de mercado en el país, la</w:t>
            </w:r>
            <w:r w:rsidR="005160E6">
              <w:t>s</w:t>
            </w:r>
            <w:r>
              <w:t xml:space="preserve"> </w:t>
            </w:r>
            <w:r w:rsidR="005160E6">
              <w:t xml:space="preserve">interconexiones </w:t>
            </w:r>
            <w:r>
              <w:t>interna</w:t>
            </w:r>
            <w:r w:rsidR="005160E6">
              <w:t>s</w:t>
            </w:r>
            <w:r>
              <w:t xml:space="preserve"> y externa</w:t>
            </w:r>
            <w:r w:rsidR="005160E6">
              <w:t>s</w:t>
            </w:r>
            <w:r>
              <w:t>, la complejidad y las actividades transfronterizas de la entidad.</w:t>
            </w:r>
          </w:p>
          <w:p w14:paraId="7FE1BC43" w14:textId="46266FB9" w:rsidR="00414040" w:rsidRDefault="00904E1A">
            <w:pPr>
              <w:pStyle w:val="P68B1DB1-TableParagraph13"/>
              <w:spacing w:before="108"/>
            </w:pPr>
            <w:r>
              <w:t>Esta evaluación se expresará en términos cualitativos, como «alto», «medio-alto», «medio-bajo» o «bajo».</w:t>
            </w:r>
          </w:p>
          <w:p w14:paraId="7FE1BC44" w14:textId="586596B0" w:rsidR="00414040" w:rsidRDefault="00904E1A">
            <w:pPr>
              <w:pStyle w:val="P68B1DB1-TableParagraph13"/>
              <w:spacing w:before="108"/>
            </w:pPr>
            <w:r>
              <w:t>Se seleccionará «</w:t>
            </w:r>
            <w:r w:rsidR="00570BA1">
              <w:t>a</w:t>
            </w:r>
            <w:r w:rsidR="00B82BB7">
              <w:t>lto</w:t>
            </w:r>
            <w:r>
              <w:t>» si la interrupción tiene un gran impacto en el mercado nacional; «</w:t>
            </w:r>
            <w:r w:rsidR="00570BA1">
              <w:t>medio</w:t>
            </w:r>
            <w:r>
              <w:t>-</w:t>
            </w:r>
            <w:r w:rsidR="00570BA1">
              <w:t>alto</w:t>
            </w:r>
            <w:r>
              <w:t>» si el impacto es significativo; «</w:t>
            </w:r>
            <w:r w:rsidR="00570BA1">
              <w:t>medio</w:t>
            </w:r>
            <w:r w:rsidR="00B82BB7">
              <w:t>-</w:t>
            </w:r>
            <w:r w:rsidR="009D3096">
              <w:t>bajo</w:t>
            </w:r>
            <w:r>
              <w:t>» si el impacto es importante, pero limitado; y «</w:t>
            </w:r>
            <w:r w:rsidR="00570BA1">
              <w:t>bajo</w:t>
            </w:r>
            <w:r>
              <w:t>» si el impacto es bajo.</w:t>
            </w:r>
          </w:p>
        </w:tc>
      </w:tr>
      <w:tr w:rsidR="00414040" w14:paraId="7FE1BC52"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C46" w14:textId="77777777" w:rsidR="00414040" w:rsidRDefault="00904E1A">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414040" w:rsidRDefault="00904E1A">
            <w:pPr>
              <w:pStyle w:val="P68B1DB1-TableParagraph14"/>
              <w:spacing w:before="108"/>
              <w:rPr>
                <w:bCs/>
              </w:rPr>
            </w:pPr>
            <w:r>
              <w:t>Sustituibilidad</w:t>
            </w:r>
          </w:p>
          <w:p w14:paraId="7FE1BC48" w14:textId="77777777" w:rsidR="00414040" w:rsidRDefault="00904E1A">
            <w:pPr>
              <w:pStyle w:val="P68B1DB1-TableParagraph13"/>
              <w:spacing w:before="108"/>
            </w:pPr>
            <w:r w:rsidRPr="69E604A3">
              <w:rPr>
                <w:lang w:val="es-ES"/>
              </w:rPr>
              <w:t xml:space="preserve">Artículo 6, apartado 3, del Reglamento </w:t>
            </w:r>
            <w:proofErr w:type="gramStart"/>
            <w:r w:rsidRPr="69E604A3">
              <w:rPr>
                <w:lang w:val="es-ES"/>
              </w:rPr>
              <w:t>Delegado</w:t>
            </w:r>
            <w:proofErr w:type="gramEnd"/>
            <w:r w:rsidRPr="69E604A3">
              <w:rPr>
                <w:lang w:val="es-ES"/>
              </w:rPr>
              <w:t xml:space="preserve"> (UE) 2016/778.</w:t>
            </w:r>
          </w:p>
          <w:p w14:paraId="7FE1BC49" w14:textId="77777777" w:rsidR="00414040" w:rsidRDefault="00904E1A">
            <w:pPr>
              <w:pStyle w:val="P68B1DB1-TableParagraph13"/>
              <w:spacing w:before="108"/>
            </w:pPr>
            <w:r>
              <w:t>Una función se considera sustituible cuando puede reemplazarse de manera aceptable y en un plazo razonable, evitando así los problemas sistémicos para la economía real y los mercados financieros. Se tendrán en cuenta los siguientes aspectos:</w:t>
            </w:r>
          </w:p>
          <w:p w14:paraId="7FE1BC4A" w14:textId="4C52B0BC" w:rsidR="00414040" w:rsidRDefault="00904E1A">
            <w:pPr>
              <w:pStyle w:val="P68B1DB1-TableParagraph13"/>
              <w:spacing w:before="108"/>
            </w:pPr>
            <w:r>
              <w:t xml:space="preserve">(a) la estructura del mercado para esa función y la disponibilidad de </w:t>
            </w:r>
            <w:r w:rsidR="008828B9">
              <w:t xml:space="preserve">proveedores </w:t>
            </w:r>
            <w:r>
              <w:t xml:space="preserve">alternativos; </w:t>
            </w:r>
          </w:p>
          <w:p w14:paraId="7FE1BC4B" w14:textId="0A5DD76E" w:rsidR="00414040" w:rsidRDefault="00904E1A">
            <w:pPr>
              <w:pStyle w:val="P68B1DB1-TableParagraph13"/>
              <w:spacing w:before="108"/>
            </w:pPr>
            <w:r>
              <w:t xml:space="preserve">(b) la aptitud de otros </w:t>
            </w:r>
            <w:r w:rsidR="001C19F3">
              <w:t>proveedores</w:t>
            </w:r>
            <w:r w:rsidR="001C19F3" w:rsidDel="001C19F3">
              <w:t xml:space="preserve"> </w:t>
            </w:r>
            <w:r>
              <w:t xml:space="preserve">en términos de capacidad, los requisitos para la ejecución de la función y </w:t>
            </w:r>
            <w:r w:rsidR="007154B1">
              <w:t xml:space="preserve">las </w:t>
            </w:r>
            <w:r>
              <w:t xml:space="preserve">posibles </w:t>
            </w:r>
            <w:r w:rsidR="007154B1">
              <w:t xml:space="preserve">barreras </w:t>
            </w:r>
            <w:r>
              <w:t xml:space="preserve">a la entrada o la expansión; </w:t>
            </w:r>
          </w:p>
          <w:p w14:paraId="7FE1BC4C" w14:textId="4D1E547A" w:rsidR="00414040" w:rsidRDefault="00904E1A">
            <w:pPr>
              <w:pStyle w:val="P68B1DB1-TableParagraph13"/>
              <w:spacing w:before="108"/>
            </w:pPr>
            <w:r>
              <w:t xml:space="preserve">(c) el incentivo de otros </w:t>
            </w:r>
            <w:r w:rsidR="001C19F3">
              <w:t>proveedores</w:t>
            </w:r>
            <w:r w:rsidR="001C19F3" w:rsidDel="001C19F3">
              <w:t xml:space="preserve"> </w:t>
            </w:r>
            <w:r>
              <w:t xml:space="preserve">para asumir estas actividades; </w:t>
            </w:r>
          </w:p>
          <w:p w14:paraId="7FE1BC4D" w14:textId="1F9BAB08" w:rsidR="00414040" w:rsidRDefault="00904E1A">
            <w:pPr>
              <w:pStyle w:val="P68B1DB1-TableParagraph13"/>
              <w:spacing w:before="108"/>
            </w:pPr>
            <w:r>
              <w:t xml:space="preserve">(d) el tiempo que necesitan los usuarios del servicio para recibirlo del nuevo </w:t>
            </w:r>
            <w:r w:rsidR="0088326C">
              <w:t>proveedor</w:t>
            </w:r>
            <w:r>
              <w:t>, y los costes de tal cambio, el tiempo que necesitan otros competidores para asumir las funciones y si ese lapso es suficiente para impedir perturbaciones significativas en función del tipo de servicio.</w:t>
            </w:r>
          </w:p>
          <w:p w14:paraId="7FE1BC4E" w14:textId="294FE1E2" w:rsidR="00414040" w:rsidRDefault="00904E1A">
            <w:pPr>
              <w:pStyle w:val="P68B1DB1-TableParagraph13"/>
              <w:spacing w:before="108"/>
            </w:pPr>
            <w:r w:rsidRPr="69E604A3">
              <w:rPr>
                <w:lang w:val="es-ES"/>
              </w:rPr>
              <w:t>Proporcionar una evaluación global del grado de sustituibilidad previsto para cada función, teniendo en cuenta l</w:t>
            </w:r>
            <w:r w:rsidR="0008654C">
              <w:rPr>
                <w:lang w:val="es-ES"/>
              </w:rPr>
              <w:t>o</w:t>
            </w:r>
            <w:r w:rsidRPr="69E604A3">
              <w:rPr>
                <w:lang w:val="es-ES"/>
              </w:rPr>
              <w:t xml:space="preserve">s diferentes </w:t>
            </w:r>
            <w:r w:rsidR="003425EF">
              <w:rPr>
                <w:lang w:val="es-ES"/>
              </w:rPr>
              <w:t>aspectos</w:t>
            </w:r>
            <w:r w:rsidR="003425EF" w:rsidRPr="69E604A3">
              <w:rPr>
                <w:lang w:val="es-ES"/>
              </w:rPr>
              <w:t xml:space="preserve"> </w:t>
            </w:r>
            <w:r w:rsidRPr="69E604A3">
              <w:rPr>
                <w:lang w:val="es-ES"/>
              </w:rPr>
              <w:t>previamente evaluad</w:t>
            </w:r>
            <w:r w:rsidR="0008654C">
              <w:rPr>
                <w:lang w:val="es-ES"/>
              </w:rPr>
              <w:t>o</w:t>
            </w:r>
            <w:r w:rsidRPr="69E604A3">
              <w:rPr>
                <w:lang w:val="es-ES"/>
              </w:rPr>
              <w:t xml:space="preserve">s (cuota de mercado, concentración del mercado, tiempo hasta la sustitución, </w:t>
            </w:r>
            <w:r w:rsidR="007154B1">
              <w:rPr>
                <w:lang w:val="es-ES"/>
              </w:rPr>
              <w:t>barreras legales</w:t>
            </w:r>
            <w:r w:rsidRPr="69E604A3">
              <w:rPr>
                <w:lang w:val="es-ES"/>
              </w:rPr>
              <w:t xml:space="preserve"> y requisitos operativos para la entrada o la expansión). Esta evaluación se expresará en términos cualitativos, como «alto», «medio-alto», «medio-bajo» o «bajo». </w:t>
            </w:r>
          </w:p>
          <w:p w14:paraId="7FE1BC4F" w14:textId="78995C5C" w:rsidR="00414040" w:rsidRDefault="00904E1A">
            <w:pPr>
              <w:pStyle w:val="P68B1DB1-TableParagraph13"/>
              <w:spacing w:before="108"/>
            </w:pPr>
            <w:r>
              <w:lastRenderedPageBreak/>
              <w:t>Se seleccionará «</w:t>
            </w:r>
            <w:r w:rsidR="00D5041F">
              <w:t>alto</w:t>
            </w:r>
            <w:r>
              <w:t>» si la función puede ser proporcionada por otro banco fácilmente, en condiciones comparables y en un plazo razonable;</w:t>
            </w:r>
          </w:p>
          <w:p w14:paraId="7FE1BC50" w14:textId="60D54ED6" w:rsidR="00414040" w:rsidRDefault="00904E1A">
            <w:pPr>
              <w:pStyle w:val="P68B1DB1-TableParagraph13"/>
              <w:spacing w:before="108"/>
            </w:pPr>
            <w:r>
              <w:t xml:space="preserve">«Bajo» si la función no puede ser sustituida ni fácil ni rápidamente; </w:t>
            </w:r>
          </w:p>
          <w:p w14:paraId="7FE1BC51" w14:textId="264093A4" w:rsidR="00414040" w:rsidRDefault="00904E1A">
            <w:pPr>
              <w:pStyle w:val="P68B1DB1-TableParagraph13"/>
              <w:spacing w:before="108"/>
              <w:rPr>
                <w:lang w:val="es-ES"/>
              </w:rPr>
            </w:pPr>
            <w:r w:rsidRPr="69E604A3">
              <w:rPr>
                <w:lang w:val="es-ES"/>
              </w:rPr>
              <w:t>«Medio</w:t>
            </w:r>
            <w:r w:rsidR="00D5041F">
              <w:rPr>
                <w:lang w:val="es-ES"/>
              </w:rPr>
              <w:t>-</w:t>
            </w:r>
            <w:r w:rsidR="007154B1">
              <w:rPr>
                <w:lang w:val="es-ES"/>
              </w:rPr>
              <w:t>a</w:t>
            </w:r>
            <w:r w:rsidR="007154B1" w:rsidRPr="69E604A3">
              <w:rPr>
                <w:lang w:val="es-ES"/>
              </w:rPr>
              <w:t>lto</w:t>
            </w:r>
            <w:r w:rsidRPr="69E604A3">
              <w:rPr>
                <w:lang w:val="es-ES"/>
              </w:rPr>
              <w:t>» y «</w:t>
            </w:r>
            <w:r w:rsidR="007154B1">
              <w:rPr>
                <w:lang w:val="es-ES"/>
              </w:rPr>
              <w:t>m</w:t>
            </w:r>
            <w:r w:rsidR="00D5041F" w:rsidRPr="69E604A3">
              <w:rPr>
                <w:lang w:val="es-ES"/>
              </w:rPr>
              <w:t>edio</w:t>
            </w:r>
            <w:r w:rsidR="00D5041F">
              <w:rPr>
                <w:lang w:val="es-ES"/>
              </w:rPr>
              <w:t>-</w:t>
            </w:r>
            <w:r w:rsidR="007154B1">
              <w:rPr>
                <w:lang w:val="es-ES"/>
              </w:rPr>
              <w:t>b</w:t>
            </w:r>
            <w:r w:rsidR="007154B1" w:rsidRPr="69E604A3">
              <w:rPr>
                <w:lang w:val="es-ES"/>
              </w:rPr>
              <w:t>ajo</w:t>
            </w:r>
            <w:r w:rsidRPr="69E604A3">
              <w:rPr>
                <w:lang w:val="es-ES"/>
              </w:rPr>
              <w:t xml:space="preserve">» en los casos intermedios, teniendo en cuenta distintos </w:t>
            </w:r>
            <w:r w:rsidRPr="009673E2">
              <w:rPr>
                <w:lang w:val="es-ES"/>
              </w:rPr>
              <w:t>aspectos</w:t>
            </w:r>
            <w:r w:rsidRPr="69E604A3">
              <w:rPr>
                <w:lang w:val="es-ES"/>
              </w:rPr>
              <w:t xml:space="preserve"> (por ejemplo, cuota de mercado, concentración del mercado, tiempo necesario para la sustitución, así como </w:t>
            </w:r>
            <w:r w:rsidR="007154B1">
              <w:rPr>
                <w:lang w:val="es-ES"/>
              </w:rPr>
              <w:t>las barreras legales</w:t>
            </w:r>
            <w:r w:rsidRPr="69E604A3">
              <w:rPr>
                <w:lang w:val="es-ES"/>
              </w:rPr>
              <w:t xml:space="preserve"> a la entrada o la expansión, y los requisitos operativos de esta</w:t>
            </w:r>
            <w:r w:rsidR="00B737FD">
              <w:rPr>
                <w:lang w:val="es-ES"/>
              </w:rPr>
              <w:t>s</w:t>
            </w:r>
            <w:r w:rsidRPr="69E604A3">
              <w:rPr>
                <w:lang w:val="es-ES"/>
              </w:rPr>
              <w:t>).</w:t>
            </w:r>
          </w:p>
        </w:tc>
      </w:tr>
      <w:tr w:rsidR="00414040" w14:paraId="7FE1BC57"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C53" w14:textId="77777777" w:rsidR="00414040" w:rsidRDefault="00904E1A">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414040" w:rsidRDefault="00904E1A">
            <w:pPr>
              <w:pStyle w:val="P68B1DB1-TableParagraph14"/>
              <w:spacing w:before="108"/>
              <w:rPr>
                <w:bCs/>
              </w:rPr>
            </w:pPr>
            <w:r>
              <w:t>Función esencial</w:t>
            </w:r>
          </w:p>
          <w:p w14:paraId="7FE1BC55" w14:textId="64666959" w:rsidR="00414040" w:rsidRDefault="00904E1A">
            <w:pPr>
              <w:pStyle w:val="P68B1DB1-TableParagraph13"/>
              <w:spacing w:before="108"/>
            </w:pPr>
            <w:r>
              <w:t xml:space="preserve">En esta columna se indicará si, teniendo en cuenta el </w:t>
            </w:r>
            <w:r w:rsidRPr="009673E2">
              <w:t xml:space="preserve">análisis de impacto y </w:t>
            </w:r>
            <w:r w:rsidR="008730C3" w:rsidRPr="009673E2">
              <w:t>sustituibilidad</w:t>
            </w:r>
            <w:r w:rsidRPr="009673E2">
              <w:t xml:space="preserve"> realizado</w:t>
            </w:r>
            <w:r>
              <w:t xml:space="preserve"> por la </w:t>
            </w:r>
            <w:r w:rsidR="005607D0">
              <w:t>entidad</w:t>
            </w:r>
            <w:r>
              <w:t>, la función económica se considera esencial en el mercado del país de que se trate.</w:t>
            </w:r>
          </w:p>
          <w:p w14:paraId="7FE1BC56" w14:textId="77777777" w:rsidR="00414040" w:rsidRDefault="00904E1A">
            <w:pPr>
              <w:pStyle w:val="P68B1DB1-TableParagraph13"/>
              <w:spacing w:before="108"/>
            </w:pPr>
            <w:r>
              <w:t>Indíquese «Sí» o «No».</w:t>
            </w:r>
          </w:p>
        </w:tc>
      </w:tr>
      <w:tr w:rsidR="00414040" w14:paraId="7FE1BC5B" w14:textId="77777777" w:rsidTr="00210421">
        <w:trPr>
          <w:trHeight w:val="300"/>
        </w:trPr>
        <w:tc>
          <w:tcPr>
            <w:tcW w:w="1080" w:type="dxa"/>
            <w:tcBorders>
              <w:top w:val="single" w:sz="4" w:space="0" w:color="1A171C"/>
              <w:left w:val="nil"/>
              <w:bottom w:val="single" w:sz="4" w:space="0" w:color="1A171C"/>
              <w:right w:val="single" w:sz="4" w:space="0" w:color="1A171C"/>
            </w:tcBorders>
            <w:vAlign w:val="center"/>
          </w:tcPr>
          <w:p w14:paraId="7FE1BC58" w14:textId="77777777" w:rsidR="00414040" w:rsidRDefault="00904E1A">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414040" w:rsidRDefault="00904E1A">
            <w:pPr>
              <w:pStyle w:val="P68B1DB1-TableParagraph14"/>
              <w:spacing w:before="108"/>
              <w:rPr>
                <w:bCs/>
              </w:rPr>
            </w:pPr>
            <w:r>
              <w:t>Observaciones del Grupo</w:t>
            </w:r>
          </w:p>
          <w:p w14:paraId="7FE1BC5A" w14:textId="20C64694" w:rsidR="00414040" w:rsidRDefault="00904E1A">
            <w:pPr>
              <w:pStyle w:val="P68B1DB1-TableParagraph13"/>
              <w:spacing w:before="108"/>
            </w:pPr>
            <w:r>
              <w:t xml:space="preserve">Este campo permite </w:t>
            </w:r>
            <w:r w:rsidR="007A2292">
              <w:t>al ente</w:t>
            </w:r>
            <w:r>
              <w:t xml:space="preserve"> </w:t>
            </w:r>
            <w:r w:rsidR="005607D0">
              <w:t>declarante</w:t>
            </w:r>
            <w:r>
              <w:t xml:space="preserve"> explicar cualquier hipótesis utilizada al evaluar el carácter esencial de la función o funciones comunicadas.</w:t>
            </w:r>
          </w:p>
        </w:tc>
      </w:tr>
    </w:tbl>
    <w:p w14:paraId="7FE1BC5C" w14:textId="77777777" w:rsidR="00414040" w:rsidRDefault="00414040">
      <w:pPr>
        <w:pStyle w:val="Instructionsberschrift2"/>
        <w:rPr>
          <w:rFonts w:ascii="Times New Roman" w:hAnsi="Times New Roman" w:cs="Times New Roman"/>
        </w:rPr>
      </w:pPr>
    </w:p>
    <w:p w14:paraId="7FE1BC5D" w14:textId="5C971E12" w:rsidR="00414040" w:rsidRDefault="00904E1A">
      <w:pPr>
        <w:pStyle w:val="P68B1DB1-Instructionsberschrift25"/>
      </w:pPr>
      <w:bookmarkStart w:id="119" w:name="_Toc211525927"/>
      <w:r w:rsidRPr="69E604A3">
        <w:rPr>
          <w:lang w:val="es-ES"/>
        </w:rPr>
        <w:t>II.13.</w:t>
      </w:r>
      <w:r>
        <w:tab/>
      </w:r>
      <w:r w:rsidRPr="69E604A3">
        <w:rPr>
          <w:lang w:val="es-ES"/>
        </w:rPr>
        <w:t>Z 07.01.4 FUNC 1 CM</w:t>
      </w:r>
      <w:bookmarkEnd w:id="119"/>
    </w:p>
    <w:p w14:paraId="7FE1BC65" w14:textId="77777777" w:rsidR="00414040" w:rsidRDefault="00414040">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14040" w14:paraId="7FE1BC68" w14:textId="77777777" w:rsidTr="1C36D01D">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414040" w:rsidRDefault="00904E1A">
            <w:pPr>
              <w:pStyle w:val="P68B1DB1-TableParagraph17"/>
              <w:spacing w:before="108"/>
              <w:ind w:left="85"/>
              <w:jc w:val="both"/>
            </w:pPr>
            <w:r>
              <w:t>Columnas</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414040" w:rsidRDefault="00904E1A">
            <w:pPr>
              <w:pStyle w:val="P68B1DB1-TableParagraph17"/>
              <w:spacing w:before="108"/>
              <w:ind w:left="85" w:right="1"/>
              <w:jc w:val="both"/>
            </w:pPr>
            <w:r>
              <w:t>Instrucciones</w:t>
            </w:r>
          </w:p>
        </w:tc>
      </w:tr>
      <w:tr w:rsidR="00414040" w14:paraId="7FE1BC6C" w14:textId="77777777" w:rsidTr="1C36D01D">
        <w:tc>
          <w:tcPr>
            <w:tcW w:w="1080" w:type="dxa"/>
            <w:tcBorders>
              <w:top w:val="single" w:sz="4" w:space="0" w:color="1A171C"/>
              <w:left w:val="nil"/>
              <w:bottom w:val="single" w:sz="4" w:space="0" w:color="1A171C"/>
              <w:right w:val="single" w:sz="4" w:space="0" w:color="1A171C"/>
            </w:tcBorders>
            <w:vAlign w:val="center"/>
          </w:tcPr>
          <w:p w14:paraId="7FE1BC69" w14:textId="77777777" w:rsidR="00414040" w:rsidRDefault="00904E1A">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414040" w:rsidRDefault="00904E1A">
            <w:pPr>
              <w:pStyle w:val="P68B1DB1-TableParagraph14"/>
              <w:spacing w:before="108"/>
              <w:ind w:left="85"/>
              <w:jc w:val="both"/>
              <w:rPr>
                <w:bCs/>
              </w:rPr>
            </w:pPr>
            <w:r>
              <w:t>Descripción de la función económica</w:t>
            </w:r>
          </w:p>
          <w:p w14:paraId="7FE1BC6B" w14:textId="673475F1" w:rsidR="00414040" w:rsidRDefault="00904E1A">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Cuando la función económica sea del tipo «Otros» (</w:t>
            </w:r>
            <w:r>
              <w:t xml:space="preserve">Z 07.01.4 FUNC 1 CM </w:t>
            </w:r>
            <w:r>
              <w:rPr>
                <w:rFonts w:ascii="Times New Roman" w:eastAsia="Cambria" w:hAnsi="Times New Roman" w:cs="Times New Roman"/>
                <w:color w:val="000000" w:themeColor="text1"/>
                <w:sz w:val="20"/>
                <w:szCs w:val="20"/>
              </w:rPr>
              <w:t xml:space="preserve">r0290 a r0310), se facilitará una descripción de dicha función. </w:t>
            </w:r>
          </w:p>
        </w:tc>
      </w:tr>
      <w:tr w:rsidR="00414040" w14:paraId="7FE1BC70" w14:textId="77777777" w:rsidTr="1C36D01D">
        <w:tc>
          <w:tcPr>
            <w:tcW w:w="1080" w:type="dxa"/>
            <w:tcBorders>
              <w:top w:val="single" w:sz="4" w:space="0" w:color="1A171C"/>
              <w:left w:val="nil"/>
              <w:bottom w:val="single" w:sz="4" w:space="0" w:color="1A171C"/>
              <w:right w:val="single" w:sz="4" w:space="0" w:color="1A171C"/>
            </w:tcBorders>
            <w:vAlign w:val="center"/>
          </w:tcPr>
          <w:p w14:paraId="7FE1BC6D" w14:textId="77777777" w:rsidR="00414040" w:rsidRDefault="00904E1A">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414040" w:rsidRDefault="00904E1A">
            <w:pPr>
              <w:pStyle w:val="P68B1DB1-TableParagraph14"/>
              <w:spacing w:before="108"/>
              <w:ind w:left="85"/>
              <w:jc w:val="both"/>
              <w:rPr>
                <w:bCs/>
              </w:rPr>
            </w:pPr>
            <w:r>
              <w:t xml:space="preserve">Cuota de mercado </w:t>
            </w:r>
          </w:p>
          <w:p w14:paraId="7FE1BC6F" w14:textId="11A8E996" w:rsidR="00414040" w:rsidRDefault="00904E1A">
            <w:pPr>
              <w:pStyle w:val="P68B1DB1-TableParagraph17"/>
              <w:spacing w:before="108"/>
              <w:ind w:left="85"/>
            </w:pPr>
            <w:r>
              <w:t xml:space="preserve">Estimación de la cuota de mercado de la entidad o el grupo en relación con la función económica en el país o área geográfica correspondiente. Un porcentaje del mercado total en términos del importe nocional </w:t>
            </w:r>
            <w:r w:rsidR="007A17A1">
              <w:t>para</w:t>
            </w:r>
            <w:r w:rsidR="00E667EE">
              <w:t xml:space="preserve"> </w:t>
            </w:r>
            <w:r>
              <w:t xml:space="preserve">derivados; el importe en libros </w:t>
            </w:r>
            <w:r w:rsidR="007A17A1">
              <w:t xml:space="preserve">para </w:t>
            </w:r>
            <w:r>
              <w:t xml:space="preserve">mercados secundarios y los ingresos por comisiones </w:t>
            </w:r>
            <w:r w:rsidR="007A17A1">
              <w:t>para</w:t>
            </w:r>
            <w:r>
              <w:t xml:space="preserve"> mercados primarios.</w:t>
            </w:r>
          </w:p>
        </w:tc>
      </w:tr>
      <w:tr w:rsidR="00414040" w14:paraId="7FE1BC77" w14:textId="77777777" w:rsidTr="1C36D01D">
        <w:tc>
          <w:tcPr>
            <w:tcW w:w="1080" w:type="dxa"/>
            <w:tcBorders>
              <w:top w:val="single" w:sz="4" w:space="0" w:color="1A171C"/>
              <w:left w:val="nil"/>
              <w:bottom w:val="single" w:sz="4" w:space="0" w:color="1A171C"/>
              <w:right w:val="single" w:sz="4" w:space="0" w:color="1A171C"/>
            </w:tcBorders>
            <w:vAlign w:val="center"/>
          </w:tcPr>
          <w:p w14:paraId="7FE1BC71" w14:textId="77777777" w:rsidR="00414040" w:rsidRDefault="00904E1A">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414040" w:rsidRDefault="00904E1A">
            <w:pPr>
              <w:pStyle w:val="P68B1DB1-TableParagraph14"/>
              <w:spacing w:before="108"/>
              <w:rPr>
                <w:bCs/>
              </w:rPr>
            </w:pPr>
            <w:r>
              <w:t>Importe nocional</w:t>
            </w:r>
          </w:p>
          <w:p w14:paraId="7FE1BC73" w14:textId="179BEDA8" w:rsidR="00414040" w:rsidRDefault="00B67C1C">
            <w:pPr>
              <w:pStyle w:val="P68B1DB1-TableParagraph17"/>
              <w:spacing w:before="108"/>
            </w:pPr>
            <w:r>
              <w:t>I</w:t>
            </w:r>
            <w:r w:rsidR="00904E1A">
              <w:t xml:space="preserve">mporte nominal bruto de todas las operaciones </w:t>
            </w:r>
            <w:r w:rsidR="00D55A6D">
              <w:t>concluidas</w:t>
            </w:r>
            <w:r w:rsidR="00772473">
              <w:t xml:space="preserve"> </w:t>
            </w:r>
            <w:r w:rsidR="00904E1A">
              <w:t xml:space="preserve">y aún no liquidadas en la fecha de referencia. </w:t>
            </w:r>
          </w:p>
          <w:p w14:paraId="7FE1BC74" w14:textId="1DC109C6" w:rsidR="00414040" w:rsidRDefault="00904E1A">
            <w:pPr>
              <w:pStyle w:val="P68B1DB1-TableParagraph17"/>
              <w:spacing w:before="108"/>
            </w:pPr>
            <w:r>
              <w:t>Referencias: FINREP</w:t>
            </w:r>
            <w:r w:rsidR="00B67C1C">
              <w:t>,</w:t>
            </w:r>
            <w:r>
              <w:t xml:space="preserve"> anexo V, parte 2, apartado 133 para la definición; para los datos, FINREP, anexo</w:t>
            </w:r>
            <w:r w:rsidR="00E023C1">
              <w:t>s</w:t>
            </w:r>
            <w:r>
              <w:t> III, IV y V:</w:t>
            </w:r>
          </w:p>
          <w:p w14:paraId="7FE1BC75" w14:textId="77777777" w:rsidR="00414040" w:rsidRDefault="00904E1A">
            <w:pPr>
              <w:pStyle w:val="P68B1DB1-TableParagraph17"/>
              <w:spacing w:before="108"/>
            </w:pPr>
            <w:r>
              <w:t>— Total de los derivados (4.1-4.2): Plantilla F 10.00, columna 030, fila 290.</w:t>
            </w:r>
          </w:p>
          <w:p w14:paraId="7FE1BC76" w14:textId="77777777" w:rsidR="00414040" w:rsidRDefault="00904E1A">
            <w:pPr>
              <w:pStyle w:val="P68B1DB1-TableParagraph17"/>
              <w:spacing w:before="108"/>
            </w:pPr>
            <w:r>
              <w:t>— Derivados OTC (4.1): Plantilla F 10.00, columna 030, filas 300+ 310+ 320.</w:t>
            </w:r>
          </w:p>
        </w:tc>
      </w:tr>
      <w:tr w:rsidR="00414040" w14:paraId="7FE1BC7C" w14:textId="77777777" w:rsidTr="1C36D01D">
        <w:tc>
          <w:tcPr>
            <w:tcW w:w="1080" w:type="dxa"/>
            <w:tcBorders>
              <w:top w:val="single" w:sz="4" w:space="0" w:color="1A171C"/>
              <w:left w:val="nil"/>
              <w:bottom w:val="single" w:sz="4" w:space="0" w:color="1A171C"/>
              <w:right w:val="single" w:sz="4" w:space="0" w:color="1A171C"/>
            </w:tcBorders>
            <w:vAlign w:val="center"/>
          </w:tcPr>
          <w:p w14:paraId="7FE1BC78" w14:textId="77777777" w:rsidR="00414040" w:rsidRDefault="00904E1A">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414040" w:rsidRDefault="00904E1A">
            <w:pPr>
              <w:pStyle w:val="P68B1DB1-TableParagraph14"/>
              <w:spacing w:before="108"/>
              <w:rPr>
                <w:bCs/>
              </w:rPr>
            </w:pPr>
            <w:r>
              <w:t>Importe en libros</w:t>
            </w:r>
          </w:p>
          <w:p w14:paraId="7FE1BC7A" w14:textId="2844590B" w:rsidR="00414040" w:rsidRDefault="00904E1A">
            <w:pPr>
              <w:pStyle w:val="P68B1DB1-TableParagraph17"/>
              <w:spacing w:before="108"/>
            </w:pPr>
            <w:r w:rsidRPr="69E604A3">
              <w:rPr>
                <w:lang w:val="es-ES"/>
              </w:rPr>
              <w:t xml:space="preserve">Importe en libros que debe </w:t>
            </w:r>
            <w:r w:rsidR="004C02FD">
              <w:rPr>
                <w:lang w:val="es-ES"/>
              </w:rPr>
              <w:t xml:space="preserve">informarse </w:t>
            </w:r>
            <w:r w:rsidRPr="69E604A3">
              <w:rPr>
                <w:lang w:val="es-ES"/>
              </w:rPr>
              <w:t xml:space="preserve">en el activo del balance, incluidos los intereses devengados [FINREP: Anexo V, parte 1, apartado 27], </w:t>
            </w:r>
            <w:r w:rsidR="00E32E56">
              <w:rPr>
                <w:lang w:val="es-ES"/>
              </w:rPr>
              <w:t>para instrumentos de capital</w:t>
            </w:r>
            <w:r w:rsidR="00772473">
              <w:rPr>
                <w:lang w:val="es-ES"/>
              </w:rPr>
              <w:t xml:space="preserve"> </w:t>
            </w:r>
            <w:r w:rsidRPr="69E604A3">
              <w:rPr>
                <w:lang w:val="es-ES"/>
              </w:rPr>
              <w:t>y valores representativos de deuda [FINREP: Anexo V, parte 1, apartado 31] clasificados como «mantenidos para negociar» [FINREP: Anexo V Parte 1, apartado 15, letra a) y apartado 16, letra a)].</w:t>
            </w:r>
          </w:p>
          <w:p w14:paraId="7FE1BC7B" w14:textId="77777777" w:rsidR="00414040" w:rsidRDefault="00904E1A">
            <w:pPr>
              <w:pStyle w:val="P68B1DB1-TableParagraph17"/>
              <w:spacing w:before="108"/>
            </w:pPr>
            <w:r>
              <w:t>Referencia: FINREP: Anexo III, plantilla F 04.01, columna 010, filas 010+ 060+ 120.</w:t>
            </w:r>
          </w:p>
        </w:tc>
      </w:tr>
      <w:tr w:rsidR="00414040" w14:paraId="7FE1BC81" w14:textId="77777777" w:rsidTr="1C36D01D">
        <w:tc>
          <w:tcPr>
            <w:tcW w:w="1080" w:type="dxa"/>
            <w:tcBorders>
              <w:top w:val="single" w:sz="4" w:space="0" w:color="1A171C"/>
              <w:left w:val="nil"/>
              <w:bottom w:val="single" w:sz="4" w:space="0" w:color="1A171C"/>
              <w:right w:val="single" w:sz="4" w:space="0" w:color="1A171C"/>
            </w:tcBorders>
            <w:vAlign w:val="center"/>
          </w:tcPr>
          <w:p w14:paraId="7FE1BC7D" w14:textId="77777777" w:rsidR="00414040" w:rsidRDefault="00904E1A">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6118CF70" w:rsidR="00414040" w:rsidRDefault="00904E1A">
            <w:pPr>
              <w:pStyle w:val="P68B1DB1-TableParagraph14"/>
              <w:spacing w:before="108"/>
              <w:jc w:val="both"/>
              <w:rPr>
                <w:bCs/>
              </w:rPr>
            </w:pPr>
            <w:r>
              <w:t xml:space="preserve">Ingresos por </w:t>
            </w:r>
            <w:r w:rsidR="004E15A9">
              <w:t>comisiones</w:t>
            </w:r>
          </w:p>
          <w:p w14:paraId="7FE1BC7F" w14:textId="0FDAF0BB" w:rsidR="00414040" w:rsidRDefault="00904E1A">
            <w:pPr>
              <w:pStyle w:val="P68B1DB1-TableParagraph13"/>
              <w:spacing w:before="108"/>
              <w:jc w:val="both"/>
            </w:pPr>
            <w:r w:rsidRPr="69E604A3">
              <w:rPr>
                <w:lang w:val="es-ES"/>
              </w:rPr>
              <w:lastRenderedPageBreak/>
              <w:t xml:space="preserve">Comisiones </w:t>
            </w:r>
            <w:r w:rsidR="007D4832">
              <w:rPr>
                <w:lang w:val="es-ES"/>
              </w:rPr>
              <w:t xml:space="preserve">e ingresos </w:t>
            </w:r>
            <w:r w:rsidRPr="69E604A3">
              <w:rPr>
                <w:lang w:val="es-ES"/>
              </w:rPr>
              <w:t>percibid</w:t>
            </w:r>
            <w:r w:rsidR="007D4832">
              <w:rPr>
                <w:lang w:val="es-ES"/>
              </w:rPr>
              <w:t>o</w:t>
            </w:r>
            <w:r w:rsidRPr="69E604A3">
              <w:rPr>
                <w:lang w:val="es-ES"/>
              </w:rPr>
              <w:t xml:space="preserve">s por la participación en la </w:t>
            </w:r>
            <w:proofErr w:type="spellStart"/>
            <w:r w:rsidRPr="69E604A3">
              <w:rPr>
                <w:lang w:val="es-ES"/>
              </w:rPr>
              <w:t>originación</w:t>
            </w:r>
            <w:proofErr w:type="spellEnd"/>
            <w:r w:rsidRPr="69E604A3">
              <w:rPr>
                <w:lang w:val="es-ES"/>
              </w:rPr>
              <w:t xml:space="preserve"> o emisión de valores no originados o emitidos por la entidad.</w:t>
            </w:r>
          </w:p>
          <w:p w14:paraId="7FE1BC80" w14:textId="77777777" w:rsidR="00414040" w:rsidRDefault="00904E1A">
            <w:pPr>
              <w:pStyle w:val="P68B1DB1-TableParagraph13"/>
              <w:spacing w:before="108"/>
              <w:jc w:val="both"/>
            </w:pPr>
            <w:r>
              <w:t>Referencia: FINREP: Anexos III y IV, plantilla F 22.01, columna 010, filas 030+ 180.</w:t>
            </w:r>
          </w:p>
        </w:tc>
      </w:tr>
      <w:tr w:rsidR="00414040" w14:paraId="7FE1BC87" w14:textId="77777777" w:rsidTr="1C36D01D">
        <w:tc>
          <w:tcPr>
            <w:tcW w:w="1080" w:type="dxa"/>
            <w:tcBorders>
              <w:top w:val="single" w:sz="4" w:space="0" w:color="1A171C"/>
              <w:left w:val="nil"/>
              <w:bottom w:val="single" w:sz="4" w:space="0" w:color="1A171C"/>
              <w:right w:val="single" w:sz="4" w:space="0" w:color="1A171C"/>
            </w:tcBorders>
            <w:vAlign w:val="center"/>
          </w:tcPr>
          <w:p w14:paraId="7FE1BC82" w14:textId="77777777" w:rsidR="00414040" w:rsidRDefault="00904E1A">
            <w:pPr>
              <w:pStyle w:val="P68B1DB1-TableParagraph17"/>
              <w:spacing w:before="108"/>
              <w:jc w:val="both"/>
            </w:pPr>
            <w:r>
              <w:lastRenderedPageBreak/>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414040" w:rsidRDefault="00904E1A">
            <w:pPr>
              <w:pStyle w:val="P68B1DB1-TableParagraph14"/>
              <w:spacing w:before="108"/>
              <w:jc w:val="both"/>
              <w:rPr>
                <w:bCs/>
              </w:rPr>
            </w:pPr>
            <w:r>
              <w:t>Valor transfronterizo</w:t>
            </w:r>
          </w:p>
          <w:p w14:paraId="7FE1BC84" w14:textId="5D51DEC5" w:rsidR="00414040" w:rsidRDefault="00904E1A">
            <w:pPr>
              <w:pStyle w:val="P68B1DB1-TableParagraph13"/>
              <w:spacing w:before="108"/>
              <w:jc w:val="both"/>
            </w:pPr>
            <w:r>
              <w:t xml:space="preserve">Derivados: el importe nocional pendiente fuera del país de origen o del país </w:t>
            </w:r>
            <w:r w:rsidR="007179A0">
              <w:t>relevante</w:t>
            </w:r>
            <w:r>
              <w:t xml:space="preserve">. </w:t>
            </w:r>
          </w:p>
          <w:p w14:paraId="3C524D5F" w14:textId="1BBF98D8" w:rsidR="00B67C1C" w:rsidRDefault="00904E1A">
            <w:pPr>
              <w:pStyle w:val="P68B1DB1-TableParagraph13"/>
              <w:spacing w:before="108"/>
              <w:jc w:val="both"/>
            </w:pPr>
            <w:r>
              <w:t xml:space="preserve">Mercados secundarios: importe en libros bruto pendiente fuera del país de origen o del país </w:t>
            </w:r>
            <w:r w:rsidR="00470151">
              <w:t>relevante</w:t>
            </w:r>
            <w:r>
              <w:t>.</w:t>
            </w:r>
          </w:p>
          <w:p w14:paraId="7FE1BC85" w14:textId="5185A606" w:rsidR="00414040" w:rsidRDefault="00904E1A">
            <w:pPr>
              <w:pStyle w:val="P68B1DB1-TableParagraph13"/>
              <w:spacing w:before="108"/>
              <w:jc w:val="both"/>
            </w:pPr>
            <w:r>
              <w:t xml:space="preserve">Referencia de contexto: FINREP, anexo III, cuadro 20.04, columna 011, filas 040+ 080, todos los países excepto el país de origen o el país </w:t>
            </w:r>
            <w:r w:rsidR="0057611E">
              <w:t>releva</w:t>
            </w:r>
            <w:r w:rsidR="00217704">
              <w:t>nte</w:t>
            </w:r>
            <w:r>
              <w:t>.</w:t>
            </w:r>
          </w:p>
          <w:p w14:paraId="7FE1BC86" w14:textId="00828D92" w:rsidR="00414040" w:rsidRDefault="00904E1A">
            <w:pPr>
              <w:pStyle w:val="P68B1DB1-TableParagraph13"/>
              <w:spacing w:before="108"/>
              <w:jc w:val="both"/>
            </w:pPr>
            <w:r>
              <w:t xml:space="preserve">Mercados primarios: los ingresos por </w:t>
            </w:r>
            <w:r w:rsidR="00BE0A2E">
              <w:t>comisiones</w:t>
            </w:r>
            <w:r w:rsidR="00F81159">
              <w:t xml:space="preserve"> </w:t>
            </w:r>
            <w:r>
              <w:t xml:space="preserve">generados fuera del país de origen o del país </w:t>
            </w:r>
            <w:r w:rsidR="00F42CD2">
              <w:t>releva</w:t>
            </w:r>
            <w:r w:rsidR="00BE0A2E">
              <w:t>nte</w:t>
            </w:r>
            <w:r>
              <w:t>.</w:t>
            </w:r>
          </w:p>
        </w:tc>
      </w:tr>
      <w:tr w:rsidR="00414040" w14:paraId="7FE1BC8B" w14:textId="77777777" w:rsidTr="1C36D01D">
        <w:tc>
          <w:tcPr>
            <w:tcW w:w="1080" w:type="dxa"/>
            <w:tcBorders>
              <w:top w:val="single" w:sz="4" w:space="0" w:color="1A171C"/>
              <w:left w:val="nil"/>
              <w:bottom w:val="single" w:sz="4" w:space="0" w:color="1A171C"/>
              <w:right w:val="single" w:sz="4" w:space="0" w:color="1A171C"/>
            </w:tcBorders>
            <w:vAlign w:val="center"/>
          </w:tcPr>
          <w:p w14:paraId="7FE1BC88" w14:textId="77777777" w:rsidR="00414040" w:rsidRDefault="00904E1A">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414040" w:rsidRDefault="00904E1A">
            <w:pPr>
              <w:pStyle w:val="P68B1DB1-TableParagraph14"/>
              <w:spacing w:before="108"/>
              <w:jc w:val="both"/>
              <w:rPr>
                <w:bCs/>
              </w:rPr>
            </w:pPr>
            <w:r>
              <w:t>Número de contrapartes u operaciones.</w:t>
            </w:r>
          </w:p>
          <w:p w14:paraId="7FE1BC8A" w14:textId="77777777" w:rsidR="00414040" w:rsidRDefault="00904E1A">
            <w:pPr>
              <w:pStyle w:val="P68B1DB1-TableParagraph13"/>
              <w:spacing w:before="108"/>
              <w:jc w:val="both"/>
              <w:rPr>
                <w:b/>
                <w:bCs/>
              </w:rPr>
            </w:pPr>
            <w:r>
              <w:t>En el caso de los derivados y los mercados secundarios, número total de contrapartes. Para los mercados primarios, número total de operaciones suscritas.</w:t>
            </w:r>
          </w:p>
        </w:tc>
      </w:tr>
      <w:tr w:rsidR="00414040" w14:paraId="7FE1BC94" w14:textId="77777777" w:rsidTr="1C36D01D">
        <w:tc>
          <w:tcPr>
            <w:tcW w:w="1080" w:type="dxa"/>
            <w:tcBorders>
              <w:top w:val="single" w:sz="4" w:space="0" w:color="1A171C"/>
              <w:left w:val="nil"/>
              <w:bottom w:val="single" w:sz="4" w:space="0" w:color="1A171C"/>
              <w:right w:val="single" w:sz="4" w:space="0" w:color="1A171C"/>
            </w:tcBorders>
            <w:vAlign w:val="center"/>
          </w:tcPr>
          <w:p w14:paraId="7FE1BC8C" w14:textId="77777777" w:rsidR="00414040" w:rsidRDefault="00904E1A">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414040" w:rsidRDefault="00904E1A">
            <w:pPr>
              <w:pStyle w:val="P68B1DB1-TableParagraph14"/>
              <w:spacing w:before="108"/>
              <w:jc w:val="both"/>
              <w:rPr>
                <w:bCs/>
              </w:rPr>
            </w:pPr>
            <w:r>
              <w:t>Análisis de impacto y sustituibilidad</w:t>
            </w:r>
          </w:p>
          <w:p w14:paraId="7FE1BC8E" w14:textId="77777777" w:rsidR="00414040" w:rsidRDefault="00904E1A">
            <w:pPr>
              <w:pStyle w:val="P68B1DB1-TableParagraph13"/>
              <w:spacing w:before="108"/>
              <w:jc w:val="both"/>
            </w:pPr>
            <w:r w:rsidRPr="69E604A3">
              <w:rPr>
                <w:lang w:val="es-ES"/>
              </w:rPr>
              <w:t xml:space="preserve">Los criterios de evaluación del impacto en terceros incluirán los siguientes elementos de conformidad con el Reglamento </w:t>
            </w:r>
            <w:proofErr w:type="gramStart"/>
            <w:r w:rsidRPr="69E604A3">
              <w:rPr>
                <w:lang w:val="es-ES"/>
              </w:rPr>
              <w:t>Delegado</w:t>
            </w:r>
            <w:proofErr w:type="gramEnd"/>
            <w:r w:rsidRPr="69E604A3">
              <w:rPr>
                <w:lang w:val="es-ES"/>
              </w:rPr>
              <w:t xml:space="preserve"> (UE) 2016/778 de la Comisión sobre las funciones esenciales:</w:t>
            </w:r>
          </w:p>
          <w:p w14:paraId="7FE1BC8F" w14:textId="2B7DCEF1" w:rsidR="00414040" w:rsidRDefault="00904E1A">
            <w:pPr>
              <w:pStyle w:val="P68B1DB1-ListParagraph38"/>
              <w:numPr>
                <w:ilvl w:val="0"/>
                <w:numId w:val="131"/>
              </w:numPr>
              <w:spacing w:line="276" w:lineRule="auto"/>
            </w:pPr>
            <w:r>
              <w:t>la naturaleza y el alcance de la actividad, el alcance mundial, nacional o regional, el volumen y el número de transacciones; el número de clientes y contrapartes; el número de clientes para los que la entidad es el único</w:t>
            </w:r>
            <w:r w:rsidR="00F74C82">
              <w:t xml:space="preserve"> o principal</w:t>
            </w:r>
            <w:r>
              <w:t xml:space="preserve"> socio bancario.</w:t>
            </w:r>
          </w:p>
          <w:p w14:paraId="7FE1BC90" w14:textId="1478B02C" w:rsidR="00414040" w:rsidRDefault="00904E1A">
            <w:pPr>
              <w:pStyle w:val="P68B1DB1-ListParagraph38"/>
              <w:numPr>
                <w:ilvl w:val="0"/>
                <w:numId w:val="131"/>
              </w:numPr>
              <w:spacing w:line="276" w:lineRule="auto"/>
            </w:pPr>
            <w:r>
              <w:t xml:space="preserve">la relevancia de la entidad a escala local, regional, nacional o europea, según proceda para el mercado de que se trate. La </w:t>
            </w:r>
            <w:r w:rsidR="00F74C82">
              <w:t>relevancia</w:t>
            </w:r>
            <w:r w:rsidR="00F42CD2">
              <w:t xml:space="preserve"> </w:t>
            </w:r>
            <w:r>
              <w:t>de la entidad podrá evaluarse en función de la cuota de mercado, la interconexión, la complejidad y las actividades transfronterizas.</w:t>
            </w:r>
          </w:p>
          <w:p w14:paraId="7FE1BC91" w14:textId="5155865C" w:rsidR="00414040" w:rsidRDefault="00904E1A">
            <w:pPr>
              <w:pStyle w:val="P68B1DB1-ListParagraph38"/>
              <w:numPr>
                <w:ilvl w:val="0"/>
                <w:numId w:val="131"/>
              </w:numPr>
              <w:spacing w:line="276" w:lineRule="auto"/>
            </w:pPr>
            <w:r w:rsidRPr="1C36D01D">
              <w:rPr>
                <w:lang w:val="es-ES"/>
              </w:rPr>
              <w:t xml:space="preserve">la naturaleza de los clientes y partes interesadas </w:t>
            </w:r>
            <w:r w:rsidR="00E872AB" w:rsidRPr="1C36D01D">
              <w:rPr>
                <w:lang w:val="es-ES"/>
              </w:rPr>
              <w:t>afectadas</w:t>
            </w:r>
            <w:r w:rsidR="00F42CD2">
              <w:rPr>
                <w:lang w:val="es-ES"/>
              </w:rPr>
              <w:t xml:space="preserve"> </w:t>
            </w:r>
            <w:r w:rsidRPr="1C36D01D">
              <w:rPr>
                <w:lang w:val="es-ES"/>
              </w:rPr>
              <w:t xml:space="preserve">por la función, </w:t>
            </w:r>
            <w:r w:rsidR="00E872AB" w:rsidRPr="1C36D01D">
              <w:rPr>
                <w:lang w:val="es-ES"/>
              </w:rPr>
              <w:t>como, entre otros</w:t>
            </w:r>
            <w:r w:rsidRPr="1C36D01D">
              <w:rPr>
                <w:lang w:val="es-ES"/>
              </w:rPr>
              <w:t xml:space="preserve">, clientes minoristas, </w:t>
            </w:r>
            <w:r w:rsidR="00E872AB" w:rsidRPr="1C36D01D">
              <w:rPr>
                <w:lang w:val="es-ES"/>
              </w:rPr>
              <w:t>clientes corporativos o clientes</w:t>
            </w:r>
            <w:r w:rsidR="00F42CD2">
              <w:rPr>
                <w:lang w:val="es-ES"/>
              </w:rPr>
              <w:t xml:space="preserve"> </w:t>
            </w:r>
            <w:r w:rsidRPr="1C36D01D">
              <w:rPr>
                <w:lang w:val="es-ES"/>
              </w:rPr>
              <w:t xml:space="preserve">bancarios, </w:t>
            </w:r>
            <w:r w:rsidR="00EA31AD">
              <w:rPr>
                <w:lang w:val="es-ES"/>
              </w:rPr>
              <w:t>cámaras de compensación</w:t>
            </w:r>
            <w:r w:rsidRPr="1C36D01D">
              <w:rPr>
                <w:lang w:val="es-ES"/>
              </w:rPr>
              <w:t xml:space="preserve"> y entes públicos; </w:t>
            </w:r>
          </w:p>
          <w:p w14:paraId="7FE1BC92" w14:textId="152E91D3" w:rsidR="00414040" w:rsidRDefault="00904E1A">
            <w:pPr>
              <w:pStyle w:val="P68B1DB1-ListParagraph38"/>
              <w:numPr>
                <w:ilvl w:val="0"/>
                <w:numId w:val="131"/>
              </w:numPr>
              <w:spacing w:line="276" w:lineRule="auto"/>
            </w:pPr>
            <w:r>
              <w:t xml:space="preserve">la posible </w:t>
            </w:r>
            <w:r w:rsidRPr="009326A9">
              <w:t xml:space="preserve">perturbación de la función </w:t>
            </w:r>
            <w:r w:rsidR="00A625DA" w:rsidRPr="009326A9">
              <w:t>de</w:t>
            </w:r>
            <w:r w:rsidR="00EF4EE8">
              <w:t xml:space="preserve"> </w:t>
            </w:r>
            <w:r w:rsidRPr="009326A9">
              <w:t>los mercados</w:t>
            </w:r>
            <w:r>
              <w:t xml:space="preserve">, las infraestructuras, los clientes y los servicios públicos. En particular, la evaluación podrá incluir el efecto sobre la liquidez de los mercados afectados, el impacto y el alcance de la perturbación de la actividades de los clientes y las necesidades de liquidez a corto plazo; </w:t>
            </w:r>
            <w:r w:rsidR="008F6BFE">
              <w:t>el impacto</w:t>
            </w:r>
            <w:r>
              <w:t xml:space="preserve"> para las contrapartes, los clientes y el público; la capacidad y la </w:t>
            </w:r>
            <w:r w:rsidR="004A62B3">
              <w:t>rapidez</w:t>
            </w:r>
            <w:r w:rsidR="00BB389A">
              <w:t xml:space="preserve"> </w:t>
            </w:r>
            <w:r>
              <w:t xml:space="preserve">de reacción de los clientes; la </w:t>
            </w:r>
            <w:r w:rsidR="004A62B3">
              <w:t>relevancia</w:t>
            </w:r>
            <w:r w:rsidR="00BB389A">
              <w:t xml:space="preserve"> </w:t>
            </w:r>
            <w:r>
              <w:t>para el funcionamiento de otros mercados; el efecto en la liquidez, las operaciones y la estructura de otro mercado; el efecto sobre otras contrapartes relacionad</w:t>
            </w:r>
            <w:r w:rsidR="00957C09">
              <w:t>as</w:t>
            </w:r>
            <w:r>
              <w:t xml:space="preserve"> con los principales clientes y la interrelación de la función con otros servicios.</w:t>
            </w:r>
          </w:p>
          <w:p w14:paraId="7FE1BC93"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C98" w14:textId="77777777" w:rsidTr="1C36D01D">
        <w:tc>
          <w:tcPr>
            <w:tcW w:w="1080" w:type="dxa"/>
            <w:tcBorders>
              <w:top w:val="single" w:sz="4" w:space="0" w:color="1A171C"/>
              <w:left w:val="nil"/>
              <w:bottom w:val="single" w:sz="4" w:space="0" w:color="1A171C"/>
              <w:right w:val="single" w:sz="4" w:space="0" w:color="1A171C"/>
            </w:tcBorders>
            <w:vAlign w:val="center"/>
          </w:tcPr>
          <w:p w14:paraId="7FE1BC95" w14:textId="77777777" w:rsidR="00414040" w:rsidRDefault="00904E1A">
            <w:pPr>
              <w:pStyle w:val="P68B1DB1-TableParagraph17"/>
              <w:spacing w:before="108"/>
              <w:ind w:left="85"/>
              <w:jc w:val="both"/>
            </w:pPr>
            <w:r>
              <w:t>0110-0130</w:t>
            </w:r>
          </w:p>
        </w:tc>
        <w:tc>
          <w:tcPr>
            <w:tcW w:w="8003" w:type="dxa"/>
            <w:tcBorders>
              <w:top w:val="single" w:sz="4" w:space="0" w:color="1A171C"/>
              <w:left w:val="single" w:sz="4" w:space="0" w:color="1A171C"/>
              <w:bottom w:val="single" w:sz="4" w:space="0" w:color="1A171C"/>
              <w:right w:val="nil"/>
            </w:tcBorders>
            <w:vAlign w:val="center"/>
          </w:tcPr>
          <w:p w14:paraId="7FE1BC96" w14:textId="369CFC82" w:rsidR="00414040" w:rsidRDefault="00904E1A">
            <w:pPr>
              <w:pStyle w:val="P68B1DB1-TableParagraph14"/>
              <w:spacing w:before="108"/>
              <w:jc w:val="both"/>
              <w:rPr>
                <w:bCs/>
              </w:rPr>
            </w:pPr>
            <w:r>
              <w:t xml:space="preserve">Naturaleza y </w:t>
            </w:r>
            <w:r w:rsidR="004A62B3">
              <w:t>alcance</w:t>
            </w:r>
          </w:p>
          <w:p w14:paraId="7FE1BC97" w14:textId="3F8FCB30" w:rsidR="00414040" w:rsidRDefault="00904E1A">
            <w:pPr>
              <w:pStyle w:val="P68B1DB1-TableParagraph13"/>
              <w:spacing w:before="108"/>
              <w:jc w:val="both"/>
            </w:pPr>
            <w:r>
              <w:t xml:space="preserve">El alcance mundial, nacional o regional, el volumen y el número de transacciones; el número de clientes y contrapartes; el número de clientes para los que la entidad es el único </w:t>
            </w:r>
            <w:r w:rsidR="004A62B3">
              <w:t xml:space="preserve">o principal </w:t>
            </w:r>
            <w:r>
              <w:t>socio bancario.</w:t>
            </w:r>
          </w:p>
        </w:tc>
      </w:tr>
      <w:tr w:rsidR="00414040" w14:paraId="7FE1BC9E" w14:textId="77777777" w:rsidTr="1C36D01D">
        <w:tc>
          <w:tcPr>
            <w:tcW w:w="1080" w:type="dxa"/>
            <w:tcBorders>
              <w:top w:val="single" w:sz="4" w:space="0" w:color="1A171C"/>
              <w:left w:val="nil"/>
              <w:bottom w:val="single" w:sz="4" w:space="0" w:color="1A171C"/>
              <w:right w:val="single" w:sz="4" w:space="0" w:color="1A171C"/>
            </w:tcBorders>
            <w:vAlign w:val="center"/>
          </w:tcPr>
          <w:p w14:paraId="7FE1BC99" w14:textId="77777777" w:rsidR="00414040" w:rsidRDefault="00904E1A">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414040" w:rsidRDefault="00904E1A">
            <w:pPr>
              <w:pStyle w:val="P68B1DB1-TableParagraph14"/>
              <w:spacing w:before="108"/>
              <w:jc w:val="both"/>
              <w:rPr>
                <w:bCs/>
              </w:rPr>
            </w:pPr>
            <w:r>
              <w:t>Indicador de tamaño 1</w:t>
            </w:r>
          </w:p>
          <w:p w14:paraId="4965F0DF" w14:textId="3399F16A" w:rsidR="00414040" w:rsidRDefault="00904E1A">
            <w:pPr>
              <w:pStyle w:val="P68B1DB1-Normal31"/>
              <w:spacing w:line="276" w:lineRule="auto"/>
              <w:jc w:val="both"/>
            </w:pPr>
            <w:r>
              <w:t xml:space="preserve">Evaluar la importancia del banco en estas actividades. Esta evaluación se expresa cualitativamente como </w:t>
            </w:r>
            <w:r w:rsidR="007C1781" w:rsidRPr="77CB6E75">
              <w:rPr>
                <w:lang w:val="es-ES"/>
              </w:rPr>
              <w:t>«</w:t>
            </w:r>
            <w:r w:rsidR="00735179">
              <w:rPr>
                <w:lang w:val="es-ES"/>
              </w:rPr>
              <w:t>a</w:t>
            </w:r>
            <w:r w:rsidR="007C1781" w:rsidRPr="77CB6E75">
              <w:rPr>
                <w:lang w:val="es-ES"/>
              </w:rPr>
              <w:t>lto», «</w:t>
            </w:r>
            <w:r w:rsidR="00735179">
              <w:rPr>
                <w:lang w:val="es-ES"/>
              </w:rPr>
              <w:t>m</w:t>
            </w:r>
            <w:r w:rsidR="007C1781" w:rsidRPr="77CB6E75">
              <w:rPr>
                <w:lang w:val="es-ES"/>
              </w:rPr>
              <w:t>edio-alto», «</w:t>
            </w:r>
            <w:r w:rsidR="00735179">
              <w:rPr>
                <w:lang w:val="es-ES"/>
              </w:rPr>
              <w:t>m</w:t>
            </w:r>
            <w:r w:rsidR="007C1781" w:rsidRPr="77CB6E75">
              <w:rPr>
                <w:lang w:val="es-ES"/>
              </w:rPr>
              <w:t>edio-bajo» o «</w:t>
            </w:r>
            <w:r w:rsidR="00735179">
              <w:rPr>
                <w:lang w:val="es-ES"/>
              </w:rPr>
              <w:t>b</w:t>
            </w:r>
            <w:r w:rsidR="007C1781" w:rsidRPr="77CB6E75">
              <w:rPr>
                <w:lang w:val="es-ES"/>
              </w:rPr>
              <w:t>ajo»</w:t>
            </w:r>
            <w:r>
              <w:t>. Indíquese «</w:t>
            </w:r>
            <w:r w:rsidR="00735179">
              <w:t>alto</w:t>
            </w:r>
            <w:r>
              <w:t>» si el tamaño de la función es grande, «</w:t>
            </w:r>
            <w:r w:rsidR="00735179">
              <w:t>medio</w:t>
            </w:r>
            <w:r>
              <w:t>-alto» si es medio, «</w:t>
            </w:r>
            <w:r w:rsidR="00735179">
              <w:t>medio</w:t>
            </w:r>
            <w:r>
              <w:t>-bajo» si es pequeño y «</w:t>
            </w:r>
            <w:r w:rsidR="00735179">
              <w:t>bajo</w:t>
            </w:r>
            <w:r>
              <w:t xml:space="preserve">» si es insignificante. Utilizar </w:t>
            </w:r>
            <w:r>
              <w:lastRenderedPageBreak/>
              <w:t xml:space="preserve">variables macroeconómicas como el PIB, la población (para depósitos, </w:t>
            </w:r>
            <w:r w:rsidR="00D502D3">
              <w:t>concesión de financiación</w:t>
            </w:r>
            <w:r>
              <w:t xml:space="preserve">, </w:t>
            </w:r>
            <w:r w:rsidR="00242751">
              <w:t xml:space="preserve">servicios de </w:t>
            </w:r>
            <w:r>
              <w:t xml:space="preserve">pago, </w:t>
            </w:r>
            <w:r w:rsidR="00242751">
              <w:t>caja</w:t>
            </w:r>
            <w:r>
              <w:t xml:space="preserve">, liquidación, compensación y custodia) o el tamaño del mercado (para los mercados de capitales y la financiación </w:t>
            </w:r>
            <w:r w:rsidR="00242751">
              <w:t>mayorista</w:t>
            </w:r>
            <w:r>
              <w:t xml:space="preserve">) como referencia para esta evaluación cualitativa. </w:t>
            </w:r>
          </w:p>
          <w:p w14:paraId="7FE1BC9B" w14:textId="478A7B58" w:rsidR="00414040" w:rsidRDefault="00904E1A">
            <w:pPr>
              <w:pStyle w:val="P68B1DB1-TableParagraph13"/>
              <w:spacing w:before="108"/>
              <w:jc w:val="both"/>
            </w:pPr>
            <w:r>
              <w:t xml:space="preserve"> </w:t>
            </w:r>
          </w:p>
          <w:p w14:paraId="7FE1BC9C" w14:textId="3AB8353B" w:rsidR="00414040" w:rsidRDefault="00D119E1">
            <w:pPr>
              <w:pStyle w:val="P68B1DB1-ListParagraph32"/>
              <w:numPr>
                <w:ilvl w:val="0"/>
                <w:numId w:val="126"/>
              </w:numPr>
              <w:spacing w:line="276" w:lineRule="auto"/>
            </w:pPr>
            <w:r>
              <w:t>Juicio</w:t>
            </w:r>
            <w:r w:rsidR="00904E1A">
              <w:t xml:space="preserve"> experto sobre la </w:t>
            </w:r>
            <w:r w:rsidR="00BB389A">
              <w:t xml:space="preserve">dimensión </w:t>
            </w:r>
            <w:r w:rsidR="00904E1A">
              <w:t xml:space="preserve">del </w:t>
            </w:r>
            <w:r w:rsidR="00904E1A">
              <w:rPr>
                <w:b/>
              </w:rPr>
              <w:t>valor</w:t>
            </w:r>
            <w:r w:rsidR="00904E1A">
              <w:t xml:space="preserve"> del importe nocional pendiente (c0030 para las </w:t>
            </w:r>
            <w:r w:rsidR="00904E1A" w:rsidRPr="009326A9">
              <w:t xml:space="preserve">funciones </w:t>
            </w:r>
            <w:r w:rsidR="004017BE">
              <w:t xml:space="preserve">con identificador </w:t>
            </w:r>
            <w:r w:rsidR="00904E1A">
              <w:t xml:space="preserve">4.1 y 4.2); importe en libros (c0040 para </w:t>
            </w:r>
            <w:r w:rsidR="008046FC">
              <w:t xml:space="preserve">el identificador </w:t>
            </w:r>
            <w:r w:rsidR="00904E1A">
              <w:t xml:space="preserve">4.3); o ingresos por </w:t>
            </w:r>
            <w:r w:rsidR="005F676D">
              <w:t xml:space="preserve">comisiones </w:t>
            </w:r>
            <w:r w:rsidR="00904E1A">
              <w:t xml:space="preserve">generados (c0050 para </w:t>
            </w:r>
            <w:r w:rsidR="008046FC">
              <w:t xml:space="preserve">el identificador </w:t>
            </w:r>
            <w:r w:rsidR="00904E1A">
              <w:t xml:space="preserve">4.4) desde una perspectiva </w:t>
            </w:r>
            <w:r w:rsidR="00904E1A">
              <w:rPr>
                <w:b/>
              </w:rPr>
              <w:t>global</w:t>
            </w:r>
            <w:r w:rsidR="00904E1A">
              <w:t xml:space="preserve"> [</w:t>
            </w:r>
            <w:r w:rsidR="00904E1A">
              <w:rPr>
                <w:i/>
              </w:rPr>
              <w:t xml:space="preserve">un nivel superior al mercado </w:t>
            </w:r>
            <w:r w:rsidR="001A28E7">
              <w:rPr>
                <w:i/>
              </w:rPr>
              <w:t>relevante</w:t>
            </w:r>
            <w:r w:rsidR="00904E1A">
              <w:rPr>
                <w:i/>
              </w:rPr>
              <w:t xml:space="preserve">. Si el mercado </w:t>
            </w:r>
            <w:r w:rsidR="001A28E7">
              <w:rPr>
                <w:i/>
              </w:rPr>
              <w:t>relevante</w:t>
            </w:r>
            <w:r w:rsidR="00BB389A">
              <w:rPr>
                <w:i/>
              </w:rPr>
              <w:t xml:space="preserve"> </w:t>
            </w:r>
            <w:r w:rsidR="00904E1A">
              <w:rPr>
                <w:i/>
              </w:rPr>
              <w:t xml:space="preserve">es global, el tamaño 1 es redundante y, por tanto, no es necesario </w:t>
            </w:r>
            <w:r w:rsidR="001A28E7">
              <w:rPr>
                <w:i/>
              </w:rPr>
              <w:t>informarlo</w:t>
            </w:r>
            <w:r w:rsidR="00904E1A">
              <w:rPr>
                <w:i/>
              </w:rPr>
              <w:t>]</w:t>
            </w:r>
            <w:r w:rsidR="00904E1A">
              <w:t>:</w:t>
            </w:r>
          </w:p>
          <w:p w14:paraId="7FE1BC9D" w14:textId="4D496CE3" w:rsidR="00414040" w:rsidRDefault="00904E1A">
            <w:pPr>
              <w:pStyle w:val="P68B1DB1-TableParagraph33"/>
              <w:spacing w:before="108"/>
              <w:jc w:val="both"/>
              <w:rPr>
                <w:rFonts w:cs="Times New Roman"/>
                <w:color w:val="000000" w:themeColor="text1"/>
              </w:rPr>
            </w:pPr>
            <w:r>
              <w:t xml:space="preserve">Desde una perspectiva global, ¿cuál considera que es </w:t>
            </w:r>
            <w:r w:rsidR="00BB389A">
              <w:t>la magnitud</w:t>
            </w:r>
            <w:r w:rsidR="00F95F19">
              <w:t xml:space="preserve"> </w:t>
            </w:r>
            <w:r>
              <w:t>de</w:t>
            </w:r>
            <w:r w:rsidR="00F95F19">
              <w:t>l</w:t>
            </w:r>
            <w:r>
              <w:t xml:space="preserve"> importe nocional total pendiente, el importe en libros o los ingresos generados por comisiones?</w:t>
            </w:r>
          </w:p>
        </w:tc>
      </w:tr>
      <w:tr w:rsidR="00414040" w14:paraId="7FE1BCA5" w14:textId="77777777" w:rsidTr="1C36D01D">
        <w:tc>
          <w:tcPr>
            <w:tcW w:w="1080" w:type="dxa"/>
            <w:tcBorders>
              <w:top w:val="single" w:sz="4" w:space="0" w:color="1A171C"/>
              <w:left w:val="nil"/>
              <w:bottom w:val="single" w:sz="4" w:space="0" w:color="1A171C"/>
              <w:right w:val="single" w:sz="4" w:space="0" w:color="1A171C"/>
            </w:tcBorders>
            <w:vAlign w:val="center"/>
          </w:tcPr>
          <w:p w14:paraId="7FE1BC9F" w14:textId="77777777" w:rsidR="00414040" w:rsidRDefault="00904E1A">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414040" w:rsidRDefault="00904E1A">
            <w:pPr>
              <w:pStyle w:val="P68B1DB1-TableParagraph14"/>
              <w:spacing w:before="108"/>
              <w:jc w:val="both"/>
              <w:rPr>
                <w:bCs/>
              </w:rPr>
            </w:pPr>
            <w:r>
              <w:t>Indicador de tamaño 2</w:t>
            </w:r>
          </w:p>
          <w:p w14:paraId="419C7762" w14:textId="55C40556" w:rsidR="00414040" w:rsidRDefault="00904E1A">
            <w:pPr>
              <w:pStyle w:val="P68B1DB1-Normal31"/>
              <w:spacing w:line="276" w:lineRule="auto"/>
              <w:jc w:val="both"/>
            </w:pPr>
            <w:r>
              <w:t xml:space="preserve">Evaluar la importancia del banco en estas actividades. Esta evaluación se expresa cualitativamente como </w:t>
            </w:r>
            <w:r w:rsidR="002535DF" w:rsidRPr="77CB6E75">
              <w:rPr>
                <w:lang w:val="es-ES"/>
              </w:rPr>
              <w:t>«</w:t>
            </w:r>
            <w:r w:rsidR="00735179">
              <w:rPr>
                <w:lang w:val="es-ES"/>
              </w:rPr>
              <w:t>a</w:t>
            </w:r>
            <w:r w:rsidR="002535DF" w:rsidRPr="77CB6E75">
              <w:rPr>
                <w:lang w:val="es-ES"/>
              </w:rPr>
              <w:t>lto», «</w:t>
            </w:r>
            <w:r w:rsidR="00735179">
              <w:rPr>
                <w:lang w:val="es-ES"/>
              </w:rPr>
              <w:t>m</w:t>
            </w:r>
            <w:r w:rsidR="002535DF" w:rsidRPr="77CB6E75">
              <w:rPr>
                <w:lang w:val="es-ES"/>
              </w:rPr>
              <w:t>edio-alto», «</w:t>
            </w:r>
            <w:r w:rsidR="00735179">
              <w:rPr>
                <w:lang w:val="es-ES"/>
              </w:rPr>
              <w:t>m</w:t>
            </w:r>
            <w:r w:rsidR="002535DF" w:rsidRPr="77CB6E75">
              <w:rPr>
                <w:lang w:val="es-ES"/>
              </w:rPr>
              <w:t>edio-bajo» o «</w:t>
            </w:r>
            <w:r w:rsidR="00735179">
              <w:rPr>
                <w:lang w:val="es-ES"/>
              </w:rPr>
              <w:t>b</w:t>
            </w:r>
            <w:r w:rsidR="002535DF" w:rsidRPr="77CB6E75">
              <w:rPr>
                <w:lang w:val="es-ES"/>
              </w:rPr>
              <w:t>ajo»</w:t>
            </w:r>
            <w:r>
              <w:t>. Indíquese «</w:t>
            </w:r>
            <w:r w:rsidR="00735179">
              <w:t>alto</w:t>
            </w:r>
            <w:r>
              <w:t>» si el tamaño de la función es grande, «</w:t>
            </w:r>
            <w:r w:rsidR="00735179">
              <w:t>medio</w:t>
            </w:r>
            <w:r>
              <w:t>-alto» si es medio, «</w:t>
            </w:r>
            <w:r w:rsidR="00735179">
              <w:t>medio</w:t>
            </w:r>
            <w:r>
              <w:t>-bajo» si es pequeño y «</w:t>
            </w:r>
            <w:r w:rsidR="00735179">
              <w:t>bajo</w:t>
            </w:r>
            <w:r>
              <w:t xml:space="preserve">» si es insignificante. Utilizar variables macroeconómicas como el PIB, la población (para depósitos, </w:t>
            </w:r>
            <w:r w:rsidR="00D502D3">
              <w:t>concesión de financiación</w:t>
            </w:r>
            <w:r>
              <w:t xml:space="preserve">, </w:t>
            </w:r>
            <w:r w:rsidR="00287553">
              <w:t xml:space="preserve">servicios de </w:t>
            </w:r>
            <w:r>
              <w:t xml:space="preserve">pago, </w:t>
            </w:r>
            <w:r w:rsidR="00287553">
              <w:t>caja</w:t>
            </w:r>
            <w:r>
              <w:t>, liquidación, compensación y custodia) o el tamaño del mercado (para los mercados de capitales y la financiación mayor</w:t>
            </w:r>
            <w:r w:rsidR="00287553">
              <w:t>ista</w:t>
            </w:r>
            <w:r>
              <w:t xml:space="preserve">) como referencia para esta evaluación cualitativa. </w:t>
            </w:r>
          </w:p>
          <w:p w14:paraId="7FE1BCA1" w14:textId="7FB998B3" w:rsidR="00414040" w:rsidRDefault="00904E1A">
            <w:pPr>
              <w:pStyle w:val="P68B1DB1-TableParagraph13"/>
              <w:spacing w:before="108"/>
              <w:jc w:val="both"/>
            </w:pPr>
            <w:r>
              <w:t xml:space="preserve"> </w:t>
            </w:r>
          </w:p>
          <w:p w14:paraId="3C42A32E" w14:textId="532B5FAF" w:rsidR="00414040" w:rsidRDefault="00287553">
            <w:pPr>
              <w:pStyle w:val="P68B1DB1-ListParagraph32"/>
              <w:numPr>
                <w:ilvl w:val="0"/>
                <w:numId w:val="124"/>
              </w:numPr>
              <w:spacing w:line="276" w:lineRule="auto"/>
            </w:pPr>
            <w:r>
              <w:t>Juicio</w:t>
            </w:r>
            <w:r w:rsidR="00904E1A">
              <w:t xml:space="preserve"> experto sobre </w:t>
            </w:r>
            <w:r>
              <w:t xml:space="preserve">la </w:t>
            </w:r>
            <w:r w:rsidR="00D80BC0">
              <w:t>dimensión</w:t>
            </w:r>
            <w:r>
              <w:t xml:space="preserve"> </w:t>
            </w:r>
            <w:r w:rsidR="00904E1A">
              <w:t xml:space="preserve">del número de contrapartes (c0090 para las </w:t>
            </w:r>
            <w:r w:rsidR="00904E1A" w:rsidRPr="009326A9">
              <w:t xml:space="preserve">funciones </w:t>
            </w:r>
            <w:r w:rsidR="008046FC">
              <w:t xml:space="preserve">con identificador </w:t>
            </w:r>
            <w:r w:rsidR="00904E1A">
              <w:t xml:space="preserve">4,1, 4.2, 4.3) o </w:t>
            </w:r>
            <w:r w:rsidR="00904E1A">
              <w:rPr>
                <w:b/>
              </w:rPr>
              <w:t>número</w:t>
            </w:r>
            <w:r w:rsidR="00904E1A">
              <w:t xml:space="preserve"> de operaciones suscritas (c0100 para </w:t>
            </w:r>
            <w:r w:rsidR="008046FC">
              <w:t xml:space="preserve">el identificador </w:t>
            </w:r>
            <w:r w:rsidR="00904E1A">
              <w:t xml:space="preserve">4.4) desde una perspectiva </w:t>
            </w:r>
            <w:r w:rsidR="00904E1A">
              <w:rPr>
                <w:b/>
              </w:rPr>
              <w:t>nacional</w:t>
            </w:r>
            <w:r w:rsidR="00904E1A">
              <w:t xml:space="preserve"> [</w:t>
            </w:r>
            <w:r w:rsidR="00904E1A">
              <w:rPr>
                <w:i/>
              </w:rPr>
              <w:t xml:space="preserve">a nivel del mercado </w:t>
            </w:r>
            <w:r w:rsidR="00C500EB">
              <w:rPr>
                <w:i/>
              </w:rPr>
              <w:t>relevante</w:t>
            </w:r>
            <w:r w:rsidR="00904E1A">
              <w:t>]:</w:t>
            </w:r>
          </w:p>
          <w:p w14:paraId="7FE1BCA3" w14:textId="7748BE13" w:rsidR="00414040" w:rsidRDefault="00904E1A">
            <w:pPr>
              <w:pStyle w:val="P68B1DB1-ListParagraph32"/>
              <w:numPr>
                <w:ilvl w:val="1"/>
                <w:numId w:val="124"/>
              </w:numPr>
              <w:spacing w:line="276" w:lineRule="auto"/>
            </w:pPr>
            <w:r>
              <w:t>Desde una perspectiva nacional, ¿cuál es</w:t>
            </w:r>
            <w:r w:rsidR="00D80BC0">
              <w:t xml:space="preserve"> la magnitud</w:t>
            </w:r>
            <w:r>
              <w:t xml:space="preserve"> del número </w:t>
            </w:r>
            <w:r w:rsidR="00E436B7">
              <w:t xml:space="preserve">estimado </w:t>
            </w:r>
            <w:r>
              <w:t>de contrapartes</w:t>
            </w:r>
            <w:r>
              <w:rPr>
                <w:i/>
              </w:rPr>
              <w:t xml:space="preserve"> o</w:t>
            </w:r>
            <w:r>
              <w:t xml:space="preserve"> las operaciones </w:t>
            </w:r>
            <w:r w:rsidR="008A18F5">
              <w:t>suscritas</w:t>
            </w:r>
            <w:r w:rsidR="001F1CB3">
              <w:t xml:space="preserve"> </w:t>
            </w:r>
            <w:r>
              <w:t>por su entidad?</w:t>
            </w:r>
          </w:p>
          <w:p w14:paraId="7FE1BCA4"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CB0" w14:textId="77777777" w:rsidTr="1C36D01D">
        <w:tc>
          <w:tcPr>
            <w:tcW w:w="1080" w:type="dxa"/>
            <w:tcBorders>
              <w:top w:val="single" w:sz="4" w:space="0" w:color="1A171C"/>
              <w:left w:val="nil"/>
              <w:bottom w:val="single" w:sz="4" w:space="0" w:color="1A171C"/>
              <w:right w:val="single" w:sz="4" w:space="0" w:color="1A171C"/>
            </w:tcBorders>
            <w:vAlign w:val="center"/>
          </w:tcPr>
          <w:p w14:paraId="7FE1BCA6" w14:textId="77777777" w:rsidR="00414040" w:rsidRDefault="00904E1A">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414040" w:rsidRDefault="00904E1A">
            <w:pPr>
              <w:pStyle w:val="P68B1DB1-TableParagraph14"/>
              <w:spacing w:before="108"/>
              <w:jc w:val="both"/>
              <w:rPr>
                <w:bCs/>
              </w:rPr>
            </w:pPr>
            <w:r>
              <w:t>Indicador transfronterizo</w:t>
            </w:r>
          </w:p>
          <w:p w14:paraId="7FE1BCA8" w14:textId="77777777" w:rsidR="00414040" w:rsidRDefault="00904E1A">
            <w:pPr>
              <w:pStyle w:val="P68B1DB1-TableParagraph13"/>
              <w:spacing w:before="108"/>
              <w:jc w:val="both"/>
            </w:pPr>
            <w:r>
              <w:t>Evaluar la importancia relativa de las actividades transfronterizas para las diferentes funciones económicas.</w:t>
            </w:r>
          </w:p>
          <w:p w14:paraId="7FE1BCA9" w14:textId="67AE2917" w:rsidR="00414040" w:rsidRDefault="00904E1A">
            <w:pPr>
              <w:pStyle w:val="P68B1DB1-TableParagraph13"/>
              <w:spacing w:before="108"/>
              <w:jc w:val="both"/>
            </w:pPr>
            <w:r w:rsidRPr="69E604A3">
              <w:rPr>
                <w:lang w:val="es-ES"/>
              </w:rPr>
              <w:t xml:space="preserve">No es necesario llevar a cabo esta evaluación </w:t>
            </w:r>
            <w:r w:rsidR="00277465">
              <w:rPr>
                <w:lang w:val="es-ES"/>
              </w:rPr>
              <w:t>cuando</w:t>
            </w:r>
            <w:r w:rsidR="001F1CB3">
              <w:rPr>
                <w:lang w:val="es-ES"/>
              </w:rPr>
              <w:t xml:space="preserve"> </w:t>
            </w:r>
            <w:r w:rsidRPr="69E604A3">
              <w:rPr>
                <w:lang w:val="es-ES"/>
              </w:rPr>
              <w:t xml:space="preserve">se considere que el mercado </w:t>
            </w:r>
            <w:r w:rsidR="001F1CB3">
              <w:rPr>
                <w:lang w:val="es-ES"/>
              </w:rPr>
              <w:t>releva</w:t>
            </w:r>
            <w:r w:rsidR="0074331A">
              <w:rPr>
                <w:lang w:val="es-ES"/>
              </w:rPr>
              <w:t>nte</w:t>
            </w:r>
            <w:r w:rsidR="001F1CB3">
              <w:rPr>
                <w:lang w:val="es-ES"/>
              </w:rPr>
              <w:t xml:space="preserve"> </w:t>
            </w:r>
            <w:r w:rsidRPr="69E604A3">
              <w:rPr>
                <w:lang w:val="es-ES"/>
              </w:rPr>
              <w:t xml:space="preserve">es regional. </w:t>
            </w:r>
          </w:p>
          <w:p w14:paraId="7FE1BCAA" w14:textId="48783A56" w:rsidR="00414040" w:rsidRDefault="00904E1A">
            <w:pPr>
              <w:pStyle w:val="P68B1DB1-ListParagraph32"/>
              <w:numPr>
                <w:ilvl w:val="0"/>
                <w:numId w:val="118"/>
              </w:numPr>
              <w:rPr>
                <w:i/>
                <w:iCs/>
              </w:rPr>
            </w:pPr>
            <w:r>
              <w:t xml:space="preserve">Porcentaje de la actividad </w:t>
            </w:r>
            <w:r w:rsidR="00096E79">
              <w:t>transfronteriza</w:t>
            </w:r>
            <w:r w:rsidR="001F1CB3">
              <w:t xml:space="preserve"> </w:t>
            </w:r>
            <w:r w:rsidR="007A2292">
              <w:t>del ente</w:t>
            </w:r>
            <w:r>
              <w:t xml:space="preserve"> </w:t>
            </w:r>
            <w:r w:rsidR="00096E79">
              <w:t>declarante</w:t>
            </w:r>
            <w:r>
              <w:t xml:space="preserve"> como porcentaje del valor total, expresado en importes nocionales (derivados), importe en libros (mercados secundarios) e ingresos por </w:t>
            </w:r>
            <w:r w:rsidR="00096E79">
              <w:t>comisiones</w:t>
            </w:r>
            <w:r w:rsidR="001F1CB3">
              <w:t xml:space="preserve"> </w:t>
            </w:r>
            <w:r>
              <w:t>procedentes de clientes extranjeros (mercados primarios). Inform</w:t>
            </w:r>
            <w:r w:rsidR="007F265E">
              <w:t>ar</w:t>
            </w:r>
            <w:r>
              <w:t xml:space="preserve">: </w:t>
            </w:r>
          </w:p>
          <w:p w14:paraId="7FE1BCAB" w14:textId="349DEB14" w:rsidR="00414040" w:rsidRDefault="007F265E">
            <w:pPr>
              <w:pStyle w:val="P68B1DB1-ListParagraph32"/>
              <w:numPr>
                <w:ilvl w:val="1"/>
                <w:numId w:val="118"/>
              </w:numPr>
              <w:rPr>
                <w:i/>
                <w:iCs/>
              </w:rPr>
            </w:pPr>
            <w:bookmarkStart w:id="120" w:name="_Hlk194476322"/>
            <w:r>
              <w:t>&lt;</w:t>
            </w:r>
            <w:r w:rsidR="00904E1A">
              <w:t xml:space="preserve">5 %; </w:t>
            </w:r>
          </w:p>
          <w:p w14:paraId="7FE1BCAC" w14:textId="35A9186D" w:rsidR="00414040" w:rsidRDefault="00904E1A">
            <w:pPr>
              <w:pStyle w:val="P68B1DB1-ListParagraph32"/>
              <w:numPr>
                <w:ilvl w:val="1"/>
                <w:numId w:val="118"/>
              </w:numPr>
              <w:rPr>
                <w:i/>
                <w:iCs/>
              </w:rPr>
            </w:pPr>
            <w:r>
              <w:t xml:space="preserve">5-15 % </w:t>
            </w:r>
          </w:p>
          <w:p w14:paraId="7FE1BCAD" w14:textId="54C07240" w:rsidR="00414040" w:rsidRDefault="00904E1A">
            <w:pPr>
              <w:pStyle w:val="P68B1DB1-ListParagraph32"/>
              <w:numPr>
                <w:ilvl w:val="1"/>
                <w:numId w:val="118"/>
              </w:numPr>
              <w:rPr>
                <w:i/>
                <w:iCs/>
              </w:rPr>
            </w:pPr>
            <w:r>
              <w:t xml:space="preserve">16-25 %, </w:t>
            </w:r>
          </w:p>
          <w:p w14:paraId="7FE1BCAE" w14:textId="34AC2F5B" w:rsidR="00414040" w:rsidRDefault="00904E1A">
            <w:pPr>
              <w:pStyle w:val="P68B1DB1-ListParagraph32"/>
              <w:numPr>
                <w:ilvl w:val="1"/>
                <w:numId w:val="118"/>
              </w:numPr>
              <w:rPr>
                <w:i/>
                <w:iCs/>
              </w:rPr>
            </w:pPr>
            <w:r>
              <w:t xml:space="preserve">&gt; 25 %. </w:t>
            </w:r>
          </w:p>
          <w:bookmarkEnd w:id="120"/>
          <w:p w14:paraId="7FE1BCAF"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CBF" w14:textId="77777777" w:rsidTr="1C36D01D">
        <w:tc>
          <w:tcPr>
            <w:tcW w:w="1080" w:type="dxa"/>
            <w:tcBorders>
              <w:top w:val="single" w:sz="4" w:space="0" w:color="1A171C"/>
              <w:left w:val="nil"/>
              <w:bottom w:val="single" w:sz="4" w:space="0" w:color="1A171C"/>
              <w:right w:val="single" w:sz="4" w:space="0" w:color="1A171C"/>
            </w:tcBorders>
            <w:vAlign w:val="center"/>
          </w:tcPr>
          <w:p w14:paraId="7FE1BCB1" w14:textId="77777777" w:rsidR="00414040" w:rsidRDefault="00904E1A">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36452D2E" w:rsidR="00414040" w:rsidRDefault="00963213">
            <w:pPr>
              <w:pStyle w:val="P68B1DB1-TableParagraph14"/>
              <w:spacing w:before="108"/>
              <w:jc w:val="both"/>
              <w:rPr>
                <w:bCs/>
              </w:rPr>
            </w:pPr>
            <w:r>
              <w:t>Relevancia</w:t>
            </w:r>
            <w:r w:rsidR="00904E1A">
              <w:t xml:space="preserve">— </w:t>
            </w:r>
          </w:p>
          <w:p w14:paraId="7FE1BCB3" w14:textId="16E31CCC" w:rsidR="00414040" w:rsidRDefault="00904E1A">
            <w:pPr>
              <w:pStyle w:val="P68B1DB1-TableParagraph13"/>
              <w:spacing w:before="108"/>
              <w:jc w:val="both"/>
            </w:pPr>
            <w:r>
              <w:t xml:space="preserve">A escala local, regional, nacional o europea, según proceda para el mercado de que se trate. La </w:t>
            </w:r>
            <w:r w:rsidR="000A04C4">
              <w:t>relevancia</w:t>
            </w:r>
            <w:r w:rsidR="001F1CB3">
              <w:t xml:space="preserve"> </w:t>
            </w:r>
            <w:r>
              <w:t>de la entidad podrá evaluarse en función de la cuota de mercado, la interconexión, la complejidad y las actividades transfronterizas.</w:t>
            </w:r>
          </w:p>
          <w:p w14:paraId="7FE1BCB4" w14:textId="77777777" w:rsidR="00414040" w:rsidRDefault="00904E1A">
            <w:pPr>
              <w:pStyle w:val="P68B1DB1-TableParagraph14"/>
              <w:spacing w:before="108"/>
              <w:jc w:val="both"/>
              <w:rPr>
                <w:bCs/>
              </w:rPr>
            </w:pPr>
            <w:r>
              <w:t>Cuota de mercado</w:t>
            </w:r>
          </w:p>
          <w:p w14:paraId="7FE1BCB5" w14:textId="70F917ED" w:rsidR="00414040" w:rsidRDefault="00904E1A">
            <w:pPr>
              <w:pStyle w:val="P68B1DB1-TableParagraph13"/>
              <w:spacing w:before="108"/>
              <w:jc w:val="both"/>
            </w:pPr>
            <w:r>
              <w:t xml:space="preserve">Evaluar la importancia de la cuota de mercado de </w:t>
            </w:r>
            <w:r w:rsidR="007A2292">
              <w:t>del ente</w:t>
            </w:r>
            <w:r>
              <w:t xml:space="preserve"> declarante, en comparación con el mercado nacional u otro mercado </w:t>
            </w:r>
            <w:r w:rsidR="00B96216">
              <w:t>relevante</w:t>
            </w:r>
            <w:r>
              <w:t xml:space="preserve">, tal como se indica en la plantilla. Esta evaluación se expresa </w:t>
            </w:r>
            <w:r>
              <w:lastRenderedPageBreak/>
              <w:t xml:space="preserve">cualitativamente como: </w:t>
            </w:r>
          </w:p>
          <w:p w14:paraId="7FE1BCB6" w14:textId="6E4F27CA" w:rsidR="00414040" w:rsidRDefault="002A71B1">
            <w:pPr>
              <w:pStyle w:val="P68B1DB1-ListParagraph38"/>
              <w:numPr>
                <w:ilvl w:val="0"/>
                <w:numId w:val="276"/>
              </w:numPr>
              <w:spacing w:line="276" w:lineRule="auto"/>
              <w:jc w:val="both"/>
            </w:pPr>
            <w:r>
              <w:t>Alta</w:t>
            </w:r>
            <w:r w:rsidR="00904E1A">
              <w:t xml:space="preserve">, si la cuota de mercado es </w:t>
            </w:r>
            <w:r>
              <w:t>alta</w:t>
            </w:r>
          </w:p>
          <w:p w14:paraId="7FE1BCB7" w14:textId="079D43C3" w:rsidR="00414040" w:rsidRDefault="00904E1A">
            <w:pPr>
              <w:pStyle w:val="P68B1DB1-ListParagraph38"/>
              <w:numPr>
                <w:ilvl w:val="0"/>
                <w:numId w:val="276"/>
              </w:numPr>
              <w:spacing w:line="276" w:lineRule="auto"/>
              <w:jc w:val="both"/>
            </w:pPr>
            <w:r>
              <w:t>Medi</w:t>
            </w:r>
            <w:r w:rsidR="002A71B1">
              <w:t>a</w:t>
            </w:r>
            <w:r>
              <w:t>-alt</w:t>
            </w:r>
            <w:r w:rsidR="002A71B1">
              <w:t>a</w:t>
            </w:r>
            <w:r>
              <w:t>, si la cuota de mercado es media</w:t>
            </w:r>
          </w:p>
          <w:p w14:paraId="7FE1BCB8" w14:textId="44F8C457" w:rsidR="00414040" w:rsidRDefault="00904E1A">
            <w:pPr>
              <w:pStyle w:val="P68B1DB1-ListParagraph38"/>
              <w:numPr>
                <w:ilvl w:val="0"/>
                <w:numId w:val="276"/>
              </w:numPr>
              <w:spacing w:line="276" w:lineRule="auto"/>
              <w:jc w:val="both"/>
            </w:pPr>
            <w:r>
              <w:t>Medi</w:t>
            </w:r>
            <w:r w:rsidR="002A71B1">
              <w:t>a</w:t>
            </w:r>
            <w:r>
              <w:t>-baj</w:t>
            </w:r>
            <w:r w:rsidR="002A71B1">
              <w:t>a</w:t>
            </w:r>
            <w:r>
              <w:t xml:space="preserve"> si la cuota de mercado es pequeña o </w:t>
            </w:r>
          </w:p>
          <w:p w14:paraId="7FE1BCB9" w14:textId="169105EA" w:rsidR="00414040" w:rsidRDefault="00904E1A">
            <w:pPr>
              <w:pStyle w:val="P68B1DB1-ListParagraph38"/>
              <w:numPr>
                <w:ilvl w:val="0"/>
                <w:numId w:val="276"/>
              </w:numPr>
              <w:spacing w:line="276" w:lineRule="auto"/>
              <w:jc w:val="both"/>
            </w:pPr>
            <w:r>
              <w:t>Baja</w:t>
            </w:r>
            <w:r w:rsidR="002A71B1">
              <w:t>,</w:t>
            </w:r>
            <w:r>
              <w:t xml:space="preserve"> si la cuota de mercado es insignificante. </w:t>
            </w:r>
          </w:p>
          <w:p w14:paraId="7FE1BCBA" w14:textId="48887161" w:rsidR="00414040" w:rsidRDefault="00904E1A">
            <w:pPr>
              <w:pStyle w:val="P68B1DB1-TableParagraph13"/>
              <w:spacing w:before="108"/>
              <w:jc w:val="both"/>
            </w:pPr>
            <w:r>
              <w:t xml:space="preserve">Esta evaluación tiene en cuenta la estructura del mercado del país en el que opera </w:t>
            </w:r>
            <w:r w:rsidR="007A2292">
              <w:t>el ente</w:t>
            </w:r>
            <w:r>
              <w:t xml:space="preserve"> declarante (u otro mercado </w:t>
            </w:r>
            <w:r w:rsidR="001F1CB3">
              <w:t>releva</w:t>
            </w:r>
            <w:r w:rsidR="002A71B1">
              <w:t>nte</w:t>
            </w:r>
            <w:r>
              <w:t xml:space="preserve">) y las cuotas de mercado </w:t>
            </w:r>
            <w:r w:rsidR="003E5F30">
              <w:t>declaradas</w:t>
            </w:r>
            <w:r w:rsidR="001F1CB3">
              <w:t xml:space="preserve"> </w:t>
            </w:r>
            <w:r>
              <w:t xml:space="preserve">en la parte 2. </w:t>
            </w:r>
          </w:p>
          <w:p w14:paraId="7FE1BCBB" w14:textId="3572746D" w:rsidR="00414040" w:rsidRDefault="00904E1A">
            <w:pPr>
              <w:pStyle w:val="P68B1DB1-TableParagraph13"/>
              <w:spacing w:before="108"/>
              <w:jc w:val="both"/>
            </w:pPr>
            <w:r>
              <w:t>Datos cuantitativos:</w:t>
            </w:r>
          </w:p>
          <w:p w14:paraId="7FE1BCBC" w14:textId="40FAE6D6" w:rsidR="00414040" w:rsidRDefault="002A71B1">
            <w:pPr>
              <w:pStyle w:val="P68B1DB1-ListParagraph32"/>
              <w:numPr>
                <w:ilvl w:val="0"/>
                <w:numId w:val="117"/>
              </w:numPr>
              <w:jc w:val="both"/>
              <w:rPr>
                <w:i/>
                <w:lang w:val="es-ES"/>
              </w:rPr>
            </w:pPr>
            <w:r>
              <w:rPr>
                <w:lang w:val="es-ES"/>
              </w:rPr>
              <w:t>Juicio experto</w:t>
            </w:r>
            <w:r w:rsidR="00904E1A" w:rsidRPr="2133F407">
              <w:rPr>
                <w:lang w:val="es-ES"/>
              </w:rPr>
              <w:t xml:space="preserve"> sobre </w:t>
            </w:r>
            <w:r>
              <w:rPr>
                <w:lang w:val="es-ES"/>
              </w:rPr>
              <w:t>la dimensión</w:t>
            </w:r>
            <w:r w:rsidR="001F1CB3">
              <w:rPr>
                <w:lang w:val="es-ES"/>
              </w:rPr>
              <w:t xml:space="preserve"> </w:t>
            </w:r>
            <w:r w:rsidR="00904E1A" w:rsidRPr="2133F407">
              <w:rPr>
                <w:lang w:val="es-ES"/>
              </w:rPr>
              <w:t xml:space="preserve">de la cuota de mercado </w:t>
            </w:r>
            <w:r w:rsidR="00904E1A" w:rsidRPr="2133F407">
              <w:rPr>
                <w:b/>
                <w:lang w:val="es-ES"/>
              </w:rPr>
              <w:t xml:space="preserve">nacional </w:t>
            </w:r>
            <w:r w:rsidR="00904E1A" w:rsidRPr="2133F407">
              <w:rPr>
                <w:lang w:val="es-ES"/>
              </w:rPr>
              <w:t>(</w:t>
            </w:r>
            <w:r>
              <w:rPr>
                <w:lang w:val="es-ES"/>
              </w:rPr>
              <w:t xml:space="preserve">declarada </w:t>
            </w:r>
            <w:r w:rsidR="00904E1A" w:rsidRPr="2133F407">
              <w:rPr>
                <w:lang w:val="es-ES"/>
              </w:rPr>
              <w:t>en c0020, excepto en los casos en que</w:t>
            </w:r>
            <w:r w:rsidR="004D7F16">
              <w:rPr>
                <w:lang w:val="es-ES"/>
              </w:rPr>
              <w:t xml:space="preserve"> los datos declarados se refieran a un</w:t>
            </w:r>
            <w:r w:rsidR="001F1CB3">
              <w:rPr>
                <w:lang w:val="es-ES"/>
              </w:rPr>
              <w:t>a</w:t>
            </w:r>
            <w:r w:rsidR="004D7F16">
              <w:rPr>
                <w:lang w:val="es-ES"/>
              </w:rPr>
              <w:t xml:space="preserve"> </w:t>
            </w:r>
            <w:r w:rsidR="001F1CB3">
              <w:rPr>
                <w:lang w:val="es-ES"/>
              </w:rPr>
              <w:t>escala</w:t>
            </w:r>
            <w:r w:rsidR="00904E1A" w:rsidRPr="2133F407">
              <w:rPr>
                <w:lang w:val="es-ES"/>
              </w:rPr>
              <w:t xml:space="preserve"> </w:t>
            </w:r>
            <w:r w:rsidR="004D7F16">
              <w:rPr>
                <w:lang w:val="es-ES"/>
              </w:rPr>
              <w:t>de</w:t>
            </w:r>
            <w:r w:rsidR="004D7F16" w:rsidRPr="2133F407">
              <w:rPr>
                <w:lang w:val="es-ES"/>
              </w:rPr>
              <w:t xml:space="preserve"> </w:t>
            </w:r>
            <w:r w:rsidR="00904E1A" w:rsidRPr="2133F407">
              <w:rPr>
                <w:lang w:val="es-ES"/>
              </w:rPr>
              <w:t xml:space="preserve">mercado </w:t>
            </w:r>
            <w:r w:rsidR="001F1CB3">
              <w:rPr>
                <w:lang w:val="es-ES"/>
              </w:rPr>
              <w:t>releva</w:t>
            </w:r>
            <w:r w:rsidR="004D7F16">
              <w:rPr>
                <w:lang w:val="es-ES"/>
              </w:rPr>
              <w:t>nte</w:t>
            </w:r>
            <w:r w:rsidR="001F1CB3">
              <w:rPr>
                <w:lang w:val="es-ES"/>
              </w:rPr>
              <w:t xml:space="preserve"> </w:t>
            </w:r>
            <w:r w:rsidR="00904E1A" w:rsidRPr="2133F407">
              <w:rPr>
                <w:lang w:val="es-ES"/>
              </w:rPr>
              <w:t>diferente; en tales casos deberá presentarse una evaluación de</w:t>
            </w:r>
            <w:r w:rsidR="006F11D6">
              <w:rPr>
                <w:lang w:val="es-ES"/>
              </w:rPr>
              <w:t xml:space="preserve"> </w:t>
            </w:r>
            <w:r w:rsidR="00904E1A" w:rsidRPr="2133F407">
              <w:rPr>
                <w:lang w:val="es-ES"/>
              </w:rPr>
              <w:t>l</w:t>
            </w:r>
            <w:r w:rsidR="006F11D6">
              <w:rPr>
                <w:lang w:val="es-ES"/>
              </w:rPr>
              <w:t>a cuota de</w:t>
            </w:r>
            <w:r w:rsidR="00904E1A" w:rsidRPr="2133F407">
              <w:rPr>
                <w:lang w:val="es-ES"/>
              </w:rPr>
              <w:t xml:space="preserve"> mercado </w:t>
            </w:r>
            <w:r w:rsidR="001F1CB3">
              <w:rPr>
                <w:lang w:val="es-ES"/>
              </w:rPr>
              <w:t>releva</w:t>
            </w:r>
            <w:r w:rsidR="004D7F16">
              <w:rPr>
                <w:lang w:val="es-ES"/>
              </w:rPr>
              <w:t>nte</w:t>
            </w:r>
            <w:r w:rsidR="00904E1A" w:rsidRPr="2133F407">
              <w:rPr>
                <w:lang w:val="es-ES"/>
              </w:rPr>
              <w:t>).</w:t>
            </w:r>
          </w:p>
          <w:p w14:paraId="7FE1BCBD" w14:textId="77777777" w:rsidR="00414040" w:rsidRDefault="00414040">
            <w:pPr>
              <w:pStyle w:val="TableParagraph"/>
              <w:spacing w:before="108"/>
              <w:jc w:val="both"/>
              <w:rPr>
                <w:rFonts w:ascii="Times New Roman" w:hAnsi="Times New Roman" w:cs="Times New Roman"/>
                <w:color w:val="000000" w:themeColor="text1"/>
                <w:sz w:val="20"/>
                <w:szCs w:val="20"/>
              </w:rPr>
            </w:pPr>
          </w:p>
          <w:p w14:paraId="7FE1BCBE"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CCB" w14:textId="77777777" w:rsidTr="1C36D01D">
        <w:tc>
          <w:tcPr>
            <w:tcW w:w="1080" w:type="dxa"/>
            <w:tcBorders>
              <w:top w:val="single" w:sz="4" w:space="0" w:color="1A171C"/>
              <w:left w:val="nil"/>
              <w:bottom w:val="single" w:sz="4" w:space="0" w:color="1A171C"/>
              <w:right w:val="single" w:sz="4" w:space="0" w:color="1A171C"/>
            </w:tcBorders>
            <w:vAlign w:val="center"/>
          </w:tcPr>
          <w:p w14:paraId="7FE1BCC0" w14:textId="77777777" w:rsidR="00414040" w:rsidRDefault="00904E1A">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414040" w:rsidRDefault="00904E1A">
            <w:pPr>
              <w:pStyle w:val="P68B1DB1-TableParagraph14"/>
              <w:spacing w:before="108"/>
              <w:jc w:val="both"/>
              <w:rPr>
                <w:bCs/>
              </w:rPr>
            </w:pPr>
            <w:r>
              <w:t>Estructura del mercado — Concentración del mercado</w:t>
            </w:r>
          </w:p>
          <w:p w14:paraId="7FE1BCC5" w14:textId="0B1DDE83" w:rsidR="00414040" w:rsidRDefault="00904E1A">
            <w:pPr>
              <w:pStyle w:val="P68B1DB1-TableParagraph13"/>
              <w:spacing w:before="108"/>
              <w:jc w:val="both"/>
            </w:pPr>
            <w:r>
              <w:t xml:space="preserve">La concentración del mercado, medida por el número de competidores que </w:t>
            </w:r>
            <w:r w:rsidR="009A2F45">
              <w:t xml:space="preserve">desempeñan </w:t>
            </w:r>
            <w:r>
              <w:t xml:space="preserve">actualmente funciones económicas similares </w:t>
            </w:r>
            <w:r w:rsidR="000D47E5">
              <w:t>u</w:t>
            </w:r>
            <w:r w:rsidR="009A2F45">
              <w:t xml:space="preserve"> ofrecen</w:t>
            </w:r>
            <w:r w:rsidR="001F1CB3">
              <w:t xml:space="preserve"> </w:t>
            </w:r>
            <w:r>
              <w:t xml:space="preserve">servicios similares en condiciones </w:t>
            </w:r>
            <w:r w:rsidR="009A2F45">
              <w:t xml:space="preserve">equivalentes </w:t>
            </w:r>
            <w:r>
              <w:t xml:space="preserve">(es decir, </w:t>
            </w:r>
            <w:r w:rsidR="009A2F45">
              <w:t xml:space="preserve">con un </w:t>
            </w:r>
            <w:r w:rsidRPr="2133F407">
              <w:rPr>
                <w:lang w:val="es-ES"/>
              </w:rPr>
              <w:t xml:space="preserve">alcance y calidad comparables y </w:t>
            </w:r>
            <w:r w:rsidR="009A2F45">
              <w:rPr>
                <w:lang w:val="es-ES"/>
              </w:rPr>
              <w:t>a</w:t>
            </w:r>
            <w:r w:rsidR="009A2F45" w:rsidRPr="2133F407">
              <w:rPr>
                <w:lang w:val="es-ES"/>
              </w:rPr>
              <w:t xml:space="preserve"> </w:t>
            </w:r>
            <w:r w:rsidRPr="2133F407">
              <w:rPr>
                <w:lang w:val="es-ES"/>
              </w:rPr>
              <w:t xml:space="preserve">un coste comparable) que </w:t>
            </w:r>
            <w:r w:rsidR="009A2F45">
              <w:rPr>
                <w:lang w:val="es-ES"/>
              </w:rPr>
              <w:t>potencialmente podrían</w:t>
            </w:r>
            <w:r w:rsidR="009A2F45" w:rsidRPr="2133F407">
              <w:rPr>
                <w:lang w:val="es-ES"/>
              </w:rPr>
              <w:t xml:space="preserve"> </w:t>
            </w:r>
            <w:r w:rsidRPr="2133F407">
              <w:rPr>
                <w:lang w:val="es-ES"/>
              </w:rPr>
              <w:t xml:space="preserve">asumir el control </w:t>
            </w:r>
            <w:r w:rsidR="000D47E5">
              <w:t xml:space="preserve">de </w:t>
            </w:r>
            <w:r>
              <w:t xml:space="preserve">(parte de) los clientes o actividades </w:t>
            </w:r>
            <w:r w:rsidR="007A2292">
              <w:t>del ente</w:t>
            </w:r>
            <w:r>
              <w:t xml:space="preserve"> declarante en un plazo razonable. </w:t>
            </w:r>
          </w:p>
          <w:p w14:paraId="7FE1BCC6" w14:textId="000630EA" w:rsidR="00414040" w:rsidRDefault="00904E1A">
            <w:pPr>
              <w:pStyle w:val="P68B1DB1-TableParagraph13"/>
              <w:spacing w:before="108"/>
              <w:jc w:val="both"/>
            </w:pPr>
            <w:r>
              <w:t>Est</w:t>
            </w:r>
            <w:r w:rsidR="009A2F45">
              <w:t>a información</w:t>
            </w:r>
            <w:r>
              <w:t xml:space="preserve"> debe</w:t>
            </w:r>
            <w:r w:rsidR="008C5AE7">
              <w:t xml:space="preserve"> declararse</w:t>
            </w:r>
            <w:r w:rsidR="009A2F45">
              <w:t xml:space="preserve"> </w:t>
            </w:r>
            <w:r>
              <w:t xml:space="preserve">en segmentos, que son los mismos para cada subfunción. </w:t>
            </w:r>
          </w:p>
          <w:p w14:paraId="6E6D19F8" w14:textId="77777777" w:rsidR="00414040" w:rsidRDefault="00904E1A">
            <w:pPr>
              <w:pStyle w:val="P68B1DB1-ListParagraph32"/>
              <w:numPr>
                <w:ilvl w:val="0"/>
                <w:numId w:val="277"/>
              </w:numPr>
              <w:jc w:val="both"/>
            </w:pPr>
            <w:r>
              <w:t xml:space="preserve">&gt; 20 competidores; </w:t>
            </w:r>
          </w:p>
          <w:p w14:paraId="6A8A3C5F" w14:textId="77777777" w:rsidR="00414040" w:rsidRDefault="00904E1A">
            <w:pPr>
              <w:pStyle w:val="P68B1DB1-ListParagraph32"/>
              <w:numPr>
                <w:ilvl w:val="0"/>
                <w:numId w:val="277"/>
              </w:numPr>
              <w:jc w:val="both"/>
            </w:pPr>
            <w:r>
              <w:t xml:space="preserve">11-20 competidores; </w:t>
            </w:r>
          </w:p>
          <w:p w14:paraId="543AFD53" w14:textId="77777777" w:rsidR="00414040" w:rsidRDefault="00904E1A">
            <w:pPr>
              <w:pStyle w:val="P68B1DB1-ListParagraph32"/>
              <w:numPr>
                <w:ilvl w:val="0"/>
                <w:numId w:val="277"/>
              </w:numPr>
              <w:jc w:val="both"/>
            </w:pPr>
            <w:r>
              <w:t xml:space="preserve">5-10 competidores, </w:t>
            </w:r>
          </w:p>
          <w:p w14:paraId="761539CF" w14:textId="77CC3701" w:rsidR="00414040" w:rsidRDefault="009A2F45">
            <w:pPr>
              <w:pStyle w:val="P68B1DB1-ListParagraph32"/>
              <w:numPr>
                <w:ilvl w:val="0"/>
                <w:numId w:val="277"/>
              </w:numPr>
              <w:jc w:val="both"/>
              <w:rPr>
                <w:b/>
                <w:bCs/>
                <w:color w:val="000000" w:themeColor="text1"/>
              </w:rPr>
            </w:pPr>
            <w:r>
              <w:t>&lt;</w:t>
            </w:r>
            <w:r w:rsidR="00904E1A">
              <w:t>5 competidores</w:t>
            </w:r>
            <w:r>
              <w:t>.</w:t>
            </w:r>
          </w:p>
          <w:p w14:paraId="7FE1BCCA" w14:textId="06EC2320" w:rsidR="00414040" w:rsidRDefault="00414040">
            <w:pPr>
              <w:jc w:val="both"/>
              <w:rPr>
                <w:rFonts w:ascii="Times New Roman" w:hAnsi="Times New Roman"/>
                <w:color w:val="000000" w:themeColor="text1"/>
                <w:sz w:val="20"/>
                <w:szCs w:val="20"/>
              </w:rPr>
            </w:pPr>
          </w:p>
        </w:tc>
      </w:tr>
      <w:tr w:rsidR="00414040" w14:paraId="7FE1BCDA" w14:textId="77777777" w:rsidTr="1C36D01D">
        <w:tc>
          <w:tcPr>
            <w:tcW w:w="1080" w:type="dxa"/>
            <w:tcBorders>
              <w:top w:val="single" w:sz="4" w:space="0" w:color="1A171C"/>
              <w:left w:val="nil"/>
              <w:bottom w:val="single" w:sz="4" w:space="0" w:color="1A171C"/>
              <w:right w:val="single" w:sz="4" w:space="0" w:color="1A171C"/>
            </w:tcBorders>
            <w:vAlign w:val="center"/>
          </w:tcPr>
          <w:p w14:paraId="7FE1BCCC" w14:textId="77777777" w:rsidR="00414040" w:rsidRDefault="00904E1A">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0671046" w:rsidR="00414040" w:rsidRDefault="0011719A">
            <w:pPr>
              <w:pStyle w:val="P68B1DB1-TableParagraph14"/>
              <w:spacing w:before="108"/>
              <w:jc w:val="both"/>
              <w:rPr>
                <w:bCs/>
              </w:rPr>
            </w:pPr>
            <w:r>
              <w:t xml:space="preserve">Plazo </w:t>
            </w:r>
            <w:r w:rsidR="00904E1A">
              <w:t>— Tiempo previsto para la sustitución</w:t>
            </w:r>
          </w:p>
          <w:p w14:paraId="7FE1BCCF" w14:textId="5E5F5AC9" w:rsidR="00414040" w:rsidRDefault="00904E1A">
            <w:pPr>
              <w:pStyle w:val="P68B1DB1-TableParagraph13"/>
              <w:spacing w:before="108"/>
              <w:jc w:val="both"/>
            </w:pPr>
            <w:r>
              <w:t xml:space="preserve">Estimar el tiempo necesario para </w:t>
            </w:r>
            <w:r w:rsidR="00FD767A">
              <w:t xml:space="preserve">que </w:t>
            </w:r>
            <w:r>
              <w:t xml:space="preserve">la función económica </w:t>
            </w:r>
            <w:r w:rsidR="00FD767A">
              <w:t>desempeñada</w:t>
            </w:r>
            <w:r w:rsidR="001C2167">
              <w:t xml:space="preserve"> </w:t>
            </w:r>
            <w:r>
              <w:t xml:space="preserve">por </w:t>
            </w:r>
            <w:r w:rsidR="002573CC">
              <w:t>el</w:t>
            </w:r>
            <w:r w:rsidR="008C5AE7">
              <w:rPr>
                <w:lang w:val="es-ES"/>
              </w:rPr>
              <w:t xml:space="preserve"> e</w:t>
            </w:r>
            <w:r w:rsidRPr="2133F407">
              <w:rPr>
                <w:lang w:val="es-ES"/>
              </w:rPr>
              <w:t>nt</w:t>
            </w:r>
            <w:r w:rsidR="002573CC">
              <w:rPr>
                <w:lang w:val="es-ES"/>
              </w:rPr>
              <w:t>e</w:t>
            </w:r>
            <w:r w:rsidR="00FD767A">
              <w:rPr>
                <w:lang w:val="es-ES"/>
              </w:rPr>
              <w:t xml:space="preserve"> declarante</w:t>
            </w:r>
            <w:r w:rsidRPr="2133F407">
              <w:rPr>
                <w:lang w:val="es-ES"/>
              </w:rPr>
              <w:t xml:space="preserve"> </w:t>
            </w:r>
            <w:r w:rsidR="00FD767A">
              <w:rPr>
                <w:lang w:val="es-ES"/>
              </w:rPr>
              <w:t>sea</w:t>
            </w:r>
            <w:r w:rsidR="001C2167">
              <w:rPr>
                <w:lang w:val="es-ES"/>
              </w:rPr>
              <w:t xml:space="preserve"> </w:t>
            </w:r>
            <w:r w:rsidRPr="2133F407">
              <w:rPr>
                <w:lang w:val="es-ES"/>
              </w:rPr>
              <w:t xml:space="preserve">absorbida por el mercado en una situación de crisis. </w:t>
            </w:r>
            <w:r w:rsidR="00FD767A">
              <w:rPr>
                <w:lang w:val="es-ES"/>
              </w:rPr>
              <w:t>Incluye</w:t>
            </w:r>
            <w:r w:rsidRPr="2133F407">
              <w:rPr>
                <w:lang w:val="es-ES"/>
              </w:rPr>
              <w:t xml:space="preserve">: </w:t>
            </w:r>
          </w:p>
          <w:p w14:paraId="7FE1BCD0" w14:textId="3520BA75" w:rsidR="00414040" w:rsidRDefault="00904E1A">
            <w:pPr>
              <w:pStyle w:val="P68B1DB1-ListParagraph38"/>
              <w:numPr>
                <w:ilvl w:val="0"/>
                <w:numId w:val="274"/>
              </w:numPr>
              <w:jc w:val="both"/>
            </w:pPr>
            <w:r>
              <w:t>el tiempo previsto que</w:t>
            </w:r>
            <w:r w:rsidR="00FD767A">
              <w:t xml:space="preserve"> necesitarían</w:t>
            </w:r>
            <w:r>
              <w:t xml:space="preserve"> uno o varios competidores para </w:t>
            </w:r>
            <w:r w:rsidR="00FD767A">
              <w:t>completar</w:t>
            </w:r>
            <w:r w:rsidR="00EF4EE8">
              <w:t xml:space="preserve"> </w:t>
            </w:r>
            <w:r>
              <w:t>l</w:t>
            </w:r>
            <w:r w:rsidR="00FD767A">
              <w:t>o</w:t>
            </w:r>
            <w:r>
              <w:t xml:space="preserve">s </w:t>
            </w:r>
            <w:r w:rsidR="00FD767A">
              <w:t xml:space="preserve">pasos </w:t>
            </w:r>
            <w:r>
              <w:t>jurídic</w:t>
            </w:r>
            <w:r w:rsidR="00FD767A">
              <w:t>o</w:t>
            </w:r>
            <w:r>
              <w:t>s y técnic</w:t>
            </w:r>
            <w:r w:rsidR="00FD767A">
              <w:t>o</w:t>
            </w:r>
            <w:r>
              <w:t>s necesari</w:t>
            </w:r>
            <w:r w:rsidR="00FD767A">
              <w:t>o</w:t>
            </w:r>
            <w:r>
              <w:t xml:space="preserve">s para asumir la función; así como  </w:t>
            </w:r>
          </w:p>
          <w:p w14:paraId="7FE1BCD1" w14:textId="439DFB3D" w:rsidR="00414040" w:rsidRDefault="00904E1A">
            <w:pPr>
              <w:pStyle w:val="P68B1DB1-ListParagraph38"/>
              <w:numPr>
                <w:ilvl w:val="0"/>
                <w:numId w:val="274"/>
              </w:numPr>
              <w:jc w:val="both"/>
            </w:pPr>
            <w:r>
              <w:t xml:space="preserve">el tiempo que necesitan los usuarios del servicio para </w:t>
            </w:r>
            <w:r w:rsidR="00FD767A">
              <w:t xml:space="preserve">cambiar </w:t>
            </w:r>
            <w:r>
              <w:t xml:space="preserve">a otro proveedor de servicios. </w:t>
            </w:r>
          </w:p>
          <w:p w14:paraId="7FE1BCD2" w14:textId="77777777" w:rsidR="00414040" w:rsidRDefault="00414040">
            <w:pPr>
              <w:pStyle w:val="TableParagraph"/>
              <w:spacing w:before="108"/>
              <w:jc w:val="both"/>
              <w:rPr>
                <w:rFonts w:ascii="Times New Roman" w:hAnsi="Times New Roman" w:cs="Times New Roman"/>
                <w:color w:val="000000" w:themeColor="text1"/>
                <w:sz w:val="20"/>
                <w:szCs w:val="20"/>
              </w:rPr>
            </w:pPr>
          </w:p>
          <w:p w14:paraId="7FE1BCD3" w14:textId="61EE858C" w:rsidR="00414040" w:rsidRDefault="00904E1A">
            <w:pPr>
              <w:pStyle w:val="P68B1DB1-TableParagraph13"/>
              <w:spacing w:before="108"/>
              <w:jc w:val="both"/>
            </w:pPr>
            <w:r>
              <w:t xml:space="preserve">Como </w:t>
            </w:r>
            <w:r w:rsidR="00BC6C92">
              <w:t xml:space="preserve">aproximación </w:t>
            </w:r>
            <w:r>
              <w:t xml:space="preserve">del primero, </w:t>
            </w:r>
            <w:r w:rsidR="008C5AE7">
              <w:t xml:space="preserve">debe proporcionarse </w:t>
            </w:r>
            <w:r>
              <w:t xml:space="preserve">una estimación del tiempo que le llevaría </w:t>
            </w:r>
            <w:r w:rsidR="007A2292">
              <w:t>al ente</w:t>
            </w:r>
            <w:r>
              <w:t xml:space="preserve"> </w:t>
            </w:r>
            <w:r w:rsidR="00BC6C92">
              <w:t xml:space="preserve">declarante </w:t>
            </w:r>
            <w:r>
              <w:t>absorber en su propi</w:t>
            </w:r>
            <w:r w:rsidR="00EF4EE8">
              <w:t>o</w:t>
            </w:r>
            <w:r>
              <w:t xml:space="preserve"> </w:t>
            </w:r>
            <w:r w:rsidR="00BC6C92">
              <w:t>negocio</w:t>
            </w:r>
            <w:r w:rsidR="00EF4EE8">
              <w:t xml:space="preserve"> </w:t>
            </w:r>
            <w:r>
              <w:t>(parte de) el servicio prestado por otra entidad, a un coste razonable, en una situación de crisis. Indíquese el tiempo estimado para la sustitución en los segmentos facilitados en la plantilla:</w:t>
            </w:r>
          </w:p>
          <w:p w14:paraId="7FE1BCD4" w14:textId="77777777" w:rsidR="00414040" w:rsidRDefault="00904E1A">
            <w:pPr>
              <w:pStyle w:val="P68B1DB1-Normal31"/>
              <w:jc w:val="both"/>
            </w:pPr>
            <w:r>
              <w:t xml:space="preserve">Segmentos: </w:t>
            </w:r>
          </w:p>
          <w:p w14:paraId="7FE1BCD5" w14:textId="38185F62" w:rsidR="00414040" w:rsidRDefault="00BC6C92">
            <w:pPr>
              <w:pStyle w:val="P68B1DB1-ListParagraph32"/>
              <w:numPr>
                <w:ilvl w:val="0"/>
                <w:numId w:val="286"/>
              </w:numPr>
              <w:jc w:val="both"/>
            </w:pPr>
            <w:r>
              <w:t>&lt;</w:t>
            </w:r>
            <w:r w:rsidR="00904E1A">
              <w:t xml:space="preserve">1 semana; </w:t>
            </w:r>
          </w:p>
          <w:p w14:paraId="7FE1BCD6" w14:textId="1A10077F" w:rsidR="00414040" w:rsidRDefault="00904E1A">
            <w:pPr>
              <w:pStyle w:val="P68B1DB1-ListParagraph32"/>
              <w:numPr>
                <w:ilvl w:val="0"/>
                <w:numId w:val="286"/>
              </w:numPr>
              <w:jc w:val="both"/>
            </w:pPr>
            <w:r>
              <w:t xml:space="preserve">1 </w:t>
            </w:r>
            <w:r w:rsidR="00BC6C92">
              <w:t>semana</w:t>
            </w:r>
            <w:r>
              <w:t xml:space="preserve">-1 mes; </w:t>
            </w:r>
          </w:p>
          <w:p w14:paraId="7FE1BCD7" w14:textId="5ECCCD1B" w:rsidR="00414040" w:rsidRDefault="00904E1A">
            <w:pPr>
              <w:pStyle w:val="P68B1DB1-ListParagraph32"/>
              <w:numPr>
                <w:ilvl w:val="0"/>
                <w:numId w:val="286"/>
              </w:numPr>
              <w:jc w:val="both"/>
            </w:pPr>
            <w:r>
              <w:t xml:space="preserve">&gt; 1 meses-6 meses, </w:t>
            </w:r>
          </w:p>
          <w:p w14:paraId="7FE1BCD8" w14:textId="66817B18" w:rsidR="00414040" w:rsidRDefault="00904E1A">
            <w:pPr>
              <w:pStyle w:val="P68B1DB1-ListParagraph32"/>
              <w:numPr>
                <w:ilvl w:val="0"/>
                <w:numId w:val="286"/>
              </w:numPr>
              <w:jc w:val="both"/>
            </w:pPr>
            <w:r>
              <w:t xml:space="preserve">&gt; 6 meses  </w:t>
            </w:r>
          </w:p>
          <w:p w14:paraId="7FE1BCD9"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CDD" w14:textId="77777777" w:rsidTr="1C36D01D">
        <w:tc>
          <w:tcPr>
            <w:tcW w:w="1080" w:type="dxa"/>
            <w:tcBorders>
              <w:top w:val="single" w:sz="4" w:space="0" w:color="1A171C"/>
              <w:left w:val="nil"/>
              <w:bottom w:val="single" w:sz="4" w:space="0" w:color="1A171C"/>
              <w:right w:val="single" w:sz="4" w:space="0" w:color="1A171C"/>
            </w:tcBorders>
            <w:vAlign w:val="center"/>
          </w:tcPr>
          <w:p w14:paraId="7FE1BCDB" w14:textId="77777777" w:rsidR="00414040" w:rsidRDefault="00904E1A">
            <w:pPr>
              <w:pStyle w:val="P68B1DB1-TableParagraph17"/>
              <w:spacing w:before="108"/>
              <w:ind w:left="85"/>
              <w:jc w:val="both"/>
            </w:pPr>
            <w:r>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414040" w:rsidRDefault="00904E1A">
            <w:pPr>
              <w:pStyle w:val="P68B1DB1-TableParagraph14"/>
              <w:spacing w:before="108"/>
              <w:jc w:val="both"/>
              <w:rPr>
                <w:bCs/>
              </w:rPr>
            </w:pPr>
            <w:r>
              <w:t>Capacidad de sustitución</w:t>
            </w:r>
          </w:p>
        </w:tc>
      </w:tr>
      <w:tr w:rsidR="00414040" w14:paraId="7FE1BCE7" w14:textId="77777777" w:rsidTr="1C36D01D">
        <w:tc>
          <w:tcPr>
            <w:tcW w:w="1080" w:type="dxa"/>
            <w:tcBorders>
              <w:top w:val="single" w:sz="4" w:space="0" w:color="1A171C"/>
              <w:left w:val="nil"/>
              <w:bottom w:val="single" w:sz="4" w:space="0" w:color="1A171C"/>
              <w:right w:val="single" w:sz="4" w:space="0" w:color="1A171C"/>
            </w:tcBorders>
            <w:vAlign w:val="center"/>
          </w:tcPr>
          <w:p w14:paraId="7FE1BCDE" w14:textId="77777777" w:rsidR="00414040" w:rsidRDefault="00904E1A">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3FC6541" w:rsidR="00414040" w:rsidRDefault="00B97376">
            <w:pPr>
              <w:pStyle w:val="P68B1DB1-TableParagraph14"/>
              <w:spacing w:before="108"/>
              <w:jc w:val="both"/>
              <w:rPr>
                <w:bCs/>
              </w:rPr>
            </w:pPr>
            <w:r>
              <w:t xml:space="preserve">Barreras </w:t>
            </w:r>
            <w:r w:rsidR="00904E1A">
              <w:t>legales a la entrada o la expansión</w:t>
            </w:r>
          </w:p>
          <w:p w14:paraId="7FE1BCE0" w14:textId="6F909A00" w:rsidR="00414040" w:rsidRDefault="00414040">
            <w:pPr>
              <w:pStyle w:val="TableParagraph"/>
              <w:spacing w:before="108"/>
              <w:jc w:val="both"/>
              <w:rPr>
                <w:rFonts w:ascii="Times New Roman" w:hAnsi="Times New Roman" w:cs="Times New Roman"/>
                <w:color w:val="000000" w:themeColor="text1"/>
                <w:sz w:val="20"/>
                <w:szCs w:val="20"/>
              </w:rPr>
            </w:pPr>
          </w:p>
          <w:p w14:paraId="7FE1BCE1" w14:textId="31119FAF" w:rsidR="00414040" w:rsidRDefault="00B97376">
            <w:pPr>
              <w:pStyle w:val="P68B1DB1-TableParagraph13"/>
              <w:spacing w:before="108"/>
              <w:jc w:val="both"/>
            </w:pPr>
            <w:r>
              <w:t>Barreras legales</w:t>
            </w:r>
            <w:r w:rsidR="001C2167">
              <w:t xml:space="preserve"> </w:t>
            </w:r>
            <w:r w:rsidR="00904E1A">
              <w:t xml:space="preserve">para que los competidores ofrezcan el servicio. Los requisitos legales para el </w:t>
            </w:r>
            <w:r w:rsidR="00904E1A">
              <w:lastRenderedPageBreak/>
              <w:t xml:space="preserve">ejercicio de la actividad de las entidades de crédito (por ejemplo, licencias bancarias o requisitos de capital) no deben considerarse </w:t>
            </w:r>
            <w:r w:rsidR="009D4DD9">
              <w:t>barreras</w:t>
            </w:r>
            <w:r w:rsidR="001C2167">
              <w:t xml:space="preserve"> </w:t>
            </w:r>
            <w:r w:rsidR="00904E1A">
              <w:t xml:space="preserve">insuperables </w:t>
            </w:r>
            <w:r w:rsidR="009D4DD9">
              <w:t>cuando existan</w:t>
            </w:r>
            <w:r w:rsidR="00904E1A">
              <w:t xml:space="preserve"> proveedores alternativos. Este indicador debe </w:t>
            </w:r>
            <w:r w:rsidR="009D4DD9">
              <w:t xml:space="preserve">reportarse </w:t>
            </w:r>
            <w:r w:rsidR="00904E1A">
              <w:t xml:space="preserve">en segmentos, que son los mismos para cada subfunción: </w:t>
            </w:r>
          </w:p>
          <w:p w14:paraId="7FE1BCE2" w14:textId="67FD7AF2" w:rsidR="00414040" w:rsidRDefault="00904E1A">
            <w:pPr>
              <w:pStyle w:val="P68B1DB1-ListParagraph39"/>
              <w:numPr>
                <w:ilvl w:val="0"/>
                <w:numId w:val="275"/>
              </w:numPr>
              <w:jc w:val="both"/>
            </w:pPr>
            <w:r>
              <w:t xml:space="preserve">no hay barreras importantes, </w:t>
            </w:r>
          </w:p>
          <w:p w14:paraId="7FE1BCE3" w14:textId="6F2E541E" w:rsidR="00414040" w:rsidRDefault="00904E1A">
            <w:pPr>
              <w:pStyle w:val="P68B1DB1-ListParagraph39"/>
              <w:numPr>
                <w:ilvl w:val="0"/>
                <w:numId w:val="275"/>
              </w:numPr>
              <w:jc w:val="both"/>
            </w:pPr>
            <w:r>
              <w:t>algun</w:t>
            </w:r>
            <w:r w:rsidR="00E614AC">
              <w:t>a</w:t>
            </w:r>
            <w:r>
              <w:t xml:space="preserve">s </w:t>
            </w:r>
            <w:r w:rsidR="00E614AC">
              <w:t>barreras</w:t>
            </w:r>
            <w:r>
              <w:t xml:space="preserve">, </w:t>
            </w:r>
          </w:p>
          <w:p w14:paraId="7FE1BCE4" w14:textId="389397E1" w:rsidR="00414040" w:rsidRDefault="00904E1A">
            <w:pPr>
              <w:pStyle w:val="P68B1DB1-ListParagraph39"/>
              <w:numPr>
                <w:ilvl w:val="0"/>
                <w:numId w:val="275"/>
              </w:numPr>
              <w:jc w:val="both"/>
            </w:pPr>
            <w:r>
              <w:t xml:space="preserve">barreras importantes (pero superables), </w:t>
            </w:r>
          </w:p>
          <w:p w14:paraId="7FE1BCE6" w14:textId="5882E7D2" w:rsidR="00414040" w:rsidRDefault="00904E1A">
            <w:pPr>
              <w:pStyle w:val="P68B1DB1-ListParagraph8"/>
              <w:numPr>
                <w:ilvl w:val="0"/>
                <w:numId w:val="275"/>
              </w:numPr>
              <w:jc w:val="both"/>
            </w:pPr>
            <w:r>
              <w:t>barreras críticas (difíciles de superar).</w:t>
            </w:r>
          </w:p>
        </w:tc>
      </w:tr>
      <w:tr w:rsidR="00414040" w14:paraId="7FE1BCF2" w14:textId="77777777" w:rsidTr="1C36D01D">
        <w:tc>
          <w:tcPr>
            <w:tcW w:w="1080" w:type="dxa"/>
            <w:tcBorders>
              <w:top w:val="single" w:sz="4" w:space="0" w:color="1A171C"/>
              <w:left w:val="nil"/>
              <w:bottom w:val="single" w:sz="4" w:space="0" w:color="1A171C"/>
              <w:right w:val="single" w:sz="4" w:space="0" w:color="1A171C"/>
            </w:tcBorders>
            <w:vAlign w:val="center"/>
          </w:tcPr>
          <w:p w14:paraId="7FE1BCE8" w14:textId="77777777" w:rsidR="00414040" w:rsidRDefault="00904E1A">
            <w:pPr>
              <w:pStyle w:val="P68B1DB1-TableParagraph17"/>
              <w:spacing w:before="108"/>
              <w:ind w:left="85"/>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414040" w:rsidRDefault="00904E1A">
            <w:pPr>
              <w:pStyle w:val="P68B1DB1-TableParagraph14"/>
              <w:spacing w:before="108"/>
              <w:jc w:val="both"/>
              <w:rPr>
                <w:bCs/>
              </w:rPr>
            </w:pPr>
            <w:r>
              <w:t>Requisitos operativos para la entrada o la expansión</w:t>
            </w:r>
          </w:p>
          <w:p w14:paraId="7FE1BCEA" w14:textId="77777777" w:rsidR="00414040" w:rsidRDefault="00414040">
            <w:pPr>
              <w:pStyle w:val="TableParagraph"/>
              <w:spacing w:before="108"/>
              <w:jc w:val="both"/>
              <w:rPr>
                <w:rFonts w:ascii="Times New Roman" w:hAnsi="Times New Roman" w:cs="Times New Roman"/>
                <w:color w:val="000000" w:themeColor="text1"/>
                <w:sz w:val="20"/>
                <w:szCs w:val="20"/>
              </w:rPr>
            </w:pPr>
          </w:p>
          <w:p w14:paraId="7FE1BCEB" w14:textId="325C88C8" w:rsidR="00414040" w:rsidRDefault="00904E1A">
            <w:pPr>
              <w:pStyle w:val="P68B1DB1-TableParagraph13"/>
              <w:spacing w:before="108"/>
              <w:jc w:val="both"/>
            </w:pPr>
            <w:r>
              <w:t xml:space="preserve">Requisitos organizativos, técnicos y de infraestructura para que los competidores ofrezcan el servicio. Ofrecer los servicios relacionados con la (sub)función requiere que los proveedores inviertan en infraestructuras (nuevas o adicionales) o modifiquen sus </w:t>
            </w:r>
            <w:r w:rsidR="006F506F">
              <w:t xml:space="preserve">estructuras </w:t>
            </w:r>
            <w:r w:rsidR="00CC37AE">
              <w:t>organizativas</w:t>
            </w:r>
            <w:r>
              <w:t xml:space="preserve">. Evaluar la capacidad del mercado para absorber la actividad en cuestión, por ejemplo, en términos de requisitos de capital. </w:t>
            </w:r>
          </w:p>
          <w:p w14:paraId="7FE1BCEC" w14:textId="22F82272" w:rsidR="00414040" w:rsidRDefault="00904E1A">
            <w:pPr>
              <w:pStyle w:val="P68B1DB1-TableParagraph13"/>
              <w:spacing w:before="108"/>
              <w:jc w:val="both"/>
            </w:pPr>
            <w:r>
              <w:t xml:space="preserve">Este indicador debe </w:t>
            </w:r>
            <w:r w:rsidR="004A1514">
              <w:t xml:space="preserve">informarse </w:t>
            </w:r>
            <w:r>
              <w:t xml:space="preserve">en segmentos, que son los mismos para cada subfunción: </w:t>
            </w:r>
          </w:p>
          <w:p w14:paraId="7FE1BCED" w14:textId="5283E021" w:rsidR="00414040" w:rsidRDefault="00904E1A">
            <w:pPr>
              <w:pStyle w:val="P68B1DB1-ListParagraph39"/>
              <w:numPr>
                <w:ilvl w:val="0"/>
                <w:numId w:val="278"/>
              </w:numPr>
              <w:jc w:val="both"/>
            </w:pPr>
            <w:r>
              <w:t xml:space="preserve">no hay requisitos importantes, </w:t>
            </w:r>
          </w:p>
          <w:p w14:paraId="7FE1BCEE" w14:textId="5ADAB5CD" w:rsidR="00414040" w:rsidRDefault="00904E1A">
            <w:pPr>
              <w:pStyle w:val="P68B1DB1-ListParagraph39"/>
              <w:numPr>
                <w:ilvl w:val="0"/>
                <w:numId w:val="278"/>
              </w:numPr>
              <w:jc w:val="both"/>
            </w:pPr>
            <w:r>
              <w:t xml:space="preserve">algunos requisitos, </w:t>
            </w:r>
          </w:p>
          <w:p w14:paraId="7FE1BCEF" w14:textId="579CC165" w:rsidR="00414040" w:rsidRDefault="00904E1A">
            <w:pPr>
              <w:pStyle w:val="P68B1DB1-ListParagraph39"/>
              <w:numPr>
                <w:ilvl w:val="0"/>
                <w:numId w:val="278"/>
              </w:numPr>
              <w:jc w:val="both"/>
            </w:pPr>
            <w:r>
              <w:t xml:space="preserve">requisitos sustanciales (pero superables), </w:t>
            </w:r>
          </w:p>
          <w:p w14:paraId="7FE1BCF0" w14:textId="5F9F9690" w:rsidR="00414040" w:rsidRDefault="00904E1A">
            <w:pPr>
              <w:pStyle w:val="P68B1DB1-ListParagraph39"/>
              <w:numPr>
                <w:ilvl w:val="0"/>
                <w:numId w:val="278"/>
              </w:numPr>
              <w:jc w:val="both"/>
            </w:pPr>
            <w:r>
              <w:t>requisitos críticos (difíciles de superar).</w:t>
            </w:r>
          </w:p>
          <w:p w14:paraId="7FE1BCF1" w14:textId="77777777" w:rsidR="00414040" w:rsidRDefault="00414040">
            <w:pPr>
              <w:pStyle w:val="TableParagraph"/>
              <w:spacing w:before="108"/>
              <w:jc w:val="both"/>
              <w:rPr>
                <w:rFonts w:ascii="Times New Roman" w:hAnsi="Times New Roman" w:cs="Times New Roman"/>
                <w:color w:val="000000" w:themeColor="text1"/>
                <w:sz w:val="20"/>
                <w:szCs w:val="20"/>
              </w:rPr>
            </w:pPr>
          </w:p>
        </w:tc>
      </w:tr>
      <w:tr w:rsidR="00414040" w14:paraId="7FE1BCF5" w14:textId="77777777" w:rsidTr="1C36D01D">
        <w:tc>
          <w:tcPr>
            <w:tcW w:w="1080" w:type="dxa"/>
            <w:tcBorders>
              <w:top w:val="single" w:sz="4" w:space="0" w:color="1A171C"/>
              <w:left w:val="nil"/>
              <w:bottom w:val="single" w:sz="4" w:space="0" w:color="1A171C"/>
              <w:right w:val="single" w:sz="4" w:space="0" w:color="1A171C"/>
            </w:tcBorders>
            <w:vAlign w:val="center"/>
          </w:tcPr>
          <w:p w14:paraId="7FE1BCF3" w14:textId="77777777" w:rsidR="00414040" w:rsidRDefault="00904E1A">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414040" w:rsidRDefault="00904E1A">
            <w:pPr>
              <w:pStyle w:val="P68B1DB1-TableParagraph14"/>
              <w:spacing w:before="108"/>
              <w:jc w:val="both"/>
              <w:rPr>
                <w:bCs/>
              </w:rPr>
            </w:pPr>
            <w:r>
              <w:t>Evaluación del carácter esencial</w:t>
            </w:r>
          </w:p>
        </w:tc>
      </w:tr>
      <w:tr w:rsidR="00414040" w14:paraId="7FE1BCFB" w14:textId="77777777" w:rsidTr="1C36D01D">
        <w:tc>
          <w:tcPr>
            <w:tcW w:w="1080" w:type="dxa"/>
            <w:tcBorders>
              <w:top w:val="single" w:sz="4" w:space="0" w:color="1A171C"/>
              <w:left w:val="nil"/>
              <w:bottom w:val="single" w:sz="4" w:space="0" w:color="1A171C"/>
              <w:right w:val="single" w:sz="4" w:space="0" w:color="1A171C"/>
            </w:tcBorders>
            <w:vAlign w:val="center"/>
          </w:tcPr>
          <w:p w14:paraId="7FE1BCF6" w14:textId="77777777" w:rsidR="00414040" w:rsidRDefault="00904E1A">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414040" w:rsidRDefault="00904E1A">
            <w:pPr>
              <w:pStyle w:val="P68B1DB1-TableParagraph14"/>
              <w:spacing w:before="108"/>
              <w:jc w:val="both"/>
              <w:rPr>
                <w:bCs/>
              </w:rPr>
            </w:pPr>
            <w:r>
              <w:t xml:space="preserve">Impacto en el mercado </w:t>
            </w:r>
          </w:p>
          <w:p w14:paraId="7FE1BCF8" w14:textId="244E3553" w:rsidR="00414040" w:rsidRDefault="00904E1A">
            <w:pPr>
              <w:pStyle w:val="P68B1DB1-TableParagraph13"/>
              <w:spacing w:before="108"/>
              <w:jc w:val="both"/>
            </w:pPr>
            <w:r>
              <w:t>Impacto estimado de una interrupción repentina de la función sobre terceros, los mercados financieros y la economía real, teniendo en cuenta el tamaño, la cuota de mercado en el país, la</w:t>
            </w:r>
            <w:r w:rsidR="005160E6">
              <w:t>s</w:t>
            </w:r>
            <w:r>
              <w:t xml:space="preserve"> interconexi</w:t>
            </w:r>
            <w:r w:rsidR="005160E6">
              <w:t>ones</w:t>
            </w:r>
            <w:r>
              <w:t xml:space="preserve"> interna</w:t>
            </w:r>
            <w:r w:rsidR="005160E6">
              <w:t>s</w:t>
            </w:r>
            <w:r>
              <w:t xml:space="preserve"> y externa</w:t>
            </w:r>
            <w:r w:rsidR="005160E6">
              <w:t>s</w:t>
            </w:r>
            <w:r>
              <w:t>, la complejidad y las actividades transfronterizas de la entidad.</w:t>
            </w:r>
          </w:p>
          <w:p w14:paraId="7FE1BCF9" w14:textId="22534111" w:rsidR="00414040" w:rsidRDefault="00904E1A">
            <w:pPr>
              <w:pStyle w:val="P68B1DB1-TableParagraph13"/>
              <w:spacing w:before="108"/>
              <w:jc w:val="both"/>
            </w:pPr>
            <w:r>
              <w:t>Esta evaluación se expresará en términos cualitativos, como «alto», «medio-alto», «medio-bajo» o «bajo».</w:t>
            </w:r>
          </w:p>
          <w:p w14:paraId="7FE1BCFA" w14:textId="0EC6319A" w:rsidR="00414040" w:rsidRDefault="00904E1A">
            <w:pPr>
              <w:pStyle w:val="P68B1DB1-TableParagraph13"/>
              <w:spacing w:before="108"/>
              <w:jc w:val="both"/>
            </w:pPr>
            <w:r>
              <w:t>Se seleccionará «</w:t>
            </w:r>
            <w:r w:rsidR="00686BFA">
              <w:t>alto</w:t>
            </w:r>
            <w:r>
              <w:t>» si la interrupción tiene un gran impacto en el mercado nacional; «</w:t>
            </w:r>
            <w:r w:rsidR="002B7AF8">
              <w:t>medio</w:t>
            </w:r>
            <w:r>
              <w:t>-</w:t>
            </w:r>
            <w:r w:rsidR="002B7AF8">
              <w:t>alto</w:t>
            </w:r>
            <w:r>
              <w:t>» si el impacto es significativo; «</w:t>
            </w:r>
            <w:r w:rsidR="002B7AF8">
              <w:t>medio</w:t>
            </w:r>
            <w:r w:rsidR="00686BFA">
              <w:t>-bajo</w:t>
            </w:r>
            <w:r>
              <w:t>» si el impacto es importante, pero limitado; y «</w:t>
            </w:r>
            <w:r w:rsidR="002B7AF8">
              <w:t>bajo</w:t>
            </w:r>
            <w:r>
              <w:t>» si el impacto es bajo.</w:t>
            </w:r>
          </w:p>
        </w:tc>
      </w:tr>
      <w:tr w:rsidR="00414040" w14:paraId="7FE1BD08" w14:textId="77777777" w:rsidTr="1C36D01D">
        <w:tc>
          <w:tcPr>
            <w:tcW w:w="1080" w:type="dxa"/>
            <w:tcBorders>
              <w:top w:val="single" w:sz="4" w:space="0" w:color="1A171C"/>
              <w:left w:val="nil"/>
              <w:bottom w:val="single" w:sz="4" w:space="0" w:color="1A171C"/>
              <w:right w:val="single" w:sz="4" w:space="0" w:color="1A171C"/>
            </w:tcBorders>
            <w:vAlign w:val="center"/>
          </w:tcPr>
          <w:p w14:paraId="7FE1BCFC" w14:textId="77777777" w:rsidR="00414040" w:rsidRDefault="00904E1A">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414040" w:rsidRDefault="00904E1A">
            <w:pPr>
              <w:pStyle w:val="P68B1DB1-TableParagraph14"/>
              <w:spacing w:before="108"/>
              <w:jc w:val="both"/>
              <w:rPr>
                <w:bCs/>
              </w:rPr>
            </w:pPr>
            <w:r>
              <w:t>Sustituibilidad</w:t>
            </w:r>
          </w:p>
          <w:p w14:paraId="7FE1BCFE" w14:textId="77777777" w:rsidR="00414040" w:rsidRDefault="00904E1A">
            <w:pPr>
              <w:pStyle w:val="P68B1DB1-TableParagraph13"/>
              <w:spacing w:before="108"/>
              <w:jc w:val="both"/>
            </w:pPr>
            <w:r w:rsidRPr="2133F407">
              <w:rPr>
                <w:lang w:val="es-ES"/>
              </w:rPr>
              <w:t xml:space="preserve">Artículo 6, apartado 3, del Reglamento </w:t>
            </w:r>
            <w:proofErr w:type="gramStart"/>
            <w:r w:rsidRPr="2133F407">
              <w:rPr>
                <w:lang w:val="es-ES"/>
              </w:rPr>
              <w:t>Delegado</w:t>
            </w:r>
            <w:proofErr w:type="gramEnd"/>
            <w:r w:rsidRPr="2133F407">
              <w:rPr>
                <w:lang w:val="es-ES"/>
              </w:rPr>
              <w:t xml:space="preserve"> (UE) 2016/778.</w:t>
            </w:r>
          </w:p>
          <w:p w14:paraId="7FE1BCFF" w14:textId="77777777" w:rsidR="00414040" w:rsidRDefault="00904E1A">
            <w:pPr>
              <w:pStyle w:val="P68B1DB1-TableParagraph13"/>
              <w:spacing w:before="108"/>
              <w:jc w:val="both"/>
            </w:pPr>
            <w:r>
              <w:t>Una función se considera sustituible cuando puede reemplazarse de manera aceptable y en un plazo razonable, evitando así los problemas sistémicos para la economía real y los mercados financieros. Se tendrán en cuenta los siguientes aspectos:</w:t>
            </w:r>
          </w:p>
          <w:p w14:paraId="7FE1BD00" w14:textId="646996D1" w:rsidR="00414040" w:rsidRDefault="00904E1A">
            <w:pPr>
              <w:pStyle w:val="P68B1DB1-TableParagraph13"/>
              <w:spacing w:before="108"/>
              <w:jc w:val="both"/>
            </w:pPr>
            <w:r>
              <w:t xml:space="preserve">(a) la estructura del mercado para esa función y la disponibilidad de </w:t>
            </w:r>
            <w:r w:rsidR="001C19F3">
              <w:t>proveedores</w:t>
            </w:r>
            <w:r w:rsidR="001C19F3" w:rsidDel="001C19F3">
              <w:t xml:space="preserve"> </w:t>
            </w:r>
            <w:r>
              <w:t xml:space="preserve">alternativos; </w:t>
            </w:r>
          </w:p>
          <w:p w14:paraId="7FE1BD01" w14:textId="16BF8833" w:rsidR="00414040" w:rsidRDefault="00904E1A">
            <w:pPr>
              <w:pStyle w:val="P68B1DB1-TableParagraph13"/>
              <w:spacing w:before="108"/>
              <w:jc w:val="both"/>
            </w:pPr>
            <w:r>
              <w:t xml:space="preserve">(b) la aptitud de otros </w:t>
            </w:r>
            <w:r w:rsidR="001C19F3">
              <w:t>proveedores</w:t>
            </w:r>
            <w:r w:rsidR="001C19F3" w:rsidDel="001C19F3">
              <w:t xml:space="preserve"> </w:t>
            </w:r>
            <w:r>
              <w:t>en términos de capacidad, los requisitos para la ejecución de la función y l</w:t>
            </w:r>
            <w:r w:rsidR="002B7AF8">
              <w:t>a</w:t>
            </w:r>
            <w:r>
              <w:t xml:space="preserve">s posibles </w:t>
            </w:r>
            <w:r w:rsidR="002B7AF8">
              <w:t xml:space="preserve">barreras </w:t>
            </w:r>
            <w:r>
              <w:t xml:space="preserve">a la entrada o la expansión; </w:t>
            </w:r>
          </w:p>
          <w:p w14:paraId="7FE1BD02" w14:textId="4CD8DAAD" w:rsidR="00414040" w:rsidRDefault="00904E1A">
            <w:pPr>
              <w:pStyle w:val="P68B1DB1-TableParagraph13"/>
              <w:spacing w:before="108"/>
              <w:jc w:val="both"/>
            </w:pPr>
            <w:r>
              <w:t xml:space="preserve">(c) el incentivo de otros </w:t>
            </w:r>
            <w:r w:rsidR="001C19F3">
              <w:t>proveedores</w:t>
            </w:r>
            <w:r w:rsidR="001C19F3" w:rsidDel="001C19F3">
              <w:t xml:space="preserve"> </w:t>
            </w:r>
            <w:r>
              <w:t xml:space="preserve">para asumir estas actividades; </w:t>
            </w:r>
          </w:p>
          <w:p w14:paraId="7FE1BD03" w14:textId="364A09FF" w:rsidR="00414040" w:rsidRDefault="00904E1A">
            <w:pPr>
              <w:pStyle w:val="P68B1DB1-TableParagraph13"/>
              <w:spacing w:before="108"/>
              <w:jc w:val="both"/>
            </w:pPr>
            <w:r>
              <w:t xml:space="preserve">(d) el tiempo que necesitan los usuarios del servicio para recibirlo del nuevo </w:t>
            </w:r>
            <w:r w:rsidR="00447984">
              <w:t>proveedor</w:t>
            </w:r>
            <w:r>
              <w:t>, y los costes de tal cambio, el tiempo que necesitan otros competidores para asumir las funciones y si ese lapso es suficiente para impedir perturbaciones significativas en función del tipo de servicio.</w:t>
            </w:r>
          </w:p>
          <w:p w14:paraId="7FE1BD04" w14:textId="7E5ECF54" w:rsidR="00414040" w:rsidRDefault="00904E1A">
            <w:pPr>
              <w:pStyle w:val="P68B1DB1-TableParagraph13"/>
              <w:spacing w:before="108"/>
              <w:jc w:val="both"/>
            </w:pPr>
            <w:r w:rsidRPr="2133F407">
              <w:rPr>
                <w:lang w:val="es-ES"/>
              </w:rPr>
              <w:t xml:space="preserve">Proporcionar una evaluación global del grado de sustituibilidad previsto para cada función, teniendo en cuenta </w:t>
            </w:r>
            <w:r w:rsidR="00712F3E" w:rsidRPr="2133F407">
              <w:rPr>
                <w:lang w:val="es-ES"/>
              </w:rPr>
              <w:t>l</w:t>
            </w:r>
            <w:r w:rsidR="00712F3E">
              <w:rPr>
                <w:lang w:val="es-ES"/>
              </w:rPr>
              <w:t>o</w:t>
            </w:r>
            <w:r w:rsidR="00712F3E" w:rsidRPr="2133F407">
              <w:rPr>
                <w:lang w:val="es-ES"/>
              </w:rPr>
              <w:t xml:space="preserve">s </w:t>
            </w:r>
            <w:r w:rsidRPr="2133F407">
              <w:rPr>
                <w:lang w:val="es-ES"/>
              </w:rPr>
              <w:t xml:space="preserve">diferentes </w:t>
            </w:r>
            <w:r w:rsidR="005D7E50">
              <w:rPr>
                <w:lang w:val="es-ES"/>
              </w:rPr>
              <w:t>aspectos</w:t>
            </w:r>
            <w:r w:rsidR="005D7E50" w:rsidRPr="2133F407">
              <w:rPr>
                <w:lang w:val="es-ES"/>
              </w:rPr>
              <w:t xml:space="preserve"> </w:t>
            </w:r>
            <w:r w:rsidRPr="2133F407">
              <w:rPr>
                <w:lang w:val="es-ES"/>
              </w:rPr>
              <w:t xml:space="preserve">previamente </w:t>
            </w:r>
            <w:r w:rsidR="00712F3E" w:rsidRPr="2133F407">
              <w:rPr>
                <w:lang w:val="es-ES"/>
              </w:rPr>
              <w:t>evaluad</w:t>
            </w:r>
            <w:r w:rsidR="00712F3E">
              <w:rPr>
                <w:lang w:val="es-ES"/>
              </w:rPr>
              <w:t>o</w:t>
            </w:r>
            <w:r w:rsidR="00712F3E" w:rsidRPr="2133F407">
              <w:rPr>
                <w:lang w:val="es-ES"/>
              </w:rPr>
              <w:t xml:space="preserve">s </w:t>
            </w:r>
            <w:r w:rsidRPr="2133F407">
              <w:rPr>
                <w:lang w:val="es-ES"/>
              </w:rPr>
              <w:t xml:space="preserve">(cuota de mercado, concentración del mercado, tiempo hasta la sustitución, </w:t>
            </w:r>
            <w:r w:rsidR="002B7AF8">
              <w:rPr>
                <w:lang w:val="es-ES"/>
              </w:rPr>
              <w:t>barreras legales</w:t>
            </w:r>
            <w:r w:rsidRPr="2133F407">
              <w:rPr>
                <w:lang w:val="es-ES"/>
              </w:rPr>
              <w:t xml:space="preserve"> y requisitos operativos para la entrada o la expansión). Esta evaluación se expresará en términos cualitativos, como «alto», «medio-alto», </w:t>
            </w:r>
            <w:r w:rsidRPr="2133F407">
              <w:rPr>
                <w:lang w:val="es-ES"/>
              </w:rPr>
              <w:lastRenderedPageBreak/>
              <w:t xml:space="preserve">«medio-bajo» o «bajo». </w:t>
            </w:r>
          </w:p>
          <w:p w14:paraId="7FE1BD05" w14:textId="1644B51E" w:rsidR="00414040" w:rsidRDefault="00904E1A">
            <w:pPr>
              <w:pStyle w:val="P68B1DB1-TableParagraph13"/>
              <w:spacing w:before="108"/>
              <w:jc w:val="both"/>
            </w:pPr>
            <w:r>
              <w:t>Se seleccionará «</w:t>
            </w:r>
            <w:r w:rsidR="00686BFA">
              <w:t>alto</w:t>
            </w:r>
            <w:r>
              <w:t>» si la función puede ser proporcionada por otro banco fácilmente, en condiciones comparables y en un plazo razonable;</w:t>
            </w:r>
          </w:p>
          <w:p w14:paraId="7FE1BD06" w14:textId="5459DD51" w:rsidR="00414040" w:rsidRDefault="00904E1A">
            <w:pPr>
              <w:pStyle w:val="P68B1DB1-TableParagraph13"/>
              <w:spacing w:before="108"/>
              <w:jc w:val="both"/>
            </w:pPr>
            <w:r>
              <w:t xml:space="preserve">«Bajo» si la función no puede ser sustituida ni fácil ni rápidamente; </w:t>
            </w:r>
          </w:p>
          <w:p w14:paraId="7FE1BD07" w14:textId="2FDEAB72" w:rsidR="00414040" w:rsidRDefault="00904E1A">
            <w:pPr>
              <w:pStyle w:val="P68B1DB1-TableParagraph13"/>
              <w:spacing w:before="108"/>
              <w:jc w:val="both"/>
              <w:rPr>
                <w:lang w:val="es-ES"/>
              </w:rPr>
            </w:pPr>
            <w:r w:rsidRPr="2133F407">
              <w:rPr>
                <w:lang w:val="es-ES"/>
              </w:rPr>
              <w:t>«Medio-</w:t>
            </w:r>
            <w:r w:rsidR="002B7AF8">
              <w:rPr>
                <w:lang w:val="es-ES"/>
              </w:rPr>
              <w:t>a</w:t>
            </w:r>
            <w:r w:rsidR="002B7AF8" w:rsidRPr="2133F407">
              <w:rPr>
                <w:lang w:val="es-ES"/>
              </w:rPr>
              <w:t>lto</w:t>
            </w:r>
            <w:r w:rsidRPr="2133F407">
              <w:rPr>
                <w:lang w:val="es-ES"/>
              </w:rPr>
              <w:t>» y «</w:t>
            </w:r>
            <w:r w:rsidR="002B7AF8">
              <w:rPr>
                <w:lang w:val="es-ES"/>
              </w:rPr>
              <w:t>m</w:t>
            </w:r>
            <w:r w:rsidR="002B7AF8" w:rsidRPr="2133F407">
              <w:rPr>
                <w:lang w:val="es-ES"/>
              </w:rPr>
              <w:t>edio</w:t>
            </w:r>
            <w:r w:rsidRPr="2133F407">
              <w:rPr>
                <w:lang w:val="es-ES"/>
              </w:rPr>
              <w:t>-</w:t>
            </w:r>
            <w:r w:rsidR="002B7AF8">
              <w:rPr>
                <w:lang w:val="es-ES"/>
              </w:rPr>
              <w:t>b</w:t>
            </w:r>
            <w:r w:rsidR="002B7AF8" w:rsidRPr="2133F407">
              <w:rPr>
                <w:lang w:val="es-ES"/>
              </w:rPr>
              <w:t>ajo</w:t>
            </w:r>
            <w:r w:rsidRPr="2133F407">
              <w:rPr>
                <w:lang w:val="es-ES"/>
              </w:rPr>
              <w:t xml:space="preserve">» en los casos intermedios, teniendo en cuenta distintos aspectos (por ejemplo, cuota de mercado, concentración del mercado, tiempo necesario para la sustitución, así como </w:t>
            </w:r>
            <w:r w:rsidR="002B7AF8">
              <w:rPr>
                <w:lang w:val="es-ES"/>
              </w:rPr>
              <w:t>las barreras legales</w:t>
            </w:r>
            <w:r w:rsidRPr="2133F407">
              <w:rPr>
                <w:lang w:val="es-ES"/>
              </w:rPr>
              <w:t xml:space="preserve"> a la entrada o la expansión, y los requisitos operativos de esta</w:t>
            </w:r>
            <w:r w:rsidR="00B737FD">
              <w:rPr>
                <w:lang w:val="es-ES"/>
              </w:rPr>
              <w:t>s</w:t>
            </w:r>
            <w:r w:rsidRPr="2133F407">
              <w:rPr>
                <w:lang w:val="es-ES"/>
              </w:rPr>
              <w:t>).</w:t>
            </w:r>
          </w:p>
        </w:tc>
      </w:tr>
      <w:tr w:rsidR="00414040" w14:paraId="7FE1BD0D" w14:textId="77777777" w:rsidTr="1C36D01D">
        <w:tc>
          <w:tcPr>
            <w:tcW w:w="1080" w:type="dxa"/>
            <w:tcBorders>
              <w:top w:val="single" w:sz="4" w:space="0" w:color="1A171C"/>
              <w:left w:val="nil"/>
              <w:bottom w:val="single" w:sz="4" w:space="0" w:color="1A171C"/>
              <w:right w:val="single" w:sz="4" w:space="0" w:color="1A171C"/>
            </w:tcBorders>
            <w:vAlign w:val="center"/>
          </w:tcPr>
          <w:p w14:paraId="7FE1BD09" w14:textId="77777777" w:rsidR="00414040" w:rsidRDefault="00904E1A">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414040" w:rsidRDefault="00904E1A">
            <w:pPr>
              <w:pStyle w:val="P68B1DB1-TableParagraph14"/>
              <w:spacing w:before="108"/>
              <w:jc w:val="both"/>
              <w:rPr>
                <w:bCs/>
              </w:rPr>
            </w:pPr>
            <w:r>
              <w:t>Función esencial</w:t>
            </w:r>
          </w:p>
          <w:p w14:paraId="7FE1BD0B" w14:textId="19FDBFA6" w:rsidR="00414040" w:rsidRDefault="00904E1A">
            <w:pPr>
              <w:pStyle w:val="P68B1DB1-TableParagraph13"/>
              <w:spacing w:before="108"/>
              <w:jc w:val="both"/>
            </w:pPr>
            <w:r>
              <w:t xml:space="preserve">En esta columna se indicará si, teniendo en cuenta el análisis de impacto y </w:t>
            </w:r>
            <w:r w:rsidR="008730C3" w:rsidRPr="009673E2">
              <w:t>sustituibilidad</w:t>
            </w:r>
            <w:r>
              <w:t xml:space="preserve"> realizado por la </w:t>
            </w:r>
            <w:r w:rsidR="00686BFA">
              <w:t>entidad</w:t>
            </w:r>
            <w:r>
              <w:t>, la función económica se considera esencial en el mercado del país de que se trate.</w:t>
            </w:r>
          </w:p>
          <w:p w14:paraId="7FE1BD0C" w14:textId="77777777" w:rsidR="00414040" w:rsidRDefault="00904E1A">
            <w:pPr>
              <w:pStyle w:val="P68B1DB1-TableParagraph13"/>
              <w:spacing w:before="108"/>
              <w:jc w:val="both"/>
            </w:pPr>
            <w:r>
              <w:t>Indíquese «Sí» o «No».</w:t>
            </w:r>
          </w:p>
        </w:tc>
      </w:tr>
      <w:tr w:rsidR="00414040" w14:paraId="7FE1BD11" w14:textId="77777777" w:rsidTr="1C36D01D">
        <w:tc>
          <w:tcPr>
            <w:tcW w:w="1080" w:type="dxa"/>
            <w:tcBorders>
              <w:top w:val="single" w:sz="4" w:space="0" w:color="1A171C"/>
              <w:left w:val="nil"/>
              <w:bottom w:val="single" w:sz="4" w:space="0" w:color="1A171C"/>
              <w:right w:val="single" w:sz="4" w:space="0" w:color="1A171C"/>
            </w:tcBorders>
            <w:vAlign w:val="center"/>
          </w:tcPr>
          <w:p w14:paraId="7FE1BD0E" w14:textId="77777777" w:rsidR="00414040" w:rsidRDefault="00904E1A">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414040" w:rsidRDefault="00904E1A">
            <w:pPr>
              <w:pStyle w:val="P68B1DB1-TableParagraph14"/>
              <w:spacing w:before="108"/>
              <w:jc w:val="both"/>
              <w:rPr>
                <w:bCs/>
              </w:rPr>
            </w:pPr>
            <w:r>
              <w:t>Observaciones del Grupo</w:t>
            </w:r>
          </w:p>
          <w:p w14:paraId="7FE1BD10" w14:textId="4D484CA7" w:rsidR="00414040" w:rsidRDefault="00904E1A">
            <w:pPr>
              <w:pStyle w:val="P68B1DB1-TableParagraph13"/>
              <w:spacing w:before="108"/>
              <w:jc w:val="both"/>
            </w:pPr>
            <w:r>
              <w:t xml:space="preserve">Este campo permite a </w:t>
            </w:r>
            <w:r w:rsidR="007A2292">
              <w:t>el ente</w:t>
            </w:r>
            <w:r>
              <w:t xml:space="preserve"> </w:t>
            </w:r>
            <w:r w:rsidR="00686BFA">
              <w:t>declarante</w:t>
            </w:r>
            <w:r w:rsidR="00BE1FB5">
              <w:t xml:space="preserve"> </w:t>
            </w:r>
            <w:r>
              <w:t>explicar cualquier hipótesis utilizada al evaluar el carácter esencial de la función o funciones comunicadas.</w:t>
            </w:r>
          </w:p>
        </w:tc>
      </w:tr>
    </w:tbl>
    <w:p w14:paraId="7FE1BD12" w14:textId="77777777" w:rsidR="00414040" w:rsidRDefault="00414040">
      <w:pPr>
        <w:rPr>
          <w:rFonts w:ascii="Times New Roman" w:hAnsi="Times New Roman" w:cs="Times New Roman"/>
          <w:color w:val="000000" w:themeColor="text1"/>
          <w:sz w:val="20"/>
          <w:szCs w:val="20"/>
        </w:rPr>
      </w:pPr>
    </w:p>
    <w:p w14:paraId="7FE1BD13" w14:textId="77777777" w:rsidR="00414040" w:rsidRDefault="00414040">
      <w:pPr>
        <w:rPr>
          <w:rFonts w:ascii="Times New Roman" w:hAnsi="Times New Roman" w:cs="Times New Roman"/>
          <w:color w:val="000000" w:themeColor="text1"/>
          <w:sz w:val="20"/>
          <w:szCs w:val="20"/>
        </w:rPr>
      </w:pPr>
    </w:p>
    <w:p w14:paraId="7FE1BD14" w14:textId="168C612B" w:rsidR="00414040" w:rsidRDefault="00904E1A">
      <w:pPr>
        <w:pStyle w:val="P68B1DB1-Instructionsberschrift25"/>
      </w:pPr>
      <w:bookmarkStart w:id="121" w:name="_Toc211525928"/>
      <w:r w:rsidRPr="2133F407">
        <w:rPr>
          <w:lang w:val="es-ES"/>
        </w:rPr>
        <w:t>II.13.</w:t>
      </w:r>
      <w:r>
        <w:tab/>
      </w:r>
      <w:r w:rsidRPr="2133F407">
        <w:rPr>
          <w:lang w:val="es-ES"/>
        </w:rPr>
        <w:t>Z 07.01.5 FUNC 1 WF</w:t>
      </w:r>
      <w:bookmarkEnd w:id="121"/>
    </w:p>
    <w:p w14:paraId="7FE1BD1C" w14:textId="77777777" w:rsidR="00414040" w:rsidRDefault="00414040">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14040" w14:paraId="7FE1BD1F" w14:textId="77777777" w:rsidTr="11A44BD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414040" w:rsidRDefault="00904E1A">
            <w:pPr>
              <w:pStyle w:val="P68B1DB1-TableParagraph17"/>
              <w:spacing w:before="108"/>
              <w:ind w:left="85"/>
              <w:jc w:val="both"/>
            </w:pPr>
            <w:r>
              <w:t>Columnas</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414040" w:rsidRDefault="00904E1A">
            <w:pPr>
              <w:pStyle w:val="P68B1DB1-TableParagraph17"/>
              <w:spacing w:before="108"/>
              <w:ind w:left="85" w:right="1"/>
              <w:jc w:val="both"/>
            </w:pPr>
            <w:r>
              <w:t>Instrucciones</w:t>
            </w:r>
          </w:p>
        </w:tc>
      </w:tr>
      <w:tr w:rsidR="00414040" w14:paraId="7FE1BD23" w14:textId="77777777" w:rsidTr="11A44BD7">
        <w:tc>
          <w:tcPr>
            <w:tcW w:w="1080" w:type="dxa"/>
            <w:tcBorders>
              <w:top w:val="single" w:sz="4" w:space="0" w:color="1A171C"/>
              <w:left w:val="nil"/>
              <w:bottom w:val="single" w:sz="4" w:space="0" w:color="1A171C"/>
              <w:right w:val="single" w:sz="4" w:space="0" w:color="1A171C"/>
            </w:tcBorders>
            <w:vAlign w:val="center"/>
          </w:tcPr>
          <w:p w14:paraId="7FE1BD20" w14:textId="77777777" w:rsidR="00414040" w:rsidRDefault="00904E1A">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414040" w:rsidRDefault="00904E1A">
            <w:pPr>
              <w:pStyle w:val="P68B1DB1-TableParagraph14"/>
              <w:spacing w:before="108"/>
              <w:ind w:left="85"/>
              <w:jc w:val="both"/>
              <w:rPr>
                <w:bCs/>
              </w:rPr>
            </w:pPr>
            <w:r>
              <w:t>Descripción de la función económica</w:t>
            </w:r>
          </w:p>
          <w:p w14:paraId="7FE1BD22" w14:textId="3E7FC747" w:rsidR="00414040" w:rsidRDefault="00904E1A">
            <w:pPr>
              <w:pStyle w:val="P68B1DB1-TableParagraph17"/>
              <w:spacing w:before="108"/>
              <w:ind w:left="85"/>
            </w:pPr>
            <w:r>
              <w:t xml:space="preserve">Cuando la función económica sea del tipo «Otros» (Z 07.01.5 FUNC 1 WF r0360 a r0380), se facilitará una descripción de dicha función. </w:t>
            </w:r>
          </w:p>
        </w:tc>
      </w:tr>
      <w:tr w:rsidR="00414040" w14:paraId="7FE1BD27" w14:textId="77777777" w:rsidTr="11A44BD7">
        <w:tc>
          <w:tcPr>
            <w:tcW w:w="1080" w:type="dxa"/>
            <w:tcBorders>
              <w:top w:val="single" w:sz="4" w:space="0" w:color="1A171C"/>
              <w:left w:val="nil"/>
              <w:bottom w:val="single" w:sz="4" w:space="0" w:color="1A171C"/>
              <w:right w:val="single" w:sz="4" w:space="0" w:color="1A171C"/>
            </w:tcBorders>
            <w:vAlign w:val="center"/>
          </w:tcPr>
          <w:p w14:paraId="7FE1BD24" w14:textId="77777777" w:rsidR="00414040" w:rsidRDefault="00904E1A">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414040" w:rsidRDefault="00904E1A">
            <w:pPr>
              <w:pStyle w:val="P68B1DB1-TableParagraph14"/>
              <w:spacing w:before="108"/>
              <w:ind w:left="85"/>
              <w:jc w:val="both"/>
              <w:rPr>
                <w:bCs/>
              </w:rPr>
            </w:pPr>
            <w:r>
              <w:t xml:space="preserve">Cuota de mercado </w:t>
            </w:r>
          </w:p>
          <w:p w14:paraId="7FE1BD26" w14:textId="65B80A4A" w:rsidR="00414040" w:rsidRDefault="00904E1A">
            <w:pPr>
              <w:pStyle w:val="P68B1DB1-TableParagraph17"/>
              <w:spacing w:before="108"/>
              <w:ind w:left="85"/>
              <w:rPr>
                <w:lang w:val="es-ES"/>
              </w:rPr>
            </w:pPr>
            <w:r w:rsidRPr="2133F407">
              <w:rPr>
                <w:lang w:val="es-ES"/>
              </w:rPr>
              <w:t xml:space="preserve">Estimación de la cuota de mercado de la entidad o el grupo en relación con la función económica en el país o área geográfica correspondiente. Un porcentaje del mercado total en términos del importe </w:t>
            </w:r>
            <w:r w:rsidR="00305422">
              <w:rPr>
                <w:lang w:val="es-ES"/>
              </w:rPr>
              <w:t xml:space="preserve">en libros </w:t>
            </w:r>
            <w:r w:rsidRPr="2133F407">
              <w:rPr>
                <w:lang w:val="es-ES"/>
              </w:rPr>
              <w:t>bruto.</w:t>
            </w:r>
          </w:p>
        </w:tc>
      </w:tr>
      <w:tr w:rsidR="00414040" w14:paraId="7FE1BD31" w14:textId="77777777" w:rsidTr="11A44BD7">
        <w:tc>
          <w:tcPr>
            <w:tcW w:w="1080" w:type="dxa"/>
            <w:tcBorders>
              <w:top w:val="single" w:sz="4" w:space="0" w:color="1A171C"/>
              <w:left w:val="nil"/>
              <w:bottom w:val="single" w:sz="4" w:space="0" w:color="1A171C"/>
              <w:right w:val="single" w:sz="4" w:space="0" w:color="1A171C"/>
            </w:tcBorders>
            <w:vAlign w:val="center"/>
          </w:tcPr>
          <w:p w14:paraId="7FE1BD28" w14:textId="77777777" w:rsidR="00414040" w:rsidRDefault="00904E1A">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414040" w:rsidRDefault="00904E1A">
            <w:pPr>
              <w:pStyle w:val="P68B1DB1-Normal42"/>
              <w:rPr>
                <w:bCs/>
              </w:rPr>
            </w:pPr>
            <w:r>
              <w:t>Importe en libros bruto</w:t>
            </w:r>
          </w:p>
          <w:p w14:paraId="7FE1BD2A" w14:textId="4A1948F2" w:rsidR="00414040" w:rsidRDefault="00904E1A">
            <w:pPr>
              <w:pStyle w:val="P68B1DB1-TableParagraph17"/>
              <w:spacing w:before="108"/>
            </w:pPr>
            <w:r>
              <w:t>Utilícese el importe en libros bruto según se define en FINREP.</w:t>
            </w:r>
          </w:p>
          <w:p w14:paraId="7FE1BD2B" w14:textId="77777777" w:rsidR="00414040" w:rsidRDefault="00904E1A">
            <w:pPr>
              <w:pStyle w:val="P68B1DB1-TableParagraph17"/>
              <w:spacing w:before="108"/>
            </w:pPr>
            <w:r>
              <w:t xml:space="preserve">Referencias: FINREP: Anexo V, parte 1, apartado 34, FINREP: Anexos III y IV, plantillas: </w:t>
            </w:r>
          </w:p>
          <w:p w14:paraId="7FE1BD2C" w14:textId="47103A24" w:rsidR="00414040" w:rsidRDefault="00904E1A">
            <w:pPr>
              <w:pStyle w:val="P68B1DB1-TableParagraph17"/>
              <w:spacing w:before="108"/>
            </w:pPr>
            <w:r>
              <w:t xml:space="preserve">— Toma de </w:t>
            </w:r>
            <w:r w:rsidR="0090074D">
              <w:t xml:space="preserve">financiación </w:t>
            </w:r>
            <w:r>
              <w:t>(5.1): Plantilla F 20.06, columna 010, filas 100+ 110, todos los países.</w:t>
            </w:r>
          </w:p>
          <w:p w14:paraId="7FE1BD2D" w14:textId="77777777" w:rsidR="00414040" w:rsidRDefault="00904E1A">
            <w:pPr>
              <w:pStyle w:val="P68B1DB1-TableParagraph17"/>
              <w:spacing w:before="108"/>
            </w:pPr>
            <w:r>
              <w:t>— Derivados (activos) (5.2): Plantilla F 20.04, columna 010, fila 010, todos los países.</w:t>
            </w:r>
          </w:p>
          <w:p w14:paraId="7FE1BD2E" w14:textId="549342D4" w:rsidR="00414040" w:rsidRDefault="00904E1A">
            <w:pPr>
              <w:pStyle w:val="P68B1DB1-TableParagraph17"/>
              <w:spacing w:before="108"/>
            </w:pPr>
            <w:r>
              <w:t xml:space="preserve">— Concesión de </w:t>
            </w:r>
            <w:r w:rsidR="0090074D">
              <w:t xml:space="preserve">financiación </w:t>
            </w:r>
            <w:r>
              <w:t xml:space="preserve">(5.3): Plantilla F 20.04, columna 010, filas 170+ 180, todos los países. </w:t>
            </w:r>
          </w:p>
          <w:p w14:paraId="7FE1BD30" w14:textId="58CF223C" w:rsidR="00414040" w:rsidRDefault="00904E1A">
            <w:pPr>
              <w:pStyle w:val="P68B1DB1-TableParagraph17"/>
              <w:spacing w:before="108"/>
            </w:pPr>
            <w:r>
              <w:t>— Derivados (pasivos) (5.4): Plantilla F 20.06, columna 010, fila 010, todos los países.</w:t>
            </w:r>
          </w:p>
        </w:tc>
      </w:tr>
      <w:tr w:rsidR="00414040" w14:paraId="7FE1BD35" w14:textId="77777777" w:rsidTr="11A44BD7">
        <w:tc>
          <w:tcPr>
            <w:tcW w:w="1080" w:type="dxa"/>
            <w:tcBorders>
              <w:top w:val="single" w:sz="4" w:space="0" w:color="1A171C"/>
              <w:left w:val="nil"/>
              <w:bottom w:val="single" w:sz="4" w:space="0" w:color="1A171C"/>
              <w:right w:val="single" w:sz="4" w:space="0" w:color="1A171C"/>
            </w:tcBorders>
            <w:vAlign w:val="center"/>
          </w:tcPr>
          <w:p w14:paraId="7FE1BD32" w14:textId="77777777" w:rsidR="00414040" w:rsidRDefault="00904E1A">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414040" w:rsidRDefault="00904E1A">
            <w:pPr>
              <w:pStyle w:val="P68B1DB1-Normal42"/>
              <w:rPr>
                <w:bCs/>
              </w:rPr>
            </w:pPr>
            <w:r>
              <w:t>Número de contrapartes</w:t>
            </w:r>
          </w:p>
          <w:p w14:paraId="7FE1BD34" w14:textId="58503DE1" w:rsidR="00414040" w:rsidRDefault="00904E1A">
            <w:pPr>
              <w:pStyle w:val="P68B1DB1-TableParagraph17"/>
              <w:spacing w:before="108"/>
            </w:pPr>
            <w:r>
              <w:t xml:space="preserve">Número total de contrapartes. Solo se contará una vez a cada contraparte, aunque tenga más de una cuenta </w:t>
            </w:r>
            <w:r w:rsidR="000C61B4">
              <w:t>y/</w:t>
            </w:r>
            <w:r>
              <w:t>o más de una operación.</w:t>
            </w:r>
          </w:p>
        </w:tc>
      </w:tr>
      <w:tr w:rsidR="00414040" w14:paraId="7FE1BD43" w14:textId="77777777" w:rsidTr="11A44BD7">
        <w:tc>
          <w:tcPr>
            <w:tcW w:w="1080" w:type="dxa"/>
            <w:tcBorders>
              <w:top w:val="single" w:sz="4" w:space="0" w:color="1A171C"/>
              <w:left w:val="nil"/>
              <w:bottom w:val="single" w:sz="4" w:space="0" w:color="1A171C"/>
              <w:right w:val="single" w:sz="4" w:space="0" w:color="1A171C"/>
            </w:tcBorders>
            <w:vAlign w:val="center"/>
          </w:tcPr>
          <w:p w14:paraId="7FE1BD36" w14:textId="77777777" w:rsidR="00414040" w:rsidRDefault="00904E1A">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414040" w:rsidRDefault="00904E1A">
            <w:pPr>
              <w:pStyle w:val="P68B1DB1-TableParagraph14"/>
              <w:spacing w:before="108"/>
              <w:jc w:val="both"/>
              <w:rPr>
                <w:bCs/>
              </w:rPr>
            </w:pPr>
            <w:r>
              <w:t>Pactos de recompra (inversa)</w:t>
            </w:r>
          </w:p>
          <w:p w14:paraId="7FE1BD3B" w14:textId="1D712E3A" w:rsidR="00414040" w:rsidRDefault="00904E1A">
            <w:pPr>
              <w:pStyle w:val="P68B1DB1-TableParagraph13"/>
              <w:spacing w:before="108"/>
              <w:jc w:val="both"/>
            </w:pPr>
            <w:r>
              <w:t xml:space="preserve">Se </w:t>
            </w:r>
            <w:r w:rsidR="00B701B9">
              <w:t xml:space="preserve">informarán </w:t>
            </w:r>
            <w:r>
              <w:t xml:space="preserve">los pactos de recompra </w:t>
            </w:r>
            <w:r w:rsidR="00B93CFB">
              <w:t xml:space="preserve">relativos a </w:t>
            </w:r>
            <w:r>
              <w:t xml:space="preserve">préstamos </w:t>
            </w:r>
            <w:r w:rsidR="00B701B9">
              <w:t>mayoristas</w:t>
            </w:r>
            <w:r>
              <w:t xml:space="preserve">. </w:t>
            </w:r>
            <w:r w:rsidR="0086624D">
              <w:t>Por acuerdos de recompra</w:t>
            </w:r>
            <w:r w:rsidR="00E023C1">
              <w:t xml:space="preserve"> </w:t>
            </w:r>
            <w:r>
              <w:t>se entiende el efectivo recibido a cambio de valores vendidos a un precio determinado bajo un</w:t>
            </w:r>
            <w:r w:rsidR="00E023C1">
              <w:t xml:space="preserve"> </w:t>
            </w:r>
            <w:r>
              <w:lastRenderedPageBreak/>
              <w:t>compromiso firme de recomprar los mismos valores (o similares) a un precio fijo a</w:t>
            </w:r>
            <w:r w:rsidR="00E023C1">
              <w:t xml:space="preserve"> una </w:t>
            </w:r>
            <w:r>
              <w:t xml:space="preserve">fecha futura especificada. </w:t>
            </w:r>
          </w:p>
          <w:p w14:paraId="7FE1BD3D" w14:textId="73E40F6A" w:rsidR="00414040" w:rsidRDefault="003F5754">
            <w:pPr>
              <w:pStyle w:val="P68B1DB1-TableParagraph13"/>
              <w:spacing w:before="108"/>
              <w:jc w:val="both"/>
            </w:pPr>
            <w:r>
              <w:t>Se informarán</w:t>
            </w:r>
            <w:r w:rsidR="0098466F">
              <w:t xml:space="preserve"> </w:t>
            </w:r>
            <w:r w:rsidR="00904E1A">
              <w:t xml:space="preserve">los préstamos de recompra inversa </w:t>
            </w:r>
            <w:r w:rsidR="00B93CFB">
              <w:t>relativos a</w:t>
            </w:r>
            <w:r w:rsidR="0098466F">
              <w:t xml:space="preserve"> </w:t>
            </w:r>
            <w:r w:rsidR="00904E1A">
              <w:t xml:space="preserve">préstamos </w:t>
            </w:r>
            <w:r w:rsidR="00EF2920">
              <w:t>mayoristas</w:t>
            </w:r>
            <w:r w:rsidR="00904E1A">
              <w:t>. Por préstamos de recompra inversa se entiende la financiación concedida a cambio de valores comprados</w:t>
            </w:r>
            <w:r w:rsidR="00E023C1">
              <w:t xml:space="preserve"> </w:t>
            </w:r>
            <w:r w:rsidR="00904E1A">
              <w:t>en pactos de recompra o</w:t>
            </w:r>
            <w:r w:rsidR="00B67525">
              <w:t xml:space="preserve"> tomados en préstamo</w:t>
            </w:r>
            <w:r w:rsidR="00904E1A">
              <w:t xml:space="preserve"> en</w:t>
            </w:r>
            <w:r w:rsidR="00B67525">
              <w:t xml:space="preserve"> acuerdos de</w:t>
            </w:r>
            <w:r w:rsidR="00904E1A">
              <w:t xml:space="preserve"> préstamo de valores.</w:t>
            </w:r>
          </w:p>
          <w:p w14:paraId="7FE1BD40" w14:textId="6A7B399B" w:rsidR="00414040" w:rsidRDefault="00904E1A">
            <w:pPr>
              <w:pStyle w:val="P68B1DB1-TableParagraph13"/>
              <w:spacing w:before="108"/>
              <w:jc w:val="both"/>
            </w:pPr>
            <w:r>
              <w:t>Referencias: Reglamento (</w:t>
            </w:r>
            <w:r w:rsidR="00E023C1">
              <w:t>UE</w:t>
            </w:r>
            <w:r>
              <w:t>) 2015/2365 sobre la transparencia de la</w:t>
            </w:r>
            <w:r w:rsidR="0097016E">
              <w:t>s operaciones de</w:t>
            </w:r>
            <w:r>
              <w:t xml:space="preserve"> financiación de valores</w:t>
            </w:r>
            <w:r w:rsidR="00E023C1">
              <w:t xml:space="preserve"> </w:t>
            </w:r>
            <w:r>
              <w:t>y de reutilización Art. 3 (9); FINREP: Anexo V, parte 2</w:t>
            </w:r>
            <w:r w:rsidR="006A2D7C">
              <w:t xml:space="preserve">, </w:t>
            </w:r>
            <w:r w:rsidR="00E023C1">
              <w:t>capítulo </w:t>
            </w:r>
            <w:r>
              <w:t>5, apartado 85, letra e)</w:t>
            </w:r>
            <w:r w:rsidR="006A2D7C">
              <w:t xml:space="preserve"> </w:t>
            </w:r>
            <w:r>
              <w:t>y capítulo 14, apartado 183; Anexo III de FINREP:</w:t>
            </w:r>
          </w:p>
          <w:p w14:paraId="7FE1BD41" w14:textId="77777777" w:rsidR="00414040" w:rsidRDefault="00904E1A">
            <w:pPr>
              <w:pStyle w:val="P68B1DB1-TableParagraph13"/>
              <w:numPr>
                <w:ilvl w:val="0"/>
                <w:numId w:val="153"/>
              </w:numPr>
              <w:spacing w:before="108"/>
              <w:jc w:val="both"/>
            </w:pPr>
            <w:r>
              <w:t>Pactos de recompra: Cuadro 08.01 columnas 010 + 020 + 030 filas 200 + 250.</w:t>
            </w:r>
          </w:p>
          <w:p w14:paraId="7FE1BD42" w14:textId="77777777" w:rsidR="00414040" w:rsidRDefault="00904E1A">
            <w:pPr>
              <w:pStyle w:val="P68B1DB1-TableParagraph13"/>
              <w:numPr>
                <w:ilvl w:val="0"/>
                <w:numId w:val="153"/>
              </w:numPr>
              <w:spacing w:before="108"/>
              <w:jc w:val="both"/>
            </w:pPr>
            <w:r>
              <w:t>Pactos de recompra inversa: Cuadro 05.00, columnas 030+ 040, fila 050.</w:t>
            </w:r>
          </w:p>
        </w:tc>
      </w:tr>
      <w:tr w:rsidR="00414040" w14:paraId="7FE1BD47" w14:textId="77777777" w:rsidTr="11A44BD7">
        <w:tc>
          <w:tcPr>
            <w:tcW w:w="1080" w:type="dxa"/>
            <w:tcBorders>
              <w:top w:val="single" w:sz="4" w:space="0" w:color="1A171C"/>
              <w:left w:val="nil"/>
              <w:bottom w:val="single" w:sz="4" w:space="0" w:color="1A171C"/>
              <w:right w:val="single" w:sz="4" w:space="0" w:color="1A171C"/>
            </w:tcBorders>
            <w:vAlign w:val="center"/>
          </w:tcPr>
          <w:p w14:paraId="7FE1BD44" w14:textId="1D61499E" w:rsidR="00414040" w:rsidRDefault="00904E1A">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414040" w:rsidRDefault="00904E1A">
            <w:pPr>
              <w:pStyle w:val="P68B1DB1-TableParagraph14"/>
              <w:spacing w:before="108"/>
              <w:jc w:val="both"/>
              <w:rPr>
                <w:bCs/>
              </w:rPr>
            </w:pPr>
            <w:r>
              <w:t>Valor transfronterizo</w:t>
            </w:r>
          </w:p>
          <w:p w14:paraId="7FE1BD46" w14:textId="6E3C79FD" w:rsidR="00414040" w:rsidRDefault="00904E1A">
            <w:pPr>
              <w:pStyle w:val="P68B1DB1-TableParagraph13"/>
              <w:spacing w:before="108"/>
              <w:jc w:val="both"/>
            </w:pPr>
            <w:r>
              <w:t>Añadir los importes en libros brutos de todos los países, excepto para el país de origen o el país</w:t>
            </w:r>
            <w:r w:rsidR="0098466F">
              <w:t xml:space="preserve"> </w:t>
            </w:r>
            <w:r w:rsidR="0060019F">
              <w:t>relevante</w:t>
            </w:r>
            <w:r>
              <w:t>.</w:t>
            </w:r>
          </w:p>
        </w:tc>
      </w:tr>
      <w:tr w:rsidR="00414040" w14:paraId="7FE1BD51" w14:textId="77777777" w:rsidTr="11A44BD7">
        <w:tc>
          <w:tcPr>
            <w:tcW w:w="1080" w:type="dxa"/>
            <w:tcBorders>
              <w:top w:val="single" w:sz="4" w:space="0" w:color="1A171C"/>
              <w:left w:val="nil"/>
              <w:bottom w:val="single" w:sz="4" w:space="0" w:color="1A171C"/>
              <w:right w:val="single" w:sz="4" w:space="0" w:color="1A171C"/>
            </w:tcBorders>
            <w:vAlign w:val="center"/>
          </w:tcPr>
          <w:p w14:paraId="7FE1BD48" w14:textId="77777777" w:rsidR="00414040" w:rsidRDefault="00904E1A">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414040" w:rsidRDefault="00904E1A">
            <w:pPr>
              <w:pStyle w:val="P68B1DB1-Normal42"/>
              <w:rPr>
                <w:bCs/>
              </w:rPr>
            </w:pPr>
            <w:r>
              <w:t>Valor en las entidades de crédito</w:t>
            </w:r>
          </w:p>
          <w:p w14:paraId="7FE1BD4B" w14:textId="2120DD77" w:rsidR="00414040" w:rsidRDefault="00904E1A">
            <w:pPr>
              <w:pStyle w:val="P68B1DB1-TableParagraph13"/>
              <w:spacing w:before="108"/>
              <w:jc w:val="both"/>
            </w:pPr>
            <w:r>
              <w:t>Importe en libros bruto pendiente en las entidades de crédito. Definición del sector según</w:t>
            </w:r>
            <w:r w:rsidR="00C57896">
              <w:t xml:space="preserve"> </w:t>
            </w:r>
            <w:r>
              <w:t xml:space="preserve">FINREP (Anexo V). </w:t>
            </w:r>
          </w:p>
          <w:p w14:paraId="7FE1BD4C" w14:textId="77777777" w:rsidR="00414040" w:rsidRDefault="00904E1A">
            <w:pPr>
              <w:pStyle w:val="P68B1DB1-TableParagraph13"/>
              <w:spacing w:before="108"/>
              <w:jc w:val="both"/>
            </w:pPr>
            <w:r>
              <w:t>Referencias: FINREP: Anexo III:</w:t>
            </w:r>
          </w:p>
          <w:p w14:paraId="7FE1BD4D" w14:textId="2AF4E9EC" w:rsidR="00414040" w:rsidRDefault="000E2062">
            <w:pPr>
              <w:pStyle w:val="P68B1DB1-TableParagraph13"/>
              <w:numPr>
                <w:ilvl w:val="0"/>
                <w:numId w:val="153"/>
              </w:numPr>
              <w:spacing w:before="108"/>
              <w:jc w:val="both"/>
            </w:pPr>
            <w:r>
              <w:t xml:space="preserve">Toma de </w:t>
            </w:r>
            <w:r w:rsidR="0090074D">
              <w:t>financiación</w:t>
            </w:r>
            <w:r w:rsidR="00904E1A">
              <w:t>: Cuadro 20.06, columna 010, fila 100, todos los países.</w:t>
            </w:r>
          </w:p>
          <w:p w14:paraId="7FE1BD4E" w14:textId="77777777" w:rsidR="00414040" w:rsidRDefault="00904E1A">
            <w:pPr>
              <w:pStyle w:val="P68B1DB1-TableParagraph13"/>
              <w:numPr>
                <w:ilvl w:val="0"/>
                <w:numId w:val="153"/>
              </w:numPr>
              <w:spacing w:before="108"/>
              <w:jc w:val="both"/>
            </w:pPr>
            <w:r>
              <w:t>Derivados (activos): Cuadro 20.04, columna 010, fila 020, todos los países.</w:t>
            </w:r>
          </w:p>
          <w:p w14:paraId="7FE1BD4F" w14:textId="0188EE76" w:rsidR="00414040" w:rsidRDefault="000E2062">
            <w:pPr>
              <w:pStyle w:val="P68B1DB1-TableParagraph13"/>
              <w:numPr>
                <w:ilvl w:val="0"/>
                <w:numId w:val="153"/>
              </w:numPr>
              <w:spacing w:before="108"/>
              <w:jc w:val="both"/>
            </w:pPr>
            <w:r>
              <w:t xml:space="preserve">Concesión de </w:t>
            </w:r>
            <w:r w:rsidR="0090074D">
              <w:t>financiación</w:t>
            </w:r>
            <w:r w:rsidR="00904E1A">
              <w:t>: Cuadro 20.04, columna 010, fila 170, todos los países.</w:t>
            </w:r>
          </w:p>
          <w:p w14:paraId="7FE1BD50" w14:textId="7D30E647" w:rsidR="00414040" w:rsidRDefault="000E2062">
            <w:pPr>
              <w:pStyle w:val="P68B1DB1-TableParagraph13"/>
              <w:numPr>
                <w:ilvl w:val="0"/>
                <w:numId w:val="153"/>
              </w:numPr>
              <w:spacing w:before="108"/>
              <w:jc w:val="both"/>
            </w:pPr>
            <w:r>
              <w:t>Derivados (pasivos)</w:t>
            </w:r>
            <w:r w:rsidR="00904E1A">
              <w:t>: Cuadro 20.06, columna 010, fila 020, todos los países.</w:t>
            </w:r>
          </w:p>
        </w:tc>
      </w:tr>
      <w:tr w:rsidR="00414040" w14:paraId="7FE1BD5A" w14:textId="77777777" w:rsidTr="11A44BD7">
        <w:tc>
          <w:tcPr>
            <w:tcW w:w="1080" w:type="dxa"/>
            <w:tcBorders>
              <w:top w:val="single" w:sz="4" w:space="0" w:color="1A171C"/>
              <w:left w:val="nil"/>
              <w:bottom w:val="single" w:sz="4" w:space="0" w:color="1A171C"/>
              <w:right w:val="single" w:sz="4" w:space="0" w:color="1A171C"/>
            </w:tcBorders>
            <w:vAlign w:val="center"/>
          </w:tcPr>
          <w:p w14:paraId="7FE1BD52" w14:textId="77777777" w:rsidR="00414040" w:rsidRDefault="00904E1A">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414040" w:rsidRDefault="00904E1A">
            <w:pPr>
              <w:pStyle w:val="P68B1DB1-Normal42"/>
              <w:rPr>
                <w:bCs/>
              </w:rPr>
            </w:pPr>
            <w:r>
              <w:t>Análisis de impacto y sustituibilidad</w:t>
            </w:r>
          </w:p>
          <w:p w14:paraId="7FE1BD54" w14:textId="77777777" w:rsidR="00414040" w:rsidRDefault="00904E1A">
            <w:pPr>
              <w:pStyle w:val="P68B1DB1-Normal43"/>
            </w:pPr>
            <w:r w:rsidRPr="2133F407">
              <w:rPr>
                <w:lang w:val="es-ES"/>
              </w:rPr>
              <w:t xml:space="preserve">Los criterios de evaluación del impacto en terceros incluirán los siguientes elementos de conformidad con el Reglamento </w:t>
            </w:r>
            <w:proofErr w:type="gramStart"/>
            <w:r w:rsidRPr="2133F407">
              <w:rPr>
                <w:lang w:val="es-ES"/>
              </w:rPr>
              <w:t>Delegado</w:t>
            </w:r>
            <w:proofErr w:type="gramEnd"/>
            <w:r w:rsidRPr="2133F407">
              <w:rPr>
                <w:lang w:val="es-ES"/>
              </w:rPr>
              <w:t xml:space="preserve"> (UE) 2016/778 de la Comisión sobre las funciones esenciales:</w:t>
            </w:r>
          </w:p>
          <w:p w14:paraId="7FE1BD55" w14:textId="57FF2196" w:rsidR="00414040" w:rsidRDefault="00904E1A">
            <w:pPr>
              <w:pStyle w:val="P68B1DB1-ListParagraph38"/>
              <w:numPr>
                <w:ilvl w:val="0"/>
                <w:numId w:val="131"/>
              </w:numPr>
              <w:spacing w:line="276" w:lineRule="auto"/>
            </w:pPr>
            <w:r>
              <w:t xml:space="preserve">la naturaleza y el alcance de la actividad, el alcance mundial, nacional o regional, el volumen y el número de transacciones; el número de clientes y contrapartes; el número de clientes para los que la entidad es el único </w:t>
            </w:r>
            <w:r w:rsidR="0008225E">
              <w:t xml:space="preserve">o principal </w:t>
            </w:r>
            <w:r>
              <w:t>socio bancario.</w:t>
            </w:r>
          </w:p>
          <w:p w14:paraId="7FE1BD56" w14:textId="71B85D2B" w:rsidR="00414040" w:rsidRDefault="00904E1A">
            <w:pPr>
              <w:pStyle w:val="P68B1DB1-ListParagraph38"/>
              <w:numPr>
                <w:ilvl w:val="0"/>
                <w:numId w:val="131"/>
              </w:numPr>
              <w:spacing w:line="276" w:lineRule="auto"/>
            </w:pPr>
            <w:r>
              <w:t xml:space="preserve">la relevancia de la entidad a escala local, regional, nacional o europea, según proceda para el mercado de que se trate. La </w:t>
            </w:r>
            <w:r w:rsidR="0008225E">
              <w:t>relevancia</w:t>
            </w:r>
            <w:r w:rsidR="0098466F">
              <w:t xml:space="preserve"> </w:t>
            </w:r>
            <w:r>
              <w:t>de la entidad podrá evaluarse en función de la cuota de mercado, la interconexión, la complejidad y las actividades transfronterizas.</w:t>
            </w:r>
          </w:p>
          <w:p w14:paraId="7FE1BD57" w14:textId="04ECD466" w:rsidR="00414040" w:rsidRDefault="00904E1A">
            <w:pPr>
              <w:pStyle w:val="P68B1DB1-ListParagraph38"/>
              <w:numPr>
                <w:ilvl w:val="0"/>
                <w:numId w:val="131"/>
              </w:numPr>
              <w:spacing w:line="276" w:lineRule="auto"/>
            </w:pPr>
            <w:r>
              <w:t xml:space="preserve">la naturaleza de los clientes y partes interesadas </w:t>
            </w:r>
            <w:r w:rsidR="0008225E">
              <w:t>afectados</w:t>
            </w:r>
            <w:r w:rsidR="0098466F">
              <w:t xml:space="preserve"> </w:t>
            </w:r>
            <w:r>
              <w:t xml:space="preserve">por la función, </w:t>
            </w:r>
            <w:r w:rsidR="001E195C">
              <w:t>como, entre otros</w:t>
            </w:r>
            <w:r>
              <w:t xml:space="preserve">, clientes minoristas, </w:t>
            </w:r>
            <w:r w:rsidR="0008225E">
              <w:t xml:space="preserve">clientes corporativos o clientes </w:t>
            </w:r>
            <w:r>
              <w:t xml:space="preserve">bancarios, </w:t>
            </w:r>
            <w:r w:rsidR="00EA31AD">
              <w:t>cámaras de compensación</w:t>
            </w:r>
            <w:r>
              <w:t xml:space="preserve"> y entes públicos; </w:t>
            </w:r>
          </w:p>
          <w:p w14:paraId="7FE1BD58" w14:textId="5A84E42B" w:rsidR="00414040" w:rsidRDefault="00904E1A">
            <w:pPr>
              <w:pStyle w:val="P68B1DB1-ListParagraph38"/>
              <w:numPr>
                <w:ilvl w:val="0"/>
                <w:numId w:val="131"/>
              </w:numPr>
              <w:spacing w:line="276" w:lineRule="auto"/>
            </w:pPr>
            <w:r>
              <w:t xml:space="preserve">la posible perturbación de la </w:t>
            </w:r>
            <w:r w:rsidRPr="005B05BB">
              <w:t xml:space="preserve">función </w:t>
            </w:r>
            <w:r w:rsidR="00957C09" w:rsidRPr="005B05BB">
              <w:t>de</w:t>
            </w:r>
            <w:r w:rsidR="001E195C">
              <w:t xml:space="preserve"> </w:t>
            </w:r>
            <w:r>
              <w:t xml:space="preserve">los mercados, las infraestructuras, los clientes y los servicios públicos. En particular, la evaluación podrá incluir el efecto sobre la liquidez de los mercados afectados, el impacto y el alcance de la perturbación de la actividad de los clientes y las necesidades de liquidez a corto plazo; </w:t>
            </w:r>
            <w:r w:rsidR="008F6BFE">
              <w:t>el impacto</w:t>
            </w:r>
            <w:r>
              <w:t xml:space="preserve"> para las contrapartes, los clientes y el público; la capacidad y la </w:t>
            </w:r>
            <w:r w:rsidR="005C3528">
              <w:t xml:space="preserve">rapidez </w:t>
            </w:r>
            <w:r>
              <w:t xml:space="preserve">de reacción de los clientes; la </w:t>
            </w:r>
            <w:r w:rsidR="005C3528">
              <w:t>relevancia</w:t>
            </w:r>
            <w:r w:rsidR="0098466F">
              <w:t xml:space="preserve"> </w:t>
            </w:r>
            <w:r>
              <w:t>para el funcionamiento de otros mercados; el efecto en la liquidez, las operaciones y la estructura de otro mercado; el efecto sobre otras contrapartes relacionad</w:t>
            </w:r>
            <w:r w:rsidR="00957C09">
              <w:t>as</w:t>
            </w:r>
            <w:r>
              <w:t xml:space="preserve"> con los principales clientes y la interrelación de la función con otros servicios.</w:t>
            </w:r>
          </w:p>
          <w:p w14:paraId="7FE1BD59" w14:textId="77777777" w:rsidR="00414040" w:rsidRDefault="00414040">
            <w:pPr>
              <w:rPr>
                <w:rFonts w:ascii="Times New Roman" w:eastAsiaTheme="minorHAnsi" w:hAnsi="Times New Roman" w:cs="Times New Roman"/>
                <w:color w:val="000000" w:themeColor="text1"/>
                <w:sz w:val="20"/>
                <w:szCs w:val="20"/>
              </w:rPr>
            </w:pPr>
          </w:p>
        </w:tc>
      </w:tr>
      <w:tr w:rsidR="00414040" w14:paraId="7FE1BD5E" w14:textId="77777777" w:rsidTr="11A44BD7">
        <w:tc>
          <w:tcPr>
            <w:tcW w:w="1080" w:type="dxa"/>
            <w:tcBorders>
              <w:top w:val="single" w:sz="4" w:space="0" w:color="1A171C"/>
              <w:left w:val="nil"/>
              <w:bottom w:val="single" w:sz="4" w:space="0" w:color="1A171C"/>
              <w:right w:val="single" w:sz="4" w:space="0" w:color="1A171C"/>
            </w:tcBorders>
            <w:vAlign w:val="center"/>
          </w:tcPr>
          <w:p w14:paraId="7FE1BD5B" w14:textId="77777777" w:rsidR="00414040" w:rsidRDefault="00904E1A">
            <w:pPr>
              <w:pStyle w:val="P68B1DB1-TableParagraph17"/>
              <w:spacing w:before="108"/>
              <w:ind w:left="85"/>
              <w:jc w:val="both"/>
            </w:pPr>
            <w:r>
              <w:t>0080-0100</w:t>
            </w:r>
          </w:p>
        </w:tc>
        <w:tc>
          <w:tcPr>
            <w:tcW w:w="8003" w:type="dxa"/>
            <w:tcBorders>
              <w:top w:val="single" w:sz="4" w:space="0" w:color="1A171C"/>
              <w:left w:val="single" w:sz="4" w:space="0" w:color="1A171C"/>
              <w:bottom w:val="single" w:sz="4" w:space="0" w:color="1A171C"/>
              <w:right w:val="nil"/>
            </w:tcBorders>
            <w:vAlign w:val="center"/>
          </w:tcPr>
          <w:p w14:paraId="7FE1BD5C" w14:textId="37323125" w:rsidR="00414040" w:rsidRDefault="00904E1A">
            <w:pPr>
              <w:pStyle w:val="P68B1DB1-Normal42"/>
              <w:rPr>
                <w:bCs/>
              </w:rPr>
            </w:pPr>
            <w:r>
              <w:t xml:space="preserve">Naturaleza y </w:t>
            </w:r>
            <w:r w:rsidR="005C3528">
              <w:t>alcance</w:t>
            </w:r>
          </w:p>
          <w:p w14:paraId="7FE1BD5D" w14:textId="1B942505" w:rsidR="00414040" w:rsidRDefault="00904E1A">
            <w:pPr>
              <w:pStyle w:val="P68B1DB1-Normal43"/>
            </w:pPr>
            <w:r>
              <w:lastRenderedPageBreak/>
              <w:t>El alcance mundial, nacional o regional, el volumen y el número de transacciones; el número de clientes y contrapartes; el número de clientes para los que la entidad es el único</w:t>
            </w:r>
            <w:r w:rsidR="005C3528">
              <w:t xml:space="preserve"> o principal</w:t>
            </w:r>
            <w:r>
              <w:t xml:space="preserve"> socio bancario.</w:t>
            </w:r>
          </w:p>
        </w:tc>
      </w:tr>
      <w:tr w:rsidR="00414040" w14:paraId="7FE1BD65" w14:textId="77777777" w:rsidTr="11A44BD7">
        <w:tc>
          <w:tcPr>
            <w:tcW w:w="1080" w:type="dxa"/>
            <w:tcBorders>
              <w:top w:val="single" w:sz="4" w:space="0" w:color="1A171C"/>
              <w:left w:val="nil"/>
              <w:bottom w:val="single" w:sz="4" w:space="0" w:color="1A171C"/>
              <w:right w:val="single" w:sz="4" w:space="0" w:color="1A171C"/>
            </w:tcBorders>
            <w:vAlign w:val="center"/>
          </w:tcPr>
          <w:p w14:paraId="7FE1BD5F" w14:textId="77777777" w:rsidR="00414040" w:rsidRDefault="00904E1A">
            <w:pPr>
              <w:pStyle w:val="P68B1DB1-TableParagraph17"/>
              <w:spacing w:before="108"/>
              <w:ind w:left="85"/>
              <w:jc w:val="both"/>
            </w:pPr>
            <w:r>
              <w:lastRenderedPageBreak/>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414040" w:rsidRDefault="00904E1A">
            <w:pPr>
              <w:pStyle w:val="P68B1DB1-Normal42"/>
              <w:rPr>
                <w:bCs/>
              </w:rPr>
            </w:pPr>
            <w:r>
              <w:t>Indicador de tamaño 1</w:t>
            </w:r>
          </w:p>
          <w:p w14:paraId="611DAB08" w14:textId="578C50FB" w:rsidR="00414040" w:rsidRDefault="00904E1A">
            <w:pPr>
              <w:pStyle w:val="P68B1DB1-Normal31"/>
              <w:spacing w:line="276" w:lineRule="auto"/>
              <w:jc w:val="both"/>
            </w:pPr>
            <w:r>
              <w:t xml:space="preserve">Evaluar la importancia del banco en estas actividades. Esta evaluación se expresa cualitativamente como </w:t>
            </w:r>
            <w:r w:rsidR="009510ED" w:rsidRPr="77CB6E75">
              <w:rPr>
                <w:lang w:val="es-ES"/>
              </w:rPr>
              <w:t>«</w:t>
            </w:r>
            <w:r w:rsidR="00735179">
              <w:rPr>
                <w:lang w:val="es-ES"/>
              </w:rPr>
              <w:t>a</w:t>
            </w:r>
            <w:r w:rsidR="009510ED" w:rsidRPr="77CB6E75">
              <w:rPr>
                <w:lang w:val="es-ES"/>
              </w:rPr>
              <w:t>lto», «</w:t>
            </w:r>
            <w:r w:rsidR="00735179">
              <w:rPr>
                <w:lang w:val="es-ES"/>
              </w:rPr>
              <w:t>m</w:t>
            </w:r>
            <w:r w:rsidR="009510ED" w:rsidRPr="77CB6E75">
              <w:rPr>
                <w:lang w:val="es-ES"/>
              </w:rPr>
              <w:t>edio-alto», «</w:t>
            </w:r>
            <w:r w:rsidR="00735179">
              <w:rPr>
                <w:lang w:val="es-ES"/>
              </w:rPr>
              <w:t>m</w:t>
            </w:r>
            <w:r w:rsidR="009510ED" w:rsidRPr="77CB6E75">
              <w:rPr>
                <w:lang w:val="es-ES"/>
              </w:rPr>
              <w:t>edio-bajo» o «</w:t>
            </w:r>
            <w:r w:rsidR="00735179">
              <w:rPr>
                <w:lang w:val="es-ES"/>
              </w:rPr>
              <w:t>b</w:t>
            </w:r>
            <w:r w:rsidR="009510ED" w:rsidRPr="77CB6E75">
              <w:rPr>
                <w:lang w:val="es-ES"/>
              </w:rPr>
              <w:t>ajo»</w:t>
            </w:r>
            <w:r>
              <w:t>. Indíquese «</w:t>
            </w:r>
            <w:r w:rsidR="00735179">
              <w:t>alto</w:t>
            </w:r>
            <w:r>
              <w:t>» si el tamaño de la función es grande, «</w:t>
            </w:r>
            <w:r w:rsidR="00735179">
              <w:t>medio</w:t>
            </w:r>
            <w:r>
              <w:t>-alto» si es medio, «</w:t>
            </w:r>
            <w:r w:rsidR="00735179">
              <w:t>medio</w:t>
            </w:r>
            <w:r>
              <w:t>-bajo» si es pequeño y «</w:t>
            </w:r>
            <w:r w:rsidR="00735179">
              <w:t>bajo</w:t>
            </w:r>
            <w:r>
              <w:t xml:space="preserve">» si es insignificante. Utilizar variables macroeconómicas como el PIB, la población (para depósitos, </w:t>
            </w:r>
            <w:r w:rsidR="00C473C2">
              <w:t>concesión de financiación</w:t>
            </w:r>
            <w:r>
              <w:t>,</w:t>
            </w:r>
            <w:r w:rsidR="00D119E1">
              <w:t xml:space="preserve"> servicios de</w:t>
            </w:r>
            <w:r>
              <w:t xml:space="preserve"> pago, </w:t>
            </w:r>
            <w:r w:rsidR="00D119E1">
              <w:t>caja</w:t>
            </w:r>
            <w:r>
              <w:t>, liquidación, compensación y custodia) o el tamaño del mercado (para los mercados de capitales y la financiación mayor</w:t>
            </w:r>
            <w:r w:rsidR="00D119E1">
              <w:t>ista</w:t>
            </w:r>
            <w:r>
              <w:t xml:space="preserve">) como referencia para esta evaluación cualitativa. </w:t>
            </w:r>
          </w:p>
          <w:p w14:paraId="7FE1BD61" w14:textId="0497CCAC" w:rsidR="00414040" w:rsidRDefault="00904E1A">
            <w:pPr>
              <w:pStyle w:val="P68B1DB1-Normal43"/>
            </w:pPr>
            <w:r>
              <w:t xml:space="preserve"> </w:t>
            </w:r>
          </w:p>
          <w:p w14:paraId="7FE1BD62" w14:textId="24132FDA" w:rsidR="00414040" w:rsidRDefault="001F6B96">
            <w:pPr>
              <w:pStyle w:val="P68B1DB1-ListParagraph32"/>
              <w:numPr>
                <w:ilvl w:val="0"/>
                <w:numId w:val="125"/>
              </w:numPr>
              <w:spacing w:line="276" w:lineRule="auto"/>
            </w:pPr>
            <w:r>
              <w:t>Juicio experto</w:t>
            </w:r>
            <w:r w:rsidR="00904E1A">
              <w:t xml:space="preserve"> sobre </w:t>
            </w:r>
            <w:r w:rsidR="00D119E1">
              <w:t xml:space="preserve">la </w:t>
            </w:r>
            <w:r w:rsidR="00671171">
              <w:t>dimensión</w:t>
            </w:r>
            <w:r w:rsidR="00D119E1">
              <w:t xml:space="preserve"> </w:t>
            </w:r>
            <w:r w:rsidR="00904E1A">
              <w:t xml:space="preserve">del </w:t>
            </w:r>
            <w:r w:rsidR="00904E1A">
              <w:rPr>
                <w:b/>
              </w:rPr>
              <w:t>valor</w:t>
            </w:r>
            <w:r w:rsidR="00904E1A">
              <w:t xml:space="preserve"> del importe bruto en libros </w:t>
            </w:r>
            <w:r w:rsidR="007A2292">
              <w:t>del ente</w:t>
            </w:r>
            <w:r w:rsidR="00904E1A">
              <w:t xml:space="preserve"> declarante (c0030) desde una perspectiva </w:t>
            </w:r>
            <w:r w:rsidR="00904E1A">
              <w:rPr>
                <w:b/>
              </w:rPr>
              <w:t>global</w:t>
            </w:r>
            <w:r w:rsidR="00904E1A">
              <w:t xml:space="preserve"> [</w:t>
            </w:r>
            <w:r w:rsidR="00904E1A">
              <w:rPr>
                <w:i/>
              </w:rPr>
              <w:t xml:space="preserve">un nivel superior al del mercado </w:t>
            </w:r>
            <w:r w:rsidR="00D4240B">
              <w:rPr>
                <w:i/>
              </w:rPr>
              <w:t>relevante</w:t>
            </w:r>
            <w:r w:rsidR="00904E1A">
              <w:rPr>
                <w:i/>
              </w:rPr>
              <w:t xml:space="preserve">. Si el mercado </w:t>
            </w:r>
            <w:r w:rsidR="00D4240B">
              <w:rPr>
                <w:i/>
              </w:rPr>
              <w:t>relevante</w:t>
            </w:r>
            <w:r w:rsidR="00904E1A">
              <w:rPr>
                <w:i/>
              </w:rPr>
              <w:t xml:space="preserve"> es global, el tamaño 1 es redundante y, por tanto, no es necesario </w:t>
            </w:r>
            <w:r w:rsidR="00D4240B">
              <w:rPr>
                <w:i/>
              </w:rPr>
              <w:t>informarlo</w:t>
            </w:r>
            <w:r w:rsidR="00904E1A">
              <w:rPr>
                <w:i/>
              </w:rPr>
              <w:t>]</w:t>
            </w:r>
            <w:r w:rsidR="00904E1A">
              <w:t>:</w:t>
            </w:r>
          </w:p>
          <w:p w14:paraId="7FE1BD63" w14:textId="4CB35109" w:rsidR="00414040" w:rsidRDefault="00904E1A">
            <w:pPr>
              <w:pStyle w:val="P68B1DB1-ListParagraph32"/>
              <w:numPr>
                <w:ilvl w:val="1"/>
                <w:numId w:val="125"/>
              </w:numPr>
              <w:spacing w:line="276" w:lineRule="auto"/>
            </w:pPr>
            <w:r>
              <w:t>Desde una perspectiva global, ¿cuál considera que es</w:t>
            </w:r>
            <w:r w:rsidR="00F811CF">
              <w:t xml:space="preserve"> la magnitud</w:t>
            </w:r>
            <w:r>
              <w:t xml:space="preserve"> del</w:t>
            </w:r>
            <w:r w:rsidR="00F7396B">
              <w:t xml:space="preserve"> </w:t>
            </w:r>
            <w:r>
              <w:t xml:space="preserve">importe en libros bruto </w:t>
            </w:r>
            <w:r w:rsidR="007A2292">
              <w:t>del ente</w:t>
            </w:r>
            <w:r>
              <w:t xml:space="preserve"> declarante?</w:t>
            </w:r>
          </w:p>
          <w:p w14:paraId="7FE1BD64" w14:textId="77777777" w:rsidR="00414040" w:rsidRDefault="00414040">
            <w:pPr>
              <w:rPr>
                <w:rFonts w:ascii="Times New Roman" w:eastAsiaTheme="minorHAnsi" w:hAnsi="Times New Roman" w:cs="Times New Roman"/>
                <w:color w:val="000000" w:themeColor="text1"/>
                <w:sz w:val="20"/>
                <w:szCs w:val="20"/>
              </w:rPr>
            </w:pPr>
          </w:p>
        </w:tc>
      </w:tr>
      <w:tr w:rsidR="00414040" w14:paraId="7FE1BD6C" w14:textId="77777777" w:rsidTr="11A44BD7">
        <w:tc>
          <w:tcPr>
            <w:tcW w:w="1080" w:type="dxa"/>
            <w:tcBorders>
              <w:top w:val="single" w:sz="4" w:space="0" w:color="1A171C"/>
              <w:left w:val="nil"/>
              <w:bottom w:val="single" w:sz="4" w:space="0" w:color="1A171C"/>
              <w:right w:val="single" w:sz="4" w:space="0" w:color="1A171C"/>
            </w:tcBorders>
            <w:vAlign w:val="center"/>
          </w:tcPr>
          <w:p w14:paraId="7FE1BD66" w14:textId="77777777" w:rsidR="00414040" w:rsidRDefault="00904E1A">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414040" w:rsidRDefault="00904E1A">
            <w:pPr>
              <w:pStyle w:val="P68B1DB1-Normal42"/>
              <w:rPr>
                <w:bCs/>
              </w:rPr>
            </w:pPr>
            <w:r>
              <w:t>Indicador de tamaño 2</w:t>
            </w:r>
          </w:p>
          <w:p w14:paraId="75C87AE7" w14:textId="3AE9F819" w:rsidR="00414040" w:rsidRDefault="00904E1A">
            <w:pPr>
              <w:pStyle w:val="P68B1DB1-Normal31"/>
              <w:spacing w:line="276" w:lineRule="auto"/>
              <w:jc w:val="both"/>
            </w:pPr>
            <w:r>
              <w:t xml:space="preserve">Evaluar la importancia del banco en estas actividades. Esta evaluación se expresa cualitativamente como </w:t>
            </w:r>
            <w:r w:rsidR="009510ED" w:rsidRPr="77CB6E75">
              <w:rPr>
                <w:lang w:val="es-ES"/>
              </w:rPr>
              <w:t>«</w:t>
            </w:r>
            <w:r w:rsidR="00735179">
              <w:rPr>
                <w:lang w:val="es-ES"/>
              </w:rPr>
              <w:t>a</w:t>
            </w:r>
            <w:r w:rsidR="009510ED" w:rsidRPr="77CB6E75">
              <w:rPr>
                <w:lang w:val="es-ES"/>
              </w:rPr>
              <w:t>lto», «</w:t>
            </w:r>
            <w:r w:rsidR="00735179">
              <w:rPr>
                <w:lang w:val="es-ES"/>
              </w:rPr>
              <w:t>m</w:t>
            </w:r>
            <w:r w:rsidR="009510ED" w:rsidRPr="77CB6E75">
              <w:rPr>
                <w:lang w:val="es-ES"/>
              </w:rPr>
              <w:t>edio-alto», «</w:t>
            </w:r>
            <w:r w:rsidR="00735179">
              <w:rPr>
                <w:lang w:val="es-ES"/>
              </w:rPr>
              <w:t>m</w:t>
            </w:r>
            <w:r w:rsidR="009510ED" w:rsidRPr="77CB6E75">
              <w:rPr>
                <w:lang w:val="es-ES"/>
              </w:rPr>
              <w:t>edio-bajo» o «</w:t>
            </w:r>
            <w:r w:rsidR="00735179">
              <w:rPr>
                <w:lang w:val="es-ES"/>
              </w:rPr>
              <w:t>b</w:t>
            </w:r>
            <w:r w:rsidR="009510ED" w:rsidRPr="77CB6E75">
              <w:rPr>
                <w:lang w:val="es-ES"/>
              </w:rPr>
              <w:t>ajo»</w:t>
            </w:r>
            <w:r>
              <w:t>. Indíquese «</w:t>
            </w:r>
            <w:r w:rsidR="00735179">
              <w:t>alto</w:t>
            </w:r>
            <w:r>
              <w:t>» si el tamaño de la función es grande, «</w:t>
            </w:r>
            <w:r w:rsidR="00735179">
              <w:t>medio</w:t>
            </w:r>
            <w:r>
              <w:t>-alto» si es medio, «</w:t>
            </w:r>
            <w:r w:rsidR="00735179">
              <w:t>medio</w:t>
            </w:r>
            <w:r>
              <w:t>-bajo» si es pequeño y «</w:t>
            </w:r>
            <w:r w:rsidR="00735179">
              <w:t>bajo</w:t>
            </w:r>
            <w:r>
              <w:t xml:space="preserve">» si es insignificante. Utilizar variables macroeconómicas como el PIB, la población (para depósitos, </w:t>
            </w:r>
            <w:r w:rsidR="008E4F70">
              <w:t>concesión de financiación</w:t>
            </w:r>
            <w:r>
              <w:t xml:space="preserve">, </w:t>
            </w:r>
            <w:r w:rsidR="00EC71B1">
              <w:t xml:space="preserve">servicios de </w:t>
            </w:r>
            <w:r>
              <w:t xml:space="preserve">pago, </w:t>
            </w:r>
            <w:r w:rsidR="00EC71B1">
              <w:t>caja</w:t>
            </w:r>
            <w:r>
              <w:t>, liquidación, compensación y custodia) o el tamaño del mercado (para los mercados de capitales y la financiación mayor</w:t>
            </w:r>
            <w:r w:rsidR="00EC71B1">
              <w:t>ista</w:t>
            </w:r>
            <w:r>
              <w:t>) como referencia para esta evaluación cualitativa.</w:t>
            </w:r>
          </w:p>
          <w:p w14:paraId="7FE1BD68" w14:textId="10683EF9" w:rsidR="00414040" w:rsidRDefault="00904E1A">
            <w:pPr>
              <w:pStyle w:val="P68B1DB1-Normal43"/>
            </w:pPr>
            <w:r>
              <w:t xml:space="preserve"> </w:t>
            </w:r>
          </w:p>
          <w:p w14:paraId="7FE1BD69" w14:textId="4DDF8E26" w:rsidR="00414040" w:rsidRDefault="00EC71B1">
            <w:pPr>
              <w:pStyle w:val="P68B1DB1-ListParagraph32"/>
              <w:numPr>
                <w:ilvl w:val="0"/>
                <w:numId w:val="119"/>
              </w:numPr>
              <w:spacing w:line="276" w:lineRule="auto"/>
            </w:pPr>
            <w:r>
              <w:t>Juicio experto</w:t>
            </w:r>
            <w:r w:rsidR="00904E1A">
              <w:t xml:space="preserve"> sobre </w:t>
            </w:r>
            <w:r w:rsidR="00D14A04">
              <w:t xml:space="preserve">la </w:t>
            </w:r>
            <w:r w:rsidR="00F7396B">
              <w:t>dimensión</w:t>
            </w:r>
            <w:r w:rsidR="00904E1A">
              <w:t xml:space="preserve"> del </w:t>
            </w:r>
            <w:r w:rsidR="00904E1A">
              <w:rPr>
                <w:b/>
              </w:rPr>
              <w:t>número</w:t>
            </w:r>
            <w:r w:rsidR="00904E1A">
              <w:t xml:space="preserve"> de contrapartes</w:t>
            </w:r>
            <w:r w:rsidR="00B822B0">
              <w:t xml:space="preserve"> u operaciones</w:t>
            </w:r>
            <w:r w:rsidR="00904E1A">
              <w:t xml:space="preserve"> (c0040) desde la perspectiva </w:t>
            </w:r>
            <w:r w:rsidR="00904E1A">
              <w:rPr>
                <w:b/>
              </w:rPr>
              <w:t>nacional</w:t>
            </w:r>
            <w:r w:rsidR="00904E1A">
              <w:t xml:space="preserve"> [</w:t>
            </w:r>
            <w:r w:rsidR="00904E1A">
              <w:rPr>
                <w:i/>
              </w:rPr>
              <w:t xml:space="preserve">a nivel del mercado </w:t>
            </w:r>
            <w:r w:rsidR="00D14A04">
              <w:rPr>
                <w:i/>
              </w:rPr>
              <w:t>relevante</w:t>
            </w:r>
            <w:r w:rsidR="00904E1A">
              <w:t>]:</w:t>
            </w:r>
          </w:p>
          <w:p w14:paraId="7FE1BD6A" w14:textId="54CD2AAF" w:rsidR="00414040" w:rsidRDefault="00904E1A">
            <w:pPr>
              <w:pStyle w:val="P68B1DB1-ListParagraph32"/>
              <w:numPr>
                <w:ilvl w:val="1"/>
                <w:numId w:val="119"/>
              </w:numPr>
              <w:spacing w:line="276" w:lineRule="auto"/>
            </w:pPr>
            <w:r w:rsidRPr="66D881EF">
              <w:rPr>
                <w:lang w:val="es-ES"/>
              </w:rPr>
              <w:t xml:space="preserve">Desde una perspectiva nacional, ¿cuál es </w:t>
            </w:r>
            <w:r w:rsidR="00F7396B">
              <w:rPr>
                <w:lang w:val="es-ES"/>
              </w:rPr>
              <w:t xml:space="preserve">la </w:t>
            </w:r>
            <w:r w:rsidR="000C3AEE">
              <w:rPr>
                <w:lang w:val="es-ES"/>
              </w:rPr>
              <w:t>magnitud</w:t>
            </w:r>
            <w:r w:rsidR="00F7396B">
              <w:rPr>
                <w:lang w:val="es-ES"/>
              </w:rPr>
              <w:t xml:space="preserve"> d</w:t>
            </w:r>
            <w:r w:rsidRPr="66D881EF">
              <w:rPr>
                <w:lang w:val="es-ES"/>
              </w:rPr>
              <w:t>el número estimado de contrapartes de su entidad?</w:t>
            </w:r>
          </w:p>
          <w:p w14:paraId="7FE1BD6B" w14:textId="77777777" w:rsidR="00414040" w:rsidRDefault="00414040">
            <w:pPr>
              <w:rPr>
                <w:rFonts w:ascii="Times New Roman" w:eastAsiaTheme="minorHAnsi" w:hAnsi="Times New Roman" w:cs="Times New Roman"/>
                <w:color w:val="000000" w:themeColor="text1"/>
                <w:sz w:val="20"/>
                <w:szCs w:val="20"/>
              </w:rPr>
            </w:pPr>
          </w:p>
        </w:tc>
      </w:tr>
      <w:tr w:rsidR="00414040" w14:paraId="7FE1BD73" w14:textId="77777777" w:rsidTr="11A44BD7">
        <w:tc>
          <w:tcPr>
            <w:tcW w:w="1080" w:type="dxa"/>
            <w:tcBorders>
              <w:top w:val="single" w:sz="4" w:space="0" w:color="1A171C"/>
              <w:left w:val="nil"/>
              <w:bottom w:val="single" w:sz="4" w:space="0" w:color="1A171C"/>
              <w:right w:val="single" w:sz="4" w:space="0" w:color="1A171C"/>
            </w:tcBorders>
            <w:vAlign w:val="center"/>
          </w:tcPr>
          <w:p w14:paraId="7FE1BD6D" w14:textId="77777777" w:rsidR="00414040" w:rsidRDefault="00904E1A">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414040" w:rsidRDefault="00904E1A">
            <w:pPr>
              <w:pStyle w:val="P68B1DB1-Normal42"/>
              <w:rPr>
                <w:bCs/>
              </w:rPr>
            </w:pPr>
            <w:r>
              <w:t>Indicador transfronterizo</w:t>
            </w:r>
          </w:p>
          <w:p w14:paraId="7FE1BD6F" w14:textId="77777777" w:rsidR="00414040" w:rsidRDefault="00904E1A">
            <w:pPr>
              <w:pStyle w:val="P68B1DB1-Normal43"/>
            </w:pPr>
            <w:r>
              <w:t>Evaluar la importancia relativa de las actividades transfronterizas para las diferentes funciones económicas.</w:t>
            </w:r>
          </w:p>
          <w:p w14:paraId="7FE1BD70" w14:textId="52599A33" w:rsidR="00414040" w:rsidRDefault="00904E1A">
            <w:pPr>
              <w:pStyle w:val="P68B1DB1-Normal43"/>
            </w:pPr>
            <w:r w:rsidRPr="2133F407">
              <w:rPr>
                <w:lang w:val="es-ES"/>
              </w:rPr>
              <w:t xml:space="preserve">No es necesario llevar a cabo esta evaluación </w:t>
            </w:r>
            <w:r w:rsidR="000D5510">
              <w:rPr>
                <w:lang w:val="es-ES"/>
              </w:rPr>
              <w:t>cuando</w:t>
            </w:r>
            <w:r w:rsidR="000C3AEE">
              <w:rPr>
                <w:lang w:val="es-ES"/>
              </w:rPr>
              <w:t xml:space="preserve"> </w:t>
            </w:r>
            <w:r w:rsidRPr="2133F407">
              <w:rPr>
                <w:lang w:val="es-ES"/>
              </w:rPr>
              <w:t xml:space="preserve">se considere que el mercado </w:t>
            </w:r>
            <w:r w:rsidR="000D5510">
              <w:rPr>
                <w:lang w:val="es-ES"/>
              </w:rPr>
              <w:t>relevante</w:t>
            </w:r>
            <w:r w:rsidR="000C3AEE">
              <w:rPr>
                <w:lang w:val="es-ES"/>
              </w:rPr>
              <w:t xml:space="preserve"> </w:t>
            </w:r>
            <w:r w:rsidRPr="2133F407">
              <w:rPr>
                <w:lang w:val="es-ES"/>
              </w:rPr>
              <w:t xml:space="preserve">es regional. </w:t>
            </w:r>
          </w:p>
          <w:p w14:paraId="482F1D03" w14:textId="3293BF39" w:rsidR="00414040" w:rsidRDefault="00904E1A">
            <w:pPr>
              <w:pStyle w:val="P68B1DB1-ListParagraph32"/>
              <w:numPr>
                <w:ilvl w:val="0"/>
                <w:numId w:val="118"/>
              </w:numPr>
              <w:rPr>
                <w:i/>
                <w:iCs/>
              </w:rPr>
            </w:pPr>
            <w:r>
              <w:t xml:space="preserve">Porcentaje de la actividad </w:t>
            </w:r>
            <w:r w:rsidR="00D64DD2">
              <w:t xml:space="preserve">transfronteriza </w:t>
            </w:r>
            <w:r w:rsidR="007A2292">
              <w:t>del ente</w:t>
            </w:r>
            <w:r>
              <w:t xml:space="preserve"> </w:t>
            </w:r>
            <w:r w:rsidR="000D5510">
              <w:t>declarante</w:t>
            </w:r>
            <w:r>
              <w:t xml:space="preserve"> como porcentaje del valor total, expresado en importe en libros bruto. Informe:</w:t>
            </w:r>
          </w:p>
          <w:p w14:paraId="7E6697A4" w14:textId="67F44C5A" w:rsidR="00414040" w:rsidRDefault="00904E1A">
            <w:pPr>
              <w:pStyle w:val="P68B1DB1-ListParagraph32"/>
              <w:numPr>
                <w:ilvl w:val="1"/>
                <w:numId w:val="118"/>
              </w:numPr>
              <w:rPr>
                <w:i/>
                <w:iCs/>
              </w:rPr>
            </w:pPr>
            <w:r>
              <w:t xml:space="preserve"> </w:t>
            </w:r>
            <w:r w:rsidR="00861E23">
              <w:t>&lt;</w:t>
            </w:r>
            <w:r>
              <w:t xml:space="preserve">5 %; </w:t>
            </w:r>
          </w:p>
          <w:p w14:paraId="30B91FAF" w14:textId="5CD6C33D" w:rsidR="00414040" w:rsidRDefault="00904E1A">
            <w:pPr>
              <w:pStyle w:val="P68B1DB1-ListParagraph32"/>
              <w:numPr>
                <w:ilvl w:val="1"/>
                <w:numId w:val="118"/>
              </w:numPr>
              <w:rPr>
                <w:i/>
                <w:iCs/>
              </w:rPr>
            </w:pPr>
            <w:r>
              <w:t xml:space="preserve">5-15 % </w:t>
            </w:r>
          </w:p>
          <w:p w14:paraId="50353685" w14:textId="2995AD20" w:rsidR="00414040" w:rsidRDefault="00904E1A">
            <w:pPr>
              <w:pStyle w:val="P68B1DB1-ListParagraph32"/>
              <w:numPr>
                <w:ilvl w:val="1"/>
                <w:numId w:val="118"/>
              </w:numPr>
              <w:rPr>
                <w:i/>
                <w:iCs/>
              </w:rPr>
            </w:pPr>
            <w:r>
              <w:t xml:space="preserve">15-25 %, </w:t>
            </w:r>
          </w:p>
          <w:p w14:paraId="7FE1BD71" w14:textId="6E1F5AA5" w:rsidR="00414040" w:rsidRDefault="00904E1A">
            <w:pPr>
              <w:pStyle w:val="P68B1DB1-ListParagraph32"/>
              <w:numPr>
                <w:ilvl w:val="1"/>
                <w:numId w:val="118"/>
              </w:numPr>
              <w:rPr>
                <w:i/>
                <w:iCs/>
              </w:rPr>
            </w:pPr>
            <w:r>
              <w:t>&gt; 25 %.</w:t>
            </w:r>
          </w:p>
          <w:p w14:paraId="7FE1BD72" w14:textId="77777777" w:rsidR="00414040" w:rsidRDefault="00414040">
            <w:pPr>
              <w:rPr>
                <w:rFonts w:ascii="Times New Roman" w:eastAsiaTheme="minorHAnsi" w:hAnsi="Times New Roman" w:cs="Times New Roman"/>
                <w:color w:val="000000" w:themeColor="text1"/>
                <w:sz w:val="20"/>
                <w:szCs w:val="20"/>
              </w:rPr>
            </w:pPr>
          </w:p>
        </w:tc>
      </w:tr>
      <w:tr w:rsidR="00414040" w14:paraId="7FE1BD82" w14:textId="77777777" w:rsidTr="11A44BD7">
        <w:tc>
          <w:tcPr>
            <w:tcW w:w="1080" w:type="dxa"/>
            <w:tcBorders>
              <w:top w:val="single" w:sz="4" w:space="0" w:color="1A171C"/>
              <w:left w:val="nil"/>
              <w:bottom w:val="single" w:sz="4" w:space="0" w:color="1A171C"/>
              <w:right w:val="single" w:sz="4" w:space="0" w:color="1A171C"/>
            </w:tcBorders>
            <w:vAlign w:val="center"/>
          </w:tcPr>
          <w:p w14:paraId="7FE1BD74" w14:textId="77777777" w:rsidR="00414040" w:rsidRDefault="00904E1A">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2221FD67" w:rsidR="00414040" w:rsidRDefault="00230D3C">
            <w:pPr>
              <w:pStyle w:val="P68B1DB1-Normal42"/>
              <w:rPr>
                <w:bCs/>
              </w:rPr>
            </w:pPr>
            <w:r>
              <w:t>Relevancia</w:t>
            </w:r>
            <w:r w:rsidR="00904E1A">
              <w:t xml:space="preserve">— </w:t>
            </w:r>
          </w:p>
          <w:p w14:paraId="7FE1BD76" w14:textId="0D0310B1" w:rsidR="00414040" w:rsidRDefault="00904E1A">
            <w:pPr>
              <w:pStyle w:val="P68B1DB1-Normal43"/>
            </w:pPr>
            <w:r>
              <w:t xml:space="preserve">A escala local, regional, nacional o europea, según proceda para el mercado de que se trate. La </w:t>
            </w:r>
            <w:r w:rsidR="0094308C">
              <w:t xml:space="preserve">relevancia </w:t>
            </w:r>
            <w:r>
              <w:t>de la entidad podrá evaluarse en función de la cuota de mercado, la interconexión, la complejidad y las actividades transfronterizas.</w:t>
            </w:r>
          </w:p>
          <w:p w14:paraId="7FE1BD77" w14:textId="77777777" w:rsidR="00414040" w:rsidRDefault="00904E1A">
            <w:pPr>
              <w:pStyle w:val="P68B1DB1-Normal42"/>
              <w:rPr>
                <w:bCs/>
              </w:rPr>
            </w:pPr>
            <w:r>
              <w:t>Cuota de mercado</w:t>
            </w:r>
          </w:p>
          <w:p w14:paraId="7FE1BD78" w14:textId="37766DAE" w:rsidR="00414040" w:rsidRDefault="00904E1A">
            <w:pPr>
              <w:pStyle w:val="P68B1DB1-Normal43"/>
            </w:pPr>
            <w:r>
              <w:t xml:space="preserve">Evaluar la importancia de la cuota de mercado </w:t>
            </w:r>
            <w:r w:rsidR="007A2292">
              <w:t>del ente</w:t>
            </w:r>
            <w:r>
              <w:t xml:space="preserve"> declarante, en comparación con el mercado nacional u otro mercado </w:t>
            </w:r>
            <w:r w:rsidR="00B96216">
              <w:t>relevante</w:t>
            </w:r>
            <w:r>
              <w:t xml:space="preserve">, tal como se indica en la plantilla. Esta evaluación se expresa cualitativamente como: </w:t>
            </w:r>
          </w:p>
          <w:p w14:paraId="7FE1BD79" w14:textId="08EFFF46" w:rsidR="00414040" w:rsidRDefault="00382520">
            <w:pPr>
              <w:pStyle w:val="P68B1DB1-ListParagraph38"/>
              <w:numPr>
                <w:ilvl w:val="0"/>
                <w:numId w:val="276"/>
              </w:numPr>
              <w:spacing w:line="276" w:lineRule="auto"/>
              <w:jc w:val="both"/>
            </w:pPr>
            <w:r>
              <w:lastRenderedPageBreak/>
              <w:t>Alta</w:t>
            </w:r>
            <w:r w:rsidR="00904E1A">
              <w:t xml:space="preserve">, si la cuota de mercado es </w:t>
            </w:r>
            <w:r>
              <w:t>alta</w:t>
            </w:r>
          </w:p>
          <w:p w14:paraId="7FE1BD7A" w14:textId="59F24B7E" w:rsidR="00414040" w:rsidRDefault="00904E1A">
            <w:pPr>
              <w:pStyle w:val="P68B1DB1-ListParagraph38"/>
              <w:numPr>
                <w:ilvl w:val="0"/>
                <w:numId w:val="276"/>
              </w:numPr>
              <w:spacing w:line="276" w:lineRule="auto"/>
              <w:jc w:val="both"/>
            </w:pPr>
            <w:r>
              <w:t>Medi</w:t>
            </w:r>
            <w:r w:rsidR="00382520">
              <w:t>a</w:t>
            </w:r>
            <w:r>
              <w:t>-alt</w:t>
            </w:r>
            <w:r w:rsidR="00382520">
              <w:t>a</w:t>
            </w:r>
            <w:r>
              <w:t>, si la cuota de mercado es media</w:t>
            </w:r>
          </w:p>
          <w:p w14:paraId="7FE1BD7B" w14:textId="287BA3D0" w:rsidR="00414040" w:rsidRDefault="00904E1A">
            <w:pPr>
              <w:pStyle w:val="P68B1DB1-ListParagraph38"/>
              <w:numPr>
                <w:ilvl w:val="0"/>
                <w:numId w:val="276"/>
              </w:numPr>
              <w:spacing w:line="276" w:lineRule="auto"/>
              <w:jc w:val="both"/>
            </w:pPr>
            <w:r>
              <w:t>Medi</w:t>
            </w:r>
            <w:r w:rsidR="00382520">
              <w:t>a</w:t>
            </w:r>
            <w:r>
              <w:t>-baj</w:t>
            </w:r>
            <w:r w:rsidR="00382520">
              <w:t>a</w:t>
            </w:r>
            <w:r>
              <w:t xml:space="preserve"> si la cuota de mercado es pequeña</w:t>
            </w:r>
          </w:p>
          <w:p w14:paraId="7FE1BD7C" w14:textId="05FA4C79" w:rsidR="00414040" w:rsidRDefault="00904E1A">
            <w:pPr>
              <w:pStyle w:val="P68B1DB1-ListParagraph38"/>
              <w:numPr>
                <w:ilvl w:val="0"/>
                <w:numId w:val="276"/>
              </w:numPr>
              <w:spacing w:line="276" w:lineRule="auto"/>
              <w:jc w:val="both"/>
            </w:pPr>
            <w:r>
              <w:t xml:space="preserve">Baja si la cuota de mercado es insignificante. </w:t>
            </w:r>
          </w:p>
          <w:p w14:paraId="7FE1BD7D" w14:textId="0735B832" w:rsidR="00414040" w:rsidRPr="00EA3D98" w:rsidRDefault="00904E1A">
            <w:pPr>
              <w:pStyle w:val="P68B1DB1-Normal43"/>
            </w:pPr>
            <w:r>
              <w:t xml:space="preserve">Esta evaluación tiene en cuenta la estructura del mercado del país </w:t>
            </w:r>
            <w:r w:rsidR="00382520">
              <w:t>de</w:t>
            </w:r>
            <w:r w:rsidR="007A2292">
              <w:t>l</w:t>
            </w:r>
            <w:r>
              <w:t xml:space="preserve"> </w:t>
            </w:r>
            <w:proofErr w:type="gramStart"/>
            <w:r w:rsidR="007A2292">
              <w:t xml:space="preserve">ente </w:t>
            </w:r>
            <w:r>
              <w:t xml:space="preserve"> declarante</w:t>
            </w:r>
            <w:proofErr w:type="gramEnd"/>
            <w:r>
              <w:t xml:space="preserve"> (u otro mercado </w:t>
            </w:r>
            <w:r w:rsidR="009C1CE1">
              <w:t>releva</w:t>
            </w:r>
            <w:r w:rsidR="00565778">
              <w:t>nte</w:t>
            </w:r>
            <w:r>
              <w:t xml:space="preserve">) y las cuotas de mercado </w:t>
            </w:r>
            <w:r w:rsidR="003E5F30">
              <w:t>declaradas</w:t>
            </w:r>
            <w:r w:rsidR="009C1CE1">
              <w:t xml:space="preserve"> </w:t>
            </w:r>
            <w:r>
              <w:t xml:space="preserve">en </w:t>
            </w:r>
            <w:r w:rsidRPr="00EA3D98">
              <w:t xml:space="preserve">la parte 2. </w:t>
            </w:r>
          </w:p>
          <w:p w14:paraId="7FE1BD7E" w14:textId="32E80E23" w:rsidR="00414040" w:rsidRDefault="00904E1A">
            <w:pPr>
              <w:pStyle w:val="P68B1DB1-Normal43"/>
            </w:pPr>
            <w:r w:rsidRPr="00EA3D98">
              <w:t>Datos cuantitativos:</w:t>
            </w:r>
          </w:p>
          <w:p w14:paraId="7FE1BD7F" w14:textId="664CF6AF" w:rsidR="00414040" w:rsidRDefault="786F63B9" w:rsidP="11A44BD7">
            <w:pPr>
              <w:pStyle w:val="P68B1DB1-ListParagraph32"/>
              <w:numPr>
                <w:ilvl w:val="0"/>
                <w:numId w:val="116"/>
              </w:numPr>
              <w:jc w:val="both"/>
              <w:rPr>
                <w:i/>
                <w:iCs/>
                <w:lang w:val="es-ES"/>
              </w:rPr>
            </w:pPr>
            <w:r w:rsidRPr="11A44BD7">
              <w:rPr>
                <w:lang w:val="es-ES"/>
              </w:rPr>
              <w:t>Juicio experto</w:t>
            </w:r>
            <w:r w:rsidR="00904E1A" w:rsidRPr="11A44BD7">
              <w:rPr>
                <w:lang w:val="es-ES"/>
              </w:rPr>
              <w:t xml:space="preserve"> sobre </w:t>
            </w:r>
            <w:r w:rsidRPr="11A44BD7">
              <w:rPr>
                <w:lang w:val="es-ES"/>
              </w:rPr>
              <w:t>la dimensión</w:t>
            </w:r>
            <w:r w:rsidR="00904E1A" w:rsidRPr="11A44BD7">
              <w:rPr>
                <w:lang w:val="es-ES"/>
              </w:rPr>
              <w:t xml:space="preserve"> de la cuota de mercado </w:t>
            </w:r>
            <w:r w:rsidR="00904E1A" w:rsidRPr="11A44BD7">
              <w:rPr>
                <w:b/>
                <w:bCs/>
                <w:lang w:val="es-ES"/>
              </w:rPr>
              <w:t xml:space="preserve">nacional </w:t>
            </w:r>
            <w:r w:rsidR="00904E1A" w:rsidRPr="11A44BD7">
              <w:rPr>
                <w:lang w:val="es-ES"/>
              </w:rPr>
              <w:t>(</w:t>
            </w:r>
            <w:r w:rsidR="6F6E735A" w:rsidRPr="11A44BD7">
              <w:rPr>
                <w:lang w:val="es-ES"/>
              </w:rPr>
              <w:t>indicado</w:t>
            </w:r>
            <w:r w:rsidR="00904E1A" w:rsidRPr="11A44BD7">
              <w:rPr>
                <w:lang w:val="es-ES"/>
              </w:rPr>
              <w:t xml:space="preserve"> en c0020, excepto en los casos en que </w:t>
            </w:r>
            <w:r w:rsidRPr="11A44BD7">
              <w:rPr>
                <w:lang w:val="es-ES"/>
              </w:rPr>
              <w:t>los datos declarados se refieran a un</w:t>
            </w:r>
            <w:r w:rsidR="7205CCEF" w:rsidRPr="11A44BD7">
              <w:rPr>
                <w:lang w:val="es-ES"/>
              </w:rPr>
              <w:t xml:space="preserve">a escala </w:t>
            </w:r>
            <w:r w:rsidRPr="11A44BD7">
              <w:rPr>
                <w:lang w:val="es-ES"/>
              </w:rPr>
              <w:t>de</w:t>
            </w:r>
            <w:r w:rsidR="00904E1A" w:rsidRPr="11A44BD7">
              <w:rPr>
                <w:lang w:val="es-ES"/>
              </w:rPr>
              <w:t xml:space="preserve"> mercado </w:t>
            </w:r>
            <w:r w:rsidR="7205CCEF" w:rsidRPr="11A44BD7">
              <w:rPr>
                <w:lang w:val="es-ES"/>
              </w:rPr>
              <w:t>releva</w:t>
            </w:r>
            <w:r w:rsidRPr="11A44BD7">
              <w:rPr>
                <w:lang w:val="es-ES"/>
              </w:rPr>
              <w:t xml:space="preserve">nte </w:t>
            </w:r>
            <w:r w:rsidR="00904E1A" w:rsidRPr="11A44BD7">
              <w:rPr>
                <w:lang w:val="es-ES"/>
              </w:rPr>
              <w:t xml:space="preserve">diferente; en tales casos deberá presentarse una </w:t>
            </w:r>
            <w:r w:rsidR="00904E1A" w:rsidRPr="00EA3D98">
              <w:rPr>
                <w:lang w:val="es-ES"/>
              </w:rPr>
              <w:t xml:space="preserve">evaluación del mercado </w:t>
            </w:r>
            <w:r w:rsidR="7205CCEF" w:rsidRPr="00EA3D98">
              <w:rPr>
                <w:lang w:val="es-ES"/>
              </w:rPr>
              <w:t>releva</w:t>
            </w:r>
            <w:r w:rsidR="71137DC1" w:rsidRPr="00EA3D98">
              <w:rPr>
                <w:lang w:val="es-ES"/>
              </w:rPr>
              <w:t>nte</w:t>
            </w:r>
            <w:r w:rsidR="00904E1A" w:rsidRPr="11A44BD7">
              <w:rPr>
                <w:lang w:val="es-ES"/>
              </w:rPr>
              <w:t>).</w:t>
            </w:r>
          </w:p>
          <w:p w14:paraId="7FE1BD80" w14:textId="77777777" w:rsidR="00414040" w:rsidRDefault="00414040">
            <w:pPr>
              <w:rPr>
                <w:rFonts w:ascii="Times New Roman" w:eastAsiaTheme="minorHAnsi" w:hAnsi="Times New Roman" w:cs="Times New Roman"/>
                <w:color w:val="000000" w:themeColor="text1"/>
                <w:sz w:val="20"/>
                <w:szCs w:val="20"/>
              </w:rPr>
            </w:pPr>
          </w:p>
          <w:p w14:paraId="7FE1BD81" w14:textId="77777777" w:rsidR="00414040" w:rsidRDefault="00414040">
            <w:pPr>
              <w:rPr>
                <w:rFonts w:ascii="Times New Roman" w:eastAsiaTheme="minorHAnsi" w:hAnsi="Times New Roman" w:cs="Times New Roman"/>
                <w:color w:val="000000" w:themeColor="text1"/>
                <w:sz w:val="20"/>
                <w:szCs w:val="20"/>
              </w:rPr>
            </w:pPr>
          </w:p>
        </w:tc>
      </w:tr>
      <w:tr w:rsidR="00414040" w14:paraId="7FE1BD8E" w14:textId="77777777" w:rsidTr="11A44BD7">
        <w:tc>
          <w:tcPr>
            <w:tcW w:w="1080" w:type="dxa"/>
            <w:tcBorders>
              <w:top w:val="single" w:sz="4" w:space="0" w:color="1A171C"/>
              <w:left w:val="nil"/>
              <w:bottom w:val="single" w:sz="4" w:space="0" w:color="1A171C"/>
              <w:right w:val="single" w:sz="4" w:space="0" w:color="1A171C"/>
            </w:tcBorders>
            <w:vAlign w:val="center"/>
          </w:tcPr>
          <w:p w14:paraId="7FE1BD83" w14:textId="77777777" w:rsidR="00414040" w:rsidRDefault="00904E1A">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414040" w:rsidRDefault="00904E1A">
            <w:pPr>
              <w:pStyle w:val="P68B1DB1-Normal42"/>
              <w:rPr>
                <w:bCs/>
              </w:rPr>
            </w:pPr>
            <w:r>
              <w:t>Estructura del mercado — Concentración del mercado</w:t>
            </w:r>
          </w:p>
          <w:p w14:paraId="7FE1BD88" w14:textId="3B385AA5" w:rsidR="00414040" w:rsidRDefault="00904E1A">
            <w:pPr>
              <w:pStyle w:val="P68B1DB1-Normal43"/>
            </w:pPr>
            <w:r>
              <w:t xml:space="preserve">La concentración del mercado, medida por el número de competidores que </w:t>
            </w:r>
            <w:r w:rsidR="00DC73B4">
              <w:t xml:space="preserve">desempeñan </w:t>
            </w:r>
            <w:r>
              <w:t xml:space="preserve">actualmente funciones económicas similares </w:t>
            </w:r>
            <w:r w:rsidR="004514EA">
              <w:t>u</w:t>
            </w:r>
            <w:r w:rsidR="00DC73B4">
              <w:t xml:space="preserve"> ofrecen</w:t>
            </w:r>
            <w:r>
              <w:t xml:space="preserve"> servicios similares en condiciones</w:t>
            </w:r>
            <w:r w:rsidR="00DC73B4">
              <w:t xml:space="preserve"> equivalentes</w:t>
            </w:r>
            <w:r>
              <w:t xml:space="preserve"> (es decir, </w:t>
            </w:r>
            <w:r w:rsidR="006425BF">
              <w:t>con un</w:t>
            </w:r>
            <w:r>
              <w:t xml:space="preserve"> </w:t>
            </w:r>
            <w:r w:rsidRPr="2133F407">
              <w:rPr>
                <w:lang w:val="es-ES"/>
              </w:rPr>
              <w:t xml:space="preserve">alcance y calidad comparables y </w:t>
            </w:r>
            <w:r w:rsidR="006425BF">
              <w:rPr>
                <w:lang w:val="es-ES"/>
              </w:rPr>
              <w:t>a</w:t>
            </w:r>
            <w:r w:rsidR="006425BF" w:rsidRPr="2133F407">
              <w:rPr>
                <w:lang w:val="es-ES"/>
              </w:rPr>
              <w:t xml:space="preserve"> </w:t>
            </w:r>
            <w:r w:rsidRPr="2133F407">
              <w:rPr>
                <w:lang w:val="es-ES"/>
              </w:rPr>
              <w:t xml:space="preserve">un coste comparable) que </w:t>
            </w:r>
            <w:r w:rsidR="006425BF">
              <w:rPr>
                <w:lang w:val="es-ES"/>
              </w:rPr>
              <w:t>potencialmente podrían</w:t>
            </w:r>
            <w:r w:rsidR="006425BF" w:rsidRPr="2133F407">
              <w:rPr>
                <w:lang w:val="es-ES"/>
              </w:rPr>
              <w:t xml:space="preserve"> </w:t>
            </w:r>
            <w:r w:rsidRPr="2133F407">
              <w:rPr>
                <w:lang w:val="es-ES"/>
              </w:rPr>
              <w:t xml:space="preserve">asumir el control </w:t>
            </w:r>
            <w:r w:rsidR="004514EA">
              <w:rPr>
                <w:lang w:val="es-ES"/>
              </w:rPr>
              <w:t>de</w:t>
            </w:r>
            <w:r w:rsidR="004514EA">
              <w:t xml:space="preserve"> </w:t>
            </w:r>
            <w:r>
              <w:t xml:space="preserve">(parte de) los clientes o actividades </w:t>
            </w:r>
            <w:r w:rsidR="007A2292">
              <w:t>del ente</w:t>
            </w:r>
            <w:r>
              <w:t xml:space="preserve"> declarante en un plazo razonable. </w:t>
            </w:r>
          </w:p>
          <w:p w14:paraId="7FE1BD89" w14:textId="490F3574" w:rsidR="00414040" w:rsidRDefault="00904E1A">
            <w:pPr>
              <w:pStyle w:val="P68B1DB1-Normal43"/>
            </w:pPr>
            <w:r>
              <w:t>Est</w:t>
            </w:r>
            <w:r w:rsidR="00D44DFE">
              <w:t>a información</w:t>
            </w:r>
            <w:r>
              <w:t xml:space="preserve"> debe </w:t>
            </w:r>
            <w:r w:rsidR="00D44DFE">
              <w:t xml:space="preserve">declararse </w:t>
            </w:r>
            <w:r>
              <w:t xml:space="preserve">en segmentos, que son los mismos para cada subfunción. </w:t>
            </w:r>
          </w:p>
          <w:p w14:paraId="5A8DDF15" w14:textId="77777777" w:rsidR="00414040" w:rsidRDefault="00904E1A">
            <w:pPr>
              <w:pStyle w:val="P68B1DB1-ListParagraph32"/>
              <w:numPr>
                <w:ilvl w:val="0"/>
                <w:numId w:val="277"/>
              </w:numPr>
              <w:jc w:val="both"/>
            </w:pPr>
            <w:r>
              <w:t xml:space="preserve">&gt; 20 competidores; </w:t>
            </w:r>
          </w:p>
          <w:p w14:paraId="0FB3FECD" w14:textId="77777777" w:rsidR="00414040" w:rsidRDefault="00904E1A">
            <w:pPr>
              <w:pStyle w:val="P68B1DB1-ListParagraph32"/>
              <w:numPr>
                <w:ilvl w:val="0"/>
                <w:numId w:val="277"/>
              </w:numPr>
              <w:jc w:val="both"/>
            </w:pPr>
            <w:r>
              <w:t xml:space="preserve">11-20 competidores; </w:t>
            </w:r>
          </w:p>
          <w:p w14:paraId="0742AD9B" w14:textId="77777777" w:rsidR="00414040" w:rsidRDefault="00904E1A">
            <w:pPr>
              <w:pStyle w:val="P68B1DB1-ListParagraph32"/>
              <w:numPr>
                <w:ilvl w:val="0"/>
                <w:numId w:val="277"/>
              </w:numPr>
              <w:jc w:val="both"/>
            </w:pPr>
            <w:r>
              <w:t xml:space="preserve">5-10 competidores, </w:t>
            </w:r>
          </w:p>
          <w:p w14:paraId="240AD074" w14:textId="12358F8D" w:rsidR="00414040" w:rsidRDefault="00D44DFE">
            <w:pPr>
              <w:pStyle w:val="P68B1DB1-ListParagraph32"/>
              <w:numPr>
                <w:ilvl w:val="0"/>
                <w:numId w:val="277"/>
              </w:numPr>
              <w:jc w:val="both"/>
              <w:rPr>
                <w:b/>
                <w:bCs/>
                <w:color w:val="000000" w:themeColor="text1"/>
              </w:rPr>
            </w:pPr>
            <w:r>
              <w:t>&lt;</w:t>
            </w:r>
            <w:r w:rsidR="00904E1A">
              <w:t>5 competidores</w:t>
            </w:r>
            <w:r>
              <w:t>.</w:t>
            </w:r>
          </w:p>
          <w:p w14:paraId="7FE1BD8D" w14:textId="2F17E01A" w:rsidR="00414040" w:rsidRDefault="00414040">
            <w:pPr>
              <w:jc w:val="both"/>
              <w:rPr>
                <w:rFonts w:ascii="Times New Roman" w:hAnsi="Times New Roman"/>
                <w:color w:val="000000" w:themeColor="text1"/>
                <w:sz w:val="20"/>
                <w:szCs w:val="20"/>
              </w:rPr>
            </w:pPr>
          </w:p>
        </w:tc>
      </w:tr>
      <w:tr w:rsidR="00414040" w14:paraId="7FE1BD9C" w14:textId="77777777" w:rsidTr="11A44BD7">
        <w:tc>
          <w:tcPr>
            <w:tcW w:w="1080" w:type="dxa"/>
            <w:tcBorders>
              <w:top w:val="single" w:sz="4" w:space="0" w:color="1A171C"/>
              <w:left w:val="nil"/>
              <w:bottom w:val="single" w:sz="4" w:space="0" w:color="1A171C"/>
              <w:right w:val="single" w:sz="4" w:space="0" w:color="1A171C"/>
            </w:tcBorders>
            <w:vAlign w:val="center"/>
          </w:tcPr>
          <w:p w14:paraId="7FE1BD8F" w14:textId="77777777" w:rsidR="00414040" w:rsidRDefault="00904E1A">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2BD0CE72" w:rsidR="00414040" w:rsidRDefault="00E3413B">
            <w:pPr>
              <w:pStyle w:val="P68B1DB1-Normal42"/>
              <w:rPr>
                <w:bCs/>
              </w:rPr>
            </w:pPr>
            <w:r>
              <w:t xml:space="preserve">Plazo </w:t>
            </w:r>
            <w:r w:rsidR="00904E1A">
              <w:t>— Tiempo previsto para la sustitución</w:t>
            </w:r>
          </w:p>
          <w:p w14:paraId="7FE1BD92" w14:textId="35FA010F" w:rsidR="00414040" w:rsidRDefault="00904E1A">
            <w:pPr>
              <w:pStyle w:val="P68B1DB1-Normal43"/>
            </w:pPr>
            <w:r>
              <w:t xml:space="preserve">Estimar el tiempo necesario para </w:t>
            </w:r>
            <w:r w:rsidR="004514EA">
              <w:t xml:space="preserve">que </w:t>
            </w:r>
            <w:r>
              <w:t xml:space="preserve">la función económica </w:t>
            </w:r>
            <w:r w:rsidR="00E3413B">
              <w:t xml:space="preserve">desempeñada </w:t>
            </w:r>
            <w:r>
              <w:t xml:space="preserve">por </w:t>
            </w:r>
            <w:r w:rsidR="006703D9">
              <w:t xml:space="preserve">el </w:t>
            </w:r>
            <w:r w:rsidR="006703D9">
              <w:rPr>
                <w:lang w:val="es-ES"/>
              </w:rPr>
              <w:t>ente</w:t>
            </w:r>
            <w:r w:rsidR="006703D9" w:rsidRPr="2133F407">
              <w:rPr>
                <w:lang w:val="es-ES"/>
              </w:rPr>
              <w:t xml:space="preserve"> </w:t>
            </w:r>
            <w:r w:rsidR="00E3413B">
              <w:rPr>
                <w:lang w:val="es-ES"/>
              </w:rPr>
              <w:t>declarante sea</w:t>
            </w:r>
            <w:r w:rsidR="002528BE">
              <w:rPr>
                <w:lang w:val="es-ES"/>
              </w:rPr>
              <w:t xml:space="preserve"> </w:t>
            </w:r>
            <w:r w:rsidRPr="2133F407">
              <w:rPr>
                <w:lang w:val="es-ES"/>
              </w:rPr>
              <w:t xml:space="preserve">absorbida por el mercado en una situación de crisis. </w:t>
            </w:r>
            <w:r w:rsidR="00E3413B">
              <w:rPr>
                <w:lang w:val="es-ES"/>
              </w:rPr>
              <w:t>Incluye</w:t>
            </w:r>
            <w:r w:rsidRPr="2133F407">
              <w:rPr>
                <w:lang w:val="es-ES"/>
              </w:rPr>
              <w:t xml:space="preserve">: </w:t>
            </w:r>
          </w:p>
          <w:p w14:paraId="7FE1BD93" w14:textId="49750575" w:rsidR="00414040" w:rsidRDefault="00904E1A">
            <w:pPr>
              <w:pStyle w:val="P68B1DB1-ListParagraph38"/>
              <w:numPr>
                <w:ilvl w:val="0"/>
                <w:numId w:val="274"/>
              </w:numPr>
              <w:jc w:val="both"/>
            </w:pPr>
            <w:r>
              <w:t xml:space="preserve">el tiempo previsto que </w:t>
            </w:r>
            <w:r w:rsidR="0011737A">
              <w:t xml:space="preserve">necesitarían </w:t>
            </w:r>
            <w:r>
              <w:t xml:space="preserve">uno o varios competidores para </w:t>
            </w:r>
            <w:r w:rsidR="0011737A">
              <w:t>completar</w:t>
            </w:r>
            <w:r>
              <w:t xml:space="preserve"> l</w:t>
            </w:r>
            <w:r w:rsidR="0011737A">
              <w:t>o</w:t>
            </w:r>
            <w:r>
              <w:t xml:space="preserve">s </w:t>
            </w:r>
            <w:r w:rsidR="0011737A">
              <w:t>pasos</w:t>
            </w:r>
            <w:r>
              <w:t xml:space="preserve"> jurídic</w:t>
            </w:r>
            <w:r w:rsidR="0011737A">
              <w:t>o</w:t>
            </w:r>
            <w:r>
              <w:t>s y técnic</w:t>
            </w:r>
            <w:r w:rsidR="0011737A">
              <w:t>o</w:t>
            </w:r>
            <w:r>
              <w:t>s necesari</w:t>
            </w:r>
            <w:r w:rsidR="0011737A">
              <w:t>o</w:t>
            </w:r>
            <w:r>
              <w:t xml:space="preserve">s para asumir la función; así como  </w:t>
            </w:r>
          </w:p>
          <w:p w14:paraId="7FE1BD94" w14:textId="295F2A6E" w:rsidR="00414040" w:rsidRDefault="00904E1A">
            <w:pPr>
              <w:pStyle w:val="P68B1DB1-ListParagraph38"/>
              <w:numPr>
                <w:ilvl w:val="0"/>
                <w:numId w:val="274"/>
              </w:numPr>
              <w:jc w:val="both"/>
            </w:pPr>
            <w:r>
              <w:t xml:space="preserve">el tiempo que necesitan los usuarios del servicio para </w:t>
            </w:r>
            <w:r w:rsidR="0011737A">
              <w:t xml:space="preserve">cambiar </w:t>
            </w:r>
            <w:r>
              <w:t xml:space="preserve">a otro proveedor de servicios. </w:t>
            </w:r>
          </w:p>
          <w:p w14:paraId="7FE1BD95" w14:textId="77777777" w:rsidR="00414040" w:rsidRDefault="00414040">
            <w:pPr>
              <w:rPr>
                <w:rFonts w:ascii="Times New Roman" w:eastAsiaTheme="minorHAnsi" w:hAnsi="Times New Roman" w:cs="Times New Roman"/>
                <w:color w:val="000000" w:themeColor="text1"/>
                <w:sz w:val="20"/>
                <w:szCs w:val="20"/>
              </w:rPr>
            </w:pPr>
          </w:p>
          <w:p w14:paraId="7FE1BD96" w14:textId="2A7A039C" w:rsidR="00414040" w:rsidRDefault="00904E1A">
            <w:pPr>
              <w:pStyle w:val="P68B1DB1-Normal43"/>
            </w:pPr>
            <w:r>
              <w:t xml:space="preserve">Como </w:t>
            </w:r>
            <w:r w:rsidR="0011737A">
              <w:t xml:space="preserve">aproximación </w:t>
            </w:r>
            <w:r>
              <w:t xml:space="preserve">del primero, proporcione una estimación del tiempo que le llevaría </w:t>
            </w:r>
            <w:r w:rsidR="007A2292">
              <w:t>al ente declarante</w:t>
            </w:r>
            <w:r>
              <w:t xml:space="preserve"> absorber en su </w:t>
            </w:r>
            <w:r w:rsidR="004514EA">
              <w:t xml:space="preserve">propio </w:t>
            </w:r>
            <w:r w:rsidR="0011737A">
              <w:t xml:space="preserve">negocio </w:t>
            </w:r>
            <w:r>
              <w:t>(parte de) el servicio prestado por otra entidad, a un coste razonable, en una situación de crisis. Indíquese el tiempo estimado para la sustitución en los segmentos facilitados en la plantilla:</w:t>
            </w:r>
          </w:p>
          <w:p w14:paraId="7FE1BD97" w14:textId="77777777" w:rsidR="00414040" w:rsidRDefault="00904E1A">
            <w:pPr>
              <w:pStyle w:val="P68B1DB1-Normal31"/>
            </w:pPr>
            <w:r>
              <w:t xml:space="preserve">Segmentos: </w:t>
            </w:r>
          </w:p>
          <w:p w14:paraId="7FE1BD98" w14:textId="077A9BD3" w:rsidR="00414040" w:rsidRDefault="00904E1A">
            <w:pPr>
              <w:pStyle w:val="P68B1DB1-ListParagraph32"/>
              <w:numPr>
                <w:ilvl w:val="0"/>
                <w:numId w:val="287"/>
              </w:numPr>
            </w:pPr>
            <w:r>
              <w:t xml:space="preserve">≤ 1 día; </w:t>
            </w:r>
          </w:p>
          <w:p w14:paraId="7FE1BD99" w14:textId="07CCFE77" w:rsidR="00414040" w:rsidRDefault="00904E1A">
            <w:pPr>
              <w:pStyle w:val="P68B1DB1-ListParagraph32"/>
              <w:numPr>
                <w:ilvl w:val="0"/>
                <w:numId w:val="287"/>
              </w:numPr>
            </w:pPr>
            <w:r>
              <w:t xml:space="preserve">1 día — 1 semana </w:t>
            </w:r>
          </w:p>
          <w:p w14:paraId="7FE1BD9A" w14:textId="47AC6C88" w:rsidR="00414040" w:rsidRDefault="00904E1A">
            <w:pPr>
              <w:pStyle w:val="P68B1DB1-ListParagraph32"/>
              <w:numPr>
                <w:ilvl w:val="0"/>
                <w:numId w:val="287"/>
              </w:numPr>
            </w:pPr>
            <w:r>
              <w:t xml:space="preserve">&gt; 1 semana — 1 mes; </w:t>
            </w:r>
          </w:p>
          <w:p w14:paraId="7FE1BD9B" w14:textId="53E12FD5" w:rsidR="00414040" w:rsidRDefault="00904E1A">
            <w:pPr>
              <w:pStyle w:val="P68B1DB1-ListParagraph32"/>
              <w:numPr>
                <w:ilvl w:val="0"/>
                <w:numId w:val="287"/>
              </w:numPr>
              <w:rPr>
                <w:color w:val="000000" w:themeColor="text1"/>
              </w:rPr>
            </w:pPr>
            <w:r>
              <w:t>&gt; 1 mes</w:t>
            </w:r>
          </w:p>
        </w:tc>
      </w:tr>
      <w:tr w:rsidR="00414040" w14:paraId="7FE1BD9F" w14:textId="77777777" w:rsidTr="11A44BD7">
        <w:tc>
          <w:tcPr>
            <w:tcW w:w="1080" w:type="dxa"/>
            <w:tcBorders>
              <w:top w:val="single" w:sz="4" w:space="0" w:color="1A171C"/>
              <w:left w:val="nil"/>
              <w:bottom w:val="single" w:sz="4" w:space="0" w:color="1A171C"/>
              <w:right w:val="single" w:sz="4" w:space="0" w:color="1A171C"/>
            </w:tcBorders>
            <w:vAlign w:val="center"/>
          </w:tcPr>
          <w:p w14:paraId="7FE1BD9D" w14:textId="77777777" w:rsidR="00414040" w:rsidRDefault="00904E1A">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414040" w:rsidRDefault="00904E1A">
            <w:pPr>
              <w:pStyle w:val="P68B1DB1-Normal42"/>
              <w:rPr>
                <w:bCs/>
              </w:rPr>
            </w:pPr>
            <w:r>
              <w:t>Capacidad de sustitución</w:t>
            </w:r>
          </w:p>
        </w:tc>
      </w:tr>
      <w:tr w:rsidR="00414040" w14:paraId="7FE1BDA9" w14:textId="77777777" w:rsidTr="11A44BD7">
        <w:tc>
          <w:tcPr>
            <w:tcW w:w="1080" w:type="dxa"/>
            <w:tcBorders>
              <w:top w:val="single" w:sz="4" w:space="0" w:color="1A171C"/>
              <w:left w:val="nil"/>
              <w:bottom w:val="single" w:sz="4" w:space="0" w:color="1A171C"/>
              <w:right w:val="single" w:sz="4" w:space="0" w:color="1A171C"/>
            </w:tcBorders>
            <w:vAlign w:val="center"/>
          </w:tcPr>
          <w:p w14:paraId="7FE1BDA0" w14:textId="77777777" w:rsidR="00414040" w:rsidRDefault="00904E1A">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25E93989" w:rsidR="00414040" w:rsidRDefault="005473F3">
            <w:pPr>
              <w:pStyle w:val="P68B1DB1-Normal42"/>
              <w:rPr>
                <w:bCs/>
              </w:rPr>
            </w:pPr>
            <w:r>
              <w:t>Barreras legales</w:t>
            </w:r>
            <w:r w:rsidR="00904E1A">
              <w:t xml:space="preserve"> a la entrada o la expansión</w:t>
            </w:r>
          </w:p>
          <w:p w14:paraId="7FE1BDA2" w14:textId="77777777" w:rsidR="00414040" w:rsidRDefault="00414040">
            <w:pPr>
              <w:rPr>
                <w:rFonts w:ascii="Times New Roman" w:eastAsiaTheme="minorHAnsi" w:hAnsi="Times New Roman" w:cs="Times New Roman"/>
                <w:color w:val="000000" w:themeColor="text1"/>
                <w:sz w:val="20"/>
                <w:szCs w:val="20"/>
              </w:rPr>
            </w:pPr>
          </w:p>
          <w:p w14:paraId="7FE1BDA3" w14:textId="64713970" w:rsidR="00414040" w:rsidRDefault="008B01DD">
            <w:pPr>
              <w:pStyle w:val="P68B1DB1-Normal43"/>
            </w:pPr>
            <w:r>
              <w:t>Barreras legales</w:t>
            </w:r>
            <w:r w:rsidR="00904E1A">
              <w:t xml:space="preserve"> para que los competidores ofrezcan el servicio. Los requisitos legales para el ejercicio de la actividad de las entidades de crédito (por ejemplo, licencias bancarias o requisitos de capital) no deben considerarse </w:t>
            </w:r>
            <w:r w:rsidR="00221BE3">
              <w:t xml:space="preserve">barreras </w:t>
            </w:r>
            <w:r w:rsidR="00904E1A">
              <w:t xml:space="preserve">insuperables </w:t>
            </w:r>
            <w:r w:rsidR="00221BE3">
              <w:t>cuando existan</w:t>
            </w:r>
            <w:r w:rsidR="00904E1A">
              <w:t xml:space="preserve"> proveedores alternativos. Este indicador debe </w:t>
            </w:r>
            <w:r w:rsidR="00221BE3">
              <w:t xml:space="preserve">informarse </w:t>
            </w:r>
            <w:r w:rsidR="00904E1A">
              <w:t xml:space="preserve">en segmentos, que son los mismos para cada subfunción: </w:t>
            </w:r>
          </w:p>
          <w:p w14:paraId="7FE1BDA4" w14:textId="5F64D555" w:rsidR="00414040" w:rsidRDefault="00904E1A">
            <w:pPr>
              <w:pStyle w:val="P68B1DB1-ListParagraph39"/>
              <w:numPr>
                <w:ilvl w:val="0"/>
                <w:numId w:val="275"/>
              </w:numPr>
              <w:jc w:val="both"/>
            </w:pPr>
            <w:r>
              <w:t xml:space="preserve">no hay barreras importantes, </w:t>
            </w:r>
          </w:p>
          <w:p w14:paraId="7FE1BDA5" w14:textId="58418CD0" w:rsidR="00414040" w:rsidRDefault="00904E1A">
            <w:pPr>
              <w:pStyle w:val="P68B1DB1-ListParagraph39"/>
              <w:numPr>
                <w:ilvl w:val="0"/>
                <w:numId w:val="275"/>
              </w:numPr>
              <w:jc w:val="both"/>
            </w:pPr>
            <w:r>
              <w:t>algun</w:t>
            </w:r>
            <w:r w:rsidR="000C493B">
              <w:t>a</w:t>
            </w:r>
            <w:r>
              <w:t xml:space="preserve">s </w:t>
            </w:r>
            <w:r w:rsidR="00221BE3">
              <w:t>barreras</w:t>
            </w:r>
            <w:r>
              <w:t xml:space="preserve">, </w:t>
            </w:r>
          </w:p>
          <w:p w14:paraId="7FE1BDA6" w14:textId="14CFE055" w:rsidR="00414040" w:rsidRDefault="00904E1A">
            <w:pPr>
              <w:pStyle w:val="P68B1DB1-ListParagraph39"/>
              <w:numPr>
                <w:ilvl w:val="0"/>
                <w:numId w:val="275"/>
              </w:numPr>
              <w:jc w:val="both"/>
            </w:pPr>
            <w:r>
              <w:t xml:space="preserve">barreras importantes (pero superables), </w:t>
            </w:r>
          </w:p>
          <w:p w14:paraId="7FE1BDA8" w14:textId="2895BA0A" w:rsidR="00414040" w:rsidRDefault="00904E1A">
            <w:pPr>
              <w:pStyle w:val="P68B1DB1-ListParagraph8"/>
              <w:numPr>
                <w:ilvl w:val="0"/>
                <w:numId w:val="275"/>
              </w:numPr>
              <w:jc w:val="both"/>
              <w:rPr>
                <w:rFonts w:eastAsiaTheme="minorHAnsi"/>
              </w:rPr>
            </w:pPr>
            <w:r>
              <w:t>barreras críticas (difíciles de superar).</w:t>
            </w:r>
          </w:p>
        </w:tc>
      </w:tr>
      <w:tr w:rsidR="00414040" w14:paraId="7FE1BDB4" w14:textId="77777777" w:rsidTr="11A44BD7">
        <w:tc>
          <w:tcPr>
            <w:tcW w:w="1080" w:type="dxa"/>
            <w:tcBorders>
              <w:top w:val="single" w:sz="4" w:space="0" w:color="1A171C"/>
              <w:left w:val="nil"/>
              <w:bottom w:val="single" w:sz="4" w:space="0" w:color="1A171C"/>
              <w:right w:val="single" w:sz="4" w:space="0" w:color="1A171C"/>
            </w:tcBorders>
            <w:vAlign w:val="center"/>
          </w:tcPr>
          <w:p w14:paraId="7FE1BDAA" w14:textId="77777777" w:rsidR="00414040" w:rsidRDefault="00904E1A">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414040" w:rsidRDefault="00904E1A">
            <w:pPr>
              <w:pStyle w:val="P68B1DB1-Normal42"/>
              <w:rPr>
                <w:bCs/>
              </w:rPr>
            </w:pPr>
            <w:r>
              <w:t>Requisitos operativos para la entrada o la expansión</w:t>
            </w:r>
          </w:p>
          <w:p w14:paraId="7FE1BDAC" w14:textId="77777777" w:rsidR="00414040" w:rsidRDefault="00414040">
            <w:pPr>
              <w:rPr>
                <w:rFonts w:ascii="Times New Roman" w:eastAsiaTheme="minorHAnsi" w:hAnsi="Times New Roman" w:cs="Times New Roman"/>
                <w:color w:val="000000" w:themeColor="text1"/>
                <w:sz w:val="20"/>
                <w:szCs w:val="20"/>
              </w:rPr>
            </w:pPr>
          </w:p>
          <w:p w14:paraId="7FE1BDAD" w14:textId="2A5F936A" w:rsidR="00414040" w:rsidRDefault="00904E1A">
            <w:pPr>
              <w:pStyle w:val="P68B1DB1-Normal43"/>
            </w:pPr>
            <w:r>
              <w:t xml:space="preserve">Requisitos organizativos, técnicos y de infraestructura para que los competidores ofrezcan el servicio. Ofrecer los servicios relacionados con la (sub)función requiere que los proveedores inviertan en infraestructuras (nuevas o adicionales) o modifiquen sus </w:t>
            </w:r>
            <w:r w:rsidR="000344FD">
              <w:t>estructuras organizativas</w:t>
            </w:r>
            <w:r>
              <w:t xml:space="preserve">. Evaluar la capacidad del mercado para absorber la actividad en cuestión, por ejemplo, en términos de requisitos de capital. </w:t>
            </w:r>
          </w:p>
          <w:p w14:paraId="7FE1BDAE" w14:textId="2FA711AA" w:rsidR="00414040" w:rsidRDefault="00904E1A">
            <w:pPr>
              <w:pStyle w:val="P68B1DB1-Normal43"/>
            </w:pPr>
            <w:r>
              <w:t xml:space="preserve">Este indicador debe </w:t>
            </w:r>
            <w:r w:rsidR="005B498F">
              <w:t xml:space="preserve">informarse </w:t>
            </w:r>
            <w:r>
              <w:t xml:space="preserve">en segmentos, que son los mismos para cada subfunción: </w:t>
            </w:r>
          </w:p>
          <w:p w14:paraId="7FE1BDAF" w14:textId="39113051" w:rsidR="00414040" w:rsidRDefault="00904E1A">
            <w:pPr>
              <w:pStyle w:val="P68B1DB1-ListParagraph38"/>
              <w:numPr>
                <w:ilvl w:val="0"/>
                <w:numId w:val="278"/>
              </w:numPr>
              <w:jc w:val="both"/>
            </w:pPr>
            <w:r>
              <w:t xml:space="preserve">no hay requisitos importantes, </w:t>
            </w:r>
          </w:p>
          <w:p w14:paraId="7FE1BDB0" w14:textId="63777608" w:rsidR="00414040" w:rsidRDefault="00904E1A">
            <w:pPr>
              <w:pStyle w:val="P68B1DB1-ListParagraph38"/>
              <w:numPr>
                <w:ilvl w:val="0"/>
                <w:numId w:val="278"/>
              </w:numPr>
              <w:jc w:val="both"/>
            </w:pPr>
            <w:r>
              <w:t xml:space="preserve">algunos requisitos, </w:t>
            </w:r>
          </w:p>
          <w:p w14:paraId="7FE1BDB1" w14:textId="78F7EC3E" w:rsidR="00414040" w:rsidRDefault="00904E1A">
            <w:pPr>
              <w:pStyle w:val="P68B1DB1-ListParagraph38"/>
              <w:numPr>
                <w:ilvl w:val="0"/>
                <w:numId w:val="278"/>
              </w:numPr>
              <w:jc w:val="both"/>
            </w:pPr>
            <w:r>
              <w:t xml:space="preserve">requisitos sustanciales (pero superables), </w:t>
            </w:r>
          </w:p>
          <w:p w14:paraId="7FE1BDB2" w14:textId="5A2EF079" w:rsidR="00414040" w:rsidRDefault="00904E1A">
            <w:pPr>
              <w:pStyle w:val="P68B1DB1-ListParagraph38"/>
              <w:numPr>
                <w:ilvl w:val="0"/>
                <w:numId w:val="278"/>
              </w:numPr>
              <w:jc w:val="both"/>
            </w:pPr>
            <w:r>
              <w:t>requisitos críticos (difíciles de superar).</w:t>
            </w:r>
          </w:p>
          <w:p w14:paraId="7FE1BDB3" w14:textId="77777777" w:rsidR="00414040" w:rsidRDefault="00414040">
            <w:pPr>
              <w:rPr>
                <w:rFonts w:ascii="Times New Roman" w:eastAsiaTheme="minorHAnsi" w:hAnsi="Times New Roman" w:cs="Times New Roman"/>
                <w:color w:val="000000" w:themeColor="text1"/>
                <w:sz w:val="20"/>
                <w:szCs w:val="20"/>
              </w:rPr>
            </w:pPr>
          </w:p>
        </w:tc>
      </w:tr>
      <w:tr w:rsidR="00414040" w14:paraId="7FE1BDB7" w14:textId="77777777" w:rsidTr="11A44BD7">
        <w:tc>
          <w:tcPr>
            <w:tcW w:w="1080" w:type="dxa"/>
            <w:tcBorders>
              <w:top w:val="single" w:sz="4" w:space="0" w:color="1A171C"/>
              <w:left w:val="nil"/>
              <w:bottom w:val="single" w:sz="4" w:space="0" w:color="1A171C"/>
              <w:right w:val="single" w:sz="4" w:space="0" w:color="1A171C"/>
            </w:tcBorders>
            <w:vAlign w:val="center"/>
          </w:tcPr>
          <w:p w14:paraId="7FE1BDB5" w14:textId="77777777" w:rsidR="00414040" w:rsidRDefault="00904E1A">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414040" w:rsidRDefault="00904E1A">
            <w:pPr>
              <w:pStyle w:val="P68B1DB1-Normal42"/>
              <w:rPr>
                <w:bCs/>
              </w:rPr>
            </w:pPr>
            <w:r>
              <w:t>Evaluación del carácter esencial</w:t>
            </w:r>
          </w:p>
        </w:tc>
      </w:tr>
      <w:tr w:rsidR="00414040" w14:paraId="7FE1BDBD" w14:textId="77777777" w:rsidTr="11A44BD7">
        <w:tc>
          <w:tcPr>
            <w:tcW w:w="1080" w:type="dxa"/>
            <w:tcBorders>
              <w:top w:val="single" w:sz="4" w:space="0" w:color="1A171C"/>
              <w:left w:val="nil"/>
              <w:bottom w:val="single" w:sz="4" w:space="0" w:color="1A171C"/>
              <w:right w:val="single" w:sz="4" w:space="0" w:color="1A171C"/>
            </w:tcBorders>
            <w:vAlign w:val="center"/>
          </w:tcPr>
          <w:p w14:paraId="7FE1BDB8" w14:textId="77777777" w:rsidR="00414040" w:rsidRDefault="00904E1A">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414040" w:rsidRDefault="00904E1A">
            <w:pPr>
              <w:pStyle w:val="P68B1DB1-Normal42"/>
              <w:rPr>
                <w:bCs/>
              </w:rPr>
            </w:pPr>
            <w:r>
              <w:t xml:space="preserve">Impacto en el mercado </w:t>
            </w:r>
          </w:p>
          <w:p w14:paraId="7FE1BDBA" w14:textId="375D7D87" w:rsidR="00414040" w:rsidRDefault="00904E1A">
            <w:pPr>
              <w:pStyle w:val="P68B1DB1-Normal43"/>
            </w:pPr>
            <w:r>
              <w:t>Impacto estimado de una interrupción repentina de la función sobre terceros, los mercados financieros y la economía real, teniendo en cuenta el tamaño, la cuota de mercado en el país, la</w:t>
            </w:r>
            <w:r w:rsidR="005160E6">
              <w:t>s</w:t>
            </w:r>
            <w:r>
              <w:t xml:space="preserve"> </w:t>
            </w:r>
            <w:r w:rsidR="005160E6">
              <w:t xml:space="preserve">interconexiones </w:t>
            </w:r>
            <w:r>
              <w:t>interna</w:t>
            </w:r>
            <w:r w:rsidR="005160E6">
              <w:t>s</w:t>
            </w:r>
            <w:r>
              <w:t xml:space="preserve"> y externa</w:t>
            </w:r>
            <w:r w:rsidR="005160E6">
              <w:t>s</w:t>
            </w:r>
            <w:r>
              <w:t>, la complejidad y las actividades transfronterizas de la entidad.</w:t>
            </w:r>
          </w:p>
          <w:p w14:paraId="7FE1BDBB" w14:textId="12615F78" w:rsidR="00414040" w:rsidRDefault="00904E1A">
            <w:pPr>
              <w:pStyle w:val="P68B1DB1-Normal43"/>
            </w:pPr>
            <w:r>
              <w:t>Esta evaluación se expresará en términos cualitativos, como «alto», «medio-alto», «medio-bajo» o «bajo».</w:t>
            </w:r>
          </w:p>
          <w:p w14:paraId="7FE1BDBC" w14:textId="07483F1D" w:rsidR="00414040" w:rsidRDefault="00904E1A">
            <w:pPr>
              <w:pStyle w:val="P68B1DB1-Normal43"/>
            </w:pPr>
            <w:r>
              <w:t>Se seleccionará «</w:t>
            </w:r>
            <w:r w:rsidR="001B6F68">
              <w:t>alto</w:t>
            </w:r>
            <w:r>
              <w:t>» si la interrupción tiene un gran impacto en el mercado nacional; «</w:t>
            </w:r>
            <w:r w:rsidR="00CB5BEC">
              <w:t>medio</w:t>
            </w:r>
            <w:r>
              <w:t>-</w:t>
            </w:r>
            <w:r w:rsidR="00CB5BEC">
              <w:t>alto</w:t>
            </w:r>
            <w:r>
              <w:t>» si el impacto es significativo; «</w:t>
            </w:r>
            <w:r w:rsidR="00CB5BEC">
              <w:t>medio</w:t>
            </w:r>
            <w:r w:rsidR="00153800">
              <w:t>-bajo</w:t>
            </w:r>
            <w:r>
              <w:t>» si el impacto es importante, pero limitado; y «</w:t>
            </w:r>
            <w:r w:rsidR="00CB5BEC">
              <w:t>bajo</w:t>
            </w:r>
            <w:r>
              <w:t>» si el impacto es bajo.</w:t>
            </w:r>
          </w:p>
        </w:tc>
      </w:tr>
      <w:tr w:rsidR="00414040" w14:paraId="7FE1BDCA" w14:textId="77777777" w:rsidTr="11A44BD7">
        <w:tc>
          <w:tcPr>
            <w:tcW w:w="1080" w:type="dxa"/>
            <w:tcBorders>
              <w:top w:val="single" w:sz="4" w:space="0" w:color="1A171C"/>
              <w:left w:val="nil"/>
              <w:bottom w:val="single" w:sz="4" w:space="0" w:color="1A171C"/>
              <w:right w:val="single" w:sz="4" w:space="0" w:color="1A171C"/>
            </w:tcBorders>
            <w:vAlign w:val="center"/>
          </w:tcPr>
          <w:p w14:paraId="7FE1BDBE" w14:textId="77777777" w:rsidR="00414040" w:rsidRDefault="00904E1A">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414040" w:rsidRDefault="00904E1A">
            <w:pPr>
              <w:pStyle w:val="P68B1DB1-Normal42"/>
              <w:rPr>
                <w:bCs/>
              </w:rPr>
            </w:pPr>
            <w:r>
              <w:t>Sustituibilidad</w:t>
            </w:r>
          </w:p>
          <w:p w14:paraId="7FE1BDC0" w14:textId="77777777" w:rsidR="00414040" w:rsidRDefault="00904E1A">
            <w:pPr>
              <w:pStyle w:val="P68B1DB1-Normal43"/>
            </w:pPr>
            <w:r w:rsidRPr="2133F407">
              <w:rPr>
                <w:lang w:val="es-ES"/>
              </w:rPr>
              <w:t xml:space="preserve">Artículo 6, apartado 3, del Reglamento </w:t>
            </w:r>
            <w:proofErr w:type="gramStart"/>
            <w:r w:rsidRPr="2133F407">
              <w:rPr>
                <w:lang w:val="es-ES"/>
              </w:rPr>
              <w:t>Delegado</w:t>
            </w:r>
            <w:proofErr w:type="gramEnd"/>
            <w:r w:rsidRPr="2133F407">
              <w:rPr>
                <w:lang w:val="es-ES"/>
              </w:rPr>
              <w:t xml:space="preserve"> (UE) 2016/778.</w:t>
            </w:r>
          </w:p>
          <w:p w14:paraId="7FE1BDC1" w14:textId="77777777" w:rsidR="00414040" w:rsidRDefault="00904E1A">
            <w:pPr>
              <w:pStyle w:val="P68B1DB1-Normal43"/>
            </w:pPr>
            <w:r>
              <w:t>Una función se considera sustituible cuando puede reemplazarse de manera aceptable y en un plazo razonable, evitando así los problemas sistémicos para la economía real y los mercados financieros. Se tendrán en cuenta los siguientes aspectos:</w:t>
            </w:r>
          </w:p>
          <w:p w14:paraId="7FE1BDC2" w14:textId="79A9EEEF" w:rsidR="00414040" w:rsidRDefault="00904E1A">
            <w:pPr>
              <w:pStyle w:val="P68B1DB1-Normal43"/>
            </w:pPr>
            <w:r>
              <w:t xml:space="preserve">(a) la estructura del mercado para esa función y la disponibilidad de </w:t>
            </w:r>
            <w:r w:rsidR="001C19F3">
              <w:t>proveedores</w:t>
            </w:r>
            <w:r w:rsidR="001C19F3" w:rsidDel="001C19F3">
              <w:t xml:space="preserve"> </w:t>
            </w:r>
            <w:r>
              <w:t xml:space="preserve">alternativos; </w:t>
            </w:r>
          </w:p>
          <w:p w14:paraId="7FE1BDC3" w14:textId="64C037AB" w:rsidR="00414040" w:rsidRDefault="00904E1A">
            <w:pPr>
              <w:pStyle w:val="P68B1DB1-Normal43"/>
            </w:pPr>
            <w:r>
              <w:t xml:space="preserve">(b) la aptitud de otros </w:t>
            </w:r>
            <w:r w:rsidR="001C19F3">
              <w:t>proveedores</w:t>
            </w:r>
            <w:r w:rsidR="001C19F3" w:rsidDel="001C19F3">
              <w:t xml:space="preserve"> </w:t>
            </w:r>
            <w:r>
              <w:t xml:space="preserve">en términos de capacidad, los requisitos para la ejecución de la función y </w:t>
            </w:r>
            <w:r w:rsidR="00CB5BEC">
              <w:t xml:space="preserve">las </w:t>
            </w:r>
            <w:r>
              <w:t xml:space="preserve">posibles </w:t>
            </w:r>
            <w:r w:rsidR="00CB5BEC">
              <w:t xml:space="preserve">barreras </w:t>
            </w:r>
            <w:r>
              <w:t>a la entrada o la expansión;</w:t>
            </w:r>
          </w:p>
          <w:p w14:paraId="7FE1BDC4" w14:textId="3D247C14" w:rsidR="00414040" w:rsidRDefault="00904E1A">
            <w:pPr>
              <w:pStyle w:val="P68B1DB1-Normal43"/>
            </w:pPr>
            <w:r>
              <w:t xml:space="preserve">(c) el incentivo de otros </w:t>
            </w:r>
            <w:r w:rsidR="001C19F3">
              <w:t>proveedores</w:t>
            </w:r>
            <w:r w:rsidR="001C19F3" w:rsidDel="001C19F3">
              <w:t xml:space="preserve"> </w:t>
            </w:r>
            <w:r>
              <w:t xml:space="preserve">para asumir estas actividades; </w:t>
            </w:r>
          </w:p>
          <w:p w14:paraId="7FE1BDC5" w14:textId="3BB8E6C1" w:rsidR="00414040" w:rsidRDefault="00904E1A">
            <w:pPr>
              <w:pStyle w:val="P68B1DB1-Normal43"/>
            </w:pPr>
            <w:r>
              <w:t xml:space="preserve">(d) el tiempo que necesitan los usuarios del servicio para recibirlo del nuevo </w:t>
            </w:r>
            <w:r w:rsidR="00447984">
              <w:t>proveedor</w:t>
            </w:r>
            <w:r>
              <w:t>, y los costes de tal cambio, el tiempo que necesitan otros competidores para asumir las funciones y si ese lapso es suficiente para impedir perturbaciones significativas en función del tipo de servicio.</w:t>
            </w:r>
          </w:p>
          <w:p w14:paraId="7FE1BDC6" w14:textId="59D6DB47" w:rsidR="00414040" w:rsidRDefault="00904E1A">
            <w:pPr>
              <w:pStyle w:val="P68B1DB1-Normal3"/>
            </w:pPr>
            <w:r w:rsidRPr="2133F407">
              <w:rPr>
                <w:lang w:val="es-ES"/>
              </w:rPr>
              <w:t xml:space="preserve">Proporcionar una evaluación global del grado de sustituibilidad previsto para cada función, teniendo en cuenta </w:t>
            </w:r>
            <w:r w:rsidR="006703D9" w:rsidRPr="2133F407">
              <w:rPr>
                <w:lang w:val="es-ES"/>
              </w:rPr>
              <w:t>l</w:t>
            </w:r>
            <w:r w:rsidR="006703D9">
              <w:rPr>
                <w:lang w:val="es-ES"/>
              </w:rPr>
              <w:t>o</w:t>
            </w:r>
            <w:r w:rsidR="006703D9" w:rsidRPr="2133F407">
              <w:rPr>
                <w:lang w:val="es-ES"/>
              </w:rPr>
              <w:t xml:space="preserve">s </w:t>
            </w:r>
            <w:r w:rsidRPr="2133F407">
              <w:rPr>
                <w:lang w:val="es-ES"/>
              </w:rPr>
              <w:t xml:space="preserve">diferentes </w:t>
            </w:r>
            <w:r w:rsidR="005D7E50">
              <w:rPr>
                <w:lang w:val="es-ES"/>
              </w:rPr>
              <w:t>aspectos</w:t>
            </w:r>
            <w:r w:rsidR="005D7E50" w:rsidRPr="2133F407">
              <w:rPr>
                <w:lang w:val="es-ES"/>
              </w:rPr>
              <w:t xml:space="preserve"> </w:t>
            </w:r>
            <w:r w:rsidRPr="2133F407">
              <w:rPr>
                <w:lang w:val="es-ES"/>
              </w:rPr>
              <w:t xml:space="preserve">previamente </w:t>
            </w:r>
            <w:r w:rsidR="006703D9" w:rsidRPr="2133F407">
              <w:rPr>
                <w:lang w:val="es-ES"/>
              </w:rPr>
              <w:t>evaluad</w:t>
            </w:r>
            <w:r w:rsidR="006703D9">
              <w:rPr>
                <w:lang w:val="es-ES"/>
              </w:rPr>
              <w:t>o</w:t>
            </w:r>
            <w:r w:rsidR="006703D9" w:rsidRPr="2133F407">
              <w:rPr>
                <w:lang w:val="es-ES"/>
              </w:rPr>
              <w:t xml:space="preserve">s </w:t>
            </w:r>
            <w:r w:rsidRPr="2133F407">
              <w:rPr>
                <w:lang w:val="es-ES"/>
              </w:rPr>
              <w:t xml:space="preserve">(cuota de mercado, concentración del mercado, tiempo hasta la sustitución, </w:t>
            </w:r>
            <w:r w:rsidR="00CB5BEC">
              <w:rPr>
                <w:lang w:val="es-ES"/>
              </w:rPr>
              <w:t>barreras</w:t>
            </w:r>
            <w:r w:rsidR="00CB5BEC" w:rsidRPr="2133F407">
              <w:rPr>
                <w:lang w:val="es-ES"/>
              </w:rPr>
              <w:t xml:space="preserve"> </w:t>
            </w:r>
            <w:r w:rsidRPr="2133F407">
              <w:rPr>
                <w:lang w:val="es-ES"/>
              </w:rPr>
              <w:t>jurídic</w:t>
            </w:r>
            <w:r w:rsidR="00CB5BEC">
              <w:rPr>
                <w:lang w:val="es-ES"/>
              </w:rPr>
              <w:t>a</w:t>
            </w:r>
            <w:r w:rsidRPr="2133F407">
              <w:rPr>
                <w:lang w:val="es-ES"/>
              </w:rPr>
              <w:t xml:space="preserve">s y requisitos operativos para la entrada o la expansión). Esta evaluación se expresará en términos cualitativos, como «alto», «medio-alto», «medio-bajo» o «bajo». </w:t>
            </w:r>
          </w:p>
          <w:p w14:paraId="07F40115" w14:textId="77777777" w:rsidR="00414040" w:rsidRDefault="00414040">
            <w:pPr>
              <w:rPr>
                <w:rFonts w:ascii="Times New Roman" w:eastAsiaTheme="minorHAnsi" w:hAnsi="Times New Roman" w:cs="Times New Roman"/>
                <w:color w:val="000000" w:themeColor="text1"/>
                <w:sz w:val="20"/>
                <w:szCs w:val="20"/>
              </w:rPr>
            </w:pPr>
          </w:p>
          <w:p w14:paraId="7FE1BDC7" w14:textId="22A729EE" w:rsidR="00414040" w:rsidRDefault="00904E1A">
            <w:pPr>
              <w:pStyle w:val="P68B1DB1-Normal43"/>
            </w:pPr>
            <w:r>
              <w:t>Se seleccionará «</w:t>
            </w:r>
            <w:r w:rsidR="00153800">
              <w:t>alto</w:t>
            </w:r>
            <w:r>
              <w:t>» si la función puede ser proporcionada por otro banco fácilmente, en condiciones comparables y en un plazo razonable;</w:t>
            </w:r>
          </w:p>
          <w:p w14:paraId="7FE1BDC8" w14:textId="794A9FE4" w:rsidR="00414040" w:rsidRDefault="00904E1A">
            <w:pPr>
              <w:pStyle w:val="P68B1DB1-Normal43"/>
            </w:pPr>
            <w:r>
              <w:t xml:space="preserve">«Bajo» si la función no puede ser sustituida ni fácil ni rápidamente; </w:t>
            </w:r>
          </w:p>
          <w:p w14:paraId="7FE1BDC9" w14:textId="6F0847B2" w:rsidR="00414040" w:rsidRDefault="00904E1A">
            <w:pPr>
              <w:pStyle w:val="P68B1DB1-Normal43"/>
              <w:rPr>
                <w:lang w:val="es-ES"/>
              </w:rPr>
            </w:pPr>
            <w:r w:rsidRPr="2133F407">
              <w:rPr>
                <w:lang w:val="es-ES"/>
              </w:rPr>
              <w:t>«Medio-</w:t>
            </w:r>
            <w:r w:rsidR="00CB5BEC">
              <w:rPr>
                <w:lang w:val="es-ES"/>
              </w:rPr>
              <w:t>a</w:t>
            </w:r>
            <w:r w:rsidR="00CB5BEC" w:rsidRPr="2133F407">
              <w:rPr>
                <w:lang w:val="es-ES"/>
              </w:rPr>
              <w:t>lto</w:t>
            </w:r>
            <w:r w:rsidRPr="2133F407">
              <w:rPr>
                <w:lang w:val="es-ES"/>
              </w:rPr>
              <w:t>» y «</w:t>
            </w:r>
            <w:r w:rsidR="00CB5BEC">
              <w:rPr>
                <w:lang w:val="es-ES"/>
              </w:rPr>
              <w:t>m</w:t>
            </w:r>
            <w:r w:rsidR="00CB5BEC" w:rsidRPr="2133F407">
              <w:rPr>
                <w:lang w:val="es-ES"/>
              </w:rPr>
              <w:t>edio</w:t>
            </w:r>
            <w:r w:rsidRPr="2133F407">
              <w:rPr>
                <w:lang w:val="es-ES"/>
              </w:rPr>
              <w:t>-</w:t>
            </w:r>
            <w:r w:rsidR="00CB5BEC">
              <w:rPr>
                <w:lang w:val="es-ES"/>
              </w:rPr>
              <w:t>b</w:t>
            </w:r>
            <w:r w:rsidR="00CB5BEC" w:rsidRPr="2133F407">
              <w:rPr>
                <w:lang w:val="es-ES"/>
              </w:rPr>
              <w:t>ajo</w:t>
            </w:r>
            <w:r w:rsidRPr="2133F407">
              <w:rPr>
                <w:lang w:val="es-ES"/>
              </w:rPr>
              <w:t xml:space="preserve">» en los casos intermedios, teniendo en cuenta distintos </w:t>
            </w:r>
            <w:r w:rsidRPr="009673E2">
              <w:rPr>
                <w:lang w:val="es-ES"/>
              </w:rPr>
              <w:t>aspectos</w:t>
            </w:r>
            <w:r w:rsidRPr="2133F407">
              <w:rPr>
                <w:lang w:val="es-ES"/>
              </w:rPr>
              <w:t xml:space="preserve"> (por ejemplo, cuota de mercado, concentración del mercado, tiempo necesario para la sustitución, así como </w:t>
            </w:r>
            <w:r w:rsidR="00CB5BEC">
              <w:rPr>
                <w:lang w:val="es-ES"/>
              </w:rPr>
              <w:t>las barreras</w:t>
            </w:r>
            <w:r w:rsidRPr="2133F407">
              <w:rPr>
                <w:lang w:val="es-ES"/>
              </w:rPr>
              <w:t xml:space="preserve"> jurídic</w:t>
            </w:r>
            <w:r w:rsidR="00CB5BEC">
              <w:rPr>
                <w:lang w:val="es-ES"/>
              </w:rPr>
              <w:t>a</w:t>
            </w:r>
            <w:r w:rsidRPr="2133F407">
              <w:rPr>
                <w:lang w:val="es-ES"/>
              </w:rPr>
              <w:t>s a la entrada o la expansión, y los requisitos operativos de esta</w:t>
            </w:r>
            <w:r w:rsidR="00B737FD">
              <w:rPr>
                <w:lang w:val="es-ES"/>
              </w:rPr>
              <w:t>s</w:t>
            </w:r>
            <w:r w:rsidRPr="2133F407">
              <w:rPr>
                <w:lang w:val="es-ES"/>
              </w:rPr>
              <w:t>).</w:t>
            </w:r>
          </w:p>
        </w:tc>
      </w:tr>
      <w:tr w:rsidR="00414040" w14:paraId="7FE1BDCF" w14:textId="77777777" w:rsidTr="11A44BD7">
        <w:tc>
          <w:tcPr>
            <w:tcW w:w="1080" w:type="dxa"/>
            <w:tcBorders>
              <w:top w:val="single" w:sz="4" w:space="0" w:color="1A171C"/>
              <w:left w:val="nil"/>
              <w:bottom w:val="single" w:sz="4" w:space="0" w:color="1A171C"/>
              <w:right w:val="single" w:sz="4" w:space="0" w:color="1A171C"/>
            </w:tcBorders>
            <w:vAlign w:val="center"/>
          </w:tcPr>
          <w:p w14:paraId="7FE1BDCB" w14:textId="77777777" w:rsidR="00414040" w:rsidRDefault="00904E1A">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414040" w:rsidRDefault="00904E1A">
            <w:pPr>
              <w:pStyle w:val="P68B1DB1-Normal42"/>
              <w:rPr>
                <w:bCs/>
              </w:rPr>
            </w:pPr>
            <w:r>
              <w:t>Función esencial</w:t>
            </w:r>
          </w:p>
          <w:p w14:paraId="7FE1BDCD" w14:textId="1AFF7FF5" w:rsidR="00414040" w:rsidRDefault="00904E1A">
            <w:pPr>
              <w:pStyle w:val="P68B1DB1-Normal43"/>
            </w:pPr>
            <w:r>
              <w:t xml:space="preserve">En esta columna se indicará si, teniendo en cuenta el análisis de impacto y </w:t>
            </w:r>
            <w:r w:rsidR="008730C3" w:rsidRPr="009673E2">
              <w:t>sustituibilidad</w:t>
            </w:r>
            <w:r>
              <w:t xml:space="preserve"> realizado por la </w:t>
            </w:r>
            <w:r w:rsidR="00153800">
              <w:t>entidad</w:t>
            </w:r>
            <w:r>
              <w:t>, la función económica se considera esencial en el mercado del país de que se trate.</w:t>
            </w:r>
          </w:p>
          <w:p w14:paraId="7FE1BDCE" w14:textId="77777777" w:rsidR="00414040" w:rsidRDefault="00904E1A">
            <w:pPr>
              <w:pStyle w:val="P68B1DB1-Normal43"/>
            </w:pPr>
            <w:r>
              <w:t>Indíquese «Sí» o «No».</w:t>
            </w:r>
          </w:p>
        </w:tc>
      </w:tr>
      <w:tr w:rsidR="00414040" w14:paraId="7FE1BDD3" w14:textId="77777777" w:rsidTr="11A44BD7">
        <w:tc>
          <w:tcPr>
            <w:tcW w:w="1080" w:type="dxa"/>
            <w:tcBorders>
              <w:top w:val="single" w:sz="4" w:space="0" w:color="1A171C"/>
              <w:left w:val="nil"/>
              <w:bottom w:val="single" w:sz="4" w:space="0" w:color="1A171C"/>
              <w:right w:val="single" w:sz="4" w:space="0" w:color="1A171C"/>
            </w:tcBorders>
            <w:vAlign w:val="center"/>
          </w:tcPr>
          <w:p w14:paraId="7FE1BDD0" w14:textId="77777777" w:rsidR="00414040" w:rsidRDefault="00904E1A">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414040" w:rsidRDefault="00904E1A">
            <w:pPr>
              <w:pStyle w:val="P68B1DB1-Normal42"/>
              <w:rPr>
                <w:bCs/>
              </w:rPr>
            </w:pPr>
            <w:r>
              <w:t>Observaciones del Grupo</w:t>
            </w:r>
          </w:p>
          <w:p w14:paraId="7FE1BDD2" w14:textId="6543A3D4" w:rsidR="00414040" w:rsidRDefault="00904E1A">
            <w:pPr>
              <w:pStyle w:val="P68B1DB1-Normal43"/>
            </w:pPr>
            <w:r>
              <w:lastRenderedPageBreak/>
              <w:t xml:space="preserve">Este campo permite </w:t>
            </w:r>
            <w:r w:rsidR="007A2292">
              <w:t>al ente</w:t>
            </w:r>
            <w:r>
              <w:t xml:space="preserve"> </w:t>
            </w:r>
            <w:r w:rsidR="00153800">
              <w:t>declarante</w:t>
            </w:r>
            <w:r>
              <w:t xml:space="preserve"> explicar cualquier hipótesis utilizada al evaluar el carácter esencial de la función o funciones comunicadas.</w:t>
            </w:r>
          </w:p>
        </w:tc>
      </w:tr>
    </w:tbl>
    <w:p w14:paraId="7FE1BDD4" w14:textId="77777777" w:rsidR="00414040" w:rsidRDefault="00414040">
      <w:pPr>
        <w:rPr>
          <w:rFonts w:ascii="Times New Roman" w:hAnsi="Times New Roman" w:cs="Times New Roman"/>
          <w:color w:val="000000" w:themeColor="text1"/>
          <w:sz w:val="20"/>
          <w:szCs w:val="20"/>
        </w:rPr>
      </w:pPr>
    </w:p>
    <w:p w14:paraId="7FE1BFB4" w14:textId="77777777" w:rsidR="00414040" w:rsidRDefault="00414040">
      <w:pPr>
        <w:rPr>
          <w:rFonts w:ascii="Times New Roman" w:hAnsi="Times New Roman" w:cs="Times New Roman"/>
        </w:rPr>
      </w:pPr>
    </w:p>
    <w:p w14:paraId="7FE1BFB5" w14:textId="6EF0F04D" w:rsidR="00414040" w:rsidRDefault="10A5E5BA" w:rsidP="45D41A7B">
      <w:pPr>
        <w:pStyle w:val="P68B1DB1-Instructionsberschrift25"/>
        <w:numPr>
          <w:ilvl w:val="1"/>
          <w:numId w:val="49"/>
        </w:numPr>
        <w:ind w:left="357" w:hanging="357"/>
        <w:rPr>
          <w:lang w:val="es-ES"/>
        </w:rPr>
      </w:pPr>
      <w:bookmarkStart w:id="122" w:name="_Toc211525929"/>
      <w:r w:rsidRPr="45D41A7B">
        <w:rPr>
          <w:lang w:val="es-ES"/>
        </w:rPr>
        <w:t>Z 07.</w:t>
      </w:r>
      <w:proofErr w:type="gramStart"/>
      <w:r w:rsidRPr="45D41A7B">
        <w:rPr>
          <w:lang w:val="es-ES"/>
        </w:rPr>
        <w:t>02.Correspondencias</w:t>
      </w:r>
      <w:proofErr w:type="gramEnd"/>
      <w:r w:rsidRPr="45D41A7B">
        <w:rPr>
          <w:lang w:val="es-ES"/>
        </w:rPr>
        <w:t xml:space="preserve"> de las funciones económicas </w:t>
      </w:r>
      <w:r w:rsidR="73E3DE5D" w:rsidRPr="75DC6F2A">
        <w:rPr>
          <w:lang w:val="es-ES"/>
        </w:rPr>
        <w:t>con los</w:t>
      </w:r>
      <w:r w:rsidRPr="45D41A7B">
        <w:rPr>
          <w:lang w:val="es-ES"/>
        </w:rPr>
        <w:t xml:space="preserve"> entes jurídicos (FUNC 2)</w:t>
      </w:r>
      <w:bookmarkEnd w:id="122"/>
      <w:r w:rsidRPr="45D41A7B">
        <w:rPr>
          <w:lang w:val="es-ES"/>
        </w:rPr>
        <w:t xml:space="preserve"> </w:t>
      </w:r>
    </w:p>
    <w:p w14:paraId="7FE1BFB6" w14:textId="77777777" w:rsidR="00414040" w:rsidRDefault="00904E1A">
      <w:pPr>
        <w:pStyle w:val="P68B1DB1-Instructionsberschrift312"/>
        <w:rPr>
          <w:color w:val="auto"/>
        </w:rPr>
      </w:pPr>
      <w:r>
        <w:t>Instrucciones</w:t>
      </w:r>
      <w:r>
        <w:rPr>
          <w:color w:val="auto"/>
        </w:rPr>
        <w:t xml:space="preserve"> relativas a posiciones concretas</w:t>
      </w:r>
    </w:p>
    <w:p w14:paraId="7FE1BFB7" w14:textId="7A5F9014" w:rsidR="00414040" w:rsidRDefault="00904E1A">
      <w:pPr>
        <w:pStyle w:val="P68B1DB1-InstructionsText26"/>
        <w:numPr>
          <w:ilvl w:val="0"/>
          <w:numId w:val="232"/>
        </w:numPr>
        <w:spacing w:before="0"/>
      </w:pPr>
      <w:r>
        <w:t>Esta plantilla se cumplimentará para todo el grupo y teniendo en cuenta las funciones económicas que el grupo está proporcionando a la economía.</w:t>
      </w:r>
    </w:p>
    <w:p w14:paraId="7FE1BFB8" w14:textId="223B4725" w:rsidR="00414040" w:rsidRDefault="00904E1A">
      <w:pPr>
        <w:pStyle w:val="P68B1DB1-InstructionsText26"/>
        <w:numPr>
          <w:ilvl w:val="0"/>
          <w:numId w:val="232"/>
        </w:numPr>
        <w:spacing w:before="0"/>
      </w:pPr>
      <w:r>
        <w:t xml:space="preserve">La combinación de los valores </w:t>
      </w:r>
      <w:r w:rsidR="52FFDDAB">
        <w:t>informados</w:t>
      </w:r>
      <w:r>
        <w:t xml:space="preserve"> en las columnas 0010, 0020 y 0040 de esta plantilla constituye una clave principal que debe ser única para cada fila de la plantilla.</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14040" w14:paraId="7FE1BFBB" w14:textId="77777777" w:rsidTr="11A44BD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414040" w:rsidRDefault="00904E1A">
            <w:pPr>
              <w:pStyle w:val="P68B1DB1-TableParagraph17"/>
              <w:spacing w:before="108"/>
              <w:ind w:left="85"/>
              <w:jc w:val="both"/>
            </w:pPr>
            <w:r>
              <w:t>Columnas</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414040" w:rsidRDefault="00904E1A">
            <w:pPr>
              <w:pStyle w:val="P68B1DB1-TableParagraph17"/>
              <w:spacing w:before="108"/>
              <w:ind w:left="85" w:right="1"/>
              <w:jc w:val="both"/>
            </w:pPr>
            <w:r>
              <w:t>Instrucciones</w:t>
            </w:r>
          </w:p>
        </w:tc>
      </w:tr>
      <w:tr w:rsidR="00414040" w14:paraId="7FE1BFBE" w14:textId="77777777" w:rsidTr="11A44BD7">
        <w:tc>
          <w:tcPr>
            <w:tcW w:w="1191" w:type="dxa"/>
            <w:tcBorders>
              <w:top w:val="single" w:sz="4" w:space="0" w:color="1A171C"/>
              <w:left w:val="nil"/>
              <w:bottom w:val="single" w:sz="4" w:space="0" w:color="1A171C"/>
              <w:right w:val="single" w:sz="4" w:space="0" w:color="1A171C"/>
            </w:tcBorders>
            <w:vAlign w:val="center"/>
          </w:tcPr>
          <w:p w14:paraId="7FE1BFBC" w14:textId="77777777" w:rsidR="00414040" w:rsidRDefault="00904E1A">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414040" w:rsidRDefault="00904E1A">
            <w:pPr>
              <w:pStyle w:val="P68B1DB1-TableParagraph14"/>
              <w:spacing w:before="108"/>
              <w:ind w:left="85"/>
              <w:jc w:val="both"/>
              <w:rPr>
                <w:bCs/>
              </w:rPr>
            </w:pPr>
            <w:r>
              <w:t>Función económica</w:t>
            </w:r>
          </w:p>
        </w:tc>
      </w:tr>
      <w:tr w:rsidR="00414040" w14:paraId="7FE1BFC2" w14:textId="77777777" w:rsidTr="11A44BD7">
        <w:tc>
          <w:tcPr>
            <w:tcW w:w="1191" w:type="dxa"/>
            <w:tcBorders>
              <w:top w:val="single" w:sz="4" w:space="0" w:color="1A171C"/>
              <w:left w:val="nil"/>
              <w:bottom w:val="single" w:sz="4" w:space="0" w:color="1A171C"/>
              <w:right w:val="single" w:sz="4" w:space="0" w:color="1A171C"/>
            </w:tcBorders>
            <w:vAlign w:val="center"/>
          </w:tcPr>
          <w:p w14:paraId="7FE1BFBF" w14:textId="77777777" w:rsidR="00414040" w:rsidRDefault="00904E1A">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414040" w:rsidRDefault="00904E1A">
            <w:pPr>
              <w:pStyle w:val="P68B1DB1-TableParagraph14"/>
              <w:spacing w:before="108"/>
              <w:ind w:left="85"/>
              <w:jc w:val="both"/>
              <w:rPr>
                <w:bCs/>
              </w:rPr>
            </w:pPr>
            <w:r>
              <w:t>País</w:t>
            </w:r>
          </w:p>
          <w:p w14:paraId="7FE1BFC1" w14:textId="4BD6F147" w:rsidR="00414040" w:rsidRDefault="00904E1A">
            <w:pPr>
              <w:pStyle w:val="P68B1DB1-TableParagraph17"/>
              <w:spacing w:before="108"/>
              <w:ind w:left="85"/>
            </w:pPr>
            <w:r>
              <w:t>País para el que se desempeña la función económica</w:t>
            </w:r>
            <w:r w:rsidR="00254EB9">
              <w:t>,</w:t>
            </w:r>
          </w:p>
        </w:tc>
      </w:tr>
      <w:tr w:rsidR="00414040" w14:paraId="7FE1BFC6" w14:textId="77777777" w:rsidTr="11A44BD7">
        <w:tc>
          <w:tcPr>
            <w:tcW w:w="1191" w:type="dxa"/>
            <w:tcBorders>
              <w:top w:val="single" w:sz="4" w:space="0" w:color="1A171C"/>
              <w:left w:val="nil"/>
              <w:bottom w:val="single" w:sz="4" w:space="0" w:color="1A171C"/>
              <w:right w:val="single" w:sz="4" w:space="0" w:color="1A171C"/>
            </w:tcBorders>
            <w:vAlign w:val="center"/>
          </w:tcPr>
          <w:p w14:paraId="7FE1BFC3" w14:textId="77777777" w:rsidR="00414040" w:rsidRDefault="00904E1A">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57250F50" w:rsidR="00414040" w:rsidRDefault="0756CAEF">
            <w:pPr>
              <w:pStyle w:val="P68B1DB1-TableParagraph14"/>
              <w:spacing w:before="108"/>
              <w:ind w:left="85"/>
              <w:jc w:val="both"/>
              <w:rPr>
                <w:bCs/>
              </w:rPr>
            </w:pPr>
            <w:r>
              <w:t>ID</w:t>
            </w:r>
          </w:p>
          <w:p w14:paraId="7FE1BFC5" w14:textId="05F6B42D" w:rsidR="00414040" w:rsidRDefault="00904E1A">
            <w:pPr>
              <w:pStyle w:val="P68B1DB1-TableParagraph17"/>
              <w:spacing w:before="108"/>
              <w:ind w:left="85"/>
            </w:pPr>
            <w:r>
              <w:t>Identificador de las funciones económicas [según se indica en la plantilla Z 07.01 (FUNC 1) en el caso de las funciones esenciales].</w:t>
            </w:r>
          </w:p>
        </w:tc>
      </w:tr>
      <w:tr w:rsidR="00414040" w14:paraId="7FE1BFC9" w14:textId="77777777" w:rsidTr="11A44BD7">
        <w:tc>
          <w:tcPr>
            <w:tcW w:w="1191" w:type="dxa"/>
            <w:tcBorders>
              <w:top w:val="single" w:sz="4" w:space="0" w:color="1A171C"/>
              <w:left w:val="nil"/>
              <w:bottom w:val="single" w:sz="4" w:space="0" w:color="1A171C"/>
              <w:right w:val="single" w:sz="4" w:space="0" w:color="1A171C"/>
            </w:tcBorders>
            <w:vAlign w:val="center"/>
          </w:tcPr>
          <w:p w14:paraId="7FE1BFC7" w14:textId="77777777" w:rsidR="00414040" w:rsidRDefault="00904E1A">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43C944BB" w:rsidR="00414040" w:rsidRDefault="2491F81A">
            <w:pPr>
              <w:pStyle w:val="P68B1DB1-TableParagraph14"/>
              <w:spacing w:before="108"/>
              <w:ind w:left="85"/>
              <w:jc w:val="both"/>
              <w:rPr>
                <w:bCs/>
              </w:rPr>
            </w:pPr>
            <w:r>
              <w:t>Ente jurídico</w:t>
            </w:r>
          </w:p>
        </w:tc>
      </w:tr>
      <w:tr w:rsidR="00414040" w14:paraId="7FE1BFCF" w14:textId="77777777" w:rsidTr="11A44BD7">
        <w:tc>
          <w:tcPr>
            <w:tcW w:w="1191" w:type="dxa"/>
            <w:tcBorders>
              <w:top w:val="single" w:sz="4" w:space="0" w:color="1A171C"/>
              <w:left w:val="nil"/>
              <w:bottom w:val="single" w:sz="4" w:space="0" w:color="1A171C"/>
              <w:right w:val="single" w:sz="4" w:space="0" w:color="1A171C"/>
            </w:tcBorders>
            <w:vAlign w:val="center"/>
          </w:tcPr>
          <w:p w14:paraId="7FE1BFCA" w14:textId="32FAFC18" w:rsidR="00414040" w:rsidRDefault="00904E1A" w:rsidP="004738BF">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414040" w:rsidRDefault="00904E1A">
            <w:pPr>
              <w:pStyle w:val="P68B1DB1-TableParagraph14"/>
              <w:spacing w:before="108"/>
              <w:ind w:left="85"/>
              <w:jc w:val="both"/>
              <w:rPr>
                <w:bCs/>
              </w:rPr>
            </w:pPr>
            <w:r>
              <w:t>Nombre del ente</w:t>
            </w:r>
          </w:p>
          <w:p w14:paraId="7FE1BFCD" w14:textId="375A6177" w:rsidR="00414040" w:rsidRDefault="00904E1A">
            <w:pPr>
              <w:pStyle w:val="P68B1DB1-TableParagraph17"/>
              <w:spacing w:before="108"/>
              <w:ind w:left="85"/>
            </w:pPr>
            <w:r>
              <w:t>Nombre del ente que realiza la función económica, tal como conste en Z 01.01 (ORG 1).</w:t>
            </w:r>
          </w:p>
          <w:p w14:paraId="7FE1BFCE" w14:textId="1B5E9D84" w:rsidR="00414040" w:rsidRDefault="00904E1A">
            <w:pPr>
              <w:pStyle w:val="P68B1DB1-TableParagraph17"/>
              <w:spacing w:before="108"/>
              <w:ind w:left="85"/>
            </w:pPr>
            <w:r w:rsidRPr="11A44BD7">
              <w:rPr>
                <w:lang w:val="es-ES"/>
              </w:rPr>
              <w:t xml:space="preserve">Si son varios los entes que desempeñan las mismas funciones económicas en el mismo país, se </w:t>
            </w:r>
            <w:proofErr w:type="gramStart"/>
            <w:r w:rsidR="66D53FE1" w:rsidRPr="11A44BD7">
              <w:rPr>
                <w:lang w:val="es-ES"/>
              </w:rPr>
              <w:t>informará</w:t>
            </w:r>
            <w:proofErr w:type="gramEnd"/>
            <w:r w:rsidRPr="11A44BD7">
              <w:rPr>
                <w:lang w:val="es-ES"/>
              </w:rPr>
              <w:t xml:space="preserve"> cada uno de ellos en una fila separada.</w:t>
            </w:r>
          </w:p>
        </w:tc>
      </w:tr>
      <w:tr w:rsidR="00414040" w14:paraId="7FE1BFD4" w14:textId="77777777" w:rsidTr="11A44BD7">
        <w:tc>
          <w:tcPr>
            <w:tcW w:w="1191" w:type="dxa"/>
            <w:tcBorders>
              <w:top w:val="single" w:sz="4" w:space="0" w:color="1A171C"/>
              <w:left w:val="nil"/>
              <w:bottom w:val="single" w:sz="4" w:space="0" w:color="1A171C"/>
              <w:right w:val="single" w:sz="4" w:space="0" w:color="1A171C"/>
            </w:tcBorders>
            <w:vAlign w:val="center"/>
          </w:tcPr>
          <w:p w14:paraId="7FE1BFD0" w14:textId="77777777" w:rsidR="00414040" w:rsidRDefault="00904E1A">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414040" w:rsidRDefault="00904E1A">
            <w:pPr>
              <w:pStyle w:val="P68B1DB1-TableParagraph14"/>
              <w:spacing w:before="108"/>
              <w:ind w:left="85"/>
              <w:jc w:val="both"/>
              <w:rPr>
                <w:bCs/>
              </w:rPr>
            </w:pPr>
            <w:r>
              <w:t>Código</w:t>
            </w:r>
          </w:p>
          <w:p w14:paraId="7FE1BFD2" w14:textId="77777777" w:rsidR="00414040" w:rsidRDefault="00904E1A">
            <w:pPr>
              <w:pStyle w:val="P68B1DB1-TableParagraph17"/>
              <w:spacing w:before="108"/>
              <w:ind w:left="85"/>
            </w:pPr>
            <w:r>
              <w:t>Identificador único del ente jurídico que figura en la columna 0020 tal como conste en la plantilla Z 01.01 (ORG 1).</w:t>
            </w:r>
          </w:p>
          <w:p w14:paraId="7FE1BFD3" w14:textId="17CD93CB" w:rsidR="00414040" w:rsidRDefault="00904E1A">
            <w:pPr>
              <w:pStyle w:val="P68B1DB1-TableParagraph17"/>
              <w:spacing w:before="108"/>
              <w:ind w:left="85"/>
            </w:pPr>
            <w:r>
              <w:t xml:space="preserve">La identificación de </w:t>
            </w:r>
            <w:r w:rsidR="009C76BD">
              <w:t xml:space="preserve">los entes </w:t>
            </w:r>
            <w:r>
              <w:t>se hará de manera coherente en todas las plantillas.</w:t>
            </w:r>
          </w:p>
        </w:tc>
      </w:tr>
      <w:tr w:rsidR="00414040" w14:paraId="7FE1BFDB" w14:textId="77777777" w:rsidTr="11A44BD7">
        <w:tc>
          <w:tcPr>
            <w:tcW w:w="1191" w:type="dxa"/>
            <w:tcBorders>
              <w:top w:val="single" w:sz="4" w:space="0" w:color="1A171C"/>
              <w:left w:val="nil"/>
              <w:bottom w:val="single" w:sz="4" w:space="0" w:color="1A171C"/>
              <w:right w:val="single" w:sz="4" w:space="0" w:color="1A171C"/>
            </w:tcBorders>
            <w:vAlign w:val="center"/>
          </w:tcPr>
          <w:p w14:paraId="7FE1BFD5" w14:textId="77777777" w:rsidR="00414040" w:rsidRDefault="00904E1A">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414040" w:rsidRDefault="00904E1A">
            <w:pPr>
              <w:pStyle w:val="P68B1DB1-TableParagraph14"/>
              <w:spacing w:before="108"/>
              <w:ind w:left="85"/>
              <w:jc w:val="both"/>
              <w:rPr>
                <w:bCs/>
              </w:rPr>
            </w:pPr>
            <w:r>
              <w:t>Tipo de código</w:t>
            </w:r>
          </w:p>
          <w:p w14:paraId="29A7EF10" w14:textId="77777777" w:rsidR="00414040" w:rsidRDefault="00904E1A">
            <w:pPr>
              <w:pStyle w:val="P68B1DB1-TableParagraph13"/>
              <w:spacing w:before="108"/>
            </w:pPr>
            <w:r>
              <w:t>Se seleccionará una de las opciones siguientes: «Código LEI», «Código de IFM» o «Tipo de identificador: distinto del código LEI o de IFM».</w:t>
            </w:r>
          </w:p>
          <w:p w14:paraId="7FE1BFDA" w14:textId="44AB871F" w:rsidR="00414040" w:rsidRDefault="00904E1A">
            <w:pPr>
              <w:pStyle w:val="P68B1DB1-TableParagraph13"/>
              <w:spacing w:before="108"/>
              <w:ind w:left="85"/>
              <w:jc w:val="both"/>
              <w:rPr>
                <w:b/>
                <w:bCs/>
              </w:rPr>
            </w:pPr>
            <w:r>
              <w:t xml:space="preserve">La identificación de </w:t>
            </w:r>
            <w:r w:rsidR="009C76BD">
              <w:t>los entes</w:t>
            </w:r>
            <w:r>
              <w:t xml:space="preserve"> se hará de manera coherente en todas las plantillas.</w:t>
            </w:r>
          </w:p>
        </w:tc>
      </w:tr>
      <w:tr w:rsidR="00414040" w14:paraId="7FE1BFE4" w14:textId="77777777" w:rsidTr="11A44BD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414040" w:rsidRDefault="00904E1A">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414040" w:rsidRDefault="00904E1A">
            <w:pPr>
              <w:pStyle w:val="P68B1DB1-TableParagraph14"/>
              <w:spacing w:before="108"/>
              <w:ind w:left="85"/>
              <w:jc w:val="both"/>
              <w:rPr>
                <w:bCs/>
              </w:rPr>
            </w:pPr>
            <w:r>
              <w:t>Importe monetario</w:t>
            </w:r>
          </w:p>
          <w:p w14:paraId="7FE1BFDE" w14:textId="1157FFA9" w:rsidR="00414040" w:rsidRDefault="00904E1A">
            <w:pPr>
              <w:pStyle w:val="P68B1DB1-TableParagraph17"/>
              <w:spacing w:before="108"/>
              <w:ind w:left="85"/>
            </w:pPr>
            <w:r>
              <w:t>Contribución, en importe monetario, del ente jurídico a los importes monetarios indicados en la plantilla Z 07.01 (FUNC 1):</w:t>
            </w:r>
          </w:p>
          <w:p w14:paraId="7FE1BFDF" w14:textId="77777777" w:rsidR="00414040" w:rsidRDefault="00904E1A">
            <w:pPr>
              <w:pStyle w:val="P68B1DB1-TableParagraph17"/>
              <w:numPr>
                <w:ilvl w:val="0"/>
                <w:numId w:val="64"/>
              </w:numPr>
              <w:spacing w:before="108"/>
            </w:pPr>
            <w:r>
              <w:t>Depósitos — Valor en cuentas</w:t>
            </w:r>
          </w:p>
          <w:p w14:paraId="7FE1BFE0" w14:textId="036B88D5" w:rsidR="00414040" w:rsidRDefault="00254EB9">
            <w:pPr>
              <w:pStyle w:val="P68B1DB1-TableParagraph17"/>
              <w:numPr>
                <w:ilvl w:val="0"/>
                <w:numId w:val="64"/>
              </w:numPr>
              <w:spacing w:before="108"/>
            </w:pPr>
            <w:r>
              <w:t xml:space="preserve">Concesión de financiación </w:t>
            </w:r>
            <w:r w:rsidR="00904E1A">
              <w:t>— Valor pendiente</w:t>
            </w:r>
          </w:p>
          <w:p w14:paraId="7FE1BFE1" w14:textId="77777777" w:rsidR="00414040" w:rsidRDefault="00904E1A">
            <w:pPr>
              <w:pStyle w:val="P68B1DB1-TableParagraph17"/>
              <w:numPr>
                <w:ilvl w:val="0"/>
                <w:numId w:val="64"/>
              </w:numPr>
              <w:spacing w:before="108"/>
            </w:pPr>
            <w:r>
              <w:t>Pagos — Valor de las operaciones/posiciones abiertas/activos en custodia (según proceda)</w:t>
            </w:r>
          </w:p>
          <w:p w14:paraId="7FE1BFE2" w14:textId="4F6CFB51" w:rsidR="00414040" w:rsidRDefault="00904E1A">
            <w:pPr>
              <w:pStyle w:val="P68B1DB1-TableParagraph17"/>
              <w:numPr>
                <w:ilvl w:val="0"/>
                <w:numId w:val="64"/>
              </w:numPr>
              <w:spacing w:before="108"/>
            </w:pPr>
            <w:r>
              <w:lastRenderedPageBreak/>
              <w:t xml:space="preserve">Mercados de capitales — Importe nocional/Importe en libros/Ingresos por </w:t>
            </w:r>
            <w:r w:rsidR="62FA0B65">
              <w:t>comisiones</w:t>
            </w:r>
            <w:r>
              <w:t xml:space="preserve"> (según proceda)</w:t>
            </w:r>
          </w:p>
          <w:p w14:paraId="7FE1BFE3" w14:textId="77777777" w:rsidR="00414040" w:rsidRDefault="00904E1A">
            <w:pPr>
              <w:pStyle w:val="P68B1DB1-TableParagraph17"/>
              <w:numPr>
                <w:ilvl w:val="0"/>
                <w:numId w:val="64"/>
              </w:numPr>
              <w:spacing w:before="108"/>
            </w:pPr>
            <w:r>
              <w:t>Financiación mayorista — Importe en libros bruto</w:t>
            </w:r>
          </w:p>
        </w:tc>
      </w:tr>
    </w:tbl>
    <w:p w14:paraId="7FE1BFE5" w14:textId="77777777" w:rsidR="00414040" w:rsidRDefault="00414040">
      <w:pPr>
        <w:rPr>
          <w:rFonts w:ascii="Times New Roman" w:hAnsi="Times New Roman" w:cs="Times New Roman"/>
          <w:color w:val="000000" w:themeColor="text1"/>
          <w:sz w:val="20"/>
          <w:szCs w:val="20"/>
        </w:rPr>
      </w:pPr>
    </w:p>
    <w:p w14:paraId="7FE1BFE6" w14:textId="7DD96795" w:rsidR="00414040" w:rsidRDefault="00904E1A">
      <w:pPr>
        <w:pStyle w:val="P68B1DB1-Instructionsberschrift25"/>
        <w:numPr>
          <w:ilvl w:val="1"/>
          <w:numId w:val="49"/>
        </w:numPr>
        <w:ind w:left="357" w:hanging="357"/>
        <w:rPr>
          <w:lang w:val="es-ES"/>
        </w:rPr>
      </w:pPr>
      <w:bookmarkStart w:id="123" w:name="_Toc211525930"/>
      <w:r w:rsidRPr="618604ED">
        <w:rPr>
          <w:lang w:val="es-ES"/>
        </w:rPr>
        <w:t>Z 07.</w:t>
      </w:r>
      <w:proofErr w:type="gramStart"/>
      <w:r w:rsidRPr="618604ED">
        <w:rPr>
          <w:lang w:val="es-ES"/>
        </w:rPr>
        <w:t>03.Correspondencias</w:t>
      </w:r>
      <w:proofErr w:type="gramEnd"/>
      <w:r w:rsidRPr="618604ED">
        <w:rPr>
          <w:lang w:val="es-ES"/>
        </w:rPr>
        <w:t xml:space="preserve"> de las ramas de actividad principales por entes jurídicos (FUNC 3)</w:t>
      </w:r>
      <w:bookmarkEnd w:id="123"/>
    </w:p>
    <w:p w14:paraId="7FE1BFE7" w14:textId="2A9EA2DA" w:rsidR="00414040" w:rsidRDefault="00904E1A">
      <w:pPr>
        <w:pStyle w:val="P68B1DB1-Instructionsberschrift312"/>
        <w:rPr>
          <w:bCs/>
        </w:rPr>
      </w:pPr>
      <w:r>
        <w:t>Instrucciones relativas a posiciones concretas</w:t>
      </w:r>
    </w:p>
    <w:p w14:paraId="7FE1BFE8" w14:textId="22F22526" w:rsidR="00414040" w:rsidRDefault="00904E1A">
      <w:pPr>
        <w:pStyle w:val="P68B1DB1-InstructionsText26"/>
        <w:numPr>
          <w:ilvl w:val="0"/>
          <w:numId w:val="232"/>
        </w:numPr>
        <w:spacing w:before="0"/>
      </w:pPr>
      <w:r>
        <w:t xml:space="preserve">La combinación de los valores </w:t>
      </w:r>
      <w:r w:rsidR="04E5D7FA">
        <w:t>informado</w:t>
      </w:r>
      <w:r>
        <w:t>s en las columnas 0020 y 0050 de esta plantilla constituye una clave principal que debe ser única para cada fila de la plantilla.</w:t>
      </w:r>
    </w:p>
    <w:p w14:paraId="7FE1BFE9" w14:textId="2A3775AB" w:rsidR="00414040" w:rsidRDefault="00904E1A">
      <w:pPr>
        <w:pStyle w:val="P68B1DB1-InstructionsText26"/>
        <w:numPr>
          <w:ilvl w:val="0"/>
          <w:numId w:val="232"/>
        </w:numPr>
        <w:spacing w:before="0"/>
      </w:pPr>
      <w:r>
        <w:t xml:space="preserve">En esta plantilla solo deberán </w:t>
      </w:r>
      <w:r w:rsidR="3E6881F2">
        <w:t>informarse</w:t>
      </w:r>
      <w:r>
        <w:t xml:space="preserve"> las </w:t>
      </w:r>
      <w:r w:rsidR="00B9467D">
        <w:t xml:space="preserve">ramas de actividad </w:t>
      </w:r>
      <w:r>
        <w:t>de los entes jurídicos pertinentes.</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14040"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414040" w:rsidRDefault="00904E1A">
            <w:pPr>
              <w:pStyle w:val="P68B1DB1-TableParagraph17"/>
              <w:spacing w:before="108"/>
              <w:ind w:left="85"/>
              <w:jc w:val="both"/>
            </w:pPr>
            <w:r>
              <w:t>Columnas</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414040" w:rsidRDefault="00904E1A">
            <w:pPr>
              <w:pStyle w:val="P68B1DB1-TableParagraph17"/>
              <w:spacing w:before="108"/>
              <w:ind w:left="85" w:right="1"/>
              <w:jc w:val="both"/>
            </w:pPr>
            <w:r>
              <w:t>Instrucciones</w:t>
            </w:r>
          </w:p>
        </w:tc>
      </w:tr>
      <w:tr w:rsidR="00414040"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414040" w:rsidRDefault="00904E1A">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0C58EBB8" w:rsidR="00414040" w:rsidRDefault="00904E1A">
            <w:pPr>
              <w:pStyle w:val="P68B1DB1-TableParagraph14"/>
              <w:spacing w:before="108"/>
              <w:ind w:left="85"/>
              <w:jc w:val="both"/>
              <w:rPr>
                <w:bCs/>
              </w:rPr>
            </w:pPr>
            <w:r>
              <w:t>Rama de actividad principal</w:t>
            </w:r>
          </w:p>
        </w:tc>
      </w:tr>
      <w:tr w:rsidR="00414040"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414040" w:rsidRDefault="00904E1A">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21F1EF7E" w:rsidR="00414040" w:rsidRDefault="00904E1A">
            <w:pPr>
              <w:pStyle w:val="P68B1DB1-TableParagraph14"/>
              <w:spacing w:before="108"/>
              <w:ind w:left="85"/>
              <w:jc w:val="both"/>
              <w:rPr>
                <w:bCs/>
              </w:rPr>
            </w:pPr>
            <w:r>
              <w:t>Rama de actividad principal</w:t>
            </w:r>
          </w:p>
          <w:p w14:paraId="7FE1BFF2" w14:textId="4067B39F" w:rsidR="00414040" w:rsidRDefault="00904E1A">
            <w:pPr>
              <w:pStyle w:val="P68B1DB1-TableParagraph17"/>
              <w:spacing w:before="108"/>
              <w:ind w:left="85"/>
            </w:pPr>
            <w:r>
              <w:t>Rama de actividad principal según lo establecido en el artículo 2, apartado 1, punto 36, y el artículo 2, apartado 2, de la Directiva 2014/59/UE.</w:t>
            </w:r>
          </w:p>
          <w:p w14:paraId="7FE1BFF3" w14:textId="77777777" w:rsidR="00414040" w:rsidRDefault="00904E1A">
            <w:pPr>
              <w:pStyle w:val="P68B1DB1-TableParagraph17"/>
              <w:spacing w:before="108"/>
              <w:ind w:left="85"/>
              <w:rPr>
                <w:lang w:val="es-ES"/>
              </w:rPr>
            </w:pPr>
            <w:r w:rsidRPr="2133F407">
              <w:rPr>
                <w:lang w:val="es-ES"/>
              </w:rPr>
              <w:t>La rama de actividad principal será una de las ramas de actividad enumeradas a continuación.</w:t>
            </w:r>
          </w:p>
          <w:p w14:paraId="7FE1BFF4" w14:textId="77777777" w:rsidR="00414040" w:rsidRDefault="00904E1A">
            <w:pPr>
              <w:pStyle w:val="P68B1DB1-TableParagraph17"/>
              <w:numPr>
                <w:ilvl w:val="0"/>
                <w:numId w:val="139"/>
              </w:numPr>
              <w:spacing w:before="108"/>
              <w:rPr>
                <w:rFonts w:eastAsiaTheme="minorEastAsia"/>
              </w:rPr>
            </w:pPr>
            <w:r>
              <w:t xml:space="preserve">Banca de consumo </w:t>
            </w:r>
          </w:p>
          <w:p w14:paraId="7FE1BFF5" w14:textId="77777777" w:rsidR="00414040" w:rsidRDefault="00904E1A">
            <w:pPr>
              <w:pStyle w:val="P68B1DB1-TableParagraph17"/>
              <w:numPr>
                <w:ilvl w:val="0"/>
                <w:numId w:val="139"/>
              </w:numPr>
              <w:spacing w:before="108"/>
            </w:pPr>
            <w:r>
              <w:t>Banca de empresa</w:t>
            </w:r>
          </w:p>
          <w:p w14:paraId="7FE1BFF6" w14:textId="77777777" w:rsidR="00414040" w:rsidRDefault="00904E1A">
            <w:pPr>
              <w:pStyle w:val="P68B1DB1-TableParagraph17"/>
              <w:numPr>
                <w:ilvl w:val="0"/>
                <w:numId w:val="139"/>
              </w:numPr>
              <w:spacing w:before="108"/>
            </w:pPr>
            <w:r>
              <w:t xml:space="preserve">Banca de inversión </w:t>
            </w:r>
          </w:p>
          <w:p w14:paraId="7FE1BFF7" w14:textId="77777777" w:rsidR="00414040" w:rsidRDefault="00904E1A">
            <w:pPr>
              <w:pStyle w:val="P68B1DB1-TableParagraph17"/>
              <w:numPr>
                <w:ilvl w:val="0"/>
                <w:numId w:val="139"/>
              </w:numPr>
              <w:spacing w:before="108"/>
            </w:pPr>
            <w:r>
              <w:t>Seguros</w:t>
            </w:r>
          </w:p>
          <w:p w14:paraId="7FE1BFF8" w14:textId="77777777" w:rsidR="00414040" w:rsidRDefault="00904E1A">
            <w:pPr>
              <w:pStyle w:val="P68B1DB1-TableParagraph17"/>
              <w:numPr>
                <w:ilvl w:val="0"/>
                <w:numId w:val="139"/>
              </w:numPr>
              <w:spacing w:before="108"/>
            </w:pPr>
            <w:r>
              <w:t>Reaseguros</w:t>
            </w:r>
          </w:p>
          <w:p w14:paraId="7FE1BFF9" w14:textId="77777777" w:rsidR="00414040" w:rsidRDefault="00904E1A">
            <w:pPr>
              <w:pStyle w:val="P68B1DB1-TableParagraph17"/>
              <w:numPr>
                <w:ilvl w:val="0"/>
                <w:numId w:val="139"/>
              </w:numPr>
              <w:spacing w:before="108"/>
            </w:pPr>
            <w:r>
              <w:t>Intermediación minorista</w:t>
            </w:r>
          </w:p>
          <w:p w14:paraId="7FE1BFFA" w14:textId="171EC4F7" w:rsidR="00414040" w:rsidRDefault="00904E1A">
            <w:pPr>
              <w:pStyle w:val="P68B1DB1-TableParagraph17"/>
              <w:numPr>
                <w:ilvl w:val="0"/>
                <w:numId w:val="139"/>
              </w:numPr>
              <w:spacing w:before="108"/>
            </w:pPr>
            <w:r>
              <w:t>Gestión de patrimonio</w:t>
            </w:r>
            <w:r w:rsidR="2931AF3B">
              <w:t>s</w:t>
            </w:r>
          </w:p>
          <w:p w14:paraId="7FE1BFFB" w14:textId="77777777" w:rsidR="00414040" w:rsidRDefault="00904E1A">
            <w:pPr>
              <w:pStyle w:val="P68B1DB1-TableParagraph17"/>
              <w:numPr>
                <w:ilvl w:val="0"/>
                <w:numId w:val="139"/>
              </w:numPr>
              <w:spacing w:before="108"/>
            </w:pPr>
            <w:r>
              <w:t>Agencia inmobiliaria</w:t>
            </w:r>
          </w:p>
          <w:p w14:paraId="7FE1BFFC" w14:textId="77777777" w:rsidR="00414040" w:rsidRDefault="00904E1A">
            <w:pPr>
              <w:pStyle w:val="P68B1DB1-TableParagraph17"/>
              <w:numPr>
                <w:ilvl w:val="0"/>
                <w:numId w:val="139"/>
              </w:numPr>
              <w:spacing w:before="108"/>
            </w:pPr>
            <w:r>
              <w:t xml:space="preserve">Contabilidad </w:t>
            </w:r>
          </w:p>
          <w:p w14:paraId="7FE1BFFD" w14:textId="77777777" w:rsidR="00414040" w:rsidRDefault="00904E1A">
            <w:pPr>
              <w:pStyle w:val="P68B1DB1-TableParagraph17"/>
              <w:numPr>
                <w:ilvl w:val="0"/>
                <w:numId w:val="139"/>
              </w:numPr>
              <w:spacing w:before="108"/>
            </w:pPr>
            <w:r>
              <w:t>Otras</w:t>
            </w:r>
          </w:p>
          <w:p w14:paraId="7FE1BFFE" w14:textId="77777777" w:rsidR="00414040" w:rsidRDefault="00414040">
            <w:pPr>
              <w:pStyle w:val="TableParagraph"/>
              <w:spacing w:before="108"/>
              <w:ind w:left="85"/>
              <w:rPr>
                <w:rFonts w:ascii="Times New Roman" w:eastAsia="Cambria" w:hAnsi="Times New Roman" w:cs="Times New Roman"/>
                <w:color w:val="000000" w:themeColor="text1"/>
                <w:sz w:val="20"/>
                <w:szCs w:val="20"/>
              </w:rPr>
            </w:pPr>
          </w:p>
        </w:tc>
      </w:tr>
      <w:tr w:rsidR="00414040"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414040" w:rsidRDefault="00904E1A">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1276EFDB" w:rsidR="00414040" w:rsidRDefault="00904E1A">
            <w:pPr>
              <w:pStyle w:val="P68B1DB1-TableParagraph14"/>
              <w:spacing w:before="108"/>
              <w:ind w:left="85"/>
              <w:jc w:val="both"/>
              <w:rPr>
                <w:bCs/>
              </w:rPr>
            </w:pPr>
            <w:r>
              <w:t>I</w:t>
            </w:r>
            <w:r w:rsidR="008046FC">
              <w:t>dentificador</w:t>
            </w:r>
            <w:r>
              <w:t xml:space="preserve"> de la rama de actividad</w:t>
            </w:r>
          </w:p>
          <w:p w14:paraId="7FE1C002" w14:textId="5B71FFB5" w:rsidR="00414040" w:rsidRDefault="00904E1A">
            <w:pPr>
              <w:pStyle w:val="P68B1DB1-TableParagraph17"/>
              <w:spacing w:before="108"/>
              <w:ind w:left="85"/>
            </w:pPr>
            <w:r>
              <w:t>Identifica</w:t>
            </w:r>
            <w:r w:rsidR="008046FC">
              <w:t>dor</w:t>
            </w:r>
            <w:r>
              <w:t xml:space="preserve"> únic</w:t>
            </w:r>
            <w:r w:rsidR="008046FC">
              <w:t>o</w:t>
            </w:r>
            <w:r>
              <w:t xml:space="preserve"> de la rama de actividad realizada por la entidad.</w:t>
            </w:r>
          </w:p>
        </w:tc>
      </w:tr>
      <w:tr w:rsidR="00414040"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414040" w:rsidRDefault="00904E1A">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414040" w:rsidRDefault="00904E1A">
            <w:pPr>
              <w:pStyle w:val="P68B1DB1-TableParagraph14"/>
              <w:spacing w:before="108"/>
              <w:ind w:left="85"/>
              <w:jc w:val="both"/>
              <w:rPr>
                <w:bCs/>
              </w:rPr>
            </w:pPr>
            <w:r>
              <w:t>Descripción</w:t>
            </w:r>
          </w:p>
          <w:p w14:paraId="7FE1C015" w14:textId="3F6BA848" w:rsidR="00414040" w:rsidRDefault="00904E1A">
            <w:pPr>
              <w:pStyle w:val="P68B1DB1-TableParagraph17"/>
              <w:spacing w:before="108"/>
              <w:ind w:left="85"/>
            </w:pPr>
            <w:r>
              <w:t xml:space="preserve">Descripción de la </w:t>
            </w:r>
            <w:r w:rsidR="009E0874">
              <w:t xml:space="preserve">rama </w:t>
            </w:r>
            <w:r>
              <w:t>de actividad.</w:t>
            </w:r>
          </w:p>
        </w:tc>
      </w:tr>
      <w:tr w:rsidR="00414040"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414040" w:rsidRDefault="00904E1A">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414040" w:rsidRDefault="00904E1A">
            <w:pPr>
              <w:pStyle w:val="P68B1DB1-TableParagraph14"/>
              <w:spacing w:before="108"/>
              <w:ind w:left="85"/>
              <w:jc w:val="both"/>
              <w:rPr>
                <w:bCs/>
              </w:rPr>
            </w:pPr>
            <w:r>
              <w:t>Nombre del ente</w:t>
            </w:r>
          </w:p>
          <w:p w14:paraId="7FE1C02D" w14:textId="143F3F2A" w:rsidR="00414040" w:rsidRDefault="00904E1A">
            <w:pPr>
              <w:pStyle w:val="P68B1DB1-TableParagraph17"/>
              <w:spacing w:before="108"/>
              <w:ind w:left="85"/>
            </w:pPr>
            <w:r>
              <w:t xml:space="preserve">Nombre del ente, tal como conste en Z 01.01 (ORG 1), que </w:t>
            </w:r>
            <w:r w:rsidR="6F3DAE65">
              <w:t>realiza</w:t>
            </w:r>
            <w:r>
              <w:t xml:space="preserve"> la rama de actividad.</w:t>
            </w:r>
          </w:p>
        </w:tc>
      </w:tr>
      <w:tr w:rsidR="00414040"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414040" w:rsidRDefault="00904E1A">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414040" w:rsidRDefault="00904E1A">
            <w:pPr>
              <w:pStyle w:val="P68B1DB1-TableParagraph14"/>
              <w:spacing w:before="108"/>
              <w:ind w:left="85"/>
              <w:jc w:val="both"/>
              <w:rPr>
                <w:bCs/>
              </w:rPr>
            </w:pPr>
            <w:r>
              <w:t xml:space="preserve">Código </w:t>
            </w:r>
          </w:p>
          <w:p w14:paraId="7FE1C031" w14:textId="77777777" w:rsidR="00414040" w:rsidRDefault="00904E1A">
            <w:pPr>
              <w:pStyle w:val="P68B1DB1-TableParagraph17"/>
              <w:spacing w:before="108"/>
              <w:ind w:left="85"/>
            </w:pPr>
            <w:r>
              <w:t>Identificador único del ente jurídico que figura en la columna 0020 tal como conste en la plantilla Z 01.01 (ORG 1).</w:t>
            </w:r>
          </w:p>
          <w:p w14:paraId="7FE1C032" w14:textId="5966EA33" w:rsidR="00414040" w:rsidRDefault="00904E1A">
            <w:pPr>
              <w:pStyle w:val="P68B1DB1-TableParagraph17"/>
              <w:spacing w:before="108"/>
              <w:ind w:left="85"/>
            </w:pPr>
            <w:r>
              <w:t xml:space="preserve">La identificación de </w:t>
            </w:r>
            <w:r w:rsidR="009E0874">
              <w:t>los entes</w:t>
            </w:r>
            <w:r>
              <w:t xml:space="preserve"> se hará de manera coherente en todas las plantillas.</w:t>
            </w:r>
          </w:p>
        </w:tc>
      </w:tr>
      <w:tr w:rsidR="00414040"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414040" w:rsidRDefault="00904E1A">
            <w:pPr>
              <w:pStyle w:val="P68B1DB1-TableParagraph17"/>
              <w:spacing w:before="108"/>
              <w:ind w:left="85"/>
            </w:pPr>
            <w:r>
              <w:lastRenderedPageBreak/>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414040" w:rsidRDefault="00904E1A">
            <w:pPr>
              <w:pStyle w:val="P68B1DB1-TableParagraph14"/>
              <w:spacing w:before="108"/>
              <w:ind w:left="85"/>
              <w:jc w:val="both"/>
              <w:rPr>
                <w:bCs/>
              </w:rPr>
            </w:pPr>
            <w:r>
              <w:t>Tipo de código</w:t>
            </w:r>
          </w:p>
          <w:p w14:paraId="4F36B5CB" w14:textId="0A20F8AD" w:rsidR="00414040" w:rsidRDefault="00904E1A">
            <w:pPr>
              <w:pStyle w:val="P68B1DB1-TableParagraph13"/>
              <w:spacing w:before="108"/>
              <w:ind w:left="85"/>
              <w:jc w:val="both"/>
              <w:rPr>
                <w:bCs/>
              </w:rPr>
            </w:pPr>
            <w:r>
              <w:t>Se seleccionará una de las opciones siguientes: «Código LEI», «Código de IFM» o «Tipo de identificador: distinto del código LEI o de IFM».</w:t>
            </w:r>
          </w:p>
          <w:p w14:paraId="7FE1C039" w14:textId="5C338C5A" w:rsidR="00414040" w:rsidRDefault="00904E1A">
            <w:pPr>
              <w:pStyle w:val="P68B1DB1-TableParagraph13"/>
              <w:spacing w:before="108"/>
              <w:ind w:left="85"/>
              <w:jc w:val="both"/>
              <w:rPr>
                <w:b/>
                <w:bCs/>
              </w:rPr>
            </w:pPr>
            <w:r>
              <w:t xml:space="preserve">La identificación de </w:t>
            </w:r>
            <w:r w:rsidR="009E0874">
              <w:t>los entes</w:t>
            </w:r>
            <w:r>
              <w:t xml:space="preserve"> se hará de manera coherente en todas las plantillas. </w:t>
            </w:r>
          </w:p>
        </w:tc>
      </w:tr>
    </w:tbl>
    <w:p w14:paraId="7FE1C03B" w14:textId="2894913B" w:rsidR="00414040" w:rsidRDefault="00904E1A" w:rsidP="171F856E">
      <w:pPr>
        <w:pStyle w:val="P68B1DB1-Instructionsberschrift25"/>
        <w:numPr>
          <w:ilvl w:val="1"/>
          <w:numId w:val="49"/>
        </w:numPr>
        <w:ind w:left="357" w:hanging="357"/>
        <w:rPr>
          <w:lang w:val="es-ES"/>
        </w:rPr>
      </w:pPr>
      <w:bookmarkStart w:id="124" w:name="_Toc211525931"/>
      <w:r w:rsidRPr="208BFAA0">
        <w:rPr>
          <w:lang w:val="es-ES"/>
        </w:rPr>
        <w:t>Z 07.</w:t>
      </w:r>
      <w:proofErr w:type="gramStart"/>
      <w:r w:rsidRPr="208BFAA0">
        <w:rPr>
          <w:lang w:val="es-ES"/>
        </w:rPr>
        <w:t>04.Correspondencias</w:t>
      </w:r>
      <w:proofErr w:type="gramEnd"/>
      <w:r w:rsidRPr="208BFAA0">
        <w:rPr>
          <w:lang w:val="es-ES"/>
        </w:rPr>
        <w:t xml:space="preserve"> de las funciones económicas</w:t>
      </w:r>
      <w:r w:rsidR="23402500" w:rsidRPr="208BFAA0">
        <w:rPr>
          <w:lang w:val="es-ES"/>
        </w:rPr>
        <w:t xml:space="preserve"> </w:t>
      </w:r>
      <w:r w:rsidRPr="208BFAA0">
        <w:rPr>
          <w:lang w:val="es-ES"/>
        </w:rPr>
        <w:t>con las ramas de actividad principales (FUNC 4)</w:t>
      </w:r>
      <w:bookmarkEnd w:id="124"/>
    </w:p>
    <w:p w14:paraId="7FE1C03C" w14:textId="77777777" w:rsidR="00414040" w:rsidRDefault="00904E1A">
      <w:pPr>
        <w:pStyle w:val="P68B1DB1-Instructionsberschrift312"/>
        <w:rPr>
          <w:bCs/>
        </w:rPr>
      </w:pPr>
      <w:r>
        <w:t>Instrucciones relativas a posiciones concretas</w:t>
      </w:r>
    </w:p>
    <w:p w14:paraId="7FE1C03E" w14:textId="62872371" w:rsidR="00414040" w:rsidRDefault="00904E1A">
      <w:pPr>
        <w:pStyle w:val="P68B1DB1-InstructionsText26"/>
        <w:numPr>
          <w:ilvl w:val="0"/>
          <w:numId w:val="0"/>
        </w:numPr>
        <w:spacing w:before="0"/>
        <w:ind w:left="1800"/>
      </w:pPr>
      <w:r>
        <w:t xml:space="preserve">La combinación de los valores </w:t>
      </w:r>
      <w:r w:rsidR="79CC1230">
        <w:t>informados</w:t>
      </w:r>
      <w:r>
        <w:t xml:space="preserve"> en las columnas 0010, 0020 y 0040 de esta plantilla constituye una clave principal que debe ser única para cada fila de la plantilla.</w:t>
      </w:r>
    </w:p>
    <w:p w14:paraId="67939923" w14:textId="776FCD4C" w:rsidR="00414040" w:rsidRDefault="00904E1A">
      <w:pPr>
        <w:pStyle w:val="CommentText"/>
        <w:rPr>
          <w:rFonts w:ascii="Times New Roman" w:hAnsi="Times New Roman" w:cs="Times New Roman"/>
        </w:rPr>
      </w:pPr>
      <w:r w:rsidRPr="11A44BD7">
        <w:rPr>
          <w:rFonts w:ascii="Times New Roman" w:hAnsi="Times New Roman" w:cs="Times New Roman"/>
        </w:rPr>
        <w:t xml:space="preserve">Solo las funciones esenciales, tal como se </w:t>
      </w:r>
      <w:r w:rsidR="36BA8DC4" w:rsidRPr="3CBEA39A">
        <w:rPr>
          <w:rFonts w:ascii="Times New Roman" w:hAnsi="Times New Roman" w:cs="Times New Roman"/>
        </w:rPr>
        <w:t>identifican</w:t>
      </w:r>
      <w:r w:rsidRPr="11A44BD7">
        <w:rPr>
          <w:rFonts w:ascii="Times New Roman" w:hAnsi="Times New Roman" w:cs="Times New Roman"/>
        </w:rPr>
        <w:t xml:space="preserve"> en la</w:t>
      </w:r>
      <w:r w:rsidRPr="11A44BD7">
        <w:rPr>
          <w:i/>
          <w:iCs/>
        </w:rPr>
        <w:t xml:space="preserve"> sección Z 07.01.1 FUNC 1 DEP; C0170; Z 07.01.2 FUNC 1 LEN, c0180; Z 07.01.3 FUNC 1 PAY, c0250; Z 07.01.4 FUNC 1 CM, c0210; Z 07.01.5 FUNC 1 WF, c</w:t>
      </w:r>
      <w:proofErr w:type="gramStart"/>
      <w:r w:rsidRPr="11A44BD7">
        <w:rPr>
          <w:i/>
          <w:iCs/>
        </w:rPr>
        <w:t xml:space="preserve">0180 </w:t>
      </w:r>
      <w:r w:rsidRPr="11A44BD7">
        <w:rPr>
          <w:rFonts w:ascii="Times New Roman" w:hAnsi="Times New Roman" w:cs="Times New Roman"/>
        </w:rPr>
        <w:t>,</w:t>
      </w:r>
      <w:proofErr w:type="gramEnd"/>
      <w:r w:rsidRPr="11A44BD7">
        <w:rPr>
          <w:rFonts w:ascii="Times New Roman" w:hAnsi="Times New Roman" w:cs="Times New Roman"/>
        </w:rPr>
        <w:t xml:space="preserve"> se </w:t>
      </w:r>
      <w:r w:rsidR="6DE29BA4" w:rsidRPr="11A44BD7">
        <w:rPr>
          <w:rFonts w:ascii="Times New Roman" w:hAnsi="Times New Roman" w:cs="Times New Roman"/>
        </w:rPr>
        <w:t>informará</w:t>
      </w:r>
      <w:r w:rsidR="008478A5">
        <w:rPr>
          <w:rFonts w:ascii="Times New Roman" w:hAnsi="Times New Roman" w:cs="Times New Roman"/>
        </w:rPr>
        <w:t>n</w:t>
      </w:r>
      <w:r w:rsidR="6DE29BA4" w:rsidRPr="11A44BD7">
        <w:rPr>
          <w:rFonts w:ascii="Times New Roman" w:hAnsi="Times New Roman" w:cs="Times New Roman"/>
        </w:rPr>
        <w:t xml:space="preserve"> </w:t>
      </w:r>
      <w:r w:rsidRPr="11A44BD7">
        <w:rPr>
          <w:rFonts w:ascii="Times New Roman" w:hAnsi="Times New Roman" w:cs="Times New Roman"/>
        </w:rPr>
        <w:t>en esta plantilla.</w:t>
      </w:r>
    </w:p>
    <w:p w14:paraId="7FE1C040" w14:textId="77777777" w:rsidR="00414040" w:rsidRDefault="00414040">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14040" w14:paraId="7FE1C043" w14:textId="77777777" w:rsidTr="11A44BD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414040" w:rsidRDefault="00904E1A">
            <w:pPr>
              <w:pStyle w:val="P68B1DB1-TableParagraph17"/>
              <w:spacing w:before="108"/>
              <w:ind w:left="85"/>
              <w:jc w:val="both"/>
            </w:pPr>
            <w:r>
              <w:t>Columnas</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414040" w:rsidRDefault="00904E1A">
            <w:pPr>
              <w:pStyle w:val="P68B1DB1-TableParagraph17"/>
              <w:spacing w:before="108"/>
              <w:ind w:left="85" w:right="1"/>
              <w:jc w:val="both"/>
            </w:pPr>
            <w:r>
              <w:t>Instrucciones</w:t>
            </w:r>
          </w:p>
        </w:tc>
      </w:tr>
      <w:tr w:rsidR="00414040" w14:paraId="7FE1C046" w14:textId="77777777" w:rsidTr="11A44BD7">
        <w:tc>
          <w:tcPr>
            <w:tcW w:w="1191" w:type="dxa"/>
            <w:tcBorders>
              <w:top w:val="single" w:sz="4" w:space="0" w:color="1A171C"/>
              <w:left w:val="nil"/>
              <w:bottom w:val="single" w:sz="4" w:space="0" w:color="1A171C"/>
              <w:right w:val="single" w:sz="4" w:space="0" w:color="1A171C"/>
            </w:tcBorders>
            <w:vAlign w:val="center"/>
          </w:tcPr>
          <w:p w14:paraId="7FE1C044" w14:textId="77777777" w:rsidR="00414040" w:rsidRDefault="00904E1A">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1723D1F3" w:rsidR="00414040" w:rsidRDefault="00904E1A">
            <w:pPr>
              <w:pStyle w:val="P68B1DB1-TableParagraph14"/>
              <w:spacing w:before="108"/>
              <w:ind w:left="85"/>
              <w:jc w:val="both"/>
            </w:pPr>
            <w:r>
              <w:t>Función esencial</w:t>
            </w:r>
          </w:p>
        </w:tc>
      </w:tr>
      <w:tr w:rsidR="00414040" w14:paraId="7FE1C04A" w14:textId="77777777" w:rsidTr="11A44BD7">
        <w:tc>
          <w:tcPr>
            <w:tcW w:w="1191" w:type="dxa"/>
            <w:tcBorders>
              <w:top w:val="single" w:sz="4" w:space="0" w:color="1A171C"/>
              <w:left w:val="nil"/>
              <w:bottom w:val="single" w:sz="4" w:space="0" w:color="1A171C"/>
              <w:right w:val="single" w:sz="4" w:space="0" w:color="1A171C"/>
            </w:tcBorders>
            <w:vAlign w:val="center"/>
          </w:tcPr>
          <w:p w14:paraId="7FE1C047" w14:textId="77777777" w:rsidR="00414040" w:rsidRDefault="00904E1A">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414040" w:rsidRDefault="00904E1A">
            <w:pPr>
              <w:pStyle w:val="P68B1DB1-TableParagraph14"/>
              <w:spacing w:before="108"/>
              <w:ind w:left="85"/>
              <w:jc w:val="both"/>
              <w:rPr>
                <w:bCs/>
              </w:rPr>
            </w:pPr>
            <w:r>
              <w:t>País</w:t>
            </w:r>
          </w:p>
          <w:p w14:paraId="7FE1C049" w14:textId="77777777" w:rsidR="00414040" w:rsidRDefault="00904E1A">
            <w:pPr>
              <w:pStyle w:val="P68B1DB1-TableParagraph17"/>
              <w:spacing w:before="108"/>
              <w:ind w:left="85"/>
            </w:pPr>
            <w:r>
              <w:t>País en el que la función es esencial, tal como conste en Z 07.01 (FUNC 1).</w:t>
            </w:r>
          </w:p>
        </w:tc>
      </w:tr>
      <w:tr w:rsidR="00414040" w14:paraId="7FE1C04E" w14:textId="77777777" w:rsidTr="11A44BD7">
        <w:tc>
          <w:tcPr>
            <w:tcW w:w="1191" w:type="dxa"/>
            <w:tcBorders>
              <w:top w:val="single" w:sz="4" w:space="0" w:color="1A171C"/>
              <w:left w:val="nil"/>
              <w:bottom w:val="single" w:sz="4" w:space="0" w:color="1A171C"/>
              <w:right w:val="single" w:sz="4" w:space="0" w:color="1A171C"/>
            </w:tcBorders>
            <w:vAlign w:val="center"/>
          </w:tcPr>
          <w:p w14:paraId="7FE1C04B" w14:textId="77777777" w:rsidR="00414040" w:rsidRDefault="00904E1A">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43A1C23" w:rsidR="00414040" w:rsidRDefault="3BE65053">
            <w:pPr>
              <w:pStyle w:val="P68B1DB1-TableParagraph14"/>
              <w:spacing w:before="108"/>
              <w:ind w:left="85"/>
              <w:jc w:val="both"/>
              <w:rPr>
                <w:bCs/>
              </w:rPr>
            </w:pPr>
            <w:r>
              <w:t>ID</w:t>
            </w:r>
          </w:p>
          <w:p w14:paraId="7FE1C04D" w14:textId="4D9D2A77" w:rsidR="00414040" w:rsidRDefault="00904E1A">
            <w:pPr>
              <w:pStyle w:val="P68B1DB1-TableParagraph17"/>
              <w:spacing w:before="108"/>
              <w:ind w:left="85"/>
            </w:pPr>
            <w:r>
              <w:t>Identificador de las funciones esenciales a que se refiere la plantilla Z 07.01 (FUNC 1)</w:t>
            </w:r>
          </w:p>
        </w:tc>
      </w:tr>
      <w:tr w:rsidR="00414040" w14:paraId="7FE1C051" w14:textId="77777777" w:rsidTr="11A44BD7">
        <w:tc>
          <w:tcPr>
            <w:tcW w:w="1191" w:type="dxa"/>
            <w:tcBorders>
              <w:top w:val="single" w:sz="4" w:space="0" w:color="1A171C"/>
              <w:left w:val="nil"/>
              <w:bottom w:val="single" w:sz="4" w:space="0" w:color="1A171C"/>
              <w:right w:val="single" w:sz="4" w:space="0" w:color="1A171C"/>
            </w:tcBorders>
            <w:vAlign w:val="center"/>
          </w:tcPr>
          <w:p w14:paraId="7FE1C04F" w14:textId="77777777" w:rsidR="00414040" w:rsidRDefault="00904E1A">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414040" w:rsidRDefault="00904E1A">
            <w:pPr>
              <w:pStyle w:val="P68B1DB1-TableParagraph14"/>
              <w:spacing w:before="108"/>
              <w:ind w:left="85"/>
              <w:jc w:val="both"/>
              <w:rPr>
                <w:bCs/>
              </w:rPr>
            </w:pPr>
            <w:r>
              <w:t>Ramas de actividad principales</w:t>
            </w:r>
          </w:p>
        </w:tc>
      </w:tr>
      <w:tr w:rsidR="00414040" w14:paraId="7FE1C057" w14:textId="77777777" w:rsidTr="11A44BD7">
        <w:tc>
          <w:tcPr>
            <w:tcW w:w="1191" w:type="dxa"/>
            <w:tcBorders>
              <w:top w:val="single" w:sz="4" w:space="0" w:color="1A171C"/>
              <w:left w:val="nil"/>
              <w:bottom w:val="single" w:sz="4" w:space="0" w:color="1A171C"/>
              <w:right w:val="single" w:sz="4" w:space="0" w:color="1A171C"/>
            </w:tcBorders>
            <w:vAlign w:val="center"/>
          </w:tcPr>
          <w:p w14:paraId="7FE1C052" w14:textId="77777777" w:rsidR="00414040" w:rsidRDefault="00904E1A">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414040" w:rsidRDefault="00904E1A">
            <w:pPr>
              <w:pStyle w:val="P68B1DB1-TableParagraph14"/>
              <w:spacing w:before="108"/>
              <w:ind w:left="85"/>
              <w:jc w:val="both"/>
              <w:rPr>
                <w:bCs/>
              </w:rPr>
            </w:pPr>
            <w:r>
              <w:t>Ramas de actividad principales</w:t>
            </w:r>
          </w:p>
          <w:p w14:paraId="7FE1C056" w14:textId="77777777" w:rsidR="00414040" w:rsidRDefault="00904E1A">
            <w:pPr>
              <w:pStyle w:val="P68B1DB1-TableParagraph17"/>
              <w:spacing w:before="108"/>
              <w:ind w:left="85"/>
            </w:pPr>
            <w:r>
              <w:t>Ramas de actividad principales según lo establecido en el artículo 2, apartado 1, punto 36, y el artículo 2, apartado 2, de la Directiva 2014/59/UE, según consten en la plantilla Z 07.03 (FUNC 3).</w:t>
            </w:r>
          </w:p>
        </w:tc>
      </w:tr>
      <w:tr w:rsidR="00414040" w14:paraId="7FE1C05B" w14:textId="77777777" w:rsidTr="11A44BD7">
        <w:tc>
          <w:tcPr>
            <w:tcW w:w="1191" w:type="dxa"/>
            <w:tcBorders>
              <w:top w:val="single" w:sz="4" w:space="0" w:color="1A171C"/>
              <w:left w:val="nil"/>
              <w:bottom w:val="single" w:sz="4" w:space="0" w:color="1A171C"/>
              <w:right w:val="single" w:sz="4" w:space="0" w:color="1A171C"/>
            </w:tcBorders>
            <w:vAlign w:val="center"/>
          </w:tcPr>
          <w:p w14:paraId="7FE1C058" w14:textId="7310E27F" w:rsidR="00414040" w:rsidRDefault="00904E1A">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0C26720C" w:rsidR="00414040" w:rsidRDefault="00062A33">
            <w:pPr>
              <w:pStyle w:val="P68B1DB1-TableParagraph14"/>
              <w:spacing w:before="108"/>
              <w:ind w:left="85"/>
              <w:jc w:val="both"/>
              <w:rPr>
                <w:lang w:val="es-ES"/>
              </w:rPr>
            </w:pPr>
            <w:r w:rsidRPr="5D9B392D">
              <w:rPr>
                <w:lang w:val="es-ES"/>
              </w:rPr>
              <w:t>Rama de actividad</w:t>
            </w:r>
            <w:r w:rsidR="00904E1A" w:rsidRPr="5D9B392D">
              <w:rPr>
                <w:lang w:val="es-ES"/>
              </w:rPr>
              <w:t>: I</w:t>
            </w:r>
            <w:r w:rsidR="0098467D" w:rsidRPr="5D9B392D">
              <w:rPr>
                <w:lang w:val="es-ES"/>
              </w:rPr>
              <w:t>dentificador</w:t>
            </w:r>
            <w:r w:rsidR="00904E1A" w:rsidRPr="5D9B392D">
              <w:rPr>
                <w:lang w:val="es-ES"/>
              </w:rPr>
              <w:t xml:space="preserve"> de la rama de actividad</w:t>
            </w:r>
          </w:p>
          <w:p w14:paraId="7FE1C05A" w14:textId="63D847F9" w:rsidR="00414040" w:rsidRDefault="00904E1A">
            <w:pPr>
              <w:pStyle w:val="P68B1DB1-TableParagraph17"/>
              <w:spacing w:before="108"/>
              <w:ind w:left="85"/>
            </w:pPr>
            <w:r>
              <w:t>Identifica</w:t>
            </w:r>
            <w:r w:rsidR="0098467D">
              <w:t>dor</w:t>
            </w:r>
            <w:r>
              <w:t xml:space="preserve"> únic</w:t>
            </w:r>
            <w:r w:rsidR="0098467D">
              <w:t>o</w:t>
            </w:r>
            <w:r>
              <w:t xml:space="preserve"> de la rama de actividad realizada por la entidad; coincidirá con la </w:t>
            </w:r>
            <w:r w:rsidR="07F5CB59">
              <w:t>indicada</w:t>
            </w:r>
            <w:r>
              <w:t xml:space="preserve"> en la plantilla Z 07.03 (FUNC 3).</w:t>
            </w:r>
          </w:p>
        </w:tc>
      </w:tr>
    </w:tbl>
    <w:p w14:paraId="7FE1C222" w14:textId="77777777" w:rsidR="00414040" w:rsidRDefault="00414040">
      <w:pPr>
        <w:rPr>
          <w:rFonts w:ascii="Times New Roman" w:hAnsi="Times New Roman" w:cs="Times New Roman"/>
          <w:b/>
          <w:color w:val="000000" w:themeColor="text1"/>
          <w:sz w:val="20"/>
          <w:szCs w:val="20"/>
          <w:u w:val="single"/>
        </w:rPr>
      </w:pPr>
    </w:p>
    <w:p w14:paraId="7FE1C223" w14:textId="3CF5B70E" w:rsidR="00414040" w:rsidRDefault="00904E1A">
      <w:pPr>
        <w:pStyle w:val="P68B1DB1-Instructionsberschrift244"/>
        <w:numPr>
          <w:ilvl w:val="1"/>
          <w:numId w:val="49"/>
        </w:numPr>
        <w:ind w:left="357" w:hanging="357"/>
      </w:pPr>
      <w:bookmarkStart w:id="125" w:name="_Toc211525932"/>
      <w:r>
        <w:t>Servicios pertinentes</w:t>
      </w:r>
      <w:bookmarkEnd w:id="125"/>
    </w:p>
    <w:p w14:paraId="7FE1C224" w14:textId="7B4E08ED" w:rsidR="00414040" w:rsidRDefault="00904E1A">
      <w:pPr>
        <w:pStyle w:val="P68B1DB1-Instructionsberschrift25"/>
        <w:numPr>
          <w:ilvl w:val="1"/>
          <w:numId w:val="49"/>
        </w:numPr>
        <w:ind w:left="357" w:hanging="357"/>
        <w:rPr>
          <w:rFonts w:eastAsia="Calibri"/>
          <w:lang w:val="es-ES"/>
        </w:rPr>
      </w:pPr>
      <w:bookmarkStart w:id="126" w:name="_Toc211525933"/>
      <w:r w:rsidRPr="2133F407">
        <w:rPr>
          <w:lang w:val="es-ES"/>
        </w:rPr>
        <w:t>Z 08.</w:t>
      </w:r>
      <w:proofErr w:type="gramStart"/>
      <w:r w:rsidRPr="2133F407">
        <w:rPr>
          <w:lang w:val="es-ES"/>
        </w:rPr>
        <w:t>01.Servicios</w:t>
      </w:r>
      <w:proofErr w:type="gramEnd"/>
      <w:r w:rsidRPr="2133F407">
        <w:rPr>
          <w:lang w:val="es-ES"/>
        </w:rPr>
        <w:t xml:space="preserve"> </w:t>
      </w:r>
      <w:r w:rsidR="008C15E7">
        <w:rPr>
          <w:lang w:val="es-ES"/>
        </w:rPr>
        <w:t>pertinentes</w:t>
      </w:r>
      <w:r w:rsidRPr="2133F407">
        <w:rPr>
          <w:lang w:val="es-ES"/>
        </w:rPr>
        <w:t xml:space="preserve"> (SERV 1)</w:t>
      </w:r>
      <w:bookmarkEnd w:id="126"/>
      <w:r w:rsidRPr="2133F407">
        <w:rPr>
          <w:lang w:val="es-ES"/>
        </w:rPr>
        <w:t xml:space="preserve"> </w:t>
      </w:r>
    </w:p>
    <w:p w14:paraId="7FE1C225" w14:textId="77777777" w:rsidR="00414040" w:rsidRDefault="00904E1A">
      <w:pPr>
        <w:pStyle w:val="P68B1DB1-Normal45"/>
        <w:spacing w:line="276" w:lineRule="auto"/>
        <w:jc w:val="both"/>
      </w:pPr>
      <w:r>
        <w:t>II.8.1 Instrucciones generales</w:t>
      </w:r>
    </w:p>
    <w:p w14:paraId="7FE1C226" w14:textId="77777777" w:rsidR="00414040" w:rsidRDefault="00414040">
      <w:pPr>
        <w:spacing w:line="276" w:lineRule="auto"/>
        <w:jc w:val="both"/>
        <w:rPr>
          <w:rFonts w:ascii="Times New Roman" w:eastAsia="Calibri" w:hAnsi="Times New Roman" w:cs="Times New Roman"/>
          <w:sz w:val="20"/>
        </w:rPr>
      </w:pPr>
    </w:p>
    <w:p w14:paraId="7FE1C228" w14:textId="3BD44C24" w:rsidR="00414040" w:rsidRDefault="00904E1A">
      <w:pPr>
        <w:pStyle w:val="P68B1DB1-Instructionsberschrift346"/>
        <w:numPr>
          <w:ilvl w:val="4"/>
          <w:numId w:val="49"/>
        </w:numPr>
        <w:ind w:left="928"/>
        <w:contextualSpacing/>
        <w:jc w:val="both"/>
        <w:rPr>
          <w:color w:val="auto"/>
        </w:rPr>
      </w:pPr>
      <w:r>
        <w:t xml:space="preserve">La información incluida en esta plantilla, que se </w:t>
      </w:r>
      <w:r w:rsidR="47B1E449">
        <w:t>indicará</w:t>
      </w:r>
      <w:r w:rsidR="00F5639C">
        <w:t xml:space="preserve"> </w:t>
      </w:r>
      <w:r>
        <w:t xml:space="preserve">una vez para el grupo en su </w:t>
      </w:r>
      <w:r>
        <w:rPr>
          <w:color w:val="auto"/>
        </w:rPr>
        <w:t>conjunto</w:t>
      </w:r>
      <w:r>
        <w:t xml:space="preserve">, detalla los servicios esenciales recibidos por cualquier ente del grupo y los vincula con </w:t>
      </w:r>
      <w:r>
        <w:rPr>
          <w:color w:val="auto"/>
        </w:rPr>
        <w:t xml:space="preserve">las funciones esenciales </w:t>
      </w:r>
      <w:r w:rsidR="003F490B">
        <w:rPr>
          <w:color w:val="auto"/>
        </w:rPr>
        <w:t xml:space="preserve">y las ramas de actividad principales </w:t>
      </w:r>
      <w:r>
        <w:t>desempeñadas por</w:t>
      </w:r>
      <w:r>
        <w:rPr>
          <w:color w:val="auto"/>
        </w:rPr>
        <w:t xml:space="preserve"> </w:t>
      </w:r>
      <w:r>
        <w:t>el grupo.</w:t>
      </w:r>
    </w:p>
    <w:p w14:paraId="7FE1C229" w14:textId="0C49A3A8" w:rsidR="00414040" w:rsidRDefault="00904E1A">
      <w:pPr>
        <w:pStyle w:val="Instructionsberschrift3"/>
        <w:ind w:left="928"/>
        <w:contextualSpacing/>
        <w:jc w:val="both"/>
        <w:rPr>
          <w:rFonts w:eastAsia="MS Mincho"/>
          <w:color w:val="auto"/>
          <w:u w:val="none"/>
        </w:rPr>
      </w:pPr>
      <w:r>
        <w:rPr>
          <w:rFonts w:eastAsia="Calibri"/>
          <w:b/>
          <w:color w:val="auto"/>
          <w:u w:val="none"/>
        </w:rPr>
        <w:lastRenderedPageBreak/>
        <w:t>Servicios pertinentes</w:t>
      </w:r>
      <w:r>
        <w:rPr>
          <w:rStyle w:val="FootnoteReference"/>
          <w:rFonts w:ascii="Times New Roman" w:eastAsia="Calibri" w:hAnsi="Times New Roman"/>
          <w:color w:val="auto"/>
          <w:sz w:val="20"/>
          <w:szCs w:val="20"/>
          <w:u w:val="none"/>
        </w:rPr>
        <w:footnoteReference w:id="22"/>
      </w:r>
      <w:r>
        <w:rPr>
          <w:rFonts w:eastAsia="Calibri"/>
          <w:color w:val="auto"/>
          <w:u w:val="none"/>
        </w:rPr>
        <w:t xml:space="preserve">: servicios </w:t>
      </w:r>
      <w:r w:rsidRPr="001B4B0A">
        <w:rPr>
          <w:rFonts w:eastAsia="Calibri"/>
          <w:color w:val="auto"/>
          <w:u w:val="none"/>
        </w:rPr>
        <w:t>esenciales</w:t>
      </w:r>
      <w:r w:rsidR="00B73843">
        <w:rPr>
          <w:rFonts w:eastAsia="Calibri"/>
          <w:color w:val="auto"/>
          <w:u w:val="none"/>
        </w:rPr>
        <w:t xml:space="preserve"> y principales</w:t>
      </w:r>
      <w:r w:rsidR="00254EB9">
        <w:rPr>
          <w:rFonts w:eastAsia="Calibri"/>
          <w:color w:val="auto"/>
          <w:u w:val="none"/>
        </w:rPr>
        <w:t>.</w:t>
      </w:r>
    </w:p>
    <w:p w14:paraId="7FE1C22A" w14:textId="3E7C6BB1" w:rsidR="00414040" w:rsidRPr="00210421" w:rsidRDefault="00904E1A" w:rsidP="00210421">
      <w:pPr>
        <w:pStyle w:val="Instructionsberschrift3"/>
        <w:ind w:left="928"/>
        <w:contextualSpacing/>
        <w:jc w:val="both"/>
        <w:rPr>
          <w:rFonts w:eastAsia="Calibri"/>
          <w:lang w:val="es-ES"/>
        </w:rPr>
      </w:pPr>
      <w:r w:rsidRPr="4941412B">
        <w:rPr>
          <w:rFonts w:eastAsia="Calibri"/>
          <w:b/>
          <w:bCs/>
          <w:color w:val="auto"/>
          <w:u w:val="none"/>
          <w:lang w:val="es-ES"/>
        </w:rPr>
        <w:t>Servicios esenciales</w:t>
      </w:r>
      <w:r w:rsidRPr="4941412B">
        <w:rPr>
          <w:rFonts w:eastAsia="Calibri"/>
          <w:color w:val="auto"/>
          <w:u w:val="none"/>
          <w:vertAlign w:val="superscript"/>
          <w:lang w:val="es-ES"/>
        </w:rPr>
        <w:footnoteReference w:id="23"/>
      </w:r>
      <w:r w:rsidRPr="00210421">
        <w:rPr>
          <w:rFonts w:eastAsia="Calibri"/>
          <w:color w:val="auto"/>
          <w:u w:val="none"/>
          <w:lang w:val="es-ES"/>
        </w:rPr>
        <w:t xml:space="preserve">: servicios prestados a unidades </w:t>
      </w:r>
      <w:r w:rsidR="0049384A" w:rsidRPr="00210421">
        <w:rPr>
          <w:rFonts w:eastAsia="Calibri"/>
          <w:color w:val="auto"/>
          <w:u w:val="none"/>
          <w:lang w:val="es-ES"/>
        </w:rPr>
        <w:t xml:space="preserve">de negocio </w:t>
      </w:r>
      <w:r w:rsidRPr="00210421">
        <w:rPr>
          <w:rFonts w:eastAsia="Calibri"/>
          <w:color w:val="auto"/>
          <w:u w:val="none"/>
          <w:lang w:val="es-ES"/>
        </w:rPr>
        <w:t xml:space="preserve">o entidades del grupo i) cuya discontinuidad pudiera obstaculizar </w:t>
      </w:r>
      <w:r w:rsidR="001A2B48" w:rsidRPr="00210421">
        <w:rPr>
          <w:rFonts w:eastAsia="Calibri"/>
          <w:color w:val="auto"/>
          <w:u w:val="none"/>
          <w:lang w:val="es-ES"/>
        </w:rPr>
        <w:t xml:space="preserve">gravemente </w:t>
      </w:r>
      <w:r w:rsidRPr="00210421">
        <w:rPr>
          <w:rFonts w:eastAsia="Calibri"/>
          <w:color w:val="auto"/>
          <w:u w:val="none"/>
          <w:lang w:val="es-ES"/>
        </w:rPr>
        <w:t>o impedir el desempeño de una o varias funciones esenciales; y (</w:t>
      </w:r>
      <w:proofErr w:type="spellStart"/>
      <w:r w:rsidRPr="00210421">
        <w:rPr>
          <w:rFonts w:eastAsia="Calibri"/>
          <w:color w:val="auto"/>
          <w:u w:val="none"/>
          <w:lang w:val="es-ES"/>
        </w:rPr>
        <w:t>ii</w:t>
      </w:r>
      <w:proofErr w:type="spellEnd"/>
      <w:r w:rsidRPr="00210421">
        <w:rPr>
          <w:rFonts w:eastAsia="Calibri"/>
          <w:color w:val="auto"/>
          <w:u w:val="none"/>
          <w:lang w:val="es-ES"/>
        </w:rPr>
        <w:t>) que no pueda</w:t>
      </w:r>
      <w:r w:rsidR="00017284" w:rsidRPr="4941412B">
        <w:rPr>
          <w:rFonts w:eastAsia="Calibri"/>
          <w:color w:val="auto"/>
          <w:u w:val="none"/>
          <w:lang w:val="es-ES"/>
        </w:rPr>
        <w:t>n</w:t>
      </w:r>
      <w:r w:rsidRPr="00210421">
        <w:rPr>
          <w:rFonts w:eastAsia="Calibri"/>
          <w:color w:val="auto"/>
          <w:u w:val="none"/>
          <w:lang w:val="es-ES"/>
        </w:rPr>
        <w:t xml:space="preserve"> ser prestado</w:t>
      </w:r>
      <w:r w:rsidR="00017284" w:rsidRPr="4941412B">
        <w:rPr>
          <w:rFonts w:eastAsia="Calibri"/>
          <w:color w:val="auto"/>
          <w:u w:val="none"/>
          <w:lang w:val="es-ES"/>
        </w:rPr>
        <w:t>s</w:t>
      </w:r>
      <w:r w:rsidRPr="00210421">
        <w:rPr>
          <w:rFonts w:eastAsia="Calibri"/>
          <w:color w:val="auto"/>
          <w:u w:val="none"/>
          <w:lang w:val="es-ES"/>
        </w:rPr>
        <w:t xml:space="preserve"> por otro </w:t>
      </w:r>
      <w:r w:rsidR="00447984">
        <w:rPr>
          <w:rFonts w:eastAsia="Calibri"/>
          <w:color w:val="auto"/>
          <w:u w:val="none"/>
          <w:lang w:val="es-ES"/>
        </w:rPr>
        <w:t>proveedor</w:t>
      </w:r>
      <w:r w:rsidR="00447984" w:rsidRPr="00210421">
        <w:rPr>
          <w:rFonts w:eastAsia="Calibri"/>
          <w:color w:val="auto"/>
          <w:u w:val="none"/>
          <w:lang w:val="es-ES"/>
        </w:rPr>
        <w:t xml:space="preserve"> </w:t>
      </w:r>
      <w:r w:rsidRPr="00210421">
        <w:rPr>
          <w:rFonts w:eastAsia="Calibri"/>
          <w:color w:val="auto"/>
          <w:u w:val="none"/>
          <w:lang w:val="es-ES"/>
        </w:rPr>
        <w:t>en un plazo razonable de forma comparable en cuanto a su objeto, su calidad y su coste.</w:t>
      </w:r>
    </w:p>
    <w:p w14:paraId="7FE1C22B" w14:textId="2C65E29B" w:rsidR="00414040" w:rsidRDefault="00904E1A">
      <w:pPr>
        <w:pStyle w:val="Instructionsberschrift3"/>
        <w:ind w:left="928"/>
        <w:contextualSpacing/>
        <w:jc w:val="both"/>
        <w:rPr>
          <w:rFonts w:eastAsia="MS Mincho"/>
          <w:color w:val="auto"/>
          <w:u w:val="none"/>
          <w:lang w:val="es-ES"/>
        </w:rPr>
      </w:pPr>
      <w:r w:rsidRPr="2133F407">
        <w:rPr>
          <w:b/>
          <w:u w:val="none"/>
          <w:lang w:val="es-ES"/>
        </w:rPr>
        <w:t xml:space="preserve">Servicios </w:t>
      </w:r>
      <w:r w:rsidR="00926A62">
        <w:rPr>
          <w:b/>
          <w:u w:val="none"/>
          <w:lang w:val="es-ES"/>
        </w:rPr>
        <w:t>principales</w:t>
      </w:r>
      <w:r w:rsidRPr="2133F407">
        <w:rPr>
          <w:u w:val="none"/>
          <w:lang w:val="es-ES"/>
        </w:rPr>
        <w:t>: Los servicios asociados a las ramas de actividad principales</w:t>
      </w:r>
      <w:r w:rsidRPr="00210421">
        <w:rPr>
          <w:u w:val="none"/>
          <w:vertAlign w:val="superscript"/>
          <w:lang w:val="es-ES"/>
        </w:rPr>
        <w:footnoteReference w:id="24"/>
      </w:r>
      <w:r w:rsidR="00254EB9">
        <w:rPr>
          <w:u w:val="none"/>
          <w:lang w:val="es-ES"/>
        </w:rPr>
        <w:t xml:space="preserve"> </w:t>
      </w:r>
      <w:r w:rsidRPr="2133F407">
        <w:rPr>
          <w:u w:val="none"/>
          <w:lang w:val="es-ES"/>
        </w:rPr>
        <w:t xml:space="preserve">cuya continuidad sea necesaria para la ejecución efectiva de la estrategia de resolución y cualquier reestructuración consiguiente i) cuya discontinuidad pudiera obstaculizar </w:t>
      </w:r>
      <w:r w:rsidR="001A2B48" w:rsidRPr="2133F407">
        <w:rPr>
          <w:u w:val="none"/>
          <w:lang w:val="es-ES"/>
        </w:rPr>
        <w:t xml:space="preserve">gravemente </w:t>
      </w:r>
      <w:r w:rsidRPr="2133F407">
        <w:rPr>
          <w:u w:val="none"/>
          <w:lang w:val="es-ES"/>
        </w:rPr>
        <w:t>o impedir el desempeño de dichas ramas de actividad principales; y (</w:t>
      </w:r>
      <w:proofErr w:type="spellStart"/>
      <w:r w:rsidRPr="2133F407">
        <w:rPr>
          <w:u w:val="none"/>
          <w:lang w:val="es-ES"/>
        </w:rPr>
        <w:t>ii</w:t>
      </w:r>
      <w:proofErr w:type="spellEnd"/>
      <w:r w:rsidRPr="2133F407">
        <w:rPr>
          <w:u w:val="none"/>
          <w:lang w:val="es-ES"/>
        </w:rPr>
        <w:t>) que no pueda</w:t>
      </w:r>
      <w:r w:rsidR="00017284">
        <w:rPr>
          <w:u w:val="none"/>
          <w:lang w:val="es-ES"/>
        </w:rPr>
        <w:t>n</w:t>
      </w:r>
      <w:r w:rsidRPr="2133F407">
        <w:rPr>
          <w:u w:val="none"/>
          <w:lang w:val="es-ES"/>
        </w:rPr>
        <w:t xml:space="preserve"> ser prestado</w:t>
      </w:r>
      <w:r w:rsidR="00017284">
        <w:rPr>
          <w:u w:val="none"/>
          <w:lang w:val="es-ES"/>
        </w:rPr>
        <w:t>s</w:t>
      </w:r>
      <w:r w:rsidRPr="2133F407">
        <w:rPr>
          <w:u w:val="none"/>
          <w:lang w:val="es-ES"/>
        </w:rPr>
        <w:t xml:space="preserve"> por otro </w:t>
      </w:r>
      <w:r w:rsidR="00447984">
        <w:rPr>
          <w:u w:val="none"/>
          <w:lang w:val="es-ES"/>
        </w:rPr>
        <w:t>proveedor</w:t>
      </w:r>
      <w:r w:rsidR="00447984" w:rsidRPr="2133F407">
        <w:rPr>
          <w:u w:val="none"/>
          <w:lang w:val="es-ES"/>
        </w:rPr>
        <w:t xml:space="preserve"> </w:t>
      </w:r>
      <w:r w:rsidRPr="2133F407">
        <w:rPr>
          <w:u w:val="none"/>
          <w:lang w:val="es-ES"/>
        </w:rPr>
        <w:t>en un plazo razonable de forma comparable en cuanto a su objeto, su calidad y su coste</w:t>
      </w:r>
      <w:r w:rsidRPr="2133F407">
        <w:rPr>
          <w:rStyle w:val="FootnoteReference"/>
          <w:rFonts w:ascii="Times New Roman" w:eastAsia="Calibri" w:hAnsi="Times New Roman"/>
          <w:color w:val="auto"/>
          <w:sz w:val="20"/>
          <w:szCs w:val="20"/>
          <w:u w:val="none"/>
          <w:lang w:val="es-ES"/>
        </w:rPr>
        <w:footnoteReference w:id="25"/>
      </w:r>
      <w:r w:rsidR="00017284">
        <w:rPr>
          <w:u w:val="none"/>
          <w:lang w:val="es-ES"/>
        </w:rPr>
        <w:t>.</w:t>
      </w:r>
    </w:p>
    <w:p w14:paraId="7FE1C22C" w14:textId="2429D842" w:rsidR="00414040" w:rsidRPr="000D1662" w:rsidRDefault="00904E1A">
      <w:pPr>
        <w:pStyle w:val="P68B1DB1-Instructionsberschrift348"/>
        <w:numPr>
          <w:ilvl w:val="4"/>
          <w:numId w:val="49"/>
        </w:numPr>
        <w:ind w:left="928"/>
        <w:contextualSpacing/>
        <w:jc w:val="both"/>
        <w:rPr>
          <w:color w:val="auto"/>
          <w:lang w:val="es-ES"/>
        </w:rPr>
      </w:pPr>
      <w:r w:rsidRPr="2133F407">
        <w:rPr>
          <w:color w:val="auto"/>
          <w:lang w:val="es-ES"/>
        </w:rPr>
        <w:t xml:space="preserve">De conformidad con el considerando 8 del Reglamento Delegado (UE) 2016/778 de la Comisión relativo a los </w:t>
      </w:r>
      <w:r w:rsidRPr="00AE7DE3">
        <w:rPr>
          <w:color w:val="auto"/>
          <w:lang w:val="es-ES"/>
        </w:rPr>
        <w:t>servicios esenciales</w:t>
      </w:r>
      <w:r w:rsidRPr="2133F407">
        <w:rPr>
          <w:color w:val="auto"/>
          <w:lang w:val="es-ES"/>
        </w:rPr>
        <w:t xml:space="preserve"> y aplicado por analogía para cubrir los servicios </w:t>
      </w:r>
      <w:r w:rsidR="008649AC">
        <w:rPr>
          <w:color w:val="auto"/>
          <w:lang w:val="es-ES"/>
        </w:rPr>
        <w:t>principales</w:t>
      </w:r>
      <w:r w:rsidR="008649AC" w:rsidRPr="2133F407">
        <w:rPr>
          <w:color w:val="auto"/>
          <w:lang w:val="es-ES"/>
        </w:rPr>
        <w:t xml:space="preserve"> </w:t>
      </w:r>
      <w:r w:rsidRPr="2133F407">
        <w:rPr>
          <w:color w:val="auto"/>
          <w:lang w:val="es-ES"/>
        </w:rPr>
        <w:t xml:space="preserve">definidos anteriormente, por servicios pertinentes se </w:t>
      </w:r>
      <w:r w:rsidRPr="2133F407">
        <w:rPr>
          <w:lang w:val="es-ES"/>
        </w:rPr>
        <w:t>entenderán las operaciones</w:t>
      </w:r>
      <w:r w:rsidR="00991823" w:rsidRPr="00991823">
        <w:rPr>
          <w:lang w:val="es-ES"/>
        </w:rPr>
        <w:t xml:space="preserve"> </w:t>
      </w:r>
      <w:r w:rsidR="00991823" w:rsidRPr="2133F407">
        <w:rPr>
          <w:lang w:val="es-ES"/>
        </w:rPr>
        <w:t>subyacentes</w:t>
      </w:r>
      <w:r w:rsidRPr="2133F407">
        <w:rPr>
          <w:lang w:val="es-ES"/>
        </w:rPr>
        <w:t xml:space="preserve">, actividades y servicios realizados para una (servicios </w:t>
      </w:r>
      <w:r w:rsidR="00E23DBD" w:rsidRPr="00E23DBD">
        <w:t>especializados</w:t>
      </w:r>
      <w:r w:rsidRPr="2133F407">
        <w:rPr>
          <w:lang w:val="es-ES"/>
        </w:rPr>
        <w:t xml:space="preserve">) o más unidades de negocio o </w:t>
      </w:r>
      <w:r w:rsidR="009D3895">
        <w:rPr>
          <w:lang w:val="es-ES"/>
        </w:rPr>
        <w:t>entes</w:t>
      </w:r>
      <w:r w:rsidR="009D3895" w:rsidRPr="2133F407">
        <w:rPr>
          <w:lang w:val="es-ES"/>
        </w:rPr>
        <w:t xml:space="preserve"> </w:t>
      </w:r>
      <w:r w:rsidRPr="2133F407">
        <w:rPr>
          <w:lang w:val="es-ES"/>
        </w:rPr>
        <w:t>jurídic</w:t>
      </w:r>
      <w:r w:rsidR="009D3895">
        <w:rPr>
          <w:lang w:val="es-ES"/>
        </w:rPr>
        <w:t>o</w:t>
      </w:r>
      <w:r w:rsidRPr="2133F407">
        <w:rPr>
          <w:lang w:val="es-ES"/>
        </w:rPr>
        <w:t xml:space="preserve">s (servicios compartidos) dentro del grupo que sean necesarios para prestar una o varias funciones esenciales o </w:t>
      </w:r>
      <w:r w:rsidRPr="2133F407">
        <w:rPr>
          <w:color w:val="auto"/>
          <w:lang w:val="es-ES"/>
        </w:rPr>
        <w:t xml:space="preserve">ramas de actividad principales. Los </w:t>
      </w:r>
      <w:r w:rsidRPr="2133F407">
        <w:rPr>
          <w:lang w:val="es-ES"/>
        </w:rPr>
        <w:t xml:space="preserve">servicios pertinentes pueden ser prestados </w:t>
      </w:r>
      <w:r w:rsidRPr="2133F407">
        <w:rPr>
          <w:color w:val="auto"/>
          <w:lang w:val="es-ES"/>
        </w:rPr>
        <w:t xml:space="preserve">por una unidad de negocio a otra unidad de negocio </w:t>
      </w:r>
      <w:r w:rsidR="5C5AB84E" w:rsidRPr="1BEC82A8">
        <w:rPr>
          <w:color w:val="auto"/>
          <w:lang w:val="es-ES"/>
        </w:rPr>
        <w:t>de</w:t>
      </w:r>
      <w:r w:rsidR="14E14C45" w:rsidRPr="1BEC82A8">
        <w:rPr>
          <w:color w:val="auto"/>
          <w:lang w:val="es-ES"/>
        </w:rPr>
        <w:t>l</w:t>
      </w:r>
      <w:r w:rsidR="00F5639C">
        <w:rPr>
          <w:color w:val="auto"/>
          <w:lang w:val="es-ES"/>
        </w:rPr>
        <w:t xml:space="preserve"> </w:t>
      </w:r>
      <w:r w:rsidR="5C5AB84E" w:rsidRPr="6FF5060F">
        <w:rPr>
          <w:color w:val="auto"/>
          <w:lang w:val="es-ES"/>
        </w:rPr>
        <w:t>mism</w:t>
      </w:r>
      <w:r w:rsidR="18DA8B7D" w:rsidRPr="6FF5060F">
        <w:rPr>
          <w:color w:val="auto"/>
          <w:lang w:val="es-ES"/>
        </w:rPr>
        <w:t>o</w:t>
      </w:r>
      <w:r w:rsidRPr="2133F407">
        <w:rPr>
          <w:color w:val="auto"/>
          <w:lang w:val="es-ES"/>
        </w:rPr>
        <w:t xml:space="preserve"> </w:t>
      </w:r>
      <w:r w:rsidR="5C5AB84E" w:rsidRPr="692C8757">
        <w:rPr>
          <w:color w:val="auto"/>
          <w:lang w:val="es-ES"/>
        </w:rPr>
        <w:t>ent</w:t>
      </w:r>
      <w:r w:rsidR="151D0C64" w:rsidRPr="692C8757">
        <w:rPr>
          <w:color w:val="auto"/>
          <w:lang w:val="es-ES"/>
        </w:rPr>
        <w:t>e</w:t>
      </w:r>
      <w:r w:rsidRPr="000D1662">
        <w:rPr>
          <w:color w:val="auto"/>
          <w:lang w:val="es-ES"/>
        </w:rPr>
        <w:t xml:space="preserve"> </w:t>
      </w:r>
      <w:r w:rsidR="5C5AB84E" w:rsidRPr="1BEC82A8">
        <w:rPr>
          <w:color w:val="auto"/>
          <w:lang w:val="es-ES"/>
        </w:rPr>
        <w:t>jurídic</w:t>
      </w:r>
      <w:r w:rsidR="0ED3521D" w:rsidRPr="1BEC82A8">
        <w:rPr>
          <w:color w:val="auto"/>
          <w:lang w:val="es-ES"/>
        </w:rPr>
        <w:t>o</w:t>
      </w:r>
      <w:r w:rsidRPr="000D1662">
        <w:rPr>
          <w:color w:val="auto"/>
          <w:lang w:val="es-ES"/>
        </w:rPr>
        <w:t xml:space="preserve"> </w:t>
      </w:r>
      <w:r w:rsidRPr="000D1662">
        <w:rPr>
          <w:lang w:val="es-ES"/>
        </w:rPr>
        <w:t>(</w:t>
      </w:r>
      <w:r w:rsidRPr="000D1662">
        <w:rPr>
          <w:color w:val="auto"/>
          <w:lang w:val="es-ES"/>
        </w:rPr>
        <w:t xml:space="preserve">servicio </w:t>
      </w:r>
      <w:r w:rsidR="00632EA1" w:rsidRPr="000D1662">
        <w:rPr>
          <w:color w:val="auto"/>
          <w:lang w:val="es-ES"/>
        </w:rPr>
        <w:t>interno</w:t>
      </w:r>
      <w:r w:rsidRPr="000D1662">
        <w:rPr>
          <w:color w:val="auto"/>
          <w:lang w:val="es-ES"/>
        </w:rPr>
        <w:t>),</w:t>
      </w:r>
      <w:r w:rsidRPr="000D1662">
        <w:rPr>
          <w:lang w:val="es-ES"/>
        </w:rPr>
        <w:t xml:space="preserve"> por entidades del grupo (servicio</w:t>
      </w:r>
      <w:r w:rsidR="00632EA1" w:rsidRPr="000D1662">
        <w:rPr>
          <w:lang w:val="es-ES"/>
        </w:rPr>
        <w:t xml:space="preserve"> </w:t>
      </w:r>
      <w:r w:rsidRPr="000D1662">
        <w:rPr>
          <w:color w:val="auto"/>
          <w:lang w:val="es-ES"/>
        </w:rPr>
        <w:t>intragrupo</w:t>
      </w:r>
      <w:r w:rsidRPr="000D1662">
        <w:rPr>
          <w:lang w:val="es-ES"/>
        </w:rPr>
        <w:t>)</w:t>
      </w:r>
      <w:r w:rsidR="00E75821" w:rsidRPr="000D1662">
        <w:rPr>
          <w:lang w:val="es-ES"/>
        </w:rPr>
        <w:t xml:space="preserve"> </w:t>
      </w:r>
      <w:r w:rsidRPr="000D1662">
        <w:rPr>
          <w:color w:val="auto"/>
          <w:lang w:val="es-ES"/>
        </w:rPr>
        <w:t>o</w:t>
      </w:r>
      <w:r w:rsidRPr="000D1662">
        <w:rPr>
          <w:lang w:val="es-ES"/>
        </w:rPr>
        <w:t xml:space="preserve"> externalizarse a un proveedor externo (servicio externo).</w:t>
      </w:r>
    </w:p>
    <w:p w14:paraId="7FE1C22D" w14:textId="745A1286" w:rsidR="00414040" w:rsidRDefault="00904E1A">
      <w:pPr>
        <w:pStyle w:val="P68B1DB1-Instructionsberschrift310"/>
        <w:numPr>
          <w:ilvl w:val="4"/>
          <w:numId w:val="49"/>
        </w:numPr>
        <w:ind w:left="928"/>
        <w:contextualSpacing/>
        <w:jc w:val="both"/>
        <w:rPr>
          <w:rFonts w:eastAsia="MS Mincho"/>
          <w:color w:val="auto"/>
        </w:rPr>
      </w:pPr>
      <w:r>
        <w:rPr>
          <w:rFonts w:eastAsia="MS Mincho"/>
        </w:rPr>
        <w:t>No todos los campos aplican a todos los tipos de servicios (resaltados en las instrucciones que figuran a continuación). En tal caso, indíquese «NO APLICABLE» en la casilla correspondiente.</w:t>
      </w:r>
      <w:r>
        <w:t xml:space="preserve"> </w:t>
      </w:r>
    </w:p>
    <w:p w14:paraId="7FE1C22E" w14:textId="2BD9E10D" w:rsidR="00414040" w:rsidRDefault="00904E1A">
      <w:pPr>
        <w:pStyle w:val="P68B1DB1-Instructionsberschrift346"/>
        <w:numPr>
          <w:ilvl w:val="4"/>
          <w:numId w:val="49"/>
        </w:numPr>
        <w:ind w:left="928"/>
        <w:contextualSpacing/>
        <w:jc w:val="both"/>
        <w:rPr>
          <w:color w:val="auto"/>
        </w:rPr>
      </w:pPr>
      <w:r>
        <w:t xml:space="preserve">La combinación de los valores </w:t>
      </w:r>
      <w:r w:rsidR="0461E2F0">
        <w:t>declarados</w:t>
      </w:r>
      <w:r>
        <w:t xml:space="preserve"> en las columnas 0010, </w:t>
      </w:r>
      <w:r w:rsidRPr="11A44BD7">
        <w:rPr>
          <w:color w:val="auto"/>
        </w:rPr>
        <w:t>0020, 0040, 0060 y 0130</w:t>
      </w:r>
      <w:r>
        <w:t xml:space="preserve"> de esta plantilla constituye una clave principal que debe ser única para cada fila de la plantilla.</w:t>
      </w:r>
    </w:p>
    <w:p w14:paraId="7FE1C22F" w14:textId="77777777" w:rsidR="00414040" w:rsidRDefault="00414040">
      <w:pPr>
        <w:pStyle w:val="Instructionsberschrift3"/>
        <w:numPr>
          <w:ilvl w:val="0"/>
          <w:numId w:val="0"/>
        </w:numPr>
        <w:ind w:left="720"/>
      </w:pPr>
    </w:p>
    <w:p w14:paraId="7FE1C230" w14:textId="77777777" w:rsidR="00414040" w:rsidRDefault="00904E1A">
      <w:pPr>
        <w:pStyle w:val="P68B1DB1-Instructionsberschrift312"/>
        <w:rPr>
          <w:bCs/>
        </w:rPr>
      </w:pPr>
      <w:r>
        <w:t>Instrucciones relativas a posiciones concretas</w:t>
      </w:r>
    </w:p>
    <w:p w14:paraId="7FE1C23F" w14:textId="77777777" w:rsidR="00414040" w:rsidRDefault="00414040">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414040" w14:paraId="7FE1C242" w14:textId="77777777" w:rsidTr="466B0B01">
        <w:trPr>
          <w:trHeight w:val="808"/>
          <w:tblHeader/>
        </w:trPr>
        <w:tc>
          <w:tcPr>
            <w:tcW w:w="1129" w:type="dxa"/>
            <w:shd w:val="clear" w:color="auto" w:fill="E7E6E6"/>
          </w:tcPr>
          <w:p w14:paraId="7FE1C240" w14:textId="77777777" w:rsidR="00414040" w:rsidRDefault="00904E1A">
            <w:pPr>
              <w:pStyle w:val="P68B1DB1-Normal49"/>
              <w:spacing w:before="120" w:after="120" w:line="276" w:lineRule="auto"/>
            </w:pPr>
            <w:r>
              <w:t>Columnas</w:t>
            </w:r>
          </w:p>
        </w:tc>
        <w:tc>
          <w:tcPr>
            <w:tcW w:w="7938" w:type="dxa"/>
            <w:shd w:val="clear" w:color="auto" w:fill="E7E6E6"/>
          </w:tcPr>
          <w:p w14:paraId="7FE1C241" w14:textId="77777777" w:rsidR="00414040" w:rsidRDefault="00904E1A">
            <w:pPr>
              <w:pStyle w:val="P68B1DB1-Normal49"/>
              <w:spacing w:before="120" w:after="120" w:line="276" w:lineRule="auto"/>
            </w:pPr>
            <w:r>
              <w:t>Instrucciones</w:t>
            </w:r>
          </w:p>
        </w:tc>
      </w:tr>
      <w:tr w:rsidR="00414040" w14:paraId="7FE1C247" w14:textId="77777777" w:rsidTr="466B0B01">
        <w:trPr>
          <w:trHeight w:val="450"/>
        </w:trPr>
        <w:tc>
          <w:tcPr>
            <w:tcW w:w="1129" w:type="dxa"/>
            <w:shd w:val="clear" w:color="auto" w:fill="FFFFFF" w:themeFill="background1"/>
          </w:tcPr>
          <w:p w14:paraId="7FE1C243" w14:textId="77777777" w:rsidR="00414040" w:rsidRDefault="00904E1A">
            <w:pPr>
              <w:pStyle w:val="P68B1DB1-Normal50"/>
              <w:spacing w:before="120" w:after="120" w:line="276" w:lineRule="auto"/>
            </w:pPr>
            <w:r>
              <w:t>0005</w:t>
            </w:r>
          </w:p>
        </w:tc>
        <w:tc>
          <w:tcPr>
            <w:tcW w:w="7938" w:type="dxa"/>
            <w:shd w:val="clear" w:color="auto" w:fill="FFFFFF" w:themeFill="background1"/>
          </w:tcPr>
          <w:p w14:paraId="7FE1C244" w14:textId="489A7AC3" w:rsidR="00414040" w:rsidRDefault="00904E1A">
            <w:pPr>
              <w:pStyle w:val="P68B1DB1-Normal49"/>
              <w:spacing w:before="120" w:after="120" w:line="276" w:lineRule="auto"/>
              <w:rPr>
                <w:bCs/>
              </w:rPr>
            </w:pPr>
            <w:r w:rsidRPr="2133F407">
              <w:rPr>
                <w:lang w:val="es-ES"/>
              </w:rPr>
              <w:t>Identificador del servicio</w:t>
            </w:r>
          </w:p>
          <w:p w14:paraId="7FE1C245" w14:textId="3940BC2B" w:rsidR="00414040" w:rsidRDefault="00904E1A">
            <w:pPr>
              <w:pStyle w:val="P68B1DB1-Normal50"/>
              <w:spacing w:before="120" w:after="120" w:line="276" w:lineRule="auto"/>
              <w:rPr>
                <w:iCs/>
              </w:rPr>
            </w:pPr>
            <w:r>
              <w:t xml:space="preserve">El identificador </w:t>
            </w:r>
            <w:r w:rsidR="5C5AB84E">
              <w:t>de</w:t>
            </w:r>
            <w:r w:rsidR="388DA972">
              <w:t>l</w:t>
            </w:r>
            <w:r>
              <w:t xml:space="preserve"> servicio se refiere al servicio notificado en c0020.</w:t>
            </w:r>
          </w:p>
          <w:p w14:paraId="7FE1C246" w14:textId="77777777" w:rsidR="00414040" w:rsidRDefault="00904E1A">
            <w:pPr>
              <w:pStyle w:val="P68B1DB1-Normal51"/>
              <w:spacing w:before="120" w:after="120" w:line="276" w:lineRule="auto"/>
            </w:pPr>
            <w:r>
              <w:t>Figura o texto libre</w:t>
            </w:r>
          </w:p>
        </w:tc>
      </w:tr>
      <w:tr w:rsidR="00414040" w14:paraId="7FE1C28C" w14:textId="77777777" w:rsidTr="466B0B01">
        <w:trPr>
          <w:trHeight w:val="463"/>
        </w:trPr>
        <w:tc>
          <w:tcPr>
            <w:tcW w:w="1129" w:type="dxa"/>
            <w:shd w:val="clear" w:color="auto" w:fill="FFFFFF" w:themeFill="background1"/>
          </w:tcPr>
          <w:p w14:paraId="7FE1C248" w14:textId="77777777" w:rsidR="00414040" w:rsidRDefault="00904E1A">
            <w:pPr>
              <w:pStyle w:val="P68B1DB1-Normal50"/>
              <w:spacing w:before="120" w:after="120" w:line="276" w:lineRule="auto"/>
            </w:pPr>
            <w:r>
              <w:t>0010</w:t>
            </w:r>
          </w:p>
        </w:tc>
        <w:tc>
          <w:tcPr>
            <w:tcW w:w="7938" w:type="dxa"/>
            <w:shd w:val="clear" w:color="auto" w:fill="FFFFFF" w:themeFill="background1"/>
          </w:tcPr>
          <w:p w14:paraId="7FE1C249" w14:textId="77777777" w:rsidR="00414040" w:rsidRDefault="00904E1A">
            <w:pPr>
              <w:pStyle w:val="P68B1DB1-Normal49"/>
              <w:autoSpaceDE w:val="0"/>
              <w:autoSpaceDN w:val="0"/>
              <w:adjustRightInd w:val="0"/>
              <w:rPr>
                <w:rFonts w:eastAsia="MS Mincho"/>
                <w:bCs/>
              </w:rPr>
            </w:pPr>
            <w:r>
              <w:t>Tipo de servicio</w:t>
            </w:r>
          </w:p>
          <w:p w14:paraId="7FE1C24A" w14:textId="77777777" w:rsidR="00414040" w:rsidRDefault="00904E1A">
            <w:pPr>
              <w:pStyle w:val="P68B1DB1-Normal52"/>
              <w:autoSpaceDE w:val="0"/>
              <w:autoSpaceDN w:val="0"/>
              <w:adjustRightInd w:val="0"/>
            </w:pPr>
            <w:r>
              <w:t xml:space="preserve">Se seleccionará entre alguno de los enumerados a continuación. </w:t>
            </w:r>
          </w:p>
          <w:p w14:paraId="7FE1C24B" w14:textId="69646846" w:rsidR="00414040" w:rsidRDefault="00904E1A">
            <w:pPr>
              <w:pStyle w:val="P68B1DB1-Normal50"/>
              <w:spacing w:before="120" w:after="120" w:line="276" w:lineRule="auto"/>
            </w:pPr>
            <w:r>
              <w:t xml:space="preserve">En la medida de lo posible, se </w:t>
            </w:r>
            <w:r w:rsidR="00590968">
              <w:t xml:space="preserve">informará </w:t>
            </w:r>
            <w:r>
              <w:t xml:space="preserve">la subcategoría (identificación de dos dígitos). Cuando no existan subcategorías o ninguna de ellas describa correctamente el servicio prestado por la entidad, se indicará la categoría principal (identificación de un dígito). </w:t>
            </w:r>
          </w:p>
          <w:p w14:paraId="5B37DFFD" w14:textId="2C2BBAE4" w:rsidR="00414040" w:rsidRDefault="00904E1A">
            <w:pPr>
              <w:pStyle w:val="P68B1DB1-Normal52"/>
            </w:pPr>
            <w:r>
              <w:t xml:space="preserve">Apoyo en materia de recursos humanos </w:t>
            </w:r>
          </w:p>
          <w:p w14:paraId="7DD533D5" w14:textId="73E47A6F" w:rsidR="00414040" w:rsidRDefault="00904E1A">
            <w:pPr>
              <w:pStyle w:val="P68B1DB1-ListParagraph53"/>
              <w:numPr>
                <w:ilvl w:val="0"/>
                <w:numId w:val="288"/>
              </w:numPr>
              <w:autoSpaceDE w:val="0"/>
              <w:autoSpaceDN w:val="0"/>
              <w:adjustRightInd w:val="0"/>
              <w:ind w:left="1165"/>
            </w:pPr>
            <w:r>
              <w:t xml:space="preserve">administración del personal, incluida la administración de contratos y remuneraciones </w:t>
            </w:r>
          </w:p>
          <w:p w14:paraId="43AF548E" w14:textId="675245F6" w:rsidR="00414040" w:rsidRDefault="00904E1A">
            <w:pPr>
              <w:pStyle w:val="P68B1DB1-ListParagraph53"/>
              <w:numPr>
                <w:ilvl w:val="0"/>
                <w:numId w:val="288"/>
              </w:numPr>
              <w:autoSpaceDE w:val="0"/>
              <w:autoSpaceDN w:val="0"/>
              <w:adjustRightInd w:val="0"/>
              <w:ind w:left="1165"/>
            </w:pPr>
            <w:r>
              <w:lastRenderedPageBreak/>
              <w:t>comunicación interna</w:t>
            </w:r>
          </w:p>
          <w:p w14:paraId="7FE1C250" w14:textId="4C0132AD" w:rsidR="00414040" w:rsidRDefault="00904E1A">
            <w:pPr>
              <w:pStyle w:val="P68B1DB1-ListParagraph53"/>
              <w:numPr>
                <w:ilvl w:val="0"/>
                <w:numId w:val="288"/>
              </w:numPr>
              <w:autoSpaceDE w:val="0"/>
              <w:autoSpaceDN w:val="0"/>
              <w:adjustRightInd w:val="0"/>
              <w:ind w:left="1165"/>
            </w:pPr>
            <w:r>
              <w:t xml:space="preserve">otro tipo de servicio de apoyo </w:t>
            </w:r>
            <w:r w:rsidR="00780B40">
              <w:t>en materia de</w:t>
            </w:r>
            <w:r>
              <w:t xml:space="preserve"> recursos humanos</w:t>
            </w:r>
          </w:p>
          <w:p w14:paraId="7FE1C251" w14:textId="77777777" w:rsidR="00414040" w:rsidRDefault="00414040">
            <w:pPr>
              <w:autoSpaceDE w:val="0"/>
              <w:autoSpaceDN w:val="0"/>
              <w:adjustRightInd w:val="0"/>
              <w:ind w:left="708"/>
              <w:rPr>
                <w:rFonts w:ascii="Times New Roman" w:eastAsia="MS Mincho" w:hAnsi="Times New Roman" w:cs="Times New Roman"/>
                <w:sz w:val="20"/>
                <w:szCs w:val="20"/>
              </w:rPr>
            </w:pPr>
          </w:p>
          <w:p w14:paraId="7FE1C252" w14:textId="7A6979E5" w:rsidR="00414040" w:rsidRDefault="00904E1A">
            <w:pPr>
              <w:pStyle w:val="P68B1DB1-Normal52"/>
              <w:autoSpaceDE w:val="0"/>
              <w:autoSpaceDN w:val="0"/>
              <w:adjustRightInd w:val="0"/>
            </w:pPr>
            <w:r>
              <w:t xml:space="preserve"> Tecnología de la información </w:t>
            </w:r>
          </w:p>
          <w:p w14:paraId="7FE1C253" w14:textId="6501EA3E" w:rsidR="00414040" w:rsidRDefault="00A209BA">
            <w:pPr>
              <w:pStyle w:val="P68B1DB1-ListParagraph53"/>
              <w:numPr>
                <w:ilvl w:val="1"/>
                <w:numId w:val="290"/>
              </w:numPr>
              <w:autoSpaceDE w:val="0"/>
              <w:autoSpaceDN w:val="0"/>
              <w:adjustRightInd w:val="0"/>
              <w:ind w:left="1449"/>
            </w:pPr>
            <w:r>
              <w:t xml:space="preserve">equipos </w:t>
            </w:r>
            <w:r w:rsidR="00904E1A">
              <w:t xml:space="preserve">informáticos y de comunicaciones </w:t>
            </w:r>
          </w:p>
          <w:p w14:paraId="7FE1C254" w14:textId="400D89C1" w:rsidR="00414040" w:rsidRDefault="00904E1A">
            <w:pPr>
              <w:pStyle w:val="P68B1DB1-ListParagraph53"/>
              <w:numPr>
                <w:ilvl w:val="1"/>
                <w:numId w:val="290"/>
              </w:numPr>
              <w:autoSpaceDE w:val="0"/>
              <w:autoSpaceDN w:val="0"/>
              <w:adjustRightInd w:val="0"/>
              <w:ind w:left="1449"/>
            </w:pPr>
            <w:r>
              <w:t xml:space="preserve">almacenamiento y tratamiento de datos </w:t>
            </w:r>
          </w:p>
          <w:p w14:paraId="7FE1C255" w14:textId="626A8448" w:rsidR="00414040" w:rsidRDefault="00904E1A">
            <w:pPr>
              <w:pStyle w:val="P68B1DB1-ListParagraph53"/>
              <w:numPr>
                <w:ilvl w:val="1"/>
                <w:numId w:val="290"/>
              </w:numPr>
              <w:autoSpaceDE w:val="0"/>
              <w:autoSpaceDN w:val="0"/>
              <w:adjustRightInd w:val="0"/>
              <w:ind w:left="1449"/>
            </w:pPr>
            <w:r>
              <w:t xml:space="preserve">otras infraestructuras informáticas, estaciones de trabajo, telecomunicaciones, servidores, centros de datos y servicios relacionados </w:t>
            </w:r>
          </w:p>
          <w:p w14:paraId="7FE1C256" w14:textId="15842CBC" w:rsidR="00414040" w:rsidRDefault="00904E1A">
            <w:pPr>
              <w:pStyle w:val="P68B1DB1-ListParagraph53"/>
              <w:numPr>
                <w:ilvl w:val="1"/>
                <w:numId w:val="290"/>
              </w:numPr>
              <w:autoSpaceDE w:val="0"/>
              <w:autoSpaceDN w:val="0"/>
              <w:adjustRightInd w:val="0"/>
              <w:ind w:left="1449"/>
            </w:pPr>
            <w:r>
              <w:t>administración de licencias de software y aplicaciones informáticas</w:t>
            </w:r>
          </w:p>
          <w:p w14:paraId="7FE1C257" w14:textId="5DA2FA2E" w:rsidR="00414040" w:rsidRDefault="00904E1A">
            <w:pPr>
              <w:pStyle w:val="P68B1DB1-ListParagraph53"/>
              <w:numPr>
                <w:ilvl w:val="1"/>
                <w:numId w:val="290"/>
              </w:numPr>
              <w:autoSpaceDE w:val="0"/>
              <w:autoSpaceDN w:val="0"/>
              <w:adjustRightInd w:val="0"/>
              <w:ind w:left="1449"/>
            </w:pPr>
            <w:r>
              <w:t xml:space="preserve">acceso a proveedores externos, en particular a proveedores de datos e infraestructuras </w:t>
            </w:r>
          </w:p>
          <w:p w14:paraId="7FE1C258" w14:textId="5064B052" w:rsidR="00414040" w:rsidRDefault="00904E1A">
            <w:pPr>
              <w:pStyle w:val="P68B1DB1-ListParagraph53"/>
              <w:numPr>
                <w:ilvl w:val="1"/>
                <w:numId w:val="290"/>
              </w:numPr>
              <w:autoSpaceDE w:val="0"/>
              <w:autoSpaceDN w:val="0"/>
              <w:adjustRightInd w:val="0"/>
              <w:ind w:left="1449"/>
            </w:pPr>
            <w:r>
              <w:t xml:space="preserve">mantenimiento de aplicaciones, incluyendo el mantenimiento de aplicaciones de software y flujos de datos relacionados </w:t>
            </w:r>
          </w:p>
          <w:p w14:paraId="7FE1C259" w14:textId="41CD0C0F" w:rsidR="00414040" w:rsidRDefault="00904E1A">
            <w:pPr>
              <w:pStyle w:val="P68B1DB1-ListParagraph53"/>
              <w:numPr>
                <w:ilvl w:val="1"/>
                <w:numId w:val="290"/>
              </w:numPr>
              <w:autoSpaceDE w:val="0"/>
              <w:autoSpaceDN w:val="0"/>
              <w:adjustRightInd w:val="0"/>
              <w:ind w:left="1449"/>
            </w:pPr>
            <w:r>
              <w:t xml:space="preserve">generación de informes, flujos de información interna y bases de datos </w:t>
            </w:r>
          </w:p>
          <w:p w14:paraId="7FE1C25A" w14:textId="72548638" w:rsidR="00414040" w:rsidRDefault="00904E1A">
            <w:pPr>
              <w:pStyle w:val="P68B1DB1-ListParagraph53"/>
              <w:numPr>
                <w:ilvl w:val="1"/>
                <w:numId w:val="290"/>
              </w:numPr>
              <w:autoSpaceDE w:val="0"/>
              <w:autoSpaceDN w:val="0"/>
              <w:adjustRightInd w:val="0"/>
              <w:ind w:left="1449"/>
            </w:pPr>
            <w:r>
              <w:t xml:space="preserve">atención al usuario </w:t>
            </w:r>
          </w:p>
          <w:p w14:paraId="7FE1C25B" w14:textId="2FAE0C54" w:rsidR="00414040" w:rsidRDefault="00904E1A">
            <w:pPr>
              <w:pStyle w:val="P68B1DB1-ListParagraph53"/>
              <w:numPr>
                <w:ilvl w:val="1"/>
                <w:numId w:val="290"/>
              </w:numPr>
              <w:autoSpaceDE w:val="0"/>
              <w:autoSpaceDN w:val="0"/>
              <w:adjustRightInd w:val="0"/>
              <w:ind w:left="1449"/>
            </w:pPr>
            <w:r>
              <w:t>recuperación en casos de emergencia y catástrofes</w:t>
            </w:r>
          </w:p>
          <w:p w14:paraId="7FE1C25C" w14:textId="431BC144" w:rsidR="00414040" w:rsidRDefault="00904E1A">
            <w:pPr>
              <w:pStyle w:val="P68B1DB1-ListParagraph53"/>
              <w:numPr>
                <w:ilvl w:val="1"/>
                <w:numId w:val="290"/>
              </w:numPr>
              <w:autoSpaceDE w:val="0"/>
              <w:autoSpaceDN w:val="0"/>
              <w:adjustRightInd w:val="0"/>
              <w:ind w:left="1449"/>
            </w:pPr>
            <w:r>
              <w:t>otro tipo de servicio de tecnología de la información</w:t>
            </w:r>
          </w:p>
          <w:p w14:paraId="7FE1C25D" w14:textId="77777777" w:rsidR="00414040" w:rsidRDefault="00414040">
            <w:pPr>
              <w:autoSpaceDE w:val="0"/>
              <w:autoSpaceDN w:val="0"/>
              <w:adjustRightInd w:val="0"/>
              <w:rPr>
                <w:rFonts w:ascii="Times New Roman" w:eastAsia="MS Mincho" w:hAnsi="Times New Roman" w:cs="Times New Roman"/>
                <w:sz w:val="20"/>
                <w:szCs w:val="20"/>
              </w:rPr>
            </w:pPr>
          </w:p>
          <w:p w14:paraId="7FE1C25E" w14:textId="1AD223E0" w:rsidR="00414040" w:rsidRDefault="00904E1A">
            <w:pPr>
              <w:pStyle w:val="P68B1DB1-Normal52"/>
              <w:autoSpaceDE w:val="0"/>
              <w:autoSpaceDN w:val="0"/>
              <w:adjustRightInd w:val="0"/>
            </w:pPr>
            <w:r>
              <w:t xml:space="preserve">Procesamiento de operaciones, incluidos sus aspectos legales, en particular los relativos a la lucha contra el blanqueo de capitales </w:t>
            </w:r>
          </w:p>
          <w:p w14:paraId="7FE1C25F" w14:textId="77777777" w:rsidR="00414040" w:rsidRDefault="00414040">
            <w:pPr>
              <w:autoSpaceDE w:val="0"/>
              <w:autoSpaceDN w:val="0"/>
              <w:adjustRightInd w:val="0"/>
              <w:rPr>
                <w:rFonts w:ascii="Times New Roman" w:eastAsia="MS Mincho" w:hAnsi="Times New Roman" w:cs="Times New Roman"/>
                <w:sz w:val="20"/>
                <w:szCs w:val="20"/>
              </w:rPr>
            </w:pPr>
          </w:p>
          <w:p w14:paraId="7FE1C260" w14:textId="0AB6F782" w:rsidR="00414040" w:rsidRDefault="00904E1A">
            <w:pPr>
              <w:pStyle w:val="P68B1DB1-Normal52"/>
              <w:autoSpaceDE w:val="0"/>
              <w:autoSpaceDN w:val="0"/>
              <w:adjustRightInd w:val="0"/>
            </w:pPr>
            <w:bookmarkStart w:id="127" w:name="_Hlk191374143"/>
            <w:r>
              <w:t>Suministro o gestión de bienes inmuebles e infraestructuras, e instalaciones asociadas</w:t>
            </w:r>
            <w:bookmarkEnd w:id="127"/>
            <w:r>
              <w:t xml:space="preserve"> </w:t>
            </w:r>
          </w:p>
          <w:p w14:paraId="7FE1C261" w14:textId="0AB4E478" w:rsidR="00414040" w:rsidRDefault="00F748CF">
            <w:pPr>
              <w:pStyle w:val="P68B1DB1-ListParagraph53"/>
              <w:numPr>
                <w:ilvl w:val="0"/>
                <w:numId w:val="291"/>
              </w:numPr>
              <w:autoSpaceDE w:val="0"/>
              <w:autoSpaceDN w:val="0"/>
              <w:adjustRightInd w:val="0"/>
            </w:pPr>
            <w:r>
              <w:t>locales</w:t>
            </w:r>
            <w:r w:rsidR="00252525">
              <w:t xml:space="preserve"> </w:t>
            </w:r>
            <w:r w:rsidR="00904E1A">
              <w:t xml:space="preserve">de oficinas y almacenamiento </w:t>
            </w:r>
          </w:p>
          <w:p w14:paraId="7FE1C262" w14:textId="3A997023" w:rsidR="00414040" w:rsidRDefault="00904E1A">
            <w:pPr>
              <w:pStyle w:val="P68B1DB1-ListParagraph53"/>
              <w:numPr>
                <w:ilvl w:val="0"/>
                <w:numId w:val="291"/>
              </w:numPr>
              <w:autoSpaceDE w:val="0"/>
              <w:autoSpaceDN w:val="0"/>
              <w:adjustRightInd w:val="0"/>
            </w:pPr>
            <w:r>
              <w:t xml:space="preserve">gestión de instalaciones internas </w:t>
            </w:r>
          </w:p>
          <w:p w14:paraId="7FE1C263" w14:textId="2B6FC02A" w:rsidR="00414040" w:rsidRDefault="00904E1A">
            <w:pPr>
              <w:pStyle w:val="P68B1DB1-ListParagraph53"/>
              <w:numPr>
                <w:ilvl w:val="0"/>
                <w:numId w:val="291"/>
              </w:numPr>
              <w:autoSpaceDE w:val="0"/>
              <w:autoSpaceDN w:val="0"/>
              <w:adjustRightInd w:val="0"/>
            </w:pPr>
            <w:r>
              <w:t xml:space="preserve">control de la seguridad y el acceso </w:t>
            </w:r>
          </w:p>
          <w:p w14:paraId="7FE1C264" w14:textId="792BCFBD" w:rsidR="00414040" w:rsidRDefault="00904E1A">
            <w:pPr>
              <w:pStyle w:val="P68B1DB1-ListParagraph53"/>
              <w:numPr>
                <w:ilvl w:val="0"/>
                <w:numId w:val="291"/>
              </w:numPr>
              <w:autoSpaceDE w:val="0"/>
              <w:autoSpaceDN w:val="0"/>
              <w:adjustRightInd w:val="0"/>
            </w:pPr>
            <w:r>
              <w:t xml:space="preserve">gestión de la cartera inmobiliaria </w:t>
            </w:r>
          </w:p>
          <w:p w14:paraId="7FE1C265" w14:textId="52ACD32B" w:rsidR="00414040" w:rsidRDefault="00904E1A">
            <w:pPr>
              <w:pStyle w:val="P68B1DB1-ListParagraph53"/>
              <w:numPr>
                <w:ilvl w:val="0"/>
                <w:numId w:val="291"/>
              </w:numPr>
              <w:autoSpaceDE w:val="0"/>
              <w:autoSpaceDN w:val="0"/>
              <w:adjustRightInd w:val="0"/>
            </w:pPr>
            <w:r>
              <w:t>otro tipo de servicio de suministro o gestión de bienes inmuebles e infraestructuras, e instalaciones asociadas</w:t>
            </w:r>
          </w:p>
          <w:p w14:paraId="7FE1C266" w14:textId="77777777" w:rsidR="00414040" w:rsidRDefault="00414040">
            <w:pPr>
              <w:autoSpaceDE w:val="0"/>
              <w:autoSpaceDN w:val="0"/>
              <w:adjustRightInd w:val="0"/>
              <w:rPr>
                <w:rFonts w:ascii="Times New Roman" w:eastAsia="MS Mincho" w:hAnsi="Times New Roman" w:cs="Times New Roman"/>
                <w:sz w:val="20"/>
                <w:szCs w:val="20"/>
              </w:rPr>
            </w:pPr>
          </w:p>
          <w:p w14:paraId="7FE1C267" w14:textId="4B2E0CD6" w:rsidR="00414040" w:rsidRDefault="00904E1A">
            <w:pPr>
              <w:pStyle w:val="P68B1DB1-Normal52"/>
              <w:autoSpaceDE w:val="0"/>
              <w:autoSpaceDN w:val="0"/>
              <w:adjustRightInd w:val="0"/>
            </w:pPr>
            <w:r>
              <w:t xml:space="preserve">Servicios jurídicos y funciones de verificación del cumplimiento: </w:t>
            </w:r>
          </w:p>
          <w:p w14:paraId="7FE1C268" w14:textId="58AD7D99" w:rsidR="00414040" w:rsidRDefault="00904E1A">
            <w:pPr>
              <w:pStyle w:val="P68B1DB1-ListParagraph53"/>
              <w:numPr>
                <w:ilvl w:val="0"/>
                <w:numId w:val="292"/>
              </w:numPr>
              <w:autoSpaceDE w:val="0"/>
              <w:autoSpaceDN w:val="0"/>
              <w:adjustRightInd w:val="0"/>
            </w:pPr>
            <w:r>
              <w:t xml:space="preserve">asistencia </w:t>
            </w:r>
            <w:r w:rsidR="007F0824">
              <w:t>jurídica a empresas</w:t>
            </w:r>
            <w:r>
              <w:t xml:space="preserve"> </w:t>
            </w:r>
          </w:p>
          <w:p w14:paraId="7FE1C269" w14:textId="1DC4A30A" w:rsidR="00414040" w:rsidRDefault="00904E1A">
            <w:pPr>
              <w:pStyle w:val="P68B1DB1-ListParagraph53"/>
              <w:numPr>
                <w:ilvl w:val="0"/>
                <w:numId w:val="292"/>
              </w:numPr>
              <w:autoSpaceDE w:val="0"/>
              <w:autoSpaceDN w:val="0"/>
              <w:adjustRightInd w:val="0"/>
            </w:pPr>
            <w:r>
              <w:t xml:space="preserve">servicios jurídicos relacionados con la actividad y las operaciones </w:t>
            </w:r>
          </w:p>
          <w:p w14:paraId="7FE1C26A" w14:textId="1BAF6F48" w:rsidR="00414040" w:rsidRDefault="00904E1A">
            <w:pPr>
              <w:pStyle w:val="P68B1DB1-ListParagraph53"/>
              <w:numPr>
                <w:ilvl w:val="0"/>
                <w:numId w:val="292"/>
              </w:numPr>
              <w:autoSpaceDE w:val="0"/>
              <w:autoSpaceDN w:val="0"/>
              <w:adjustRightInd w:val="0"/>
            </w:pPr>
            <w:r>
              <w:t xml:space="preserve">asistencia en la verificación del cumplimiento </w:t>
            </w:r>
          </w:p>
          <w:p w14:paraId="7FE1C26B" w14:textId="12B844A8" w:rsidR="00414040" w:rsidRDefault="00904E1A">
            <w:pPr>
              <w:pStyle w:val="P68B1DB1-ListParagraph53"/>
              <w:numPr>
                <w:ilvl w:val="0"/>
                <w:numId w:val="292"/>
              </w:numPr>
              <w:autoSpaceDE w:val="0"/>
              <w:autoSpaceDN w:val="0"/>
              <w:adjustRightInd w:val="0"/>
            </w:pPr>
            <w:r>
              <w:t xml:space="preserve">otros servicios jurídicos y </w:t>
            </w:r>
            <w:r w:rsidR="00775FA6">
              <w:t>funciones</w:t>
            </w:r>
            <w:r w:rsidR="00252525">
              <w:t xml:space="preserve"> </w:t>
            </w:r>
            <w:r>
              <w:t>de verificación del cumplimiento</w:t>
            </w:r>
          </w:p>
          <w:p w14:paraId="7FE1C26C" w14:textId="77777777" w:rsidR="00414040" w:rsidRDefault="00414040">
            <w:pPr>
              <w:autoSpaceDE w:val="0"/>
              <w:autoSpaceDN w:val="0"/>
              <w:adjustRightInd w:val="0"/>
              <w:ind w:left="708"/>
              <w:rPr>
                <w:rFonts w:ascii="Times New Roman" w:eastAsia="MS Mincho" w:hAnsi="Times New Roman" w:cs="Times New Roman"/>
                <w:sz w:val="20"/>
                <w:szCs w:val="20"/>
              </w:rPr>
            </w:pPr>
          </w:p>
          <w:p w14:paraId="7FE1C26D" w14:textId="03C41351" w:rsidR="00414040" w:rsidRDefault="00904E1A">
            <w:pPr>
              <w:pStyle w:val="P68B1DB1-Normal52"/>
              <w:autoSpaceDE w:val="0"/>
              <w:autoSpaceDN w:val="0"/>
              <w:adjustRightInd w:val="0"/>
            </w:pPr>
            <w:r>
              <w:t xml:space="preserve">Servicios de tesorería </w:t>
            </w:r>
          </w:p>
          <w:p w14:paraId="7FE1C26E" w14:textId="1425CC24" w:rsidR="00414040" w:rsidRDefault="00904E1A">
            <w:pPr>
              <w:pStyle w:val="P68B1DB1-ListParagraph53"/>
              <w:numPr>
                <w:ilvl w:val="0"/>
                <w:numId w:val="293"/>
              </w:numPr>
              <w:autoSpaceDE w:val="0"/>
              <w:autoSpaceDN w:val="0"/>
              <w:adjustRightInd w:val="0"/>
            </w:pPr>
            <w:r>
              <w:t xml:space="preserve">coordinación, administración y gestión de la actividad de tesorería </w:t>
            </w:r>
          </w:p>
          <w:p w14:paraId="7FE1C26F" w14:textId="5F1F7B0C" w:rsidR="00414040" w:rsidRDefault="00904E1A">
            <w:pPr>
              <w:pStyle w:val="P68B1DB1-ListParagraph53"/>
              <w:numPr>
                <w:ilvl w:val="0"/>
                <w:numId w:val="293"/>
              </w:numPr>
              <w:autoSpaceDE w:val="0"/>
              <w:autoSpaceDN w:val="0"/>
              <w:adjustRightInd w:val="0"/>
            </w:pPr>
            <w:r>
              <w:t xml:space="preserve">coordinación, administración y gestión de la refinanciación de entes, incluida la gestión de garantías reales </w:t>
            </w:r>
          </w:p>
          <w:p w14:paraId="7FE1C270" w14:textId="6552707F" w:rsidR="00414040" w:rsidRDefault="00904E1A">
            <w:pPr>
              <w:pStyle w:val="P68B1DB1-ListParagraph53"/>
              <w:numPr>
                <w:ilvl w:val="0"/>
                <w:numId w:val="293"/>
              </w:numPr>
              <w:autoSpaceDE w:val="0"/>
              <w:autoSpaceDN w:val="0"/>
              <w:adjustRightInd w:val="0"/>
            </w:pPr>
            <w:r w:rsidRPr="1AF63606">
              <w:rPr>
                <w:lang w:val="es-ES"/>
              </w:rPr>
              <w:t xml:space="preserve">función de presentación de informes, en particular respecto a las ratios de liquidez </w:t>
            </w:r>
            <w:r w:rsidR="5C5AB84E" w:rsidRPr="1AF63606">
              <w:rPr>
                <w:lang w:val="es-ES"/>
              </w:rPr>
              <w:t>reg</w:t>
            </w:r>
            <w:r w:rsidR="603599AE" w:rsidRPr="1AF63606">
              <w:rPr>
                <w:lang w:val="es-ES"/>
              </w:rPr>
              <w:t>ulatoria</w:t>
            </w:r>
            <w:r w:rsidR="009326A9">
              <w:rPr>
                <w:lang w:val="es-ES"/>
              </w:rPr>
              <w:t>s</w:t>
            </w:r>
          </w:p>
          <w:p w14:paraId="7FE1C271" w14:textId="034EEFA4" w:rsidR="00414040" w:rsidRDefault="00904E1A">
            <w:pPr>
              <w:pStyle w:val="P68B1DB1-ListParagraph53"/>
              <w:numPr>
                <w:ilvl w:val="0"/>
                <w:numId w:val="293"/>
              </w:numPr>
              <w:autoSpaceDE w:val="0"/>
              <w:autoSpaceDN w:val="0"/>
              <w:adjustRightInd w:val="0"/>
            </w:pPr>
            <w:r>
              <w:t xml:space="preserve">coordinación, administración y gestión de programas de financiación a medio y largo plazo, y de la refinanciación de los entes del grupo </w:t>
            </w:r>
          </w:p>
          <w:p w14:paraId="7FE1C272" w14:textId="064C2167" w:rsidR="00414040" w:rsidRDefault="00904E1A">
            <w:pPr>
              <w:pStyle w:val="P68B1DB1-ListParagraph53"/>
              <w:numPr>
                <w:ilvl w:val="0"/>
                <w:numId w:val="293"/>
              </w:numPr>
              <w:autoSpaceDE w:val="0"/>
              <w:autoSpaceDN w:val="0"/>
              <w:adjustRightInd w:val="0"/>
            </w:pPr>
            <w:r>
              <w:t>coordinación, administración y gestión de la refinanciación, en particular a corto plazo</w:t>
            </w:r>
          </w:p>
          <w:p w14:paraId="7FE1C273" w14:textId="26B2A9BB" w:rsidR="00414040" w:rsidRDefault="00904E1A">
            <w:pPr>
              <w:pStyle w:val="P68B1DB1-ListParagraph53"/>
              <w:numPr>
                <w:ilvl w:val="0"/>
                <w:numId w:val="293"/>
              </w:numPr>
              <w:autoSpaceDE w:val="0"/>
              <w:autoSpaceDN w:val="0"/>
              <w:adjustRightInd w:val="0"/>
            </w:pPr>
            <w:r>
              <w:t xml:space="preserve">otro tipo de servicio </w:t>
            </w:r>
            <w:r w:rsidR="003B53B3">
              <w:t>de tesorería</w:t>
            </w:r>
          </w:p>
          <w:p w14:paraId="7FE1C274" w14:textId="77777777" w:rsidR="00414040" w:rsidRDefault="00414040">
            <w:pPr>
              <w:autoSpaceDE w:val="0"/>
              <w:autoSpaceDN w:val="0"/>
              <w:adjustRightInd w:val="0"/>
              <w:rPr>
                <w:rFonts w:ascii="Times New Roman" w:eastAsia="MS Mincho" w:hAnsi="Times New Roman" w:cs="Times New Roman"/>
                <w:sz w:val="20"/>
                <w:szCs w:val="20"/>
              </w:rPr>
            </w:pPr>
          </w:p>
          <w:p w14:paraId="7FE1C275" w14:textId="6437F825" w:rsidR="00414040" w:rsidRDefault="00904E1A">
            <w:pPr>
              <w:pStyle w:val="P68B1DB1-Normal52"/>
              <w:autoSpaceDE w:val="0"/>
              <w:autoSpaceDN w:val="0"/>
              <w:adjustRightInd w:val="0"/>
            </w:pPr>
            <w:r>
              <w:t xml:space="preserve">Actividad de negociación/gestión de activos </w:t>
            </w:r>
          </w:p>
          <w:p w14:paraId="7FE1C276" w14:textId="52377E11" w:rsidR="00414040" w:rsidRDefault="00904E1A">
            <w:pPr>
              <w:pStyle w:val="P68B1DB1-ListParagraph53"/>
              <w:numPr>
                <w:ilvl w:val="0"/>
                <w:numId w:val="294"/>
              </w:numPr>
              <w:autoSpaceDE w:val="0"/>
              <w:autoSpaceDN w:val="0"/>
              <w:adjustRightInd w:val="0"/>
            </w:pPr>
            <w:r>
              <w:t xml:space="preserve">procesamiento de operaciones: captación, diseño y realización de operaciones, y administración de productos de negociación </w:t>
            </w:r>
          </w:p>
          <w:p w14:paraId="7FE1C277" w14:textId="35EC336F" w:rsidR="00414040" w:rsidRDefault="00904E1A">
            <w:pPr>
              <w:pStyle w:val="P68B1DB1-ListParagraph53"/>
              <w:numPr>
                <w:ilvl w:val="0"/>
                <w:numId w:val="294"/>
              </w:numPr>
              <w:autoSpaceDE w:val="0"/>
              <w:autoSpaceDN w:val="0"/>
              <w:adjustRightInd w:val="0"/>
            </w:pPr>
            <w:r>
              <w:t xml:space="preserve">confirmación, liquidación, pago </w:t>
            </w:r>
          </w:p>
          <w:p w14:paraId="7FE1C278" w14:textId="417DFA52" w:rsidR="00414040" w:rsidRDefault="00904E1A">
            <w:pPr>
              <w:pStyle w:val="P68B1DB1-ListParagraph53"/>
              <w:numPr>
                <w:ilvl w:val="0"/>
                <w:numId w:val="294"/>
              </w:numPr>
              <w:autoSpaceDE w:val="0"/>
              <w:autoSpaceDN w:val="0"/>
              <w:adjustRightInd w:val="0"/>
            </w:pPr>
            <w:r>
              <w:t xml:space="preserve">gestión de posiciones y contrapartes en relación con la presentación de información y las relaciones con las contrapartes </w:t>
            </w:r>
          </w:p>
          <w:p w14:paraId="7FE1C279" w14:textId="18F90331" w:rsidR="00414040" w:rsidRDefault="00904E1A">
            <w:pPr>
              <w:pStyle w:val="P68B1DB1-ListParagraph53"/>
              <w:numPr>
                <w:ilvl w:val="0"/>
                <w:numId w:val="294"/>
              </w:numPr>
              <w:autoSpaceDE w:val="0"/>
              <w:autoSpaceDN w:val="0"/>
              <w:adjustRightInd w:val="0"/>
            </w:pPr>
            <w:r>
              <w:t xml:space="preserve">gestión de posiciones (riesgos y conciliación) </w:t>
            </w:r>
          </w:p>
          <w:p w14:paraId="7FE1C27A" w14:textId="23FC3BC1" w:rsidR="00414040" w:rsidRDefault="00904E1A">
            <w:pPr>
              <w:pStyle w:val="P68B1DB1-ListParagraph53"/>
              <w:numPr>
                <w:ilvl w:val="0"/>
                <w:numId w:val="294"/>
              </w:numPr>
              <w:autoSpaceDE w:val="0"/>
              <w:autoSpaceDN w:val="0"/>
              <w:adjustRightInd w:val="0"/>
            </w:pPr>
            <w:r>
              <w:lastRenderedPageBreak/>
              <w:t>otro tipo de servicio de negociación/gestión de activos</w:t>
            </w:r>
          </w:p>
          <w:p w14:paraId="7FE1C27B" w14:textId="77777777" w:rsidR="00414040" w:rsidRDefault="00414040">
            <w:pPr>
              <w:autoSpaceDE w:val="0"/>
              <w:autoSpaceDN w:val="0"/>
              <w:adjustRightInd w:val="0"/>
              <w:ind w:left="708"/>
              <w:rPr>
                <w:rFonts w:ascii="Times New Roman" w:eastAsia="MS Mincho" w:hAnsi="Times New Roman" w:cs="Times New Roman"/>
                <w:sz w:val="20"/>
                <w:szCs w:val="20"/>
              </w:rPr>
            </w:pPr>
          </w:p>
          <w:p w14:paraId="7FE1C27C" w14:textId="1E8D237F" w:rsidR="00414040" w:rsidRDefault="00904E1A">
            <w:pPr>
              <w:pStyle w:val="P68B1DB1-Normal52"/>
              <w:autoSpaceDE w:val="0"/>
              <w:autoSpaceDN w:val="0"/>
              <w:adjustRightInd w:val="0"/>
            </w:pPr>
            <w:r>
              <w:t xml:space="preserve">Gestión y valoración de riesgos </w:t>
            </w:r>
          </w:p>
          <w:p w14:paraId="7FE1C27D" w14:textId="27978472" w:rsidR="00414040" w:rsidRDefault="00904E1A">
            <w:pPr>
              <w:pStyle w:val="P68B1DB1-ListParagraph53"/>
              <w:numPr>
                <w:ilvl w:val="0"/>
                <w:numId w:val="295"/>
              </w:numPr>
              <w:autoSpaceDE w:val="0"/>
              <w:autoSpaceDN w:val="0"/>
              <w:adjustRightInd w:val="0"/>
            </w:pPr>
            <w:r>
              <w:t>gestión de riesgos centralizada o por rama de actividad o tipo de riesgo</w:t>
            </w:r>
          </w:p>
          <w:p w14:paraId="7FE1C27E" w14:textId="7AC0E3ED" w:rsidR="00414040" w:rsidRDefault="00904E1A">
            <w:pPr>
              <w:pStyle w:val="P68B1DB1-ListParagraph53"/>
              <w:numPr>
                <w:ilvl w:val="0"/>
                <w:numId w:val="295"/>
              </w:numPr>
              <w:autoSpaceDE w:val="0"/>
              <w:autoSpaceDN w:val="0"/>
              <w:adjustRightInd w:val="0"/>
            </w:pPr>
            <w:r>
              <w:t xml:space="preserve">elaboración de informes de riesgos </w:t>
            </w:r>
          </w:p>
          <w:p w14:paraId="7FE1C27F" w14:textId="54F4E51F" w:rsidR="00414040" w:rsidRDefault="00904E1A">
            <w:pPr>
              <w:pStyle w:val="P68B1DB1-ListParagraph53"/>
              <w:numPr>
                <w:ilvl w:val="0"/>
                <w:numId w:val="295"/>
              </w:numPr>
              <w:autoSpaceDE w:val="0"/>
              <w:autoSpaceDN w:val="0"/>
              <w:adjustRightInd w:val="0"/>
            </w:pPr>
            <w:r>
              <w:t>otro tipo de servicio de gestión y valoración de riesgos</w:t>
            </w:r>
          </w:p>
          <w:p w14:paraId="7FE1C280" w14:textId="77777777" w:rsidR="00414040" w:rsidRDefault="00414040">
            <w:pPr>
              <w:autoSpaceDE w:val="0"/>
              <w:autoSpaceDN w:val="0"/>
              <w:adjustRightInd w:val="0"/>
              <w:rPr>
                <w:rFonts w:ascii="Times New Roman" w:eastAsia="MS Mincho" w:hAnsi="Times New Roman" w:cs="Times New Roman"/>
                <w:sz w:val="20"/>
                <w:szCs w:val="20"/>
              </w:rPr>
            </w:pPr>
          </w:p>
          <w:p w14:paraId="7FE1C281" w14:textId="5206B100" w:rsidR="00414040" w:rsidRDefault="00904E1A">
            <w:pPr>
              <w:pStyle w:val="P68B1DB1-Normal52"/>
              <w:autoSpaceDE w:val="0"/>
              <w:autoSpaceDN w:val="0"/>
              <w:adjustRightInd w:val="0"/>
            </w:pPr>
            <w:r>
              <w:t xml:space="preserve">Contabilidad </w:t>
            </w:r>
          </w:p>
          <w:p w14:paraId="7FE1C282" w14:textId="2F262C7F" w:rsidR="00414040" w:rsidRDefault="00904E1A">
            <w:pPr>
              <w:pStyle w:val="P68B1DB1-ListParagraph53"/>
              <w:numPr>
                <w:ilvl w:val="0"/>
                <w:numId w:val="296"/>
              </w:numPr>
              <w:autoSpaceDE w:val="0"/>
              <w:autoSpaceDN w:val="0"/>
              <w:adjustRightInd w:val="0"/>
            </w:pPr>
            <w:r w:rsidRPr="7067D5FA">
              <w:rPr>
                <w:lang w:val="es-ES"/>
              </w:rPr>
              <w:t xml:space="preserve">preparación de información legal y </w:t>
            </w:r>
            <w:r w:rsidR="757E4237" w:rsidRPr="7067D5FA">
              <w:rPr>
                <w:lang w:val="es-ES"/>
              </w:rPr>
              <w:t>regulatoria</w:t>
            </w:r>
          </w:p>
          <w:p w14:paraId="7FE1C283" w14:textId="3DCAF9FA" w:rsidR="00414040" w:rsidRDefault="00904E1A">
            <w:pPr>
              <w:pStyle w:val="P68B1DB1-ListParagraph53"/>
              <w:numPr>
                <w:ilvl w:val="0"/>
                <w:numId w:val="296"/>
              </w:numPr>
              <w:autoSpaceDE w:val="0"/>
              <w:autoSpaceDN w:val="0"/>
              <w:adjustRightInd w:val="0"/>
            </w:pPr>
            <w:r>
              <w:t xml:space="preserve">valoración, en particular de las posiciones de mercado </w:t>
            </w:r>
          </w:p>
          <w:p w14:paraId="7FE1C284" w14:textId="2EE4BE8B" w:rsidR="00414040" w:rsidRDefault="00904E1A">
            <w:pPr>
              <w:pStyle w:val="P68B1DB1-ListParagraph53"/>
              <w:numPr>
                <w:ilvl w:val="0"/>
                <w:numId w:val="296"/>
              </w:numPr>
              <w:autoSpaceDE w:val="0"/>
              <w:autoSpaceDN w:val="0"/>
              <w:adjustRightInd w:val="0"/>
            </w:pPr>
            <w:r>
              <w:t xml:space="preserve">presentación de informes de gestión </w:t>
            </w:r>
          </w:p>
          <w:p w14:paraId="7FE1C285" w14:textId="6685DB80" w:rsidR="00414040" w:rsidRDefault="00904E1A">
            <w:pPr>
              <w:pStyle w:val="P68B1DB1-ListParagraph53"/>
              <w:numPr>
                <w:ilvl w:val="0"/>
                <w:numId w:val="296"/>
              </w:numPr>
              <w:autoSpaceDE w:val="0"/>
              <w:autoSpaceDN w:val="0"/>
              <w:adjustRightInd w:val="0"/>
            </w:pPr>
            <w:r>
              <w:t xml:space="preserve">otro tipo de servicio </w:t>
            </w:r>
            <w:r w:rsidR="00022358">
              <w:t>de contabilidad</w:t>
            </w:r>
          </w:p>
          <w:p w14:paraId="7FE1C286" w14:textId="77777777" w:rsidR="00414040" w:rsidRDefault="00414040">
            <w:pPr>
              <w:autoSpaceDE w:val="0"/>
              <w:autoSpaceDN w:val="0"/>
              <w:adjustRightInd w:val="0"/>
              <w:ind w:left="708"/>
              <w:rPr>
                <w:rFonts w:ascii="Times New Roman" w:eastAsia="MS Mincho" w:hAnsi="Times New Roman" w:cs="Times New Roman"/>
                <w:sz w:val="20"/>
                <w:szCs w:val="20"/>
              </w:rPr>
            </w:pPr>
          </w:p>
          <w:p w14:paraId="7FE1C287" w14:textId="675737F3" w:rsidR="00414040" w:rsidRDefault="00904E1A">
            <w:pPr>
              <w:pStyle w:val="P68B1DB1-Normal54"/>
              <w:autoSpaceDE w:val="0"/>
              <w:autoSpaceDN w:val="0"/>
              <w:adjustRightInd w:val="0"/>
              <w:rPr>
                <w:sz w:val="24"/>
              </w:rPr>
            </w:pPr>
            <w:r>
              <w:rPr>
                <w:sz w:val="20"/>
              </w:rPr>
              <w:t>Gestión de efectivo</w:t>
            </w:r>
            <w:r>
              <w:rPr>
                <w:sz w:val="24"/>
              </w:rPr>
              <w:t xml:space="preserve"> </w:t>
            </w:r>
          </w:p>
          <w:p w14:paraId="7FE1C288" w14:textId="77777777" w:rsidR="00414040" w:rsidRDefault="00414040">
            <w:pPr>
              <w:autoSpaceDE w:val="0"/>
              <w:autoSpaceDN w:val="0"/>
              <w:adjustRightInd w:val="0"/>
              <w:rPr>
                <w:rFonts w:ascii="Times New Roman" w:eastAsia="MS Mincho" w:hAnsi="Times New Roman" w:cs="Times New Roman"/>
                <w:sz w:val="24"/>
                <w:szCs w:val="20"/>
              </w:rPr>
            </w:pPr>
          </w:p>
          <w:p w14:paraId="7FE1C289" w14:textId="180A5CA4" w:rsidR="00414040" w:rsidRDefault="00904E1A">
            <w:pPr>
              <w:pStyle w:val="P68B1DB1-Normal52"/>
              <w:autoSpaceDE w:val="0"/>
              <w:autoSpaceDN w:val="0"/>
              <w:adjustRightInd w:val="0"/>
            </w:pPr>
            <w:r>
              <w:t>Otro tipo de servicio</w:t>
            </w:r>
          </w:p>
          <w:p w14:paraId="7FE1C28B" w14:textId="56625F93" w:rsidR="00414040" w:rsidRDefault="00414040">
            <w:pPr>
              <w:spacing w:line="276" w:lineRule="auto"/>
              <w:jc w:val="both"/>
              <w:rPr>
                <w:rFonts w:ascii="Times New Roman" w:eastAsia="Calibri" w:hAnsi="Times New Roman" w:cs="Times New Roman"/>
                <w:b/>
                <w:i/>
                <w:sz w:val="20"/>
                <w:szCs w:val="20"/>
              </w:rPr>
            </w:pPr>
          </w:p>
        </w:tc>
      </w:tr>
      <w:tr w:rsidR="00414040" w14:paraId="7FE1C292" w14:textId="77777777" w:rsidTr="466B0B01">
        <w:trPr>
          <w:trHeight w:val="463"/>
        </w:trPr>
        <w:tc>
          <w:tcPr>
            <w:tcW w:w="1129" w:type="dxa"/>
            <w:shd w:val="clear" w:color="auto" w:fill="FFFFFF" w:themeFill="background1"/>
          </w:tcPr>
          <w:p w14:paraId="7FE1C28D" w14:textId="77777777" w:rsidR="00414040" w:rsidRDefault="00904E1A">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414040" w:rsidRDefault="00904E1A">
            <w:pPr>
              <w:pStyle w:val="P68B1DB1-Normal49"/>
              <w:spacing w:line="276" w:lineRule="auto"/>
              <w:jc w:val="both"/>
              <w:rPr>
                <w:bCs/>
              </w:rPr>
            </w:pPr>
            <w:r>
              <w:t>Título de servicio único con arreglo a la taxonomía bancaria</w:t>
            </w:r>
          </w:p>
          <w:p w14:paraId="1C0060B3" w14:textId="1FF2F05D" w:rsidR="00414040" w:rsidRDefault="00904E1A">
            <w:pPr>
              <w:rPr>
                <w:rFonts w:ascii="Times New Roman" w:hAnsi="Times New Roman" w:cs="Times New Roman"/>
                <w:sz w:val="24"/>
                <w:lang w:val="es-ES"/>
              </w:rPr>
            </w:pPr>
            <w:r w:rsidRPr="2133F407">
              <w:rPr>
                <w:rFonts w:ascii="Times New Roman" w:eastAsia="Calibri" w:hAnsi="Times New Roman" w:cs="Times New Roman"/>
                <w:sz w:val="20"/>
                <w:szCs w:val="20"/>
                <w:lang w:val="es-ES"/>
              </w:rPr>
              <w:t xml:space="preserve">Nombre/breve descripción del servicio según la </w:t>
            </w:r>
            <w:r w:rsidR="006B75CB">
              <w:rPr>
                <w:rFonts w:ascii="Times New Roman" w:eastAsia="Calibri" w:hAnsi="Times New Roman" w:cs="Times New Roman"/>
                <w:sz w:val="20"/>
                <w:szCs w:val="20"/>
                <w:lang w:val="es-ES"/>
              </w:rPr>
              <w:t xml:space="preserve">propia </w:t>
            </w:r>
            <w:r w:rsidRPr="2133F407">
              <w:rPr>
                <w:rFonts w:ascii="Times New Roman" w:eastAsia="Calibri" w:hAnsi="Times New Roman" w:cs="Times New Roman"/>
                <w:sz w:val="20"/>
                <w:szCs w:val="20"/>
                <w:lang w:val="es-ES"/>
              </w:rPr>
              <w:t xml:space="preserve">taxonomía </w:t>
            </w:r>
            <w:r w:rsidR="00337065">
              <w:rPr>
                <w:rFonts w:ascii="Times New Roman" w:eastAsia="Calibri" w:hAnsi="Times New Roman" w:cs="Times New Roman"/>
                <w:sz w:val="20"/>
                <w:szCs w:val="20"/>
                <w:lang w:val="es-ES"/>
              </w:rPr>
              <w:t>jerárquica</w:t>
            </w:r>
            <w:r w:rsidR="00931A2F">
              <w:rPr>
                <w:rFonts w:ascii="Times New Roman" w:eastAsia="Calibri" w:hAnsi="Times New Roman" w:cs="Times New Roman"/>
                <w:sz w:val="20"/>
                <w:szCs w:val="20"/>
                <w:lang w:val="es-ES"/>
              </w:rPr>
              <w:t xml:space="preserve"> </w:t>
            </w:r>
            <w:r w:rsidRPr="2133F407">
              <w:rPr>
                <w:rFonts w:ascii="Times New Roman" w:eastAsia="Calibri" w:hAnsi="Times New Roman" w:cs="Times New Roman"/>
                <w:sz w:val="20"/>
                <w:szCs w:val="20"/>
                <w:lang w:val="es-ES"/>
              </w:rPr>
              <w:t>del banco (nivel 3), que clasifica los servicios y subconjuntos de estos servicios en niveles jerárquicos. Por ejemplo, una taxonomía de servicios que clasifica los servicios en tres niveles jerárquicos</w:t>
            </w:r>
            <w:r w:rsidR="009326A9">
              <w:rPr>
                <w:rFonts w:ascii="Times New Roman" w:eastAsia="Calibri" w:hAnsi="Times New Roman" w:cs="Times New Roman"/>
                <w:sz w:val="20"/>
                <w:szCs w:val="20"/>
                <w:lang w:val="es-ES"/>
              </w:rPr>
              <w:t>:</w:t>
            </w:r>
            <w:r w:rsidRPr="2133F407">
              <w:rPr>
                <w:rFonts w:ascii="Times New Roman" w:eastAsia="Calibri" w:hAnsi="Times New Roman" w:cs="Times New Roman"/>
                <w:sz w:val="20"/>
                <w:szCs w:val="20"/>
                <w:lang w:val="es-ES"/>
              </w:rPr>
              <w:t xml:space="preserve"> en el nivel superior </w:t>
            </w:r>
            <w:r w:rsidR="00F172C8">
              <w:rPr>
                <w:rFonts w:ascii="Times New Roman" w:eastAsia="Calibri" w:hAnsi="Times New Roman" w:cs="Times New Roman"/>
                <w:sz w:val="20"/>
                <w:szCs w:val="20"/>
                <w:lang w:val="es-ES"/>
              </w:rPr>
              <w:t>se encuentra</w:t>
            </w:r>
            <w:r w:rsidR="00F172C8" w:rsidRPr="2133F407">
              <w:rPr>
                <w:rFonts w:ascii="Times New Roman" w:eastAsia="Calibri" w:hAnsi="Times New Roman" w:cs="Times New Roman"/>
                <w:sz w:val="20"/>
                <w:szCs w:val="20"/>
                <w:lang w:val="es-ES"/>
              </w:rPr>
              <w:t xml:space="preserve"> </w:t>
            </w:r>
            <w:r w:rsidRPr="2133F407">
              <w:rPr>
                <w:rFonts w:ascii="Times New Roman" w:eastAsia="Calibri" w:hAnsi="Times New Roman" w:cs="Times New Roman"/>
                <w:sz w:val="20"/>
                <w:szCs w:val="20"/>
                <w:lang w:val="es-ES"/>
              </w:rPr>
              <w:t>el grupo de servicios (L1: Servicios financieros)</w:t>
            </w:r>
            <w:r w:rsidR="00936353">
              <w:rPr>
                <w:rFonts w:ascii="Times New Roman" w:eastAsia="Calibri" w:hAnsi="Times New Roman" w:cs="Times New Roman"/>
                <w:sz w:val="20"/>
                <w:szCs w:val="20"/>
                <w:lang w:val="es-ES"/>
              </w:rPr>
              <w:t>,</w:t>
            </w:r>
            <w:r w:rsidRPr="2133F407">
              <w:rPr>
                <w:rFonts w:ascii="Times New Roman" w:eastAsia="Calibri" w:hAnsi="Times New Roman" w:cs="Times New Roman"/>
                <w:sz w:val="20"/>
                <w:szCs w:val="20"/>
                <w:lang w:val="es-ES"/>
              </w:rPr>
              <w:t xml:space="preserve"> </w:t>
            </w:r>
            <w:r w:rsidR="009326A9">
              <w:rPr>
                <w:rFonts w:ascii="Times New Roman" w:eastAsia="Calibri" w:hAnsi="Times New Roman" w:cs="Times New Roman"/>
                <w:sz w:val="20"/>
                <w:szCs w:val="20"/>
                <w:lang w:val="es-ES"/>
              </w:rPr>
              <w:t>en el nivel dos están representados</w:t>
            </w:r>
            <w:r w:rsidRPr="2133F407">
              <w:rPr>
                <w:rFonts w:ascii="Times New Roman" w:eastAsia="Calibri" w:hAnsi="Times New Roman" w:cs="Times New Roman"/>
                <w:sz w:val="20"/>
                <w:szCs w:val="20"/>
                <w:lang w:val="es-ES"/>
              </w:rPr>
              <w:t xml:space="preserve"> los servicios (L2: tesorería, análisis financiero, fiscalidad, relaciones </w:t>
            </w:r>
            <w:r w:rsidR="00FE4A6F">
              <w:rPr>
                <w:rFonts w:ascii="Times New Roman" w:eastAsia="Calibri" w:hAnsi="Times New Roman" w:cs="Times New Roman"/>
                <w:sz w:val="20"/>
                <w:szCs w:val="20"/>
                <w:lang w:val="es-ES"/>
              </w:rPr>
              <w:t>con</w:t>
            </w:r>
            <w:r w:rsidR="00015034">
              <w:rPr>
                <w:rFonts w:ascii="Times New Roman" w:eastAsia="Calibri" w:hAnsi="Times New Roman" w:cs="Times New Roman"/>
                <w:sz w:val="20"/>
                <w:szCs w:val="20"/>
                <w:lang w:val="es-ES"/>
              </w:rPr>
              <w:t xml:space="preserve"> </w:t>
            </w:r>
            <w:r w:rsidRPr="2133F407">
              <w:rPr>
                <w:rFonts w:ascii="Times New Roman" w:eastAsia="Calibri" w:hAnsi="Times New Roman" w:cs="Times New Roman"/>
                <w:sz w:val="20"/>
                <w:szCs w:val="20"/>
                <w:lang w:val="es-ES"/>
              </w:rPr>
              <w:t xml:space="preserve">inversores, etc.) y </w:t>
            </w:r>
            <w:r w:rsidR="009326A9">
              <w:rPr>
                <w:rFonts w:ascii="Times New Roman" w:eastAsia="Calibri" w:hAnsi="Times New Roman" w:cs="Times New Roman"/>
                <w:sz w:val="20"/>
                <w:szCs w:val="20"/>
                <w:lang w:val="es-ES"/>
              </w:rPr>
              <w:t xml:space="preserve">en el nivel tres, los </w:t>
            </w:r>
            <w:proofErr w:type="spellStart"/>
            <w:r w:rsidRPr="2133F407">
              <w:rPr>
                <w:rFonts w:ascii="Times New Roman" w:eastAsia="Calibri" w:hAnsi="Times New Roman" w:cs="Times New Roman"/>
                <w:sz w:val="20"/>
                <w:szCs w:val="20"/>
                <w:lang w:val="es-ES"/>
              </w:rPr>
              <w:t>subservicios</w:t>
            </w:r>
            <w:proofErr w:type="spellEnd"/>
            <w:r w:rsidRPr="2133F407">
              <w:rPr>
                <w:rFonts w:ascii="Times New Roman" w:eastAsia="Calibri" w:hAnsi="Times New Roman" w:cs="Times New Roman"/>
                <w:sz w:val="20"/>
                <w:szCs w:val="20"/>
                <w:lang w:val="es-ES"/>
              </w:rPr>
              <w:t xml:space="preserve"> (L3 — dentro de tesorería: gestión de la liquidez, gestión de activos y pasivos, gestión de garantías reales, etc.). Se espera que el banco </w:t>
            </w:r>
            <w:r w:rsidR="00B213A8">
              <w:rPr>
                <w:rFonts w:ascii="Times New Roman" w:eastAsia="Calibri" w:hAnsi="Times New Roman" w:cs="Times New Roman"/>
                <w:sz w:val="20"/>
                <w:szCs w:val="20"/>
                <w:lang w:val="es-ES"/>
              </w:rPr>
              <w:t>informe</w:t>
            </w:r>
            <w:r w:rsidR="00B213A8" w:rsidRPr="2133F407">
              <w:rPr>
                <w:rFonts w:ascii="Times New Roman" w:eastAsia="Calibri" w:hAnsi="Times New Roman" w:cs="Times New Roman"/>
                <w:sz w:val="20"/>
                <w:szCs w:val="20"/>
                <w:lang w:val="es-ES"/>
              </w:rPr>
              <w:t xml:space="preserve"> </w:t>
            </w:r>
            <w:r w:rsidRPr="2133F407">
              <w:rPr>
                <w:rFonts w:ascii="Times New Roman" w:eastAsia="Calibri" w:hAnsi="Times New Roman" w:cs="Times New Roman"/>
                <w:sz w:val="20"/>
                <w:szCs w:val="20"/>
                <w:lang w:val="es-ES"/>
              </w:rPr>
              <w:t>los servicios a un nivel más detallado que la información facilitada para el nivel 2 (c0010), de modo que cada servicio concreto se defina de manera precisa y específica.</w:t>
            </w:r>
          </w:p>
          <w:p w14:paraId="7FE1C290" w14:textId="77777777" w:rsidR="00414040" w:rsidRDefault="00414040">
            <w:pPr>
              <w:spacing w:line="276" w:lineRule="auto"/>
              <w:jc w:val="both"/>
              <w:rPr>
                <w:rFonts w:ascii="Times New Roman" w:eastAsia="Calibri" w:hAnsi="Times New Roman" w:cs="Times New Roman"/>
                <w:sz w:val="20"/>
              </w:rPr>
            </w:pPr>
          </w:p>
          <w:p w14:paraId="7FE1C291" w14:textId="77777777" w:rsidR="00414040" w:rsidRDefault="00414040">
            <w:pPr>
              <w:spacing w:line="276" w:lineRule="auto"/>
              <w:jc w:val="both"/>
              <w:rPr>
                <w:rFonts w:ascii="Times New Roman" w:eastAsia="Calibri" w:hAnsi="Times New Roman" w:cs="Times New Roman"/>
                <w:i/>
                <w:sz w:val="20"/>
              </w:rPr>
            </w:pPr>
          </w:p>
        </w:tc>
      </w:tr>
      <w:tr w:rsidR="00414040" w14:paraId="7FE1C298" w14:textId="77777777" w:rsidTr="466B0B01">
        <w:trPr>
          <w:trHeight w:val="463"/>
        </w:trPr>
        <w:tc>
          <w:tcPr>
            <w:tcW w:w="1129" w:type="dxa"/>
            <w:shd w:val="clear" w:color="auto" w:fill="FFFFFF" w:themeFill="background1"/>
          </w:tcPr>
          <w:p w14:paraId="7FE1C293" w14:textId="77777777" w:rsidR="00414040" w:rsidRDefault="00904E1A">
            <w:pPr>
              <w:pStyle w:val="P68B1DB1-Normal50"/>
              <w:spacing w:before="120" w:after="120" w:line="276" w:lineRule="auto"/>
            </w:pPr>
            <w:r>
              <w:t>0030-0040</w:t>
            </w:r>
          </w:p>
          <w:p w14:paraId="7FE1C294" w14:textId="77777777" w:rsidR="00414040" w:rsidRDefault="00414040">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414040" w:rsidRDefault="00904E1A">
            <w:pPr>
              <w:pStyle w:val="P68B1DB1-Normal49"/>
              <w:spacing w:line="276" w:lineRule="auto"/>
              <w:jc w:val="both"/>
              <w:rPr>
                <w:bCs/>
              </w:rPr>
            </w:pPr>
            <w:r>
              <w:t>Destinatario del servicio</w:t>
            </w:r>
          </w:p>
          <w:p w14:paraId="7FE1C296" w14:textId="6A501FFA" w:rsidR="00414040" w:rsidRDefault="00904E1A">
            <w:pPr>
              <w:pStyle w:val="P68B1DB1-Normal45"/>
              <w:spacing w:line="276" w:lineRule="auto"/>
              <w:jc w:val="both"/>
            </w:pPr>
            <w:r>
              <w:t xml:space="preserve">Ente del grupo que recibe el servicio </w:t>
            </w:r>
            <w:r w:rsidR="0033513C">
              <w:t xml:space="preserve">declarado </w:t>
            </w:r>
            <w:r>
              <w:t xml:space="preserve">en la columna 0010 de otra unidad de negocio, ente del grupo o </w:t>
            </w:r>
            <w:r w:rsidR="00F52851">
              <w:t xml:space="preserve">proveedor </w:t>
            </w:r>
            <w:r>
              <w:t xml:space="preserve">externo </w:t>
            </w:r>
            <w:r w:rsidR="0033513C">
              <w:t xml:space="preserve">declarados </w:t>
            </w:r>
            <w:r>
              <w:t>en las columnas 0050-0110.</w:t>
            </w:r>
          </w:p>
          <w:p w14:paraId="7FE1C297" w14:textId="77777777" w:rsidR="00414040" w:rsidRDefault="00414040">
            <w:pPr>
              <w:spacing w:line="276" w:lineRule="auto"/>
              <w:jc w:val="both"/>
              <w:rPr>
                <w:rFonts w:ascii="Times New Roman" w:eastAsia="Calibri" w:hAnsi="Times New Roman" w:cs="Times New Roman"/>
                <w:sz w:val="20"/>
              </w:rPr>
            </w:pPr>
          </w:p>
        </w:tc>
      </w:tr>
      <w:tr w:rsidR="00414040" w14:paraId="7FE1C29F" w14:textId="77777777" w:rsidTr="466B0B01">
        <w:trPr>
          <w:trHeight w:val="463"/>
        </w:trPr>
        <w:tc>
          <w:tcPr>
            <w:tcW w:w="1129" w:type="dxa"/>
            <w:shd w:val="clear" w:color="auto" w:fill="FFFFFF" w:themeFill="background1"/>
          </w:tcPr>
          <w:p w14:paraId="7FE1C299" w14:textId="77777777" w:rsidR="00414040" w:rsidRDefault="00904E1A">
            <w:pPr>
              <w:pStyle w:val="P68B1DB1-Normal50"/>
              <w:spacing w:before="120" w:after="120" w:line="276" w:lineRule="auto"/>
            </w:pPr>
            <w:r>
              <w:t>0030</w:t>
            </w:r>
          </w:p>
          <w:p w14:paraId="7FE1C29A" w14:textId="77777777" w:rsidR="00414040" w:rsidRDefault="00414040">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EE7BA66" w:rsidR="00414040" w:rsidRDefault="00F1671B">
            <w:pPr>
              <w:pStyle w:val="P68B1DB1-Normal49"/>
              <w:spacing w:before="120" w:after="120" w:line="276" w:lineRule="auto"/>
              <w:rPr>
                <w:bCs/>
              </w:rPr>
            </w:pPr>
            <w:r>
              <w:t>Nombre</w:t>
            </w:r>
          </w:p>
          <w:p w14:paraId="7FE1C29C" w14:textId="00D30655" w:rsidR="00414040" w:rsidRDefault="00904E1A">
            <w:pPr>
              <w:pStyle w:val="P68B1DB1-Normal45"/>
              <w:spacing w:line="276" w:lineRule="auto"/>
              <w:jc w:val="both"/>
            </w:pPr>
            <w:r w:rsidRPr="53E96539">
              <w:rPr>
                <w:lang w:val="es-ES"/>
              </w:rPr>
              <w:t xml:space="preserve">Debe ser diferente del nombre indicado en la columna 0050, a menos que el servicio sea </w:t>
            </w:r>
            <w:r w:rsidR="00DA72E3" w:rsidRPr="53E96539">
              <w:rPr>
                <w:lang w:val="es-ES"/>
              </w:rPr>
              <w:t xml:space="preserve">interno </w:t>
            </w:r>
            <w:r w:rsidR="004D38BE" w:rsidRPr="53E96539">
              <w:rPr>
                <w:lang w:val="es-ES"/>
              </w:rPr>
              <w:t>(</w:t>
            </w:r>
            <w:r w:rsidR="00DA72E3" w:rsidRPr="53E96539">
              <w:rPr>
                <w:lang w:val="es-ES"/>
              </w:rPr>
              <w:t xml:space="preserve">dentro </w:t>
            </w:r>
            <w:r w:rsidR="007A2292">
              <w:rPr>
                <w:lang w:val="es-ES"/>
              </w:rPr>
              <w:t>del ente</w:t>
            </w:r>
            <w:r w:rsidR="004D38BE" w:rsidRPr="53E96539">
              <w:rPr>
                <w:lang w:val="es-ES"/>
              </w:rPr>
              <w:t>)</w:t>
            </w:r>
            <w:r w:rsidRPr="53E96539">
              <w:rPr>
                <w:lang w:val="es-ES"/>
              </w:rPr>
              <w:t xml:space="preserve">. En este caso, se espera que coincidan el nombre del </w:t>
            </w:r>
            <w:r w:rsidR="29E6E12B" w:rsidRPr="00210421">
              <w:rPr>
                <w:lang w:val="es-ES"/>
              </w:rPr>
              <w:t>e</w:t>
            </w:r>
            <w:r w:rsidR="4F0F2524" w:rsidRPr="00210421">
              <w:rPr>
                <w:lang w:val="es-ES"/>
              </w:rPr>
              <w:t>nte</w:t>
            </w:r>
            <w:r w:rsidRPr="53E96539">
              <w:rPr>
                <w:lang w:val="es-ES"/>
              </w:rPr>
              <w:t xml:space="preserve"> </w:t>
            </w:r>
            <w:r w:rsidR="00F30F18" w:rsidRPr="53E96539">
              <w:rPr>
                <w:lang w:val="es-ES"/>
              </w:rPr>
              <w:t>destinatari</w:t>
            </w:r>
            <w:r w:rsidR="00F30F18">
              <w:rPr>
                <w:lang w:val="es-ES"/>
              </w:rPr>
              <w:t>o</w:t>
            </w:r>
            <w:r w:rsidR="00F30F18" w:rsidRPr="53E96539">
              <w:rPr>
                <w:lang w:val="es-ES"/>
              </w:rPr>
              <w:t xml:space="preserve"> </w:t>
            </w:r>
            <w:r w:rsidRPr="53E96539">
              <w:rPr>
                <w:lang w:val="es-ES"/>
              </w:rPr>
              <w:t xml:space="preserve">del servicio y el nombre </w:t>
            </w:r>
            <w:r w:rsidR="29E6E12B" w:rsidRPr="53E96539">
              <w:rPr>
                <w:lang w:val="es-ES"/>
              </w:rPr>
              <w:t>d</w:t>
            </w:r>
            <w:r w:rsidR="6525F955" w:rsidRPr="53E96539">
              <w:rPr>
                <w:lang w:val="es-ES"/>
              </w:rPr>
              <w:t>el ente</w:t>
            </w:r>
            <w:r w:rsidR="009673E2">
              <w:rPr>
                <w:lang w:val="es-ES"/>
              </w:rPr>
              <w:t xml:space="preserve"> </w:t>
            </w:r>
            <w:r w:rsidRPr="53E96539">
              <w:rPr>
                <w:lang w:val="es-ES"/>
              </w:rPr>
              <w:t>proveedor de</w:t>
            </w:r>
            <w:r w:rsidR="00F30F18">
              <w:rPr>
                <w:lang w:val="es-ES"/>
              </w:rPr>
              <w:t>l</w:t>
            </w:r>
            <w:r w:rsidRPr="53E96539">
              <w:rPr>
                <w:lang w:val="es-ES"/>
              </w:rPr>
              <w:t xml:space="preserve"> servicio.</w:t>
            </w:r>
          </w:p>
          <w:p w14:paraId="7FE1C29D" w14:textId="77777777" w:rsidR="00414040" w:rsidRDefault="00414040">
            <w:pPr>
              <w:spacing w:line="276" w:lineRule="auto"/>
              <w:jc w:val="both"/>
              <w:rPr>
                <w:rFonts w:ascii="Times New Roman" w:eastAsia="Calibri" w:hAnsi="Times New Roman" w:cs="Times New Roman"/>
                <w:sz w:val="20"/>
              </w:rPr>
            </w:pPr>
          </w:p>
          <w:p w14:paraId="7FE1C29E" w14:textId="77777777" w:rsidR="00414040" w:rsidRDefault="00414040">
            <w:pPr>
              <w:spacing w:line="276" w:lineRule="auto"/>
              <w:jc w:val="both"/>
              <w:rPr>
                <w:rFonts w:ascii="Times New Roman" w:eastAsia="Calibri" w:hAnsi="Times New Roman" w:cs="Times New Roman"/>
                <w:b/>
                <w:sz w:val="20"/>
              </w:rPr>
            </w:pPr>
          </w:p>
        </w:tc>
      </w:tr>
      <w:tr w:rsidR="00414040" w14:paraId="7FE1C2A6" w14:textId="77777777" w:rsidTr="466B0B01">
        <w:trPr>
          <w:trHeight w:val="463"/>
        </w:trPr>
        <w:tc>
          <w:tcPr>
            <w:tcW w:w="1129" w:type="dxa"/>
            <w:shd w:val="clear" w:color="auto" w:fill="FFFFFF" w:themeFill="background1"/>
          </w:tcPr>
          <w:p w14:paraId="7FE1C2A0" w14:textId="77777777" w:rsidR="00414040" w:rsidRDefault="00904E1A">
            <w:pPr>
              <w:pStyle w:val="P68B1DB1-Normal50"/>
              <w:spacing w:before="120" w:after="120" w:line="276" w:lineRule="auto"/>
            </w:pPr>
            <w:r>
              <w:t>0040</w:t>
            </w:r>
          </w:p>
          <w:p w14:paraId="7FE1C2A1" w14:textId="77777777" w:rsidR="00414040" w:rsidRDefault="00414040">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414040" w:rsidRDefault="00904E1A">
            <w:pPr>
              <w:pStyle w:val="P68B1DB1-Normal49"/>
              <w:spacing w:before="120" w:after="120" w:line="276" w:lineRule="auto"/>
              <w:rPr>
                <w:bCs/>
              </w:rPr>
            </w:pPr>
            <w:r>
              <w:t>Código</w:t>
            </w:r>
          </w:p>
          <w:p w14:paraId="7FE1C2A3" w14:textId="77777777" w:rsidR="00414040" w:rsidRDefault="00904E1A">
            <w:pPr>
              <w:pStyle w:val="P68B1DB1-Normal45"/>
              <w:spacing w:line="276" w:lineRule="auto"/>
              <w:jc w:val="both"/>
            </w:pPr>
            <w:r>
              <w:t>Identificador único del ente jurídico que figura en la columna 0030 tal como conste en la plantilla Z 01.01 (ORG).</w:t>
            </w:r>
          </w:p>
          <w:p w14:paraId="7FE1C2A4" w14:textId="1CCC897B" w:rsidR="00414040" w:rsidRDefault="00904E1A">
            <w:pPr>
              <w:pStyle w:val="P68B1DB1-Normal45"/>
              <w:spacing w:line="276" w:lineRule="auto"/>
              <w:jc w:val="both"/>
            </w:pPr>
            <w:r>
              <w:t xml:space="preserve">Debe ser diferente del identificador </w:t>
            </w:r>
            <w:r w:rsidR="005F060F">
              <w:t xml:space="preserve">declarado </w:t>
            </w:r>
            <w:r>
              <w:t xml:space="preserve">en la columna 0060, a menos que el servicio sea </w:t>
            </w:r>
            <w:r w:rsidR="004D38BE">
              <w:t>interno (</w:t>
            </w:r>
            <w:r>
              <w:t xml:space="preserve">dentro </w:t>
            </w:r>
            <w:r w:rsidR="007A2292">
              <w:t>del ente</w:t>
            </w:r>
            <w:r w:rsidR="004D38BE">
              <w:t>)</w:t>
            </w:r>
            <w:r>
              <w:t xml:space="preserve">. En este caso, se espera que coincidan el código del destinatario del servicio y el código del </w:t>
            </w:r>
            <w:r w:rsidRPr="009673E2">
              <w:t>pr</w:t>
            </w:r>
            <w:r w:rsidR="57003927" w:rsidRPr="00210421">
              <w:t>oveedor</w:t>
            </w:r>
            <w:r w:rsidRPr="009673E2">
              <w:t xml:space="preserve"> de</w:t>
            </w:r>
            <w:r w:rsidR="00CD0C88" w:rsidRPr="00210421">
              <w:t>l</w:t>
            </w:r>
            <w:r w:rsidRPr="009673E2">
              <w:t xml:space="preserve"> servicio.</w:t>
            </w:r>
          </w:p>
          <w:p w14:paraId="7FE1C2A5" w14:textId="77777777" w:rsidR="00414040" w:rsidRDefault="00414040">
            <w:pPr>
              <w:spacing w:line="276" w:lineRule="auto"/>
              <w:jc w:val="both"/>
              <w:rPr>
                <w:rFonts w:ascii="Times New Roman" w:eastAsia="Calibri" w:hAnsi="Times New Roman" w:cs="Times New Roman"/>
                <w:b/>
                <w:i/>
                <w:sz w:val="20"/>
              </w:rPr>
            </w:pPr>
          </w:p>
        </w:tc>
      </w:tr>
      <w:tr w:rsidR="00414040" w14:paraId="7FE1C2AC" w14:textId="77777777" w:rsidTr="466B0B01">
        <w:trPr>
          <w:trHeight w:val="463"/>
        </w:trPr>
        <w:tc>
          <w:tcPr>
            <w:tcW w:w="1129" w:type="dxa"/>
            <w:shd w:val="clear" w:color="auto" w:fill="FFFFFF" w:themeFill="background1"/>
          </w:tcPr>
          <w:p w14:paraId="7FE1C2A7" w14:textId="77777777" w:rsidR="00414040" w:rsidRDefault="00904E1A">
            <w:pPr>
              <w:pStyle w:val="P68B1DB1-Normal50"/>
              <w:spacing w:before="120" w:after="120" w:line="276" w:lineRule="auto"/>
            </w:pPr>
            <w:r>
              <w:t>0050-0110</w:t>
            </w:r>
          </w:p>
          <w:p w14:paraId="7FE1C2A8" w14:textId="77777777" w:rsidR="00414040" w:rsidRDefault="00414040">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68A6A783" w:rsidR="00414040" w:rsidRDefault="00904E1A">
            <w:pPr>
              <w:pStyle w:val="P68B1DB1-Normal55"/>
              <w:spacing w:line="276" w:lineRule="auto"/>
              <w:jc w:val="both"/>
              <w:rPr>
                <w:bCs/>
              </w:rPr>
            </w:pPr>
            <w:r>
              <w:rPr>
                <w:szCs w:val="20"/>
              </w:rPr>
              <w:t>Pr</w:t>
            </w:r>
            <w:r w:rsidR="006C3362">
              <w:rPr>
                <w:szCs w:val="20"/>
              </w:rPr>
              <w:t>oveedor</w:t>
            </w:r>
            <w:r>
              <w:rPr>
                <w:szCs w:val="20"/>
              </w:rPr>
              <w:t xml:space="preserve"> de</w:t>
            </w:r>
            <w:r w:rsidR="006D1B7A">
              <w:rPr>
                <w:szCs w:val="20"/>
              </w:rPr>
              <w:t>l</w:t>
            </w:r>
            <w:r>
              <w:rPr>
                <w:szCs w:val="20"/>
              </w:rPr>
              <w:t xml:space="preserve"> servicio</w:t>
            </w:r>
            <w:r>
              <w:t xml:space="preserve"> </w:t>
            </w:r>
          </w:p>
          <w:p w14:paraId="7FE1C2AA" w14:textId="28F1B84F" w:rsidR="00414040" w:rsidRDefault="006D1B7A">
            <w:pPr>
              <w:pStyle w:val="P68B1DB1-Normal45"/>
              <w:spacing w:line="276" w:lineRule="auto"/>
              <w:jc w:val="both"/>
            </w:pPr>
            <w:r>
              <w:lastRenderedPageBreak/>
              <w:t>El ente</w:t>
            </w:r>
            <w:r w:rsidR="00904E1A">
              <w:t xml:space="preserve"> jurídic</w:t>
            </w:r>
            <w:r>
              <w:t>o</w:t>
            </w:r>
            <w:r w:rsidR="00904E1A">
              <w:t xml:space="preserve"> (para los servicios </w:t>
            </w:r>
            <w:r w:rsidR="001D1930">
              <w:t xml:space="preserve">internos </w:t>
            </w:r>
            <w:r w:rsidR="00904E1A">
              <w:t xml:space="preserve">o intragrupo) o el proveedor externo (en el caso de los servicios externos) que presta el servicio </w:t>
            </w:r>
            <w:r w:rsidR="00EC32C3">
              <w:t xml:space="preserve">declarado </w:t>
            </w:r>
            <w:r w:rsidR="00904E1A">
              <w:t>en la columna 0020 a</w:t>
            </w:r>
            <w:r w:rsidR="00EC32C3">
              <w:t>l ente</w:t>
            </w:r>
            <w:r w:rsidR="00904E1A">
              <w:t xml:space="preserve"> del grupo </w:t>
            </w:r>
            <w:r w:rsidR="00EC32C3">
              <w:t>declarado</w:t>
            </w:r>
            <w:r w:rsidR="00015034">
              <w:t xml:space="preserve"> </w:t>
            </w:r>
            <w:r w:rsidR="00904E1A">
              <w:t>en la columna 0030.</w:t>
            </w:r>
          </w:p>
          <w:p w14:paraId="7FE1C2AB" w14:textId="77777777" w:rsidR="00414040" w:rsidRDefault="00414040">
            <w:pPr>
              <w:spacing w:line="276" w:lineRule="auto"/>
              <w:jc w:val="both"/>
              <w:rPr>
                <w:rFonts w:ascii="Times New Roman" w:eastAsia="Calibri" w:hAnsi="Times New Roman" w:cs="Times New Roman"/>
                <w:sz w:val="20"/>
              </w:rPr>
            </w:pPr>
          </w:p>
        </w:tc>
      </w:tr>
      <w:tr w:rsidR="00414040" w14:paraId="244B34A5" w14:textId="77777777" w:rsidTr="466B0B01">
        <w:trPr>
          <w:trHeight w:val="463"/>
        </w:trPr>
        <w:tc>
          <w:tcPr>
            <w:tcW w:w="1129" w:type="dxa"/>
            <w:shd w:val="clear" w:color="auto" w:fill="FFFFFF" w:themeFill="background1"/>
          </w:tcPr>
          <w:p w14:paraId="26770022" w14:textId="77E4D0B7" w:rsidR="00414040" w:rsidRDefault="00904E1A">
            <w:pPr>
              <w:pStyle w:val="P68B1DB1-Normal50"/>
              <w:spacing w:before="120" w:after="120" w:line="276" w:lineRule="auto"/>
            </w:pPr>
            <w:r>
              <w:lastRenderedPageBreak/>
              <w:t>0050-0070</w:t>
            </w:r>
          </w:p>
        </w:tc>
        <w:tc>
          <w:tcPr>
            <w:tcW w:w="7938" w:type="dxa"/>
            <w:shd w:val="clear" w:color="auto" w:fill="FFFFFF" w:themeFill="background1"/>
          </w:tcPr>
          <w:p w14:paraId="3E4CD319" w14:textId="5C387282" w:rsidR="00414040" w:rsidRDefault="00904E1A">
            <w:pPr>
              <w:pStyle w:val="P68B1DB1-Normal49"/>
              <w:spacing w:line="276" w:lineRule="auto"/>
              <w:jc w:val="both"/>
              <w:rPr>
                <w:bCs/>
              </w:rPr>
            </w:pPr>
            <w:r>
              <w:t>Ent</w:t>
            </w:r>
            <w:r w:rsidR="00EA4412">
              <w:t>e</w:t>
            </w:r>
          </w:p>
        </w:tc>
      </w:tr>
      <w:tr w:rsidR="00414040" w14:paraId="7FE1C2B2" w14:textId="77777777" w:rsidTr="466B0B01">
        <w:trPr>
          <w:trHeight w:val="463"/>
        </w:trPr>
        <w:tc>
          <w:tcPr>
            <w:tcW w:w="1129" w:type="dxa"/>
            <w:shd w:val="clear" w:color="auto" w:fill="FFFFFF" w:themeFill="background1"/>
          </w:tcPr>
          <w:p w14:paraId="7FE1C2AD" w14:textId="77777777" w:rsidR="00414040" w:rsidRDefault="00904E1A">
            <w:pPr>
              <w:pStyle w:val="P68B1DB1-Normal50"/>
              <w:spacing w:before="120" w:after="120" w:line="276" w:lineRule="auto"/>
            </w:pPr>
            <w:r>
              <w:t>0050</w:t>
            </w:r>
          </w:p>
          <w:p w14:paraId="7FE1C2AE" w14:textId="77777777" w:rsidR="00414040" w:rsidRDefault="00414040">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7C8DCDD3" w:rsidR="00414040" w:rsidRDefault="00F456E9">
            <w:pPr>
              <w:pStyle w:val="P68B1DB1-Normal49"/>
              <w:spacing w:before="120" w:after="120" w:line="276" w:lineRule="auto"/>
              <w:rPr>
                <w:bCs/>
              </w:rPr>
            </w:pPr>
            <w:r>
              <w:t>Nombre</w:t>
            </w:r>
          </w:p>
          <w:p w14:paraId="7FE1C2B0" w14:textId="0E5636B5" w:rsidR="00414040" w:rsidRDefault="00904E1A">
            <w:pPr>
              <w:pStyle w:val="P68B1DB1-Normal45"/>
              <w:spacing w:line="276" w:lineRule="auto"/>
              <w:jc w:val="both"/>
            </w:pPr>
            <w:r>
              <w:t xml:space="preserve">Debe ser diferente del nombre indicado en la columna 0030, a menos que el servicio sea </w:t>
            </w:r>
            <w:r w:rsidR="00772382">
              <w:t>interno (</w:t>
            </w:r>
            <w:r>
              <w:t xml:space="preserve">dentro </w:t>
            </w:r>
            <w:r w:rsidR="007A2292">
              <w:t>del ente</w:t>
            </w:r>
            <w:r w:rsidR="00772382">
              <w:t>)</w:t>
            </w:r>
            <w:r>
              <w:t xml:space="preserve">. En este caso, se espera que coincidan el nombre </w:t>
            </w:r>
            <w:r w:rsidR="007A2292">
              <w:t>del ente</w:t>
            </w:r>
            <w:r>
              <w:t xml:space="preserve"> destinatari</w:t>
            </w:r>
            <w:r w:rsidR="007A2292">
              <w:t>o</w:t>
            </w:r>
            <w:r>
              <w:t xml:space="preserve"> del servicio y el nombre </w:t>
            </w:r>
            <w:r w:rsidR="00CD0C88" w:rsidRPr="009673E2">
              <w:t>del ente</w:t>
            </w:r>
            <w:r w:rsidRPr="009673E2">
              <w:t xml:space="preserve"> proveedor de</w:t>
            </w:r>
            <w:r w:rsidR="00CD0C88" w:rsidRPr="009673E2">
              <w:t>l</w:t>
            </w:r>
            <w:r w:rsidRPr="009673E2">
              <w:t xml:space="preserve"> servicio.</w:t>
            </w:r>
          </w:p>
          <w:p w14:paraId="7FE1C2B1" w14:textId="77777777" w:rsidR="00414040" w:rsidRDefault="00414040">
            <w:pPr>
              <w:spacing w:line="276" w:lineRule="auto"/>
              <w:jc w:val="both"/>
              <w:rPr>
                <w:rFonts w:ascii="Times New Roman" w:eastAsia="Calibri" w:hAnsi="Times New Roman" w:cs="Times New Roman"/>
                <w:b/>
                <w:sz w:val="20"/>
              </w:rPr>
            </w:pPr>
          </w:p>
        </w:tc>
      </w:tr>
      <w:tr w:rsidR="00414040" w14:paraId="7FE1C2BE" w14:textId="77777777" w:rsidTr="466B0B01">
        <w:trPr>
          <w:trHeight w:val="463"/>
        </w:trPr>
        <w:tc>
          <w:tcPr>
            <w:tcW w:w="1129" w:type="dxa"/>
            <w:shd w:val="clear" w:color="auto" w:fill="FFFFFF" w:themeFill="background1"/>
          </w:tcPr>
          <w:p w14:paraId="7FE1C2B3" w14:textId="77777777" w:rsidR="00414040" w:rsidRDefault="00904E1A">
            <w:pPr>
              <w:pStyle w:val="P68B1DB1-Normal45"/>
              <w:spacing w:line="276" w:lineRule="auto"/>
              <w:jc w:val="both"/>
            </w:pPr>
            <w:r>
              <w:t>0060</w:t>
            </w:r>
          </w:p>
          <w:p w14:paraId="7FE1C2B4" w14:textId="77777777" w:rsidR="00414040" w:rsidRDefault="00414040">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414040" w:rsidRDefault="00904E1A">
            <w:pPr>
              <w:pStyle w:val="P68B1DB1-Normal55"/>
              <w:spacing w:line="276" w:lineRule="auto"/>
              <w:jc w:val="both"/>
              <w:rPr>
                <w:bCs/>
              </w:rPr>
            </w:pPr>
            <w:r>
              <w:t>Código</w:t>
            </w:r>
          </w:p>
          <w:p w14:paraId="7FE1C2B6" w14:textId="5775BE8E" w:rsidR="00414040" w:rsidRDefault="00904E1A">
            <w:pPr>
              <w:pStyle w:val="P68B1DB1-Normal45"/>
              <w:spacing w:line="276" w:lineRule="auto"/>
              <w:jc w:val="both"/>
              <w:rPr>
                <w:strike/>
              </w:rPr>
            </w:pPr>
            <w:r>
              <w:t xml:space="preserve">Identificador único del ente jurídico que figura en la columna 0050. Debe ser diferente del identificador que figura en la columna 0040, a menos que el servicio sea </w:t>
            </w:r>
            <w:r w:rsidR="00772382">
              <w:t>interno (</w:t>
            </w:r>
            <w:r>
              <w:t xml:space="preserve">dentro </w:t>
            </w:r>
            <w:r w:rsidR="007A2292">
              <w:t>del ente</w:t>
            </w:r>
            <w:r w:rsidR="00772382">
              <w:t>)</w:t>
            </w:r>
            <w:r>
              <w:t xml:space="preserve">. En este caso, se espera que coincidan el código del destinatario del servicio y el código del </w:t>
            </w:r>
            <w:r w:rsidR="006C3362">
              <w:t xml:space="preserve">proveedor </w:t>
            </w:r>
            <w:r>
              <w:t>de</w:t>
            </w:r>
            <w:r w:rsidR="00CD0C88">
              <w:t>l</w:t>
            </w:r>
            <w:r>
              <w:t xml:space="preserve"> servicio.</w:t>
            </w:r>
          </w:p>
          <w:p w14:paraId="7FE1C2B7" w14:textId="636343C8" w:rsidR="00414040" w:rsidRDefault="00904E1A">
            <w:pPr>
              <w:pStyle w:val="P68B1DB1-Normal45"/>
              <w:spacing w:line="276" w:lineRule="auto"/>
              <w:jc w:val="both"/>
            </w:pPr>
            <w:r>
              <w:t xml:space="preserve">Cuando el </w:t>
            </w:r>
            <w:r w:rsidR="006C3362">
              <w:t xml:space="preserve">proveedor </w:t>
            </w:r>
            <w:r>
              <w:t xml:space="preserve">del servicio sea un ente del grupo, el código será el mismo que el </w:t>
            </w:r>
            <w:r w:rsidR="197F0635">
              <w:t>declarado</w:t>
            </w:r>
            <w:r>
              <w:t xml:space="preserve"> en la plantilla Z 01.01 (ORG).</w:t>
            </w:r>
          </w:p>
          <w:p w14:paraId="7FE1C2B8" w14:textId="722C4E35" w:rsidR="00414040" w:rsidRDefault="00904E1A">
            <w:pPr>
              <w:pStyle w:val="P68B1DB1-Normal45"/>
              <w:spacing w:line="276" w:lineRule="auto"/>
              <w:jc w:val="both"/>
            </w:pPr>
            <w:r>
              <w:t xml:space="preserve">Cuando el </w:t>
            </w:r>
            <w:r w:rsidR="006C3362">
              <w:t xml:space="preserve">proveedor </w:t>
            </w:r>
            <w:r>
              <w:t>del servicio no sea un ente del grupo, el código será:</w:t>
            </w:r>
          </w:p>
          <w:p w14:paraId="7FE1C2B9" w14:textId="28C13F71" w:rsidR="00414040" w:rsidRDefault="00904E1A">
            <w:pPr>
              <w:pStyle w:val="P68B1DB1-Normal45"/>
              <w:spacing w:line="276" w:lineRule="auto"/>
              <w:jc w:val="both"/>
            </w:pPr>
            <w:r>
              <w:t xml:space="preserve">— en el caso de </w:t>
            </w:r>
            <w:r w:rsidR="00427211">
              <w:t>entes</w:t>
            </w:r>
            <w:r>
              <w:t xml:space="preserve"> con un identificador de entidad jurídica (LEI), el código LEI alfanumérico de 20 </w:t>
            </w:r>
            <w:r w:rsidRPr="009326A9">
              <w:t>dígitos</w:t>
            </w:r>
            <w:r>
              <w:t>;</w:t>
            </w:r>
          </w:p>
          <w:p w14:paraId="7FE1C2BA" w14:textId="0933C671" w:rsidR="00414040" w:rsidRDefault="00904E1A">
            <w:pPr>
              <w:pStyle w:val="P68B1DB1-Normal45"/>
              <w:spacing w:line="276" w:lineRule="auto"/>
              <w:jc w:val="both"/>
            </w:pPr>
            <w:r>
              <w:t xml:space="preserve">— en el caso de </w:t>
            </w:r>
            <w:r w:rsidR="00263CFA">
              <w:t>entes</w:t>
            </w:r>
            <w:r>
              <w:t xml:space="preserve"> sin LEI, el número de registro corporativo con arreglo a la legislación nacional</w:t>
            </w:r>
            <w:r w:rsidR="00CD0C88">
              <w:rPr>
                <w:strike/>
              </w:rPr>
              <w:t>.</w:t>
            </w:r>
          </w:p>
          <w:p w14:paraId="7FE1C2BB" w14:textId="77777777" w:rsidR="00414040" w:rsidRDefault="00414040">
            <w:pPr>
              <w:spacing w:line="276" w:lineRule="auto"/>
              <w:jc w:val="both"/>
              <w:rPr>
                <w:rFonts w:ascii="Times New Roman" w:eastAsia="Calibri" w:hAnsi="Times New Roman" w:cs="Times New Roman"/>
                <w:sz w:val="20"/>
              </w:rPr>
            </w:pPr>
          </w:p>
          <w:p w14:paraId="7FE1C2BC" w14:textId="77777777" w:rsidR="00414040" w:rsidRDefault="00904E1A">
            <w:pPr>
              <w:pStyle w:val="P68B1DB1-Normal45"/>
              <w:spacing w:line="276" w:lineRule="auto"/>
              <w:jc w:val="both"/>
            </w:pPr>
            <w:r>
              <w:t>En ambos casos, el código será único y se utilizará de manera coherente en las distintas plantillas.</w:t>
            </w:r>
          </w:p>
          <w:p w14:paraId="7FE1C2BD" w14:textId="77777777" w:rsidR="00414040" w:rsidRDefault="00904E1A">
            <w:pPr>
              <w:pStyle w:val="P68B1DB1-Normal56"/>
              <w:spacing w:line="276" w:lineRule="auto"/>
              <w:jc w:val="both"/>
            </w:pPr>
            <w:r>
              <w:t xml:space="preserve"> </w:t>
            </w:r>
          </w:p>
        </w:tc>
      </w:tr>
      <w:tr w:rsidR="00414040" w14:paraId="7FE1C2C7" w14:textId="77777777" w:rsidTr="466B0B01">
        <w:trPr>
          <w:trHeight w:val="463"/>
        </w:trPr>
        <w:tc>
          <w:tcPr>
            <w:tcW w:w="1129" w:type="dxa"/>
            <w:shd w:val="clear" w:color="auto" w:fill="FFFFFF" w:themeFill="background1"/>
          </w:tcPr>
          <w:p w14:paraId="7FE1C2BF" w14:textId="77777777" w:rsidR="00414040" w:rsidRDefault="00904E1A">
            <w:pPr>
              <w:pStyle w:val="P68B1DB1-Normal45"/>
              <w:spacing w:line="276" w:lineRule="auto"/>
              <w:jc w:val="both"/>
            </w:pPr>
            <w:r>
              <w:t>0070</w:t>
            </w:r>
          </w:p>
        </w:tc>
        <w:tc>
          <w:tcPr>
            <w:tcW w:w="7938" w:type="dxa"/>
            <w:shd w:val="clear" w:color="auto" w:fill="FFFFFF" w:themeFill="background1"/>
          </w:tcPr>
          <w:p w14:paraId="7FE1C2C0" w14:textId="77777777" w:rsidR="00414040" w:rsidRDefault="00904E1A">
            <w:pPr>
              <w:pStyle w:val="P68B1DB1-Normal55"/>
              <w:spacing w:line="276" w:lineRule="auto"/>
              <w:jc w:val="both"/>
              <w:rPr>
                <w:bCs/>
              </w:rPr>
            </w:pPr>
            <w:r>
              <w:t xml:space="preserve">Tipo de código </w:t>
            </w:r>
          </w:p>
          <w:p w14:paraId="7FE1C2C3" w14:textId="5EDF8AF2" w:rsidR="00414040" w:rsidRDefault="00904E1A">
            <w:pPr>
              <w:pStyle w:val="P68B1DB1-Normal57"/>
              <w:spacing w:line="276" w:lineRule="auto"/>
              <w:contextualSpacing/>
              <w:jc w:val="both"/>
              <w:rPr>
                <w:bCs/>
              </w:rPr>
            </w:pPr>
            <w:r>
              <w:t>Se indicará uno de los siguientes tipos:</w:t>
            </w:r>
          </w:p>
          <w:p w14:paraId="7FE1C2C4" w14:textId="22508331" w:rsidR="00414040" w:rsidRDefault="0047443F">
            <w:pPr>
              <w:pStyle w:val="P68B1DB1-ListParagraph58"/>
              <w:numPr>
                <w:ilvl w:val="0"/>
                <w:numId w:val="64"/>
              </w:numPr>
              <w:spacing w:line="276" w:lineRule="auto"/>
              <w:contextualSpacing/>
              <w:jc w:val="both"/>
            </w:pPr>
            <w:r>
              <w:t>LEI</w:t>
            </w:r>
          </w:p>
          <w:p w14:paraId="7FE1C2C5" w14:textId="77777777" w:rsidR="00414040" w:rsidRDefault="00904E1A">
            <w:pPr>
              <w:pStyle w:val="P68B1DB1-ListParagraph58"/>
              <w:numPr>
                <w:ilvl w:val="0"/>
                <w:numId w:val="64"/>
              </w:numPr>
              <w:spacing w:line="276" w:lineRule="auto"/>
              <w:contextualSpacing/>
              <w:jc w:val="both"/>
            </w:pPr>
            <w:r>
              <w:t>Número de registro corporativo</w:t>
            </w:r>
          </w:p>
          <w:p w14:paraId="7FE1C2C6" w14:textId="77777777" w:rsidR="00414040" w:rsidRDefault="00414040">
            <w:pPr>
              <w:spacing w:line="276" w:lineRule="auto"/>
              <w:jc w:val="both"/>
              <w:rPr>
                <w:rFonts w:ascii="Times New Roman" w:eastAsia="Calibri" w:hAnsi="Times New Roman" w:cs="Times New Roman"/>
                <w:sz w:val="20"/>
              </w:rPr>
            </w:pPr>
          </w:p>
        </w:tc>
      </w:tr>
      <w:tr w:rsidR="00414040" w14:paraId="5AC7028E" w14:textId="77777777" w:rsidTr="466B0B01">
        <w:trPr>
          <w:trHeight w:val="463"/>
        </w:trPr>
        <w:tc>
          <w:tcPr>
            <w:tcW w:w="1129" w:type="dxa"/>
            <w:shd w:val="clear" w:color="auto" w:fill="FFFFFF" w:themeFill="background1"/>
          </w:tcPr>
          <w:p w14:paraId="3ECEFB75" w14:textId="74BF0EC5" w:rsidR="00414040" w:rsidRDefault="00904E1A">
            <w:pPr>
              <w:pStyle w:val="P68B1DB1-Normal45"/>
              <w:spacing w:line="276" w:lineRule="auto"/>
              <w:jc w:val="both"/>
            </w:pPr>
            <w:r>
              <w:t>0080-0100</w:t>
            </w:r>
          </w:p>
        </w:tc>
        <w:tc>
          <w:tcPr>
            <w:tcW w:w="7938" w:type="dxa"/>
            <w:shd w:val="clear" w:color="auto" w:fill="FFFFFF" w:themeFill="background1"/>
          </w:tcPr>
          <w:p w14:paraId="259185CE" w14:textId="0C8D1156" w:rsidR="00414040" w:rsidRDefault="00FC5EBA">
            <w:pPr>
              <w:pStyle w:val="P68B1DB1-Normal55"/>
              <w:spacing w:line="276" w:lineRule="auto"/>
              <w:jc w:val="both"/>
              <w:rPr>
                <w:bCs/>
              </w:rPr>
            </w:pPr>
            <w:r>
              <w:t>M</w:t>
            </w:r>
            <w:r w:rsidR="00904E1A">
              <w:t>atriz</w:t>
            </w:r>
          </w:p>
        </w:tc>
      </w:tr>
      <w:tr w:rsidR="00414040" w14:paraId="7FE1C2CC" w14:textId="77777777" w:rsidTr="466B0B01">
        <w:trPr>
          <w:trHeight w:val="463"/>
        </w:trPr>
        <w:tc>
          <w:tcPr>
            <w:tcW w:w="1129" w:type="dxa"/>
          </w:tcPr>
          <w:p w14:paraId="7FE1C2C8" w14:textId="77777777" w:rsidR="00414040" w:rsidRDefault="00904E1A">
            <w:pPr>
              <w:pStyle w:val="P68B1DB1-Normal45"/>
              <w:spacing w:line="276" w:lineRule="auto"/>
              <w:jc w:val="both"/>
            </w:pPr>
            <w:r>
              <w:t>0080</w:t>
            </w:r>
          </w:p>
        </w:tc>
        <w:tc>
          <w:tcPr>
            <w:tcW w:w="7938" w:type="dxa"/>
            <w:shd w:val="clear" w:color="auto" w:fill="FFFFFF" w:themeFill="background1"/>
          </w:tcPr>
          <w:p w14:paraId="511C807C" w14:textId="77777777" w:rsidR="00E5593B" w:rsidRDefault="00741842">
            <w:pPr>
              <w:pStyle w:val="P68B1DB1-Normal55"/>
              <w:spacing w:line="276" w:lineRule="auto"/>
              <w:jc w:val="both"/>
            </w:pPr>
            <w:r>
              <w:t>Nombre</w:t>
            </w:r>
          </w:p>
          <w:p w14:paraId="7FE1C2CA" w14:textId="2401A930" w:rsidR="00414040" w:rsidRDefault="00904E1A">
            <w:pPr>
              <w:pStyle w:val="P68B1DB1-Normal45"/>
              <w:spacing w:line="276" w:lineRule="auto"/>
              <w:jc w:val="both"/>
            </w:pPr>
            <w:r w:rsidRPr="466B0B01">
              <w:rPr>
                <w:lang w:val="es-ES"/>
              </w:rPr>
              <w:t xml:space="preserve">Nombre de la empresa matriz (última) del proveedor de servicios </w:t>
            </w:r>
            <w:r w:rsidR="7B4FFD8A" w:rsidRPr="466B0B01">
              <w:rPr>
                <w:lang w:val="es-ES"/>
              </w:rPr>
              <w:t>declarad</w:t>
            </w:r>
            <w:r w:rsidR="00E5593B">
              <w:rPr>
                <w:lang w:val="es-ES"/>
              </w:rPr>
              <w:t>o</w:t>
            </w:r>
            <w:r w:rsidR="7B4FFD8A" w:rsidRPr="466B0B01">
              <w:rPr>
                <w:lang w:val="es-ES"/>
              </w:rPr>
              <w:t xml:space="preserve"> </w:t>
            </w:r>
            <w:r w:rsidRPr="466B0B01">
              <w:rPr>
                <w:lang w:val="es-ES"/>
              </w:rPr>
              <w:t>en la columna 0050, cuando no se trate de un en</w:t>
            </w:r>
            <w:r w:rsidR="038F6B1D" w:rsidRPr="466B0B01">
              <w:rPr>
                <w:lang w:val="es-ES"/>
              </w:rPr>
              <w:t>te</w:t>
            </w:r>
            <w:r w:rsidRPr="466B0B01">
              <w:rPr>
                <w:lang w:val="es-ES"/>
              </w:rPr>
              <w:t xml:space="preserve"> del grupo. En los demás casos, no </w:t>
            </w:r>
            <w:r w:rsidR="13217EC3" w:rsidRPr="466B0B01">
              <w:rPr>
                <w:lang w:val="es-ES"/>
              </w:rPr>
              <w:t>aplica</w:t>
            </w:r>
            <w:r w:rsidRPr="466B0B01">
              <w:rPr>
                <w:lang w:val="es-ES"/>
              </w:rPr>
              <w:t>.</w:t>
            </w:r>
          </w:p>
          <w:p w14:paraId="7FE1C2CB" w14:textId="77777777" w:rsidR="00414040" w:rsidRDefault="00414040">
            <w:pPr>
              <w:spacing w:line="276" w:lineRule="auto"/>
              <w:jc w:val="both"/>
              <w:rPr>
                <w:rFonts w:ascii="Times New Roman" w:hAnsi="Times New Roman" w:cs="Times New Roman"/>
              </w:rPr>
            </w:pPr>
          </w:p>
        </w:tc>
      </w:tr>
      <w:tr w:rsidR="00414040" w14:paraId="7FE1C2D3" w14:textId="77777777" w:rsidTr="466B0B01">
        <w:trPr>
          <w:trHeight w:val="463"/>
        </w:trPr>
        <w:tc>
          <w:tcPr>
            <w:tcW w:w="1129" w:type="dxa"/>
          </w:tcPr>
          <w:p w14:paraId="7FE1C2CD" w14:textId="77777777" w:rsidR="00414040" w:rsidRDefault="00904E1A">
            <w:pPr>
              <w:pStyle w:val="P68B1DB1-Normal45"/>
              <w:spacing w:line="276" w:lineRule="auto"/>
              <w:jc w:val="both"/>
            </w:pPr>
            <w:r>
              <w:t>0090</w:t>
            </w:r>
          </w:p>
        </w:tc>
        <w:tc>
          <w:tcPr>
            <w:tcW w:w="7938" w:type="dxa"/>
            <w:shd w:val="clear" w:color="auto" w:fill="FFFFFF" w:themeFill="background1"/>
          </w:tcPr>
          <w:p w14:paraId="7FE1C2CE" w14:textId="414718EB" w:rsidR="00414040" w:rsidRDefault="00904E1A">
            <w:pPr>
              <w:pStyle w:val="P68B1DB1-Normal55"/>
              <w:spacing w:line="276" w:lineRule="auto"/>
              <w:jc w:val="both"/>
              <w:rPr>
                <w:bCs/>
              </w:rPr>
            </w:pPr>
            <w:r>
              <w:t>Código</w:t>
            </w:r>
          </w:p>
          <w:p w14:paraId="7FE1C2CF" w14:textId="6EC44BDC" w:rsidR="00414040" w:rsidRDefault="00904E1A">
            <w:pPr>
              <w:pStyle w:val="P68B1DB1-Normal45"/>
              <w:spacing w:line="276" w:lineRule="auto"/>
              <w:jc w:val="both"/>
            </w:pPr>
            <w:r>
              <w:t xml:space="preserve">El código de la empresa matriz </w:t>
            </w:r>
            <w:r w:rsidR="00A7770B">
              <w:t xml:space="preserve">declarado </w:t>
            </w:r>
            <w:r>
              <w:t>en la columna 0080 será el siguiente:</w:t>
            </w:r>
          </w:p>
          <w:p w14:paraId="7FE1C2D0" w14:textId="234118C2" w:rsidR="00414040" w:rsidRDefault="00904E1A">
            <w:pPr>
              <w:pStyle w:val="P68B1DB1-Normal45"/>
              <w:spacing w:line="276" w:lineRule="auto"/>
              <w:jc w:val="both"/>
            </w:pPr>
            <w:r>
              <w:t xml:space="preserve">— en el caso de </w:t>
            </w:r>
            <w:r w:rsidR="00DA6FDD">
              <w:t>entes</w:t>
            </w:r>
            <w:r w:rsidR="00D005B5">
              <w:t xml:space="preserve"> </w:t>
            </w:r>
            <w:r>
              <w:t xml:space="preserve">con un identificador de entidad jurídica (LEI), el código </w:t>
            </w:r>
            <w:r w:rsidR="00E5593B">
              <w:t xml:space="preserve">LEI </w:t>
            </w:r>
            <w:r>
              <w:t xml:space="preserve">alfanumérico de 20 </w:t>
            </w:r>
            <w:r w:rsidRPr="009326A9">
              <w:t>dígitos</w:t>
            </w:r>
            <w:r>
              <w:t>;</w:t>
            </w:r>
          </w:p>
          <w:p w14:paraId="7FE1C2D1" w14:textId="135FA285" w:rsidR="00414040" w:rsidRDefault="00904E1A">
            <w:pPr>
              <w:pStyle w:val="P68B1DB1-Normal45"/>
              <w:spacing w:line="276" w:lineRule="auto"/>
              <w:jc w:val="both"/>
            </w:pPr>
            <w:r>
              <w:t xml:space="preserve">— en el caso de </w:t>
            </w:r>
            <w:r w:rsidR="00DA6FDD">
              <w:t>entes</w:t>
            </w:r>
            <w:r>
              <w:t xml:space="preserve"> sin LEI, el número de registro corporativo con arreglo a la legislación nacional. </w:t>
            </w:r>
          </w:p>
          <w:p w14:paraId="7FE1C2D2" w14:textId="77777777" w:rsidR="00414040" w:rsidRDefault="00414040">
            <w:pPr>
              <w:spacing w:line="276" w:lineRule="auto"/>
              <w:jc w:val="both"/>
              <w:rPr>
                <w:rFonts w:ascii="Times New Roman" w:eastAsia="Calibri" w:hAnsi="Times New Roman" w:cs="Times New Roman"/>
                <w:sz w:val="20"/>
              </w:rPr>
            </w:pPr>
          </w:p>
        </w:tc>
      </w:tr>
      <w:tr w:rsidR="00414040" w14:paraId="7FE1C2DC" w14:textId="77777777" w:rsidTr="466B0B01">
        <w:trPr>
          <w:trHeight w:val="463"/>
        </w:trPr>
        <w:tc>
          <w:tcPr>
            <w:tcW w:w="1129" w:type="dxa"/>
          </w:tcPr>
          <w:p w14:paraId="7FE1C2D4" w14:textId="77777777" w:rsidR="00414040" w:rsidRDefault="00904E1A">
            <w:pPr>
              <w:pStyle w:val="P68B1DB1-Normal45"/>
              <w:spacing w:line="276" w:lineRule="auto"/>
              <w:jc w:val="both"/>
            </w:pPr>
            <w:r>
              <w:t>0100</w:t>
            </w:r>
          </w:p>
        </w:tc>
        <w:tc>
          <w:tcPr>
            <w:tcW w:w="7938" w:type="dxa"/>
            <w:shd w:val="clear" w:color="auto" w:fill="FFFFFF" w:themeFill="background1"/>
          </w:tcPr>
          <w:p w14:paraId="7FE1C2D5" w14:textId="77777777" w:rsidR="00414040" w:rsidRDefault="00904E1A">
            <w:pPr>
              <w:pStyle w:val="P68B1DB1-Normal55"/>
              <w:spacing w:line="276" w:lineRule="auto"/>
              <w:jc w:val="both"/>
              <w:rPr>
                <w:bCs/>
              </w:rPr>
            </w:pPr>
            <w:r>
              <w:t xml:space="preserve">Tipo de código </w:t>
            </w:r>
          </w:p>
          <w:p w14:paraId="7FE1C2D6" w14:textId="77777777" w:rsidR="00414040" w:rsidRDefault="00904E1A">
            <w:pPr>
              <w:pStyle w:val="P68B1DB1-Normal57"/>
              <w:spacing w:line="276" w:lineRule="auto"/>
              <w:contextualSpacing/>
              <w:jc w:val="both"/>
              <w:rPr>
                <w:bCs/>
              </w:rPr>
            </w:pPr>
            <w:r>
              <w:t>Se indicará uno de los siguientes tipos:</w:t>
            </w:r>
          </w:p>
          <w:p w14:paraId="7FE1C2D7" w14:textId="56EA8C33" w:rsidR="00414040" w:rsidRDefault="00DA6FDD">
            <w:pPr>
              <w:pStyle w:val="P68B1DB1-ListParagraph58"/>
              <w:numPr>
                <w:ilvl w:val="0"/>
                <w:numId w:val="64"/>
              </w:numPr>
              <w:spacing w:line="276" w:lineRule="auto"/>
              <w:contextualSpacing/>
              <w:jc w:val="both"/>
            </w:pPr>
            <w:r>
              <w:t>LEI</w:t>
            </w:r>
          </w:p>
          <w:p w14:paraId="7FE1C2D8" w14:textId="77777777" w:rsidR="00414040" w:rsidRDefault="00904E1A">
            <w:pPr>
              <w:pStyle w:val="P68B1DB1-ListParagraph58"/>
              <w:numPr>
                <w:ilvl w:val="0"/>
                <w:numId w:val="64"/>
              </w:numPr>
              <w:spacing w:line="276" w:lineRule="auto"/>
              <w:contextualSpacing/>
              <w:jc w:val="both"/>
            </w:pPr>
            <w:r>
              <w:lastRenderedPageBreak/>
              <w:t>Número de registro corporativo</w:t>
            </w:r>
          </w:p>
          <w:p w14:paraId="7FE1C2DB" w14:textId="010B0D6D" w:rsidR="00414040" w:rsidRDefault="00414040">
            <w:pPr>
              <w:spacing w:line="276" w:lineRule="auto"/>
              <w:jc w:val="both"/>
              <w:rPr>
                <w:rFonts w:ascii="Times New Roman" w:eastAsia="Calibri" w:hAnsi="Times New Roman" w:cs="Times New Roman"/>
                <w:sz w:val="20"/>
              </w:rPr>
            </w:pPr>
          </w:p>
        </w:tc>
      </w:tr>
      <w:tr w:rsidR="00414040" w14:paraId="7FE1C2E4" w14:textId="77777777" w:rsidTr="466B0B01">
        <w:trPr>
          <w:trHeight w:val="463"/>
        </w:trPr>
        <w:tc>
          <w:tcPr>
            <w:tcW w:w="1129" w:type="dxa"/>
            <w:shd w:val="clear" w:color="auto" w:fill="FFFFFF" w:themeFill="background1"/>
          </w:tcPr>
          <w:p w14:paraId="7FE1C2DD" w14:textId="77777777" w:rsidR="00414040" w:rsidRDefault="00904E1A">
            <w:pPr>
              <w:pStyle w:val="P68B1DB1-Normal45"/>
              <w:spacing w:line="276" w:lineRule="auto"/>
              <w:jc w:val="both"/>
            </w:pPr>
            <w:r>
              <w:lastRenderedPageBreak/>
              <w:t>0110</w:t>
            </w:r>
          </w:p>
        </w:tc>
        <w:tc>
          <w:tcPr>
            <w:tcW w:w="7938" w:type="dxa"/>
            <w:shd w:val="clear" w:color="auto" w:fill="FFFFFF" w:themeFill="background1"/>
          </w:tcPr>
          <w:p w14:paraId="7FE1C2DE" w14:textId="77777777" w:rsidR="00414040" w:rsidRDefault="00904E1A">
            <w:pPr>
              <w:pStyle w:val="P68B1DB1-Normal45"/>
              <w:spacing w:line="276" w:lineRule="auto"/>
              <w:jc w:val="both"/>
            </w:pPr>
            <w:r>
              <w:rPr>
                <w:b/>
              </w:rPr>
              <w:t>Prestación de servicios</w:t>
            </w:r>
            <w:r>
              <w:t xml:space="preserve"> </w:t>
            </w:r>
          </w:p>
          <w:p w14:paraId="7FE1C2DF" w14:textId="0C8570E7" w:rsidR="00414040" w:rsidRDefault="00904E1A">
            <w:pPr>
              <w:pStyle w:val="P68B1DB1-Normal45"/>
              <w:spacing w:line="276" w:lineRule="auto"/>
              <w:jc w:val="both"/>
            </w:pPr>
            <w:r w:rsidRPr="5264726E">
              <w:rPr>
                <w:lang w:val="es-ES"/>
              </w:rPr>
              <w:t>«</w:t>
            </w:r>
            <w:r w:rsidR="00D005B5" w:rsidRPr="5264726E">
              <w:rPr>
                <w:lang w:val="es-ES"/>
              </w:rPr>
              <w:t>Interno</w:t>
            </w:r>
            <w:r w:rsidRPr="5264726E">
              <w:rPr>
                <w:lang w:val="es-ES"/>
              </w:rPr>
              <w:t>» si el servicio es prestado por una unidad de negocio a otra unidad de negocio del mism</w:t>
            </w:r>
            <w:r w:rsidR="743728C1" w:rsidRPr="5264726E">
              <w:rPr>
                <w:lang w:val="es-ES"/>
              </w:rPr>
              <w:t>o</w:t>
            </w:r>
            <w:r w:rsidRPr="5264726E">
              <w:rPr>
                <w:lang w:val="es-ES"/>
              </w:rPr>
              <w:t xml:space="preserve"> ent</w:t>
            </w:r>
            <w:r w:rsidR="25998B2F" w:rsidRPr="5264726E">
              <w:rPr>
                <w:lang w:val="es-ES"/>
              </w:rPr>
              <w:t>e</w:t>
            </w:r>
            <w:r w:rsidR="00F5639C">
              <w:rPr>
                <w:lang w:val="es-ES"/>
              </w:rPr>
              <w:t xml:space="preserve"> </w:t>
            </w:r>
            <w:r w:rsidRPr="5264726E">
              <w:rPr>
                <w:lang w:val="es-ES"/>
              </w:rPr>
              <w:t>jurídic</w:t>
            </w:r>
            <w:r w:rsidR="64CF5C20" w:rsidRPr="5264726E">
              <w:rPr>
                <w:lang w:val="es-ES"/>
              </w:rPr>
              <w:t>o</w:t>
            </w:r>
            <w:r w:rsidRPr="5264726E">
              <w:rPr>
                <w:lang w:val="es-ES"/>
              </w:rPr>
              <w:t>.</w:t>
            </w:r>
          </w:p>
          <w:p w14:paraId="7FE1C2E0" w14:textId="200EB8B6" w:rsidR="00414040" w:rsidRDefault="00904E1A">
            <w:pPr>
              <w:spacing w:line="276" w:lineRule="auto"/>
              <w:jc w:val="both"/>
              <w:rPr>
                <w:rFonts w:ascii="Times New Roman" w:eastAsia="Calibri" w:hAnsi="Times New Roman" w:cs="Times New Roman"/>
                <w:sz w:val="20"/>
                <w:szCs w:val="20"/>
                <w:lang w:val="es-ES"/>
              </w:rPr>
            </w:pPr>
            <w:r w:rsidRPr="2133F407">
              <w:rPr>
                <w:rFonts w:ascii="Times New Roman" w:eastAsia="Calibri" w:hAnsi="Times New Roman" w:cs="Times New Roman"/>
                <w:sz w:val="20"/>
                <w:szCs w:val="20"/>
                <w:lang w:val="es-ES"/>
              </w:rPr>
              <w:t xml:space="preserve">«Intragrupo — ente </w:t>
            </w:r>
            <w:proofErr w:type="spellStart"/>
            <w:r w:rsidRPr="2133F407">
              <w:rPr>
                <w:rFonts w:ascii="Times New Roman" w:eastAsia="Calibri" w:hAnsi="Times New Roman" w:cs="Times New Roman"/>
                <w:sz w:val="20"/>
                <w:szCs w:val="20"/>
                <w:lang w:val="es-ES"/>
              </w:rPr>
              <w:t>regulado</w:t>
            </w:r>
            <w:proofErr w:type="spellEnd"/>
            <w:r w:rsidRPr="2133F407">
              <w:rPr>
                <w:rFonts w:ascii="Times New Roman" w:eastAsia="Calibri" w:hAnsi="Times New Roman" w:cs="Times New Roman"/>
                <w:sz w:val="20"/>
                <w:szCs w:val="20"/>
                <w:lang w:val="es-ES"/>
              </w:rPr>
              <w:t>»</w:t>
            </w:r>
            <w:r w:rsidRPr="2133F407">
              <w:rPr>
                <w:rFonts w:ascii="Times New Roman" w:hAnsi="Times New Roman" w:cs="Times New Roman"/>
                <w:lang w:val="es-ES"/>
              </w:rPr>
              <w:t xml:space="preserve"> si </w:t>
            </w:r>
            <w:r w:rsidRPr="2133F407">
              <w:rPr>
                <w:rFonts w:ascii="Times New Roman" w:eastAsia="Calibri" w:hAnsi="Times New Roman" w:cs="Times New Roman"/>
                <w:sz w:val="20"/>
                <w:szCs w:val="20"/>
                <w:lang w:val="es-ES"/>
              </w:rPr>
              <w:t>el servicio es</w:t>
            </w:r>
            <w:r w:rsidRPr="2133F407">
              <w:rPr>
                <w:rFonts w:ascii="Times New Roman" w:hAnsi="Times New Roman" w:cs="Times New Roman"/>
                <w:lang w:val="es-ES"/>
              </w:rPr>
              <w:t xml:space="preserve"> </w:t>
            </w:r>
            <w:r w:rsidRPr="2133F407">
              <w:rPr>
                <w:rFonts w:ascii="Times New Roman" w:eastAsia="Calibri" w:hAnsi="Times New Roman" w:cs="Times New Roman"/>
                <w:sz w:val="20"/>
                <w:szCs w:val="20"/>
                <w:lang w:val="es-ES"/>
              </w:rPr>
              <w:t>prestado por un ente del grupo que esté sujeto a regulación prudencial en relación con el capital o la liquidez en base individual, incluso en caso de exención de los requisitos prudenciales.</w:t>
            </w:r>
          </w:p>
          <w:p w14:paraId="7FE1C2E1" w14:textId="680CA547" w:rsidR="00414040" w:rsidRDefault="00904E1A">
            <w:pPr>
              <w:pStyle w:val="P68B1DB1-Normal45"/>
              <w:spacing w:line="276" w:lineRule="auto"/>
              <w:jc w:val="both"/>
              <w:rPr>
                <w:lang w:val="es-ES"/>
              </w:rPr>
            </w:pPr>
            <w:r w:rsidRPr="2133F407">
              <w:rPr>
                <w:lang w:val="es-ES"/>
              </w:rPr>
              <w:t>«</w:t>
            </w:r>
            <w:r w:rsidR="00E31477">
              <w:rPr>
                <w:lang w:val="es-ES"/>
              </w:rPr>
              <w:t>I</w:t>
            </w:r>
            <w:r w:rsidRPr="2133F407">
              <w:rPr>
                <w:lang w:val="es-ES"/>
              </w:rPr>
              <w:t xml:space="preserve">ntragrupo — ente no regulado» si el servicio es prestado por un ente del grupo que sea un ente operativo no sujeto a la regulación prudencial en materia de capital/liquidez en base individual, incluso </w:t>
            </w:r>
            <w:r w:rsidR="00E12177">
              <w:rPr>
                <w:lang w:val="es-ES"/>
              </w:rPr>
              <w:t>en caso de exención</w:t>
            </w:r>
            <w:r w:rsidRPr="2133F407">
              <w:rPr>
                <w:lang w:val="es-ES"/>
              </w:rPr>
              <w:t xml:space="preserve"> de los requisitos prudenciales.</w:t>
            </w:r>
          </w:p>
          <w:p w14:paraId="7FE1C2E2" w14:textId="7B6AA381" w:rsidR="00414040" w:rsidRDefault="00904E1A">
            <w:pPr>
              <w:pStyle w:val="P68B1DB1-Normal45"/>
              <w:spacing w:line="276" w:lineRule="auto"/>
              <w:jc w:val="both"/>
            </w:pPr>
            <w:r>
              <w:t>«Entidad externa» si el servicio es prestado por un proveedor externo que no pertenece al grupo.</w:t>
            </w:r>
          </w:p>
          <w:p w14:paraId="7FE1C2E3" w14:textId="77777777" w:rsidR="00414040" w:rsidRDefault="00414040">
            <w:pPr>
              <w:spacing w:line="276" w:lineRule="auto"/>
              <w:jc w:val="both"/>
              <w:rPr>
                <w:rFonts w:ascii="Times New Roman" w:eastAsia="Calibri" w:hAnsi="Times New Roman" w:cs="Times New Roman"/>
                <w:i/>
                <w:sz w:val="20"/>
              </w:rPr>
            </w:pPr>
          </w:p>
        </w:tc>
      </w:tr>
      <w:tr w:rsidR="00414040" w14:paraId="7FE1C2EB" w14:textId="77777777" w:rsidTr="466B0B01">
        <w:trPr>
          <w:trHeight w:val="463"/>
        </w:trPr>
        <w:tc>
          <w:tcPr>
            <w:tcW w:w="1129" w:type="dxa"/>
            <w:shd w:val="clear" w:color="auto" w:fill="FFFFFF" w:themeFill="background1"/>
          </w:tcPr>
          <w:p w14:paraId="7FE1C2E5" w14:textId="77777777" w:rsidR="00414040" w:rsidRDefault="00904E1A">
            <w:pPr>
              <w:pStyle w:val="P68B1DB1-Normal50"/>
              <w:spacing w:line="276" w:lineRule="auto"/>
              <w:jc w:val="both"/>
            </w:pPr>
            <w:r>
              <w:t>0120</w:t>
            </w:r>
          </w:p>
          <w:p w14:paraId="7FE1C2E6" w14:textId="77777777" w:rsidR="00414040" w:rsidRDefault="00414040">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482D8303" w:rsidR="00414040" w:rsidRDefault="00904E1A">
            <w:pPr>
              <w:pStyle w:val="P68B1DB1-Normal49"/>
              <w:spacing w:line="276" w:lineRule="auto"/>
              <w:jc w:val="both"/>
              <w:rPr>
                <w:strike/>
                <w:lang w:val="es-ES"/>
              </w:rPr>
            </w:pPr>
            <w:r w:rsidRPr="47C09E96">
              <w:rPr>
                <w:lang w:val="es-ES"/>
              </w:rPr>
              <w:t>C</w:t>
            </w:r>
            <w:r w:rsidR="001047EC" w:rsidRPr="47C09E96">
              <w:rPr>
                <w:lang w:val="es-ES"/>
              </w:rPr>
              <w:t>arácter esencial</w:t>
            </w:r>
            <w:r w:rsidRPr="47C09E96">
              <w:rPr>
                <w:strike/>
                <w:lang w:val="es-ES"/>
              </w:rPr>
              <w:t xml:space="preserve"> </w:t>
            </w:r>
          </w:p>
          <w:p w14:paraId="7FE1C2E8" w14:textId="6BDC8654" w:rsidR="00414040" w:rsidRDefault="00D005B5">
            <w:pPr>
              <w:pStyle w:val="P68B1DB1-ListParagraph58"/>
              <w:numPr>
                <w:ilvl w:val="0"/>
                <w:numId w:val="239"/>
              </w:numPr>
              <w:spacing w:line="276" w:lineRule="auto"/>
              <w:contextualSpacing/>
              <w:jc w:val="both"/>
            </w:pPr>
            <w:r>
              <w:t>Esencial</w:t>
            </w:r>
            <w:r w:rsidR="00904E1A">
              <w:t>: si el servicio es necesario para el desempeño de una o varias funciones esenciales cuya discontinuidad obstaculizaría</w:t>
            </w:r>
            <w:r w:rsidR="008C202B">
              <w:t xml:space="preserve"> gravemente</w:t>
            </w:r>
            <w:r w:rsidR="00904E1A">
              <w:t xml:space="preserve"> o impediría el desempeño de dichas funciones esenciales.</w:t>
            </w:r>
          </w:p>
          <w:p w14:paraId="7FE1C2E9" w14:textId="7A5CA013" w:rsidR="00414040" w:rsidRDefault="00D005B5">
            <w:pPr>
              <w:pStyle w:val="P68B1DB1-ListParagraph9"/>
              <w:numPr>
                <w:ilvl w:val="0"/>
                <w:numId w:val="239"/>
              </w:numPr>
              <w:spacing w:line="276" w:lineRule="auto"/>
              <w:contextualSpacing/>
              <w:jc w:val="both"/>
              <w:rPr>
                <w:sz w:val="20"/>
                <w:szCs w:val="20"/>
                <w:lang w:val="es-ES"/>
              </w:rPr>
            </w:pPr>
            <w:r w:rsidRPr="009326A9">
              <w:rPr>
                <w:sz w:val="20"/>
                <w:szCs w:val="20"/>
                <w:lang w:val="es-ES"/>
              </w:rPr>
              <w:t>Principal</w:t>
            </w:r>
            <w:r w:rsidR="00904E1A" w:rsidRPr="2133F407">
              <w:rPr>
                <w:sz w:val="20"/>
                <w:szCs w:val="20"/>
                <w:lang w:val="es-ES"/>
              </w:rPr>
              <w:t>: si el</w:t>
            </w:r>
            <w:r w:rsidR="00904E1A" w:rsidRPr="2133F407">
              <w:rPr>
                <w:lang w:val="es-ES"/>
              </w:rPr>
              <w:t xml:space="preserve"> servicio</w:t>
            </w:r>
            <w:r w:rsidR="005000DB">
              <w:rPr>
                <w:lang w:val="es-ES"/>
              </w:rPr>
              <w:t xml:space="preserve"> </w:t>
            </w:r>
            <w:r w:rsidR="00904E1A" w:rsidRPr="2133F407">
              <w:rPr>
                <w:sz w:val="20"/>
                <w:szCs w:val="20"/>
                <w:lang w:val="es-ES"/>
              </w:rPr>
              <w:t xml:space="preserve">está asociado a las ramas de actividad principales, cuya continuidad es necesaria para la ejecución efectiva de la estrategia de resolución y cualquier </w:t>
            </w:r>
            <w:r w:rsidR="005000DB" w:rsidRPr="2133F407">
              <w:rPr>
                <w:sz w:val="20"/>
                <w:szCs w:val="20"/>
                <w:lang w:val="es-ES"/>
              </w:rPr>
              <w:t xml:space="preserve">consiguiente </w:t>
            </w:r>
            <w:r w:rsidR="00904E1A" w:rsidRPr="2133F407">
              <w:rPr>
                <w:sz w:val="20"/>
                <w:szCs w:val="20"/>
                <w:lang w:val="es-ES"/>
              </w:rPr>
              <w:t>reestructuración.</w:t>
            </w:r>
          </w:p>
          <w:p w14:paraId="7FE1C2EA" w14:textId="4E75F9C7" w:rsidR="00414040" w:rsidRDefault="00D005B5">
            <w:pPr>
              <w:pStyle w:val="P68B1DB1-ListParagraph58"/>
              <w:numPr>
                <w:ilvl w:val="0"/>
                <w:numId w:val="239"/>
              </w:numPr>
              <w:spacing w:line="276" w:lineRule="auto"/>
              <w:contextualSpacing/>
              <w:jc w:val="both"/>
            </w:pPr>
            <w:r>
              <w:t>Esencial y principal</w:t>
            </w:r>
          </w:p>
        </w:tc>
      </w:tr>
      <w:tr w:rsidR="00414040" w14:paraId="7FE1C2F0" w14:textId="77777777" w:rsidTr="466B0B01">
        <w:trPr>
          <w:trHeight w:val="463"/>
        </w:trPr>
        <w:tc>
          <w:tcPr>
            <w:tcW w:w="1129" w:type="dxa"/>
            <w:shd w:val="clear" w:color="auto" w:fill="FFFFFF" w:themeFill="background1"/>
          </w:tcPr>
          <w:p w14:paraId="7FE1C2EC" w14:textId="77777777" w:rsidR="00414040" w:rsidRDefault="00904E1A">
            <w:pPr>
              <w:pStyle w:val="P68B1DB1-Normal45"/>
              <w:spacing w:line="276" w:lineRule="auto"/>
              <w:jc w:val="both"/>
            </w:pPr>
            <w:r>
              <w:t>0130</w:t>
            </w:r>
          </w:p>
        </w:tc>
        <w:tc>
          <w:tcPr>
            <w:tcW w:w="7938" w:type="dxa"/>
            <w:shd w:val="clear" w:color="auto" w:fill="FFFFFF" w:themeFill="background1"/>
          </w:tcPr>
          <w:p w14:paraId="7FE1C2ED" w14:textId="77777777" w:rsidR="00414040" w:rsidRDefault="00904E1A">
            <w:pPr>
              <w:pStyle w:val="P68B1DB1-Normal49"/>
              <w:spacing w:line="276" w:lineRule="auto"/>
              <w:jc w:val="both"/>
              <w:rPr>
                <w:bCs/>
              </w:rPr>
            </w:pPr>
            <w:r>
              <w:t>Identificador del contrato</w:t>
            </w:r>
          </w:p>
          <w:p w14:paraId="7FE1C2EE" w14:textId="77777777" w:rsidR="00414040" w:rsidRDefault="00904E1A">
            <w:pPr>
              <w:pStyle w:val="P68B1DB1-Normal45"/>
              <w:spacing w:line="276" w:lineRule="auto"/>
              <w:jc w:val="both"/>
            </w:pPr>
            <w:r>
              <w:t>Identificador único del contrato en el que se basa el servicio según la taxonomía de servicios del grupo.</w:t>
            </w:r>
          </w:p>
          <w:p w14:paraId="7FE1C2EF" w14:textId="77777777" w:rsidR="00414040" w:rsidRDefault="00414040">
            <w:pPr>
              <w:spacing w:line="276" w:lineRule="auto"/>
              <w:jc w:val="both"/>
              <w:rPr>
                <w:rFonts w:ascii="Times New Roman" w:eastAsia="Calibri" w:hAnsi="Times New Roman" w:cs="Times New Roman"/>
                <w:sz w:val="20"/>
              </w:rPr>
            </w:pPr>
          </w:p>
        </w:tc>
      </w:tr>
      <w:tr w:rsidR="00414040" w14:paraId="7FE1C2F6" w14:textId="77777777" w:rsidTr="466B0B01">
        <w:trPr>
          <w:trHeight w:val="628"/>
        </w:trPr>
        <w:tc>
          <w:tcPr>
            <w:tcW w:w="1129" w:type="dxa"/>
          </w:tcPr>
          <w:p w14:paraId="7FE1C2F1" w14:textId="77777777" w:rsidR="00414040" w:rsidRDefault="00904E1A">
            <w:pPr>
              <w:pStyle w:val="P68B1DB1-Normal45"/>
              <w:spacing w:line="276" w:lineRule="auto"/>
              <w:jc w:val="both"/>
            </w:pPr>
            <w:r>
              <w:t>0140</w:t>
            </w:r>
          </w:p>
          <w:p w14:paraId="7FE1C2F2" w14:textId="77777777" w:rsidR="00414040" w:rsidRDefault="00414040">
            <w:pPr>
              <w:spacing w:line="276" w:lineRule="auto"/>
              <w:jc w:val="both"/>
              <w:rPr>
                <w:rFonts w:ascii="Times New Roman" w:eastAsia="Calibri" w:hAnsi="Times New Roman" w:cs="Times New Roman"/>
                <w:strike/>
                <w:sz w:val="20"/>
              </w:rPr>
            </w:pPr>
          </w:p>
        </w:tc>
        <w:tc>
          <w:tcPr>
            <w:tcW w:w="7938" w:type="dxa"/>
          </w:tcPr>
          <w:p w14:paraId="7FE1C2F3" w14:textId="1EFC3152" w:rsidR="00414040" w:rsidRDefault="78AEEC9E">
            <w:pPr>
              <w:pStyle w:val="P68B1DB1-Normal55"/>
              <w:spacing w:line="276" w:lineRule="auto"/>
              <w:jc w:val="both"/>
            </w:pPr>
            <w:r>
              <w:t>Derecho</w:t>
            </w:r>
            <w:r w:rsidR="00E12177">
              <w:t xml:space="preserve"> </w:t>
            </w:r>
            <w:r w:rsidR="00904E1A">
              <w:t xml:space="preserve">aplicable </w:t>
            </w:r>
          </w:p>
          <w:p w14:paraId="7FE1C2F4" w14:textId="400486FA" w:rsidR="00414040" w:rsidRDefault="00904E1A">
            <w:pPr>
              <w:pStyle w:val="P68B1DB1-Normal45"/>
              <w:spacing w:line="276" w:lineRule="auto"/>
              <w:jc w:val="both"/>
            </w:pPr>
            <w:r>
              <w:t>Código ISO del país cuya normativa se aplica al contrato.</w:t>
            </w:r>
          </w:p>
          <w:p w14:paraId="7FE1C2F5" w14:textId="77777777" w:rsidR="00414040" w:rsidRDefault="00414040">
            <w:pPr>
              <w:spacing w:line="276" w:lineRule="auto"/>
              <w:jc w:val="both"/>
              <w:rPr>
                <w:rFonts w:ascii="Times New Roman" w:eastAsia="Calibri" w:hAnsi="Times New Roman" w:cs="Times New Roman"/>
                <w:sz w:val="20"/>
              </w:rPr>
            </w:pPr>
          </w:p>
        </w:tc>
      </w:tr>
      <w:tr w:rsidR="00414040" w14:paraId="7FE1C2FC" w14:textId="77777777" w:rsidTr="466B0B01">
        <w:trPr>
          <w:trHeight w:val="628"/>
        </w:trPr>
        <w:tc>
          <w:tcPr>
            <w:tcW w:w="1129" w:type="dxa"/>
          </w:tcPr>
          <w:p w14:paraId="7FE1C2F7" w14:textId="77777777" w:rsidR="00414040" w:rsidRDefault="00904E1A">
            <w:pPr>
              <w:pStyle w:val="P68B1DB1-Normal45"/>
              <w:spacing w:line="276" w:lineRule="auto"/>
              <w:jc w:val="both"/>
            </w:pPr>
            <w:r>
              <w:t>0150-0170</w:t>
            </w:r>
          </w:p>
          <w:p w14:paraId="7FE1C2F8" w14:textId="77777777" w:rsidR="00414040" w:rsidRDefault="00414040">
            <w:pPr>
              <w:spacing w:line="276" w:lineRule="auto"/>
              <w:jc w:val="both"/>
              <w:rPr>
                <w:rFonts w:ascii="Times New Roman" w:eastAsia="Calibri" w:hAnsi="Times New Roman" w:cs="Times New Roman"/>
                <w:strike/>
                <w:sz w:val="20"/>
              </w:rPr>
            </w:pPr>
          </w:p>
        </w:tc>
        <w:tc>
          <w:tcPr>
            <w:tcW w:w="7938" w:type="dxa"/>
          </w:tcPr>
          <w:p w14:paraId="7FE1C2F9" w14:textId="3C0802F4" w:rsidR="00414040" w:rsidRDefault="00904E1A">
            <w:pPr>
              <w:pStyle w:val="P68B1DB1-Normal49"/>
              <w:spacing w:before="120" w:after="120" w:line="276" w:lineRule="auto"/>
              <w:rPr>
                <w:bCs/>
                <w:iCs/>
              </w:rPr>
            </w:pPr>
            <w:r>
              <w:t xml:space="preserve">Resiliencia </w:t>
            </w:r>
            <w:r w:rsidR="00E72456">
              <w:t>en</w:t>
            </w:r>
            <w:r>
              <w:t xml:space="preserve"> resoluci</w:t>
            </w:r>
            <w:r w:rsidR="00E72456">
              <w:t>ón</w:t>
            </w:r>
            <w:r>
              <w:t xml:space="preserve"> </w:t>
            </w:r>
          </w:p>
          <w:p w14:paraId="7FE1C2FA" w14:textId="72800D45" w:rsidR="00414040" w:rsidRDefault="00904E1A">
            <w:pPr>
              <w:pStyle w:val="P68B1DB1-NormalWeb59"/>
              <w:spacing w:before="0" w:beforeAutospacing="0" w:after="0" w:afterAutospacing="0"/>
              <w:rPr>
                <w:iCs/>
                <w:szCs w:val="20"/>
              </w:rPr>
            </w:pPr>
            <w:r>
              <w:rPr>
                <w:szCs w:val="20"/>
              </w:rPr>
              <w:t xml:space="preserve">La evaluación de si el contrato </w:t>
            </w:r>
            <w:r w:rsidR="00A007B1">
              <w:rPr>
                <w:szCs w:val="20"/>
              </w:rPr>
              <w:t>que respalda e</w:t>
            </w:r>
            <w:r>
              <w:rPr>
                <w:szCs w:val="20"/>
              </w:rPr>
              <w:t xml:space="preserve">l servicio indicado en la columna 0020 podría continuar y transferirse durante la </w:t>
            </w:r>
            <w:r w:rsidR="00E72456">
              <w:rPr>
                <w:szCs w:val="20"/>
              </w:rPr>
              <w:t>implementación</w:t>
            </w:r>
            <w:r w:rsidR="00A95404">
              <w:rPr>
                <w:szCs w:val="20"/>
              </w:rPr>
              <w:t xml:space="preserve"> </w:t>
            </w:r>
            <w:r>
              <w:rPr>
                <w:szCs w:val="20"/>
              </w:rPr>
              <w:t xml:space="preserve">de la estrategia de resolución, incluido el </w:t>
            </w:r>
            <w:r w:rsidRPr="00A95404">
              <w:rPr>
                <w:szCs w:val="20"/>
              </w:rPr>
              <w:t>plan de reorganización de actividades</w:t>
            </w:r>
            <w:r>
              <w:rPr>
                <w:szCs w:val="20"/>
              </w:rPr>
              <w:t xml:space="preserve">, </w:t>
            </w:r>
            <w:r>
              <w:t xml:space="preserve">de conformidad con EBA/GL/2022/01 y la legislación nacional </w:t>
            </w:r>
            <w:r w:rsidR="007A0B48">
              <w:t>aplicable</w:t>
            </w:r>
            <w:r>
              <w:t>.</w:t>
            </w:r>
          </w:p>
          <w:p w14:paraId="7FE1C2FB" w14:textId="77777777" w:rsidR="00414040" w:rsidRDefault="00414040">
            <w:pPr>
              <w:spacing w:line="276" w:lineRule="auto"/>
              <w:jc w:val="both"/>
              <w:rPr>
                <w:rFonts w:ascii="Times New Roman" w:eastAsia="Calibri" w:hAnsi="Times New Roman" w:cs="Times New Roman"/>
                <w:iCs/>
                <w:sz w:val="20"/>
                <w:szCs w:val="20"/>
              </w:rPr>
            </w:pPr>
          </w:p>
        </w:tc>
      </w:tr>
      <w:tr w:rsidR="00414040" w14:paraId="7FE1C30C" w14:textId="77777777" w:rsidTr="466B0B01">
        <w:trPr>
          <w:trHeight w:val="2120"/>
        </w:trPr>
        <w:tc>
          <w:tcPr>
            <w:tcW w:w="1129" w:type="dxa"/>
          </w:tcPr>
          <w:p w14:paraId="7FE1C2FD" w14:textId="77777777" w:rsidR="00414040" w:rsidRDefault="00904E1A">
            <w:pPr>
              <w:pStyle w:val="P68B1DB1-Normal45"/>
              <w:spacing w:line="276" w:lineRule="auto"/>
              <w:jc w:val="both"/>
            </w:pPr>
            <w:r>
              <w:t>0150</w:t>
            </w:r>
          </w:p>
        </w:tc>
        <w:tc>
          <w:tcPr>
            <w:tcW w:w="7938" w:type="dxa"/>
          </w:tcPr>
          <w:p w14:paraId="7FE1C2FE" w14:textId="358A05EE" w:rsidR="00414040" w:rsidRPr="009326A9" w:rsidRDefault="00904E1A">
            <w:pPr>
              <w:pStyle w:val="P68B1DB1-Normal55"/>
              <w:spacing w:line="276" w:lineRule="auto"/>
              <w:jc w:val="both"/>
              <w:rPr>
                <w:bCs/>
              </w:rPr>
            </w:pPr>
            <w:r>
              <w:rPr>
                <w:szCs w:val="20"/>
              </w:rPr>
              <w:t xml:space="preserve">Características de </w:t>
            </w:r>
            <w:r w:rsidRPr="009326A9">
              <w:rPr>
                <w:szCs w:val="20"/>
              </w:rPr>
              <w:t xml:space="preserve">resiliencia </w:t>
            </w:r>
            <w:r w:rsidR="000F3ED5" w:rsidRPr="009326A9">
              <w:rPr>
                <w:szCs w:val="20"/>
              </w:rPr>
              <w:t>en</w:t>
            </w:r>
            <w:r w:rsidRPr="009326A9">
              <w:rPr>
                <w:szCs w:val="20"/>
              </w:rPr>
              <w:t xml:space="preserve"> resolución</w:t>
            </w:r>
            <w:r w:rsidRPr="009326A9">
              <w:t xml:space="preserve"> </w:t>
            </w:r>
          </w:p>
          <w:p w14:paraId="7FE1C2FF" w14:textId="65867729" w:rsidR="00414040" w:rsidRDefault="00904E1A">
            <w:pPr>
              <w:pStyle w:val="P68B1DB1-Normal50"/>
              <w:spacing w:line="276" w:lineRule="auto"/>
              <w:jc w:val="both"/>
              <w:rPr>
                <w:iCs/>
              </w:rPr>
            </w:pPr>
            <w:r w:rsidRPr="009326A9">
              <w:t xml:space="preserve">Las características </w:t>
            </w:r>
            <w:r w:rsidR="00D17709" w:rsidRPr="009326A9">
              <w:t xml:space="preserve">de resiliencia en </w:t>
            </w:r>
            <w:r w:rsidRPr="009326A9">
              <w:t>resolución</w:t>
            </w:r>
            <w:r>
              <w:t xml:space="preserve"> son propiedades que se espera que tengan los contratos de servicios pertinentes para ser considerados resistentes </w:t>
            </w:r>
            <w:r w:rsidR="00EA6E64">
              <w:t xml:space="preserve">en </w:t>
            </w:r>
            <w:r>
              <w:t xml:space="preserve">resolución. </w:t>
            </w:r>
            <w:r w:rsidR="00587FAE">
              <w:t>Incluyen</w:t>
            </w:r>
            <w:r>
              <w:t xml:space="preserve"> las siguientes, siempre que sigan cumpliéndose las obligaciones sustantivas derivadas del contrato:</w:t>
            </w:r>
          </w:p>
          <w:p w14:paraId="7FE1C300" w14:textId="3BE063CE" w:rsidR="00414040" w:rsidRDefault="00904E1A">
            <w:pPr>
              <w:pStyle w:val="P68B1DB1-ListParagraph60"/>
              <w:numPr>
                <w:ilvl w:val="0"/>
                <w:numId w:val="240"/>
              </w:numPr>
              <w:spacing w:line="276" w:lineRule="auto"/>
              <w:ind w:left="500"/>
              <w:contextualSpacing/>
              <w:jc w:val="both"/>
              <w:rPr>
                <w:iCs/>
              </w:rPr>
            </w:pPr>
            <w:r>
              <w:t xml:space="preserve">la ausencia de rescisión, suspensión o modificación por motivos de resolución (incluida la reorganización de actividades con arreglo al artículo 51 de la Directiva 2014/59/UE); </w:t>
            </w:r>
          </w:p>
          <w:p w14:paraId="7FE1C301" w14:textId="72965CA6" w:rsidR="00414040" w:rsidRDefault="00904E1A">
            <w:pPr>
              <w:pStyle w:val="P68B1DB1-ListParagraph60"/>
              <w:numPr>
                <w:ilvl w:val="0"/>
                <w:numId w:val="240"/>
              </w:numPr>
              <w:spacing w:line="276" w:lineRule="auto"/>
              <w:ind w:left="500"/>
              <w:contextualSpacing/>
              <w:jc w:val="both"/>
              <w:rPr>
                <w:iCs/>
              </w:rPr>
            </w:pPr>
            <w:r w:rsidRPr="7C186366">
              <w:rPr>
                <w:lang w:val="es-ES"/>
              </w:rPr>
              <w:t>la transferibilidad de la prestación de</w:t>
            </w:r>
            <w:r w:rsidR="0055603E" w:rsidRPr="7C186366">
              <w:rPr>
                <w:lang w:val="es-ES"/>
              </w:rPr>
              <w:t>l</w:t>
            </w:r>
            <w:r w:rsidRPr="7C186366">
              <w:rPr>
                <w:lang w:val="es-ES"/>
              </w:rPr>
              <w:t xml:space="preserve"> servicio a un nuevo </w:t>
            </w:r>
            <w:proofErr w:type="gramStart"/>
            <w:r w:rsidRPr="7C186366">
              <w:rPr>
                <w:lang w:val="es-ES"/>
              </w:rPr>
              <w:t>destinatario</w:t>
            </w:r>
            <w:r w:rsidR="003733A4" w:rsidRPr="7C186366">
              <w:rPr>
                <w:lang w:val="es-ES"/>
              </w:rPr>
              <w:t>,</w:t>
            </w:r>
            <w:proofErr w:type="gramEnd"/>
            <w:r w:rsidR="003733A4" w:rsidRPr="7C186366">
              <w:rPr>
                <w:lang w:val="es-ES"/>
              </w:rPr>
              <w:t xml:space="preserve"> ya sea</w:t>
            </w:r>
            <w:r w:rsidRPr="7C186366">
              <w:rPr>
                <w:lang w:val="es-ES"/>
              </w:rPr>
              <w:t xml:space="preserve"> por parte del destinatario del servicio o de la autoridad de resolución debido a la resolución (incluida la reorganización con arreglo al artículo 51 de la Directiva 2014/59/UE); </w:t>
            </w:r>
          </w:p>
          <w:p w14:paraId="7FE1C302" w14:textId="647C1F22" w:rsidR="00414040" w:rsidRDefault="00081DDE">
            <w:pPr>
              <w:pStyle w:val="P68B1DB1-ListParagraph60"/>
              <w:numPr>
                <w:ilvl w:val="0"/>
                <w:numId w:val="240"/>
              </w:numPr>
              <w:spacing w:line="276" w:lineRule="auto"/>
              <w:ind w:left="500"/>
              <w:contextualSpacing/>
              <w:jc w:val="both"/>
              <w:rPr>
                <w:iCs/>
              </w:rPr>
            </w:pPr>
            <w:r w:rsidRPr="7C186366">
              <w:rPr>
                <w:lang w:val="es-ES"/>
              </w:rPr>
              <w:t>el apoyo en</w:t>
            </w:r>
            <w:r w:rsidR="00904E1A" w:rsidRPr="7C186366">
              <w:rPr>
                <w:lang w:val="es-ES"/>
              </w:rPr>
              <w:t xml:space="preserve"> la transferencia o rescisión que se produzca durante la resolución (incluida la reorganización con arreglo al artículo 51 de la Directiva 2014/59/UE) durante un período razonable (por ejemplo, 24 meses) por parte del proveedor de servicios actual y en las mism</w:t>
            </w:r>
            <w:r w:rsidR="00A9736C" w:rsidRPr="7C186366">
              <w:rPr>
                <w:lang w:val="es-ES"/>
              </w:rPr>
              <w:t>o</w:t>
            </w:r>
            <w:r w:rsidR="00904E1A" w:rsidRPr="7C186366">
              <w:rPr>
                <w:lang w:val="es-ES"/>
              </w:rPr>
              <w:t xml:space="preserve">s </w:t>
            </w:r>
            <w:r w:rsidR="00A9736C" w:rsidRPr="7C186366">
              <w:rPr>
                <w:lang w:val="es-ES"/>
              </w:rPr>
              <w:t>té</w:t>
            </w:r>
            <w:r w:rsidR="00580F9D">
              <w:rPr>
                <w:lang w:val="es-ES"/>
              </w:rPr>
              <w:t>r</w:t>
            </w:r>
            <w:r w:rsidR="00A9736C" w:rsidRPr="7C186366">
              <w:rPr>
                <w:lang w:val="es-ES"/>
              </w:rPr>
              <w:t xml:space="preserve">minos y </w:t>
            </w:r>
            <w:r w:rsidR="00904E1A" w:rsidRPr="7C186366">
              <w:rPr>
                <w:lang w:val="es-ES"/>
              </w:rPr>
              <w:t>condiciones, así como</w:t>
            </w:r>
          </w:p>
          <w:p w14:paraId="7FE1C303" w14:textId="389CB3FF" w:rsidR="00414040" w:rsidRDefault="003D5319">
            <w:pPr>
              <w:pStyle w:val="P68B1DB1-ListParagraph60"/>
              <w:numPr>
                <w:ilvl w:val="0"/>
                <w:numId w:val="240"/>
              </w:numPr>
              <w:spacing w:line="276" w:lineRule="auto"/>
              <w:ind w:left="500"/>
              <w:contextualSpacing/>
              <w:jc w:val="both"/>
              <w:rPr>
                <w:iCs/>
              </w:rPr>
            </w:pPr>
            <w:r>
              <w:lastRenderedPageBreak/>
              <w:t xml:space="preserve">la </w:t>
            </w:r>
            <w:r w:rsidR="00F25CA2">
              <w:t>continuidad en la prestación</w:t>
            </w:r>
            <w:r w:rsidR="00904E1A">
              <w:t xml:space="preserve"> de</w:t>
            </w:r>
            <w:r w:rsidR="00F25CA2">
              <w:t>l</w:t>
            </w:r>
            <w:r w:rsidR="00904E1A">
              <w:t xml:space="preserve"> servicio a un ente del grupo </w:t>
            </w:r>
            <w:r w:rsidR="00580F9D">
              <w:t xml:space="preserve">vendido </w:t>
            </w:r>
            <w:r w:rsidR="00904E1A">
              <w:t>durante la resolución (incluida la reorganización con arreglo al artículo 51 de la Directiva 2014/59/UE), durante un período de tiempo razonable tras la venta, como 24 meses.</w:t>
            </w:r>
          </w:p>
          <w:p w14:paraId="7FE1C304" w14:textId="7C2671CE" w:rsidR="00414040" w:rsidRDefault="00904E1A">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Esto aplica</w:t>
            </w:r>
            <w:r w:rsidR="00371018">
              <w:rPr>
                <w:rFonts w:ascii="Times New Roman" w:eastAsia="Calibri" w:hAnsi="Times New Roman" w:cs="Times New Roman"/>
                <w:sz w:val="20"/>
                <w:szCs w:val="20"/>
              </w:rPr>
              <w:t xml:space="preserve"> tanto</w:t>
            </w:r>
            <w:r>
              <w:rPr>
                <w:rFonts w:ascii="Times New Roman" w:eastAsia="Calibri" w:hAnsi="Times New Roman" w:cs="Times New Roman"/>
                <w:sz w:val="20"/>
                <w:szCs w:val="20"/>
              </w:rPr>
              <w:t xml:space="preserve"> a los contratos en los que la legislación y la jurisdicción que rigen el contrato son las de un Estado miembro de la UE</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(en lo sucesivo, «contratos de la UE») </w:t>
            </w:r>
            <w:r w:rsidR="005C6866">
              <w:rPr>
                <w:rFonts w:ascii="Times New Roman" w:eastAsia="Calibri" w:hAnsi="Times New Roman" w:cs="Times New Roman"/>
                <w:sz w:val="20"/>
                <w:szCs w:val="20"/>
              </w:rPr>
              <w:t xml:space="preserve">como </w:t>
            </w:r>
            <w:r>
              <w:rPr>
                <w:rFonts w:ascii="Times New Roman" w:eastAsia="Calibri" w:hAnsi="Times New Roman" w:cs="Times New Roman"/>
                <w:sz w:val="20"/>
                <w:szCs w:val="20"/>
              </w:rPr>
              <w:t>a los contratos a los que aplica la legislación de un tercer país.</w:t>
            </w:r>
          </w:p>
          <w:p w14:paraId="7FE1C305" w14:textId="77777777" w:rsidR="00414040" w:rsidRDefault="00414040">
            <w:pPr>
              <w:spacing w:line="276" w:lineRule="auto"/>
              <w:jc w:val="both"/>
              <w:rPr>
                <w:rFonts w:ascii="Times New Roman" w:eastAsia="Calibri" w:hAnsi="Times New Roman" w:cs="Times New Roman"/>
                <w:sz w:val="20"/>
              </w:rPr>
            </w:pPr>
          </w:p>
          <w:p w14:paraId="7FE1C306" w14:textId="69E8E55E" w:rsidR="00414040" w:rsidRDefault="00904E1A">
            <w:pPr>
              <w:pStyle w:val="P68B1DB1-Normal45"/>
              <w:spacing w:line="276" w:lineRule="auto"/>
              <w:jc w:val="both"/>
            </w:pPr>
            <w:r>
              <w:t xml:space="preserve">Se indicará uno de los siguientes </w:t>
            </w:r>
            <w:r w:rsidR="146306D8">
              <w:t>valores</w:t>
            </w:r>
            <w:r>
              <w:t>:</w:t>
            </w:r>
          </w:p>
          <w:p w14:paraId="7FE1C307" w14:textId="6AE55294" w:rsidR="00414040" w:rsidRPr="009326A9" w:rsidRDefault="00904E1A">
            <w:pPr>
              <w:pStyle w:val="P68B1DB1-Normal50"/>
              <w:spacing w:line="276" w:lineRule="auto"/>
              <w:jc w:val="both"/>
            </w:pPr>
            <w:r w:rsidRPr="2133F407">
              <w:rPr>
                <w:lang w:val="es-ES"/>
              </w:rPr>
              <w:t>«Sí», si el contrato se considera</w:t>
            </w:r>
            <w:r w:rsidR="00CD4410">
              <w:rPr>
                <w:lang w:val="es-ES"/>
              </w:rPr>
              <w:t xml:space="preserve"> </w:t>
            </w:r>
            <w:r w:rsidR="00CD4410" w:rsidRPr="009326A9">
              <w:rPr>
                <w:lang w:val="es-ES"/>
              </w:rPr>
              <w:t>resistente</w:t>
            </w:r>
            <w:r w:rsidR="1E23FF2E" w:rsidRPr="00210421">
              <w:rPr>
                <w:lang w:val="es-ES"/>
              </w:rPr>
              <w:t xml:space="preserve"> en</w:t>
            </w:r>
            <w:r w:rsidRPr="00210421">
              <w:rPr>
                <w:lang w:val="es-ES"/>
              </w:rPr>
              <w:t xml:space="preserve"> </w:t>
            </w:r>
            <w:r w:rsidRPr="009326A9">
              <w:rPr>
                <w:lang w:val="es-ES"/>
              </w:rPr>
              <w:t>resolución</w:t>
            </w:r>
          </w:p>
          <w:p w14:paraId="7FE1C308" w14:textId="18A37DD4" w:rsidR="00414040" w:rsidRPr="00210421" w:rsidRDefault="00904E1A">
            <w:pPr>
              <w:pStyle w:val="P68B1DB1-Normal50"/>
              <w:spacing w:line="276" w:lineRule="auto"/>
              <w:jc w:val="both"/>
              <w:rPr>
                <w:lang w:val="es-ES"/>
              </w:rPr>
            </w:pPr>
            <w:r w:rsidRPr="009326A9">
              <w:rPr>
                <w:lang w:val="es-ES"/>
              </w:rPr>
              <w:t>«No», si el contrato no se considera</w:t>
            </w:r>
            <w:r w:rsidR="00CD4410" w:rsidRPr="009326A9">
              <w:rPr>
                <w:lang w:val="es-ES"/>
              </w:rPr>
              <w:t xml:space="preserve"> </w:t>
            </w:r>
            <w:r w:rsidR="00CD4410" w:rsidRPr="00210421">
              <w:rPr>
                <w:lang w:val="es-ES"/>
              </w:rPr>
              <w:t>resistente</w:t>
            </w:r>
            <w:r w:rsidR="0077777B">
              <w:rPr>
                <w:strike/>
                <w:lang w:val="es-ES"/>
              </w:rPr>
              <w:t xml:space="preserve"> </w:t>
            </w:r>
            <w:r w:rsidR="033E18C9" w:rsidRPr="009E3185">
              <w:rPr>
                <w:lang w:val="es-ES"/>
              </w:rPr>
              <w:t xml:space="preserve">en </w:t>
            </w:r>
            <w:r w:rsidRPr="00210421">
              <w:rPr>
                <w:lang w:val="es-ES"/>
              </w:rPr>
              <w:t>resolución</w:t>
            </w:r>
          </w:p>
          <w:p w14:paraId="7FE1C309" w14:textId="531EE071" w:rsidR="00414040" w:rsidRDefault="00904E1A">
            <w:pPr>
              <w:pStyle w:val="P68B1DB1-Normal50"/>
              <w:spacing w:line="276" w:lineRule="auto"/>
              <w:jc w:val="both"/>
            </w:pPr>
            <w:r>
              <w:t xml:space="preserve">«No evaluado», si no se ha realizado </w:t>
            </w:r>
            <w:r w:rsidR="00897839">
              <w:t xml:space="preserve">ninguna </w:t>
            </w:r>
            <w:r>
              <w:t>evaluación.</w:t>
            </w:r>
          </w:p>
          <w:p w14:paraId="7FE1C30A" w14:textId="2A9FB039" w:rsidR="00414040" w:rsidRDefault="00904E1A">
            <w:pPr>
              <w:pStyle w:val="P68B1DB1-Normal50"/>
              <w:spacing w:line="276" w:lineRule="auto"/>
              <w:jc w:val="both"/>
            </w:pPr>
            <w:r>
              <w:t>«</w:t>
            </w:r>
            <w:r w:rsidR="00EA6E64">
              <w:t xml:space="preserve">NO </w:t>
            </w:r>
            <w:r>
              <w:t>APLICABLE»</w:t>
            </w:r>
            <w:r w:rsidR="00D242E8">
              <w:t>,</w:t>
            </w:r>
            <w:r>
              <w:t xml:space="preserve"> para los servicios </w:t>
            </w:r>
            <w:r w:rsidR="00897839">
              <w:t>internos (</w:t>
            </w:r>
            <w:r>
              <w:t xml:space="preserve">dentro </w:t>
            </w:r>
            <w:r w:rsidR="007A2292">
              <w:t>del ente</w:t>
            </w:r>
            <w:r w:rsidR="00897839">
              <w:t>)</w:t>
            </w:r>
          </w:p>
          <w:p w14:paraId="7FE1C30B" w14:textId="77777777" w:rsidR="00414040" w:rsidRDefault="00414040">
            <w:pPr>
              <w:spacing w:line="276" w:lineRule="auto"/>
              <w:jc w:val="both"/>
              <w:rPr>
                <w:rFonts w:ascii="Times New Roman" w:eastAsia="Calibri" w:hAnsi="Times New Roman" w:cs="Times New Roman"/>
                <w:sz w:val="20"/>
              </w:rPr>
            </w:pPr>
          </w:p>
        </w:tc>
      </w:tr>
      <w:tr w:rsidR="00414040" w14:paraId="7FE1C316" w14:textId="77777777" w:rsidTr="466B0B01">
        <w:trPr>
          <w:trHeight w:val="2120"/>
        </w:trPr>
        <w:tc>
          <w:tcPr>
            <w:tcW w:w="1129" w:type="dxa"/>
          </w:tcPr>
          <w:p w14:paraId="7FE1C30D" w14:textId="77777777" w:rsidR="00414040" w:rsidRDefault="00904E1A">
            <w:pPr>
              <w:pStyle w:val="P68B1DB1-Normal45"/>
              <w:spacing w:line="276" w:lineRule="auto"/>
              <w:jc w:val="both"/>
            </w:pPr>
            <w:r>
              <w:lastRenderedPageBreak/>
              <w:t>0160</w:t>
            </w:r>
          </w:p>
        </w:tc>
        <w:tc>
          <w:tcPr>
            <w:tcW w:w="7938" w:type="dxa"/>
          </w:tcPr>
          <w:p w14:paraId="7FE1C30E" w14:textId="4B385166" w:rsidR="00414040" w:rsidRDefault="00904E1A">
            <w:pPr>
              <w:pStyle w:val="P68B1DB1-Normal55"/>
              <w:spacing w:line="276" w:lineRule="auto"/>
              <w:jc w:val="both"/>
              <w:rPr>
                <w:bCs/>
                <w:iCs/>
              </w:rPr>
            </w:pPr>
            <w:r>
              <w:t xml:space="preserve">Plan de Reorganización </w:t>
            </w:r>
            <w:r w:rsidR="00A95404">
              <w:t xml:space="preserve">de </w:t>
            </w:r>
            <w:r w:rsidR="00CF1203">
              <w:t>A</w:t>
            </w:r>
            <w:r w:rsidR="00A95404">
              <w:t xml:space="preserve">ctividades </w:t>
            </w:r>
            <w:r>
              <w:t>(BRP</w:t>
            </w:r>
            <w:r w:rsidR="00A95404">
              <w:t xml:space="preserve"> por sus siglas en inglés</w:t>
            </w:r>
            <w:r>
              <w:t>)</w:t>
            </w:r>
          </w:p>
          <w:p w14:paraId="7FE1C30F" w14:textId="14725380" w:rsidR="00414040" w:rsidRDefault="00904E1A">
            <w:pPr>
              <w:pStyle w:val="P68B1DB1-Normal45"/>
              <w:spacing w:line="276" w:lineRule="auto"/>
              <w:jc w:val="both"/>
              <w:rPr>
                <w:iCs/>
              </w:rPr>
            </w:pPr>
            <w:r>
              <w:t xml:space="preserve">Si la estrategia de resolución (preferida o </w:t>
            </w:r>
            <w:r w:rsidR="00E426C4">
              <w:t xml:space="preserve">una </w:t>
            </w:r>
            <w:r>
              <w:t>variante) requiere un plan de reorganización de</w:t>
            </w:r>
            <w:r w:rsidR="00CB06A1">
              <w:t xml:space="preserve"> </w:t>
            </w:r>
            <w:r>
              <w:t xml:space="preserve"> </w:t>
            </w:r>
            <w:r w:rsidR="00580F9D">
              <w:t xml:space="preserve"> </w:t>
            </w:r>
            <w:r>
              <w:t xml:space="preserve">actividades, se espera que los contratos de la UE incluyan cláusulas explícitas para garantizar su </w:t>
            </w:r>
            <w:r w:rsidRPr="009326A9">
              <w:t xml:space="preserve">resiliencia </w:t>
            </w:r>
            <w:r w:rsidR="0B222499" w:rsidRPr="00210421">
              <w:t>en</w:t>
            </w:r>
            <w:r w:rsidRPr="009326A9">
              <w:t xml:space="preserve"> resolución en la</w:t>
            </w:r>
            <w:r>
              <w:t xml:space="preserve"> ejecución del </w:t>
            </w:r>
            <w:r w:rsidR="00CF1203">
              <w:t>Plan de Reorganización de Actividades</w:t>
            </w:r>
            <w:r>
              <w:t xml:space="preserve">. </w:t>
            </w:r>
          </w:p>
          <w:p w14:paraId="7FE1C310" w14:textId="77777777" w:rsidR="00414040" w:rsidRDefault="00414040">
            <w:pPr>
              <w:spacing w:line="276" w:lineRule="auto"/>
              <w:jc w:val="both"/>
              <w:rPr>
                <w:rFonts w:ascii="Times New Roman" w:eastAsia="Calibri" w:hAnsi="Times New Roman" w:cs="Times New Roman"/>
                <w:iCs/>
                <w:sz w:val="20"/>
              </w:rPr>
            </w:pPr>
          </w:p>
          <w:p w14:paraId="7FE1C311" w14:textId="00FA108C" w:rsidR="00414040" w:rsidRDefault="00904E1A">
            <w:pPr>
              <w:pStyle w:val="P68B1DB1-Normal45"/>
              <w:spacing w:line="276" w:lineRule="auto"/>
              <w:jc w:val="both"/>
              <w:rPr>
                <w:iCs/>
              </w:rPr>
            </w:pPr>
            <w:r>
              <w:t xml:space="preserve">Se indicará uno de los siguientes </w:t>
            </w:r>
            <w:r w:rsidR="56FC9794">
              <w:t>valores</w:t>
            </w:r>
            <w:r>
              <w:t>:</w:t>
            </w:r>
          </w:p>
          <w:p w14:paraId="7FE1C312" w14:textId="710F8D0D" w:rsidR="00414040" w:rsidRPr="009326A9" w:rsidRDefault="00904E1A">
            <w:pPr>
              <w:spacing w:line="276" w:lineRule="auto"/>
              <w:jc w:val="both"/>
              <w:rPr>
                <w:rFonts w:ascii="Times New Roman" w:eastAsia="Calibri" w:hAnsi="Times New Roman" w:cs="Times New Roman"/>
                <w:sz w:val="20"/>
                <w:szCs w:val="20"/>
              </w:rPr>
            </w:pPr>
            <w:r>
              <w:rPr>
                <w:rFonts w:ascii="Times New Roman" w:hAnsi="Times New Roman" w:cs="Times New Roman"/>
              </w:rPr>
              <w:t>«</w:t>
            </w:r>
            <w:r w:rsidRPr="2262C3B6">
              <w:rPr>
                <w:rFonts w:ascii="Times New Roman" w:eastAsia="Calibri" w:hAnsi="Times New Roman" w:cs="Times New Roman"/>
                <w:sz w:val="20"/>
                <w:szCs w:val="20"/>
              </w:rPr>
              <w:t>Sí»</w:t>
            </w:r>
            <w:r w:rsidR="00D242E8">
              <w:rPr>
                <w:rFonts w:ascii="Times New Roman" w:eastAsia="Calibri" w:hAnsi="Times New Roman" w:cs="Times New Roman"/>
                <w:sz w:val="20"/>
                <w:szCs w:val="20"/>
              </w:rPr>
              <w:t>,</w:t>
            </w:r>
            <w:r w:rsidRPr="2262C3B6">
              <w:rPr>
                <w:rFonts w:ascii="Times New Roman" w:eastAsia="Calibri" w:hAnsi="Times New Roman" w:cs="Times New Roman"/>
                <w:sz w:val="20"/>
                <w:szCs w:val="20"/>
              </w:rPr>
              <w:t xml:space="preserve"> si el contrato incluye cláusulas explícitas para garantizar su </w:t>
            </w:r>
            <w:r w:rsidR="00E02DDE" w:rsidRPr="009326A9">
              <w:rPr>
                <w:rFonts w:ascii="Times New Roman" w:eastAsia="Calibri" w:hAnsi="Times New Roman" w:cs="Times New Roman"/>
                <w:sz w:val="20"/>
                <w:szCs w:val="20"/>
              </w:rPr>
              <w:t xml:space="preserve">resiliencia </w:t>
            </w:r>
            <w:r w:rsidR="52AA09D1" w:rsidRPr="00210421">
              <w:rPr>
                <w:rFonts w:ascii="Times New Roman" w:eastAsia="Calibri" w:hAnsi="Times New Roman" w:cs="Times New Roman"/>
                <w:sz w:val="20"/>
                <w:szCs w:val="20"/>
              </w:rPr>
              <w:t xml:space="preserve">en </w:t>
            </w:r>
            <w:r w:rsidRPr="009326A9">
              <w:rPr>
                <w:rFonts w:ascii="Times New Roman" w:eastAsia="Calibri" w:hAnsi="Times New Roman" w:cs="Times New Roman"/>
                <w:sz w:val="20"/>
                <w:szCs w:val="20"/>
              </w:rPr>
              <w:t xml:space="preserve">resolución </w:t>
            </w:r>
            <w:r w:rsidR="00E02DDE" w:rsidRPr="009326A9">
              <w:rPr>
                <w:rFonts w:ascii="Times New Roman" w:eastAsia="Calibri" w:hAnsi="Times New Roman" w:cs="Times New Roman"/>
                <w:sz w:val="20"/>
                <w:szCs w:val="20"/>
              </w:rPr>
              <w:t xml:space="preserve">durante </w:t>
            </w:r>
            <w:r w:rsidRPr="009326A9">
              <w:rPr>
                <w:rFonts w:ascii="Times New Roman" w:eastAsia="Calibri" w:hAnsi="Times New Roman" w:cs="Times New Roman"/>
                <w:sz w:val="20"/>
                <w:szCs w:val="20"/>
              </w:rPr>
              <w:t xml:space="preserve">la ejecución del </w:t>
            </w:r>
            <w:r w:rsidR="00CF1203" w:rsidRPr="009326A9">
              <w:rPr>
                <w:rFonts w:ascii="Times New Roman" w:eastAsia="Calibri" w:hAnsi="Times New Roman" w:cs="Times New Roman"/>
                <w:sz w:val="20"/>
                <w:szCs w:val="20"/>
              </w:rPr>
              <w:t>Plan de Reorganización de Actividades</w:t>
            </w:r>
          </w:p>
          <w:p w14:paraId="7FE1C313" w14:textId="3F8F19C1" w:rsidR="00414040" w:rsidRDefault="00904E1A">
            <w:pPr>
              <w:spacing w:line="276" w:lineRule="auto"/>
              <w:jc w:val="both"/>
              <w:rPr>
                <w:rFonts w:ascii="Times New Roman" w:eastAsia="Calibri" w:hAnsi="Times New Roman" w:cs="Times New Roman"/>
                <w:sz w:val="20"/>
                <w:szCs w:val="20"/>
                <w:lang w:val="es-ES"/>
              </w:rPr>
            </w:pPr>
            <w:r w:rsidRPr="009326A9">
              <w:rPr>
                <w:rFonts w:ascii="Times New Roman" w:hAnsi="Times New Roman" w:cs="Times New Roman"/>
                <w:lang w:val="es-ES"/>
              </w:rPr>
              <w:t>«</w:t>
            </w:r>
            <w:r w:rsidRPr="009326A9">
              <w:rPr>
                <w:rFonts w:ascii="Times New Roman" w:eastAsia="Calibri" w:hAnsi="Times New Roman" w:cs="Times New Roman"/>
                <w:sz w:val="20"/>
                <w:szCs w:val="20"/>
                <w:lang w:val="es-ES"/>
              </w:rPr>
              <w:t>No»</w:t>
            </w:r>
            <w:r w:rsidR="00D242E8">
              <w:rPr>
                <w:rFonts w:ascii="Times New Roman" w:eastAsia="Calibri" w:hAnsi="Times New Roman" w:cs="Times New Roman"/>
                <w:sz w:val="20"/>
                <w:szCs w:val="20"/>
                <w:lang w:val="es-ES"/>
              </w:rPr>
              <w:t>,</w:t>
            </w:r>
            <w:r w:rsidRPr="009326A9">
              <w:rPr>
                <w:rFonts w:ascii="Times New Roman" w:eastAsia="Calibri" w:hAnsi="Times New Roman" w:cs="Times New Roman"/>
                <w:sz w:val="20"/>
                <w:szCs w:val="20"/>
                <w:lang w:val="es-ES"/>
              </w:rPr>
              <w:t xml:space="preserve"> si el contrato no incluye cláusulas explícitas para garantizar su </w:t>
            </w:r>
            <w:r w:rsidR="00E02DDE" w:rsidRPr="00210421">
              <w:rPr>
                <w:rFonts w:ascii="Times New Roman" w:eastAsia="Calibri" w:hAnsi="Times New Roman" w:cs="Times New Roman"/>
                <w:sz w:val="20"/>
                <w:szCs w:val="20"/>
                <w:lang w:val="es-ES"/>
              </w:rPr>
              <w:t xml:space="preserve">resiliencia </w:t>
            </w:r>
            <w:r w:rsidR="23817556" w:rsidRPr="00210421">
              <w:rPr>
                <w:rFonts w:ascii="Times New Roman" w:eastAsia="Calibri" w:hAnsi="Times New Roman" w:cs="Times New Roman"/>
                <w:sz w:val="20"/>
                <w:szCs w:val="20"/>
                <w:lang w:val="es-ES"/>
              </w:rPr>
              <w:t>en</w:t>
            </w:r>
            <w:r w:rsidR="009E3185">
              <w:rPr>
                <w:rFonts w:ascii="Times New Roman" w:eastAsia="Calibri" w:hAnsi="Times New Roman" w:cs="Times New Roman"/>
                <w:sz w:val="20"/>
                <w:szCs w:val="20"/>
                <w:lang w:val="es-ES"/>
              </w:rPr>
              <w:t xml:space="preserve"> </w:t>
            </w:r>
            <w:r w:rsidRPr="00210421">
              <w:rPr>
                <w:rFonts w:ascii="Times New Roman" w:eastAsia="Calibri" w:hAnsi="Times New Roman" w:cs="Times New Roman"/>
                <w:sz w:val="20"/>
                <w:szCs w:val="20"/>
                <w:lang w:val="es-ES"/>
              </w:rPr>
              <w:t>resolución</w:t>
            </w:r>
            <w:r w:rsidRPr="009326A9">
              <w:rPr>
                <w:rFonts w:ascii="Times New Roman" w:eastAsia="Calibri" w:hAnsi="Times New Roman" w:cs="Times New Roman"/>
                <w:sz w:val="20"/>
                <w:szCs w:val="20"/>
                <w:lang w:val="es-ES"/>
              </w:rPr>
              <w:t xml:space="preserve"> </w:t>
            </w:r>
            <w:r w:rsidR="00E02DDE" w:rsidRPr="009326A9">
              <w:rPr>
                <w:rFonts w:ascii="Times New Roman" w:eastAsia="Calibri" w:hAnsi="Times New Roman" w:cs="Times New Roman"/>
                <w:sz w:val="20"/>
                <w:szCs w:val="20"/>
                <w:lang w:val="es-ES"/>
              </w:rPr>
              <w:t>durante</w:t>
            </w:r>
            <w:r w:rsidRPr="009326A9">
              <w:rPr>
                <w:rFonts w:ascii="Times New Roman" w:eastAsia="Calibri" w:hAnsi="Times New Roman" w:cs="Times New Roman"/>
                <w:sz w:val="20"/>
                <w:szCs w:val="20"/>
                <w:lang w:val="es-ES"/>
              </w:rPr>
              <w:t xml:space="preserve"> la ejecución del </w:t>
            </w:r>
            <w:r w:rsidR="00CF1203" w:rsidRPr="009326A9">
              <w:rPr>
                <w:rFonts w:ascii="Times New Roman" w:eastAsia="Calibri" w:hAnsi="Times New Roman" w:cs="Times New Roman"/>
                <w:sz w:val="20"/>
                <w:szCs w:val="20"/>
                <w:lang w:val="es-ES"/>
              </w:rPr>
              <w:t>Plan de Reorganización</w:t>
            </w:r>
            <w:r w:rsidR="009326A9">
              <w:rPr>
                <w:rFonts w:ascii="Times New Roman" w:eastAsia="Calibri" w:hAnsi="Times New Roman" w:cs="Times New Roman"/>
                <w:sz w:val="20"/>
                <w:szCs w:val="20"/>
                <w:lang w:val="es-ES"/>
              </w:rPr>
              <w:t xml:space="preserve"> </w:t>
            </w:r>
            <w:r w:rsidR="00CF1203" w:rsidRPr="6390FA3F">
              <w:rPr>
                <w:rFonts w:ascii="Times New Roman" w:eastAsia="Calibri" w:hAnsi="Times New Roman" w:cs="Times New Roman"/>
                <w:sz w:val="20"/>
                <w:szCs w:val="20"/>
                <w:lang w:val="es-ES"/>
              </w:rPr>
              <w:t>de Actividades</w:t>
            </w:r>
          </w:p>
          <w:p w14:paraId="7FE1C314" w14:textId="6FDBE97C" w:rsidR="00414040" w:rsidRDefault="00904E1A">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No evaluado», si no se ha realizado </w:t>
            </w:r>
            <w:r w:rsidR="00E02DDE">
              <w:rPr>
                <w:rFonts w:ascii="Times New Roman" w:eastAsia="Calibri" w:hAnsi="Times New Roman" w:cs="Times New Roman"/>
                <w:sz w:val="20"/>
              </w:rPr>
              <w:t xml:space="preserve">ninguna </w:t>
            </w:r>
            <w:r>
              <w:rPr>
                <w:rFonts w:ascii="Times New Roman" w:eastAsia="Calibri" w:hAnsi="Times New Roman" w:cs="Times New Roman"/>
                <w:sz w:val="20"/>
              </w:rPr>
              <w:t>evaluación</w:t>
            </w:r>
            <w:r>
              <w:rPr>
                <w:rFonts w:ascii="Times New Roman" w:hAnsi="Times New Roman" w:cs="Times New Roman"/>
              </w:rPr>
              <w:t>.</w:t>
            </w:r>
          </w:p>
          <w:p w14:paraId="7FE1C315" w14:textId="30AF480A" w:rsidR="00414040" w:rsidRDefault="00904E1A">
            <w:pPr>
              <w:spacing w:line="276" w:lineRule="auto"/>
              <w:jc w:val="both"/>
              <w:rPr>
                <w:rFonts w:ascii="Times New Roman" w:eastAsia="Calibri" w:hAnsi="Times New Roman" w:cs="Times New Roman"/>
                <w:sz w:val="20"/>
                <w:szCs w:val="20"/>
                <w:lang w:val="es-ES"/>
              </w:rPr>
            </w:pPr>
            <w:r w:rsidRPr="2133F407">
              <w:rPr>
                <w:rFonts w:ascii="Times New Roman" w:hAnsi="Times New Roman" w:cs="Times New Roman"/>
                <w:lang w:val="es-ES"/>
              </w:rPr>
              <w:t>«</w:t>
            </w:r>
            <w:r w:rsidR="00C46264" w:rsidRPr="2133F407">
              <w:rPr>
                <w:rFonts w:ascii="Times New Roman" w:eastAsia="Calibri" w:hAnsi="Times New Roman" w:cs="Times New Roman"/>
                <w:sz w:val="20"/>
                <w:szCs w:val="20"/>
                <w:lang w:val="es-ES"/>
              </w:rPr>
              <w:t>N</w:t>
            </w:r>
            <w:r w:rsidR="00C46264">
              <w:rPr>
                <w:rFonts w:ascii="Times New Roman" w:eastAsia="Calibri" w:hAnsi="Times New Roman" w:cs="Times New Roman"/>
                <w:sz w:val="20"/>
                <w:szCs w:val="20"/>
                <w:lang w:val="es-ES"/>
              </w:rPr>
              <w:t>O</w:t>
            </w:r>
            <w:r w:rsidR="00C46264" w:rsidRPr="2133F407">
              <w:rPr>
                <w:rFonts w:ascii="Times New Roman" w:eastAsia="Calibri" w:hAnsi="Times New Roman" w:cs="Times New Roman"/>
                <w:sz w:val="20"/>
                <w:szCs w:val="20"/>
                <w:lang w:val="es-ES"/>
              </w:rPr>
              <w:t xml:space="preserve"> </w:t>
            </w:r>
            <w:r w:rsidRPr="2133F407">
              <w:rPr>
                <w:rFonts w:ascii="Times New Roman" w:eastAsia="Calibri" w:hAnsi="Times New Roman" w:cs="Times New Roman"/>
                <w:sz w:val="20"/>
                <w:szCs w:val="20"/>
                <w:lang w:val="es-ES"/>
              </w:rPr>
              <w:t>APLICABLE»</w:t>
            </w:r>
            <w:r w:rsidR="00D242E8">
              <w:rPr>
                <w:rFonts w:ascii="Times New Roman" w:eastAsia="Calibri" w:hAnsi="Times New Roman" w:cs="Times New Roman"/>
                <w:sz w:val="20"/>
                <w:szCs w:val="20"/>
                <w:lang w:val="es-ES"/>
              </w:rPr>
              <w:t>,</w:t>
            </w:r>
            <w:r w:rsidRPr="2133F407">
              <w:rPr>
                <w:rFonts w:ascii="Times New Roman" w:eastAsia="Calibri" w:hAnsi="Times New Roman" w:cs="Times New Roman"/>
                <w:sz w:val="20"/>
                <w:szCs w:val="20"/>
                <w:lang w:val="es-ES"/>
              </w:rPr>
              <w:t xml:space="preserve"> para los servicios int</w:t>
            </w:r>
            <w:r w:rsidR="0029489C">
              <w:rPr>
                <w:rFonts w:ascii="Times New Roman" w:eastAsia="Calibri" w:hAnsi="Times New Roman" w:cs="Times New Roman"/>
                <w:sz w:val="20"/>
                <w:szCs w:val="20"/>
                <w:lang w:val="es-ES"/>
              </w:rPr>
              <w:t xml:space="preserve">ernos (dentro </w:t>
            </w:r>
            <w:r w:rsidR="007A2292">
              <w:rPr>
                <w:rFonts w:ascii="Times New Roman" w:eastAsia="Calibri" w:hAnsi="Times New Roman" w:cs="Times New Roman"/>
                <w:sz w:val="20"/>
                <w:szCs w:val="20"/>
                <w:lang w:val="es-ES"/>
              </w:rPr>
              <w:t>del ente</w:t>
            </w:r>
            <w:r w:rsidR="0029489C">
              <w:rPr>
                <w:rFonts w:ascii="Times New Roman" w:eastAsia="Calibri" w:hAnsi="Times New Roman" w:cs="Times New Roman"/>
                <w:sz w:val="20"/>
                <w:szCs w:val="20"/>
                <w:lang w:val="es-ES"/>
              </w:rPr>
              <w:t>)</w:t>
            </w:r>
            <w:r w:rsidRPr="2133F407">
              <w:rPr>
                <w:rFonts w:ascii="Times New Roman" w:eastAsia="Calibri" w:hAnsi="Times New Roman" w:cs="Times New Roman"/>
                <w:sz w:val="20"/>
                <w:szCs w:val="20"/>
                <w:lang w:val="es-ES"/>
              </w:rPr>
              <w:t xml:space="preserve"> o para los servicios intragrupo y externos, si la estrategia de resolución (preferida </w:t>
            </w:r>
            <w:r w:rsidR="0029489C">
              <w:rPr>
                <w:rFonts w:ascii="Times New Roman" w:eastAsia="Calibri" w:hAnsi="Times New Roman" w:cs="Times New Roman"/>
                <w:sz w:val="20"/>
                <w:szCs w:val="20"/>
                <w:lang w:val="es-ES"/>
              </w:rPr>
              <w:t>o una</w:t>
            </w:r>
            <w:r w:rsidRPr="2133F407">
              <w:rPr>
                <w:rFonts w:ascii="Times New Roman" w:eastAsia="Calibri" w:hAnsi="Times New Roman" w:cs="Times New Roman"/>
                <w:sz w:val="20"/>
                <w:szCs w:val="20"/>
                <w:lang w:val="es-ES"/>
              </w:rPr>
              <w:t xml:space="preserve"> variante) no requiere un plan de reorganización</w:t>
            </w:r>
            <w:r w:rsidRPr="2133F407">
              <w:rPr>
                <w:rFonts w:ascii="Times New Roman" w:hAnsi="Times New Roman" w:cs="Times New Roman"/>
                <w:lang w:val="es-ES"/>
              </w:rPr>
              <w:t xml:space="preserve"> de actividades</w:t>
            </w:r>
            <w:r w:rsidR="002349F5">
              <w:rPr>
                <w:rFonts w:ascii="Times New Roman" w:hAnsi="Times New Roman" w:cs="Times New Roman"/>
                <w:lang w:val="es-ES"/>
              </w:rPr>
              <w:t>.</w:t>
            </w:r>
          </w:p>
        </w:tc>
      </w:tr>
      <w:tr w:rsidR="00414040" w14:paraId="7FE1C320" w14:textId="77777777" w:rsidTr="466B0B01">
        <w:trPr>
          <w:trHeight w:val="416"/>
        </w:trPr>
        <w:tc>
          <w:tcPr>
            <w:tcW w:w="1129" w:type="dxa"/>
          </w:tcPr>
          <w:p w14:paraId="7FE1C317" w14:textId="77777777" w:rsidR="00414040" w:rsidRDefault="00904E1A">
            <w:pPr>
              <w:pStyle w:val="P68B1DB1-Normal45"/>
              <w:spacing w:line="276" w:lineRule="auto"/>
              <w:jc w:val="both"/>
            </w:pPr>
            <w:r>
              <w:t>0170</w:t>
            </w:r>
          </w:p>
        </w:tc>
        <w:tc>
          <w:tcPr>
            <w:tcW w:w="7938" w:type="dxa"/>
          </w:tcPr>
          <w:p w14:paraId="7FE1C318" w14:textId="77777777" w:rsidR="00414040" w:rsidRDefault="00904E1A">
            <w:pPr>
              <w:pStyle w:val="P68B1DB1-Normal55"/>
              <w:spacing w:line="276" w:lineRule="auto"/>
              <w:jc w:val="both"/>
              <w:rPr>
                <w:bCs/>
              </w:rPr>
            </w:pPr>
            <w:r>
              <w:t xml:space="preserve">Medidas alternativas de mitigación </w:t>
            </w:r>
          </w:p>
          <w:p w14:paraId="7FE1C319" w14:textId="2E1E9897" w:rsidR="00414040" w:rsidRDefault="00904E1A">
            <w:pPr>
              <w:pStyle w:val="P68B1DB1-Normal45"/>
              <w:spacing w:line="276" w:lineRule="auto"/>
              <w:jc w:val="both"/>
            </w:pPr>
            <w:r>
              <w:t xml:space="preserve">Cuando se espera lograr la </w:t>
            </w:r>
            <w:r w:rsidRPr="009326A9">
              <w:t xml:space="preserve">resiliencia </w:t>
            </w:r>
            <w:r w:rsidR="35C1DF9C" w:rsidRPr="00210421">
              <w:t xml:space="preserve">en </w:t>
            </w:r>
            <w:r w:rsidRPr="009326A9">
              <w:t>resolución</w:t>
            </w:r>
            <w:r>
              <w:t xml:space="preserve">, pero los bancos no han podido </w:t>
            </w:r>
            <w:r w:rsidR="00E0727C">
              <w:t>alcanzarla</w:t>
            </w:r>
            <w:r>
              <w:t xml:space="preserve">, se espera que los bancos </w:t>
            </w:r>
            <w:r w:rsidR="00E0727C">
              <w:t xml:space="preserve">exploren </w:t>
            </w:r>
            <w:r>
              <w:t xml:space="preserve">medidas alternativas de mitigación. </w:t>
            </w:r>
          </w:p>
          <w:p w14:paraId="7FE1C31A" w14:textId="77777777" w:rsidR="00414040" w:rsidRDefault="00414040">
            <w:pPr>
              <w:spacing w:line="276" w:lineRule="auto"/>
              <w:jc w:val="both"/>
              <w:rPr>
                <w:rFonts w:ascii="Times New Roman" w:eastAsia="Calibri" w:hAnsi="Times New Roman" w:cs="Times New Roman"/>
                <w:sz w:val="20"/>
              </w:rPr>
            </w:pPr>
          </w:p>
          <w:p w14:paraId="7FE1C31B" w14:textId="6CD7A5B1" w:rsidR="00414040" w:rsidRDefault="00904E1A">
            <w:pPr>
              <w:pStyle w:val="P68B1DB1-Normal45"/>
              <w:spacing w:line="276" w:lineRule="auto"/>
              <w:jc w:val="both"/>
              <w:rPr>
                <w:iCs/>
              </w:rPr>
            </w:pPr>
            <w:r>
              <w:t xml:space="preserve">Se indicará uno de los siguientes </w:t>
            </w:r>
            <w:r w:rsidR="2A5B2A8E">
              <w:t>valores</w:t>
            </w:r>
            <w:r>
              <w:t>:</w:t>
            </w:r>
          </w:p>
          <w:p w14:paraId="7FE1C31C" w14:textId="27FC5F74" w:rsidR="00414040" w:rsidRDefault="00904E1A">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Sí»</w:t>
            </w:r>
            <w:r w:rsidR="00D242E8">
              <w:rPr>
                <w:rFonts w:ascii="Times New Roman" w:eastAsia="Calibri" w:hAnsi="Times New Roman" w:cs="Times New Roman"/>
                <w:sz w:val="20"/>
              </w:rPr>
              <w:t>,</w:t>
            </w:r>
            <w:r>
              <w:rPr>
                <w:rFonts w:ascii="Times New Roman" w:eastAsia="Calibri" w:hAnsi="Times New Roman" w:cs="Times New Roman"/>
                <w:sz w:val="20"/>
              </w:rPr>
              <w:t xml:space="preserve"> si el banco ha aplicado medidas de mitigación alternativas</w:t>
            </w:r>
          </w:p>
          <w:p w14:paraId="7FE1C31D" w14:textId="17E6AB34" w:rsidR="00414040" w:rsidRDefault="00904E1A">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No»</w:t>
            </w:r>
            <w:r w:rsidR="00D242E8">
              <w:rPr>
                <w:rFonts w:ascii="Times New Roman" w:eastAsia="Calibri" w:hAnsi="Times New Roman" w:cs="Times New Roman"/>
                <w:sz w:val="20"/>
              </w:rPr>
              <w:t>,</w:t>
            </w:r>
            <w:r>
              <w:rPr>
                <w:rFonts w:ascii="Times New Roman" w:eastAsia="Calibri" w:hAnsi="Times New Roman" w:cs="Times New Roman"/>
                <w:sz w:val="20"/>
              </w:rPr>
              <w:t xml:space="preserve"> si el banco no ha aplicado medidas de mitigación alternativas</w:t>
            </w:r>
          </w:p>
          <w:p w14:paraId="7FE1C31E" w14:textId="20A79BD1" w:rsidR="00414040" w:rsidRDefault="00904E1A">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NO APLICABLE»</w:t>
            </w:r>
            <w:r w:rsidR="00D242E8">
              <w:rPr>
                <w:rFonts w:ascii="Times New Roman" w:eastAsia="Calibri" w:hAnsi="Times New Roman" w:cs="Times New Roman"/>
                <w:sz w:val="20"/>
              </w:rPr>
              <w:t>,</w:t>
            </w:r>
            <w:r>
              <w:rPr>
                <w:rFonts w:ascii="Times New Roman" w:eastAsia="Calibri" w:hAnsi="Times New Roman" w:cs="Times New Roman"/>
                <w:sz w:val="20"/>
              </w:rPr>
              <w:t xml:space="preserve"> en los casos en que alguna de las columnas 0150 </w:t>
            </w:r>
            <w:r w:rsidR="002F0F63" w:rsidRPr="009326A9">
              <w:rPr>
                <w:rFonts w:ascii="Times New Roman" w:eastAsia="Calibri" w:hAnsi="Times New Roman" w:cs="Times New Roman"/>
                <w:sz w:val="20"/>
              </w:rPr>
              <w:t>o</w:t>
            </w:r>
            <w:r w:rsidR="002F0F63">
              <w:rPr>
                <w:rFonts w:ascii="Times New Roman" w:eastAsia="Calibri" w:hAnsi="Times New Roman" w:cs="Times New Roman"/>
                <w:sz w:val="20"/>
              </w:rPr>
              <w:t xml:space="preserve"> </w:t>
            </w:r>
            <w:r>
              <w:rPr>
                <w:rFonts w:ascii="Times New Roman" w:eastAsia="Calibri" w:hAnsi="Times New Roman" w:cs="Times New Roman"/>
                <w:sz w:val="20"/>
              </w:rPr>
              <w:t>0160 esté marcada como «Sí» o «NO APLICABLE»</w:t>
            </w:r>
          </w:p>
          <w:p w14:paraId="7FE1C31F" w14:textId="77777777" w:rsidR="00414040" w:rsidRDefault="00414040">
            <w:pPr>
              <w:spacing w:line="276" w:lineRule="auto"/>
              <w:jc w:val="both"/>
              <w:rPr>
                <w:rFonts w:ascii="Times New Roman" w:eastAsia="Calibri" w:hAnsi="Times New Roman" w:cs="Times New Roman"/>
                <w:sz w:val="20"/>
              </w:rPr>
            </w:pPr>
          </w:p>
        </w:tc>
      </w:tr>
      <w:tr w:rsidR="00414040" w14:paraId="7FE1C327" w14:textId="77777777" w:rsidTr="466B0B01">
        <w:trPr>
          <w:trHeight w:val="1257"/>
        </w:trPr>
        <w:tc>
          <w:tcPr>
            <w:tcW w:w="1129" w:type="dxa"/>
          </w:tcPr>
          <w:p w14:paraId="7FE1C321" w14:textId="77777777" w:rsidR="00414040" w:rsidRDefault="00904E1A">
            <w:pPr>
              <w:pStyle w:val="P68B1DB1-Normal45"/>
              <w:spacing w:line="276" w:lineRule="auto"/>
              <w:jc w:val="both"/>
            </w:pPr>
            <w:r>
              <w:t>0180</w:t>
            </w:r>
          </w:p>
        </w:tc>
        <w:tc>
          <w:tcPr>
            <w:tcW w:w="7938" w:type="dxa"/>
          </w:tcPr>
          <w:p w14:paraId="7FE1C322" w14:textId="7B3A9FC4" w:rsidR="00414040" w:rsidRDefault="60688621">
            <w:pPr>
              <w:pStyle w:val="P68B1DB1-Normal55"/>
              <w:spacing w:line="276" w:lineRule="auto"/>
              <w:jc w:val="both"/>
            </w:pPr>
            <w:r w:rsidRPr="11A44BD7">
              <w:rPr>
                <w:lang w:val="es-ES"/>
              </w:rPr>
              <w:t xml:space="preserve">Proveedor </w:t>
            </w:r>
            <w:r w:rsidR="5B1A3546" w:rsidRPr="11A44BD7">
              <w:rPr>
                <w:lang w:val="es-ES"/>
              </w:rPr>
              <w:t xml:space="preserve">tercero esencial </w:t>
            </w:r>
            <w:r w:rsidRPr="11A44BD7">
              <w:rPr>
                <w:lang w:val="es-ES"/>
              </w:rPr>
              <w:t xml:space="preserve">de servicios de TIC en el marco del DORA </w:t>
            </w:r>
          </w:p>
          <w:p w14:paraId="7FE1C323" w14:textId="591158F9" w:rsidR="00414040" w:rsidRDefault="00904E1A">
            <w:pPr>
              <w:pStyle w:val="P68B1DB1-Normal45"/>
              <w:spacing w:line="276" w:lineRule="auto"/>
              <w:jc w:val="both"/>
              <w:rPr>
                <w:iCs/>
              </w:rPr>
            </w:pPr>
            <w:r>
              <w:t xml:space="preserve">Se indicará uno de los siguientes </w:t>
            </w:r>
            <w:proofErr w:type="gramStart"/>
            <w:r w:rsidR="66E5AF53">
              <w:t>valores</w:t>
            </w:r>
            <w:r>
              <w:t xml:space="preserve"> :</w:t>
            </w:r>
            <w:proofErr w:type="gramEnd"/>
          </w:p>
          <w:p w14:paraId="7FE1C324" w14:textId="098F1D34" w:rsidR="00414040" w:rsidRDefault="00904E1A">
            <w:pPr>
              <w:pStyle w:val="P68B1DB1-Normal50"/>
              <w:spacing w:line="276" w:lineRule="auto"/>
              <w:jc w:val="both"/>
            </w:pPr>
            <w:r>
              <w:t>«Sí»</w:t>
            </w:r>
            <w:r w:rsidR="007F034F">
              <w:t>,</w:t>
            </w:r>
            <w:r>
              <w:t xml:space="preserve"> si se trata de un proveedor </w:t>
            </w:r>
            <w:r w:rsidDel="00D76685">
              <w:t xml:space="preserve">tercero esencial </w:t>
            </w:r>
            <w:r>
              <w:t>de servicios de TIC con arreglo al artículo 3, apartado 23, del Reglamento (UE) 2022/2554 (DORA)</w:t>
            </w:r>
          </w:p>
          <w:p w14:paraId="7FE1C325" w14:textId="52601813" w:rsidR="00414040" w:rsidRDefault="00904E1A">
            <w:pPr>
              <w:spacing w:line="276" w:lineRule="auto"/>
              <w:jc w:val="both"/>
              <w:rPr>
                <w:rFonts w:ascii="Times New Roman" w:eastAsia="Calibri" w:hAnsi="Times New Roman" w:cs="Times New Roman"/>
                <w:sz w:val="20"/>
                <w:szCs w:val="20"/>
                <w:lang w:val="es-ES"/>
              </w:rPr>
            </w:pPr>
            <w:r w:rsidRPr="2133F407">
              <w:rPr>
                <w:rFonts w:ascii="Times New Roman" w:hAnsi="Times New Roman" w:cs="Times New Roman"/>
                <w:lang w:val="es-ES"/>
              </w:rPr>
              <w:t>«</w:t>
            </w:r>
            <w:r w:rsidRPr="2133F407">
              <w:rPr>
                <w:rFonts w:ascii="Times New Roman" w:eastAsia="Calibri" w:hAnsi="Times New Roman" w:cs="Times New Roman"/>
                <w:sz w:val="20"/>
                <w:szCs w:val="20"/>
                <w:lang w:val="es-ES"/>
              </w:rPr>
              <w:t>No»</w:t>
            </w:r>
            <w:r w:rsidR="007F034F">
              <w:rPr>
                <w:rFonts w:ascii="Times New Roman" w:eastAsia="Calibri" w:hAnsi="Times New Roman" w:cs="Times New Roman"/>
                <w:sz w:val="20"/>
                <w:szCs w:val="20"/>
                <w:lang w:val="es-ES"/>
              </w:rPr>
              <w:t>,</w:t>
            </w:r>
            <w:r w:rsidRPr="2133F407">
              <w:rPr>
                <w:rFonts w:ascii="Times New Roman" w:eastAsia="Calibri" w:hAnsi="Times New Roman" w:cs="Times New Roman"/>
                <w:sz w:val="20"/>
                <w:szCs w:val="20"/>
                <w:lang w:val="es-ES"/>
              </w:rPr>
              <w:t xml:space="preserve"> si no se trata de un proveedor </w:t>
            </w:r>
            <w:r w:rsidRPr="2133F407" w:rsidDel="00D76685">
              <w:rPr>
                <w:rFonts w:ascii="Times New Roman" w:eastAsia="Calibri" w:hAnsi="Times New Roman" w:cs="Times New Roman"/>
                <w:sz w:val="20"/>
                <w:szCs w:val="20"/>
                <w:lang w:val="es-ES"/>
              </w:rPr>
              <w:t xml:space="preserve">tercero esencial </w:t>
            </w:r>
            <w:r w:rsidRPr="2133F407">
              <w:rPr>
                <w:rFonts w:ascii="Times New Roman" w:eastAsia="Calibri" w:hAnsi="Times New Roman" w:cs="Times New Roman"/>
                <w:sz w:val="20"/>
                <w:szCs w:val="20"/>
                <w:lang w:val="es-ES"/>
              </w:rPr>
              <w:t xml:space="preserve">de servicios de TIC con arreglo al artículo 3, apartado 23, del Reglamento (UE) 2022/2554 </w:t>
            </w:r>
            <w:proofErr w:type="gramStart"/>
            <w:r w:rsidRPr="2133F407">
              <w:rPr>
                <w:rFonts w:ascii="Times New Roman" w:eastAsia="Calibri" w:hAnsi="Times New Roman" w:cs="Times New Roman"/>
                <w:sz w:val="20"/>
                <w:szCs w:val="20"/>
                <w:lang w:val="es-ES"/>
              </w:rPr>
              <w:t>(</w:t>
            </w:r>
            <w:r w:rsidRPr="2133F407">
              <w:rPr>
                <w:rFonts w:ascii="Times New Roman" w:hAnsi="Times New Roman" w:cs="Times New Roman"/>
                <w:lang w:val="es-ES"/>
              </w:rPr>
              <w:t xml:space="preserve"> DORA</w:t>
            </w:r>
            <w:proofErr w:type="gramEnd"/>
            <w:r w:rsidRPr="2133F407">
              <w:rPr>
                <w:rFonts w:ascii="Times New Roman" w:hAnsi="Times New Roman" w:cs="Times New Roman"/>
                <w:lang w:val="es-ES"/>
              </w:rPr>
              <w:t>)</w:t>
            </w:r>
          </w:p>
          <w:p w14:paraId="7FE1C326" w14:textId="77777777" w:rsidR="00414040" w:rsidRDefault="00414040">
            <w:pPr>
              <w:spacing w:line="276" w:lineRule="auto"/>
              <w:jc w:val="both"/>
              <w:rPr>
                <w:rFonts w:ascii="Times New Roman" w:eastAsia="Calibri" w:hAnsi="Times New Roman" w:cs="Times New Roman"/>
                <w:sz w:val="20"/>
              </w:rPr>
            </w:pPr>
          </w:p>
        </w:tc>
      </w:tr>
      <w:tr w:rsidR="00414040" w14:paraId="7FE1C32E" w14:textId="77777777" w:rsidTr="466B0B01">
        <w:trPr>
          <w:trHeight w:val="1257"/>
        </w:trPr>
        <w:tc>
          <w:tcPr>
            <w:tcW w:w="1129" w:type="dxa"/>
          </w:tcPr>
          <w:p w14:paraId="7FE1C328" w14:textId="77777777" w:rsidR="00414040" w:rsidRDefault="00904E1A">
            <w:pPr>
              <w:pStyle w:val="P68B1DB1-Normal45"/>
              <w:spacing w:line="276" w:lineRule="auto"/>
              <w:jc w:val="both"/>
            </w:pPr>
            <w:r>
              <w:lastRenderedPageBreak/>
              <w:t>0190</w:t>
            </w:r>
          </w:p>
        </w:tc>
        <w:tc>
          <w:tcPr>
            <w:tcW w:w="7938" w:type="dxa"/>
          </w:tcPr>
          <w:p w14:paraId="7FE1C329" w14:textId="77777777" w:rsidR="00414040" w:rsidRDefault="00904E1A">
            <w:pPr>
              <w:pStyle w:val="P68B1DB1-Normal55"/>
              <w:spacing w:line="276" w:lineRule="auto"/>
              <w:jc w:val="both"/>
              <w:rPr>
                <w:iCs/>
              </w:rPr>
            </w:pPr>
            <w:r>
              <w:rPr>
                <w:szCs w:val="20"/>
              </w:rPr>
              <w:t>Servicio de TIC en el marco del DORA</w:t>
            </w:r>
            <w:r>
              <w:t xml:space="preserve"> </w:t>
            </w:r>
          </w:p>
          <w:p w14:paraId="7FE1C32A" w14:textId="4D22F94C" w:rsidR="00414040" w:rsidRDefault="00904E1A">
            <w:pPr>
              <w:pStyle w:val="P68B1DB1-Normal45"/>
              <w:spacing w:line="276" w:lineRule="auto"/>
              <w:jc w:val="both"/>
              <w:rPr>
                <w:iCs/>
              </w:rPr>
            </w:pPr>
            <w:r>
              <w:t xml:space="preserve">Se indicará uno de los siguientes </w:t>
            </w:r>
            <w:r w:rsidR="34CA8144">
              <w:t>valores</w:t>
            </w:r>
            <w:r>
              <w:t>:</w:t>
            </w:r>
          </w:p>
          <w:p w14:paraId="7FE1C32B" w14:textId="51C2ADA7" w:rsidR="00414040" w:rsidRDefault="00904E1A">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«Sí»</w:t>
            </w:r>
            <w:r w:rsidR="007F034F">
              <w:rPr>
                <w:rFonts w:ascii="Times New Roman" w:eastAsia="Calibri" w:hAnsi="Times New Roman" w:cs="Times New Roman"/>
                <w:sz w:val="20"/>
                <w:szCs w:val="20"/>
              </w:rPr>
              <w:t>,</w:t>
            </w:r>
            <w:r>
              <w:rPr>
                <w:rFonts w:ascii="Times New Roman" w:eastAsia="Calibri" w:hAnsi="Times New Roman" w:cs="Times New Roman"/>
                <w:sz w:val="20"/>
                <w:szCs w:val="20"/>
              </w:rPr>
              <w:t xml:space="preserve"> si se trata de un servicio de TIC con arreglo al artículo 3, apartado 21, del Reglamento (UE) 2022/2554</w:t>
            </w:r>
            <w:r w:rsidR="00D725BD">
              <w:rPr>
                <w:rStyle w:val="FootnoteReference"/>
                <w:rFonts w:eastAsia="Calibri" w:cs="Times New Roman"/>
              </w:rPr>
              <w:footnoteReference w:id="27"/>
            </w:r>
            <w:r>
              <w:rPr>
                <w:rFonts w:ascii="Times New Roman" w:eastAsia="Calibri" w:hAnsi="Times New Roman" w:cs="Times New Roman"/>
                <w:sz w:val="20"/>
                <w:szCs w:val="20"/>
              </w:rPr>
              <w:t xml:space="preserve"> (DORA)</w:t>
            </w:r>
          </w:p>
          <w:p w14:paraId="7FE1C32C" w14:textId="348CBFBA" w:rsidR="00414040" w:rsidRDefault="00904E1A">
            <w:pPr>
              <w:spacing w:line="276" w:lineRule="auto"/>
              <w:jc w:val="both"/>
              <w:rPr>
                <w:rFonts w:ascii="Times New Roman" w:eastAsia="Calibri" w:hAnsi="Times New Roman" w:cs="Times New Roman"/>
                <w:sz w:val="20"/>
                <w:szCs w:val="20"/>
                <w:lang w:val="es-ES"/>
              </w:rPr>
            </w:pPr>
            <w:r w:rsidRPr="2133F407">
              <w:rPr>
                <w:rFonts w:ascii="Times New Roman" w:hAnsi="Times New Roman" w:cs="Times New Roman"/>
                <w:lang w:val="es-ES"/>
              </w:rPr>
              <w:t>«</w:t>
            </w:r>
            <w:r w:rsidRPr="2133F407">
              <w:rPr>
                <w:rFonts w:ascii="Times New Roman" w:eastAsia="Calibri" w:hAnsi="Times New Roman" w:cs="Times New Roman"/>
                <w:sz w:val="20"/>
                <w:szCs w:val="20"/>
                <w:lang w:val="es-ES"/>
              </w:rPr>
              <w:t>No»</w:t>
            </w:r>
            <w:r w:rsidR="007F034F">
              <w:rPr>
                <w:rFonts w:ascii="Times New Roman" w:eastAsia="Calibri" w:hAnsi="Times New Roman" w:cs="Times New Roman"/>
                <w:sz w:val="20"/>
                <w:szCs w:val="20"/>
                <w:lang w:val="es-ES"/>
              </w:rPr>
              <w:t>,</w:t>
            </w:r>
            <w:r w:rsidRPr="2133F407">
              <w:rPr>
                <w:rFonts w:ascii="Times New Roman" w:eastAsia="Calibri" w:hAnsi="Times New Roman" w:cs="Times New Roman"/>
                <w:sz w:val="20"/>
                <w:szCs w:val="20"/>
                <w:lang w:val="es-ES"/>
              </w:rPr>
              <w:t xml:space="preserve"> si no se trata de un servicio de TIC con arreglo al artículo 3, apartado 21, del Reglamento (UE) 2022/2554 </w:t>
            </w:r>
            <w:proofErr w:type="gramStart"/>
            <w:r w:rsidRPr="2133F407">
              <w:rPr>
                <w:rFonts w:ascii="Times New Roman" w:eastAsia="Calibri" w:hAnsi="Times New Roman" w:cs="Times New Roman"/>
                <w:sz w:val="20"/>
                <w:szCs w:val="20"/>
                <w:lang w:val="es-ES"/>
              </w:rPr>
              <w:t>(</w:t>
            </w:r>
            <w:r w:rsidRPr="2133F407">
              <w:rPr>
                <w:rFonts w:ascii="Times New Roman" w:hAnsi="Times New Roman" w:cs="Times New Roman"/>
                <w:lang w:val="es-ES"/>
              </w:rPr>
              <w:t xml:space="preserve"> DORA</w:t>
            </w:r>
            <w:proofErr w:type="gramEnd"/>
            <w:r w:rsidRPr="2133F407">
              <w:rPr>
                <w:rFonts w:ascii="Times New Roman" w:hAnsi="Times New Roman" w:cs="Times New Roman"/>
                <w:lang w:val="es-ES"/>
              </w:rPr>
              <w:t>)</w:t>
            </w:r>
          </w:p>
          <w:p w14:paraId="7FE1C32D" w14:textId="77777777" w:rsidR="00414040" w:rsidRDefault="00414040">
            <w:pPr>
              <w:spacing w:line="276" w:lineRule="auto"/>
              <w:jc w:val="both"/>
              <w:rPr>
                <w:rFonts w:ascii="Times New Roman" w:eastAsia="Calibri" w:hAnsi="Times New Roman" w:cs="Times New Roman"/>
                <w:iCs/>
                <w:sz w:val="20"/>
              </w:rPr>
            </w:pPr>
          </w:p>
        </w:tc>
      </w:tr>
    </w:tbl>
    <w:p w14:paraId="7FE1C32F" w14:textId="77777777" w:rsidR="00414040" w:rsidRDefault="00414040">
      <w:pPr>
        <w:spacing w:line="276" w:lineRule="auto"/>
        <w:jc w:val="both"/>
        <w:rPr>
          <w:rFonts w:ascii="Times New Roman" w:eastAsia="Calibri" w:hAnsi="Times New Roman" w:cs="Times New Roman"/>
          <w:color w:val="0070C0"/>
          <w:sz w:val="20"/>
        </w:rPr>
      </w:pPr>
    </w:p>
    <w:p w14:paraId="7FE1C478" w14:textId="77777777" w:rsidR="00414040" w:rsidRDefault="00414040">
      <w:pPr>
        <w:rPr>
          <w:rFonts w:ascii="Times New Roman" w:eastAsia="Times New Roman" w:hAnsi="Times New Roman" w:cs="Times New Roman"/>
          <w:sz w:val="20"/>
          <w:szCs w:val="20"/>
          <w:u w:val="single"/>
        </w:rPr>
      </w:pPr>
    </w:p>
    <w:p w14:paraId="7FE1C479" w14:textId="77777777" w:rsidR="00414040" w:rsidRDefault="00414040">
      <w:pPr>
        <w:rPr>
          <w:rFonts w:ascii="Times New Roman" w:eastAsia="Times New Roman" w:hAnsi="Times New Roman" w:cs="Times New Roman"/>
          <w:sz w:val="20"/>
          <w:szCs w:val="20"/>
          <w:u w:val="single"/>
        </w:rPr>
      </w:pPr>
    </w:p>
    <w:p w14:paraId="7FE1C47A" w14:textId="440BF7E1" w:rsidR="00414040" w:rsidRDefault="00904E1A">
      <w:pPr>
        <w:pStyle w:val="P68B1DB1-Instructionsberschrift25"/>
        <w:numPr>
          <w:ilvl w:val="1"/>
          <w:numId w:val="49"/>
        </w:numPr>
        <w:ind w:left="357" w:hanging="357"/>
        <w:rPr>
          <w:szCs w:val="20"/>
        </w:rPr>
      </w:pPr>
      <w:bookmarkStart w:id="128" w:name="_Toc211525934"/>
      <w:r>
        <w:t>Z 08.02 — Servicios pertinentes: correspondencia con los activos operativos (SERV 2)</w:t>
      </w:r>
      <w:bookmarkEnd w:id="128"/>
    </w:p>
    <w:p w14:paraId="7FE1C47B" w14:textId="48D59A22" w:rsidR="00414040" w:rsidRDefault="00904E1A">
      <w:pPr>
        <w:pStyle w:val="P68B1DB1-Normal50"/>
        <w:spacing w:line="276" w:lineRule="auto"/>
        <w:jc w:val="both"/>
      </w:pPr>
      <w:r>
        <w:t>Instrucciones generales</w:t>
      </w:r>
    </w:p>
    <w:p w14:paraId="7FE1C47C" w14:textId="6D40E374" w:rsidR="00414040" w:rsidRDefault="00904E1A">
      <w:pPr>
        <w:pStyle w:val="P68B1DB1-Instructionsberschrift346"/>
        <w:numPr>
          <w:ilvl w:val="4"/>
          <w:numId w:val="259"/>
        </w:numPr>
        <w:contextualSpacing/>
        <w:jc w:val="both"/>
        <w:rPr>
          <w:color w:val="auto"/>
        </w:rPr>
      </w:pPr>
      <w:bookmarkStart w:id="129" w:name="_Hlk161330001"/>
      <w:r>
        <w:rPr>
          <w:color w:val="auto"/>
          <w:szCs w:val="24"/>
        </w:rPr>
        <w:t xml:space="preserve">La información incluida en esta plantilla, que se </w:t>
      </w:r>
      <w:r w:rsidR="00224098">
        <w:rPr>
          <w:color w:val="auto"/>
          <w:szCs w:val="24"/>
        </w:rPr>
        <w:t xml:space="preserve">declarará </w:t>
      </w:r>
      <w:r>
        <w:rPr>
          <w:color w:val="auto"/>
          <w:szCs w:val="24"/>
        </w:rPr>
        <w:t xml:space="preserve">una </w:t>
      </w:r>
      <w:r w:rsidR="006232A7">
        <w:rPr>
          <w:color w:val="auto"/>
          <w:szCs w:val="24"/>
        </w:rPr>
        <w:t xml:space="preserve">sola </w:t>
      </w:r>
      <w:r>
        <w:rPr>
          <w:color w:val="auto"/>
          <w:szCs w:val="24"/>
        </w:rPr>
        <w:t>vez para</w:t>
      </w:r>
      <w:r w:rsidR="00037C83">
        <w:rPr>
          <w:color w:val="auto"/>
          <w:szCs w:val="24"/>
        </w:rPr>
        <w:t xml:space="preserve"> todo</w:t>
      </w:r>
      <w:r>
        <w:rPr>
          <w:color w:val="auto"/>
          <w:szCs w:val="24"/>
        </w:rPr>
        <w:t xml:space="preserve"> el grupo, detalla los servicios </w:t>
      </w:r>
      <w:r w:rsidR="008C15E7">
        <w:rPr>
          <w:color w:val="auto"/>
          <w:szCs w:val="24"/>
        </w:rPr>
        <w:t>pertinentes</w:t>
      </w:r>
      <w:r w:rsidR="009D3DAD">
        <w:rPr>
          <w:color w:val="auto"/>
          <w:szCs w:val="24"/>
        </w:rPr>
        <w:t xml:space="preserve"> </w:t>
      </w:r>
      <w:r>
        <w:rPr>
          <w:color w:val="auto"/>
          <w:szCs w:val="24"/>
        </w:rPr>
        <w:t xml:space="preserve">recibidos por cualquier ente del grupo y los vincula con </w:t>
      </w:r>
      <w:r w:rsidR="00037C83">
        <w:rPr>
          <w:color w:val="auto"/>
          <w:szCs w:val="24"/>
        </w:rPr>
        <w:t>los activos operativos correspondiente</w:t>
      </w:r>
      <w:r w:rsidR="0009691B">
        <w:rPr>
          <w:color w:val="auto"/>
          <w:szCs w:val="24"/>
        </w:rPr>
        <w:t>s</w:t>
      </w:r>
      <w:r>
        <w:t>.</w:t>
      </w:r>
    </w:p>
    <w:p w14:paraId="7FE1C47D" w14:textId="7FD273A1" w:rsidR="00414040" w:rsidRDefault="00904E1A">
      <w:pPr>
        <w:pStyle w:val="P68B1DB1-Instructionsberschrift348"/>
        <w:numPr>
          <w:ilvl w:val="4"/>
          <w:numId w:val="49"/>
        </w:numPr>
        <w:contextualSpacing/>
        <w:jc w:val="both"/>
        <w:rPr>
          <w:color w:val="auto"/>
        </w:rPr>
      </w:pPr>
      <w:r>
        <w:t xml:space="preserve">Los valores </w:t>
      </w:r>
      <w:r w:rsidR="00430BB5">
        <w:t xml:space="preserve">declarados </w:t>
      </w:r>
      <w:r>
        <w:t>en las columnas 0010, 0020, 0030 y 0080 de esta plantilla constituyen una clave principal, que debe ser únic</w:t>
      </w:r>
      <w:r w:rsidR="00186714">
        <w:t>a</w:t>
      </w:r>
      <w:r>
        <w:t xml:space="preserve"> para cada fila de la plantilla.</w:t>
      </w:r>
    </w:p>
    <w:bookmarkEnd w:id="129"/>
    <w:p w14:paraId="7FE1C482" w14:textId="77777777" w:rsidR="00414040" w:rsidRDefault="00414040">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414040" w14:paraId="7FE1C54A" w14:textId="77777777" w:rsidTr="618604ED">
        <w:trPr>
          <w:trHeight w:val="495"/>
          <w:tblHeader/>
        </w:trPr>
        <w:tc>
          <w:tcPr>
            <w:tcW w:w="1418" w:type="dxa"/>
            <w:shd w:val="clear" w:color="auto" w:fill="E7E6E6"/>
          </w:tcPr>
          <w:p w14:paraId="7FE1C548" w14:textId="77777777" w:rsidR="00414040" w:rsidRDefault="00904E1A">
            <w:pPr>
              <w:pStyle w:val="P68B1DB1-Normal61"/>
              <w:spacing w:before="120" w:after="120" w:line="276" w:lineRule="auto"/>
            </w:pPr>
            <w:r>
              <w:t>Columnas</w:t>
            </w:r>
          </w:p>
        </w:tc>
        <w:tc>
          <w:tcPr>
            <w:tcW w:w="7791" w:type="dxa"/>
            <w:shd w:val="clear" w:color="auto" w:fill="E7E6E6"/>
          </w:tcPr>
          <w:p w14:paraId="7FE1C549" w14:textId="77777777" w:rsidR="00414040" w:rsidRDefault="00904E1A">
            <w:pPr>
              <w:pStyle w:val="P68B1DB1-Normal61"/>
              <w:spacing w:before="120" w:after="120" w:line="276" w:lineRule="auto"/>
            </w:pPr>
            <w:r>
              <w:t>Instrucciones</w:t>
            </w:r>
          </w:p>
        </w:tc>
      </w:tr>
      <w:tr w:rsidR="00414040" w14:paraId="7FE1C550" w14:textId="77777777" w:rsidTr="618604ED">
        <w:trPr>
          <w:trHeight w:val="450"/>
        </w:trPr>
        <w:tc>
          <w:tcPr>
            <w:tcW w:w="1418" w:type="dxa"/>
            <w:shd w:val="clear" w:color="auto" w:fill="FFFFFF" w:themeFill="background1"/>
          </w:tcPr>
          <w:p w14:paraId="7FE1C54B" w14:textId="77777777" w:rsidR="00414040" w:rsidRDefault="00904E1A">
            <w:pPr>
              <w:pStyle w:val="P68B1DB1-Normal62"/>
              <w:spacing w:before="120" w:after="120" w:line="276" w:lineRule="auto"/>
            </w:pPr>
            <w:r>
              <w:t>0005</w:t>
            </w:r>
          </w:p>
        </w:tc>
        <w:tc>
          <w:tcPr>
            <w:tcW w:w="7791" w:type="dxa"/>
            <w:shd w:val="clear" w:color="auto" w:fill="FFFFFF" w:themeFill="background1"/>
          </w:tcPr>
          <w:p w14:paraId="7FE1C54C" w14:textId="4D737DEF" w:rsidR="00414040" w:rsidRDefault="00904E1A">
            <w:pPr>
              <w:pStyle w:val="P68B1DB1-Normal61"/>
              <w:spacing w:before="120" w:after="120" w:line="276" w:lineRule="auto"/>
            </w:pPr>
            <w:r w:rsidRPr="2133F407">
              <w:rPr>
                <w:lang w:val="es-ES"/>
              </w:rPr>
              <w:t>Identificador del servicio</w:t>
            </w:r>
          </w:p>
          <w:p w14:paraId="7FE1C54D" w14:textId="0DE05196" w:rsidR="00414040" w:rsidRDefault="00904E1A">
            <w:pPr>
              <w:pStyle w:val="P68B1DB1-Normal62"/>
              <w:spacing w:before="120" w:after="120" w:line="276" w:lineRule="auto"/>
            </w:pPr>
            <w:r>
              <w:t xml:space="preserve">Utilícese el identificador de servicio </w:t>
            </w:r>
            <w:r w:rsidR="7C5D5D18">
              <w:t>comunicado</w:t>
            </w:r>
            <w:r>
              <w:t xml:space="preserve"> en Z 08.01 (SERV 1).</w:t>
            </w:r>
          </w:p>
          <w:p w14:paraId="7FE1C54E" w14:textId="71A68F93" w:rsidR="00414040" w:rsidRDefault="00904E1A">
            <w:pPr>
              <w:pStyle w:val="P68B1DB1-Normal62"/>
              <w:spacing w:before="120" w:after="120" w:line="276" w:lineRule="auto"/>
            </w:pPr>
            <w:r>
              <w:t>El identificador de</w:t>
            </w:r>
            <w:r w:rsidR="399FF000">
              <w:t>l</w:t>
            </w:r>
            <w:r>
              <w:t xml:space="preserve"> servicio se refiere al servicio </w:t>
            </w:r>
            <w:r w:rsidR="002C7ABB">
              <w:t xml:space="preserve">declarado </w:t>
            </w:r>
            <w:r>
              <w:t>en c0020.</w:t>
            </w:r>
          </w:p>
          <w:p w14:paraId="7FE1C54F" w14:textId="77777777" w:rsidR="00414040" w:rsidRDefault="00414040">
            <w:pPr>
              <w:spacing w:before="120" w:after="120" w:line="276" w:lineRule="auto"/>
              <w:rPr>
                <w:rFonts w:ascii="Times New Roman" w:hAnsi="Times New Roman"/>
                <w:i/>
                <w:sz w:val="20"/>
                <w:szCs w:val="20"/>
              </w:rPr>
            </w:pPr>
          </w:p>
        </w:tc>
      </w:tr>
      <w:tr w:rsidR="00414040" w14:paraId="7FE1C594" w14:textId="77777777" w:rsidTr="618604ED">
        <w:trPr>
          <w:trHeight w:val="450"/>
        </w:trPr>
        <w:tc>
          <w:tcPr>
            <w:tcW w:w="1418" w:type="dxa"/>
            <w:shd w:val="clear" w:color="auto" w:fill="FFFFFF" w:themeFill="background1"/>
          </w:tcPr>
          <w:p w14:paraId="7FE1C551" w14:textId="77777777" w:rsidR="00414040" w:rsidRDefault="00904E1A">
            <w:pPr>
              <w:pStyle w:val="P68B1DB1-Normal62"/>
              <w:spacing w:before="120" w:after="120" w:line="276" w:lineRule="auto"/>
            </w:pPr>
            <w:r>
              <w:t>0010</w:t>
            </w:r>
          </w:p>
        </w:tc>
        <w:tc>
          <w:tcPr>
            <w:tcW w:w="7791" w:type="dxa"/>
            <w:shd w:val="clear" w:color="auto" w:fill="FFFFFF" w:themeFill="background1"/>
          </w:tcPr>
          <w:p w14:paraId="7FE1C552" w14:textId="77777777" w:rsidR="00414040" w:rsidRDefault="00904E1A">
            <w:pPr>
              <w:pStyle w:val="P68B1DB1-Normal61"/>
              <w:autoSpaceDE w:val="0"/>
              <w:autoSpaceDN w:val="0"/>
              <w:adjustRightInd w:val="0"/>
              <w:rPr>
                <w:rFonts w:eastAsia="MS Mincho"/>
              </w:rPr>
            </w:pPr>
            <w:r>
              <w:t xml:space="preserve">Tipo de servicio </w:t>
            </w:r>
          </w:p>
          <w:p w14:paraId="7FE1C57A" w14:textId="1DDF016D" w:rsidR="00414040" w:rsidRDefault="00904E1A">
            <w:pPr>
              <w:pStyle w:val="P68B1DB1-Normal63"/>
              <w:autoSpaceDE w:val="0"/>
              <w:autoSpaceDN w:val="0"/>
              <w:adjustRightInd w:val="0"/>
              <w:rPr>
                <w:lang w:val="es-ES"/>
              </w:rPr>
            </w:pPr>
            <w:r w:rsidRPr="2133F407">
              <w:rPr>
                <w:lang w:val="es-ES"/>
              </w:rPr>
              <w:t>El tipo de servicio será uno de los tipos de servicios enumerados en Z 08.01 0010.</w:t>
            </w:r>
          </w:p>
          <w:p w14:paraId="7FE1C593" w14:textId="77777777" w:rsidR="00414040" w:rsidRDefault="00414040">
            <w:pPr>
              <w:autoSpaceDE w:val="0"/>
              <w:autoSpaceDN w:val="0"/>
              <w:adjustRightInd w:val="0"/>
              <w:rPr>
                <w:rFonts w:ascii="Times New Roman" w:hAnsi="Times New Roman"/>
                <w:sz w:val="20"/>
                <w:szCs w:val="20"/>
              </w:rPr>
            </w:pPr>
          </w:p>
        </w:tc>
      </w:tr>
      <w:tr w:rsidR="00414040" w14:paraId="7FE1C599" w14:textId="77777777" w:rsidTr="618604ED">
        <w:trPr>
          <w:trHeight w:val="450"/>
        </w:trPr>
        <w:tc>
          <w:tcPr>
            <w:tcW w:w="1418" w:type="dxa"/>
            <w:shd w:val="clear" w:color="auto" w:fill="FFFFFF" w:themeFill="background1"/>
          </w:tcPr>
          <w:p w14:paraId="7FE1C595" w14:textId="77777777" w:rsidR="00414040" w:rsidRDefault="00904E1A">
            <w:pPr>
              <w:pStyle w:val="P68B1DB1-Normal62"/>
              <w:spacing w:before="120" w:after="120" w:line="276" w:lineRule="auto"/>
            </w:pPr>
            <w:r>
              <w:t>0020</w:t>
            </w:r>
          </w:p>
        </w:tc>
        <w:tc>
          <w:tcPr>
            <w:tcW w:w="7791" w:type="dxa"/>
            <w:shd w:val="clear" w:color="auto" w:fill="FFFFFF" w:themeFill="background1"/>
          </w:tcPr>
          <w:p w14:paraId="7FE1C596" w14:textId="0F46725D" w:rsidR="00414040" w:rsidRDefault="00904E1A">
            <w:pPr>
              <w:pStyle w:val="P68B1DB1-Normal61"/>
              <w:spacing w:line="276" w:lineRule="auto"/>
              <w:jc w:val="both"/>
              <w:rPr>
                <w:bCs/>
              </w:rPr>
            </w:pPr>
            <w:r>
              <w:t xml:space="preserve">Título </w:t>
            </w:r>
            <w:r w:rsidR="009F769A">
              <w:t xml:space="preserve">único </w:t>
            </w:r>
            <w:r>
              <w:t>de</w:t>
            </w:r>
            <w:r w:rsidR="009F769A">
              <w:t>l</w:t>
            </w:r>
            <w:r>
              <w:t xml:space="preserve"> servicio con arreglo a la taxonomía bancaria </w:t>
            </w:r>
          </w:p>
          <w:p w14:paraId="7FE1C597" w14:textId="548F3537" w:rsidR="00414040" w:rsidRDefault="00904E1A">
            <w:pPr>
              <w:pStyle w:val="P68B1DB1-Normal64"/>
              <w:rPr>
                <w:rFonts w:eastAsiaTheme="minorHAnsi"/>
                <w:sz w:val="24"/>
              </w:rPr>
            </w:pPr>
            <w:r>
              <w:t>Nombre/breve descripción del servicio con arreglo a la</w:t>
            </w:r>
            <w:r w:rsidR="00E32CDC">
              <w:t xml:space="preserve"> jerarquía de la</w:t>
            </w:r>
            <w:r>
              <w:t xml:space="preserve"> taxonomía del banco (nivel 3), tal como se </w:t>
            </w:r>
            <w:r w:rsidR="00724531">
              <w:t xml:space="preserve">declara </w:t>
            </w:r>
            <w:r>
              <w:t>en la columna</w:t>
            </w:r>
            <w:r w:rsidR="00724531">
              <w:t xml:space="preserve"> 0020</w:t>
            </w:r>
            <w:r>
              <w:t xml:space="preserve"> </w:t>
            </w:r>
            <w:r w:rsidR="00443C9F">
              <w:t xml:space="preserve">de </w:t>
            </w:r>
            <w:r w:rsidR="00724531">
              <w:t xml:space="preserve">Z </w:t>
            </w:r>
            <w:r>
              <w:t xml:space="preserve">08.01 (SERV </w:t>
            </w:r>
            <w:r w:rsidR="00D66F0F">
              <w:t>1</w:t>
            </w:r>
            <w:r>
              <w:t xml:space="preserve">). Se espera que el banco </w:t>
            </w:r>
            <w:r w:rsidR="004738BF">
              <w:t>informe</w:t>
            </w:r>
            <w:r w:rsidR="00D66F0F">
              <w:t xml:space="preserve"> </w:t>
            </w:r>
            <w:r>
              <w:t xml:space="preserve">los servicios a un nivel más detallado que la información </w:t>
            </w:r>
            <w:r w:rsidR="00BC1FC5">
              <w:t>declarada d</w:t>
            </w:r>
            <w:r>
              <w:t>el nivel 2 (c0010), de modo que cada servicio concreto se defina de manera precisa y específica.</w:t>
            </w:r>
          </w:p>
          <w:p w14:paraId="7FE1C598" w14:textId="77777777" w:rsidR="00414040" w:rsidRDefault="00414040">
            <w:pPr>
              <w:spacing w:before="120" w:after="120" w:line="276" w:lineRule="auto"/>
              <w:rPr>
                <w:rFonts w:ascii="Times New Roman" w:hAnsi="Times New Roman"/>
                <w:sz w:val="20"/>
                <w:szCs w:val="20"/>
              </w:rPr>
            </w:pPr>
          </w:p>
        </w:tc>
      </w:tr>
      <w:tr w:rsidR="00414040" w14:paraId="7FE1C59E" w14:textId="77777777" w:rsidTr="618604ED">
        <w:trPr>
          <w:trHeight w:val="450"/>
        </w:trPr>
        <w:tc>
          <w:tcPr>
            <w:tcW w:w="1418" w:type="dxa"/>
            <w:shd w:val="clear" w:color="auto" w:fill="FFFFFF" w:themeFill="background1"/>
          </w:tcPr>
          <w:p w14:paraId="7FE1C59A" w14:textId="77777777" w:rsidR="00414040" w:rsidRDefault="00904E1A">
            <w:pPr>
              <w:pStyle w:val="P68B1DB1-Normal62"/>
              <w:spacing w:before="120" w:after="120" w:line="276" w:lineRule="auto"/>
            </w:pPr>
            <w:r>
              <w:t>0030</w:t>
            </w:r>
          </w:p>
        </w:tc>
        <w:tc>
          <w:tcPr>
            <w:tcW w:w="7791" w:type="dxa"/>
            <w:shd w:val="clear" w:color="auto" w:fill="FFFFFF" w:themeFill="background1"/>
          </w:tcPr>
          <w:p w14:paraId="7FE1C59B" w14:textId="77777777" w:rsidR="00414040" w:rsidRDefault="00904E1A">
            <w:pPr>
              <w:pStyle w:val="P68B1DB1-Normal61"/>
              <w:spacing w:before="120" w:after="120" w:line="276" w:lineRule="auto"/>
              <w:rPr>
                <w:bCs/>
              </w:rPr>
            </w:pPr>
            <w:r>
              <w:t>Identificador del activo</w:t>
            </w:r>
          </w:p>
          <w:p w14:paraId="7FE1C59C" w14:textId="14F97200" w:rsidR="00414040" w:rsidRDefault="00904E1A">
            <w:pPr>
              <w:pStyle w:val="P68B1DB1-Normal64"/>
              <w:spacing w:line="276" w:lineRule="auto"/>
              <w:jc w:val="both"/>
            </w:pPr>
            <w:r>
              <w:t xml:space="preserve">El identificador del activo se refiere al activo </w:t>
            </w:r>
            <w:r w:rsidR="00937A3F">
              <w:t xml:space="preserve">declarado </w:t>
            </w:r>
            <w:r>
              <w:t>en c0050.</w:t>
            </w:r>
          </w:p>
          <w:p w14:paraId="7FE1C59D" w14:textId="77777777" w:rsidR="00414040" w:rsidRDefault="00414040">
            <w:pPr>
              <w:spacing w:before="120" w:after="120" w:line="276" w:lineRule="auto"/>
              <w:rPr>
                <w:rFonts w:ascii="Times New Roman" w:hAnsi="Times New Roman"/>
                <w:sz w:val="20"/>
                <w:szCs w:val="20"/>
              </w:rPr>
            </w:pPr>
          </w:p>
        </w:tc>
      </w:tr>
      <w:tr w:rsidR="00414040" w14:paraId="7FE1C5AD" w14:textId="77777777" w:rsidTr="618604ED">
        <w:trPr>
          <w:trHeight w:val="450"/>
        </w:trPr>
        <w:tc>
          <w:tcPr>
            <w:tcW w:w="1418" w:type="dxa"/>
            <w:shd w:val="clear" w:color="auto" w:fill="FFFFFF" w:themeFill="background1"/>
          </w:tcPr>
          <w:p w14:paraId="7FE1C59F" w14:textId="77777777" w:rsidR="00414040" w:rsidRDefault="00904E1A">
            <w:pPr>
              <w:pStyle w:val="P68B1DB1-Normal62"/>
              <w:spacing w:before="120" w:after="120" w:line="276" w:lineRule="auto"/>
            </w:pPr>
            <w:r>
              <w:lastRenderedPageBreak/>
              <w:t>0040</w:t>
            </w:r>
          </w:p>
        </w:tc>
        <w:tc>
          <w:tcPr>
            <w:tcW w:w="7791" w:type="dxa"/>
            <w:shd w:val="clear" w:color="auto" w:fill="FFFFFF" w:themeFill="background1"/>
          </w:tcPr>
          <w:p w14:paraId="7FE1C5A0" w14:textId="77777777" w:rsidR="00414040" w:rsidRDefault="00904E1A">
            <w:pPr>
              <w:pStyle w:val="P68B1DB1-Normal64"/>
              <w:spacing w:line="276" w:lineRule="auto"/>
              <w:jc w:val="both"/>
            </w:pPr>
            <w:r>
              <w:rPr>
                <w:b/>
                <w:szCs w:val="20"/>
              </w:rPr>
              <w:t>Tipo de activo</w:t>
            </w:r>
            <w:r>
              <w:t xml:space="preserve"> </w:t>
            </w:r>
          </w:p>
          <w:p w14:paraId="7FE1C5A1" w14:textId="01573058" w:rsidR="00414040" w:rsidRDefault="00904E1A">
            <w:pPr>
              <w:pStyle w:val="P68B1DB1-Normal64"/>
              <w:spacing w:line="276" w:lineRule="auto"/>
              <w:jc w:val="both"/>
            </w:pPr>
            <w:r>
              <w:t xml:space="preserve">— Equipos informáticos y de comunicaciones </w:t>
            </w:r>
          </w:p>
          <w:p w14:paraId="7FE1C5A2" w14:textId="77777777" w:rsidR="00414040" w:rsidRDefault="00414040">
            <w:pPr>
              <w:spacing w:line="276" w:lineRule="auto"/>
              <w:rPr>
                <w:rFonts w:ascii="Times New Roman" w:hAnsi="Times New Roman"/>
                <w:sz w:val="20"/>
              </w:rPr>
            </w:pPr>
          </w:p>
          <w:p w14:paraId="7FE1C5A3" w14:textId="40971682" w:rsidR="00414040" w:rsidRDefault="00904E1A">
            <w:pPr>
              <w:pStyle w:val="P68B1DB1-Normal64"/>
              <w:spacing w:line="276" w:lineRule="auto"/>
            </w:pPr>
            <w:r>
              <w:t xml:space="preserve">— Otras infraestructuras informáticas (como estaciones de trabajo, telecomunicaciones, servidores, centros de datos y </w:t>
            </w:r>
            <w:r w:rsidR="00EC2833">
              <w:t>servicios relacionados</w:t>
            </w:r>
            <w:r>
              <w:t>)</w:t>
            </w:r>
          </w:p>
          <w:p w14:paraId="7FE1C5A4" w14:textId="77777777" w:rsidR="00414040" w:rsidRDefault="00414040">
            <w:pPr>
              <w:spacing w:line="276" w:lineRule="auto"/>
              <w:rPr>
                <w:rFonts w:ascii="Times New Roman" w:hAnsi="Times New Roman"/>
                <w:sz w:val="20"/>
              </w:rPr>
            </w:pPr>
          </w:p>
          <w:p w14:paraId="7FE1C5A5" w14:textId="7F474F04" w:rsidR="00414040" w:rsidRDefault="00904E1A">
            <w:pPr>
              <w:pStyle w:val="P68B1DB1-Normal64"/>
              <w:spacing w:line="276" w:lineRule="auto"/>
            </w:pPr>
            <w:r>
              <w:t xml:space="preserve">— </w:t>
            </w:r>
            <w:r w:rsidR="002142EB">
              <w:t xml:space="preserve">Locales </w:t>
            </w:r>
            <w:r>
              <w:t xml:space="preserve">de oficinas y almacenamiento </w:t>
            </w:r>
          </w:p>
          <w:p w14:paraId="7FE1C5A6" w14:textId="77777777" w:rsidR="00414040" w:rsidRDefault="00414040">
            <w:pPr>
              <w:spacing w:line="276" w:lineRule="auto"/>
              <w:rPr>
                <w:rFonts w:ascii="Times New Roman" w:hAnsi="Times New Roman"/>
                <w:sz w:val="20"/>
              </w:rPr>
            </w:pPr>
          </w:p>
          <w:p w14:paraId="7FE1C5A7" w14:textId="6AE114A0" w:rsidR="00414040" w:rsidRDefault="006B282C">
            <w:pPr>
              <w:pStyle w:val="P68B1DB1-Normal64"/>
              <w:spacing w:line="276" w:lineRule="auto"/>
            </w:pPr>
            <w:r>
              <w:t xml:space="preserve">— </w:t>
            </w:r>
            <w:r w:rsidR="00904E1A">
              <w:t>Propiedad intelectual (patentes, marcas comerciales, etc.)</w:t>
            </w:r>
          </w:p>
          <w:p w14:paraId="7FE1C5A8" w14:textId="77777777" w:rsidR="00414040" w:rsidRDefault="00414040">
            <w:pPr>
              <w:spacing w:line="276" w:lineRule="auto"/>
              <w:rPr>
                <w:rFonts w:ascii="Times New Roman" w:hAnsi="Times New Roman"/>
                <w:sz w:val="20"/>
              </w:rPr>
            </w:pPr>
          </w:p>
          <w:p w14:paraId="7FE1C5A9" w14:textId="6DAF4BD4" w:rsidR="00414040" w:rsidRDefault="00904E1A">
            <w:pPr>
              <w:pStyle w:val="P68B1DB1-Normal64"/>
              <w:spacing w:line="276" w:lineRule="auto"/>
            </w:pPr>
            <w:r>
              <w:t xml:space="preserve"> — Dispositivos de autoservicio en sucursales</w:t>
            </w:r>
            <w:r w:rsidR="00781875">
              <w:t xml:space="preserve"> </w:t>
            </w:r>
            <w:r w:rsidR="006B282C">
              <w:t>y</w:t>
            </w:r>
            <w:r>
              <w:t xml:space="preserve"> cajeros automáticos</w:t>
            </w:r>
          </w:p>
          <w:p w14:paraId="7FE1C5AA" w14:textId="77777777" w:rsidR="00414040" w:rsidRDefault="00414040">
            <w:pPr>
              <w:spacing w:line="276" w:lineRule="auto"/>
              <w:rPr>
                <w:rFonts w:ascii="Times New Roman" w:hAnsi="Times New Roman"/>
                <w:sz w:val="20"/>
              </w:rPr>
            </w:pPr>
          </w:p>
          <w:p w14:paraId="7FE1C5AB" w14:textId="07413E54" w:rsidR="00414040" w:rsidRDefault="00904E1A">
            <w:pPr>
              <w:pStyle w:val="P68B1DB1-Normal62"/>
              <w:spacing w:line="276" w:lineRule="auto"/>
              <w:jc w:val="both"/>
              <w:rPr>
                <w:b/>
              </w:rPr>
            </w:pPr>
            <w:r>
              <w:t>— Otro tipo de activo</w:t>
            </w:r>
          </w:p>
          <w:p w14:paraId="7FE1C5AC" w14:textId="77777777" w:rsidR="00414040" w:rsidRDefault="00414040">
            <w:pPr>
              <w:spacing w:line="276" w:lineRule="auto"/>
              <w:jc w:val="both"/>
              <w:rPr>
                <w:rFonts w:ascii="Times New Roman" w:hAnsi="Times New Roman"/>
                <w:sz w:val="20"/>
              </w:rPr>
            </w:pPr>
          </w:p>
        </w:tc>
      </w:tr>
      <w:tr w:rsidR="00414040" w14:paraId="7FE1C5B2" w14:textId="77777777" w:rsidTr="618604ED">
        <w:trPr>
          <w:trHeight w:val="450"/>
        </w:trPr>
        <w:tc>
          <w:tcPr>
            <w:tcW w:w="1418" w:type="dxa"/>
            <w:shd w:val="clear" w:color="auto" w:fill="FFFFFF" w:themeFill="background1"/>
          </w:tcPr>
          <w:p w14:paraId="7FE1C5AE" w14:textId="77777777" w:rsidR="00414040" w:rsidRDefault="00904E1A">
            <w:pPr>
              <w:pStyle w:val="P68B1DB1-Normal62"/>
              <w:spacing w:before="120" w:after="120" w:line="276" w:lineRule="auto"/>
            </w:pPr>
            <w:r>
              <w:t>0050</w:t>
            </w:r>
          </w:p>
        </w:tc>
        <w:tc>
          <w:tcPr>
            <w:tcW w:w="7791" w:type="dxa"/>
            <w:shd w:val="clear" w:color="auto" w:fill="FFFFFF" w:themeFill="background1"/>
          </w:tcPr>
          <w:p w14:paraId="7FE1C5AF" w14:textId="77777777" w:rsidR="00414040" w:rsidRDefault="00904E1A">
            <w:pPr>
              <w:pStyle w:val="P68B1DB1-Normal61"/>
              <w:spacing w:line="276" w:lineRule="auto"/>
              <w:jc w:val="both"/>
            </w:pPr>
            <w:r>
              <w:t xml:space="preserve">Nombre del activo </w:t>
            </w:r>
          </w:p>
          <w:p w14:paraId="7FE1C5B0" w14:textId="77777777" w:rsidR="00414040" w:rsidRDefault="00904E1A">
            <w:pPr>
              <w:pStyle w:val="P68B1DB1-Normal64"/>
              <w:spacing w:line="276" w:lineRule="auto"/>
              <w:jc w:val="both"/>
            </w:pPr>
            <w:r>
              <w:t>Nombre comercial o interno del activo.</w:t>
            </w:r>
          </w:p>
          <w:p w14:paraId="7FE1C5B1" w14:textId="77777777" w:rsidR="00414040" w:rsidRDefault="00414040">
            <w:pPr>
              <w:spacing w:line="276" w:lineRule="auto"/>
              <w:jc w:val="both"/>
              <w:rPr>
                <w:rFonts w:ascii="Times New Roman" w:hAnsi="Times New Roman"/>
                <w:sz w:val="20"/>
              </w:rPr>
            </w:pPr>
          </w:p>
        </w:tc>
      </w:tr>
      <w:tr w:rsidR="00414040" w14:paraId="7FE1C5BA" w14:textId="77777777" w:rsidTr="618604ED">
        <w:trPr>
          <w:trHeight w:val="450"/>
        </w:trPr>
        <w:tc>
          <w:tcPr>
            <w:tcW w:w="1418" w:type="dxa"/>
            <w:shd w:val="clear" w:color="auto" w:fill="FFFFFF" w:themeFill="background1"/>
          </w:tcPr>
          <w:p w14:paraId="7FE1C5B3" w14:textId="77777777" w:rsidR="00414040" w:rsidRDefault="00904E1A">
            <w:pPr>
              <w:pStyle w:val="P68B1DB1-Normal62"/>
              <w:spacing w:before="120" w:after="120" w:line="276" w:lineRule="auto"/>
            </w:pPr>
            <w:r>
              <w:t>0060</w:t>
            </w:r>
          </w:p>
        </w:tc>
        <w:tc>
          <w:tcPr>
            <w:tcW w:w="7791" w:type="dxa"/>
            <w:shd w:val="clear" w:color="auto" w:fill="FFFFFF" w:themeFill="background1"/>
          </w:tcPr>
          <w:p w14:paraId="7FE1C5B4" w14:textId="1C61380F" w:rsidR="00414040" w:rsidRDefault="002C20C1">
            <w:pPr>
              <w:pStyle w:val="P68B1DB1-Normal65"/>
              <w:spacing w:line="276" w:lineRule="auto"/>
              <w:jc w:val="both"/>
              <w:rPr>
                <w:iCs/>
              </w:rPr>
            </w:pPr>
            <w:r>
              <w:t xml:space="preserve">Carácter </w:t>
            </w:r>
            <w:r w:rsidRPr="00D04CC1">
              <w:t>esencial</w:t>
            </w:r>
          </w:p>
          <w:p w14:paraId="7FE1C5B5" w14:textId="58B06898" w:rsidR="00414040" w:rsidRDefault="00904E1A">
            <w:pPr>
              <w:pStyle w:val="P68B1DB1-Normal64"/>
              <w:spacing w:line="276" w:lineRule="auto"/>
              <w:jc w:val="both"/>
              <w:rPr>
                <w:iCs/>
              </w:rPr>
            </w:pPr>
            <w:r>
              <w:t xml:space="preserve">Se indicará uno de los siguientes </w:t>
            </w:r>
            <w:proofErr w:type="gramStart"/>
            <w:r w:rsidR="0B458BA1">
              <w:t xml:space="preserve">valores </w:t>
            </w:r>
            <w:r>
              <w:t>:</w:t>
            </w:r>
            <w:proofErr w:type="gramEnd"/>
          </w:p>
          <w:p w14:paraId="7FE1C5B6" w14:textId="3C4F26A9" w:rsidR="00414040" w:rsidRDefault="00781875">
            <w:pPr>
              <w:pStyle w:val="P68B1DB1-ListParagraph58"/>
              <w:numPr>
                <w:ilvl w:val="0"/>
                <w:numId w:val="236"/>
              </w:numPr>
              <w:spacing w:line="276" w:lineRule="auto"/>
              <w:contextualSpacing/>
              <w:jc w:val="both"/>
              <w:rPr>
                <w:iCs/>
              </w:rPr>
            </w:pPr>
            <w:r>
              <w:t>Esencial</w:t>
            </w:r>
            <w:r w:rsidR="00904E1A">
              <w:t>: si el servicio es necesario para el desempeño de una o varias funciones esenciales cuya discontinuidad obstaculizaría</w:t>
            </w:r>
            <w:r w:rsidR="00827F43">
              <w:t xml:space="preserve"> gravemente</w:t>
            </w:r>
            <w:r w:rsidR="00904E1A">
              <w:t xml:space="preserve"> o impediría el desempeño de dichas funciones esenciales.</w:t>
            </w:r>
          </w:p>
          <w:p w14:paraId="7FE1C5B7" w14:textId="43541250" w:rsidR="00414040" w:rsidRDefault="00781875">
            <w:pPr>
              <w:pStyle w:val="P68B1DB1-ListParagraph58"/>
              <w:numPr>
                <w:ilvl w:val="0"/>
                <w:numId w:val="236"/>
              </w:numPr>
              <w:spacing w:line="276" w:lineRule="auto"/>
              <w:contextualSpacing/>
              <w:jc w:val="both"/>
              <w:rPr>
                <w:iCs/>
              </w:rPr>
            </w:pPr>
            <w:r>
              <w:t>Principal</w:t>
            </w:r>
            <w:r w:rsidR="00904E1A">
              <w:t>: si el servicio está asociado a ramas de actividad principales, cuya continuidad es necesaria para la ejecución efectiva de la estrategia de resolución y cualquier reestructuración consiguiente.</w:t>
            </w:r>
          </w:p>
          <w:p w14:paraId="7FE1C5B8" w14:textId="7D9622FC" w:rsidR="00414040" w:rsidRDefault="00781875">
            <w:pPr>
              <w:pStyle w:val="P68B1DB1-ListParagraph58"/>
              <w:numPr>
                <w:ilvl w:val="0"/>
                <w:numId w:val="236"/>
              </w:numPr>
              <w:spacing w:line="276" w:lineRule="auto"/>
              <w:contextualSpacing/>
              <w:jc w:val="both"/>
              <w:rPr>
                <w:iCs/>
              </w:rPr>
            </w:pPr>
            <w:r>
              <w:t xml:space="preserve">Esencial </w:t>
            </w:r>
            <w:r w:rsidR="00904E1A">
              <w:t xml:space="preserve">y </w:t>
            </w:r>
            <w:r w:rsidR="000D7D8D">
              <w:t>principal</w:t>
            </w:r>
          </w:p>
          <w:p w14:paraId="7FE1C5B9" w14:textId="77777777" w:rsidR="00414040" w:rsidRPr="00210421" w:rsidRDefault="00414040">
            <w:pPr>
              <w:spacing w:line="276" w:lineRule="auto"/>
              <w:jc w:val="both"/>
              <w:rPr>
                <w:rFonts w:ascii="Times New Roman" w:hAnsi="Times New Roman"/>
                <w:b/>
                <w:sz w:val="20"/>
                <w:szCs w:val="20"/>
              </w:rPr>
            </w:pPr>
          </w:p>
        </w:tc>
      </w:tr>
      <w:tr w:rsidR="00414040" w14:paraId="7FE1C5C3" w14:textId="77777777" w:rsidTr="618604ED">
        <w:trPr>
          <w:trHeight w:val="450"/>
        </w:trPr>
        <w:tc>
          <w:tcPr>
            <w:tcW w:w="1418" w:type="dxa"/>
            <w:shd w:val="clear" w:color="auto" w:fill="FFFFFF" w:themeFill="background1"/>
          </w:tcPr>
          <w:p w14:paraId="7FE1C5BB" w14:textId="77777777" w:rsidR="00414040" w:rsidRDefault="00904E1A">
            <w:pPr>
              <w:pStyle w:val="P68B1DB1-Normal62"/>
              <w:spacing w:before="120" w:after="120" w:line="276" w:lineRule="auto"/>
            </w:pPr>
            <w:r>
              <w:t>0070</w:t>
            </w:r>
          </w:p>
        </w:tc>
        <w:tc>
          <w:tcPr>
            <w:tcW w:w="7791" w:type="dxa"/>
            <w:shd w:val="clear" w:color="auto" w:fill="FFFFFF" w:themeFill="background1"/>
          </w:tcPr>
          <w:p w14:paraId="7FE1C5BC" w14:textId="77777777" w:rsidR="00414040" w:rsidRDefault="00904E1A">
            <w:pPr>
              <w:pStyle w:val="P68B1DB1-Normal64"/>
              <w:spacing w:line="276" w:lineRule="auto"/>
              <w:jc w:val="both"/>
              <w:rPr>
                <w:iCs/>
              </w:rPr>
            </w:pPr>
            <w:r>
              <w:rPr>
                <w:b/>
                <w:szCs w:val="20"/>
              </w:rPr>
              <w:t>Tipo de convenio/contrato</w:t>
            </w:r>
            <w:r>
              <w:t xml:space="preserve"> </w:t>
            </w:r>
          </w:p>
          <w:p w14:paraId="7FE1C5BD" w14:textId="77777777" w:rsidR="00414040" w:rsidRDefault="00904E1A">
            <w:pPr>
              <w:pStyle w:val="P68B1DB1-Normal64"/>
              <w:spacing w:line="276" w:lineRule="auto"/>
              <w:jc w:val="both"/>
              <w:rPr>
                <w:iCs/>
              </w:rPr>
            </w:pPr>
            <w:r>
              <w:t>Se indicará uno de los siguientes tipos:</w:t>
            </w:r>
          </w:p>
          <w:p w14:paraId="7FE1C5BE" w14:textId="77777777" w:rsidR="00414040" w:rsidRDefault="00904E1A">
            <w:pPr>
              <w:pStyle w:val="P68B1DB1-Normal66"/>
              <w:numPr>
                <w:ilvl w:val="0"/>
                <w:numId w:val="236"/>
              </w:numPr>
              <w:contextualSpacing/>
              <w:jc w:val="both"/>
            </w:pPr>
            <w:r>
              <w:t>Propiedad</w:t>
            </w:r>
          </w:p>
          <w:p w14:paraId="7FE1C5BF" w14:textId="03C921A6" w:rsidR="00414040" w:rsidRDefault="00904E1A">
            <w:pPr>
              <w:pStyle w:val="P68B1DB1-Normal66"/>
              <w:numPr>
                <w:ilvl w:val="0"/>
                <w:numId w:val="236"/>
              </w:numPr>
              <w:contextualSpacing/>
              <w:jc w:val="both"/>
            </w:pPr>
            <w:r>
              <w:t>Arrendado</w:t>
            </w:r>
          </w:p>
          <w:p w14:paraId="7FE1C5C0" w14:textId="561C99C5" w:rsidR="00414040" w:rsidRDefault="00904E1A">
            <w:pPr>
              <w:pStyle w:val="P68B1DB1-Normal66"/>
              <w:numPr>
                <w:ilvl w:val="0"/>
                <w:numId w:val="236"/>
              </w:numPr>
              <w:contextualSpacing/>
              <w:jc w:val="both"/>
            </w:pPr>
            <w:r w:rsidRPr="1AF63606">
              <w:rPr>
                <w:lang w:val="es-ES"/>
              </w:rPr>
              <w:t>Licencia</w:t>
            </w:r>
          </w:p>
          <w:p w14:paraId="7FE1C5C1" w14:textId="22440AD0" w:rsidR="00414040" w:rsidRDefault="00904E1A">
            <w:pPr>
              <w:pStyle w:val="P68B1DB1-Normal66"/>
              <w:numPr>
                <w:ilvl w:val="0"/>
                <w:numId w:val="236"/>
              </w:numPr>
              <w:contextualSpacing/>
              <w:jc w:val="both"/>
            </w:pPr>
            <w:r>
              <w:t xml:space="preserve">Otro tipo </w:t>
            </w:r>
            <w:r w:rsidR="00723BA6">
              <w:t>legal/contractual</w:t>
            </w:r>
          </w:p>
          <w:p w14:paraId="7FE1C5C2" w14:textId="77777777" w:rsidR="00414040" w:rsidRDefault="00414040">
            <w:pPr>
              <w:spacing w:line="276" w:lineRule="auto"/>
              <w:jc w:val="both"/>
              <w:rPr>
                <w:rFonts w:ascii="Times New Roman" w:hAnsi="Times New Roman"/>
                <w:sz w:val="20"/>
              </w:rPr>
            </w:pPr>
          </w:p>
        </w:tc>
      </w:tr>
      <w:tr w:rsidR="00414040" w14:paraId="7FE1C5C9" w14:textId="77777777" w:rsidTr="618604ED">
        <w:trPr>
          <w:trHeight w:val="450"/>
        </w:trPr>
        <w:tc>
          <w:tcPr>
            <w:tcW w:w="1418" w:type="dxa"/>
            <w:shd w:val="clear" w:color="auto" w:fill="FFFFFF" w:themeFill="background1"/>
          </w:tcPr>
          <w:p w14:paraId="7FE1C5C4" w14:textId="77777777" w:rsidR="00414040" w:rsidRDefault="00904E1A">
            <w:pPr>
              <w:pStyle w:val="P68B1DB1-Normal62"/>
              <w:spacing w:before="120" w:after="120" w:line="276" w:lineRule="auto"/>
            </w:pPr>
            <w:r>
              <w:t>0080</w:t>
            </w:r>
          </w:p>
        </w:tc>
        <w:tc>
          <w:tcPr>
            <w:tcW w:w="7791" w:type="dxa"/>
            <w:shd w:val="clear" w:color="auto" w:fill="FFFFFF" w:themeFill="background1"/>
          </w:tcPr>
          <w:p w14:paraId="7FE1C5C5" w14:textId="77777777" w:rsidR="00414040" w:rsidRDefault="00904E1A">
            <w:pPr>
              <w:pStyle w:val="P68B1DB1-Normal61"/>
              <w:spacing w:before="120" w:after="120" w:line="276" w:lineRule="auto"/>
              <w:rPr>
                <w:bCs/>
              </w:rPr>
            </w:pPr>
            <w:r>
              <w:t>Identificador del contrato</w:t>
            </w:r>
          </w:p>
          <w:p w14:paraId="7FE1C5C6" w14:textId="22DC1B4D" w:rsidR="00414040" w:rsidRDefault="00904E1A">
            <w:pPr>
              <w:pStyle w:val="P68B1DB1-Normal64"/>
              <w:spacing w:line="276" w:lineRule="auto"/>
              <w:jc w:val="both"/>
              <w:rPr>
                <w:i/>
              </w:rPr>
            </w:pPr>
            <w:r>
              <w:t>Identificador único del contrato en el que se basa el activo</w:t>
            </w:r>
            <w:r w:rsidR="006D554F">
              <w:t>,</w:t>
            </w:r>
            <w:r>
              <w:t xml:space="preserve"> según la taxonomía de servicios del grupo.</w:t>
            </w:r>
          </w:p>
          <w:p w14:paraId="7FE1C5C7" w14:textId="77777777" w:rsidR="00414040" w:rsidRDefault="00414040">
            <w:pPr>
              <w:spacing w:line="276" w:lineRule="auto"/>
              <w:jc w:val="both"/>
              <w:rPr>
                <w:rFonts w:ascii="Times New Roman" w:hAnsi="Times New Roman"/>
                <w:i/>
                <w:sz w:val="20"/>
              </w:rPr>
            </w:pPr>
          </w:p>
          <w:p w14:paraId="7FE1C5C8" w14:textId="77777777" w:rsidR="00414040" w:rsidRDefault="00414040">
            <w:pPr>
              <w:spacing w:line="276" w:lineRule="auto"/>
              <w:jc w:val="both"/>
              <w:rPr>
                <w:rFonts w:ascii="Times New Roman" w:hAnsi="Times New Roman"/>
                <w:iCs/>
                <w:sz w:val="20"/>
              </w:rPr>
            </w:pPr>
          </w:p>
        </w:tc>
      </w:tr>
      <w:tr w:rsidR="00414040" w14:paraId="7FE1C5CE" w14:textId="77777777" w:rsidTr="618604ED">
        <w:trPr>
          <w:trHeight w:val="450"/>
        </w:trPr>
        <w:tc>
          <w:tcPr>
            <w:tcW w:w="1418" w:type="dxa"/>
            <w:shd w:val="clear" w:color="auto" w:fill="FFFFFF" w:themeFill="background1"/>
          </w:tcPr>
          <w:p w14:paraId="7FE1C5CA" w14:textId="77777777" w:rsidR="00414040" w:rsidRDefault="00904E1A">
            <w:pPr>
              <w:pStyle w:val="P68B1DB1-Normal62"/>
              <w:spacing w:before="120" w:after="120" w:line="276" w:lineRule="auto"/>
            </w:pPr>
            <w:r>
              <w:t>0090</w:t>
            </w:r>
          </w:p>
        </w:tc>
        <w:tc>
          <w:tcPr>
            <w:tcW w:w="7791" w:type="dxa"/>
            <w:shd w:val="clear" w:color="auto" w:fill="FFFFFF" w:themeFill="background1"/>
          </w:tcPr>
          <w:p w14:paraId="7FE1C5CB" w14:textId="275F84C9" w:rsidR="00414040" w:rsidRDefault="1506FF4F">
            <w:pPr>
              <w:pStyle w:val="P68B1DB1-Normal65"/>
              <w:spacing w:line="276" w:lineRule="auto"/>
              <w:jc w:val="both"/>
            </w:pPr>
            <w:r>
              <w:t>Derecho</w:t>
            </w:r>
            <w:r w:rsidR="00904E1A">
              <w:t xml:space="preserve"> aplicable </w:t>
            </w:r>
          </w:p>
          <w:p w14:paraId="7FE1C5CC" w14:textId="1675E7D7" w:rsidR="00414040" w:rsidRDefault="00904E1A">
            <w:pPr>
              <w:pStyle w:val="P68B1DB1-Normal64"/>
              <w:spacing w:line="276" w:lineRule="auto"/>
              <w:jc w:val="both"/>
            </w:pPr>
            <w:r>
              <w:t>Código ISO del país cuya normativa aplica al contrato.</w:t>
            </w:r>
          </w:p>
          <w:p w14:paraId="7FE1C5CD" w14:textId="77777777" w:rsidR="00414040" w:rsidRDefault="00414040">
            <w:pPr>
              <w:spacing w:line="276" w:lineRule="auto"/>
              <w:jc w:val="both"/>
              <w:rPr>
                <w:rFonts w:ascii="Times New Roman" w:hAnsi="Times New Roman"/>
                <w:iCs/>
                <w:sz w:val="20"/>
              </w:rPr>
            </w:pPr>
          </w:p>
        </w:tc>
      </w:tr>
      <w:tr w:rsidR="00414040" w14:paraId="7FE1C5D4" w14:textId="77777777" w:rsidTr="618604ED">
        <w:trPr>
          <w:trHeight w:val="463"/>
        </w:trPr>
        <w:tc>
          <w:tcPr>
            <w:tcW w:w="1418" w:type="dxa"/>
            <w:shd w:val="clear" w:color="auto" w:fill="FFFFFF" w:themeFill="background1"/>
          </w:tcPr>
          <w:p w14:paraId="7FE1C5CF" w14:textId="77777777" w:rsidR="00414040" w:rsidRDefault="00904E1A">
            <w:pPr>
              <w:pStyle w:val="P68B1DB1-Normal64"/>
              <w:spacing w:line="276" w:lineRule="auto"/>
              <w:jc w:val="both"/>
            </w:pPr>
            <w:r>
              <w:t>0100-0120</w:t>
            </w:r>
          </w:p>
          <w:p w14:paraId="7FE1C5D0" w14:textId="77777777" w:rsidR="00414040" w:rsidRDefault="00414040">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444BEE42" w:rsidR="00414040" w:rsidRDefault="00904E1A">
            <w:pPr>
              <w:pStyle w:val="P68B1DB1-Normal61"/>
              <w:spacing w:before="120" w:after="120" w:line="276" w:lineRule="auto"/>
              <w:rPr>
                <w:bCs/>
                <w:iCs/>
              </w:rPr>
            </w:pPr>
            <w:r w:rsidRPr="00D04CC1">
              <w:t xml:space="preserve">Resiliencia </w:t>
            </w:r>
            <w:r w:rsidR="00EF51C2" w:rsidRPr="00D04CC1">
              <w:t>en resolución</w:t>
            </w:r>
            <w:r>
              <w:t xml:space="preserve"> </w:t>
            </w:r>
          </w:p>
          <w:p w14:paraId="7FE1C5D2" w14:textId="13E1BE51" w:rsidR="00414040" w:rsidRDefault="00904E1A">
            <w:pPr>
              <w:pStyle w:val="P68B1DB1-NormalWeb59"/>
              <w:spacing w:before="0" w:beforeAutospacing="0" w:after="0" w:afterAutospacing="0"/>
              <w:rPr>
                <w:iCs/>
                <w:szCs w:val="20"/>
              </w:rPr>
            </w:pPr>
            <w:r>
              <w:rPr>
                <w:szCs w:val="20"/>
              </w:rPr>
              <w:t xml:space="preserve">La evaluación de si el contrato </w:t>
            </w:r>
            <w:r w:rsidR="00333A9F">
              <w:rPr>
                <w:szCs w:val="20"/>
              </w:rPr>
              <w:t>en que se basa el</w:t>
            </w:r>
            <w:r w:rsidR="000D7D8D">
              <w:rPr>
                <w:szCs w:val="20"/>
              </w:rPr>
              <w:t xml:space="preserve"> </w:t>
            </w:r>
            <w:r>
              <w:rPr>
                <w:szCs w:val="20"/>
              </w:rPr>
              <w:t xml:space="preserve">activo </w:t>
            </w:r>
            <w:r w:rsidR="00333A9F">
              <w:rPr>
                <w:szCs w:val="20"/>
              </w:rPr>
              <w:t>declarado</w:t>
            </w:r>
            <w:r w:rsidR="000D7D8D">
              <w:rPr>
                <w:szCs w:val="20"/>
              </w:rPr>
              <w:t xml:space="preserve"> </w:t>
            </w:r>
            <w:r>
              <w:rPr>
                <w:szCs w:val="20"/>
              </w:rPr>
              <w:t xml:space="preserve">en la columna 0030 podría continuar y transferirse durante la aplicación de la estrategia de resolución, incluido el plan de reorganización de actividades, </w:t>
            </w:r>
            <w:r>
              <w:t>de conformidad con las Directrices EBA/GL/2022/01 y la legislación nacional pertinente.</w:t>
            </w:r>
          </w:p>
          <w:p w14:paraId="7FE1C5D3" w14:textId="77777777" w:rsidR="00414040" w:rsidRDefault="00414040">
            <w:pPr>
              <w:pStyle w:val="NormalWeb"/>
              <w:spacing w:before="0" w:beforeAutospacing="0" w:after="0" w:afterAutospacing="0"/>
              <w:rPr>
                <w:sz w:val="20"/>
              </w:rPr>
            </w:pPr>
          </w:p>
        </w:tc>
      </w:tr>
      <w:tr w:rsidR="00414040" w14:paraId="7FE1C5E4" w14:textId="77777777" w:rsidTr="618604ED">
        <w:trPr>
          <w:trHeight w:val="463"/>
        </w:trPr>
        <w:tc>
          <w:tcPr>
            <w:tcW w:w="1418" w:type="dxa"/>
            <w:shd w:val="clear" w:color="auto" w:fill="FFFFFF" w:themeFill="background1"/>
          </w:tcPr>
          <w:p w14:paraId="7FE1C5D5" w14:textId="77777777" w:rsidR="00414040" w:rsidRDefault="00904E1A">
            <w:pPr>
              <w:pStyle w:val="P68B1DB1-Normal64"/>
              <w:spacing w:before="120" w:after="120" w:line="276" w:lineRule="auto"/>
              <w:rPr>
                <w:szCs w:val="20"/>
              </w:rPr>
            </w:pPr>
            <w:r>
              <w:lastRenderedPageBreak/>
              <w:t>0100</w:t>
            </w:r>
          </w:p>
        </w:tc>
        <w:tc>
          <w:tcPr>
            <w:tcW w:w="7791" w:type="dxa"/>
            <w:shd w:val="clear" w:color="auto" w:fill="FFFFFF" w:themeFill="background1"/>
          </w:tcPr>
          <w:p w14:paraId="7FE1C5D6" w14:textId="564ED495" w:rsidR="00414040" w:rsidRPr="00D04CC1" w:rsidRDefault="00904E1A">
            <w:pPr>
              <w:pStyle w:val="P68B1DB1-Normal65"/>
              <w:spacing w:line="276" w:lineRule="auto"/>
              <w:jc w:val="both"/>
              <w:rPr>
                <w:bCs/>
              </w:rPr>
            </w:pPr>
            <w:r>
              <w:rPr>
                <w:szCs w:val="20"/>
              </w:rPr>
              <w:t xml:space="preserve">Características de </w:t>
            </w:r>
            <w:r w:rsidRPr="00D04CC1">
              <w:rPr>
                <w:szCs w:val="20"/>
              </w:rPr>
              <w:t xml:space="preserve">resiliencia </w:t>
            </w:r>
            <w:r w:rsidR="00EF51C2" w:rsidRPr="00D04CC1">
              <w:rPr>
                <w:szCs w:val="20"/>
              </w:rPr>
              <w:t>en</w:t>
            </w:r>
            <w:r w:rsidRPr="00D04CC1">
              <w:rPr>
                <w:szCs w:val="20"/>
              </w:rPr>
              <w:t xml:space="preserve"> resolución</w:t>
            </w:r>
            <w:r w:rsidRPr="00D04CC1">
              <w:t xml:space="preserve"> </w:t>
            </w:r>
          </w:p>
          <w:p w14:paraId="7FE1C5D7" w14:textId="55A79F61" w:rsidR="00414040" w:rsidRDefault="00904E1A">
            <w:pPr>
              <w:pStyle w:val="P68B1DB1-Normal62"/>
              <w:spacing w:line="276" w:lineRule="auto"/>
              <w:jc w:val="both"/>
              <w:rPr>
                <w:iCs/>
              </w:rPr>
            </w:pPr>
            <w:r w:rsidRPr="00D04CC1">
              <w:t xml:space="preserve">Las características </w:t>
            </w:r>
            <w:r w:rsidR="00B2465F" w:rsidRPr="00D04CC1">
              <w:t>de resiliencia en</w:t>
            </w:r>
            <w:r w:rsidRPr="00D04CC1">
              <w:t xml:space="preserve"> resolución son propiedades que se espera que tengan los contratos pertinentes para ser considerados resistentes </w:t>
            </w:r>
            <w:r w:rsidR="00B2465F" w:rsidRPr="00D04CC1">
              <w:t>en</w:t>
            </w:r>
            <w:r w:rsidRPr="00D04CC1">
              <w:t xml:space="preserve"> resolución</w:t>
            </w:r>
            <w:r>
              <w:t>. Entre ellas figuran las siguientes, siempre que sigan cumpliéndose las obligaciones sustantivas derivadas del contrato:</w:t>
            </w:r>
          </w:p>
          <w:p w14:paraId="7FE1C5D8" w14:textId="54421C2E" w:rsidR="00414040" w:rsidRDefault="00904E1A">
            <w:pPr>
              <w:pStyle w:val="P68B1DB1-ListParagraph60"/>
              <w:numPr>
                <w:ilvl w:val="0"/>
                <w:numId w:val="263"/>
              </w:numPr>
              <w:spacing w:line="276" w:lineRule="auto"/>
              <w:contextualSpacing/>
              <w:jc w:val="both"/>
              <w:rPr>
                <w:iCs/>
              </w:rPr>
            </w:pPr>
            <w:r>
              <w:t xml:space="preserve">la ausencia de rescisión, suspensión o modificación por motivos de resolución (incluida la reorganización de actividades con arreglo al artículo 51 de la Directiva 2014/59/UE); </w:t>
            </w:r>
          </w:p>
          <w:p w14:paraId="7FE1C5D9" w14:textId="1A9A3D9B" w:rsidR="00414040" w:rsidRDefault="00904E1A">
            <w:pPr>
              <w:pStyle w:val="P68B1DB1-ListParagraph60"/>
              <w:numPr>
                <w:ilvl w:val="0"/>
                <w:numId w:val="263"/>
              </w:numPr>
              <w:spacing w:line="276" w:lineRule="auto"/>
              <w:contextualSpacing/>
              <w:jc w:val="both"/>
              <w:rPr>
                <w:iCs/>
              </w:rPr>
            </w:pPr>
            <w:r w:rsidRPr="2E417CBA">
              <w:rPr>
                <w:lang w:val="es-ES"/>
              </w:rPr>
              <w:t>la transferibilidad de la prestación de</w:t>
            </w:r>
            <w:r w:rsidR="00093585" w:rsidRPr="2E417CBA">
              <w:rPr>
                <w:lang w:val="es-ES"/>
              </w:rPr>
              <w:t>l</w:t>
            </w:r>
            <w:r w:rsidRPr="2E417CBA">
              <w:rPr>
                <w:lang w:val="es-ES"/>
              </w:rPr>
              <w:t xml:space="preserve"> servicio a un nuevo </w:t>
            </w:r>
            <w:proofErr w:type="gramStart"/>
            <w:r w:rsidRPr="2E417CBA">
              <w:rPr>
                <w:lang w:val="es-ES"/>
              </w:rPr>
              <w:t>destinatario</w:t>
            </w:r>
            <w:r w:rsidR="00093585" w:rsidRPr="2E417CBA">
              <w:rPr>
                <w:lang w:val="es-ES"/>
              </w:rPr>
              <w:t>,</w:t>
            </w:r>
            <w:proofErr w:type="gramEnd"/>
            <w:r w:rsidR="00093585" w:rsidRPr="2E417CBA">
              <w:rPr>
                <w:lang w:val="es-ES"/>
              </w:rPr>
              <w:t xml:space="preserve"> ya sea</w:t>
            </w:r>
            <w:r w:rsidRPr="2E417CBA">
              <w:rPr>
                <w:lang w:val="es-ES"/>
              </w:rPr>
              <w:t xml:space="preserve"> por parte del destinatario del servicio o de la autoridad de resolución</w:t>
            </w:r>
            <w:r w:rsidR="00093585" w:rsidRPr="2E417CBA">
              <w:rPr>
                <w:lang w:val="es-ES"/>
              </w:rPr>
              <w:t>,</w:t>
            </w:r>
            <w:r w:rsidRPr="2E417CBA">
              <w:rPr>
                <w:lang w:val="es-ES"/>
              </w:rPr>
              <w:t xml:space="preserve"> debido a la resolución (incluida la reorganización con arreglo al artículo 51 de la Directiva 2014/59/UE); </w:t>
            </w:r>
          </w:p>
          <w:p w14:paraId="7FE1C5DA" w14:textId="750DF624" w:rsidR="00414040" w:rsidRDefault="00267CF7">
            <w:pPr>
              <w:pStyle w:val="P68B1DB1-ListParagraph60"/>
              <w:numPr>
                <w:ilvl w:val="0"/>
                <w:numId w:val="263"/>
              </w:numPr>
              <w:spacing w:line="276" w:lineRule="auto"/>
              <w:contextualSpacing/>
              <w:jc w:val="both"/>
              <w:rPr>
                <w:iCs/>
              </w:rPr>
            </w:pPr>
            <w:r>
              <w:t>el apoyo</w:t>
            </w:r>
            <w:r w:rsidR="00904E1A">
              <w:t xml:space="preserve"> </w:t>
            </w:r>
            <w:r>
              <w:t>en</w:t>
            </w:r>
            <w:r w:rsidR="00904E1A">
              <w:t xml:space="preserve"> la transferencia o rescisión que se produzca durante la resolución (incluida la reorganización con arreglo al artículo 51 de la Directiva 2014/59/UE) durante un período razonable (por ejemplo, 24 meses) por parte del proveedor de</w:t>
            </w:r>
            <w:r w:rsidR="00533015">
              <w:t>l</w:t>
            </w:r>
            <w:r w:rsidR="00904E1A">
              <w:t xml:space="preserve"> servicio actual y en l</w:t>
            </w:r>
            <w:r w:rsidR="00BD4CB6">
              <w:t>o</w:t>
            </w:r>
            <w:r w:rsidR="00904E1A">
              <w:t>s mism</w:t>
            </w:r>
            <w:r w:rsidR="00BD4CB6">
              <w:t>o</w:t>
            </w:r>
            <w:r w:rsidR="00904E1A">
              <w:t>s</w:t>
            </w:r>
            <w:r w:rsidR="00BD4CB6">
              <w:t xml:space="preserve"> términos y</w:t>
            </w:r>
            <w:r w:rsidR="00904E1A">
              <w:t xml:space="preserve"> condiciones, y así como</w:t>
            </w:r>
          </w:p>
          <w:p w14:paraId="7FE1C5DB" w14:textId="698F92F9" w:rsidR="00414040" w:rsidRDefault="00904E1A">
            <w:pPr>
              <w:pStyle w:val="P68B1DB1-ListParagraph60"/>
              <w:numPr>
                <w:ilvl w:val="0"/>
                <w:numId w:val="263"/>
              </w:numPr>
              <w:spacing w:line="276" w:lineRule="auto"/>
              <w:contextualSpacing/>
              <w:jc w:val="both"/>
              <w:rPr>
                <w:iCs/>
              </w:rPr>
            </w:pPr>
            <w:r>
              <w:t>la prestación continuada de</w:t>
            </w:r>
            <w:r w:rsidR="00533015">
              <w:t>l</w:t>
            </w:r>
            <w:r>
              <w:t xml:space="preserve"> servicio a un ente del grupo </w:t>
            </w:r>
            <w:r w:rsidR="000D7D8D">
              <w:t xml:space="preserve">vendido </w:t>
            </w:r>
            <w:r>
              <w:t>durante la resolución (incluida la reorganización con arreglo al artículo 51 de la Directiva 2014/59/UE), durante un período de tiempo razonable tras la venta, como 24 meses.</w:t>
            </w:r>
          </w:p>
          <w:p w14:paraId="7FE1C5DC" w14:textId="36ACB6E1" w:rsidR="00414040" w:rsidRDefault="00904E1A">
            <w:pPr>
              <w:spacing w:line="276" w:lineRule="auto"/>
              <w:jc w:val="both"/>
              <w:rPr>
                <w:rFonts w:ascii="Times New Roman" w:hAnsi="Times New Roman"/>
                <w:iCs/>
                <w:sz w:val="20"/>
                <w:szCs w:val="20"/>
              </w:rPr>
            </w:pPr>
            <w:r>
              <w:rPr>
                <w:rFonts w:ascii="Times New Roman" w:hAnsi="Times New Roman"/>
                <w:sz w:val="20"/>
                <w:szCs w:val="20"/>
              </w:rPr>
              <w:t xml:space="preserve">Esto aplica </w:t>
            </w:r>
            <w:r w:rsidR="00F93AEE">
              <w:rPr>
                <w:rFonts w:ascii="Times New Roman" w:hAnsi="Times New Roman"/>
                <w:sz w:val="20"/>
                <w:szCs w:val="20"/>
              </w:rPr>
              <w:t xml:space="preserve">tanto </w:t>
            </w:r>
            <w:r>
              <w:rPr>
                <w:rFonts w:ascii="Times New Roman" w:hAnsi="Times New Roman"/>
                <w:sz w:val="20"/>
                <w:szCs w:val="20"/>
              </w:rPr>
              <w:t xml:space="preserve">a los contratos en los que la legislación y la jurisdicción </w:t>
            </w:r>
            <w:r w:rsidR="00F93AEE">
              <w:rPr>
                <w:rFonts w:ascii="Times New Roman" w:hAnsi="Times New Roman"/>
                <w:sz w:val="20"/>
                <w:szCs w:val="20"/>
              </w:rPr>
              <w:t xml:space="preserve">aplicable </w:t>
            </w:r>
            <w:r w:rsidR="00DC4E1D">
              <w:rPr>
                <w:rFonts w:ascii="Times New Roman" w:hAnsi="Times New Roman"/>
                <w:sz w:val="20"/>
                <w:szCs w:val="20"/>
              </w:rPr>
              <w:t>sea</w:t>
            </w:r>
            <w:r>
              <w:rPr>
                <w:rFonts w:ascii="Times New Roman" w:hAnsi="Times New Roman"/>
                <w:sz w:val="20"/>
                <w:szCs w:val="20"/>
              </w:rPr>
              <w:t xml:space="preserve"> la de un Estado miembro de la UE</w:t>
            </w:r>
            <w:r>
              <w:rPr>
                <w:rStyle w:val="FootnoteReference"/>
                <w:rFonts w:ascii="Times New Roman" w:hAnsi="Times New Roman"/>
                <w:sz w:val="20"/>
                <w:szCs w:val="20"/>
              </w:rPr>
              <w:footnoteReference w:id="28"/>
            </w:r>
            <w:r>
              <w:rPr>
                <w:rFonts w:ascii="Times New Roman" w:hAnsi="Times New Roman"/>
                <w:sz w:val="20"/>
                <w:szCs w:val="20"/>
              </w:rPr>
              <w:t xml:space="preserve"> (en lo sucesivo, «contratos de la UE»), </w:t>
            </w:r>
            <w:r w:rsidR="00DC4E1D">
              <w:rPr>
                <w:rFonts w:ascii="Times New Roman" w:hAnsi="Times New Roman"/>
                <w:sz w:val="20"/>
                <w:szCs w:val="20"/>
              </w:rPr>
              <w:t>como</w:t>
            </w:r>
            <w:r>
              <w:rPr>
                <w:rFonts w:ascii="Times New Roman" w:hAnsi="Times New Roman"/>
                <w:sz w:val="20"/>
                <w:szCs w:val="20"/>
              </w:rPr>
              <w:t xml:space="preserve"> a los contratos a los que aplica el Derecho de un tercer país.</w:t>
            </w:r>
          </w:p>
          <w:p w14:paraId="7FE1C5DD" w14:textId="77777777" w:rsidR="00414040" w:rsidRDefault="00414040">
            <w:pPr>
              <w:spacing w:line="276" w:lineRule="auto"/>
              <w:jc w:val="both"/>
              <w:rPr>
                <w:rFonts w:ascii="Times New Roman" w:hAnsi="Times New Roman"/>
                <w:sz w:val="20"/>
              </w:rPr>
            </w:pPr>
          </w:p>
          <w:p w14:paraId="7FE1C5DE" w14:textId="58FF3EBA" w:rsidR="00414040" w:rsidRDefault="00904E1A">
            <w:pPr>
              <w:pStyle w:val="P68B1DB1-Normal64"/>
              <w:spacing w:line="276" w:lineRule="auto"/>
              <w:jc w:val="both"/>
            </w:pPr>
            <w:r>
              <w:t xml:space="preserve">Se indicará uno de los siguientes </w:t>
            </w:r>
            <w:r w:rsidR="5326FAD9">
              <w:t>valores</w:t>
            </w:r>
            <w:r>
              <w:t>:</w:t>
            </w:r>
          </w:p>
          <w:p w14:paraId="7FE1C5DF" w14:textId="53164E52" w:rsidR="00414040" w:rsidRPr="00D04CC1" w:rsidRDefault="00904E1A">
            <w:pPr>
              <w:pStyle w:val="P68B1DB1-Normal62"/>
              <w:spacing w:line="276" w:lineRule="auto"/>
              <w:jc w:val="both"/>
            </w:pPr>
            <w:r>
              <w:t xml:space="preserve">«Sí», si el contrato se considera </w:t>
            </w:r>
            <w:r w:rsidRPr="00D04CC1">
              <w:t>resistente</w:t>
            </w:r>
            <w:r w:rsidR="00552B40" w:rsidRPr="00D04CC1">
              <w:t xml:space="preserve"> en</w:t>
            </w:r>
            <w:r w:rsidRPr="00D04CC1">
              <w:t xml:space="preserve"> resolución</w:t>
            </w:r>
          </w:p>
          <w:p w14:paraId="7FE1C5E0" w14:textId="19C77715" w:rsidR="00414040" w:rsidRDefault="00904E1A">
            <w:pPr>
              <w:pStyle w:val="P68B1DB1-Normal62"/>
              <w:spacing w:line="276" w:lineRule="auto"/>
              <w:jc w:val="both"/>
            </w:pPr>
            <w:r w:rsidRPr="00D04CC1">
              <w:t xml:space="preserve">«No», si el contrato no se considera resistente </w:t>
            </w:r>
            <w:r w:rsidR="00552B40" w:rsidRPr="00D04CC1">
              <w:t>en</w:t>
            </w:r>
            <w:r w:rsidRPr="00D04CC1">
              <w:t xml:space="preserve"> resolución</w:t>
            </w:r>
          </w:p>
          <w:p w14:paraId="7FE1C5E1" w14:textId="14302B8F" w:rsidR="00414040" w:rsidRDefault="00904E1A">
            <w:pPr>
              <w:pStyle w:val="P68B1DB1-Normal62"/>
              <w:spacing w:line="276" w:lineRule="auto"/>
              <w:jc w:val="both"/>
            </w:pPr>
            <w:r>
              <w:t xml:space="preserve">«No evaluado», si no se ha realizado </w:t>
            </w:r>
            <w:r w:rsidR="00552B40">
              <w:t xml:space="preserve">ninguna </w:t>
            </w:r>
            <w:r>
              <w:t>evaluación.</w:t>
            </w:r>
          </w:p>
          <w:p w14:paraId="7FE1C5E2" w14:textId="2961C798" w:rsidR="00414040" w:rsidRDefault="00904E1A">
            <w:pPr>
              <w:pStyle w:val="P68B1DB1-Normal62"/>
              <w:spacing w:line="276" w:lineRule="auto"/>
              <w:jc w:val="both"/>
            </w:pPr>
            <w:r>
              <w:t>«</w:t>
            </w:r>
            <w:r w:rsidR="0077777B">
              <w:t xml:space="preserve">NO </w:t>
            </w:r>
            <w:r>
              <w:t>APLICABLE»</w:t>
            </w:r>
            <w:r w:rsidR="0077777B">
              <w:t>.</w:t>
            </w:r>
            <w:r>
              <w:t xml:space="preserve"> para los servicios</w:t>
            </w:r>
            <w:r w:rsidR="00A92D00">
              <w:t xml:space="preserve"> internos</w:t>
            </w:r>
            <w:r>
              <w:t xml:space="preserve"> </w:t>
            </w:r>
            <w:r w:rsidR="00A92D00">
              <w:t>(</w:t>
            </w:r>
            <w:r w:rsidRPr="00A92D00">
              <w:t xml:space="preserve">dentro </w:t>
            </w:r>
            <w:r w:rsidR="00C46264">
              <w:t>del ente</w:t>
            </w:r>
            <w:r w:rsidR="00A92D00">
              <w:t>)</w:t>
            </w:r>
          </w:p>
          <w:p w14:paraId="7FE1C5E3" w14:textId="77777777" w:rsidR="00414040" w:rsidRDefault="00414040">
            <w:pPr>
              <w:spacing w:line="276" w:lineRule="auto"/>
              <w:jc w:val="both"/>
              <w:rPr>
                <w:rFonts w:ascii="Times New Roman" w:hAnsi="Times New Roman"/>
                <w:sz w:val="20"/>
              </w:rPr>
            </w:pPr>
          </w:p>
        </w:tc>
      </w:tr>
      <w:tr w:rsidR="00414040" w14:paraId="7FE1C5EF" w14:textId="77777777" w:rsidTr="618604ED">
        <w:trPr>
          <w:trHeight w:val="463"/>
        </w:trPr>
        <w:tc>
          <w:tcPr>
            <w:tcW w:w="1418" w:type="dxa"/>
            <w:shd w:val="clear" w:color="auto" w:fill="FFFFFF" w:themeFill="background1"/>
          </w:tcPr>
          <w:p w14:paraId="7FE1C5E5" w14:textId="77777777" w:rsidR="00414040" w:rsidRDefault="00904E1A">
            <w:pPr>
              <w:pStyle w:val="P68B1DB1-Normal64"/>
              <w:spacing w:before="120" w:after="120" w:line="276" w:lineRule="auto"/>
              <w:rPr>
                <w:szCs w:val="20"/>
              </w:rPr>
            </w:pPr>
            <w:r>
              <w:t>0110</w:t>
            </w:r>
          </w:p>
        </w:tc>
        <w:tc>
          <w:tcPr>
            <w:tcW w:w="7791" w:type="dxa"/>
            <w:shd w:val="clear" w:color="auto" w:fill="FFFFFF" w:themeFill="background1"/>
          </w:tcPr>
          <w:p w14:paraId="7FE1C5E6" w14:textId="2732E83D" w:rsidR="00414040" w:rsidRDefault="00904E1A">
            <w:pPr>
              <w:pStyle w:val="P68B1DB1-Normal65"/>
              <w:spacing w:line="276" w:lineRule="auto"/>
              <w:jc w:val="both"/>
              <w:rPr>
                <w:bCs/>
                <w:iCs/>
              </w:rPr>
            </w:pPr>
            <w:r>
              <w:t xml:space="preserve">Plan de Reorganización </w:t>
            </w:r>
            <w:r w:rsidR="0046166A">
              <w:t>de Actividades</w:t>
            </w:r>
            <w:r w:rsidR="0046166A" w:rsidRPr="0046166A">
              <w:t xml:space="preserve"> </w:t>
            </w:r>
            <w:r w:rsidRPr="0046166A">
              <w:t>(BRP</w:t>
            </w:r>
            <w:r w:rsidR="00B43567">
              <w:t>,</w:t>
            </w:r>
            <w:r w:rsidR="0046166A">
              <w:t xml:space="preserve"> por sus siglas en inglés</w:t>
            </w:r>
            <w:r w:rsidRPr="0046166A">
              <w:t>)</w:t>
            </w:r>
          </w:p>
          <w:p w14:paraId="7FE1C5E7" w14:textId="3D362820" w:rsidR="00414040" w:rsidRPr="00D04CC1" w:rsidRDefault="00904E1A">
            <w:pPr>
              <w:pStyle w:val="P68B1DB1-Normal64"/>
              <w:spacing w:line="276" w:lineRule="auto"/>
              <w:jc w:val="both"/>
              <w:rPr>
                <w:iCs/>
              </w:rPr>
            </w:pPr>
            <w:r>
              <w:t>Si la estrategia de resolución (</w:t>
            </w:r>
            <w:r w:rsidR="00C32BFD">
              <w:t xml:space="preserve">ya sea la </w:t>
            </w:r>
            <w:r>
              <w:t xml:space="preserve">preferida o variante) requiere un plan de reorganización de actividades, se espera que los contratos de la UE incluyan cláusulas explícitas para garantizar su </w:t>
            </w:r>
            <w:r w:rsidRPr="00D04CC1">
              <w:t xml:space="preserve">resiliencia </w:t>
            </w:r>
            <w:r w:rsidR="00C32BFD" w:rsidRPr="00D04CC1">
              <w:t>en</w:t>
            </w:r>
            <w:r w:rsidRPr="00D04CC1">
              <w:t xml:space="preserve"> resolución </w:t>
            </w:r>
            <w:r w:rsidR="009050B5" w:rsidRPr="00D04CC1">
              <w:t xml:space="preserve">durante </w:t>
            </w:r>
            <w:r w:rsidRPr="00D04CC1">
              <w:t xml:space="preserve">la </w:t>
            </w:r>
            <w:r w:rsidR="009050B5" w:rsidRPr="00D04CC1">
              <w:t xml:space="preserve">implementación </w:t>
            </w:r>
            <w:r w:rsidRPr="00D04CC1">
              <w:t xml:space="preserve">de </w:t>
            </w:r>
            <w:r w:rsidR="009050B5" w:rsidRPr="00D04CC1">
              <w:t>dicho plan</w:t>
            </w:r>
            <w:r w:rsidRPr="00D04CC1">
              <w:t>.</w:t>
            </w:r>
          </w:p>
          <w:p w14:paraId="7FE1C5E8" w14:textId="77777777" w:rsidR="00414040" w:rsidRPr="00D04CC1" w:rsidRDefault="00414040">
            <w:pPr>
              <w:spacing w:line="276" w:lineRule="auto"/>
              <w:jc w:val="both"/>
              <w:rPr>
                <w:rFonts w:ascii="Times New Roman" w:hAnsi="Times New Roman"/>
                <w:iCs/>
                <w:sz w:val="20"/>
              </w:rPr>
            </w:pPr>
          </w:p>
          <w:p w14:paraId="7FE1C5E9" w14:textId="61AE2EA9" w:rsidR="00414040" w:rsidRPr="00D04CC1" w:rsidRDefault="00904E1A">
            <w:pPr>
              <w:pStyle w:val="P68B1DB1-Normal64"/>
              <w:spacing w:line="276" w:lineRule="auto"/>
              <w:jc w:val="both"/>
              <w:rPr>
                <w:iCs/>
              </w:rPr>
            </w:pPr>
            <w:r w:rsidRPr="00D04CC1">
              <w:t xml:space="preserve">Se indicará uno de los siguientes </w:t>
            </w:r>
            <w:r w:rsidR="052A981B" w:rsidRPr="00D04CC1">
              <w:t>valores</w:t>
            </w:r>
            <w:r w:rsidRPr="00D04CC1">
              <w:t>:</w:t>
            </w:r>
          </w:p>
          <w:p w14:paraId="7FE1C5EA" w14:textId="62317B9D" w:rsidR="00414040" w:rsidRPr="00D04CC1" w:rsidRDefault="00904E1A">
            <w:pPr>
              <w:pStyle w:val="P68B1DB1-Normal67"/>
              <w:spacing w:line="276" w:lineRule="auto"/>
              <w:jc w:val="both"/>
              <w:rPr>
                <w:sz w:val="20"/>
                <w:szCs w:val="20"/>
                <w:lang w:val="es-ES"/>
              </w:rPr>
            </w:pPr>
            <w:r w:rsidRPr="00D04CC1">
              <w:t>«</w:t>
            </w:r>
            <w:r w:rsidRPr="00D04CC1">
              <w:rPr>
                <w:sz w:val="20"/>
                <w:szCs w:val="20"/>
              </w:rPr>
              <w:t>Sí»</w:t>
            </w:r>
            <w:r w:rsidR="0025183C">
              <w:rPr>
                <w:sz w:val="20"/>
                <w:szCs w:val="20"/>
              </w:rPr>
              <w:t>.</w:t>
            </w:r>
            <w:r w:rsidRPr="00D04CC1">
              <w:rPr>
                <w:sz w:val="20"/>
                <w:szCs w:val="20"/>
              </w:rPr>
              <w:t xml:space="preserve"> si el contrato incluye cláusulas explícitas para garantizar su </w:t>
            </w:r>
            <w:r w:rsidR="00062861" w:rsidRPr="00D04CC1">
              <w:rPr>
                <w:sz w:val="20"/>
                <w:szCs w:val="20"/>
              </w:rPr>
              <w:t xml:space="preserve">resiliencia en </w:t>
            </w:r>
            <w:r w:rsidRPr="00D04CC1">
              <w:rPr>
                <w:sz w:val="20"/>
                <w:szCs w:val="20"/>
              </w:rPr>
              <w:t xml:space="preserve">resolución </w:t>
            </w:r>
            <w:r w:rsidR="00062861" w:rsidRPr="00D04CC1">
              <w:rPr>
                <w:sz w:val="20"/>
                <w:szCs w:val="20"/>
              </w:rPr>
              <w:t>durante</w:t>
            </w:r>
            <w:r w:rsidRPr="00D04CC1">
              <w:rPr>
                <w:sz w:val="20"/>
                <w:szCs w:val="20"/>
              </w:rPr>
              <w:t xml:space="preserve"> la </w:t>
            </w:r>
            <w:r w:rsidR="00062861" w:rsidRPr="00D04CC1">
              <w:rPr>
                <w:sz w:val="20"/>
                <w:szCs w:val="20"/>
              </w:rPr>
              <w:t xml:space="preserve">implementación </w:t>
            </w:r>
            <w:r w:rsidRPr="00D04CC1">
              <w:rPr>
                <w:sz w:val="20"/>
                <w:szCs w:val="20"/>
              </w:rPr>
              <w:t xml:space="preserve">del </w:t>
            </w:r>
            <w:r w:rsidR="00A92D00" w:rsidRPr="00D04CC1">
              <w:rPr>
                <w:sz w:val="20"/>
                <w:szCs w:val="20"/>
              </w:rPr>
              <w:t xml:space="preserve">Plan de </w:t>
            </w:r>
            <w:proofErr w:type="gramStart"/>
            <w:r w:rsidR="00A92D00" w:rsidRPr="00D04CC1">
              <w:rPr>
                <w:sz w:val="20"/>
                <w:szCs w:val="20"/>
              </w:rPr>
              <w:t>Reorganización  de</w:t>
            </w:r>
            <w:proofErr w:type="gramEnd"/>
            <w:r w:rsidR="00A92D00" w:rsidRPr="00D04CC1">
              <w:rPr>
                <w:sz w:val="20"/>
                <w:szCs w:val="20"/>
              </w:rPr>
              <w:t xml:space="preserve"> Actividades</w:t>
            </w:r>
          </w:p>
          <w:p w14:paraId="7FE1C5EB" w14:textId="16C9FA0A" w:rsidR="00414040" w:rsidRDefault="00904E1A">
            <w:pPr>
              <w:pStyle w:val="P68B1DB1-Normal67"/>
              <w:spacing w:line="276" w:lineRule="auto"/>
              <w:jc w:val="both"/>
              <w:rPr>
                <w:iCs/>
                <w:sz w:val="20"/>
              </w:rPr>
            </w:pPr>
            <w:r w:rsidRPr="00D04CC1">
              <w:t>«</w:t>
            </w:r>
            <w:r w:rsidRPr="00D04CC1">
              <w:rPr>
                <w:sz w:val="20"/>
              </w:rPr>
              <w:t>No»</w:t>
            </w:r>
            <w:r w:rsidR="0025183C">
              <w:rPr>
                <w:sz w:val="20"/>
              </w:rPr>
              <w:t>.</w:t>
            </w:r>
            <w:r w:rsidRPr="00D04CC1">
              <w:rPr>
                <w:sz w:val="20"/>
              </w:rPr>
              <w:t xml:space="preserve"> si el contrato no incluye cláusulas explícitas para garantizar su </w:t>
            </w:r>
            <w:r w:rsidR="00062861" w:rsidRPr="00D04CC1">
              <w:rPr>
                <w:sz w:val="20"/>
              </w:rPr>
              <w:t>resiliencia en</w:t>
            </w:r>
            <w:r w:rsidR="009E3185">
              <w:rPr>
                <w:sz w:val="20"/>
              </w:rPr>
              <w:t xml:space="preserve"> </w:t>
            </w:r>
            <w:r w:rsidRPr="00D04CC1">
              <w:rPr>
                <w:sz w:val="20"/>
              </w:rPr>
              <w:t xml:space="preserve">resolución </w:t>
            </w:r>
            <w:r w:rsidR="00062861" w:rsidRPr="00D04CC1">
              <w:rPr>
                <w:sz w:val="20"/>
              </w:rPr>
              <w:t xml:space="preserve">durante la implementación </w:t>
            </w:r>
            <w:r w:rsidRPr="00D04CC1">
              <w:rPr>
                <w:sz w:val="20"/>
              </w:rPr>
              <w:t xml:space="preserve">del </w:t>
            </w:r>
            <w:r w:rsidR="00A92D00" w:rsidRPr="00D04CC1">
              <w:rPr>
                <w:sz w:val="20"/>
              </w:rPr>
              <w:t>Plan de Reorganización de Actividades</w:t>
            </w:r>
          </w:p>
          <w:p w14:paraId="7FE1C5EC" w14:textId="136E6F49" w:rsidR="00414040" w:rsidRDefault="00904E1A">
            <w:pPr>
              <w:pStyle w:val="P68B1DB1-Normal67"/>
              <w:spacing w:line="276" w:lineRule="auto"/>
              <w:jc w:val="both"/>
              <w:rPr>
                <w:iCs/>
                <w:sz w:val="20"/>
              </w:rPr>
            </w:pPr>
            <w:r>
              <w:t>«</w:t>
            </w:r>
            <w:r>
              <w:rPr>
                <w:sz w:val="20"/>
              </w:rPr>
              <w:t xml:space="preserve">No evaluado», si no se ha realizado </w:t>
            </w:r>
            <w:r w:rsidR="00FD7F14">
              <w:rPr>
                <w:sz w:val="20"/>
              </w:rPr>
              <w:t xml:space="preserve">ninguna </w:t>
            </w:r>
            <w:r>
              <w:rPr>
                <w:sz w:val="20"/>
              </w:rPr>
              <w:t>evaluación</w:t>
            </w:r>
            <w:r>
              <w:t>.</w:t>
            </w:r>
          </w:p>
          <w:p w14:paraId="7FE1C5ED" w14:textId="167C8EB3" w:rsidR="00414040" w:rsidRDefault="00904E1A">
            <w:pPr>
              <w:pStyle w:val="P68B1DB1-Normal67"/>
              <w:spacing w:line="276" w:lineRule="auto"/>
              <w:jc w:val="both"/>
              <w:rPr>
                <w:sz w:val="20"/>
                <w:szCs w:val="20"/>
                <w:lang w:val="es-ES"/>
              </w:rPr>
            </w:pPr>
            <w:r w:rsidRPr="2133F407">
              <w:rPr>
                <w:lang w:val="es-ES"/>
              </w:rPr>
              <w:t>«</w:t>
            </w:r>
            <w:r w:rsidRPr="2133F407">
              <w:rPr>
                <w:sz w:val="20"/>
                <w:szCs w:val="20"/>
                <w:lang w:val="es-ES"/>
              </w:rPr>
              <w:t>No APLICABLE»</w:t>
            </w:r>
            <w:r w:rsidR="0025183C">
              <w:rPr>
                <w:sz w:val="20"/>
                <w:szCs w:val="20"/>
                <w:lang w:val="es-ES"/>
              </w:rPr>
              <w:t>.</w:t>
            </w:r>
            <w:r w:rsidRPr="2133F407">
              <w:rPr>
                <w:sz w:val="20"/>
                <w:szCs w:val="20"/>
                <w:lang w:val="es-ES"/>
              </w:rPr>
              <w:t xml:space="preserve"> para los servicios </w:t>
            </w:r>
            <w:r w:rsidR="00FD7F14">
              <w:rPr>
                <w:sz w:val="20"/>
                <w:szCs w:val="20"/>
                <w:lang w:val="es-ES"/>
              </w:rPr>
              <w:t xml:space="preserve">internos (dentro </w:t>
            </w:r>
            <w:r w:rsidR="00C46264">
              <w:rPr>
                <w:sz w:val="20"/>
                <w:szCs w:val="20"/>
                <w:lang w:val="es-ES"/>
              </w:rPr>
              <w:t>del ente</w:t>
            </w:r>
            <w:r w:rsidR="00FD7F14">
              <w:rPr>
                <w:sz w:val="20"/>
                <w:szCs w:val="20"/>
                <w:lang w:val="es-ES"/>
              </w:rPr>
              <w:t>)</w:t>
            </w:r>
            <w:r w:rsidR="00FD7F14" w:rsidRPr="2133F407">
              <w:rPr>
                <w:sz w:val="20"/>
                <w:szCs w:val="20"/>
                <w:lang w:val="es-ES"/>
              </w:rPr>
              <w:t xml:space="preserve"> </w:t>
            </w:r>
            <w:r w:rsidRPr="2133F407">
              <w:rPr>
                <w:sz w:val="20"/>
                <w:szCs w:val="20"/>
                <w:lang w:val="es-ES"/>
              </w:rPr>
              <w:t xml:space="preserve">o para los servicios intragrupo y externos, si la estrategia de resolución (preferida </w:t>
            </w:r>
            <w:r w:rsidR="00791B59">
              <w:rPr>
                <w:sz w:val="20"/>
                <w:szCs w:val="20"/>
                <w:lang w:val="es-ES"/>
              </w:rPr>
              <w:t>o</w:t>
            </w:r>
            <w:r w:rsidRPr="2133F407">
              <w:rPr>
                <w:sz w:val="20"/>
                <w:szCs w:val="20"/>
                <w:lang w:val="es-ES"/>
              </w:rPr>
              <w:t xml:space="preserve"> variante) no requiere un plan de reorganización </w:t>
            </w:r>
            <w:r w:rsidRPr="00210421">
              <w:rPr>
                <w:sz w:val="20"/>
                <w:szCs w:val="20"/>
                <w:lang w:val="es-ES"/>
              </w:rPr>
              <w:t>de actividades</w:t>
            </w:r>
            <w:r w:rsidR="0025183C">
              <w:rPr>
                <w:sz w:val="20"/>
                <w:szCs w:val="20"/>
                <w:lang w:val="es-ES"/>
              </w:rPr>
              <w:t>.</w:t>
            </w:r>
          </w:p>
          <w:p w14:paraId="7FE1C5EE" w14:textId="77777777" w:rsidR="00414040" w:rsidRDefault="00414040">
            <w:pPr>
              <w:spacing w:line="276" w:lineRule="auto"/>
              <w:jc w:val="both"/>
              <w:rPr>
                <w:rFonts w:ascii="Times New Roman" w:hAnsi="Times New Roman"/>
                <w:i/>
                <w:sz w:val="20"/>
              </w:rPr>
            </w:pPr>
          </w:p>
        </w:tc>
      </w:tr>
      <w:tr w:rsidR="00414040" w14:paraId="7FE1C5F9" w14:textId="77777777" w:rsidTr="618604ED">
        <w:trPr>
          <w:trHeight w:val="463"/>
        </w:trPr>
        <w:tc>
          <w:tcPr>
            <w:tcW w:w="1418" w:type="dxa"/>
            <w:shd w:val="clear" w:color="auto" w:fill="FFFFFF" w:themeFill="background1"/>
          </w:tcPr>
          <w:p w14:paraId="7FE1C5F0" w14:textId="77777777" w:rsidR="00414040" w:rsidRDefault="00904E1A">
            <w:pPr>
              <w:pStyle w:val="P68B1DB1-Normal64"/>
              <w:spacing w:before="120" w:after="120" w:line="276" w:lineRule="auto"/>
              <w:rPr>
                <w:szCs w:val="20"/>
              </w:rPr>
            </w:pPr>
            <w:r>
              <w:t>0120</w:t>
            </w:r>
          </w:p>
        </w:tc>
        <w:tc>
          <w:tcPr>
            <w:tcW w:w="7791" w:type="dxa"/>
            <w:shd w:val="clear" w:color="auto" w:fill="FFFFFF" w:themeFill="background1"/>
          </w:tcPr>
          <w:p w14:paraId="7FE1C5F1" w14:textId="437B2844" w:rsidR="00414040" w:rsidRDefault="00904E1A">
            <w:pPr>
              <w:pStyle w:val="P68B1DB1-Normal64"/>
              <w:spacing w:line="276" w:lineRule="auto"/>
              <w:jc w:val="both"/>
            </w:pPr>
            <w:r>
              <w:rPr>
                <w:b/>
              </w:rPr>
              <w:t>Medidas de mitigación</w:t>
            </w:r>
            <w:r>
              <w:t xml:space="preserve"> </w:t>
            </w:r>
            <w:r w:rsidR="003F58F7">
              <w:rPr>
                <w:b/>
              </w:rPr>
              <w:t>alternativas</w:t>
            </w:r>
          </w:p>
          <w:p w14:paraId="7FE1C5F2" w14:textId="46A91CBE" w:rsidR="00414040" w:rsidRDefault="00904E1A">
            <w:pPr>
              <w:pStyle w:val="P68B1DB1-Normal64"/>
              <w:spacing w:line="276" w:lineRule="auto"/>
              <w:jc w:val="both"/>
            </w:pPr>
            <w:r>
              <w:t xml:space="preserve">Cuando se espera lograr la resiliencia </w:t>
            </w:r>
            <w:r w:rsidR="00D70F43" w:rsidRPr="00D04CC1">
              <w:t>en</w:t>
            </w:r>
            <w:r>
              <w:t xml:space="preserve"> resolución, pero los bancos no han podido </w:t>
            </w:r>
            <w:r w:rsidR="00760EE5">
              <w:t>alcanzarla</w:t>
            </w:r>
            <w:r>
              <w:t xml:space="preserve">, se espera que los bancos </w:t>
            </w:r>
            <w:r w:rsidR="00D70F43">
              <w:t xml:space="preserve">exploren </w:t>
            </w:r>
            <w:r>
              <w:t>medidas de mitigación</w:t>
            </w:r>
            <w:r w:rsidR="003F58F7">
              <w:t xml:space="preserve"> alternativas</w:t>
            </w:r>
            <w:r>
              <w:t xml:space="preserve">. </w:t>
            </w:r>
          </w:p>
          <w:p w14:paraId="7FE1C5F3" w14:textId="77777777" w:rsidR="00414040" w:rsidRDefault="00414040">
            <w:pPr>
              <w:spacing w:line="276" w:lineRule="auto"/>
              <w:jc w:val="both"/>
              <w:rPr>
                <w:rFonts w:ascii="Times New Roman" w:hAnsi="Times New Roman"/>
                <w:sz w:val="20"/>
              </w:rPr>
            </w:pPr>
          </w:p>
          <w:p w14:paraId="7FE1C5F4" w14:textId="60C07917" w:rsidR="00414040" w:rsidRDefault="00904E1A">
            <w:pPr>
              <w:pStyle w:val="P68B1DB1-Normal64"/>
              <w:spacing w:line="276" w:lineRule="auto"/>
              <w:jc w:val="both"/>
            </w:pPr>
            <w:r>
              <w:t xml:space="preserve">Se indicará uno de los siguientes </w:t>
            </w:r>
            <w:r w:rsidR="77F6E428">
              <w:t>valores</w:t>
            </w:r>
            <w:r>
              <w:t>:</w:t>
            </w:r>
          </w:p>
          <w:p w14:paraId="7FE1C5F5" w14:textId="52F25FEA" w:rsidR="00414040" w:rsidRDefault="00904E1A">
            <w:pPr>
              <w:pStyle w:val="P68B1DB1-Normal67"/>
              <w:spacing w:line="276" w:lineRule="auto"/>
              <w:jc w:val="both"/>
              <w:rPr>
                <w:iCs/>
                <w:sz w:val="20"/>
              </w:rPr>
            </w:pPr>
            <w:r>
              <w:t>«</w:t>
            </w:r>
            <w:r>
              <w:rPr>
                <w:sz w:val="20"/>
              </w:rPr>
              <w:t>Sí»</w:t>
            </w:r>
            <w:r w:rsidR="00E3556C">
              <w:rPr>
                <w:sz w:val="20"/>
              </w:rPr>
              <w:t>.</w:t>
            </w:r>
            <w:r>
              <w:rPr>
                <w:sz w:val="20"/>
              </w:rPr>
              <w:t xml:space="preserve"> si el banco ha aplicado medidas de mitigación alternativas</w:t>
            </w:r>
          </w:p>
          <w:p w14:paraId="7FE1C5F6" w14:textId="375677D0" w:rsidR="00414040" w:rsidRDefault="00904E1A">
            <w:pPr>
              <w:pStyle w:val="P68B1DB1-Normal67"/>
              <w:spacing w:line="276" w:lineRule="auto"/>
              <w:jc w:val="both"/>
              <w:rPr>
                <w:iCs/>
                <w:sz w:val="20"/>
              </w:rPr>
            </w:pPr>
            <w:r>
              <w:t>«</w:t>
            </w:r>
            <w:r>
              <w:rPr>
                <w:sz w:val="20"/>
              </w:rPr>
              <w:t>No»</w:t>
            </w:r>
            <w:r w:rsidR="00E3556C">
              <w:rPr>
                <w:sz w:val="20"/>
              </w:rPr>
              <w:t>,</w:t>
            </w:r>
            <w:r>
              <w:rPr>
                <w:sz w:val="20"/>
              </w:rPr>
              <w:t xml:space="preserve"> si el banco no ha aplicado medidas de mitigación alternativas</w:t>
            </w:r>
          </w:p>
          <w:p w14:paraId="7FE1C5F7" w14:textId="144604B7" w:rsidR="00414040" w:rsidRDefault="00904E1A">
            <w:pPr>
              <w:pStyle w:val="P68B1DB1-Normal67"/>
              <w:spacing w:line="276" w:lineRule="auto"/>
              <w:jc w:val="both"/>
              <w:rPr>
                <w:iCs/>
                <w:sz w:val="20"/>
              </w:rPr>
            </w:pPr>
            <w:r>
              <w:t>«</w:t>
            </w:r>
            <w:r>
              <w:rPr>
                <w:sz w:val="20"/>
              </w:rPr>
              <w:t>NO APLICABLE»</w:t>
            </w:r>
            <w:r w:rsidR="00E3556C">
              <w:rPr>
                <w:sz w:val="20"/>
              </w:rPr>
              <w:t>.</w:t>
            </w:r>
            <w:r>
              <w:rPr>
                <w:sz w:val="20"/>
              </w:rPr>
              <w:t xml:space="preserve"> en los casos en que alguna de las columnas 0150 </w:t>
            </w:r>
            <w:r w:rsidR="003F58F7">
              <w:rPr>
                <w:sz w:val="20"/>
              </w:rPr>
              <w:t>o</w:t>
            </w:r>
            <w:r>
              <w:rPr>
                <w:sz w:val="20"/>
              </w:rPr>
              <w:t xml:space="preserve"> 0160 esté marcada como «Sí» o «NO APLICABLE»</w:t>
            </w:r>
          </w:p>
          <w:p w14:paraId="7FE1C5F8" w14:textId="77777777" w:rsidR="00414040" w:rsidRDefault="00414040">
            <w:pPr>
              <w:spacing w:line="276" w:lineRule="auto"/>
              <w:jc w:val="both"/>
              <w:rPr>
                <w:rFonts w:ascii="Times New Roman" w:hAnsi="Times New Roman"/>
                <w:sz w:val="20"/>
              </w:rPr>
            </w:pPr>
          </w:p>
        </w:tc>
      </w:tr>
    </w:tbl>
    <w:p w14:paraId="7FE1C5FA" w14:textId="77777777" w:rsidR="00414040" w:rsidRDefault="00414040">
      <w:pPr>
        <w:rPr>
          <w:rFonts w:ascii="Times New Roman" w:eastAsia="Times New Roman" w:hAnsi="Times New Roman" w:cs="Times New Roman"/>
          <w:sz w:val="20"/>
          <w:szCs w:val="20"/>
          <w:u w:val="single"/>
        </w:rPr>
      </w:pPr>
    </w:p>
    <w:p w14:paraId="7FE1C5FB" w14:textId="77777777" w:rsidR="00414040" w:rsidRDefault="00414040">
      <w:pPr>
        <w:rPr>
          <w:rFonts w:ascii="Times New Roman" w:hAnsi="Times New Roman" w:cs="Times New Roman"/>
        </w:rPr>
      </w:pPr>
    </w:p>
    <w:p w14:paraId="7FE1C5FC" w14:textId="49FBB837" w:rsidR="00414040" w:rsidRDefault="00904E1A">
      <w:pPr>
        <w:pStyle w:val="P68B1DB1-Instructionsberschrift25"/>
        <w:numPr>
          <w:ilvl w:val="1"/>
          <w:numId w:val="49"/>
        </w:numPr>
        <w:ind w:left="357" w:hanging="357"/>
        <w:rPr>
          <w:rFonts w:eastAsia="Calibri"/>
          <w:szCs w:val="20"/>
        </w:rPr>
      </w:pPr>
      <w:bookmarkStart w:id="130" w:name="_Toc211525935"/>
      <w:r>
        <w:t>Z 08.03 — Servicios pertinentes: correspondencia con las funciones (SERV 3)</w:t>
      </w:r>
      <w:bookmarkEnd w:id="130"/>
    </w:p>
    <w:p w14:paraId="7FE1C5FD" w14:textId="77777777" w:rsidR="00414040" w:rsidRDefault="00904E1A">
      <w:pPr>
        <w:pStyle w:val="P68B1DB1-Normal50"/>
        <w:spacing w:line="276" w:lineRule="auto"/>
        <w:jc w:val="both"/>
      </w:pPr>
      <w:r>
        <w:t>Instrucciones generales</w:t>
      </w:r>
    </w:p>
    <w:p w14:paraId="7FE1C5FE" w14:textId="6E5BDEA4" w:rsidR="00414040" w:rsidRDefault="00904E1A">
      <w:pPr>
        <w:pStyle w:val="P68B1DB1-Instructionsberschrift346"/>
        <w:numPr>
          <w:ilvl w:val="2"/>
          <w:numId w:val="211"/>
        </w:numPr>
        <w:ind w:left="993"/>
        <w:contextualSpacing/>
        <w:jc w:val="both"/>
      </w:pPr>
      <w:r w:rsidRPr="20357A0A">
        <w:rPr>
          <w:color w:val="auto"/>
        </w:rPr>
        <w:t xml:space="preserve">La información incluida en esta plantilla, que se </w:t>
      </w:r>
      <w:r w:rsidR="00BD71BE" w:rsidRPr="20357A0A">
        <w:rPr>
          <w:color w:val="auto"/>
        </w:rPr>
        <w:t xml:space="preserve">declarará </w:t>
      </w:r>
      <w:r w:rsidRPr="20357A0A">
        <w:rPr>
          <w:color w:val="auto"/>
        </w:rPr>
        <w:t xml:space="preserve">una </w:t>
      </w:r>
      <w:r w:rsidR="007239DA" w:rsidRPr="20357A0A">
        <w:rPr>
          <w:color w:val="auto"/>
        </w:rPr>
        <w:t xml:space="preserve">sola </w:t>
      </w:r>
      <w:r w:rsidRPr="20357A0A">
        <w:rPr>
          <w:color w:val="auto"/>
        </w:rPr>
        <w:t xml:space="preserve">vez para </w:t>
      </w:r>
      <w:r w:rsidR="007239DA" w:rsidRPr="20357A0A">
        <w:rPr>
          <w:color w:val="auto"/>
        </w:rPr>
        <w:t xml:space="preserve">todo </w:t>
      </w:r>
      <w:r w:rsidRPr="20357A0A">
        <w:rPr>
          <w:color w:val="auto"/>
        </w:rPr>
        <w:t xml:space="preserve">el grupo, detalla los servicios </w:t>
      </w:r>
      <w:r w:rsidR="008C15E7">
        <w:rPr>
          <w:color w:val="auto"/>
        </w:rPr>
        <w:t>pertinentes</w:t>
      </w:r>
      <w:r w:rsidR="00776164" w:rsidRPr="20357A0A">
        <w:rPr>
          <w:color w:val="auto"/>
        </w:rPr>
        <w:t xml:space="preserve"> </w:t>
      </w:r>
      <w:r w:rsidRPr="20357A0A">
        <w:rPr>
          <w:color w:val="auto"/>
        </w:rPr>
        <w:t xml:space="preserve">recibidos por cualquier ente del grupo y los vincula con las funciones </w:t>
      </w:r>
      <w:r w:rsidR="005322A0">
        <w:rPr>
          <w:color w:val="auto"/>
        </w:rPr>
        <w:t>pertinente</w:t>
      </w:r>
      <w:r w:rsidRPr="20357A0A">
        <w:rPr>
          <w:color w:val="auto"/>
        </w:rPr>
        <w:t>s</w:t>
      </w:r>
      <w:proofErr w:type="gramStart"/>
      <w:r w:rsidRPr="20357A0A">
        <w:rPr>
          <w:color w:val="auto"/>
        </w:rPr>
        <w:t xml:space="preserve"> </w:t>
      </w:r>
      <w:r w:rsidR="000A5E17">
        <w:t>.</w:t>
      </w:r>
      <w:r>
        <w:t>.</w:t>
      </w:r>
      <w:proofErr w:type="gramEnd"/>
    </w:p>
    <w:p w14:paraId="7FE1C5FF" w14:textId="25826CA7" w:rsidR="00414040" w:rsidRDefault="00904E1A">
      <w:pPr>
        <w:pStyle w:val="P68B1DB1-Instructionsberschrift368"/>
        <w:numPr>
          <w:ilvl w:val="2"/>
          <w:numId w:val="211"/>
        </w:numPr>
        <w:ind w:left="993"/>
        <w:contextualSpacing/>
        <w:jc w:val="both"/>
      </w:pPr>
      <w:r>
        <w:t xml:space="preserve">Los valores </w:t>
      </w:r>
      <w:r w:rsidR="00F05271">
        <w:t xml:space="preserve">declarados </w:t>
      </w:r>
      <w:r>
        <w:t xml:space="preserve">en las columnas 0010, 0020 y 0030 de esta plantilla </w:t>
      </w:r>
      <w:r w:rsidR="00A9790F">
        <w:t xml:space="preserve">constituyen </w:t>
      </w:r>
      <w:r>
        <w:t>una clave principal, que debe ser única para cada fila de la plantilla.</w:t>
      </w:r>
    </w:p>
    <w:p w14:paraId="7FE1C604" w14:textId="77777777" w:rsidR="00414040" w:rsidRDefault="00414040">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414040" w14:paraId="7FE1C607" w14:textId="77777777">
        <w:trPr>
          <w:trHeight w:val="519"/>
          <w:tblHeader/>
        </w:trPr>
        <w:tc>
          <w:tcPr>
            <w:tcW w:w="1418" w:type="dxa"/>
            <w:shd w:val="clear" w:color="auto" w:fill="D9D9D9" w:themeFill="background1" w:themeFillShade="D9"/>
          </w:tcPr>
          <w:p w14:paraId="7FE1C605" w14:textId="77777777" w:rsidR="00414040" w:rsidRDefault="00904E1A">
            <w:pPr>
              <w:pStyle w:val="P68B1DB1-Normal61"/>
              <w:spacing w:before="120" w:after="120" w:line="276" w:lineRule="auto"/>
            </w:pPr>
            <w:r>
              <w:t>Columnas</w:t>
            </w:r>
          </w:p>
        </w:tc>
        <w:tc>
          <w:tcPr>
            <w:tcW w:w="7649" w:type="dxa"/>
            <w:shd w:val="clear" w:color="auto" w:fill="D9D9D9" w:themeFill="background1" w:themeFillShade="D9"/>
          </w:tcPr>
          <w:p w14:paraId="7FE1C606" w14:textId="77777777" w:rsidR="00414040" w:rsidRDefault="00904E1A">
            <w:pPr>
              <w:pStyle w:val="P68B1DB1-Normal61"/>
              <w:spacing w:before="120" w:after="120" w:line="276" w:lineRule="auto"/>
            </w:pPr>
            <w:r>
              <w:t>Instrucciones</w:t>
            </w:r>
          </w:p>
        </w:tc>
      </w:tr>
      <w:tr w:rsidR="00414040" w14:paraId="7FE1C60C" w14:textId="77777777">
        <w:trPr>
          <w:trHeight w:val="450"/>
        </w:trPr>
        <w:tc>
          <w:tcPr>
            <w:tcW w:w="1418" w:type="dxa"/>
          </w:tcPr>
          <w:p w14:paraId="7FE1C608" w14:textId="77777777" w:rsidR="00414040" w:rsidRDefault="00904E1A">
            <w:pPr>
              <w:pStyle w:val="P68B1DB1-Normal62"/>
              <w:spacing w:before="120" w:after="120" w:line="276" w:lineRule="auto"/>
            </w:pPr>
            <w:r>
              <w:t>0005</w:t>
            </w:r>
          </w:p>
        </w:tc>
        <w:tc>
          <w:tcPr>
            <w:tcW w:w="7649" w:type="dxa"/>
          </w:tcPr>
          <w:p w14:paraId="7FE1C609" w14:textId="62D3579F" w:rsidR="00414040" w:rsidRDefault="00904E1A">
            <w:pPr>
              <w:pStyle w:val="P68B1DB1-Normal61"/>
              <w:spacing w:before="120" w:after="120" w:line="276" w:lineRule="auto"/>
              <w:rPr>
                <w:bCs/>
              </w:rPr>
            </w:pPr>
            <w:r w:rsidRPr="2133F407">
              <w:rPr>
                <w:lang w:val="es-ES"/>
              </w:rPr>
              <w:t>Identificador del servicio</w:t>
            </w:r>
          </w:p>
          <w:p w14:paraId="7FE1C60A" w14:textId="71D067CB" w:rsidR="00414040" w:rsidRDefault="00904E1A">
            <w:pPr>
              <w:pStyle w:val="P68B1DB1-Normal62"/>
              <w:spacing w:before="120" w:after="120" w:line="276" w:lineRule="auto"/>
            </w:pPr>
            <w:r w:rsidRPr="20357A0A">
              <w:rPr>
                <w:lang w:val="es-ES"/>
              </w:rPr>
              <w:t xml:space="preserve">Utilícese el identificador de servicio </w:t>
            </w:r>
            <w:proofErr w:type="gramStart"/>
            <w:r w:rsidR="7DF5955A" w:rsidRPr="20357A0A">
              <w:rPr>
                <w:lang w:val="es-ES"/>
              </w:rPr>
              <w:t xml:space="preserve">comunicado </w:t>
            </w:r>
            <w:r w:rsidRPr="20357A0A">
              <w:rPr>
                <w:lang w:val="es-ES"/>
              </w:rPr>
              <w:t xml:space="preserve"> en</w:t>
            </w:r>
            <w:proofErr w:type="gramEnd"/>
            <w:r w:rsidRPr="20357A0A">
              <w:rPr>
                <w:lang w:val="es-ES"/>
              </w:rPr>
              <w:t xml:space="preserve"> Z 08.01 (SERV 1).</w:t>
            </w:r>
          </w:p>
          <w:p w14:paraId="7FE1C60B" w14:textId="632ADCDE" w:rsidR="00414040" w:rsidRDefault="00904E1A">
            <w:pPr>
              <w:pStyle w:val="P68B1DB1-Normal62"/>
              <w:spacing w:before="120" w:after="120" w:line="276" w:lineRule="auto"/>
              <w:rPr>
                <w:iCs/>
              </w:rPr>
            </w:pPr>
            <w:r>
              <w:t>El identificador de</w:t>
            </w:r>
            <w:r w:rsidR="00273962">
              <w:t>l</w:t>
            </w:r>
            <w:r>
              <w:t xml:space="preserve"> servicio se refiere al servicio </w:t>
            </w:r>
            <w:r w:rsidR="00911572">
              <w:t xml:space="preserve">declarado </w:t>
            </w:r>
            <w:r>
              <w:t>en c0020.</w:t>
            </w:r>
          </w:p>
        </w:tc>
      </w:tr>
      <w:tr w:rsidR="00414040" w14:paraId="7FE1C650" w14:textId="77777777">
        <w:trPr>
          <w:trHeight w:val="450"/>
        </w:trPr>
        <w:tc>
          <w:tcPr>
            <w:tcW w:w="1418" w:type="dxa"/>
          </w:tcPr>
          <w:p w14:paraId="7FE1C60D" w14:textId="77777777" w:rsidR="00414040" w:rsidRDefault="00904E1A">
            <w:pPr>
              <w:pStyle w:val="P68B1DB1-Normal62"/>
              <w:spacing w:before="120" w:after="120" w:line="276" w:lineRule="auto"/>
            </w:pPr>
            <w:r>
              <w:t>0010</w:t>
            </w:r>
          </w:p>
        </w:tc>
        <w:tc>
          <w:tcPr>
            <w:tcW w:w="7649" w:type="dxa"/>
          </w:tcPr>
          <w:p w14:paraId="7FE1C60E" w14:textId="77777777" w:rsidR="00414040" w:rsidRDefault="00904E1A">
            <w:pPr>
              <w:pStyle w:val="P68B1DB1-Normal61"/>
              <w:autoSpaceDE w:val="0"/>
              <w:autoSpaceDN w:val="0"/>
              <w:adjustRightInd w:val="0"/>
              <w:rPr>
                <w:rFonts w:eastAsia="MS Mincho"/>
                <w:bCs/>
              </w:rPr>
            </w:pPr>
            <w:r>
              <w:t xml:space="preserve">Tipo de servicio </w:t>
            </w:r>
          </w:p>
          <w:p w14:paraId="7FE1C645" w14:textId="7E680FE1" w:rsidR="00414040" w:rsidRDefault="00904E1A">
            <w:pPr>
              <w:pStyle w:val="P68B1DB1-Normal63"/>
              <w:autoSpaceDE w:val="0"/>
              <w:autoSpaceDN w:val="0"/>
              <w:adjustRightInd w:val="0"/>
            </w:pPr>
            <w:r w:rsidRPr="2133F407">
              <w:rPr>
                <w:lang w:val="es-ES"/>
              </w:rPr>
              <w:t xml:space="preserve">El tipo de servicio será uno de los tipos de servicios enumerados en Z 08.01 0010. </w:t>
            </w:r>
          </w:p>
          <w:p w14:paraId="7FE1C64F" w14:textId="2C039B1C" w:rsidR="00414040" w:rsidRDefault="00414040">
            <w:pPr>
              <w:spacing w:before="120" w:after="120" w:line="276" w:lineRule="auto"/>
              <w:rPr>
                <w:rFonts w:ascii="Times New Roman" w:hAnsi="Times New Roman"/>
                <w:sz w:val="20"/>
                <w:szCs w:val="20"/>
              </w:rPr>
            </w:pPr>
          </w:p>
        </w:tc>
      </w:tr>
      <w:tr w:rsidR="00414040" w14:paraId="7FE1C655" w14:textId="77777777">
        <w:trPr>
          <w:trHeight w:val="450"/>
        </w:trPr>
        <w:tc>
          <w:tcPr>
            <w:tcW w:w="1418" w:type="dxa"/>
          </w:tcPr>
          <w:p w14:paraId="7FE1C651" w14:textId="77777777" w:rsidR="00414040" w:rsidRDefault="00904E1A">
            <w:pPr>
              <w:pStyle w:val="P68B1DB1-Normal62"/>
              <w:spacing w:before="120" w:after="120" w:line="276" w:lineRule="auto"/>
            </w:pPr>
            <w:r>
              <w:t>0020</w:t>
            </w:r>
          </w:p>
        </w:tc>
        <w:tc>
          <w:tcPr>
            <w:tcW w:w="7649" w:type="dxa"/>
          </w:tcPr>
          <w:p w14:paraId="7FE1C652" w14:textId="793625C4" w:rsidR="00414040" w:rsidRDefault="00904E1A">
            <w:pPr>
              <w:pStyle w:val="P68B1DB1-Normal65"/>
              <w:spacing w:line="276" w:lineRule="auto"/>
              <w:jc w:val="both"/>
            </w:pPr>
            <w:r>
              <w:rPr>
                <w:szCs w:val="20"/>
              </w:rPr>
              <w:t xml:space="preserve">Título </w:t>
            </w:r>
            <w:r w:rsidR="002C7ABB">
              <w:rPr>
                <w:szCs w:val="20"/>
              </w:rPr>
              <w:t xml:space="preserve">único </w:t>
            </w:r>
            <w:r>
              <w:rPr>
                <w:szCs w:val="20"/>
              </w:rPr>
              <w:t>de</w:t>
            </w:r>
            <w:r w:rsidR="002C7ABB">
              <w:rPr>
                <w:szCs w:val="20"/>
              </w:rPr>
              <w:t>l</w:t>
            </w:r>
            <w:r>
              <w:rPr>
                <w:szCs w:val="20"/>
              </w:rPr>
              <w:t xml:space="preserve"> servicio con arreglo a la taxonomía bancaria</w:t>
            </w:r>
            <w:r>
              <w:t xml:space="preserve"> </w:t>
            </w:r>
          </w:p>
          <w:p w14:paraId="7FE1C653" w14:textId="177839B3" w:rsidR="00414040" w:rsidRDefault="00904E1A">
            <w:pPr>
              <w:pStyle w:val="P68B1DB1-Normal64"/>
              <w:rPr>
                <w:rFonts w:eastAsiaTheme="minorHAnsi"/>
                <w:sz w:val="24"/>
              </w:rPr>
            </w:pPr>
            <w:r>
              <w:t xml:space="preserve">Nombre/breve descripción del servicio con arreglo a la </w:t>
            </w:r>
            <w:r w:rsidR="00124673">
              <w:t xml:space="preserve">jerarquía de la </w:t>
            </w:r>
            <w:r>
              <w:t xml:space="preserve">taxonomía del banco (nivel 3), tal como se </w:t>
            </w:r>
            <w:r w:rsidR="00A203B6">
              <w:t xml:space="preserve">declara </w:t>
            </w:r>
            <w:r>
              <w:t xml:space="preserve">en la columna </w:t>
            </w:r>
            <w:r w:rsidR="000838C9">
              <w:t xml:space="preserve">0020 </w:t>
            </w:r>
            <w:r w:rsidR="00F0671B">
              <w:t xml:space="preserve">de </w:t>
            </w:r>
            <w:r w:rsidR="000838C9">
              <w:t xml:space="preserve">Z </w:t>
            </w:r>
            <w:r>
              <w:t xml:space="preserve">08.01 (SERV </w:t>
            </w:r>
            <w:r w:rsidR="000838C9">
              <w:t>1</w:t>
            </w:r>
            <w:r>
              <w:t xml:space="preserve">). Se espera que el banco </w:t>
            </w:r>
            <w:r w:rsidR="000E291E">
              <w:t xml:space="preserve">informe </w:t>
            </w:r>
            <w:r>
              <w:t xml:space="preserve">los servicios a un nivel más detallado que la información </w:t>
            </w:r>
            <w:r w:rsidR="000E291E">
              <w:t>declarada d</w:t>
            </w:r>
            <w:r>
              <w:t>el nivel 2 (c0010), de modo que cada servicio concreto se defina de manera precisa y específica.</w:t>
            </w:r>
          </w:p>
          <w:p w14:paraId="7FE1C654" w14:textId="77777777" w:rsidR="00414040" w:rsidRDefault="00414040">
            <w:pPr>
              <w:spacing w:before="120" w:after="120" w:line="276" w:lineRule="auto"/>
              <w:rPr>
                <w:rFonts w:ascii="Times New Roman" w:hAnsi="Times New Roman"/>
                <w:sz w:val="20"/>
                <w:szCs w:val="20"/>
              </w:rPr>
            </w:pPr>
          </w:p>
        </w:tc>
      </w:tr>
      <w:tr w:rsidR="00414040" w14:paraId="7FE1C65A" w14:textId="77777777">
        <w:trPr>
          <w:trHeight w:val="450"/>
        </w:trPr>
        <w:tc>
          <w:tcPr>
            <w:tcW w:w="1418" w:type="dxa"/>
          </w:tcPr>
          <w:p w14:paraId="7FE1C656" w14:textId="77777777" w:rsidR="00414040" w:rsidRDefault="00904E1A">
            <w:pPr>
              <w:pStyle w:val="P68B1DB1-Normal62"/>
              <w:spacing w:before="120" w:after="120" w:line="276" w:lineRule="auto"/>
              <w:rPr>
                <w:b/>
              </w:rPr>
            </w:pPr>
            <w:r>
              <w:t>0030</w:t>
            </w:r>
          </w:p>
        </w:tc>
        <w:tc>
          <w:tcPr>
            <w:tcW w:w="7649" w:type="dxa"/>
          </w:tcPr>
          <w:p w14:paraId="7FE1C657" w14:textId="636417A3" w:rsidR="00414040" w:rsidRDefault="00904E1A">
            <w:pPr>
              <w:pStyle w:val="P68B1DB1-Normal65"/>
              <w:spacing w:before="120" w:after="120" w:line="276" w:lineRule="auto"/>
              <w:rPr>
                <w:bCs/>
              </w:rPr>
            </w:pPr>
            <w:r>
              <w:rPr>
                <w:szCs w:val="20"/>
              </w:rPr>
              <w:t xml:space="preserve">Identificador de </w:t>
            </w:r>
            <w:r w:rsidR="00D27965">
              <w:rPr>
                <w:szCs w:val="20"/>
              </w:rPr>
              <w:t xml:space="preserve">la </w:t>
            </w:r>
            <w:r>
              <w:rPr>
                <w:szCs w:val="20"/>
              </w:rPr>
              <w:t>función</w:t>
            </w:r>
            <w:r>
              <w:t xml:space="preserve"> </w:t>
            </w:r>
          </w:p>
          <w:p w14:paraId="7FE1C658" w14:textId="7A4A47F0" w:rsidR="00414040" w:rsidRDefault="00904E1A">
            <w:pPr>
              <w:pStyle w:val="P68B1DB1-Normal64"/>
              <w:spacing w:before="120" w:after="120" w:line="276" w:lineRule="auto"/>
            </w:pPr>
            <w:r>
              <w:t xml:space="preserve">El identificador de </w:t>
            </w:r>
            <w:r w:rsidR="00D27965">
              <w:t xml:space="preserve">la </w:t>
            </w:r>
            <w:r>
              <w:t xml:space="preserve">función se refiere a la función </w:t>
            </w:r>
            <w:r w:rsidR="002C6A20">
              <w:t>declarad</w:t>
            </w:r>
            <w:r w:rsidR="00D27965">
              <w:t>a</w:t>
            </w:r>
            <w:r>
              <w:t xml:space="preserve"> en c0040.</w:t>
            </w:r>
          </w:p>
          <w:p w14:paraId="7FE1C659" w14:textId="77777777" w:rsidR="00414040" w:rsidRDefault="00414040">
            <w:pPr>
              <w:spacing w:before="120" w:after="120" w:line="276" w:lineRule="auto"/>
              <w:rPr>
                <w:rFonts w:ascii="Times New Roman" w:hAnsi="Times New Roman"/>
                <w:sz w:val="20"/>
                <w:szCs w:val="20"/>
              </w:rPr>
            </w:pPr>
          </w:p>
        </w:tc>
      </w:tr>
      <w:tr w:rsidR="00414040" w14:paraId="7FE1C65F" w14:textId="77777777">
        <w:trPr>
          <w:trHeight w:val="450"/>
        </w:trPr>
        <w:tc>
          <w:tcPr>
            <w:tcW w:w="1418" w:type="dxa"/>
          </w:tcPr>
          <w:p w14:paraId="7FE1C65B" w14:textId="77777777" w:rsidR="00414040" w:rsidRDefault="00904E1A">
            <w:pPr>
              <w:pStyle w:val="P68B1DB1-Normal62"/>
              <w:spacing w:before="120" w:after="120" w:line="276" w:lineRule="auto"/>
            </w:pPr>
            <w:r>
              <w:t>0040</w:t>
            </w:r>
          </w:p>
        </w:tc>
        <w:tc>
          <w:tcPr>
            <w:tcW w:w="7649" w:type="dxa"/>
          </w:tcPr>
          <w:p w14:paraId="7FE1C65C" w14:textId="0EB6C012" w:rsidR="00414040" w:rsidRDefault="00904E1A">
            <w:pPr>
              <w:pStyle w:val="P68B1DB1-Normal61"/>
              <w:spacing w:before="120" w:after="120" w:line="276" w:lineRule="auto"/>
              <w:rPr>
                <w:bCs/>
              </w:rPr>
            </w:pPr>
            <w:r w:rsidRPr="15AC51A2">
              <w:rPr>
                <w:lang w:val="es-ES"/>
              </w:rPr>
              <w:t>Nombre de</w:t>
            </w:r>
            <w:r w:rsidR="00AC56C3" w:rsidRPr="15AC51A2">
              <w:rPr>
                <w:lang w:val="es-ES"/>
              </w:rPr>
              <w:t xml:space="preserve"> la función</w:t>
            </w:r>
          </w:p>
          <w:p w14:paraId="7FE1C65D" w14:textId="22CE2424" w:rsidR="00414040" w:rsidRDefault="00904E1A">
            <w:pPr>
              <w:pStyle w:val="P68B1DB1-Normal64"/>
              <w:spacing w:line="276" w:lineRule="auto"/>
              <w:jc w:val="both"/>
            </w:pPr>
            <w:r>
              <w:t>El nombre interno utilizado para la función específica.</w:t>
            </w:r>
          </w:p>
          <w:p w14:paraId="7FE1C65E" w14:textId="77777777" w:rsidR="00414040" w:rsidRDefault="00414040">
            <w:pPr>
              <w:spacing w:before="120" w:after="120" w:line="276" w:lineRule="auto"/>
              <w:rPr>
                <w:rFonts w:ascii="Times New Roman" w:hAnsi="Times New Roman"/>
                <w:sz w:val="20"/>
                <w:szCs w:val="20"/>
              </w:rPr>
            </w:pPr>
          </w:p>
        </w:tc>
      </w:tr>
      <w:tr w:rsidR="00414040" w14:paraId="7FE1C664" w14:textId="77777777">
        <w:trPr>
          <w:trHeight w:val="450"/>
        </w:trPr>
        <w:tc>
          <w:tcPr>
            <w:tcW w:w="1418" w:type="dxa"/>
          </w:tcPr>
          <w:p w14:paraId="7FE1C660" w14:textId="77777777" w:rsidR="00414040" w:rsidRDefault="00904E1A">
            <w:pPr>
              <w:pStyle w:val="P68B1DB1-Normal62"/>
              <w:spacing w:before="120" w:after="120" w:line="276" w:lineRule="auto"/>
            </w:pPr>
            <w:r>
              <w:t>0050</w:t>
            </w:r>
          </w:p>
        </w:tc>
        <w:tc>
          <w:tcPr>
            <w:tcW w:w="7649" w:type="dxa"/>
          </w:tcPr>
          <w:p w14:paraId="7FE1C661" w14:textId="77777777" w:rsidR="00414040" w:rsidRDefault="00904E1A">
            <w:pPr>
              <w:pStyle w:val="P68B1DB1-Normal61"/>
              <w:spacing w:before="120" w:after="120" w:line="276" w:lineRule="auto"/>
              <w:rPr>
                <w:bCs/>
              </w:rPr>
            </w:pPr>
            <w:r>
              <w:t>Departamento</w:t>
            </w:r>
          </w:p>
          <w:p w14:paraId="7FE1C662" w14:textId="13F32C03" w:rsidR="00414040" w:rsidRDefault="00904E1A">
            <w:pPr>
              <w:pStyle w:val="P68B1DB1-Normal64"/>
              <w:spacing w:line="276" w:lineRule="auto"/>
              <w:jc w:val="both"/>
            </w:pPr>
            <w:r>
              <w:lastRenderedPageBreak/>
              <w:t xml:space="preserve">El nombre interno utilizado para el </w:t>
            </w:r>
            <w:r w:rsidR="00154DEA">
              <w:t xml:space="preserve">departamento </w:t>
            </w:r>
            <w:r>
              <w:t>específico al que pertenece el nombre de la función que figura en c0040.</w:t>
            </w:r>
          </w:p>
          <w:p w14:paraId="7FE1C663" w14:textId="77777777" w:rsidR="00414040" w:rsidRDefault="00414040">
            <w:pPr>
              <w:spacing w:line="276" w:lineRule="auto"/>
              <w:jc w:val="both"/>
              <w:rPr>
                <w:rFonts w:ascii="Times New Roman" w:hAnsi="Times New Roman"/>
                <w:iCs/>
                <w:sz w:val="20"/>
              </w:rPr>
            </w:pPr>
          </w:p>
        </w:tc>
      </w:tr>
      <w:tr w:rsidR="00414040" w14:paraId="7FE1C66C" w14:textId="77777777">
        <w:trPr>
          <w:trHeight w:val="450"/>
        </w:trPr>
        <w:tc>
          <w:tcPr>
            <w:tcW w:w="1418" w:type="dxa"/>
          </w:tcPr>
          <w:p w14:paraId="7FE1C665" w14:textId="77777777" w:rsidR="00414040" w:rsidRDefault="00904E1A">
            <w:pPr>
              <w:pStyle w:val="P68B1DB1-Normal62"/>
              <w:spacing w:before="120" w:after="120" w:line="276" w:lineRule="auto"/>
            </w:pPr>
            <w:r>
              <w:lastRenderedPageBreak/>
              <w:t>0060</w:t>
            </w:r>
          </w:p>
        </w:tc>
        <w:tc>
          <w:tcPr>
            <w:tcW w:w="7649" w:type="dxa"/>
          </w:tcPr>
          <w:p w14:paraId="7FE1C666" w14:textId="72EC2EC7" w:rsidR="00414040" w:rsidRDefault="002C20C1">
            <w:pPr>
              <w:pStyle w:val="P68B1DB1-Normal61"/>
              <w:spacing w:before="120" w:after="120" w:line="276" w:lineRule="auto"/>
              <w:rPr>
                <w:bCs/>
              </w:rPr>
            </w:pPr>
            <w:r>
              <w:t xml:space="preserve">Carácter </w:t>
            </w:r>
            <w:r w:rsidRPr="00D44C08">
              <w:t>esencial</w:t>
            </w:r>
          </w:p>
          <w:p w14:paraId="7FE1C667" w14:textId="69CB7144" w:rsidR="00414040" w:rsidRDefault="00904E1A">
            <w:pPr>
              <w:pStyle w:val="P68B1DB1-Normal64"/>
              <w:spacing w:line="276" w:lineRule="auto"/>
              <w:jc w:val="both"/>
              <w:rPr>
                <w:iCs/>
              </w:rPr>
            </w:pPr>
            <w:r>
              <w:t xml:space="preserve">Se indicará uno de los siguientes </w:t>
            </w:r>
            <w:r w:rsidR="7062E534">
              <w:t>valores</w:t>
            </w:r>
            <w:r>
              <w:t>:</w:t>
            </w:r>
          </w:p>
          <w:p w14:paraId="7FE1C668" w14:textId="72E8215A" w:rsidR="00414040" w:rsidRDefault="00755F6F">
            <w:pPr>
              <w:pStyle w:val="P68B1DB1-ListParagraph58"/>
              <w:numPr>
                <w:ilvl w:val="0"/>
                <w:numId w:val="236"/>
              </w:numPr>
              <w:spacing w:line="276" w:lineRule="auto"/>
              <w:contextualSpacing/>
              <w:jc w:val="both"/>
              <w:rPr>
                <w:iCs/>
              </w:rPr>
            </w:pPr>
            <w:r>
              <w:t>Esencial</w:t>
            </w:r>
            <w:r w:rsidR="00904E1A">
              <w:t xml:space="preserve">: si el servicio es necesario para el desempeño de una o varias funciones esenciales cuya discontinuidad obstaculizaría </w:t>
            </w:r>
            <w:r w:rsidR="00092B87">
              <w:t xml:space="preserve">gravemente </w:t>
            </w:r>
            <w:r w:rsidR="00904E1A">
              <w:t>o impediría el desempeño de dichas funciones esenciales.</w:t>
            </w:r>
          </w:p>
          <w:p w14:paraId="7FE1C669" w14:textId="4E54691D" w:rsidR="00414040" w:rsidRDefault="00755F6F">
            <w:pPr>
              <w:pStyle w:val="P68B1DB1-ListParagraph58"/>
              <w:numPr>
                <w:ilvl w:val="0"/>
                <w:numId w:val="236"/>
              </w:numPr>
              <w:spacing w:line="276" w:lineRule="auto"/>
              <w:contextualSpacing/>
              <w:jc w:val="both"/>
              <w:rPr>
                <w:iCs/>
              </w:rPr>
            </w:pPr>
            <w:r>
              <w:t>Principal</w:t>
            </w:r>
            <w:r w:rsidR="00904E1A">
              <w:t>: si el servicio está asociado a ramas de actividad principales, cuya continuidad es necesaria para la ejecución efectiva de la estrategia de resolución y cualquier reestructuración consiguiente.</w:t>
            </w:r>
          </w:p>
          <w:p w14:paraId="7FE1C66A" w14:textId="272748D3" w:rsidR="00414040" w:rsidRDefault="00755F6F">
            <w:pPr>
              <w:pStyle w:val="P68B1DB1-ListParagraph58"/>
              <w:numPr>
                <w:ilvl w:val="0"/>
                <w:numId w:val="236"/>
              </w:numPr>
              <w:spacing w:line="276" w:lineRule="auto"/>
              <w:contextualSpacing/>
              <w:jc w:val="both"/>
              <w:rPr>
                <w:iCs/>
              </w:rPr>
            </w:pPr>
            <w:r>
              <w:t>Esencial</w:t>
            </w:r>
            <w:r w:rsidR="00904E1A">
              <w:t xml:space="preserve"> y </w:t>
            </w:r>
            <w:r>
              <w:t>prin</w:t>
            </w:r>
            <w:r w:rsidR="00904E1A">
              <w:t>ci</w:t>
            </w:r>
            <w:r>
              <w:t>p</w:t>
            </w:r>
            <w:r w:rsidR="00904E1A">
              <w:t>al</w:t>
            </w:r>
          </w:p>
          <w:p w14:paraId="7FE1C66B" w14:textId="77777777" w:rsidR="00414040" w:rsidRDefault="00414040">
            <w:pPr>
              <w:spacing w:before="120" w:after="120" w:line="276" w:lineRule="auto"/>
              <w:rPr>
                <w:rFonts w:ascii="Times New Roman" w:hAnsi="Times New Roman"/>
                <w:sz w:val="20"/>
                <w:szCs w:val="20"/>
              </w:rPr>
            </w:pPr>
          </w:p>
        </w:tc>
      </w:tr>
    </w:tbl>
    <w:p w14:paraId="7FE1C6D5" w14:textId="77777777" w:rsidR="00414040" w:rsidRDefault="00414040">
      <w:pPr>
        <w:rPr>
          <w:rFonts w:ascii="Times New Roman" w:hAnsi="Times New Roman" w:cs="Times New Roman"/>
        </w:rPr>
      </w:pPr>
    </w:p>
    <w:p w14:paraId="7FE1C6D6" w14:textId="7CD80559" w:rsidR="00414040" w:rsidRDefault="00904E1A">
      <w:pPr>
        <w:pStyle w:val="P68B1DB1-Instructionsberschrift25"/>
        <w:numPr>
          <w:ilvl w:val="1"/>
          <w:numId w:val="49"/>
        </w:numPr>
        <w:ind w:left="357" w:hanging="357"/>
        <w:rPr>
          <w:rFonts w:eastAsia="Calibri"/>
          <w:szCs w:val="20"/>
        </w:rPr>
      </w:pPr>
      <w:bookmarkStart w:id="131" w:name="_Toc211525936"/>
      <w:r>
        <w:t>Z 08.04. Servicios esenciales: correspondencia con las funciones esenciales (SERV 4)</w:t>
      </w:r>
      <w:bookmarkEnd w:id="131"/>
    </w:p>
    <w:p w14:paraId="7FE1C6D7" w14:textId="77777777" w:rsidR="00414040" w:rsidRDefault="00904E1A">
      <w:pPr>
        <w:pStyle w:val="P68B1DB1-Instructionsberschrift269"/>
        <w:ind w:left="357"/>
      </w:pPr>
      <w:bookmarkStart w:id="132" w:name="_Toc164263859"/>
      <w:bookmarkStart w:id="133" w:name="_Toc211525937"/>
      <w:r>
        <w:t>Instrucciones generales</w:t>
      </w:r>
      <w:bookmarkEnd w:id="132"/>
      <w:bookmarkEnd w:id="133"/>
    </w:p>
    <w:p w14:paraId="7FE1C6D8" w14:textId="77777777" w:rsidR="00414040" w:rsidRDefault="00414040">
      <w:pPr>
        <w:spacing w:line="276" w:lineRule="auto"/>
        <w:jc w:val="both"/>
        <w:rPr>
          <w:rFonts w:ascii="Times New Roman" w:eastAsia="Calibri" w:hAnsi="Times New Roman" w:cs="Times New Roman"/>
          <w:sz w:val="20"/>
          <w:szCs w:val="20"/>
        </w:rPr>
      </w:pPr>
    </w:p>
    <w:p w14:paraId="7FE1C6D9" w14:textId="06A73B06" w:rsidR="00414040" w:rsidRDefault="00904E1A">
      <w:pPr>
        <w:pStyle w:val="P68B1DB1-ListParagraph53"/>
        <w:numPr>
          <w:ilvl w:val="0"/>
          <w:numId w:val="267"/>
        </w:numPr>
        <w:ind w:left="1418"/>
        <w:contextualSpacing/>
        <w:jc w:val="both"/>
      </w:pPr>
      <w:r>
        <w:t xml:space="preserve">La información incluida en esta plantilla, que se </w:t>
      </w:r>
      <w:r w:rsidR="00307BD7">
        <w:t xml:space="preserve">declarará </w:t>
      </w:r>
      <w:r>
        <w:t>una</w:t>
      </w:r>
      <w:r w:rsidR="00307BD7">
        <w:t xml:space="preserve"> sola</w:t>
      </w:r>
      <w:r>
        <w:t xml:space="preserve"> vez para </w:t>
      </w:r>
      <w:r w:rsidR="00755297">
        <w:t xml:space="preserve">todo </w:t>
      </w:r>
      <w:r>
        <w:t>el grupo, detalla los servicios esenciales recibidos por cualquier ente del grupo y los vincula con las funciones esenciales desempeñadas por el grupo.</w:t>
      </w:r>
    </w:p>
    <w:p w14:paraId="7FE1C6DA" w14:textId="6ED998A6" w:rsidR="00414040" w:rsidRDefault="00904E1A">
      <w:pPr>
        <w:pStyle w:val="P68B1DB1-ListParagraph53"/>
        <w:numPr>
          <w:ilvl w:val="0"/>
          <w:numId w:val="267"/>
        </w:numPr>
        <w:ind w:left="1418"/>
        <w:contextualSpacing/>
        <w:jc w:val="both"/>
      </w:pPr>
      <w:r>
        <w:t xml:space="preserve">Los valores </w:t>
      </w:r>
      <w:r w:rsidR="00C766EE">
        <w:t xml:space="preserve">declarados </w:t>
      </w:r>
      <w:r>
        <w:t>en las columnas 0010, 0020, 0030 y 0040 de esta plantilla constituyen una clave principal, que debe ser únic</w:t>
      </w:r>
      <w:r w:rsidR="00307BD7">
        <w:t>a</w:t>
      </w:r>
      <w:r>
        <w:t xml:space="preserve"> para cada fila de la plantilla.</w:t>
      </w:r>
    </w:p>
    <w:p w14:paraId="7FE1C6DB" w14:textId="77777777" w:rsidR="00414040" w:rsidRDefault="00414040">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414040" w14:paraId="7FE1C6DE" w14:textId="77777777">
        <w:trPr>
          <w:trHeight w:val="445"/>
          <w:tblHeader/>
        </w:trPr>
        <w:tc>
          <w:tcPr>
            <w:tcW w:w="1418" w:type="dxa"/>
            <w:shd w:val="clear" w:color="auto" w:fill="E7E6E6"/>
          </w:tcPr>
          <w:p w14:paraId="7FE1C6DC" w14:textId="77777777" w:rsidR="00414040" w:rsidRDefault="00904E1A">
            <w:pPr>
              <w:pStyle w:val="P68B1DB1-Normal61"/>
              <w:spacing w:before="120" w:after="120" w:line="276" w:lineRule="auto"/>
            </w:pPr>
            <w:r>
              <w:t>Columnas</w:t>
            </w:r>
          </w:p>
        </w:tc>
        <w:tc>
          <w:tcPr>
            <w:tcW w:w="7508" w:type="dxa"/>
            <w:shd w:val="clear" w:color="auto" w:fill="E7E6E6"/>
          </w:tcPr>
          <w:p w14:paraId="7FE1C6DD" w14:textId="77777777" w:rsidR="00414040" w:rsidRDefault="00904E1A">
            <w:pPr>
              <w:pStyle w:val="P68B1DB1-Normal61"/>
              <w:spacing w:before="120" w:after="120" w:line="276" w:lineRule="auto"/>
            </w:pPr>
            <w:r>
              <w:t>Instrucciones</w:t>
            </w:r>
          </w:p>
        </w:tc>
      </w:tr>
      <w:tr w:rsidR="00414040" w14:paraId="7FE1C6E3" w14:textId="77777777" w:rsidTr="2133F407">
        <w:trPr>
          <w:trHeight w:val="450"/>
        </w:trPr>
        <w:tc>
          <w:tcPr>
            <w:tcW w:w="1418" w:type="dxa"/>
            <w:shd w:val="clear" w:color="auto" w:fill="FFFFFF" w:themeFill="background1"/>
          </w:tcPr>
          <w:p w14:paraId="7FE1C6DF" w14:textId="77777777" w:rsidR="00414040" w:rsidRDefault="00904E1A">
            <w:pPr>
              <w:pStyle w:val="P68B1DB1-Normal62"/>
              <w:spacing w:before="120" w:after="120" w:line="276" w:lineRule="auto"/>
            </w:pPr>
            <w:r>
              <w:t>0005</w:t>
            </w:r>
          </w:p>
        </w:tc>
        <w:tc>
          <w:tcPr>
            <w:tcW w:w="7508" w:type="dxa"/>
            <w:shd w:val="clear" w:color="auto" w:fill="FFFFFF" w:themeFill="background1"/>
          </w:tcPr>
          <w:p w14:paraId="7FE1C6E0" w14:textId="2D2A654A" w:rsidR="00414040" w:rsidRDefault="00904E1A">
            <w:pPr>
              <w:pStyle w:val="P68B1DB1-Normal61"/>
              <w:spacing w:before="120" w:after="120" w:line="276" w:lineRule="auto"/>
            </w:pPr>
            <w:r w:rsidRPr="2133F407">
              <w:rPr>
                <w:lang w:val="es-ES"/>
              </w:rPr>
              <w:t>Identificador del servicio)</w:t>
            </w:r>
          </w:p>
          <w:p w14:paraId="7FE1C6E1" w14:textId="1A5E5589" w:rsidR="00414040" w:rsidRDefault="00904E1A">
            <w:pPr>
              <w:pStyle w:val="P68B1DB1-Normal62"/>
              <w:spacing w:before="120" w:after="120" w:line="276" w:lineRule="auto"/>
            </w:pPr>
            <w:r>
              <w:t xml:space="preserve">Utilícese el identificador de servicio </w:t>
            </w:r>
            <w:r w:rsidR="0FD2F576">
              <w:t>comunicado</w:t>
            </w:r>
            <w:r>
              <w:t xml:space="preserve"> en Z 08.01 (SERV 1).</w:t>
            </w:r>
          </w:p>
          <w:p w14:paraId="7FE1C6E2" w14:textId="300418BA" w:rsidR="00414040" w:rsidRDefault="00904E1A">
            <w:pPr>
              <w:pStyle w:val="P68B1DB1-Normal62"/>
              <w:spacing w:before="120" w:after="120" w:line="276" w:lineRule="auto"/>
              <w:rPr>
                <w:i/>
              </w:rPr>
            </w:pPr>
            <w:r>
              <w:t>El identificador de</w:t>
            </w:r>
            <w:r w:rsidR="00273962">
              <w:t>l</w:t>
            </w:r>
            <w:r>
              <w:t xml:space="preserve"> servicio se refiere al servicio </w:t>
            </w:r>
            <w:r w:rsidR="00E829FC">
              <w:t xml:space="preserve">informado </w:t>
            </w:r>
            <w:r>
              <w:t>en c0020.</w:t>
            </w:r>
          </w:p>
        </w:tc>
      </w:tr>
      <w:tr w:rsidR="00414040" w14:paraId="7FE1C727" w14:textId="77777777" w:rsidTr="2133F407">
        <w:trPr>
          <w:trHeight w:val="450"/>
        </w:trPr>
        <w:tc>
          <w:tcPr>
            <w:tcW w:w="1418" w:type="dxa"/>
            <w:shd w:val="clear" w:color="auto" w:fill="FFFFFF" w:themeFill="background1"/>
          </w:tcPr>
          <w:p w14:paraId="7FE1C6E4" w14:textId="77777777" w:rsidR="00414040" w:rsidRDefault="00904E1A">
            <w:pPr>
              <w:pStyle w:val="P68B1DB1-Normal62"/>
              <w:spacing w:before="120" w:after="120" w:line="276" w:lineRule="auto"/>
            </w:pPr>
            <w:r>
              <w:t>0010</w:t>
            </w:r>
          </w:p>
        </w:tc>
        <w:tc>
          <w:tcPr>
            <w:tcW w:w="7508" w:type="dxa"/>
            <w:shd w:val="clear" w:color="auto" w:fill="FFFFFF" w:themeFill="background1"/>
          </w:tcPr>
          <w:p w14:paraId="7FE1C6E5" w14:textId="77777777" w:rsidR="00414040" w:rsidRDefault="00904E1A">
            <w:pPr>
              <w:pStyle w:val="P68B1DB1-Normal61"/>
              <w:autoSpaceDE w:val="0"/>
              <w:autoSpaceDN w:val="0"/>
              <w:adjustRightInd w:val="0"/>
              <w:rPr>
                <w:rFonts w:eastAsia="MS Mincho"/>
                <w:bCs/>
              </w:rPr>
            </w:pPr>
            <w:r>
              <w:t xml:space="preserve">Tipo de servicio </w:t>
            </w:r>
          </w:p>
          <w:p w14:paraId="7FE1C6E6" w14:textId="283554A3" w:rsidR="00414040" w:rsidRDefault="00904E1A">
            <w:pPr>
              <w:pStyle w:val="P68B1DB1-Normal63"/>
              <w:autoSpaceDE w:val="0"/>
              <w:autoSpaceDN w:val="0"/>
              <w:adjustRightInd w:val="0"/>
            </w:pPr>
            <w:r w:rsidRPr="2133F407">
              <w:rPr>
                <w:lang w:val="es-ES"/>
              </w:rPr>
              <w:t xml:space="preserve">El tipo de servicio será uno de los tipos de servicios enumerados en Z 08.01 0010. </w:t>
            </w:r>
          </w:p>
          <w:p w14:paraId="7FE1C726" w14:textId="7C7FFCB5" w:rsidR="00414040" w:rsidRDefault="00414040">
            <w:pPr>
              <w:spacing w:before="120" w:after="120" w:line="276" w:lineRule="auto"/>
              <w:rPr>
                <w:rFonts w:ascii="Times New Roman" w:hAnsi="Times New Roman"/>
                <w:sz w:val="20"/>
                <w:szCs w:val="20"/>
              </w:rPr>
            </w:pPr>
          </w:p>
        </w:tc>
      </w:tr>
      <w:tr w:rsidR="00414040" w14:paraId="7FE1C72C" w14:textId="77777777" w:rsidTr="2133F407">
        <w:trPr>
          <w:trHeight w:val="450"/>
        </w:trPr>
        <w:tc>
          <w:tcPr>
            <w:tcW w:w="1418" w:type="dxa"/>
            <w:shd w:val="clear" w:color="auto" w:fill="FFFFFF" w:themeFill="background1"/>
          </w:tcPr>
          <w:p w14:paraId="7FE1C728" w14:textId="77777777" w:rsidR="00414040" w:rsidRDefault="00904E1A">
            <w:pPr>
              <w:pStyle w:val="P68B1DB1-Normal62"/>
              <w:spacing w:before="120" w:after="120" w:line="276" w:lineRule="auto"/>
            </w:pPr>
            <w:r>
              <w:t>0020</w:t>
            </w:r>
          </w:p>
        </w:tc>
        <w:tc>
          <w:tcPr>
            <w:tcW w:w="7508" w:type="dxa"/>
            <w:shd w:val="clear" w:color="auto" w:fill="FFFFFF" w:themeFill="background1"/>
          </w:tcPr>
          <w:p w14:paraId="7FE1C729" w14:textId="20FCCC7B" w:rsidR="00414040" w:rsidRDefault="00904E1A">
            <w:pPr>
              <w:pStyle w:val="P68B1DB1-Normal65"/>
              <w:spacing w:line="276" w:lineRule="auto"/>
              <w:jc w:val="both"/>
            </w:pPr>
            <w:r>
              <w:rPr>
                <w:szCs w:val="20"/>
              </w:rPr>
              <w:t xml:space="preserve">Título </w:t>
            </w:r>
            <w:r w:rsidR="00471B4D">
              <w:rPr>
                <w:szCs w:val="20"/>
              </w:rPr>
              <w:t xml:space="preserve">único </w:t>
            </w:r>
            <w:r>
              <w:rPr>
                <w:szCs w:val="20"/>
              </w:rPr>
              <w:t>de</w:t>
            </w:r>
            <w:r w:rsidR="00471B4D">
              <w:rPr>
                <w:szCs w:val="20"/>
              </w:rPr>
              <w:t>l</w:t>
            </w:r>
            <w:r>
              <w:rPr>
                <w:szCs w:val="20"/>
              </w:rPr>
              <w:t xml:space="preserve"> servicio con arreglo a la taxonomía bancaria</w:t>
            </w:r>
            <w:r>
              <w:t xml:space="preserve"> </w:t>
            </w:r>
          </w:p>
          <w:p w14:paraId="7FE1C72A" w14:textId="6882DD09" w:rsidR="00414040" w:rsidRDefault="00904E1A">
            <w:pPr>
              <w:pStyle w:val="P68B1DB1-Normal64"/>
            </w:pPr>
            <w:r>
              <w:t>Nombre/breve descripción del servicio con arreglo a la</w:t>
            </w:r>
            <w:r w:rsidR="00471B4D">
              <w:t xml:space="preserve"> jerarquía de la</w:t>
            </w:r>
            <w:r>
              <w:t xml:space="preserve"> taxonomía del banco (nivel 3), tal como se </w:t>
            </w:r>
            <w:r w:rsidR="00471B4D">
              <w:t xml:space="preserve">declara </w:t>
            </w:r>
            <w:r>
              <w:t xml:space="preserve">en la columna </w:t>
            </w:r>
            <w:r w:rsidR="00817FD0">
              <w:t xml:space="preserve">0020 </w:t>
            </w:r>
            <w:r w:rsidR="00C766EE">
              <w:t xml:space="preserve">de </w:t>
            </w:r>
            <w:r w:rsidR="00817FD0">
              <w:t xml:space="preserve">Z </w:t>
            </w:r>
            <w:r>
              <w:t xml:space="preserve">08.01 (SERV </w:t>
            </w:r>
            <w:r w:rsidR="00817FD0">
              <w:t>1</w:t>
            </w:r>
            <w:r>
              <w:t xml:space="preserve">). Se espera que el banco </w:t>
            </w:r>
            <w:r w:rsidR="00E24277">
              <w:t xml:space="preserve">informe </w:t>
            </w:r>
            <w:r>
              <w:t xml:space="preserve">los servicios a un nivel más detallado que la información </w:t>
            </w:r>
            <w:r w:rsidR="00F55C8F">
              <w:t>declarada d</w:t>
            </w:r>
            <w:r>
              <w:t>el nivel 2 (c0010), de modo que cada servicio concreto se defina de manera precisa y específica.</w:t>
            </w:r>
          </w:p>
          <w:p w14:paraId="7FE1C72B" w14:textId="77777777" w:rsidR="00414040" w:rsidRDefault="00414040">
            <w:pPr>
              <w:spacing w:before="120" w:after="120" w:line="276" w:lineRule="auto"/>
              <w:rPr>
                <w:rFonts w:ascii="Times New Roman" w:hAnsi="Times New Roman"/>
                <w:sz w:val="20"/>
                <w:szCs w:val="20"/>
              </w:rPr>
            </w:pPr>
          </w:p>
        </w:tc>
      </w:tr>
      <w:tr w:rsidR="00414040" w14:paraId="7FE1C731" w14:textId="77777777" w:rsidTr="2133F407">
        <w:trPr>
          <w:trHeight w:val="450"/>
        </w:trPr>
        <w:tc>
          <w:tcPr>
            <w:tcW w:w="1418" w:type="dxa"/>
            <w:shd w:val="clear" w:color="auto" w:fill="FFFFFF" w:themeFill="background1"/>
          </w:tcPr>
          <w:p w14:paraId="7FE1C72D" w14:textId="77777777" w:rsidR="00414040" w:rsidRDefault="00904E1A">
            <w:pPr>
              <w:pStyle w:val="P68B1DB1-Normal62"/>
              <w:spacing w:before="120" w:after="120" w:line="276" w:lineRule="auto"/>
            </w:pPr>
            <w:r>
              <w:t>0030-0040</w:t>
            </w:r>
          </w:p>
        </w:tc>
        <w:tc>
          <w:tcPr>
            <w:tcW w:w="7508" w:type="dxa"/>
            <w:shd w:val="clear" w:color="auto" w:fill="FFFFFF" w:themeFill="background1"/>
          </w:tcPr>
          <w:p w14:paraId="7FE1C72E" w14:textId="7CA601B2" w:rsidR="00414040" w:rsidRDefault="00904E1A">
            <w:pPr>
              <w:pStyle w:val="P68B1DB1-Normal65"/>
              <w:spacing w:line="276" w:lineRule="auto"/>
              <w:jc w:val="both"/>
              <w:rPr>
                <w:bCs/>
              </w:rPr>
            </w:pPr>
            <w:r>
              <w:rPr>
                <w:szCs w:val="20"/>
              </w:rPr>
              <w:t>Función esencial</w:t>
            </w:r>
            <w:r>
              <w:t xml:space="preserve"> </w:t>
            </w:r>
          </w:p>
          <w:p w14:paraId="7FE1C72F" w14:textId="7F66A025" w:rsidR="00414040" w:rsidRDefault="00904E1A">
            <w:pPr>
              <w:pStyle w:val="P68B1DB1-Normal64"/>
              <w:spacing w:line="276" w:lineRule="auto"/>
              <w:jc w:val="both"/>
            </w:pPr>
            <w:r>
              <w:t xml:space="preserve">Función esencial cuya ejecución se vería gravemente obstaculizada o totalmente impedida en caso de </w:t>
            </w:r>
            <w:r w:rsidR="003A432D">
              <w:t xml:space="preserve">interrupción </w:t>
            </w:r>
            <w:r>
              <w:t>del servicio esencial. Es una de las funciones consideradas esenciales en la plantilla Z 07.01 (FUNC 1).</w:t>
            </w:r>
          </w:p>
          <w:p w14:paraId="7FE1C730" w14:textId="77777777" w:rsidR="00414040" w:rsidRDefault="00414040">
            <w:pPr>
              <w:spacing w:line="276" w:lineRule="auto"/>
              <w:jc w:val="both"/>
              <w:rPr>
                <w:rFonts w:ascii="Times New Roman" w:hAnsi="Times New Roman"/>
                <w:sz w:val="20"/>
              </w:rPr>
            </w:pPr>
          </w:p>
        </w:tc>
      </w:tr>
      <w:tr w:rsidR="00414040" w14:paraId="7FE1C736" w14:textId="77777777" w:rsidTr="2133F407">
        <w:trPr>
          <w:trHeight w:val="450"/>
        </w:trPr>
        <w:tc>
          <w:tcPr>
            <w:tcW w:w="1418" w:type="dxa"/>
            <w:shd w:val="clear" w:color="auto" w:fill="FFFFFF" w:themeFill="background1"/>
          </w:tcPr>
          <w:p w14:paraId="7FE1C732" w14:textId="77777777" w:rsidR="00414040" w:rsidRDefault="00904E1A">
            <w:pPr>
              <w:pStyle w:val="P68B1DB1-Normal64"/>
              <w:spacing w:before="120" w:after="120" w:line="276" w:lineRule="auto"/>
              <w:rPr>
                <w:szCs w:val="20"/>
              </w:rPr>
            </w:pPr>
            <w:r>
              <w:lastRenderedPageBreak/>
              <w:t>0030</w:t>
            </w:r>
          </w:p>
        </w:tc>
        <w:tc>
          <w:tcPr>
            <w:tcW w:w="7508" w:type="dxa"/>
            <w:shd w:val="clear" w:color="auto" w:fill="FFFFFF" w:themeFill="background1"/>
          </w:tcPr>
          <w:p w14:paraId="7FE1C733" w14:textId="77777777" w:rsidR="00414040" w:rsidRDefault="00904E1A">
            <w:pPr>
              <w:pStyle w:val="P68B1DB1-Normal65"/>
              <w:spacing w:line="276" w:lineRule="auto"/>
              <w:jc w:val="both"/>
              <w:rPr>
                <w:bCs/>
              </w:rPr>
            </w:pPr>
            <w:r>
              <w:t>País</w:t>
            </w:r>
          </w:p>
          <w:p w14:paraId="7FE1C734" w14:textId="5E1DA057" w:rsidR="00414040" w:rsidRDefault="00904E1A">
            <w:pPr>
              <w:pStyle w:val="P68B1DB1-Normal64"/>
              <w:spacing w:line="276" w:lineRule="auto"/>
              <w:jc w:val="both"/>
            </w:pPr>
            <w:r>
              <w:t xml:space="preserve">Estado miembro </w:t>
            </w:r>
            <w:r w:rsidR="00F0321C">
              <w:t>para el cual</w:t>
            </w:r>
            <w:r>
              <w:t xml:space="preserve"> la función es esencial, </w:t>
            </w:r>
            <w:r w:rsidR="00F0321C">
              <w:t>según lo reportado</w:t>
            </w:r>
            <w:r>
              <w:t xml:space="preserve"> en la plantilla Z 07.01 (FUNC 1).</w:t>
            </w:r>
          </w:p>
          <w:p w14:paraId="7FE1C735" w14:textId="77777777" w:rsidR="00414040" w:rsidRDefault="00414040">
            <w:pPr>
              <w:spacing w:line="276" w:lineRule="auto"/>
              <w:jc w:val="both"/>
              <w:rPr>
                <w:rFonts w:ascii="Times New Roman" w:hAnsi="Times New Roman"/>
                <w:sz w:val="20"/>
              </w:rPr>
            </w:pPr>
          </w:p>
        </w:tc>
      </w:tr>
      <w:tr w:rsidR="00414040" w14:paraId="7FE1C73B" w14:textId="77777777" w:rsidTr="2133F407">
        <w:trPr>
          <w:trHeight w:val="450"/>
        </w:trPr>
        <w:tc>
          <w:tcPr>
            <w:tcW w:w="1418" w:type="dxa"/>
            <w:shd w:val="clear" w:color="auto" w:fill="FFFFFF" w:themeFill="background1"/>
          </w:tcPr>
          <w:p w14:paraId="7FE1C737" w14:textId="77777777" w:rsidR="00414040" w:rsidRDefault="00904E1A">
            <w:pPr>
              <w:pStyle w:val="P68B1DB1-Normal64"/>
              <w:spacing w:before="120" w:after="120" w:line="276" w:lineRule="auto"/>
              <w:rPr>
                <w:szCs w:val="20"/>
              </w:rPr>
            </w:pPr>
            <w:r>
              <w:t>0040</w:t>
            </w:r>
          </w:p>
        </w:tc>
        <w:tc>
          <w:tcPr>
            <w:tcW w:w="7508" w:type="dxa"/>
            <w:shd w:val="clear" w:color="auto" w:fill="FFFFFF" w:themeFill="background1"/>
          </w:tcPr>
          <w:p w14:paraId="7FE1C738" w14:textId="319D198D" w:rsidR="00414040" w:rsidRDefault="00AE5E49">
            <w:pPr>
              <w:pStyle w:val="P68B1DB1-Normal65"/>
              <w:spacing w:line="276" w:lineRule="auto"/>
              <w:jc w:val="both"/>
              <w:rPr>
                <w:bCs/>
              </w:rPr>
            </w:pPr>
            <w:r>
              <w:t>ID</w:t>
            </w:r>
          </w:p>
          <w:p w14:paraId="7FE1C739" w14:textId="487F2A9F" w:rsidR="00414040" w:rsidRDefault="00904E1A">
            <w:pPr>
              <w:pStyle w:val="P68B1DB1-Normal64"/>
              <w:spacing w:line="276" w:lineRule="auto"/>
              <w:jc w:val="both"/>
            </w:pPr>
            <w:r>
              <w:t>Identifica</w:t>
            </w:r>
            <w:r w:rsidR="00AE5E49">
              <w:t>dor</w:t>
            </w:r>
            <w:r>
              <w:t xml:space="preserve"> de las funciones esenciales, tal como se define en el capítulo 2.7.1.4 </w:t>
            </w:r>
            <w:r w:rsidR="00AE5E49">
              <w:t xml:space="preserve">anterior </w:t>
            </w:r>
            <w:r>
              <w:t>y se indica en la plantilla Z 07.01 (FUNC 1).</w:t>
            </w:r>
          </w:p>
          <w:p w14:paraId="7FE1C73A" w14:textId="77777777" w:rsidR="00414040" w:rsidRDefault="00414040">
            <w:pPr>
              <w:spacing w:line="276" w:lineRule="auto"/>
              <w:jc w:val="both"/>
              <w:rPr>
                <w:rFonts w:ascii="Times New Roman" w:hAnsi="Times New Roman"/>
                <w:sz w:val="20"/>
              </w:rPr>
            </w:pPr>
          </w:p>
        </w:tc>
      </w:tr>
    </w:tbl>
    <w:p w14:paraId="7FE1C746" w14:textId="77777777" w:rsidR="00414040" w:rsidRDefault="00414040">
      <w:pPr>
        <w:rPr>
          <w:rFonts w:ascii="Times New Roman" w:hAnsi="Times New Roman" w:cs="Times New Roman"/>
        </w:rPr>
      </w:pPr>
    </w:p>
    <w:p w14:paraId="7FE1C747" w14:textId="77777777" w:rsidR="00414040" w:rsidRDefault="00414040">
      <w:pPr>
        <w:pStyle w:val="Instructionsberschrift2"/>
        <w:rPr>
          <w:rFonts w:ascii="Times New Roman" w:eastAsia="Calibri" w:hAnsi="Times New Roman" w:cs="Times New Roman"/>
          <w:szCs w:val="20"/>
        </w:rPr>
      </w:pPr>
    </w:p>
    <w:p w14:paraId="7FE1C748" w14:textId="5192F718" w:rsidR="00414040" w:rsidRDefault="00904E1A">
      <w:pPr>
        <w:pStyle w:val="P68B1DB1-Instructionsberschrift25"/>
        <w:numPr>
          <w:ilvl w:val="1"/>
          <w:numId w:val="49"/>
        </w:numPr>
        <w:ind w:left="357" w:hanging="357"/>
        <w:rPr>
          <w:rFonts w:eastAsia="Calibri"/>
          <w:szCs w:val="20"/>
        </w:rPr>
      </w:pPr>
      <w:bookmarkStart w:id="134" w:name="_Toc211525938"/>
      <w:r>
        <w:t xml:space="preserve">Z 08.05 — Servicios </w:t>
      </w:r>
      <w:r w:rsidR="00E83172">
        <w:t>principales</w:t>
      </w:r>
      <w:r>
        <w:t>: correspondencia con las ramas de actividad principales (SERV 5)</w:t>
      </w:r>
      <w:bookmarkEnd w:id="134"/>
    </w:p>
    <w:p w14:paraId="7FE1C749" w14:textId="77777777" w:rsidR="00414040" w:rsidRDefault="00904E1A">
      <w:pPr>
        <w:pStyle w:val="P68B1DB1-Normal70"/>
        <w:spacing w:line="276" w:lineRule="auto"/>
        <w:jc w:val="both"/>
        <w:rPr>
          <w:sz w:val="20"/>
          <w:szCs w:val="20"/>
        </w:rPr>
      </w:pPr>
      <w:r>
        <w:t>Instrucciones relativas a posiciones concretas</w:t>
      </w:r>
    </w:p>
    <w:p w14:paraId="7FE1C74A" w14:textId="65FFF5DC" w:rsidR="00414040" w:rsidRDefault="00904E1A">
      <w:pPr>
        <w:pStyle w:val="P68B1DB1-Instructionsberschrift368"/>
        <w:numPr>
          <w:ilvl w:val="2"/>
          <w:numId w:val="210"/>
        </w:numPr>
        <w:ind w:left="1418"/>
        <w:contextualSpacing/>
        <w:jc w:val="both"/>
      </w:pPr>
      <w:r>
        <w:t xml:space="preserve">La información incluida en esta plantilla, que se </w:t>
      </w:r>
      <w:r w:rsidR="00C80F07">
        <w:t xml:space="preserve">declarará </w:t>
      </w:r>
      <w:r>
        <w:t>una</w:t>
      </w:r>
      <w:r w:rsidR="00C80F07">
        <w:t xml:space="preserve"> sola</w:t>
      </w:r>
      <w:r>
        <w:t xml:space="preserve"> vez para</w:t>
      </w:r>
      <w:r w:rsidR="00C80F07">
        <w:t xml:space="preserve"> todo</w:t>
      </w:r>
      <w:r>
        <w:t xml:space="preserve"> el grupo, detalla los servicios esenciales recibidos por cualquier ente del grupo y los vincula con </w:t>
      </w:r>
      <w:r w:rsidR="00C766EE">
        <w:t xml:space="preserve">las </w:t>
      </w:r>
      <w:r w:rsidR="00FE3C49">
        <w:t>ramas de actividad principales</w:t>
      </w:r>
      <w:r>
        <w:t xml:space="preserve"> desempeñadas por el grupo.</w:t>
      </w:r>
    </w:p>
    <w:p w14:paraId="7FE1C74B" w14:textId="21072A21" w:rsidR="00414040" w:rsidRDefault="00904E1A">
      <w:pPr>
        <w:pStyle w:val="P68B1DB1-Instructionsberschrift368"/>
        <w:numPr>
          <w:ilvl w:val="2"/>
          <w:numId w:val="210"/>
        </w:numPr>
        <w:ind w:left="1418"/>
        <w:contextualSpacing/>
        <w:jc w:val="both"/>
      </w:pPr>
      <w:r>
        <w:t xml:space="preserve">Los valores </w:t>
      </w:r>
      <w:r w:rsidR="00C766EE">
        <w:t xml:space="preserve">informados </w:t>
      </w:r>
      <w:r>
        <w:t xml:space="preserve">en las columnas 0010, 0020 y 0040 de esta plantilla </w:t>
      </w:r>
      <w:r w:rsidR="000E554C">
        <w:t xml:space="preserve">constituyen </w:t>
      </w:r>
      <w:r>
        <w:t>una clave principal, que debe ser única para cada fila de la plantilla.</w:t>
      </w:r>
    </w:p>
    <w:p w14:paraId="7FE1C74C" w14:textId="77777777" w:rsidR="00414040" w:rsidRDefault="00414040">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414040" w14:paraId="7FE1C74F" w14:textId="77777777">
        <w:trPr>
          <w:trHeight w:val="644"/>
          <w:tblHeader/>
        </w:trPr>
        <w:tc>
          <w:tcPr>
            <w:tcW w:w="1418" w:type="dxa"/>
            <w:shd w:val="clear" w:color="auto" w:fill="E7E6E6"/>
          </w:tcPr>
          <w:p w14:paraId="7FE1C74D" w14:textId="77777777" w:rsidR="00414040" w:rsidRDefault="00904E1A">
            <w:pPr>
              <w:pStyle w:val="P68B1DB1-Normal61"/>
              <w:spacing w:before="120" w:after="120" w:line="276" w:lineRule="auto"/>
            </w:pPr>
            <w:r>
              <w:t>Columnas</w:t>
            </w:r>
          </w:p>
        </w:tc>
        <w:tc>
          <w:tcPr>
            <w:tcW w:w="7649" w:type="dxa"/>
            <w:shd w:val="clear" w:color="auto" w:fill="E7E6E6"/>
          </w:tcPr>
          <w:p w14:paraId="7FE1C74E" w14:textId="77777777" w:rsidR="00414040" w:rsidRDefault="00904E1A">
            <w:pPr>
              <w:pStyle w:val="P68B1DB1-Normal61"/>
              <w:spacing w:before="120" w:after="120" w:line="276" w:lineRule="auto"/>
            </w:pPr>
            <w:r>
              <w:t>Instrucciones</w:t>
            </w:r>
          </w:p>
        </w:tc>
      </w:tr>
      <w:tr w:rsidR="00414040" w14:paraId="7FE1C754" w14:textId="77777777" w:rsidTr="2133F407">
        <w:trPr>
          <w:trHeight w:val="450"/>
        </w:trPr>
        <w:tc>
          <w:tcPr>
            <w:tcW w:w="1418" w:type="dxa"/>
            <w:shd w:val="clear" w:color="auto" w:fill="FFFFFF" w:themeFill="background1"/>
          </w:tcPr>
          <w:p w14:paraId="7FE1C750" w14:textId="77777777" w:rsidR="00414040" w:rsidRDefault="00904E1A">
            <w:pPr>
              <w:pStyle w:val="P68B1DB1-Normal62"/>
              <w:spacing w:before="120" w:after="120" w:line="276" w:lineRule="auto"/>
            </w:pPr>
            <w:r>
              <w:t>0005</w:t>
            </w:r>
          </w:p>
        </w:tc>
        <w:tc>
          <w:tcPr>
            <w:tcW w:w="7649" w:type="dxa"/>
            <w:shd w:val="clear" w:color="auto" w:fill="FFFFFF" w:themeFill="background1"/>
          </w:tcPr>
          <w:p w14:paraId="7FE1C751" w14:textId="732053ED" w:rsidR="00414040" w:rsidRDefault="00904E1A">
            <w:pPr>
              <w:pStyle w:val="P68B1DB1-Normal61"/>
              <w:spacing w:before="120" w:after="120" w:line="276" w:lineRule="auto"/>
            </w:pPr>
            <w:r w:rsidRPr="2133F407">
              <w:rPr>
                <w:lang w:val="es-ES"/>
              </w:rPr>
              <w:t xml:space="preserve"> Identificador del servicio</w:t>
            </w:r>
          </w:p>
          <w:p w14:paraId="7FE1C752" w14:textId="3A40B019" w:rsidR="00414040" w:rsidRDefault="00904E1A">
            <w:pPr>
              <w:pStyle w:val="P68B1DB1-Normal62"/>
              <w:spacing w:before="120" w:after="120" w:line="276" w:lineRule="auto"/>
            </w:pPr>
            <w:r>
              <w:t xml:space="preserve">Utilícese el identificador de servicio </w:t>
            </w:r>
            <w:r w:rsidR="00AC56C3">
              <w:t xml:space="preserve">comunicado </w:t>
            </w:r>
            <w:r>
              <w:t>en Z 08.01 (SERV 1).</w:t>
            </w:r>
          </w:p>
          <w:p w14:paraId="7FE1C753" w14:textId="5EB07271" w:rsidR="00414040" w:rsidRDefault="00904E1A">
            <w:pPr>
              <w:pStyle w:val="P68B1DB1-Normal62"/>
              <w:spacing w:before="120" w:after="120" w:line="276" w:lineRule="auto"/>
              <w:rPr>
                <w:i/>
              </w:rPr>
            </w:pPr>
            <w:r>
              <w:t xml:space="preserve">El identificador de servicio se refiere al servicio </w:t>
            </w:r>
            <w:r w:rsidR="00E829FC">
              <w:t xml:space="preserve">informado </w:t>
            </w:r>
            <w:r>
              <w:t>en c0020.</w:t>
            </w:r>
          </w:p>
        </w:tc>
      </w:tr>
      <w:tr w:rsidR="00414040" w14:paraId="7FE1C798" w14:textId="77777777" w:rsidTr="2133F407">
        <w:trPr>
          <w:trHeight w:val="450"/>
        </w:trPr>
        <w:tc>
          <w:tcPr>
            <w:tcW w:w="1418" w:type="dxa"/>
            <w:shd w:val="clear" w:color="auto" w:fill="FFFFFF" w:themeFill="background1"/>
          </w:tcPr>
          <w:p w14:paraId="7FE1C755" w14:textId="77777777" w:rsidR="00414040" w:rsidRDefault="00904E1A">
            <w:pPr>
              <w:pStyle w:val="P68B1DB1-Normal62"/>
              <w:spacing w:before="120" w:after="120" w:line="276" w:lineRule="auto"/>
            </w:pPr>
            <w:r>
              <w:t>0010</w:t>
            </w:r>
          </w:p>
        </w:tc>
        <w:tc>
          <w:tcPr>
            <w:tcW w:w="7649" w:type="dxa"/>
            <w:shd w:val="clear" w:color="auto" w:fill="FFFFFF" w:themeFill="background1"/>
          </w:tcPr>
          <w:p w14:paraId="7FE1C756" w14:textId="77777777" w:rsidR="00414040" w:rsidRDefault="00904E1A">
            <w:pPr>
              <w:pStyle w:val="P68B1DB1-Normal61"/>
              <w:autoSpaceDE w:val="0"/>
              <w:autoSpaceDN w:val="0"/>
              <w:adjustRightInd w:val="0"/>
              <w:rPr>
                <w:rFonts w:eastAsia="MS Mincho"/>
                <w:bCs/>
              </w:rPr>
            </w:pPr>
            <w:r>
              <w:t xml:space="preserve">Tipo de servicio </w:t>
            </w:r>
          </w:p>
          <w:p w14:paraId="7FE1C757" w14:textId="32233E35" w:rsidR="00414040" w:rsidRDefault="00904E1A">
            <w:pPr>
              <w:pStyle w:val="P68B1DB1-Normal63"/>
              <w:autoSpaceDE w:val="0"/>
              <w:autoSpaceDN w:val="0"/>
              <w:adjustRightInd w:val="0"/>
            </w:pPr>
            <w:r w:rsidRPr="2133F407">
              <w:rPr>
                <w:lang w:val="es-ES"/>
              </w:rPr>
              <w:t xml:space="preserve">El tipo de servicio será uno de los tipos de servicios enumerados en Z 08.01 0010. </w:t>
            </w:r>
          </w:p>
          <w:p w14:paraId="7FE1C797" w14:textId="77777777" w:rsidR="00414040" w:rsidRDefault="00414040">
            <w:pPr>
              <w:autoSpaceDE w:val="0"/>
              <w:autoSpaceDN w:val="0"/>
              <w:adjustRightInd w:val="0"/>
              <w:rPr>
                <w:rFonts w:ascii="Times New Roman" w:hAnsi="Times New Roman"/>
                <w:sz w:val="20"/>
                <w:szCs w:val="20"/>
              </w:rPr>
            </w:pPr>
          </w:p>
        </w:tc>
      </w:tr>
      <w:tr w:rsidR="00414040" w14:paraId="7FE1C79D" w14:textId="77777777" w:rsidTr="2133F407">
        <w:trPr>
          <w:trHeight w:val="450"/>
        </w:trPr>
        <w:tc>
          <w:tcPr>
            <w:tcW w:w="1418" w:type="dxa"/>
            <w:shd w:val="clear" w:color="auto" w:fill="FFFFFF" w:themeFill="background1"/>
          </w:tcPr>
          <w:p w14:paraId="7FE1C799" w14:textId="77777777" w:rsidR="00414040" w:rsidRDefault="00904E1A">
            <w:pPr>
              <w:pStyle w:val="P68B1DB1-Normal62"/>
              <w:spacing w:before="120" w:after="120" w:line="276" w:lineRule="auto"/>
            </w:pPr>
            <w:r>
              <w:t>0020</w:t>
            </w:r>
          </w:p>
        </w:tc>
        <w:tc>
          <w:tcPr>
            <w:tcW w:w="7649" w:type="dxa"/>
            <w:shd w:val="clear" w:color="auto" w:fill="FFFFFF" w:themeFill="background1"/>
          </w:tcPr>
          <w:p w14:paraId="7FE1C79A" w14:textId="0D1632FA" w:rsidR="00414040" w:rsidRDefault="00904E1A">
            <w:pPr>
              <w:pStyle w:val="P68B1DB1-Normal65"/>
              <w:spacing w:line="276" w:lineRule="auto"/>
              <w:jc w:val="both"/>
            </w:pPr>
            <w:r>
              <w:rPr>
                <w:szCs w:val="20"/>
              </w:rPr>
              <w:t xml:space="preserve">Título </w:t>
            </w:r>
            <w:r w:rsidR="00E829FC">
              <w:rPr>
                <w:szCs w:val="20"/>
              </w:rPr>
              <w:t xml:space="preserve">único </w:t>
            </w:r>
            <w:r>
              <w:rPr>
                <w:szCs w:val="20"/>
              </w:rPr>
              <w:t>de</w:t>
            </w:r>
            <w:r w:rsidR="00E829FC">
              <w:rPr>
                <w:szCs w:val="20"/>
              </w:rPr>
              <w:t>l</w:t>
            </w:r>
            <w:r>
              <w:rPr>
                <w:szCs w:val="20"/>
              </w:rPr>
              <w:t xml:space="preserve"> servicio con arreglo a la taxonomía bancaria</w:t>
            </w:r>
            <w:r>
              <w:t xml:space="preserve"> </w:t>
            </w:r>
          </w:p>
          <w:p w14:paraId="7FE1C79B" w14:textId="552DB149" w:rsidR="00414040" w:rsidRDefault="00904E1A">
            <w:pPr>
              <w:pStyle w:val="P68B1DB1-Normal64"/>
            </w:pPr>
            <w:r>
              <w:t>Nombre/breve descripción del servicio con arreglo a la</w:t>
            </w:r>
            <w:r w:rsidR="00E829FC">
              <w:t xml:space="preserve"> jerarquía de la</w:t>
            </w:r>
            <w:r>
              <w:t xml:space="preserve"> taxonomía del banco (nivel 3), tal como se </w:t>
            </w:r>
            <w:r w:rsidR="00E829FC">
              <w:t xml:space="preserve">declara </w:t>
            </w:r>
            <w:r>
              <w:t xml:space="preserve">en la columna </w:t>
            </w:r>
            <w:r w:rsidR="00E829FC">
              <w:t xml:space="preserve">0020 </w:t>
            </w:r>
            <w:r w:rsidR="00032653">
              <w:t xml:space="preserve">de </w:t>
            </w:r>
            <w:r w:rsidR="00E829FC">
              <w:t xml:space="preserve">Z </w:t>
            </w:r>
            <w:r>
              <w:t xml:space="preserve">08.01 (SERV </w:t>
            </w:r>
            <w:r w:rsidR="00E829FC">
              <w:t>1</w:t>
            </w:r>
            <w:r>
              <w:t xml:space="preserve">). Se espera que el banco </w:t>
            </w:r>
            <w:r w:rsidR="00E829FC">
              <w:t xml:space="preserve">informe </w:t>
            </w:r>
            <w:r>
              <w:t xml:space="preserve">los servicios a un nivel más detallado que la información </w:t>
            </w:r>
            <w:r w:rsidR="00E829FC">
              <w:t>declarada d</w:t>
            </w:r>
            <w:r>
              <w:t>el nivel 2 (c0010), de modo que cada servicio concreto se defina de manera precisa y específica.</w:t>
            </w:r>
          </w:p>
          <w:p w14:paraId="7FE1C79C" w14:textId="77777777" w:rsidR="00414040" w:rsidRDefault="00414040">
            <w:pPr>
              <w:spacing w:before="120" w:after="120" w:line="276" w:lineRule="auto"/>
              <w:rPr>
                <w:rFonts w:ascii="Times New Roman" w:hAnsi="Times New Roman"/>
                <w:sz w:val="20"/>
                <w:szCs w:val="20"/>
              </w:rPr>
            </w:pPr>
          </w:p>
        </w:tc>
      </w:tr>
      <w:tr w:rsidR="00414040" w14:paraId="7FE1C7A2" w14:textId="77777777" w:rsidTr="2133F407">
        <w:trPr>
          <w:trHeight w:val="450"/>
        </w:trPr>
        <w:tc>
          <w:tcPr>
            <w:tcW w:w="1418" w:type="dxa"/>
            <w:shd w:val="clear" w:color="auto" w:fill="FFFFFF" w:themeFill="background1"/>
          </w:tcPr>
          <w:p w14:paraId="7FE1C79E" w14:textId="77777777" w:rsidR="00414040" w:rsidRDefault="00904E1A">
            <w:pPr>
              <w:pStyle w:val="P68B1DB1-Normal64"/>
              <w:spacing w:before="120" w:after="120" w:line="276" w:lineRule="auto"/>
              <w:rPr>
                <w:szCs w:val="20"/>
              </w:rPr>
            </w:pPr>
            <w:r>
              <w:t>0030-0040</w:t>
            </w:r>
          </w:p>
        </w:tc>
        <w:tc>
          <w:tcPr>
            <w:tcW w:w="7649" w:type="dxa"/>
            <w:shd w:val="clear" w:color="auto" w:fill="FFFFFF" w:themeFill="background1"/>
          </w:tcPr>
          <w:p w14:paraId="7FE1C79F" w14:textId="290B1648" w:rsidR="00414040" w:rsidRDefault="00904E1A">
            <w:pPr>
              <w:pStyle w:val="P68B1DB1-Normal65"/>
              <w:spacing w:line="276" w:lineRule="auto"/>
              <w:jc w:val="both"/>
            </w:pPr>
            <w:r>
              <w:rPr>
                <w:szCs w:val="20"/>
              </w:rPr>
              <w:t>Rama de actividad principal</w:t>
            </w:r>
            <w:r>
              <w:t xml:space="preserve"> </w:t>
            </w:r>
          </w:p>
          <w:p w14:paraId="7FE1C7A0" w14:textId="00835996" w:rsidR="00414040" w:rsidRDefault="00904E1A">
            <w:pPr>
              <w:pStyle w:val="P68B1DB1-Normal67"/>
              <w:spacing w:line="276" w:lineRule="auto"/>
              <w:jc w:val="both"/>
              <w:rPr>
                <w:sz w:val="20"/>
              </w:rPr>
            </w:pPr>
            <w:r>
              <w:rPr>
                <w:sz w:val="20"/>
              </w:rPr>
              <w:t xml:space="preserve">Rama de actividad principal según lo establecido en el artículo 2, apartado 1, punto 36, y el artículo 2, apartado 2, de la Directiva </w:t>
            </w:r>
            <w:r w:rsidR="00B507EA">
              <w:rPr>
                <w:sz w:val="20"/>
              </w:rPr>
              <w:t>2016/778</w:t>
            </w:r>
            <w:r>
              <w:rPr>
                <w:sz w:val="20"/>
              </w:rPr>
              <w:t>.</w:t>
            </w:r>
            <w:r>
              <w:t xml:space="preserve"> </w:t>
            </w:r>
          </w:p>
          <w:p w14:paraId="7FE1C7A1" w14:textId="77777777" w:rsidR="00414040" w:rsidRDefault="00414040">
            <w:pPr>
              <w:spacing w:line="276" w:lineRule="auto"/>
              <w:jc w:val="both"/>
              <w:rPr>
                <w:rFonts w:ascii="Times New Roman" w:hAnsi="Times New Roman"/>
                <w:sz w:val="20"/>
              </w:rPr>
            </w:pPr>
          </w:p>
        </w:tc>
      </w:tr>
      <w:tr w:rsidR="00414040" w14:paraId="7FE1C7A7" w14:textId="77777777" w:rsidTr="2133F407">
        <w:trPr>
          <w:trHeight w:val="450"/>
        </w:trPr>
        <w:tc>
          <w:tcPr>
            <w:tcW w:w="1418" w:type="dxa"/>
            <w:shd w:val="clear" w:color="auto" w:fill="FFFFFF" w:themeFill="background1"/>
          </w:tcPr>
          <w:p w14:paraId="7FE1C7A3" w14:textId="77777777" w:rsidR="00414040" w:rsidRDefault="00904E1A">
            <w:pPr>
              <w:pStyle w:val="P68B1DB1-Normal64"/>
              <w:spacing w:before="120" w:after="120" w:line="276" w:lineRule="auto"/>
              <w:rPr>
                <w:szCs w:val="20"/>
              </w:rPr>
            </w:pPr>
            <w:r>
              <w:t>0030</w:t>
            </w:r>
          </w:p>
        </w:tc>
        <w:tc>
          <w:tcPr>
            <w:tcW w:w="7649" w:type="dxa"/>
            <w:shd w:val="clear" w:color="auto" w:fill="FFFFFF" w:themeFill="background1"/>
          </w:tcPr>
          <w:p w14:paraId="7FE1C7A4" w14:textId="4A107029" w:rsidR="00414040" w:rsidRDefault="007639DF">
            <w:pPr>
              <w:pStyle w:val="P68B1DB1-Normal65"/>
              <w:spacing w:line="276" w:lineRule="auto"/>
              <w:jc w:val="both"/>
              <w:rPr>
                <w:bCs/>
              </w:rPr>
            </w:pPr>
            <w:r>
              <w:t>Nombre</w:t>
            </w:r>
          </w:p>
          <w:p w14:paraId="7FE1C7A5" w14:textId="73ABB63A" w:rsidR="00414040" w:rsidRDefault="00904E1A">
            <w:pPr>
              <w:pStyle w:val="P68B1DB1-Normal64"/>
              <w:jc w:val="both"/>
            </w:pPr>
            <w:r>
              <w:t xml:space="preserve">Es una de las ramas de actividad principales </w:t>
            </w:r>
            <w:r w:rsidR="003E5F30">
              <w:t>declaradas</w:t>
            </w:r>
            <w:r w:rsidR="002A2BCF">
              <w:t xml:space="preserve"> </w:t>
            </w:r>
            <w:r>
              <w:t>en la plantilla Z 07.03 0010.</w:t>
            </w:r>
          </w:p>
          <w:p w14:paraId="7FE1C7A6" w14:textId="77777777" w:rsidR="00414040" w:rsidRDefault="00414040">
            <w:pPr>
              <w:spacing w:line="276" w:lineRule="auto"/>
              <w:jc w:val="both"/>
              <w:rPr>
                <w:rFonts w:ascii="Times New Roman" w:hAnsi="Times New Roman"/>
                <w:sz w:val="20"/>
              </w:rPr>
            </w:pPr>
          </w:p>
        </w:tc>
      </w:tr>
      <w:tr w:rsidR="00414040" w14:paraId="7FE1C7AD" w14:textId="77777777" w:rsidTr="2133F407">
        <w:trPr>
          <w:trHeight w:val="450"/>
        </w:trPr>
        <w:tc>
          <w:tcPr>
            <w:tcW w:w="1418" w:type="dxa"/>
            <w:shd w:val="clear" w:color="auto" w:fill="FFFFFF" w:themeFill="background1"/>
          </w:tcPr>
          <w:p w14:paraId="7FE1C7A8" w14:textId="77777777" w:rsidR="00414040" w:rsidRDefault="00904E1A">
            <w:pPr>
              <w:pStyle w:val="P68B1DB1-Normal64"/>
              <w:spacing w:before="120" w:after="120" w:line="276" w:lineRule="auto"/>
              <w:rPr>
                <w:szCs w:val="20"/>
              </w:rPr>
            </w:pPr>
            <w:r>
              <w:t>0040</w:t>
            </w:r>
          </w:p>
        </w:tc>
        <w:tc>
          <w:tcPr>
            <w:tcW w:w="7649" w:type="dxa"/>
            <w:shd w:val="clear" w:color="auto" w:fill="FFFFFF" w:themeFill="background1"/>
          </w:tcPr>
          <w:p w14:paraId="7FE1C7A9" w14:textId="1D7AB281" w:rsidR="00414040" w:rsidRDefault="007639DF">
            <w:pPr>
              <w:pStyle w:val="P68B1DB1-Normal65"/>
              <w:spacing w:line="276" w:lineRule="auto"/>
              <w:jc w:val="both"/>
              <w:rPr>
                <w:bCs/>
              </w:rPr>
            </w:pPr>
            <w:r>
              <w:t>ID</w:t>
            </w:r>
          </w:p>
          <w:p w14:paraId="7FE1C7AA" w14:textId="3FE602B1" w:rsidR="00414040" w:rsidRDefault="00904E1A">
            <w:pPr>
              <w:pStyle w:val="P68B1DB1-Normal64"/>
              <w:spacing w:line="276" w:lineRule="auto"/>
              <w:jc w:val="both"/>
            </w:pPr>
            <w:r>
              <w:t>Identifica</w:t>
            </w:r>
            <w:r w:rsidR="007639DF">
              <w:t>dor</w:t>
            </w:r>
            <w:r>
              <w:t xml:space="preserve"> de las ramas de actividad principales cuya continuidad es necesaria para la ejecución efectiva de la estrategia de resolución y cualquier reestructuración consiguiente. Es uno de los identificadores </w:t>
            </w:r>
            <w:r w:rsidR="00536849">
              <w:t xml:space="preserve">informados </w:t>
            </w:r>
            <w:r>
              <w:t>en la plantilla Z 07.03 0020</w:t>
            </w:r>
            <w:r w:rsidR="00032653">
              <w:t>.</w:t>
            </w:r>
            <w:r>
              <w:t xml:space="preserve"> </w:t>
            </w:r>
          </w:p>
          <w:p w14:paraId="7FE1C7AB" w14:textId="77777777" w:rsidR="00414040" w:rsidRDefault="00414040">
            <w:pPr>
              <w:spacing w:line="276" w:lineRule="auto"/>
              <w:jc w:val="both"/>
              <w:rPr>
                <w:rFonts w:ascii="Times New Roman" w:hAnsi="Times New Roman"/>
                <w:sz w:val="20"/>
              </w:rPr>
            </w:pPr>
          </w:p>
          <w:p w14:paraId="7FE1C7AC" w14:textId="77777777" w:rsidR="00414040" w:rsidRDefault="00414040">
            <w:pPr>
              <w:spacing w:line="276" w:lineRule="auto"/>
              <w:jc w:val="both"/>
              <w:rPr>
                <w:rFonts w:ascii="Times New Roman" w:hAnsi="Times New Roman"/>
                <w:sz w:val="20"/>
              </w:rPr>
            </w:pPr>
          </w:p>
        </w:tc>
      </w:tr>
    </w:tbl>
    <w:p w14:paraId="7FE1C7B8" w14:textId="77777777" w:rsidR="00414040" w:rsidRDefault="00414040">
      <w:pPr>
        <w:rPr>
          <w:rFonts w:ascii="Times New Roman" w:hAnsi="Times New Roman" w:cs="Times New Roman"/>
        </w:rPr>
      </w:pPr>
    </w:p>
    <w:p w14:paraId="7FE1C7B9" w14:textId="77777777" w:rsidR="00414040" w:rsidRDefault="00414040">
      <w:pPr>
        <w:pStyle w:val="Instructionsberschrift2"/>
        <w:rPr>
          <w:rFonts w:ascii="Times New Roman" w:eastAsia="Calibri" w:hAnsi="Times New Roman" w:cs="Times New Roman"/>
          <w:szCs w:val="20"/>
        </w:rPr>
      </w:pPr>
    </w:p>
    <w:p w14:paraId="7FE1C7BA" w14:textId="77777777" w:rsidR="00414040" w:rsidRDefault="00904E1A">
      <w:pPr>
        <w:pStyle w:val="P68B1DB1-Instructionsberschrift271"/>
        <w:numPr>
          <w:ilvl w:val="1"/>
          <w:numId w:val="49"/>
        </w:numPr>
        <w:ind w:left="357" w:hanging="357"/>
      </w:pPr>
      <w:bookmarkStart w:id="135" w:name="_Toc211525939"/>
      <w:r>
        <w:t>Servicios de IMF</w:t>
      </w:r>
      <w:bookmarkEnd w:id="135"/>
    </w:p>
    <w:p w14:paraId="7FE1C7BC" w14:textId="227D5127" w:rsidR="00414040" w:rsidRDefault="00904E1A">
      <w:pPr>
        <w:pStyle w:val="P68B1DB1-Numberedtitlelevel372"/>
      </w:pPr>
      <w:r>
        <w:t>Observaciones generales</w:t>
      </w:r>
    </w:p>
    <w:p w14:paraId="7FE1C7BD" w14:textId="760213FE" w:rsidR="00414040" w:rsidRDefault="00904E1A">
      <w:pPr>
        <w:pStyle w:val="P68B1DB1-InstructionsText26"/>
        <w:numPr>
          <w:ilvl w:val="2"/>
          <w:numId w:val="209"/>
        </w:numPr>
        <w:spacing w:before="0"/>
        <w:ind w:left="1276"/>
      </w:pPr>
      <w:r>
        <w:t>Indíquese todo acceso directo e indirecto a las IMF y a los sistemas mencionados en la columna 0040</w:t>
      </w:r>
      <w:r w:rsidR="00B92338">
        <w:t xml:space="preserve"> indicada</w:t>
      </w:r>
      <w:r w:rsidR="00BA7690">
        <w:t xml:space="preserve"> más</w:t>
      </w:r>
      <w:r w:rsidR="00B92338">
        <w:t xml:space="preserve"> abajo</w:t>
      </w:r>
      <w:r>
        <w:t>. Esta plantilla se cumplimentará una sola vez para la entidad o el grupo en su conjunto.</w:t>
      </w:r>
    </w:p>
    <w:p w14:paraId="7FE1C7BE" w14:textId="20BBF896" w:rsidR="00414040" w:rsidRDefault="00761DE6">
      <w:pPr>
        <w:pStyle w:val="P68B1DB1-InstructionsText26"/>
        <w:numPr>
          <w:ilvl w:val="2"/>
          <w:numId w:val="209"/>
        </w:numPr>
        <w:spacing w:before="0"/>
        <w:ind w:left="1276"/>
      </w:pPr>
      <w:r>
        <w:rPr>
          <w:lang w:val="es-ES"/>
        </w:rPr>
        <w:t>Se deberá presentar una única</w:t>
      </w:r>
      <w:r w:rsidR="00904E1A" w:rsidRPr="2133F407">
        <w:rPr>
          <w:lang w:val="es-ES"/>
        </w:rPr>
        <w:t xml:space="preserve"> plantilla para la entidad o el grupo. Cada </w:t>
      </w:r>
      <w:r w:rsidR="00D652C8">
        <w:rPr>
          <w:lang w:val="es-ES"/>
        </w:rPr>
        <w:t>ente</w:t>
      </w:r>
      <w:r w:rsidR="00D652C8" w:rsidRPr="2133F407">
        <w:rPr>
          <w:lang w:val="es-ES"/>
        </w:rPr>
        <w:t xml:space="preserve"> </w:t>
      </w:r>
      <w:r w:rsidR="00904E1A" w:rsidRPr="2133F407">
        <w:rPr>
          <w:lang w:val="es-ES"/>
        </w:rPr>
        <w:t>jurídic</w:t>
      </w:r>
      <w:r w:rsidR="00D652C8">
        <w:rPr>
          <w:lang w:val="es-ES"/>
        </w:rPr>
        <w:t>o</w:t>
      </w:r>
      <w:r w:rsidR="00904E1A" w:rsidRPr="2133F407">
        <w:rPr>
          <w:lang w:val="es-ES"/>
        </w:rPr>
        <w:t xml:space="preserve"> pertinente que acceda a una </w:t>
      </w:r>
      <w:proofErr w:type="gramStart"/>
      <w:r w:rsidR="00904E1A" w:rsidRPr="2133F407">
        <w:rPr>
          <w:lang w:val="es-ES"/>
        </w:rPr>
        <w:t>IMF,</w:t>
      </w:r>
      <w:proofErr w:type="gramEnd"/>
      <w:r w:rsidR="00904E1A" w:rsidRPr="2133F407">
        <w:rPr>
          <w:lang w:val="es-ES"/>
        </w:rPr>
        <w:t xml:space="preserve"> ya sea directa o indirectamente, se declarará </w:t>
      </w:r>
      <w:r w:rsidR="003E20DD">
        <w:rPr>
          <w:lang w:val="es-ES"/>
        </w:rPr>
        <w:t>de manera diferenciada</w:t>
      </w:r>
      <w:r w:rsidR="00904E1A" w:rsidRPr="2133F407">
        <w:rPr>
          <w:lang w:val="es-ES"/>
        </w:rPr>
        <w:t xml:space="preserve"> como usuario. </w:t>
      </w:r>
      <w:r w:rsidR="004867D9">
        <w:rPr>
          <w:lang w:val="es-ES"/>
        </w:rPr>
        <w:t>Se deberán informar</w:t>
      </w:r>
      <w:r w:rsidR="004867D9" w:rsidRPr="2133F407">
        <w:rPr>
          <w:lang w:val="es-ES"/>
        </w:rPr>
        <w:t xml:space="preserve"> </w:t>
      </w:r>
      <w:r w:rsidR="00904E1A" w:rsidRPr="2133F407">
        <w:rPr>
          <w:lang w:val="es-ES"/>
        </w:rPr>
        <w:t>tanto la</w:t>
      </w:r>
      <w:r w:rsidR="004867D9">
        <w:rPr>
          <w:lang w:val="es-ES"/>
        </w:rPr>
        <w:t>s</w:t>
      </w:r>
      <w:r w:rsidR="00904E1A" w:rsidRPr="2133F407">
        <w:rPr>
          <w:lang w:val="es-ES"/>
        </w:rPr>
        <w:t xml:space="preserve"> relaci</w:t>
      </w:r>
      <w:r w:rsidR="004867D9">
        <w:rPr>
          <w:lang w:val="es-ES"/>
        </w:rPr>
        <w:t>ones</w:t>
      </w:r>
      <w:r w:rsidR="00904E1A" w:rsidRPr="2133F407">
        <w:rPr>
          <w:lang w:val="es-ES"/>
        </w:rPr>
        <w:t xml:space="preserve"> intragrupo como la</w:t>
      </w:r>
      <w:r w:rsidR="004867D9">
        <w:rPr>
          <w:lang w:val="es-ES"/>
        </w:rPr>
        <w:t>s</w:t>
      </w:r>
      <w:r w:rsidR="00904E1A" w:rsidRPr="2133F407">
        <w:rPr>
          <w:lang w:val="es-ES"/>
        </w:rPr>
        <w:t xml:space="preserve"> relaci</w:t>
      </w:r>
      <w:r w:rsidR="004867D9">
        <w:rPr>
          <w:lang w:val="es-ES"/>
        </w:rPr>
        <w:t>ones</w:t>
      </w:r>
      <w:r w:rsidR="00904E1A" w:rsidRPr="2133F407">
        <w:rPr>
          <w:lang w:val="es-ES"/>
        </w:rPr>
        <w:t xml:space="preserve"> con terceros.</w:t>
      </w:r>
    </w:p>
    <w:p w14:paraId="7FE1C7BF" w14:textId="0D01460E" w:rsidR="00414040" w:rsidRDefault="00904E1A">
      <w:pPr>
        <w:pStyle w:val="P68B1DB1-ListParagraph32"/>
        <w:numPr>
          <w:ilvl w:val="2"/>
          <w:numId w:val="209"/>
        </w:numPr>
        <w:ind w:left="1276"/>
        <w:rPr>
          <w:lang w:val="es-ES"/>
        </w:rPr>
      </w:pPr>
      <w:r w:rsidRPr="11A44BD7">
        <w:rPr>
          <w:lang w:val="es-ES"/>
        </w:rPr>
        <w:t xml:space="preserve">La combinación de los valores </w:t>
      </w:r>
      <w:r w:rsidR="2A9DAF6D" w:rsidRPr="11A44BD7">
        <w:rPr>
          <w:lang w:val="es-ES"/>
        </w:rPr>
        <w:t>declarados</w:t>
      </w:r>
      <w:r w:rsidRPr="11A44BD7">
        <w:rPr>
          <w:lang w:val="es-ES"/>
        </w:rPr>
        <w:t xml:space="preserve"> en las columnas 0030, 0040, 0070 y 0110 de esta plantilla constituye una clave principal que debe ser única para cada fila de la plantilla y se </w:t>
      </w:r>
      <w:r w:rsidR="578FF1BE" w:rsidRPr="11A44BD7">
        <w:rPr>
          <w:lang w:val="es-ES"/>
        </w:rPr>
        <w:t xml:space="preserve">informa en la </w:t>
      </w:r>
      <w:r w:rsidRPr="11A44BD7">
        <w:rPr>
          <w:lang w:val="es-ES"/>
        </w:rPr>
        <w:t>primera columna de cada plantilla.</w:t>
      </w:r>
    </w:p>
    <w:p w14:paraId="7FE1C7C0" w14:textId="77777777" w:rsidR="00414040" w:rsidRDefault="00414040">
      <w:pPr>
        <w:pStyle w:val="ListParagraph"/>
        <w:ind w:left="1276"/>
        <w:rPr>
          <w:rFonts w:ascii="Times New Roman" w:eastAsia="Times New Roman" w:hAnsi="Times New Roman"/>
          <w:sz w:val="20"/>
          <w:szCs w:val="20"/>
        </w:rPr>
      </w:pPr>
    </w:p>
    <w:p w14:paraId="7FE1C7C1" w14:textId="0BF20DD6" w:rsidR="00414040" w:rsidRDefault="00904E1A">
      <w:pPr>
        <w:pStyle w:val="P68B1DB1-InstructionsText26"/>
        <w:numPr>
          <w:ilvl w:val="2"/>
          <w:numId w:val="209"/>
        </w:numPr>
        <w:spacing w:before="0"/>
        <w:ind w:left="1276"/>
      </w:pPr>
      <w:r>
        <w:t>Si es necesario comunicar más de un</w:t>
      </w:r>
      <w:r w:rsidR="00840F29">
        <w:t xml:space="preserve"> elemento</w:t>
      </w:r>
      <w:r>
        <w:t xml:space="preserve"> en campos </w:t>
      </w:r>
      <w:r w:rsidR="00840F29">
        <w:t>de texto</w:t>
      </w:r>
      <w:r>
        <w:t xml:space="preserve"> libre, separar</w:t>
      </w:r>
      <w:r w:rsidR="00D0454A">
        <w:t xml:space="preserve"> cada elemento</w:t>
      </w:r>
      <w:r>
        <w:t xml:space="preserve"> </w:t>
      </w:r>
      <w:r w:rsidR="00D0454A">
        <w:t xml:space="preserve">con </w:t>
      </w:r>
      <w:r>
        <w:t>punto y coma (;).</w:t>
      </w:r>
    </w:p>
    <w:p w14:paraId="7FE1C7C2" w14:textId="77777777" w:rsidR="00414040" w:rsidRDefault="00414040">
      <w:pPr>
        <w:pStyle w:val="Instructionsberschrift2"/>
        <w:ind w:left="357"/>
        <w:rPr>
          <w:rFonts w:ascii="Times New Roman" w:eastAsia="Calibri" w:hAnsi="Times New Roman" w:cs="Times New Roman"/>
          <w:szCs w:val="20"/>
        </w:rPr>
      </w:pPr>
    </w:p>
    <w:p w14:paraId="7FE1C7C3" w14:textId="77777777" w:rsidR="00414040" w:rsidRDefault="00904E1A">
      <w:pPr>
        <w:pStyle w:val="P68B1DB1-Instructionsberschrift271"/>
        <w:numPr>
          <w:ilvl w:val="1"/>
          <w:numId w:val="49"/>
        </w:numPr>
        <w:ind w:left="357" w:hanging="357"/>
      </w:pPr>
      <w:bookmarkStart w:id="136" w:name="_Toc211525940"/>
      <w:r>
        <w:t>Z 09.01 — Servicios de IMF — Proveedores y Usuarios (FMI 1)</w:t>
      </w:r>
      <w:bookmarkEnd w:id="136"/>
    </w:p>
    <w:p w14:paraId="7FE1C7C5" w14:textId="6BE08ACD" w:rsidR="00414040" w:rsidRDefault="00414040">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414040" w14:paraId="7FE1C7C8" w14:textId="77777777" w:rsidTr="466B0B01">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414040" w:rsidRDefault="00904E1A">
            <w:pPr>
              <w:pStyle w:val="P68B1DB1-TableParagraph17"/>
              <w:spacing w:before="108"/>
              <w:ind w:left="85"/>
            </w:pPr>
            <w:r>
              <w:t xml:space="preserve">Columnas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414040" w:rsidRDefault="00904E1A">
            <w:pPr>
              <w:pStyle w:val="P68B1DB1-TableParagraph17"/>
              <w:spacing w:before="108"/>
              <w:ind w:left="85"/>
            </w:pPr>
            <w:r>
              <w:t xml:space="preserve">Instrucciones </w:t>
            </w:r>
          </w:p>
        </w:tc>
      </w:tr>
      <w:tr w:rsidR="00414040" w14:paraId="7FE1C7CD" w14:textId="77777777" w:rsidTr="466B0B01">
        <w:tc>
          <w:tcPr>
            <w:tcW w:w="1183" w:type="dxa"/>
            <w:tcBorders>
              <w:top w:val="single" w:sz="4" w:space="0" w:color="auto"/>
              <w:bottom w:val="single" w:sz="4" w:space="0" w:color="auto"/>
              <w:right w:val="single" w:sz="4" w:space="0" w:color="auto"/>
            </w:tcBorders>
            <w:vAlign w:val="center"/>
          </w:tcPr>
          <w:p w14:paraId="7FE1C7C9" w14:textId="77777777" w:rsidR="00414040" w:rsidRDefault="00904E1A">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600980EA" w:rsidR="00414040" w:rsidRDefault="00904E1A">
            <w:pPr>
              <w:pStyle w:val="P68B1DB1-TableParagraph73"/>
              <w:spacing w:before="108"/>
              <w:jc w:val="both"/>
            </w:pPr>
            <w:r>
              <w:t>I</w:t>
            </w:r>
            <w:r w:rsidR="0098467D">
              <w:t>dentificador</w:t>
            </w:r>
            <w:r>
              <w:t xml:space="preserve"> que representa la combinación de usuario, IMF, tipo de sistema e intermediario</w:t>
            </w:r>
          </w:p>
          <w:p w14:paraId="7FE1C7CB" w14:textId="3FDBB9FE" w:rsidR="00414040" w:rsidRDefault="00904E1A">
            <w:pPr>
              <w:pStyle w:val="P68B1DB1-Normal31"/>
            </w:pPr>
            <w:r>
              <w:t xml:space="preserve">Utilícese un identificador único por fila, que corresponda a una combinación única de usuario, IMF, tipo de sistema e intermediario. </w:t>
            </w:r>
            <w:r w:rsidR="0010024F">
              <w:t>E</w:t>
            </w:r>
            <w:r>
              <w:t>l mismo I</w:t>
            </w:r>
            <w:r w:rsidR="0098467D">
              <w:t>dentificador</w:t>
            </w:r>
            <w:r>
              <w:t xml:space="preserve">, correspondiente a la misma combinación, </w:t>
            </w:r>
            <w:r w:rsidR="0010024F">
              <w:t xml:space="preserve">debe utilizarse </w:t>
            </w:r>
            <w:r>
              <w:t xml:space="preserve">en las plantillas Z 09.01 a Z 09.04, cuando proceda. </w:t>
            </w:r>
          </w:p>
          <w:p w14:paraId="7FE1C7CC" w14:textId="77777777" w:rsidR="00414040" w:rsidRDefault="00414040">
            <w:pPr>
              <w:rPr>
                <w:rFonts w:ascii="Times New Roman" w:eastAsia="Times New Roman" w:hAnsi="Times New Roman" w:cs="Times New Roman"/>
                <w:sz w:val="20"/>
                <w:szCs w:val="20"/>
              </w:rPr>
            </w:pPr>
          </w:p>
        </w:tc>
      </w:tr>
      <w:tr w:rsidR="00414040" w14:paraId="7FE1C7D0" w14:textId="77777777" w:rsidTr="466B0B01">
        <w:tc>
          <w:tcPr>
            <w:tcW w:w="1183" w:type="dxa"/>
            <w:tcBorders>
              <w:top w:val="single" w:sz="4" w:space="0" w:color="auto"/>
              <w:bottom w:val="single" w:sz="8" w:space="0" w:color="auto"/>
              <w:right w:val="single" w:sz="8" w:space="0" w:color="auto"/>
            </w:tcBorders>
            <w:vAlign w:val="center"/>
          </w:tcPr>
          <w:p w14:paraId="7FE1C7CE" w14:textId="77777777" w:rsidR="00414040" w:rsidRDefault="00904E1A">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6B7B2BB3" w:rsidR="00414040" w:rsidRDefault="00904E1A">
            <w:pPr>
              <w:pStyle w:val="P68B1DB1-TableParagraph75"/>
              <w:spacing w:before="108"/>
              <w:ind w:left="85"/>
              <w:jc w:val="both"/>
              <w:rPr>
                <w:color w:val="D13438"/>
                <w:u w:val="single"/>
              </w:rPr>
            </w:pPr>
            <w:r>
              <w:t>Usuario</w:t>
            </w:r>
          </w:p>
        </w:tc>
      </w:tr>
      <w:tr w:rsidR="00414040" w14:paraId="7FE1C7D4" w14:textId="77777777" w:rsidTr="466B0B01">
        <w:tc>
          <w:tcPr>
            <w:tcW w:w="1183" w:type="dxa"/>
            <w:tcBorders>
              <w:top w:val="single" w:sz="4" w:space="0" w:color="auto"/>
              <w:bottom w:val="single" w:sz="8" w:space="0" w:color="auto"/>
              <w:right w:val="single" w:sz="8" w:space="0" w:color="auto"/>
            </w:tcBorders>
            <w:vAlign w:val="center"/>
          </w:tcPr>
          <w:p w14:paraId="7FE1C7D1" w14:textId="77777777" w:rsidR="00414040" w:rsidRDefault="00904E1A">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414040" w:rsidRDefault="00904E1A">
            <w:pPr>
              <w:pStyle w:val="P68B1DB1-TableParagraph73"/>
              <w:spacing w:before="108" w:after="120"/>
              <w:jc w:val="both"/>
            </w:pPr>
            <w:r>
              <w:t>Nombre del ente</w:t>
            </w:r>
          </w:p>
          <w:p w14:paraId="7FE1C7D3" w14:textId="499A6A04" w:rsidR="00414040" w:rsidRDefault="00904E1A">
            <w:pPr>
              <w:pStyle w:val="P68B1DB1-TableParagraph40"/>
              <w:spacing w:before="108"/>
              <w:ind w:left="85"/>
              <w:jc w:val="both"/>
              <w:rPr>
                <w:b/>
                <w:i/>
                <w:color w:val="D13438"/>
                <w:u w:val="single"/>
                <w:lang w:val="es-ES"/>
              </w:rPr>
            </w:pPr>
            <w:r w:rsidRPr="2133F407">
              <w:rPr>
                <w:lang w:val="es-ES"/>
              </w:rPr>
              <w:t xml:space="preserve">Nombre del ente jurídico que utiliza los servicios de pago, custodia, compensación, liquidación o registro de operaciones, tal como conste en </w:t>
            </w:r>
            <w:r w:rsidR="00D652C8">
              <w:rPr>
                <w:lang w:val="es-ES"/>
              </w:rPr>
              <w:t xml:space="preserve">la plantilla </w:t>
            </w:r>
            <w:r w:rsidRPr="2133F407">
              <w:rPr>
                <w:lang w:val="es-ES"/>
              </w:rPr>
              <w:t>Z 01.01</w:t>
            </w:r>
            <w:r w:rsidR="00D652C8">
              <w:rPr>
                <w:lang w:val="es-ES"/>
              </w:rPr>
              <w:t xml:space="preserve">. </w:t>
            </w:r>
            <w:r w:rsidR="00D64BF9">
              <w:rPr>
                <w:lang w:val="es-ES"/>
              </w:rPr>
              <w:t>Entes jurídicos</w:t>
            </w:r>
            <w:r w:rsidRPr="2133F407">
              <w:rPr>
                <w:lang w:val="es-ES"/>
              </w:rPr>
              <w:t xml:space="preserve"> (ORG 1): </w:t>
            </w:r>
            <w:r w:rsidR="00D652C8">
              <w:rPr>
                <w:lang w:val="es-ES"/>
              </w:rPr>
              <w:t>n</w:t>
            </w:r>
            <w:r w:rsidR="003F2851">
              <w:rPr>
                <w:lang w:val="es-ES"/>
              </w:rPr>
              <w:t>ombre</w:t>
            </w:r>
            <w:r w:rsidR="003F2851" w:rsidRPr="2133F407">
              <w:rPr>
                <w:lang w:val="es-ES"/>
              </w:rPr>
              <w:t xml:space="preserve"> </w:t>
            </w:r>
            <w:r w:rsidRPr="2133F407">
              <w:rPr>
                <w:lang w:val="es-ES"/>
              </w:rPr>
              <w:t xml:space="preserve">oficial tal como figure en los </w:t>
            </w:r>
            <w:r w:rsidR="0087231B">
              <w:rPr>
                <w:lang w:val="es-ES"/>
              </w:rPr>
              <w:t>actos societarios</w:t>
            </w:r>
            <w:r w:rsidRPr="2133F407">
              <w:rPr>
                <w:lang w:val="es-ES"/>
              </w:rPr>
              <w:t xml:space="preserve">, incluida la indicación de la forma jurídica. </w:t>
            </w:r>
          </w:p>
        </w:tc>
      </w:tr>
      <w:tr w:rsidR="00414040" w14:paraId="7FE1C7D9" w14:textId="77777777" w:rsidTr="466B0B01">
        <w:tc>
          <w:tcPr>
            <w:tcW w:w="1183" w:type="dxa"/>
            <w:tcBorders>
              <w:top w:val="single" w:sz="8" w:space="0" w:color="auto"/>
              <w:bottom w:val="single" w:sz="8" w:space="0" w:color="auto"/>
              <w:right w:val="single" w:sz="8" w:space="0" w:color="auto"/>
            </w:tcBorders>
            <w:vAlign w:val="center"/>
          </w:tcPr>
          <w:p w14:paraId="7FE1C7D5" w14:textId="77777777" w:rsidR="00414040" w:rsidRDefault="00904E1A">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414040" w:rsidRDefault="00904E1A">
            <w:pPr>
              <w:pStyle w:val="P68B1DB1-TableParagraph73"/>
              <w:spacing w:before="108"/>
              <w:jc w:val="both"/>
            </w:pPr>
            <w:r>
              <w:t>Código del ente</w:t>
            </w:r>
          </w:p>
          <w:p w14:paraId="7FE1C7D7" w14:textId="7E2707B4" w:rsidR="00414040" w:rsidRDefault="00904E1A">
            <w:pPr>
              <w:pStyle w:val="P68B1DB1-TableParagraph40"/>
              <w:spacing w:before="108"/>
              <w:jc w:val="both"/>
            </w:pPr>
            <w:r>
              <w:t>Código LEI alfanumérico de 20 dígitos de</w:t>
            </w:r>
            <w:r w:rsidR="007F143B">
              <w:t>l</w:t>
            </w:r>
            <w:r>
              <w:t xml:space="preserve"> </w:t>
            </w:r>
            <w:r w:rsidR="007F143B">
              <w:t>ente</w:t>
            </w:r>
            <w:r>
              <w:t xml:space="preserve"> jurídic</w:t>
            </w:r>
            <w:r w:rsidR="007F143B">
              <w:t>o</w:t>
            </w:r>
            <w:r>
              <w:t xml:space="preserve"> que utiliza servicios de pago, custodia, liquidación, compensación o registro de operaciones, tal como se indica en la plantilla Z 01.01</w:t>
            </w:r>
            <w:r w:rsidR="00D652C8">
              <w:t>.</w:t>
            </w:r>
            <w:r>
              <w:t xml:space="preserve"> Ent</w:t>
            </w:r>
            <w:r w:rsidR="00D64BF9">
              <w:t>es</w:t>
            </w:r>
            <w:r>
              <w:t xml:space="preserve"> jurídic</w:t>
            </w:r>
            <w:r w:rsidR="00D64BF9">
              <w:t>o</w:t>
            </w:r>
            <w:r>
              <w:t xml:space="preserve">s (ORG 1). </w:t>
            </w:r>
          </w:p>
          <w:p w14:paraId="7FE1C7D8" w14:textId="3CE028DD" w:rsidR="00414040" w:rsidRDefault="00904E1A">
            <w:pPr>
              <w:pStyle w:val="P68B1DB1-Normal31"/>
            </w:pPr>
            <w:r w:rsidRPr="3E4E0AEA">
              <w:rPr>
                <w:lang w:val="es-ES"/>
              </w:rPr>
              <w:t>En ausencia de un LEI, debe utilizarse el identificador único de las instituciones financieras monetarias del BCE (I</w:t>
            </w:r>
            <w:r w:rsidR="0098467D">
              <w:rPr>
                <w:lang w:val="es-ES"/>
              </w:rPr>
              <w:t>dentificador</w:t>
            </w:r>
            <w:r w:rsidRPr="3E4E0AEA">
              <w:rPr>
                <w:lang w:val="es-ES"/>
              </w:rPr>
              <w:t xml:space="preserve"> de IFM) </w:t>
            </w:r>
            <w:r w:rsidR="63E5F913" w:rsidRPr="3E4E0AEA">
              <w:rPr>
                <w:lang w:val="es-ES"/>
              </w:rPr>
              <w:t>del ente</w:t>
            </w:r>
            <w:r w:rsidRPr="3E4E0AEA">
              <w:rPr>
                <w:lang w:val="es-ES"/>
              </w:rPr>
              <w:t xml:space="preserve"> para su uso en RIAD. </w:t>
            </w:r>
          </w:p>
        </w:tc>
      </w:tr>
      <w:tr w:rsidR="00414040" w14:paraId="7FE1C7DC" w14:textId="77777777" w:rsidTr="466B0B01">
        <w:tc>
          <w:tcPr>
            <w:tcW w:w="1183" w:type="dxa"/>
            <w:tcBorders>
              <w:top w:val="single" w:sz="8" w:space="0" w:color="auto"/>
              <w:bottom w:val="single" w:sz="8" w:space="0" w:color="auto"/>
              <w:right w:val="single" w:sz="8" w:space="0" w:color="auto"/>
            </w:tcBorders>
            <w:vAlign w:val="center"/>
          </w:tcPr>
          <w:p w14:paraId="7FE1C7DA" w14:textId="77777777" w:rsidR="00414040" w:rsidRDefault="00904E1A">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414040" w:rsidRDefault="00904E1A">
            <w:pPr>
              <w:pStyle w:val="P68B1DB1-TableParagraph75"/>
              <w:spacing w:before="108"/>
              <w:ind w:left="85"/>
              <w:jc w:val="both"/>
            </w:pPr>
            <w:r>
              <w:t>Proveedor</w:t>
            </w:r>
          </w:p>
        </w:tc>
      </w:tr>
      <w:tr w:rsidR="00414040" w14:paraId="7FE1C7DF" w14:textId="77777777" w:rsidTr="466B0B01">
        <w:tc>
          <w:tcPr>
            <w:tcW w:w="1183" w:type="dxa"/>
            <w:tcBorders>
              <w:top w:val="single" w:sz="8" w:space="0" w:color="auto"/>
              <w:bottom w:val="single" w:sz="8" w:space="0" w:color="auto"/>
              <w:right w:val="single" w:sz="8" w:space="0" w:color="auto"/>
            </w:tcBorders>
            <w:vAlign w:val="center"/>
          </w:tcPr>
          <w:p w14:paraId="7FE1C7DD" w14:textId="77777777" w:rsidR="00414040" w:rsidRDefault="00904E1A">
            <w:pPr>
              <w:pStyle w:val="P68B1DB1-Normal74"/>
            </w:pPr>
            <w:r>
              <w:lastRenderedPageBreak/>
              <w:t>0040-0090</w:t>
            </w:r>
          </w:p>
        </w:tc>
        <w:tc>
          <w:tcPr>
            <w:tcW w:w="7832" w:type="dxa"/>
            <w:tcBorders>
              <w:top w:val="single" w:sz="8" w:space="0" w:color="auto"/>
              <w:left w:val="single" w:sz="8" w:space="0" w:color="auto"/>
              <w:bottom w:val="single" w:sz="8" w:space="0" w:color="auto"/>
            </w:tcBorders>
            <w:vAlign w:val="bottom"/>
          </w:tcPr>
          <w:p w14:paraId="7FE1C7DE" w14:textId="63B3124A" w:rsidR="00414040" w:rsidRDefault="57243E04">
            <w:pPr>
              <w:pStyle w:val="P68B1DB1-TableParagraph75"/>
              <w:spacing w:before="108"/>
              <w:ind w:left="85"/>
              <w:jc w:val="both"/>
            </w:pPr>
            <w:r>
              <w:t>IMF</w:t>
            </w:r>
          </w:p>
        </w:tc>
      </w:tr>
      <w:tr w:rsidR="00414040" w14:paraId="7FE1C7ED" w14:textId="77777777" w:rsidTr="466B0B01">
        <w:tc>
          <w:tcPr>
            <w:tcW w:w="1183" w:type="dxa"/>
            <w:tcBorders>
              <w:top w:val="single" w:sz="8" w:space="0" w:color="auto"/>
              <w:bottom w:val="single" w:sz="8" w:space="0" w:color="auto"/>
              <w:right w:val="single" w:sz="8" w:space="0" w:color="auto"/>
            </w:tcBorders>
            <w:vAlign w:val="center"/>
          </w:tcPr>
          <w:p w14:paraId="7FE1C7E0" w14:textId="77777777" w:rsidR="00414040" w:rsidRDefault="00904E1A">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414040" w:rsidRDefault="00904E1A">
            <w:pPr>
              <w:pStyle w:val="P68B1DB1-TableParagraph73"/>
              <w:spacing w:before="108"/>
              <w:ind w:left="85"/>
              <w:jc w:val="both"/>
            </w:pPr>
            <w:r>
              <w:t>Tipo de sistema</w:t>
            </w:r>
          </w:p>
          <w:p w14:paraId="7FE1C7E2" w14:textId="77777777" w:rsidR="00414040" w:rsidRDefault="00904E1A">
            <w:pPr>
              <w:pStyle w:val="P68B1DB1-TableParagraph40"/>
              <w:spacing w:before="108"/>
              <w:ind w:left="85"/>
              <w:jc w:val="both"/>
            </w:pPr>
            <w:r>
              <w:t>El tipo de sistema que presta servicios al usuario. Selecciónese entre los tipos siguientes:</w:t>
            </w:r>
          </w:p>
          <w:p w14:paraId="7FE1C7E3" w14:textId="64030D90" w:rsidR="00414040" w:rsidRDefault="00904E1A">
            <w:pPr>
              <w:pStyle w:val="P68B1DB1-TableParagraph40"/>
              <w:spacing w:before="108"/>
              <w:ind w:left="85"/>
              <w:jc w:val="both"/>
            </w:pPr>
            <w:r>
              <w:t xml:space="preserve">Sistemas de pago </w:t>
            </w:r>
          </w:p>
          <w:p w14:paraId="7FE1C7E4" w14:textId="67D191CC" w:rsidR="00414040" w:rsidRPr="00210421" w:rsidRDefault="00904E1A" w:rsidP="2D1CB5B7">
            <w:pPr>
              <w:pStyle w:val="P68B1DB1-TableParagraph40"/>
              <w:spacing w:before="108"/>
              <w:ind w:left="85"/>
              <w:jc w:val="both"/>
              <w:rPr>
                <w:lang w:val="es-ES"/>
              </w:rPr>
            </w:pPr>
            <w:proofErr w:type="gramStart"/>
            <w:r w:rsidRPr="00210421">
              <w:rPr>
                <w:lang w:val="es-ES"/>
              </w:rPr>
              <w:t>«</w:t>
            </w:r>
            <w:r w:rsidR="00586403" w:rsidRPr="00586403" w:rsidDel="00586403">
              <w:rPr>
                <w:lang w:val="es-ES"/>
              </w:rPr>
              <w:t xml:space="preserve"> </w:t>
            </w:r>
            <w:r w:rsidRPr="00E3284A">
              <w:t>DCV</w:t>
            </w:r>
            <w:proofErr w:type="gramEnd"/>
            <w:r w:rsidRPr="00E3284A">
              <w:t xml:space="preserve"> y DCVI</w:t>
            </w:r>
            <w:r w:rsidRPr="00210421">
              <w:rPr>
                <w:lang w:val="es-ES"/>
              </w:rPr>
              <w:t>»</w:t>
            </w:r>
          </w:p>
          <w:p w14:paraId="7FE1C7E5" w14:textId="513B4E7C" w:rsidR="00414040" w:rsidRDefault="00904E1A">
            <w:pPr>
              <w:pStyle w:val="P68B1DB1-TableParagraph40"/>
              <w:spacing w:before="108"/>
              <w:ind w:left="85"/>
              <w:jc w:val="both"/>
            </w:pPr>
            <w:r>
              <w:t>«Sistema de liquidación de valores»</w:t>
            </w:r>
          </w:p>
          <w:p w14:paraId="7FE1C7E6" w14:textId="61451372" w:rsidR="00414040" w:rsidRDefault="00904E1A">
            <w:pPr>
              <w:pStyle w:val="TableParagraph"/>
              <w:spacing w:before="108"/>
              <w:ind w:left="85"/>
              <w:jc w:val="both"/>
              <w:rPr>
                <w:rFonts w:ascii="Times New Roman" w:eastAsia="Times New Roman" w:hAnsi="Times New Roman" w:cs="Times New Roman"/>
                <w:sz w:val="20"/>
                <w:szCs w:val="20"/>
                <w:lang w:val="es-ES"/>
              </w:rPr>
            </w:pPr>
            <w:r w:rsidRPr="2133F407">
              <w:rPr>
                <w:rFonts w:ascii="Times New Roman" w:eastAsia="Times New Roman" w:hAnsi="Times New Roman" w:cs="Times New Roman"/>
                <w:sz w:val="20"/>
                <w:szCs w:val="20"/>
                <w:lang w:val="es-ES"/>
              </w:rPr>
              <w:t>«Entidades de contrapartida central para la compensación de valores»</w:t>
            </w:r>
            <w:r w:rsidRPr="2133F407">
              <w:rPr>
                <w:rStyle w:val="FootnoteReference"/>
                <w:rFonts w:ascii="Times New Roman" w:eastAsia="Times New Roman" w:hAnsi="Times New Roman" w:cs="Times New Roman"/>
                <w:lang w:val="es-ES"/>
              </w:rPr>
              <w:footnoteReference w:id="29"/>
            </w:r>
          </w:p>
          <w:p w14:paraId="7FE1C7E7" w14:textId="75E09D2C" w:rsidR="00414040" w:rsidRDefault="00904E1A">
            <w:pPr>
              <w:pStyle w:val="P68B1DB1-TableParagraph40"/>
              <w:spacing w:before="108"/>
              <w:ind w:left="85"/>
              <w:jc w:val="both"/>
            </w:pPr>
            <w:r>
              <w:t>«Entidades de contrapartida central para la compensación de derivados»</w:t>
            </w:r>
          </w:p>
          <w:p w14:paraId="7FE1C7E8" w14:textId="5AA6E373" w:rsidR="00414040" w:rsidRDefault="00904E1A">
            <w:pPr>
              <w:pStyle w:val="P68B1DB1-TableParagraph40"/>
              <w:spacing w:before="108"/>
              <w:ind w:left="85"/>
              <w:jc w:val="both"/>
            </w:pPr>
            <w:r>
              <w:t>«Re</w:t>
            </w:r>
            <w:r w:rsidR="00A87C85">
              <w:t>positorio</w:t>
            </w:r>
            <w:r w:rsidR="00861BDC">
              <w:t>s</w:t>
            </w:r>
            <w:r>
              <w:t xml:space="preserve"> de operaciones </w:t>
            </w:r>
            <w:r w:rsidR="00EE587D">
              <w:t>registrados</w:t>
            </w:r>
            <w:r>
              <w:t>».</w:t>
            </w:r>
          </w:p>
          <w:p w14:paraId="7FE1C7E9" w14:textId="424A35E7" w:rsidR="00414040" w:rsidRDefault="00904E1A">
            <w:pPr>
              <w:pStyle w:val="TableParagraph"/>
              <w:spacing w:before="108"/>
              <w:ind w:left="85"/>
              <w:jc w:val="both"/>
              <w:rPr>
                <w:rFonts w:ascii="Times New Roman" w:eastAsia="Times New Roman" w:hAnsi="Times New Roman" w:cs="Times New Roman"/>
                <w:sz w:val="20"/>
                <w:szCs w:val="20"/>
                <w:lang w:val="es-ES"/>
              </w:rPr>
            </w:pPr>
            <w:r w:rsidRPr="2133F407">
              <w:rPr>
                <w:rFonts w:ascii="Times New Roman" w:eastAsia="Times New Roman" w:hAnsi="Times New Roman" w:cs="Times New Roman"/>
                <w:sz w:val="20"/>
                <w:szCs w:val="20"/>
                <w:lang w:val="es-ES"/>
              </w:rPr>
              <w:t>«Sistemas multilaterales de negociación»</w:t>
            </w:r>
            <w:r w:rsidRPr="2133F407">
              <w:rPr>
                <w:rStyle w:val="FootnoteReference"/>
                <w:rFonts w:ascii="Times New Roman" w:eastAsia="Times New Roman" w:hAnsi="Times New Roman" w:cs="Times New Roman"/>
                <w:sz w:val="20"/>
                <w:szCs w:val="20"/>
                <w:lang w:val="es-ES"/>
              </w:rPr>
              <w:footnoteReference w:id="30"/>
            </w:r>
          </w:p>
          <w:p w14:paraId="7FE1C7EB" w14:textId="51093740" w:rsidR="00414040" w:rsidRDefault="00904E1A">
            <w:pPr>
              <w:pStyle w:val="P68B1DB1-TableParagraph40"/>
              <w:spacing w:before="108"/>
              <w:ind w:left="85"/>
              <w:jc w:val="both"/>
            </w:pPr>
            <w:r>
              <w:t>«Sistemas de tarjetas utilizados para pagos minoristas»</w:t>
            </w:r>
          </w:p>
          <w:p w14:paraId="7FE1C7EC" w14:textId="495ED416" w:rsidR="00414040" w:rsidRDefault="00904E1A">
            <w:pPr>
              <w:pStyle w:val="P68B1DB1-TableParagraph40"/>
              <w:spacing w:before="108"/>
              <w:ind w:left="85"/>
              <w:jc w:val="both"/>
            </w:pPr>
            <w:r>
              <w:t>«No aplicable» — Para otros servicios de pago, compensación, liquidación o custodia prestados por un ent</w:t>
            </w:r>
            <w:r w:rsidR="00F77ED0">
              <w:t>e</w:t>
            </w:r>
            <w:r>
              <w:t xml:space="preserve"> que no pertenezca a ninguna de las categorías anteriores, por ejemplo, bancos corresponsales o bancos custodios para los que la entidad no pueda identificar las IMF </w:t>
            </w:r>
            <w:r w:rsidR="007F3752">
              <w:t>últimas</w:t>
            </w:r>
            <w:r>
              <w:t xml:space="preserve">. En la columna 0110 se </w:t>
            </w:r>
            <w:r w:rsidR="002C038D">
              <w:t xml:space="preserve">informará </w:t>
            </w:r>
            <w:r>
              <w:t>el servicio prestado.</w:t>
            </w:r>
          </w:p>
        </w:tc>
      </w:tr>
      <w:tr w:rsidR="00414040" w14:paraId="7FE1C7F4" w14:textId="77777777" w:rsidTr="466B0B01">
        <w:tc>
          <w:tcPr>
            <w:tcW w:w="1183" w:type="dxa"/>
            <w:tcBorders>
              <w:top w:val="single" w:sz="8" w:space="0" w:color="auto"/>
              <w:bottom w:val="single" w:sz="8" w:space="0" w:color="auto"/>
              <w:right w:val="single" w:sz="8" w:space="0" w:color="auto"/>
            </w:tcBorders>
            <w:vAlign w:val="center"/>
          </w:tcPr>
          <w:p w14:paraId="7FE1C7EE" w14:textId="77777777" w:rsidR="00414040" w:rsidRDefault="00904E1A">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21D0C769" w:rsidR="00414040" w:rsidRDefault="5B1A3546">
            <w:pPr>
              <w:pStyle w:val="P68B1DB1-TableParagraph73"/>
              <w:spacing w:before="108"/>
              <w:ind w:left="85"/>
              <w:jc w:val="both"/>
            </w:pPr>
            <w:r w:rsidRPr="3E4E0AEA">
              <w:rPr>
                <w:lang w:val="es-ES"/>
              </w:rPr>
              <w:t xml:space="preserve">Nombre </w:t>
            </w:r>
            <w:r w:rsidR="79E5B3F3" w:rsidRPr="3E4E0AEA">
              <w:rPr>
                <w:lang w:val="es-ES"/>
              </w:rPr>
              <w:t xml:space="preserve">de la </w:t>
            </w:r>
            <w:r w:rsidR="61448693" w:rsidRPr="3E4E0AEA">
              <w:rPr>
                <w:lang w:val="es-ES"/>
              </w:rPr>
              <w:t>IMF</w:t>
            </w:r>
          </w:p>
          <w:p w14:paraId="7FE1C7F0" w14:textId="77777777" w:rsidR="00414040" w:rsidRDefault="00904E1A">
            <w:pPr>
              <w:pStyle w:val="P68B1DB1-TableParagraph40"/>
              <w:spacing w:before="108"/>
              <w:ind w:left="85"/>
              <w:jc w:val="both"/>
            </w:pPr>
            <w:r>
              <w:t xml:space="preserve">Denominación comercial de la infraestructura del mercado financiero. </w:t>
            </w:r>
          </w:p>
          <w:p w14:paraId="7FE1C7F1" w14:textId="6A71A5BE" w:rsidR="00414040" w:rsidRDefault="00904E1A">
            <w:pPr>
              <w:pStyle w:val="P68B1DB1-TableParagraph40"/>
              <w:numPr>
                <w:ilvl w:val="0"/>
                <w:numId w:val="246"/>
              </w:numPr>
              <w:spacing w:before="108"/>
              <w:jc w:val="both"/>
            </w:pPr>
            <w:r>
              <w:t>Si está presente en la columna 0050, nombre de IMF predefinido que figura en el anexo I de las presentes instrucciones;</w:t>
            </w:r>
          </w:p>
          <w:p w14:paraId="7FE1C7F2" w14:textId="77777777" w:rsidR="00414040" w:rsidRDefault="00904E1A">
            <w:pPr>
              <w:pStyle w:val="P68B1DB1-TableParagraph40"/>
              <w:numPr>
                <w:ilvl w:val="0"/>
                <w:numId w:val="246"/>
              </w:numPr>
              <w:spacing w:before="108" w:after="120"/>
              <w:ind w:left="442" w:hanging="357"/>
              <w:jc w:val="both"/>
            </w:pPr>
            <w:r>
              <w:t xml:space="preserve">Si no figura en la columna 0050, nombre en la columna 0060 de texto libre. </w:t>
            </w:r>
          </w:p>
          <w:p w14:paraId="7FE1C7F3" w14:textId="65B3A075" w:rsidR="00414040" w:rsidRDefault="00904E1A">
            <w:pPr>
              <w:pStyle w:val="P68B1DB1-Normal31"/>
            </w:pPr>
            <w:r>
              <w:t>Estas columnas se dejarán en blanco cuando en la columna 0040 se indique «No aplica</w:t>
            </w:r>
            <w:r w:rsidR="00861BDC">
              <w:t>ble</w:t>
            </w:r>
            <w:r>
              <w:t xml:space="preserve">». </w:t>
            </w:r>
          </w:p>
        </w:tc>
      </w:tr>
      <w:tr w:rsidR="00414040" w14:paraId="7FE1C7FB" w14:textId="77777777" w:rsidTr="466B0B01">
        <w:tc>
          <w:tcPr>
            <w:tcW w:w="1183" w:type="dxa"/>
            <w:tcBorders>
              <w:top w:val="single" w:sz="8" w:space="0" w:color="auto"/>
              <w:bottom w:val="single" w:sz="8" w:space="0" w:color="auto"/>
              <w:right w:val="single" w:sz="8" w:space="0" w:color="auto"/>
            </w:tcBorders>
            <w:vAlign w:val="center"/>
          </w:tcPr>
          <w:p w14:paraId="7FE1C7F5" w14:textId="77777777" w:rsidR="00414040" w:rsidRDefault="00904E1A">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58D4430" w:rsidR="00414040" w:rsidRDefault="00904E1A">
            <w:pPr>
              <w:pStyle w:val="P68B1DB1-TableParagraph73"/>
              <w:spacing w:before="108"/>
              <w:ind w:left="85"/>
              <w:jc w:val="both"/>
            </w:pPr>
            <w:r>
              <w:t>Código IMF</w:t>
            </w:r>
          </w:p>
          <w:p w14:paraId="7FE1C7F7" w14:textId="617EDB96" w:rsidR="00414040" w:rsidRDefault="00904E1A">
            <w:pPr>
              <w:pStyle w:val="P68B1DB1-TableParagraph40"/>
              <w:spacing w:before="108"/>
              <w:ind w:left="85"/>
              <w:jc w:val="both"/>
            </w:pPr>
            <w:r>
              <w:t xml:space="preserve">Código </w:t>
            </w:r>
            <w:r w:rsidR="001F783D">
              <w:t xml:space="preserve">LEI </w:t>
            </w:r>
            <w:r>
              <w:t xml:space="preserve">alfanumérico de 20 dígitos de la IMF. </w:t>
            </w:r>
          </w:p>
          <w:p w14:paraId="7FE1C7F8" w14:textId="77777777" w:rsidR="00414040" w:rsidRDefault="00904E1A">
            <w:pPr>
              <w:pStyle w:val="P68B1DB1-TableParagraph40"/>
              <w:spacing w:before="108"/>
              <w:ind w:left="85"/>
              <w:jc w:val="both"/>
            </w:pPr>
            <w:r>
              <w:t xml:space="preserve">Cuando la IMF no disponga de LEI, utilícese el código LEI del operador. </w:t>
            </w:r>
          </w:p>
          <w:p w14:paraId="7FE1C7F9" w14:textId="77777777" w:rsidR="00414040" w:rsidRDefault="00904E1A">
            <w:pPr>
              <w:pStyle w:val="P68B1DB1-TableParagraph40"/>
              <w:spacing w:before="108"/>
              <w:ind w:left="85"/>
              <w:jc w:val="both"/>
            </w:pPr>
            <w:r>
              <w:t>Cuando se indique «No aplicable (tipo de sistema IMF)» en la columna 0040, o cuando la IMF no tenga código, esta columna contendrá «NA».</w:t>
            </w:r>
          </w:p>
          <w:p w14:paraId="7FE1C7FA" w14:textId="77777777" w:rsidR="00414040" w:rsidRDefault="00414040">
            <w:pPr>
              <w:rPr>
                <w:rFonts w:ascii="Times New Roman" w:eastAsia="Times New Roman" w:hAnsi="Times New Roman" w:cs="Times New Roman"/>
                <w:color w:val="D13438"/>
                <w:sz w:val="20"/>
                <w:szCs w:val="20"/>
                <w:u w:val="single"/>
              </w:rPr>
            </w:pPr>
          </w:p>
        </w:tc>
      </w:tr>
      <w:tr w:rsidR="00414040" w14:paraId="7FE1C800" w14:textId="77777777" w:rsidTr="466B0B01">
        <w:tc>
          <w:tcPr>
            <w:tcW w:w="1183" w:type="dxa"/>
            <w:tcBorders>
              <w:top w:val="single" w:sz="8" w:space="0" w:color="auto"/>
              <w:bottom w:val="single" w:sz="8" w:space="0" w:color="auto"/>
              <w:right w:val="single" w:sz="8" w:space="0" w:color="auto"/>
            </w:tcBorders>
            <w:vAlign w:val="center"/>
          </w:tcPr>
          <w:p w14:paraId="7FE1C7FC" w14:textId="77777777" w:rsidR="00414040" w:rsidRDefault="00904E1A">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5ABAFE87" w:rsidR="00414040" w:rsidRDefault="00904E1A">
            <w:pPr>
              <w:pStyle w:val="P68B1DB1-Normal76"/>
              <w:spacing w:after="120"/>
            </w:pPr>
            <w:r>
              <w:t>Operador de la IMF</w:t>
            </w:r>
          </w:p>
          <w:p w14:paraId="7FE1C7FE" w14:textId="77777777" w:rsidR="00414040" w:rsidRDefault="00904E1A">
            <w:pPr>
              <w:pStyle w:val="P68B1DB1-Normal31"/>
              <w:rPr>
                <w:b/>
              </w:rPr>
            </w:pPr>
            <w:r>
              <w:t xml:space="preserve">Nombre del operador de la IMF. </w:t>
            </w:r>
          </w:p>
          <w:p w14:paraId="7FE1C7FF" w14:textId="77777777" w:rsidR="00414040" w:rsidRDefault="00414040">
            <w:pPr>
              <w:rPr>
                <w:rFonts w:ascii="Times New Roman" w:hAnsi="Times New Roman" w:cs="Times New Roman"/>
                <w:color w:val="D13438"/>
                <w:sz w:val="20"/>
                <w:szCs w:val="20"/>
                <w:highlight w:val="yellow"/>
                <w:u w:val="single"/>
              </w:rPr>
            </w:pPr>
          </w:p>
        </w:tc>
      </w:tr>
      <w:tr w:rsidR="00414040" w14:paraId="7FE1C808" w14:textId="77777777" w:rsidTr="466B0B01">
        <w:tc>
          <w:tcPr>
            <w:tcW w:w="1183" w:type="dxa"/>
            <w:tcBorders>
              <w:top w:val="single" w:sz="8" w:space="0" w:color="auto"/>
              <w:bottom w:val="single" w:sz="8" w:space="0" w:color="auto"/>
              <w:right w:val="single" w:sz="8" w:space="0" w:color="auto"/>
            </w:tcBorders>
            <w:vAlign w:val="center"/>
          </w:tcPr>
          <w:p w14:paraId="7FE1C801" w14:textId="77777777" w:rsidR="00414040" w:rsidRDefault="00904E1A">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414040" w:rsidRDefault="00904E1A">
            <w:pPr>
              <w:pStyle w:val="P68B1DB1-Normal76"/>
            </w:pPr>
            <w:r>
              <w:t>Modo de participación</w:t>
            </w:r>
          </w:p>
          <w:p w14:paraId="7FE1C803" w14:textId="25B2CDDE" w:rsidR="00414040" w:rsidRDefault="00904E1A">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 indicará uno de los siguientes </w:t>
            </w:r>
            <w:r w:rsidR="3BF79DDB">
              <w:rPr>
                <w:rFonts w:ascii="Times New Roman" w:eastAsia="Times New Roman" w:hAnsi="Times New Roman" w:cs="Times New Roman"/>
                <w:sz w:val="20"/>
                <w:szCs w:val="20"/>
              </w:rPr>
              <w:t>valore</w:t>
            </w:r>
            <w:r>
              <w:rPr>
                <w:rFonts w:ascii="Times New Roman" w:eastAsia="Times New Roman" w:hAnsi="Times New Roman" w:cs="Times New Roman"/>
                <w:sz w:val="20"/>
                <w:szCs w:val="20"/>
              </w:rPr>
              <w:t>s</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414040" w:rsidRDefault="00904E1A">
            <w:pPr>
              <w:pStyle w:val="P68B1DB1-TableParagraph40"/>
              <w:numPr>
                <w:ilvl w:val="0"/>
                <w:numId w:val="181"/>
              </w:numPr>
              <w:spacing w:before="108"/>
              <w:jc w:val="both"/>
            </w:pPr>
            <w:r>
              <w:lastRenderedPageBreak/>
              <w:t xml:space="preserve">«Directo» en caso de participación directa o pertenencia a IMF. </w:t>
            </w:r>
          </w:p>
          <w:p w14:paraId="7FE1C805" w14:textId="5D19B5BC" w:rsidR="00414040" w:rsidRDefault="00904E1A">
            <w:pPr>
              <w:pStyle w:val="P68B1DB1-TableParagraph40"/>
              <w:numPr>
                <w:ilvl w:val="0"/>
                <w:numId w:val="181"/>
              </w:numPr>
              <w:spacing w:before="108"/>
              <w:jc w:val="both"/>
            </w:pPr>
            <w:r>
              <w:t>«Indirecto» en caso de participación indirecta en IMF/</w:t>
            </w:r>
            <w:proofErr w:type="gramStart"/>
            <w:r>
              <w:t xml:space="preserve">pertenencia </w:t>
            </w:r>
            <w:r w:rsidR="06289373">
              <w:t xml:space="preserve"> </w:t>
            </w:r>
            <w:r>
              <w:t>a</w:t>
            </w:r>
            <w:proofErr w:type="gramEnd"/>
            <w:r>
              <w:t xml:space="preserve"> </w:t>
            </w:r>
            <w:r w:rsidR="7C4E82BA">
              <w:t>IMF</w:t>
            </w:r>
            <w:r>
              <w:t xml:space="preserve"> </w:t>
            </w:r>
          </w:p>
          <w:p w14:paraId="7FE1C806" w14:textId="3E5DC39D" w:rsidR="00414040" w:rsidRDefault="5B1A3546" w:rsidP="6A079B7E">
            <w:pPr>
              <w:pStyle w:val="P68B1DB1-TableParagraph40"/>
              <w:numPr>
                <w:ilvl w:val="0"/>
                <w:numId w:val="181"/>
              </w:numPr>
              <w:spacing w:before="108"/>
              <w:jc w:val="both"/>
              <w:rPr>
                <w:b/>
                <w:bCs/>
              </w:rPr>
            </w:pPr>
            <w:r>
              <w:t xml:space="preserve">«No aplicable (modo de participación en IMF)» cuando en la columna 0040 se </w:t>
            </w:r>
            <w:r w:rsidR="216C794F">
              <w:t>indica</w:t>
            </w:r>
            <w:r>
              <w:t xml:space="preserve"> «No aplicable (tipo de sistema IMF)».</w:t>
            </w:r>
          </w:p>
          <w:p w14:paraId="7FE1C807" w14:textId="77777777" w:rsidR="00414040" w:rsidRDefault="00414040">
            <w:pPr>
              <w:pStyle w:val="TableParagraph"/>
              <w:spacing w:before="108"/>
              <w:ind w:left="85"/>
              <w:jc w:val="both"/>
              <w:rPr>
                <w:rFonts w:ascii="Times New Roman" w:eastAsia="Times New Roman" w:hAnsi="Times New Roman" w:cs="Times New Roman"/>
                <w:b/>
                <w:sz w:val="20"/>
                <w:szCs w:val="20"/>
              </w:rPr>
            </w:pPr>
          </w:p>
        </w:tc>
      </w:tr>
      <w:tr w:rsidR="00414040" w14:paraId="7FE1C80B" w14:textId="77777777" w:rsidTr="466B0B01">
        <w:tc>
          <w:tcPr>
            <w:tcW w:w="1183" w:type="dxa"/>
            <w:tcBorders>
              <w:top w:val="single" w:sz="8" w:space="0" w:color="auto"/>
              <w:bottom w:val="single" w:sz="8" w:space="0" w:color="auto"/>
              <w:right w:val="single" w:sz="8" w:space="0" w:color="auto"/>
            </w:tcBorders>
            <w:vAlign w:val="center"/>
          </w:tcPr>
          <w:p w14:paraId="7FE1C809" w14:textId="77777777" w:rsidR="00414040" w:rsidRDefault="00904E1A">
            <w:pPr>
              <w:pStyle w:val="P68B1DB1-Normal74"/>
            </w:pPr>
            <w:r>
              <w:lastRenderedPageBreak/>
              <w:t>0100-0110</w:t>
            </w:r>
          </w:p>
        </w:tc>
        <w:tc>
          <w:tcPr>
            <w:tcW w:w="7832" w:type="dxa"/>
            <w:tcBorders>
              <w:top w:val="single" w:sz="8" w:space="0" w:color="auto"/>
              <w:left w:val="single" w:sz="8" w:space="0" w:color="auto"/>
              <w:bottom w:val="single" w:sz="8" w:space="0" w:color="auto"/>
            </w:tcBorders>
            <w:vAlign w:val="bottom"/>
          </w:tcPr>
          <w:p w14:paraId="7FE1C80A" w14:textId="77777777" w:rsidR="00414040" w:rsidRDefault="00904E1A">
            <w:pPr>
              <w:pStyle w:val="P68B1DB1-TableParagraph75"/>
              <w:spacing w:before="108"/>
              <w:ind w:left="85"/>
              <w:jc w:val="both"/>
            </w:pPr>
            <w:r>
              <w:t>Intermediario</w:t>
            </w:r>
          </w:p>
        </w:tc>
      </w:tr>
      <w:tr w:rsidR="00414040" w14:paraId="7FE1C811" w14:textId="77777777" w:rsidTr="466B0B01">
        <w:tc>
          <w:tcPr>
            <w:tcW w:w="1183" w:type="dxa"/>
            <w:tcBorders>
              <w:top w:val="single" w:sz="8" w:space="0" w:color="auto"/>
              <w:bottom w:val="single" w:sz="8" w:space="0" w:color="auto"/>
              <w:right w:val="single" w:sz="8" w:space="0" w:color="auto"/>
            </w:tcBorders>
            <w:vAlign w:val="center"/>
          </w:tcPr>
          <w:p w14:paraId="7FE1C80C" w14:textId="77777777" w:rsidR="00414040" w:rsidRDefault="00904E1A">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414040" w:rsidRDefault="00904E1A">
            <w:pPr>
              <w:pStyle w:val="P68B1DB1-Normal76"/>
            </w:pPr>
            <w:r>
              <w:t>Nombre del intermediario</w:t>
            </w:r>
          </w:p>
          <w:p w14:paraId="7FE1C80E" w14:textId="3527A368" w:rsidR="00414040" w:rsidRDefault="438CB765" w:rsidP="659DBF51">
            <w:pPr>
              <w:pStyle w:val="P68B1DB1-TableParagraph40"/>
              <w:spacing w:before="108"/>
              <w:ind w:left="85"/>
              <w:jc w:val="both"/>
              <w:rPr>
                <w:lang w:val="es-ES"/>
              </w:rPr>
            </w:pPr>
            <w:r w:rsidRPr="659DBF51">
              <w:rPr>
                <w:lang w:val="es-ES"/>
              </w:rPr>
              <w:t xml:space="preserve">Nombre comercial del intermediario con el que el usuario tiene una relación contractual y </w:t>
            </w:r>
            <w:r w:rsidR="12012D91" w:rsidRPr="659DBF51">
              <w:rPr>
                <w:lang w:val="es-ES"/>
              </w:rPr>
              <w:t>con el que</w:t>
            </w:r>
            <w:r w:rsidR="00D44C08">
              <w:rPr>
                <w:lang w:val="es-ES"/>
              </w:rPr>
              <w:t xml:space="preserve"> los </w:t>
            </w:r>
            <w:r w:rsidRPr="659DBF51">
              <w:rPr>
                <w:lang w:val="es-ES"/>
              </w:rPr>
              <w:t xml:space="preserve">proveedores tienen acceso a la IMF. Se </w:t>
            </w:r>
            <w:r w:rsidR="44E12C59" w:rsidRPr="659DBF51">
              <w:rPr>
                <w:lang w:val="es-ES"/>
              </w:rPr>
              <w:t>informará</w:t>
            </w:r>
            <w:r w:rsidRPr="659DBF51">
              <w:rPr>
                <w:lang w:val="es-ES"/>
              </w:rPr>
              <w:t xml:space="preserve"> cuando en la columna 0100 «Modo de participación» se </w:t>
            </w:r>
            <w:r w:rsidR="43C1A1FF" w:rsidRPr="659DBF51">
              <w:rPr>
                <w:lang w:val="es-ES"/>
              </w:rPr>
              <w:t xml:space="preserve">declare </w:t>
            </w:r>
            <w:r w:rsidRPr="659DBF51">
              <w:rPr>
                <w:lang w:val="es-ES"/>
              </w:rPr>
              <w:t xml:space="preserve">«Indirecta» o «No aplicable (modo de participación en IMF)». </w:t>
            </w:r>
          </w:p>
          <w:p w14:paraId="7FE1C80F" w14:textId="4CB490E4" w:rsidR="00414040" w:rsidRDefault="00904E1A">
            <w:pPr>
              <w:pStyle w:val="P68B1DB1-TableParagraph40"/>
              <w:spacing w:before="108"/>
              <w:ind w:left="85"/>
              <w:jc w:val="both"/>
              <w:rPr>
                <w:lang w:val="es-ES"/>
              </w:rPr>
            </w:pPr>
            <w:r w:rsidRPr="2133F407">
              <w:rPr>
                <w:lang w:val="es-ES"/>
              </w:rPr>
              <w:t xml:space="preserve">En caso de que el intermediario ofrezca acceso indirecto a varias IMF, </w:t>
            </w:r>
            <w:r w:rsidR="00C90B16">
              <w:rPr>
                <w:lang w:val="es-ES"/>
              </w:rPr>
              <w:t>debe rellenarse</w:t>
            </w:r>
            <w:r w:rsidR="00C90B16" w:rsidRPr="2133F407">
              <w:rPr>
                <w:lang w:val="es-ES"/>
              </w:rPr>
              <w:t xml:space="preserve"> </w:t>
            </w:r>
            <w:r w:rsidRPr="2133F407">
              <w:rPr>
                <w:lang w:val="es-ES"/>
              </w:rPr>
              <w:t>una línea por IMF para la que el intermediario ofrezca acceso indirecto.</w:t>
            </w:r>
          </w:p>
          <w:p w14:paraId="7FE1C810" w14:textId="77777777" w:rsidR="00414040" w:rsidRDefault="00904E1A">
            <w:pPr>
              <w:pStyle w:val="P68B1DB1-TableParagraph40"/>
              <w:spacing w:before="108"/>
              <w:ind w:left="85"/>
              <w:jc w:val="both"/>
              <w:rPr>
                <w:b/>
              </w:rPr>
            </w:pPr>
            <w:r>
              <w:t>Esta columna se dejará en blanco cuando en la columna 0090 se indique «Directo».</w:t>
            </w:r>
          </w:p>
        </w:tc>
      </w:tr>
      <w:tr w:rsidR="00414040" w14:paraId="7FE1C819" w14:textId="77777777" w:rsidTr="466B0B01">
        <w:tc>
          <w:tcPr>
            <w:tcW w:w="1183" w:type="dxa"/>
            <w:tcBorders>
              <w:top w:val="single" w:sz="8" w:space="0" w:color="auto"/>
              <w:bottom w:val="single" w:sz="8" w:space="0" w:color="auto"/>
              <w:right w:val="single" w:sz="8" w:space="0" w:color="auto"/>
            </w:tcBorders>
            <w:vAlign w:val="center"/>
          </w:tcPr>
          <w:p w14:paraId="7FE1C812" w14:textId="77777777" w:rsidR="00414040" w:rsidRDefault="00904E1A">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462758F0" w:rsidR="00414040" w:rsidRDefault="5B1A3546">
            <w:pPr>
              <w:pStyle w:val="P68B1DB1-Normal76"/>
            </w:pPr>
            <w:r>
              <w:t xml:space="preserve">Código </w:t>
            </w:r>
            <w:r w:rsidR="2459D0B6">
              <w:t>del intermediario</w:t>
            </w:r>
          </w:p>
          <w:p w14:paraId="7FE1C814" w14:textId="6E8BCE6B" w:rsidR="00414040" w:rsidRDefault="00904E1A">
            <w:pPr>
              <w:pStyle w:val="P68B1DB1-TableParagraph40"/>
              <w:spacing w:before="108"/>
              <w:ind w:left="85"/>
              <w:jc w:val="both"/>
            </w:pPr>
            <w:r>
              <w:t xml:space="preserve">Código LEI </w:t>
            </w:r>
            <w:r w:rsidR="00D475A3">
              <w:t xml:space="preserve">alfanumérico </w:t>
            </w:r>
            <w:r>
              <w:t xml:space="preserve">de 20 dígitos del intermediario. </w:t>
            </w:r>
          </w:p>
          <w:p w14:paraId="7FE1C815" w14:textId="77777777" w:rsidR="00414040" w:rsidRDefault="00904E1A">
            <w:pPr>
              <w:pStyle w:val="P68B1DB1-TableParagraph13"/>
              <w:spacing w:before="108"/>
              <w:ind w:left="85"/>
              <w:jc w:val="both"/>
              <w:rPr>
                <w:rFonts w:eastAsia="Cambria"/>
              </w:rPr>
            </w:pPr>
            <w:r>
              <w:t>El tipo de código será preferentemente el código LEI.</w:t>
            </w:r>
          </w:p>
          <w:p w14:paraId="7FE1C816" w14:textId="047AD9E8" w:rsidR="00414040" w:rsidRDefault="00904E1A">
            <w:pPr>
              <w:pStyle w:val="P68B1DB1-TableParagraph17"/>
              <w:spacing w:before="108"/>
            </w:pPr>
            <w:r>
              <w:t>Cuando el LEI no esté disponible, indicar un identificador de IFM o, si no se dispone de él, indicar un código nacional.</w:t>
            </w:r>
          </w:p>
          <w:p w14:paraId="7FE1C817" w14:textId="780656A5" w:rsidR="00414040" w:rsidRDefault="00904E1A">
            <w:pPr>
              <w:pStyle w:val="P68B1DB1-TableParagraph41"/>
              <w:spacing w:before="108"/>
              <w:ind w:left="85"/>
              <w:jc w:val="both"/>
              <w:rPr>
                <w:rFonts w:ascii="Times New Roman" w:eastAsia="Times New Roman" w:hAnsi="Times New Roman" w:cs="Times New Roman"/>
              </w:rPr>
            </w:pPr>
            <w:r w:rsidRPr="3E4E0AEA">
              <w:rPr>
                <w:rFonts w:ascii="Times New Roman" w:hAnsi="Times New Roman" w:cs="Times New Roman"/>
                <w:color w:val="000000" w:themeColor="text1"/>
              </w:rPr>
              <w:t xml:space="preserve">La identificación de </w:t>
            </w:r>
            <w:r w:rsidR="67A280EA" w:rsidRPr="3E4E0AEA">
              <w:rPr>
                <w:rFonts w:ascii="Times New Roman" w:hAnsi="Times New Roman" w:cs="Times New Roman"/>
                <w:color w:val="000000" w:themeColor="text1"/>
              </w:rPr>
              <w:t xml:space="preserve">los entes </w:t>
            </w:r>
            <w:r w:rsidRPr="3E4E0AEA">
              <w:rPr>
                <w:rFonts w:ascii="Times New Roman" w:hAnsi="Times New Roman" w:cs="Times New Roman"/>
                <w:color w:val="000000" w:themeColor="text1"/>
              </w:rPr>
              <w:t>se hará de manera coherente en las plantillas Z 09.01 a Z 09.05, cuando proceda.</w:t>
            </w:r>
            <w:r w:rsidRPr="3E4E0AEA">
              <w:rPr>
                <w:rFonts w:ascii="Times New Roman" w:eastAsia="Times New Roman" w:hAnsi="Times New Roman" w:cs="Times New Roman"/>
              </w:rPr>
              <w:t xml:space="preserve"> </w:t>
            </w:r>
          </w:p>
          <w:p w14:paraId="7FE1C818" w14:textId="77777777" w:rsidR="00414040" w:rsidRDefault="00904E1A">
            <w:pPr>
              <w:pStyle w:val="P68B1DB1-TableParagraph40"/>
              <w:spacing w:before="108"/>
              <w:ind w:left="85"/>
              <w:jc w:val="both"/>
              <w:rPr>
                <w:b/>
              </w:rPr>
            </w:pPr>
            <w:r>
              <w:t>Esta columna se dejará en blanco cuando en la columna 0090 se indique «Directo».</w:t>
            </w:r>
          </w:p>
        </w:tc>
      </w:tr>
      <w:tr w:rsidR="00414040" w14:paraId="7FE1C81C" w14:textId="77777777" w:rsidTr="466B0B01">
        <w:tc>
          <w:tcPr>
            <w:tcW w:w="1183" w:type="dxa"/>
            <w:tcBorders>
              <w:top w:val="single" w:sz="8" w:space="0" w:color="auto"/>
              <w:bottom w:val="single" w:sz="8" w:space="0" w:color="auto"/>
              <w:right w:val="single" w:sz="8" w:space="0" w:color="auto"/>
            </w:tcBorders>
            <w:vAlign w:val="center"/>
          </w:tcPr>
          <w:p w14:paraId="7FE1C81A" w14:textId="77777777" w:rsidR="00414040" w:rsidRDefault="00904E1A">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414040" w:rsidRDefault="00904E1A">
            <w:pPr>
              <w:pStyle w:val="P68B1DB1-Normal77"/>
              <w:rPr>
                <w:color w:val="D13438"/>
                <w:u w:val="single"/>
              </w:rPr>
            </w:pPr>
            <w:r>
              <w:t>Contratos y servicios</w:t>
            </w:r>
          </w:p>
        </w:tc>
      </w:tr>
      <w:tr w:rsidR="00414040" w14:paraId="7FE1C820" w14:textId="77777777" w:rsidTr="466B0B01">
        <w:tc>
          <w:tcPr>
            <w:tcW w:w="1183" w:type="dxa"/>
            <w:tcBorders>
              <w:top w:val="single" w:sz="8" w:space="0" w:color="auto"/>
              <w:bottom w:val="single" w:sz="8" w:space="0" w:color="auto"/>
              <w:right w:val="single" w:sz="8" w:space="0" w:color="auto"/>
            </w:tcBorders>
            <w:vAlign w:val="center"/>
          </w:tcPr>
          <w:p w14:paraId="7FE1C81D" w14:textId="77777777" w:rsidR="00414040" w:rsidRDefault="00904E1A">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414040" w:rsidRDefault="00904E1A">
            <w:pPr>
              <w:pStyle w:val="P68B1DB1-TableParagraph73"/>
              <w:spacing w:before="108"/>
              <w:ind w:left="85"/>
              <w:jc w:val="both"/>
            </w:pPr>
            <w:r>
              <w:t>Identificador del contrato</w:t>
            </w:r>
          </w:p>
          <w:p w14:paraId="7FE1C81F" w14:textId="77777777" w:rsidR="00414040" w:rsidRDefault="00904E1A">
            <w:pPr>
              <w:pStyle w:val="P68B1DB1-TableParagraph40"/>
              <w:spacing w:before="108"/>
              <w:jc w:val="both"/>
              <w:rPr>
                <w:b/>
              </w:rPr>
            </w:pPr>
            <w:r>
              <w:t>Identificador interno del contrato del usuario que rige la relación con el FMI/intermediario que presta el servicio.</w:t>
            </w:r>
          </w:p>
        </w:tc>
      </w:tr>
      <w:tr w:rsidR="00414040" w14:paraId="7FE1C826" w14:textId="77777777" w:rsidTr="466B0B01">
        <w:tc>
          <w:tcPr>
            <w:tcW w:w="1183" w:type="dxa"/>
            <w:tcBorders>
              <w:top w:val="single" w:sz="8" w:space="0" w:color="auto"/>
              <w:bottom w:val="single" w:sz="8" w:space="0" w:color="auto"/>
              <w:right w:val="single" w:sz="8" w:space="0" w:color="auto"/>
            </w:tcBorders>
            <w:vAlign w:val="center"/>
          </w:tcPr>
          <w:p w14:paraId="7FE1C821" w14:textId="77777777" w:rsidR="00414040" w:rsidRDefault="00904E1A">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2636EF14" w:rsidR="00414040" w:rsidRDefault="28EF62F4">
            <w:pPr>
              <w:pStyle w:val="P68B1DB1-TableParagraph73"/>
              <w:spacing w:before="108"/>
              <w:ind w:left="85"/>
              <w:jc w:val="both"/>
              <w:rPr>
                <w:bCs/>
              </w:rPr>
            </w:pPr>
            <w:r>
              <w:t xml:space="preserve">Derecho </w:t>
            </w:r>
            <w:r w:rsidR="00904E1A">
              <w:t>aplicable</w:t>
            </w:r>
          </w:p>
          <w:p w14:paraId="7FE1C823" w14:textId="77777777" w:rsidR="00414040" w:rsidRDefault="00904E1A">
            <w:pPr>
              <w:pStyle w:val="P68B1DB1-TableParagraph40"/>
              <w:spacing w:before="108"/>
              <w:ind w:left="85"/>
              <w:jc w:val="both"/>
            </w:pPr>
            <w:r>
              <w:t xml:space="preserve">Identificación ISO 3166-1 alfa-2 del país cuya normativa regula la relación contractual con la IMF. </w:t>
            </w:r>
          </w:p>
          <w:p w14:paraId="7FE1C824" w14:textId="77777777" w:rsidR="00414040" w:rsidRDefault="00904E1A">
            <w:pPr>
              <w:pStyle w:val="P68B1DB1-TableParagraph40"/>
              <w:numPr>
                <w:ilvl w:val="0"/>
                <w:numId w:val="247"/>
              </w:numPr>
              <w:spacing w:before="108"/>
              <w:jc w:val="both"/>
              <w:rPr>
                <w:b/>
                <w:bCs/>
              </w:rPr>
            </w:pPr>
            <w:r>
              <w:t>En el caso de los accesos directos, la legislación aplicable al contrato entre el FMI y el usuario</w:t>
            </w:r>
          </w:p>
          <w:p w14:paraId="7FE1C825" w14:textId="77777777" w:rsidR="00414040" w:rsidRDefault="00904E1A">
            <w:pPr>
              <w:pStyle w:val="P68B1DB1-TableParagraph40"/>
              <w:numPr>
                <w:ilvl w:val="0"/>
                <w:numId w:val="247"/>
              </w:numPr>
              <w:spacing w:before="108"/>
              <w:jc w:val="both"/>
            </w:pPr>
            <w:r>
              <w:t>En el caso de los accesos indirectos, la legislación aplicable al contrato entre el intermediario y el usuario.</w:t>
            </w:r>
          </w:p>
        </w:tc>
      </w:tr>
      <w:tr w:rsidR="00414040" w14:paraId="7FE1C82E" w14:textId="77777777" w:rsidTr="466B0B01">
        <w:tc>
          <w:tcPr>
            <w:tcW w:w="1183" w:type="dxa"/>
            <w:tcBorders>
              <w:top w:val="single" w:sz="8" w:space="0" w:color="auto"/>
              <w:bottom w:val="single" w:sz="8" w:space="0" w:color="auto"/>
              <w:right w:val="single" w:sz="8" w:space="0" w:color="auto"/>
            </w:tcBorders>
            <w:vAlign w:val="center"/>
          </w:tcPr>
          <w:p w14:paraId="7FE1C827" w14:textId="77777777" w:rsidR="00414040" w:rsidRDefault="00904E1A">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298965E6" w:rsidR="00414040" w:rsidRDefault="00904E1A">
            <w:pPr>
              <w:pStyle w:val="P68B1DB1-TableParagraph73"/>
              <w:spacing w:before="108"/>
              <w:ind w:left="85"/>
              <w:jc w:val="both"/>
              <w:rPr>
                <w:bCs/>
              </w:rPr>
            </w:pPr>
            <w:r w:rsidRPr="1F5EF0D5">
              <w:rPr>
                <w:lang w:val="es-ES"/>
              </w:rPr>
              <w:t>Contrato resi</w:t>
            </w:r>
            <w:r w:rsidR="00812863" w:rsidRPr="1F5EF0D5">
              <w:rPr>
                <w:lang w:val="es-ES"/>
              </w:rPr>
              <w:t>li</w:t>
            </w:r>
            <w:r w:rsidRPr="1F5EF0D5">
              <w:rPr>
                <w:lang w:val="es-ES"/>
              </w:rPr>
              <w:t xml:space="preserve">ente </w:t>
            </w:r>
            <w:r w:rsidR="00BC56B6" w:rsidRPr="1F5EF0D5">
              <w:rPr>
                <w:lang w:val="es-ES"/>
              </w:rPr>
              <w:t>en</w:t>
            </w:r>
            <w:r w:rsidRPr="1F5EF0D5">
              <w:rPr>
                <w:lang w:val="es-ES"/>
              </w:rPr>
              <w:t xml:space="preserve"> resolución </w:t>
            </w:r>
          </w:p>
          <w:p w14:paraId="7FE1C829" w14:textId="64BE9CA9" w:rsidR="00414040" w:rsidRDefault="00904E1A">
            <w:pPr>
              <w:pStyle w:val="P68B1DB1-TableParagraph40"/>
              <w:spacing w:before="108"/>
              <w:ind w:left="85"/>
              <w:jc w:val="both"/>
            </w:pPr>
            <w:r>
              <w:t xml:space="preserve">Se indicará uno de los siguientes </w:t>
            </w:r>
            <w:r w:rsidR="4F3521A0">
              <w:t>valores</w:t>
            </w:r>
            <w:r>
              <w:t>:</w:t>
            </w:r>
          </w:p>
          <w:p w14:paraId="7FE1C82A" w14:textId="170570BF" w:rsidR="00414040" w:rsidRDefault="00904E1A">
            <w:pPr>
              <w:pStyle w:val="TableParagraph"/>
              <w:spacing w:before="108"/>
              <w:ind w:left="85"/>
              <w:jc w:val="both"/>
              <w:rPr>
                <w:rFonts w:ascii="Times New Roman" w:eastAsia="Times New Roman" w:hAnsi="Times New Roman" w:cs="Times New Roman"/>
                <w:sz w:val="20"/>
                <w:szCs w:val="20"/>
                <w:lang w:val="es-ES"/>
              </w:rPr>
            </w:pPr>
            <w:r w:rsidRPr="1F5EF0D5">
              <w:rPr>
                <w:rFonts w:ascii="Times New Roman" w:eastAsia="Times New Roman" w:hAnsi="Times New Roman" w:cs="Times New Roman"/>
                <w:sz w:val="20"/>
                <w:szCs w:val="20"/>
                <w:lang w:val="es-ES"/>
              </w:rPr>
              <w:t xml:space="preserve">«Sí»: si </w:t>
            </w:r>
            <w:r w:rsidR="00C46264">
              <w:rPr>
                <w:rFonts w:ascii="Times New Roman" w:eastAsia="Times New Roman" w:hAnsi="Times New Roman" w:cs="Times New Roman"/>
                <w:sz w:val="20"/>
                <w:szCs w:val="20"/>
                <w:lang w:val="es-ES"/>
              </w:rPr>
              <w:t>el ente</w:t>
            </w:r>
            <w:r w:rsidRPr="1F5EF0D5">
              <w:rPr>
                <w:rFonts w:ascii="Times New Roman" w:eastAsia="Times New Roman" w:hAnsi="Times New Roman" w:cs="Times New Roman"/>
                <w:sz w:val="20"/>
                <w:szCs w:val="20"/>
                <w:lang w:val="es-ES"/>
              </w:rPr>
              <w:t xml:space="preserve"> </w:t>
            </w:r>
            <w:r w:rsidR="00D475A3" w:rsidRPr="1F5EF0D5">
              <w:rPr>
                <w:rFonts w:ascii="Times New Roman" w:eastAsia="Times New Roman" w:hAnsi="Times New Roman" w:cs="Times New Roman"/>
                <w:sz w:val="20"/>
                <w:szCs w:val="20"/>
                <w:lang w:val="es-ES"/>
              </w:rPr>
              <w:t>declarante</w:t>
            </w:r>
            <w:r w:rsidRPr="1F5EF0D5">
              <w:rPr>
                <w:rFonts w:ascii="Times New Roman" w:eastAsia="Times New Roman" w:hAnsi="Times New Roman" w:cs="Times New Roman"/>
                <w:sz w:val="20"/>
                <w:szCs w:val="20"/>
                <w:lang w:val="es-ES"/>
              </w:rPr>
              <w:t xml:space="preserve"> ha evaluado el contrato como resi</w:t>
            </w:r>
            <w:r w:rsidR="00812863" w:rsidRPr="1F5EF0D5">
              <w:rPr>
                <w:rFonts w:ascii="Times New Roman" w:eastAsia="Times New Roman" w:hAnsi="Times New Roman" w:cs="Times New Roman"/>
                <w:sz w:val="20"/>
                <w:szCs w:val="20"/>
                <w:lang w:val="es-ES"/>
              </w:rPr>
              <w:t>li</w:t>
            </w:r>
            <w:r w:rsidRPr="1F5EF0D5">
              <w:rPr>
                <w:rFonts w:ascii="Times New Roman" w:eastAsia="Times New Roman" w:hAnsi="Times New Roman" w:cs="Times New Roman"/>
                <w:sz w:val="20"/>
                <w:szCs w:val="20"/>
                <w:lang w:val="es-ES"/>
              </w:rPr>
              <w:t xml:space="preserve">ente </w:t>
            </w:r>
            <w:r w:rsidR="00812863" w:rsidRPr="1F5EF0D5">
              <w:rPr>
                <w:rFonts w:ascii="Times New Roman" w:eastAsia="Times New Roman" w:hAnsi="Times New Roman" w:cs="Times New Roman"/>
                <w:sz w:val="20"/>
                <w:szCs w:val="20"/>
                <w:lang w:val="es-ES"/>
              </w:rPr>
              <w:t>en</w:t>
            </w:r>
            <w:r w:rsidRPr="1F5EF0D5">
              <w:rPr>
                <w:rFonts w:ascii="Times New Roman" w:eastAsia="Times New Roman" w:hAnsi="Times New Roman" w:cs="Times New Roman"/>
                <w:sz w:val="20"/>
                <w:szCs w:val="20"/>
                <w:lang w:val="es-ES"/>
              </w:rPr>
              <w:t xml:space="preserve"> resolución</w:t>
            </w:r>
            <w:r w:rsidRPr="1F5EF0D5">
              <w:rPr>
                <w:rStyle w:val="FootnoteReference"/>
                <w:rFonts w:ascii="Times New Roman" w:eastAsia="Times New Roman" w:hAnsi="Times New Roman" w:cs="Times New Roman"/>
                <w:lang w:val="es-ES"/>
              </w:rPr>
              <w:footnoteReference w:id="32"/>
            </w:r>
            <w:r w:rsidRPr="1F5EF0D5">
              <w:rPr>
                <w:rFonts w:ascii="Times New Roman" w:eastAsia="Times New Roman" w:hAnsi="Times New Roman" w:cs="Times New Roman"/>
                <w:sz w:val="20"/>
                <w:szCs w:val="20"/>
                <w:lang w:val="es-ES"/>
              </w:rPr>
              <w:t>.</w:t>
            </w:r>
          </w:p>
          <w:p w14:paraId="7FE1C82B" w14:textId="4C22031A" w:rsidR="00414040" w:rsidRDefault="00904E1A">
            <w:pPr>
              <w:pStyle w:val="P68B1DB1-TableParagraph40"/>
              <w:spacing w:before="108"/>
              <w:ind w:left="85"/>
              <w:jc w:val="both"/>
            </w:pPr>
            <w:r>
              <w:t xml:space="preserve">«No»: si </w:t>
            </w:r>
            <w:r w:rsidR="00C46264">
              <w:t>el ente</w:t>
            </w:r>
            <w:r>
              <w:t xml:space="preserve"> </w:t>
            </w:r>
            <w:r w:rsidR="009C0E45">
              <w:t>declarante</w:t>
            </w:r>
            <w:r>
              <w:t xml:space="preserve"> ha evaluado el contrato como no resi</w:t>
            </w:r>
            <w:r w:rsidR="00812863">
              <w:t>li</w:t>
            </w:r>
            <w:r>
              <w:t xml:space="preserve">ente </w:t>
            </w:r>
            <w:r w:rsidR="00812863">
              <w:t>en</w:t>
            </w:r>
            <w:r>
              <w:t xml:space="preserve"> resolución.</w:t>
            </w:r>
          </w:p>
          <w:p w14:paraId="7FE1C82C" w14:textId="77777777" w:rsidR="00414040" w:rsidRDefault="00904E1A">
            <w:pPr>
              <w:pStyle w:val="P68B1DB1-TableParagraph40"/>
              <w:spacing w:before="108"/>
              <w:ind w:left="85"/>
              <w:jc w:val="both"/>
            </w:pPr>
            <w:r>
              <w:t>«No evaluado»: si la información no está disponible.</w:t>
            </w:r>
          </w:p>
          <w:p w14:paraId="7FE1C82D" w14:textId="4FDDC9B2" w:rsidR="00414040" w:rsidRDefault="60688621" w:rsidP="11A44BD7">
            <w:pPr>
              <w:pStyle w:val="P68B1DB1-TableParagraph40"/>
              <w:spacing w:before="108"/>
              <w:ind w:left="85"/>
              <w:jc w:val="both"/>
              <w:rPr>
                <w:b/>
                <w:bCs/>
                <w:i/>
                <w:iCs/>
                <w:u w:val="single"/>
              </w:rPr>
            </w:pPr>
            <w:r>
              <w:t>Informe solo para intermediarios. Informe «</w:t>
            </w:r>
            <w:r w:rsidR="7CD317F4">
              <w:t>Sí</w:t>
            </w:r>
            <w:r>
              <w:t xml:space="preserve">» para todos los contratos con arreglo a la legislación del EEE.  </w:t>
            </w:r>
          </w:p>
        </w:tc>
      </w:tr>
      <w:tr w:rsidR="00414040" w14:paraId="7FE1C833" w14:textId="77777777" w:rsidTr="466B0B01">
        <w:tc>
          <w:tcPr>
            <w:tcW w:w="1183" w:type="dxa"/>
            <w:tcBorders>
              <w:top w:val="single" w:sz="8" w:space="0" w:color="auto"/>
              <w:bottom w:val="single" w:sz="8" w:space="0" w:color="auto"/>
              <w:right w:val="single" w:sz="8" w:space="0" w:color="auto"/>
            </w:tcBorders>
            <w:vAlign w:val="center"/>
          </w:tcPr>
          <w:p w14:paraId="7FE1C82F" w14:textId="77777777" w:rsidR="00414040" w:rsidRDefault="00904E1A">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4177338F" w:rsidR="00414040" w:rsidRDefault="00904E1A">
            <w:pPr>
              <w:pStyle w:val="P68B1DB1-TableParagraph73"/>
              <w:spacing w:before="108"/>
              <w:ind w:left="85"/>
              <w:jc w:val="both"/>
            </w:pPr>
            <w:r>
              <w:t xml:space="preserve">Monedas pertinentes para </w:t>
            </w:r>
            <w:r w:rsidR="00C46264">
              <w:t>el ente</w:t>
            </w:r>
            <w:r>
              <w:t xml:space="preserve"> </w:t>
            </w:r>
            <w:r w:rsidR="009C0E45">
              <w:t>declarante</w:t>
            </w:r>
          </w:p>
          <w:p w14:paraId="7FE1C831" w14:textId="70E72B6D" w:rsidR="00414040" w:rsidRDefault="00904E1A">
            <w:pPr>
              <w:pStyle w:val="P68B1DB1-TableParagraph40"/>
              <w:spacing w:before="108"/>
              <w:ind w:left="85"/>
              <w:jc w:val="both"/>
            </w:pPr>
            <w:r>
              <w:t xml:space="preserve">Monedas en las que las transacciones </w:t>
            </w:r>
            <w:r w:rsidR="00C46264">
              <w:t>del ente</w:t>
            </w:r>
            <w:r>
              <w:t xml:space="preserve"> declarante se aceptan y liquidan en el sistema. Solo se comunicarán las divisas que representen al menos el 5 % del total de las operaciones </w:t>
            </w:r>
            <w:r w:rsidR="00C46264">
              <w:lastRenderedPageBreak/>
              <w:t>del ente</w:t>
            </w:r>
            <w:r>
              <w:t xml:space="preserve"> declarante con la IMF/intermediario.</w:t>
            </w:r>
          </w:p>
          <w:p w14:paraId="7FE1C832" w14:textId="6F79E450" w:rsidR="00414040" w:rsidRDefault="6EAB6EFA" w:rsidP="3E4E0AEA">
            <w:pPr>
              <w:pStyle w:val="P68B1DB1-TableParagraph40"/>
              <w:spacing w:before="108"/>
              <w:ind w:left="85"/>
              <w:jc w:val="both"/>
              <w:rPr>
                <w:b/>
                <w:bCs/>
              </w:rPr>
            </w:pPr>
            <w:r>
              <w:t>Las columnas</w:t>
            </w:r>
            <w:r w:rsidR="00904E1A">
              <w:t xml:space="preserve"> 150-200 no son mutuamente excluyentes. Para «otras monedas» (columna 0170): Código ISO 4217-</w:t>
            </w:r>
            <w:r w:rsidR="30C52931">
              <w:t xml:space="preserve"> código de </w:t>
            </w:r>
            <w:r w:rsidR="00904E1A">
              <w:t>3 letras de la moneda o monedas.</w:t>
            </w:r>
          </w:p>
        </w:tc>
      </w:tr>
      <w:tr w:rsidR="00414040" w14:paraId="7FE1C837" w14:textId="77777777" w:rsidTr="466B0B01">
        <w:tc>
          <w:tcPr>
            <w:tcW w:w="1183" w:type="dxa"/>
            <w:tcBorders>
              <w:top w:val="single" w:sz="8" w:space="0" w:color="auto"/>
              <w:bottom w:val="single" w:sz="8" w:space="0" w:color="auto"/>
              <w:right w:val="single" w:sz="8" w:space="0" w:color="auto"/>
            </w:tcBorders>
            <w:vAlign w:val="center"/>
          </w:tcPr>
          <w:p w14:paraId="7FE1C834" w14:textId="77777777" w:rsidR="00414040" w:rsidRDefault="00904E1A">
            <w:pPr>
              <w:pStyle w:val="P68B1DB1-Normal31"/>
            </w:pPr>
            <w:r>
              <w:lastRenderedPageBreak/>
              <w:t>0210</w:t>
            </w:r>
          </w:p>
        </w:tc>
        <w:tc>
          <w:tcPr>
            <w:tcW w:w="7832" w:type="dxa"/>
            <w:tcBorders>
              <w:top w:val="single" w:sz="8" w:space="0" w:color="auto"/>
              <w:left w:val="single" w:sz="8" w:space="0" w:color="auto"/>
              <w:bottom w:val="single" w:sz="8" w:space="0" w:color="auto"/>
            </w:tcBorders>
            <w:vAlign w:val="bottom"/>
          </w:tcPr>
          <w:p w14:paraId="7FE1C835" w14:textId="77777777" w:rsidR="00414040" w:rsidRDefault="00904E1A">
            <w:pPr>
              <w:pStyle w:val="P68B1DB1-TableParagraph73"/>
              <w:spacing w:before="108"/>
              <w:ind w:left="85"/>
              <w:jc w:val="both"/>
            </w:pPr>
            <w:r>
              <w:t>Servicios prestados a IMF/intermediario</w:t>
            </w:r>
          </w:p>
          <w:p w14:paraId="7FE1C836" w14:textId="049207F5" w:rsidR="00414040" w:rsidRDefault="00904E1A">
            <w:pPr>
              <w:pStyle w:val="P68B1DB1-TableParagraph40"/>
              <w:spacing w:before="108"/>
              <w:ind w:left="85"/>
              <w:jc w:val="both"/>
            </w:pPr>
            <w:r>
              <w:t>Informar únicamente cuando el usuario preste servicios a la IMF/</w:t>
            </w:r>
            <w:r w:rsidR="009C0E45">
              <w:t xml:space="preserve">el </w:t>
            </w:r>
            <w:r>
              <w:t xml:space="preserve">intermediario, como proveedor de precios, proveedor de liquidez, liquidación en efectivo (especifíquese la moneda), custodia, acceso indirecto a DCV (extranjeros), contraparte de inversión, otros. </w:t>
            </w:r>
          </w:p>
        </w:tc>
      </w:tr>
      <w:tr w:rsidR="00414040" w14:paraId="7FE1C83B" w14:textId="77777777" w:rsidTr="466B0B01">
        <w:tc>
          <w:tcPr>
            <w:tcW w:w="1183" w:type="dxa"/>
            <w:tcBorders>
              <w:top w:val="single" w:sz="8" w:space="0" w:color="auto"/>
              <w:bottom w:val="single" w:sz="8" w:space="0" w:color="auto"/>
              <w:right w:val="single" w:sz="8" w:space="0" w:color="auto"/>
            </w:tcBorders>
            <w:vAlign w:val="center"/>
          </w:tcPr>
          <w:p w14:paraId="7FE1C838" w14:textId="77777777" w:rsidR="00414040" w:rsidRDefault="00904E1A">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414040" w:rsidRDefault="00904E1A">
            <w:pPr>
              <w:pStyle w:val="P68B1DB1-TableParagraph73"/>
              <w:spacing w:before="108"/>
              <w:ind w:left="85"/>
              <w:jc w:val="both"/>
            </w:pPr>
            <w:r>
              <w:t>Servicio prestado por IMF/intermediario</w:t>
            </w:r>
          </w:p>
          <w:p w14:paraId="7FE1C83A" w14:textId="47C3FAD5" w:rsidR="00414040" w:rsidRDefault="00904E1A">
            <w:pPr>
              <w:pStyle w:val="P68B1DB1-TableParagraph40"/>
              <w:spacing w:before="108"/>
              <w:ind w:left="85"/>
              <w:jc w:val="both"/>
            </w:pPr>
            <w:r>
              <w:t>Servicios que la IMF/</w:t>
            </w:r>
            <w:r w:rsidR="009C0E45">
              <w:t xml:space="preserve">el </w:t>
            </w:r>
            <w:r>
              <w:t xml:space="preserve">intermediario presta </w:t>
            </w:r>
            <w:r w:rsidR="00C46264">
              <w:t>al ente</w:t>
            </w:r>
            <w:r>
              <w:t xml:space="preserve"> </w:t>
            </w:r>
            <w:r w:rsidR="006B56BC">
              <w:t>declarante</w:t>
            </w:r>
            <w:r>
              <w:t>. Indíquese si 0040 es «NA».</w:t>
            </w:r>
          </w:p>
        </w:tc>
      </w:tr>
      <w:tr w:rsidR="00414040" w14:paraId="7FE1C83E" w14:textId="77777777" w:rsidTr="466B0B01">
        <w:tc>
          <w:tcPr>
            <w:tcW w:w="1183" w:type="dxa"/>
            <w:tcBorders>
              <w:top w:val="single" w:sz="8" w:space="0" w:color="auto"/>
              <w:bottom w:val="single" w:sz="8" w:space="0" w:color="auto"/>
              <w:right w:val="single" w:sz="8" w:space="0" w:color="auto"/>
            </w:tcBorders>
            <w:vAlign w:val="center"/>
          </w:tcPr>
          <w:p w14:paraId="7FE1C83C" w14:textId="77777777" w:rsidR="00414040" w:rsidRDefault="00904E1A">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414040" w:rsidRDefault="00904E1A">
            <w:pPr>
              <w:pStyle w:val="P68B1DB1-TableParagraph75"/>
              <w:spacing w:before="108"/>
              <w:ind w:left="85"/>
              <w:jc w:val="both"/>
            </w:pPr>
            <w:r>
              <w:t>Proveedores de servicios</w:t>
            </w:r>
          </w:p>
        </w:tc>
      </w:tr>
      <w:tr w:rsidR="00414040" w14:paraId="7FE1C843" w14:textId="77777777" w:rsidTr="466B0B01">
        <w:tc>
          <w:tcPr>
            <w:tcW w:w="1183" w:type="dxa"/>
            <w:tcBorders>
              <w:top w:val="single" w:sz="8" w:space="0" w:color="auto"/>
              <w:bottom w:val="single" w:sz="8" w:space="0" w:color="auto"/>
              <w:right w:val="single" w:sz="8" w:space="0" w:color="auto"/>
            </w:tcBorders>
            <w:vAlign w:val="center"/>
          </w:tcPr>
          <w:p w14:paraId="7FE1C83F" w14:textId="77777777" w:rsidR="00414040" w:rsidRDefault="00904E1A">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2BDD49FA" w:rsidR="00414040" w:rsidRDefault="006B56BC">
            <w:pPr>
              <w:pStyle w:val="P68B1DB1-TableParagraph73"/>
              <w:spacing w:before="108"/>
              <w:ind w:left="85"/>
              <w:jc w:val="both"/>
            </w:pPr>
            <w:r>
              <w:t>P</w:t>
            </w:r>
            <w:r w:rsidR="00904E1A">
              <w:t>roveedores de servicios de comunicación</w:t>
            </w:r>
          </w:p>
          <w:p w14:paraId="7FE1C841" w14:textId="1EFEED34" w:rsidR="00414040" w:rsidRDefault="5B1A3546">
            <w:pPr>
              <w:pStyle w:val="P68B1DB1-TableParagraph40"/>
              <w:spacing w:before="108"/>
              <w:ind w:left="85"/>
              <w:jc w:val="both"/>
            </w:pPr>
            <w:r>
              <w:t xml:space="preserve">Proveedores de servicios de comunicación utilizados por la </w:t>
            </w:r>
            <w:r w:rsidR="21F94169">
              <w:t>entidad</w:t>
            </w:r>
            <w:r>
              <w:t xml:space="preserve"> para acceder a la IMF. Las columnas 230 a 250 no </w:t>
            </w:r>
            <w:r w:rsidR="006B56BC">
              <w:t>son</w:t>
            </w:r>
            <w:r>
              <w:t xml:space="preserve"> mutuamente</w:t>
            </w:r>
            <w:r w:rsidR="006B56BC">
              <w:t xml:space="preserve"> excluyentes</w:t>
            </w:r>
            <w:r>
              <w:t xml:space="preserve">. </w:t>
            </w:r>
          </w:p>
          <w:p w14:paraId="32DB4B00" w14:textId="49D77ED7" w:rsidR="00414040" w:rsidRDefault="5B1A3546">
            <w:pPr>
              <w:pStyle w:val="P68B1DB1-TableParagraph40"/>
              <w:spacing w:before="108"/>
              <w:ind w:left="85"/>
              <w:jc w:val="both"/>
            </w:pPr>
            <w:r w:rsidRPr="6A079B7E">
              <w:rPr>
                <w:lang w:val="es-ES"/>
              </w:rPr>
              <w:t>Para «</w:t>
            </w:r>
            <w:r w:rsidR="41F2A30A" w:rsidRPr="6A079B7E">
              <w:rPr>
                <w:lang w:val="es-ES"/>
              </w:rPr>
              <w:t>Propiedad de la IMF</w:t>
            </w:r>
            <w:r w:rsidRPr="6A079B7E">
              <w:rPr>
                <w:lang w:val="es-ES"/>
              </w:rPr>
              <w:t>» -c0230 y «SWIFT» — c0240, informe:</w:t>
            </w:r>
          </w:p>
          <w:p w14:paraId="1D0FFCBE" w14:textId="6B29DFA9" w:rsidR="00414040" w:rsidRDefault="6383A55B">
            <w:pPr>
              <w:pStyle w:val="P68B1DB1-TableParagraph40"/>
              <w:numPr>
                <w:ilvl w:val="0"/>
                <w:numId w:val="181"/>
              </w:numPr>
              <w:spacing w:before="108"/>
              <w:jc w:val="both"/>
            </w:pPr>
            <w:r>
              <w:t>Sí</w:t>
            </w:r>
          </w:p>
          <w:p w14:paraId="26472FE9" w14:textId="40764344" w:rsidR="00414040" w:rsidRDefault="5B1A3546">
            <w:pPr>
              <w:pStyle w:val="P68B1DB1-TableParagraph40"/>
              <w:numPr>
                <w:ilvl w:val="0"/>
                <w:numId w:val="181"/>
              </w:numPr>
              <w:spacing w:before="108"/>
              <w:jc w:val="both"/>
              <w:rPr>
                <w:lang w:val="es-ES"/>
              </w:rPr>
            </w:pPr>
            <w:r w:rsidRPr="6A079B7E">
              <w:rPr>
                <w:lang w:val="es-ES"/>
              </w:rPr>
              <w:t>N</w:t>
            </w:r>
            <w:r w:rsidR="3B6BE9EB" w:rsidRPr="6A079B7E">
              <w:rPr>
                <w:lang w:val="es-ES"/>
              </w:rPr>
              <w:t>o</w:t>
            </w:r>
          </w:p>
          <w:p w14:paraId="7FE1C842" w14:textId="0C70DB31" w:rsidR="00414040" w:rsidRDefault="00904E1A">
            <w:pPr>
              <w:pStyle w:val="P68B1DB1-TableParagraph40"/>
              <w:spacing w:before="108"/>
              <w:ind w:left="85"/>
              <w:jc w:val="both"/>
            </w:pPr>
            <w:r>
              <w:t>Para «Otros proveedores de servicios de comunicaciones» — c0250: indicar el nombre comercial del proveedor.</w:t>
            </w:r>
          </w:p>
        </w:tc>
      </w:tr>
      <w:tr w:rsidR="00414040" w14:paraId="7FE1C846" w14:textId="77777777" w:rsidTr="466B0B01">
        <w:tc>
          <w:tcPr>
            <w:tcW w:w="1183" w:type="dxa"/>
            <w:tcBorders>
              <w:top w:val="single" w:sz="8" w:space="0" w:color="auto"/>
              <w:bottom w:val="single" w:sz="8" w:space="0" w:color="auto"/>
              <w:right w:val="single" w:sz="8" w:space="0" w:color="auto"/>
            </w:tcBorders>
            <w:vAlign w:val="center"/>
          </w:tcPr>
          <w:p w14:paraId="7FE1C844" w14:textId="77777777" w:rsidR="00414040" w:rsidRDefault="00904E1A">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46E0A815" w:rsidR="00414040" w:rsidRDefault="00904E1A">
            <w:pPr>
              <w:pStyle w:val="P68B1DB1-TableParagraph75"/>
              <w:spacing w:before="108"/>
              <w:ind w:left="85"/>
              <w:jc w:val="both"/>
            </w:pPr>
            <w:r>
              <w:t>Otros proveedores de servicios que permiten el acceso a la IMF</w:t>
            </w:r>
          </w:p>
        </w:tc>
      </w:tr>
      <w:tr w:rsidR="00414040" w14:paraId="7FE1C84A" w14:textId="77777777" w:rsidTr="466B0B01">
        <w:tc>
          <w:tcPr>
            <w:tcW w:w="1183" w:type="dxa"/>
            <w:tcBorders>
              <w:top w:val="single" w:sz="8" w:space="0" w:color="auto"/>
              <w:bottom w:val="single" w:sz="8" w:space="0" w:color="auto"/>
              <w:right w:val="single" w:sz="8" w:space="0" w:color="auto"/>
            </w:tcBorders>
            <w:vAlign w:val="center"/>
          </w:tcPr>
          <w:p w14:paraId="7FE1C847" w14:textId="77777777" w:rsidR="00414040" w:rsidRDefault="00904E1A">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414040" w:rsidRDefault="00904E1A">
            <w:pPr>
              <w:pStyle w:val="P68B1DB1-TableParagraph73"/>
              <w:spacing w:before="108"/>
              <w:ind w:left="85"/>
            </w:pPr>
            <w:r>
              <w:t xml:space="preserve">Nombre de los proveedores de servicios adicionales </w:t>
            </w:r>
          </w:p>
          <w:p w14:paraId="7FE1C849" w14:textId="2A9BD39D" w:rsidR="00414040" w:rsidRDefault="001C19F3">
            <w:pPr>
              <w:pStyle w:val="P68B1DB1-TableParagraph40"/>
              <w:spacing w:before="108"/>
              <w:ind w:left="85"/>
              <w:jc w:val="both"/>
              <w:rPr>
                <w:b/>
                <w:lang w:val="es-ES"/>
              </w:rPr>
            </w:pPr>
            <w:r>
              <w:t>Proveedores</w:t>
            </w:r>
            <w:r w:rsidRPr="2133F407" w:rsidDel="001C19F3">
              <w:rPr>
                <w:lang w:val="es-ES"/>
              </w:rPr>
              <w:t xml:space="preserve"> </w:t>
            </w:r>
            <w:r w:rsidR="00904E1A" w:rsidRPr="2133F407">
              <w:rPr>
                <w:lang w:val="es-ES"/>
              </w:rPr>
              <w:t xml:space="preserve">distintos del intermediario que sean estrictamente necesarios para el usuario, si procede: banco liquidador, corresponsal de efectivo/agente </w:t>
            </w:r>
            <w:proofErr w:type="spellStart"/>
            <w:r w:rsidR="00904E1A" w:rsidRPr="00210421">
              <w:rPr>
                <w:i/>
                <w:iCs/>
                <w:lang w:val="es-ES"/>
              </w:rPr>
              <w:t>nostro</w:t>
            </w:r>
            <w:proofErr w:type="spellEnd"/>
            <w:r w:rsidR="00904E1A" w:rsidRPr="2133F407">
              <w:rPr>
                <w:lang w:val="es-ES"/>
              </w:rPr>
              <w:t xml:space="preserve">, proveedor de liquidez. </w:t>
            </w:r>
            <w:r w:rsidR="00904E1A">
              <w:br/>
            </w:r>
            <w:r w:rsidR="00904E1A" w:rsidRPr="2133F407">
              <w:rPr>
                <w:lang w:val="es-ES"/>
              </w:rPr>
              <w:t>Nombre comercial de los proveedores.</w:t>
            </w:r>
          </w:p>
        </w:tc>
      </w:tr>
      <w:tr w:rsidR="00414040" w14:paraId="7FE1C84E" w14:textId="77777777" w:rsidTr="466B0B01">
        <w:tc>
          <w:tcPr>
            <w:tcW w:w="1183" w:type="dxa"/>
            <w:tcBorders>
              <w:top w:val="single" w:sz="8" w:space="0" w:color="auto"/>
              <w:bottom w:val="single" w:sz="8" w:space="0" w:color="auto"/>
              <w:right w:val="single" w:sz="8" w:space="0" w:color="auto"/>
            </w:tcBorders>
            <w:vAlign w:val="center"/>
          </w:tcPr>
          <w:p w14:paraId="7FE1C84B" w14:textId="77777777" w:rsidR="00414040" w:rsidRDefault="00904E1A">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3711E628" w:rsidR="00414040" w:rsidRDefault="36099CB5">
            <w:pPr>
              <w:pStyle w:val="P68B1DB1-TableParagraph73"/>
              <w:spacing w:before="108"/>
              <w:ind w:left="85"/>
              <w:jc w:val="both"/>
            </w:pPr>
            <w:r>
              <w:t>Servicios adicionales</w:t>
            </w:r>
          </w:p>
          <w:p w14:paraId="7FE1C84D" w14:textId="44B7683E" w:rsidR="00414040" w:rsidRDefault="00904E1A">
            <w:pPr>
              <w:pStyle w:val="P68B1DB1-TableParagraph40"/>
              <w:spacing w:before="108"/>
              <w:ind w:left="85"/>
              <w:jc w:val="both"/>
              <w:rPr>
                <w:b/>
              </w:rPr>
            </w:pPr>
            <w:r>
              <w:t xml:space="preserve">Servicios de </w:t>
            </w:r>
            <w:r w:rsidR="006B56BC">
              <w:t xml:space="preserve">los </w:t>
            </w:r>
            <w:r>
              <w:t xml:space="preserve">proveedores </w:t>
            </w:r>
            <w:r w:rsidR="006B56BC">
              <w:t xml:space="preserve">indicados </w:t>
            </w:r>
            <w:r>
              <w:t xml:space="preserve">en 0260. </w:t>
            </w:r>
          </w:p>
        </w:tc>
      </w:tr>
      <w:tr w:rsidR="00414040" w14:paraId="7FE1C855" w14:textId="77777777" w:rsidTr="466B0B01">
        <w:tc>
          <w:tcPr>
            <w:tcW w:w="1183" w:type="dxa"/>
            <w:tcBorders>
              <w:top w:val="single" w:sz="8" w:space="0" w:color="auto"/>
              <w:bottom w:val="single" w:sz="8" w:space="0" w:color="auto"/>
              <w:right w:val="single" w:sz="8" w:space="0" w:color="auto"/>
            </w:tcBorders>
            <w:vAlign w:val="center"/>
          </w:tcPr>
          <w:p w14:paraId="7FE1C84F" w14:textId="77777777" w:rsidR="00414040" w:rsidRDefault="00904E1A">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414040" w:rsidRDefault="00904E1A">
            <w:pPr>
              <w:pStyle w:val="P68B1DB1-TableParagraph73"/>
              <w:spacing w:before="108"/>
              <w:ind w:left="85"/>
              <w:jc w:val="both"/>
            </w:pPr>
            <w:r>
              <w:t>Punto de contacto en FMI/intermediario</w:t>
            </w:r>
          </w:p>
          <w:p w14:paraId="7FE1C851" w14:textId="4B26F8F3" w:rsidR="00414040" w:rsidRDefault="00904E1A">
            <w:pPr>
              <w:pStyle w:val="P68B1DB1-TableParagraph40"/>
              <w:spacing w:before="108"/>
              <w:ind w:left="85"/>
              <w:jc w:val="both"/>
            </w:pPr>
            <w:r>
              <w:t>Punto de contacto en la IMF en caso de resolución d</w:t>
            </w:r>
            <w:r w:rsidR="00C46264">
              <w:t>el ente</w:t>
            </w:r>
            <w:r>
              <w:t xml:space="preserve"> declarante. Informe:</w:t>
            </w:r>
          </w:p>
          <w:p w14:paraId="7FE1C852" w14:textId="77777777" w:rsidR="00414040" w:rsidRDefault="00904E1A">
            <w:pPr>
              <w:pStyle w:val="P68B1DB1-TableParagraph40"/>
              <w:numPr>
                <w:ilvl w:val="0"/>
                <w:numId w:val="181"/>
              </w:numPr>
              <w:ind w:left="799" w:hanging="357"/>
              <w:jc w:val="both"/>
            </w:pPr>
            <w:r>
              <w:t>Denominación</w:t>
            </w:r>
          </w:p>
          <w:p w14:paraId="7FE1C853" w14:textId="77777777" w:rsidR="00414040" w:rsidRDefault="00904E1A">
            <w:pPr>
              <w:pStyle w:val="P68B1DB1-TableParagraph40"/>
              <w:numPr>
                <w:ilvl w:val="0"/>
                <w:numId w:val="181"/>
              </w:numPr>
              <w:ind w:left="799" w:hanging="357"/>
              <w:jc w:val="both"/>
            </w:pPr>
            <w:r>
              <w:t>Cargo</w:t>
            </w:r>
          </w:p>
          <w:p w14:paraId="7FE1C854" w14:textId="5FE95CD9" w:rsidR="00414040" w:rsidRDefault="00904E1A">
            <w:pPr>
              <w:pStyle w:val="P68B1DB1-TableParagraph40"/>
              <w:numPr>
                <w:ilvl w:val="0"/>
                <w:numId w:val="181"/>
              </w:numPr>
              <w:ind w:left="799" w:hanging="357"/>
              <w:jc w:val="both"/>
            </w:pPr>
            <w:r>
              <w:t>Dirección de correo electrónico</w:t>
            </w:r>
          </w:p>
        </w:tc>
      </w:tr>
    </w:tbl>
    <w:p w14:paraId="7FE1C856" w14:textId="77777777" w:rsidR="00414040" w:rsidRDefault="00904E1A">
      <w:pPr>
        <w:pStyle w:val="P68B1DB1-Normal78"/>
      </w:pPr>
      <w:r>
        <w:br/>
      </w:r>
      <w:r>
        <w:br/>
      </w:r>
    </w:p>
    <w:p w14:paraId="7FE1C857" w14:textId="1C7D4887" w:rsidR="00414040" w:rsidRDefault="00904E1A" w:rsidP="3E4E0AEA">
      <w:pPr>
        <w:spacing w:line="257" w:lineRule="auto"/>
        <w:jc w:val="both"/>
        <w:rPr>
          <w:rFonts w:ascii="Times New Roman" w:eastAsia="Verdana" w:hAnsi="Times New Roman" w:cs="Times New Roman"/>
          <w:sz w:val="20"/>
          <w:szCs w:val="20"/>
          <w:lang w:val="es-ES"/>
        </w:rPr>
      </w:pPr>
      <w:hyperlink r:id="rId12" w:anchor="_ftnref1">
        <w:r w:rsidRPr="3E4E0AEA">
          <w:rPr>
            <w:rStyle w:val="Hyperlink"/>
            <w:rFonts w:ascii="Times New Roman" w:eastAsia="Verdana" w:hAnsi="Times New Roman" w:cs="Times New Roman"/>
            <w:sz w:val="20"/>
            <w:szCs w:val="20"/>
            <w:vertAlign w:val="superscript"/>
          </w:rPr>
          <w:t>[1]</w:t>
        </w:r>
      </w:hyperlink>
      <w:r w:rsidRPr="3E4E0AEA">
        <w:rPr>
          <w:rFonts w:ascii="Times New Roman" w:eastAsia="Verdana" w:hAnsi="Times New Roman" w:cs="Times New Roman"/>
          <w:sz w:val="20"/>
          <w:szCs w:val="20"/>
        </w:rPr>
        <w:t xml:space="preserve"> Por ejemplo, el identificador único de las instituciones financieras monetarias del BCE (</w:t>
      </w:r>
      <w:r w:rsidR="00EF2238" w:rsidRPr="00EF2238">
        <w:rPr>
          <w:rFonts w:ascii="Times New Roman" w:eastAsia="Verdana" w:hAnsi="Times New Roman" w:cs="Times New Roman"/>
          <w:sz w:val="20"/>
          <w:szCs w:val="20"/>
        </w:rPr>
        <w:t xml:space="preserve">identificador </w:t>
      </w:r>
      <w:r w:rsidRPr="3E4E0AEA">
        <w:rPr>
          <w:rFonts w:ascii="Times New Roman" w:eastAsia="Verdana" w:hAnsi="Times New Roman" w:cs="Times New Roman"/>
          <w:sz w:val="20"/>
          <w:szCs w:val="20"/>
        </w:rPr>
        <w:t>de IFM) de</w:t>
      </w:r>
      <w:r w:rsidR="1B6BEA41" w:rsidRPr="3E4E0AEA">
        <w:rPr>
          <w:rFonts w:ascii="Times New Roman" w:eastAsia="Verdana" w:hAnsi="Times New Roman" w:cs="Times New Roman"/>
          <w:sz w:val="20"/>
          <w:szCs w:val="20"/>
        </w:rPr>
        <w:t>l ente</w:t>
      </w:r>
      <w:r w:rsidRPr="3E4E0AEA">
        <w:rPr>
          <w:rFonts w:ascii="Times New Roman" w:eastAsia="Verdana" w:hAnsi="Times New Roman" w:cs="Times New Roman"/>
          <w:sz w:val="20"/>
          <w:szCs w:val="20"/>
        </w:rPr>
        <w:t xml:space="preserve"> para su uso en RIAD.</w:t>
      </w:r>
    </w:p>
    <w:p w14:paraId="7FE1C858" w14:textId="77777777" w:rsidR="00414040" w:rsidRDefault="00904E1A">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Glosario del BCE de términos relacionados con los sistemas de pago, compensación y liquidación, diciembre de 2009.</w:t>
      </w:r>
    </w:p>
    <w:p w14:paraId="7FE1C859" w14:textId="0D54237C" w:rsidR="00414040" w:rsidRDefault="00904E1A">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Véase la nota anterior.</w:t>
      </w:r>
    </w:p>
    <w:p w14:paraId="7FE1C85A" w14:textId="509AC76D" w:rsidR="00414040" w:rsidRDefault="00904E1A" w:rsidP="3E4E0AEA">
      <w:pPr>
        <w:spacing w:line="257" w:lineRule="auto"/>
        <w:jc w:val="both"/>
        <w:rPr>
          <w:rFonts w:ascii="Times New Roman" w:hAnsi="Times New Roman" w:cs="Times New Roman"/>
          <w:lang w:val="es-ES"/>
        </w:rPr>
      </w:pPr>
      <w:hyperlink r:id="rId15" w:anchor="_ftnref4">
        <w:r w:rsidRPr="3E4E0AEA">
          <w:rPr>
            <w:rStyle w:val="Hyperlink"/>
            <w:rFonts w:ascii="Times New Roman" w:eastAsia="Verdana" w:hAnsi="Times New Roman" w:cs="Times New Roman"/>
            <w:sz w:val="20"/>
            <w:szCs w:val="20"/>
            <w:vertAlign w:val="superscript"/>
            <w:lang w:val="es-ES"/>
          </w:rPr>
          <w:t>[4]</w:t>
        </w:r>
      </w:hyperlink>
      <w:r w:rsidRPr="3E4E0AEA">
        <w:rPr>
          <w:rFonts w:ascii="Times New Roman" w:eastAsia="Verdana" w:hAnsi="Times New Roman" w:cs="Times New Roman"/>
          <w:sz w:val="20"/>
          <w:szCs w:val="20"/>
          <w:lang w:val="es-ES"/>
        </w:rPr>
        <w:t xml:space="preserve"> Por ejemplo, el identificador único de las instituciones financieras monetarias del BCE (</w:t>
      </w:r>
      <w:r w:rsidR="00EF2238" w:rsidRPr="00EF2238">
        <w:rPr>
          <w:rFonts w:ascii="Times New Roman" w:eastAsia="Verdana" w:hAnsi="Times New Roman" w:cs="Times New Roman"/>
          <w:sz w:val="20"/>
          <w:szCs w:val="20"/>
          <w:lang w:val="es-ES"/>
        </w:rPr>
        <w:t xml:space="preserve">identificador </w:t>
      </w:r>
      <w:r w:rsidRPr="3E4E0AEA">
        <w:rPr>
          <w:rFonts w:ascii="Times New Roman" w:eastAsia="Verdana" w:hAnsi="Times New Roman" w:cs="Times New Roman"/>
          <w:sz w:val="20"/>
          <w:szCs w:val="20"/>
          <w:lang w:val="es-ES"/>
        </w:rPr>
        <w:t>de IFM) de</w:t>
      </w:r>
      <w:r w:rsidR="607DC903" w:rsidRPr="3E4E0AEA">
        <w:rPr>
          <w:rFonts w:ascii="Times New Roman" w:eastAsia="Verdana" w:hAnsi="Times New Roman" w:cs="Times New Roman"/>
          <w:sz w:val="20"/>
          <w:szCs w:val="20"/>
          <w:lang w:val="es-ES"/>
        </w:rPr>
        <w:t>l ente</w:t>
      </w:r>
      <w:r w:rsidRPr="3E4E0AEA">
        <w:rPr>
          <w:rFonts w:ascii="Times New Roman" w:eastAsia="Verdana" w:hAnsi="Times New Roman" w:cs="Times New Roman"/>
          <w:sz w:val="20"/>
          <w:szCs w:val="20"/>
          <w:lang w:val="es-ES"/>
        </w:rPr>
        <w:t xml:space="preserve"> para su uso en RIAD.</w:t>
      </w:r>
    </w:p>
    <w:p w14:paraId="7FE1C8BF" w14:textId="77777777" w:rsidR="00414040" w:rsidRDefault="00414040">
      <w:pPr>
        <w:rPr>
          <w:rFonts w:ascii="Times New Roman" w:hAnsi="Times New Roman" w:cs="Times New Roman"/>
        </w:rPr>
      </w:pPr>
    </w:p>
    <w:p w14:paraId="7FE1C8C0" w14:textId="77777777" w:rsidR="00414040" w:rsidRDefault="00414040">
      <w:pPr>
        <w:rPr>
          <w:rFonts w:ascii="Times New Roman" w:hAnsi="Times New Roman"/>
          <w:sz w:val="20"/>
          <w:szCs w:val="20"/>
          <w:u w:val="single"/>
        </w:rPr>
      </w:pPr>
    </w:p>
    <w:p w14:paraId="7FE1C8C1" w14:textId="39BDF6E8" w:rsidR="00414040" w:rsidRDefault="60688621" w:rsidP="6A079B7E">
      <w:pPr>
        <w:pStyle w:val="P68B1DB1-Instructionsberschrift25"/>
        <w:numPr>
          <w:ilvl w:val="1"/>
          <w:numId w:val="49"/>
        </w:numPr>
        <w:ind w:left="357" w:hanging="357"/>
        <w:rPr>
          <w:rFonts w:eastAsia="Calibri"/>
          <w:lang w:val="es-ES"/>
        </w:rPr>
      </w:pPr>
      <w:bookmarkStart w:id="137" w:name="_Toc211525941"/>
      <w:r>
        <w:lastRenderedPageBreak/>
        <w:t>Z 09.02</w:t>
      </w:r>
      <w:r w:rsidR="00F7457B">
        <w:t>.</w:t>
      </w:r>
      <w:r w:rsidR="138DD25E">
        <w:t xml:space="preserve"> Correspondencias</w:t>
      </w:r>
      <w:r>
        <w:t xml:space="preserve"> </w:t>
      </w:r>
      <w:r w:rsidR="00F7457B">
        <w:t xml:space="preserve">con </w:t>
      </w:r>
      <w:r>
        <w:t xml:space="preserve">las IMF </w:t>
      </w:r>
      <w:r w:rsidR="615CDA3B">
        <w:t>esenciales</w:t>
      </w:r>
      <w:r>
        <w:t xml:space="preserve"> </w:t>
      </w:r>
      <w:r w:rsidR="2D3EA540">
        <w:t xml:space="preserve">y </w:t>
      </w:r>
      <w:proofErr w:type="gramStart"/>
      <w:r w:rsidR="2D3EA540">
        <w:t xml:space="preserve">principales </w:t>
      </w:r>
      <w:r>
        <w:t xml:space="preserve"> (</w:t>
      </w:r>
      <w:proofErr w:type="gramEnd"/>
      <w:r>
        <w:t>FMI 2)</w:t>
      </w:r>
      <w:bookmarkEnd w:id="137"/>
    </w:p>
    <w:p w14:paraId="7FE1C8C3" w14:textId="00C4B4B9" w:rsidR="00414040" w:rsidRDefault="5B1A3546">
      <w:pPr>
        <w:pStyle w:val="P68B1DB1-InstructionsText279"/>
        <w:numPr>
          <w:ilvl w:val="2"/>
          <w:numId w:val="209"/>
        </w:numPr>
        <w:spacing w:before="0"/>
        <w:ind w:left="1276"/>
        <w:rPr>
          <w:lang w:val="es-ES"/>
        </w:rPr>
      </w:pPr>
      <w:r w:rsidRPr="6A079B7E">
        <w:rPr>
          <w:lang w:val="es-ES"/>
        </w:rPr>
        <w:t xml:space="preserve">Los proveedores de servicios de IMF esenciales y </w:t>
      </w:r>
      <w:r w:rsidR="3C2A112D" w:rsidRPr="6A079B7E">
        <w:rPr>
          <w:lang w:val="es-ES"/>
        </w:rPr>
        <w:t xml:space="preserve">principales </w:t>
      </w:r>
      <w:r w:rsidRPr="6A079B7E">
        <w:rPr>
          <w:lang w:val="es-ES"/>
        </w:rPr>
        <w:t>son los servicios de IMF a los que se accede directa o indirectamente, cuya interrupción puede suponer un obstáculo grave o impedir el desempeño de una o varias funciones esenciales o ramas de actividad principales del usuario.</w:t>
      </w:r>
    </w:p>
    <w:p w14:paraId="7FE1C8C4" w14:textId="75BD180F" w:rsidR="00414040" w:rsidRDefault="5B1A3546">
      <w:pPr>
        <w:pStyle w:val="P68B1DB1-ListParagraph80"/>
        <w:numPr>
          <w:ilvl w:val="2"/>
          <w:numId w:val="209"/>
        </w:numPr>
        <w:ind w:left="1276"/>
      </w:pPr>
      <w:r w:rsidRPr="3E4E0AEA">
        <w:rPr>
          <w:lang w:val="es-ES"/>
        </w:rPr>
        <w:t xml:space="preserve">Indicar únicamente en esta </w:t>
      </w:r>
      <w:r w:rsidR="3BFFF58E" w:rsidRPr="3E4E0AEA">
        <w:rPr>
          <w:lang w:val="es-ES"/>
        </w:rPr>
        <w:t>plantilla</w:t>
      </w:r>
      <w:r w:rsidRPr="3E4E0AEA">
        <w:rPr>
          <w:lang w:val="es-ES"/>
        </w:rPr>
        <w:t xml:space="preserve"> las IMF de todos los tipos de sistemas que </w:t>
      </w:r>
      <w:r w:rsidR="00C46264">
        <w:rPr>
          <w:lang w:val="es-ES"/>
        </w:rPr>
        <w:t>el ente</w:t>
      </w:r>
      <w:r w:rsidRPr="3E4E0AEA">
        <w:rPr>
          <w:lang w:val="es-ES"/>
        </w:rPr>
        <w:t xml:space="preserve"> </w:t>
      </w:r>
      <w:r w:rsidR="0D26376F" w:rsidRPr="3E4E0AEA">
        <w:rPr>
          <w:lang w:val="es-ES"/>
        </w:rPr>
        <w:t xml:space="preserve">declarante </w:t>
      </w:r>
      <w:r w:rsidRPr="3E4E0AEA">
        <w:rPr>
          <w:lang w:val="es-ES"/>
        </w:rPr>
        <w:t>considere esenciales o</w:t>
      </w:r>
      <w:r w:rsidR="184EE1CD" w:rsidRPr="3E4E0AEA">
        <w:rPr>
          <w:lang w:val="es-ES"/>
        </w:rPr>
        <w:t xml:space="preserve"> principales</w:t>
      </w:r>
      <w:r w:rsidRPr="3E4E0AEA">
        <w:rPr>
          <w:lang w:val="es-ES"/>
        </w:rPr>
        <w:t xml:space="preserve">. No se incluyen otras IMF que no sean </w:t>
      </w:r>
      <w:r w:rsidR="6DA075D0" w:rsidRPr="3E4E0AEA">
        <w:rPr>
          <w:lang w:val="es-ES"/>
        </w:rPr>
        <w:t>esenciales</w:t>
      </w:r>
      <w:r w:rsidRPr="3E4E0AEA">
        <w:rPr>
          <w:lang w:val="es-ES"/>
        </w:rPr>
        <w:t xml:space="preserve"> ni </w:t>
      </w:r>
      <w:r w:rsidR="7C99AC0E" w:rsidRPr="3E4E0AEA">
        <w:rPr>
          <w:lang w:val="es-ES"/>
        </w:rPr>
        <w:t>principales</w:t>
      </w:r>
      <w:r w:rsidRPr="3E4E0AEA">
        <w:rPr>
          <w:lang w:val="es-ES"/>
        </w:rPr>
        <w:t>.</w:t>
      </w:r>
    </w:p>
    <w:p w14:paraId="7FE1C8C5" w14:textId="77777777" w:rsidR="00414040" w:rsidRDefault="00414040">
      <w:pPr>
        <w:pStyle w:val="ListParagraph"/>
        <w:ind w:left="1276"/>
        <w:rPr>
          <w:rFonts w:ascii="Times New Roman" w:eastAsiaTheme="majorEastAsia" w:hAnsi="Times New Roman"/>
          <w:sz w:val="20"/>
          <w:szCs w:val="20"/>
        </w:rPr>
      </w:pPr>
    </w:p>
    <w:p w14:paraId="7FE1C8C6" w14:textId="4BDE3999" w:rsidR="00414040" w:rsidRDefault="5B1A3546">
      <w:pPr>
        <w:pStyle w:val="P68B1DB1-InstructionsText279"/>
        <w:numPr>
          <w:ilvl w:val="2"/>
          <w:numId w:val="209"/>
        </w:numPr>
        <w:spacing w:before="0"/>
        <w:ind w:left="1276"/>
      </w:pPr>
      <w:r>
        <w:t xml:space="preserve">A efectos de la designación de IMF </w:t>
      </w:r>
      <w:r w:rsidR="2B585315">
        <w:t>esenciales</w:t>
      </w:r>
      <w:r>
        <w:t xml:space="preserve"> y </w:t>
      </w:r>
      <w:r w:rsidR="0C3B035F">
        <w:t>principales</w:t>
      </w:r>
      <w:r>
        <w:t>, se tendrá en cuenta la posibilidad de terminación simultánea de la participación.</w:t>
      </w:r>
    </w:p>
    <w:p w14:paraId="7FE1C8C7" w14:textId="77777777" w:rsidR="00414040" w:rsidRDefault="00414040">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414040" w14:paraId="7FE1C8CA" w14:textId="77777777" w:rsidTr="3E4E0AEA">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414040" w:rsidRDefault="00904E1A">
            <w:pPr>
              <w:pStyle w:val="P68B1DB1-TableParagraph17"/>
              <w:spacing w:before="108"/>
              <w:ind w:left="85"/>
            </w:pPr>
            <w:r>
              <w:t xml:space="preserve">Columnas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414040" w:rsidRDefault="00904E1A">
            <w:pPr>
              <w:pStyle w:val="P68B1DB1-TableParagraph17"/>
              <w:spacing w:before="108"/>
              <w:ind w:left="85"/>
            </w:pPr>
            <w:r>
              <w:t xml:space="preserve">Instrucciones </w:t>
            </w:r>
          </w:p>
        </w:tc>
      </w:tr>
      <w:tr w:rsidR="00414040" w14:paraId="7FE1C8CE" w14:textId="77777777" w:rsidTr="3E4E0AEA">
        <w:tc>
          <w:tcPr>
            <w:tcW w:w="1183" w:type="dxa"/>
            <w:tcBorders>
              <w:top w:val="single" w:sz="8" w:space="0" w:color="1A171C"/>
              <w:bottom w:val="single" w:sz="8" w:space="0" w:color="auto"/>
              <w:right w:val="single" w:sz="8" w:space="0" w:color="auto"/>
            </w:tcBorders>
            <w:vAlign w:val="center"/>
          </w:tcPr>
          <w:p w14:paraId="7FE1C8CB" w14:textId="77777777" w:rsidR="00414040" w:rsidRDefault="00904E1A">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6D2DC450" w:rsidR="00414040" w:rsidRDefault="00904E1A">
            <w:pPr>
              <w:pStyle w:val="P68B1DB1-TableParagraph73"/>
              <w:spacing w:before="108"/>
              <w:ind w:left="85"/>
              <w:jc w:val="both"/>
            </w:pPr>
            <w:r>
              <w:t>I</w:t>
            </w:r>
            <w:r w:rsidR="00EF2238">
              <w:t xml:space="preserve">dentificador </w:t>
            </w:r>
            <w:r>
              <w:t>que representa la combinación de usuario, IMF, tipo de sistema e intermediario</w:t>
            </w:r>
          </w:p>
          <w:p w14:paraId="7FE1C8CD" w14:textId="0FD11B77" w:rsidR="00414040" w:rsidRDefault="00904E1A">
            <w:pPr>
              <w:pStyle w:val="P68B1DB1-TableParagraph40"/>
              <w:spacing w:before="108"/>
              <w:ind w:left="85"/>
              <w:jc w:val="both"/>
              <w:rPr>
                <w:b/>
              </w:rPr>
            </w:pPr>
            <w:r>
              <w:t xml:space="preserve">Utilícese un identificador único por fila, que corresponda a una combinación única de usuario, IMF, tipo de sistema e intermediario. Debe utilizarse el mismo </w:t>
            </w:r>
            <w:r w:rsidR="00EF2238">
              <w:t>identificador</w:t>
            </w:r>
            <w:r>
              <w:t>, correspondiente a la misma combinación, en las plantillas Z 09.01 a Z 09.05, cuando proceda.</w:t>
            </w:r>
          </w:p>
        </w:tc>
      </w:tr>
      <w:tr w:rsidR="00414040" w14:paraId="7FE1C8D1" w14:textId="77777777" w:rsidTr="3E4E0AEA">
        <w:tc>
          <w:tcPr>
            <w:tcW w:w="1183" w:type="dxa"/>
            <w:tcBorders>
              <w:top w:val="single" w:sz="8" w:space="0" w:color="auto"/>
              <w:bottom w:val="single" w:sz="8" w:space="0" w:color="auto"/>
              <w:right w:val="single" w:sz="8" w:space="0" w:color="auto"/>
            </w:tcBorders>
            <w:vAlign w:val="center"/>
          </w:tcPr>
          <w:p w14:paraId="7FE1C8CF" w14:textId="77777777" w:rsidR="00414040" w:rsidRDefault="00904E1A">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64175502" w:rsidR="00414040" w:rsidRDefault="5B1A3546">
            <w:pPr>
              <w:pStyle w:val="P68B1DB1-TableParagraph75"/>
              <w:spacing w:before="108"/>
              <w:ind w:left="85"/>
              <w:jc w:val="both"/>
            </w:pPr>
            <w:r>
              <w:t xml:space="preserve">IMF </w:t>
            </w:r>
            <w:r w:rsidR="46520E1F">
              <w:t>esenciales</w:t>
            </w:r>
          </w:p>
        </w:tc>
      </w:tr>
      <w:tr w:rsidR="00414040" w14:paraId="7FE1C8D7" w14:textId="77777777" w:rsidTr="3E4E0AEA">
        <w:tc>
          <w:tcPr>
            <w:tcW w:w="1183" w:type="dxa"/>
            <w:tcBorders>
              <w:top w:val="single" w:sz="8" w:space="0" w:color="auto"/>
              <w:bottom w:val="single" w:sz="8" w:space="0" w:color="auto"/>
              <w:right w:val="single" w:sz="8" w:space="0" w:color="auto"/>
            </w:tcBorders>
            <w:vAlign w:val="center"/>
          </w:tcPr>
          <w:p w14:paraId="7FE1C8D2" w14:textId="77777777" w:rsidR="00414040" w:rsidRDefault="00904E1A">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6E251114" w:rsidR="00414040" w:rsidRDefault="5B1A3546">
            <w:pPr>
              <w:pStyle w:val="P68B1DB1-TableParagraph73"/>
              <w:spacing w:before="108"/>
              <w:ind w:left="85"/>
              <w:jc w:val="both"/>
            </w:pPr>
            <w:r>
              <w:t xml:space="preserve">IMF </w:t>
            </w:r>
            <w:r w:rsidR="6C20D7A0">
              <w:t>esenciales</w:t>
            </w:r>
            <w:r>
              <w:t>: S/N</w:t>
            </w:r>
          </w:p>
          <w:p w14:paraId="7FE1C8D4" w14:textId="1F0D26ED" w:rsidR="00414040" w:rsidRDefault="5B1A3546">
            <w:pPr>
              <w:pStyle w:val="P68B1DB1-TableParagraph40"/>
              <w:numPr>
                <w:ilvl w:val="0"/>
                <w:numId w:val="248"/>
              </w:numPr>
              <w:spacing w:before="108"/>
              <w:jc w:val="both"/>
            </w:pPr>
            <w:r>
              <w:t xml:space="preserve">«Sí» si la IMF es </w:t>
            </w:r>
            <w:r w:rsidR="22B19C48">
              <w:t>esencial</w:t>
            </w:r>
          </w:p>
          <w:p w14:paraId="7FE1C8D5" w14:textId="1631530F" w:rsidR="00414040" w:rsidRDefault="5B1A3546">
            <w:pPr>
              <w:pStyle w:val="P68B1DB1-TableParagraph40"/>
              <w:numPr>
                <w:ilvl w:val="0"/>
                <w:numId w:val="248"/>
              </w:numPr>
              <w:spacing w:before="108"/>
              <w:jc w:val="both"/>
              <w:rPr>
                <w:b/>
                <w:bCs/>
              </w:rPr>
            </w:pPr>
            <w:r>
              <w:t xml:space="preserve">«No» si la IMF no es </w:t>
            </w:r>
            <w:r w:rsidR="180FEF60">
              <w:t>esencial</w:t>
            </w:r>
          </w:p>
          <w:p w14:paraId="7FE1C8D6" w14:textId="7D4C14D4" w:rsidR="00414040" w:rsidRDefault="00904E1A">
            <w:pPr>
              <w:pStyle w:val="P68B1DB1-TableParagraph40"/>
              <w:spacing w:before="108"/>
              <w:ind w:left="85"/>
              <w:jc w:val="both"/>
            </w:pPr>
            <w:r>
              <w:t xml:space="preserve">Las columnas 0020 y 0050 no </w:t>
            </w:r>
            <w:r w:rsidR="006F0090">
              <w:t>son</w:t>
            </w:r>
            <w:r>
              <w:t xml:space="preserve"> mutuamente</w:t>
            </w:r>
            <w:r w:rsidR="006F0090">
              <w:t xml:space="preserve"> excluyentes</w:t>
            </w:r>
            <w:r>
              <w:t>.</w:t>
            </w:r>
          </w:p>
        </w:tc>
      </w:tr>
      <w:tr w:rsidR="00414040" w14:paraId="7FE1C8DB" w14:textId="77777777" w:rsidTr="3E4E0AEA">
        <w:tc>
          <w:tcPr>
            <w:tcW w:w="1183" w:type="dxa"/>
            <w:tcBorders>
              <w:top w:val="single" w:sz="8" w:space="0" w:color="auto"/>
              <w:bottom w:val="single" w:sz="8" w:space="0" w:color="auto"/>
              <w:right w:val="single" w:sz="8" w:space="0" w:color="auto"/>
            </w:tcBorders>
            <w:vAlign w:val="center"/>
          </w:tcPr>
          <w:p w14:paraId="7FE1C8D8" w14:textId="77777777" w:rsidR="00414040" w:rsidRDefault="00904E1A">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414040" w:rsidRDefault="00904E1A">
            <w:pPr>
              <w:pStyle w:val="P68B1DB1-TableParagraph73"/>
              <w:spacing w:before="108"/>
              <w:ind w:left="85"/>
              <w:jc w:val="both"/>
            </w:pPr>
            <w:r>
              <w:t>País</w:t>
            </w:r>
          </w:p>
          <w:p w14:paraId="7FE1C8DA" w14:textId="6AC7F390" w:rsidR="00414040" w:rsidRDefault="00904E1A">
            <w:pPr>
              <w:pStyle w:val="P68B1DB1-TableParagraph40"/>
              <w:spacing w:before="108"/>
              <w:ind w:left="85"/>
              <w:jc w:val="both"/>
            </w:pPr>
            <w:r>
              <w:t>País en el que se proporciona la función esencial, según se indica en Z 07.01</w:t>
            </w:r>
            <w:r w:rsidR="006F0090">
              <w:t>.</w:t>
            </w:r>
          </w:p>
        </w:tc>
      </w:tr>
      <w:tr w:rsidR="00414040" w14:paraId="7FE1C8E0" w14:textId="77777777" w:rsidTr="3E4E0AEA">
        <w:tc>
          <w:tcPr>
            <w:tcW w:w="1183" w:type="dxa"/>
            <w:tcBorders>
              <w:top w:val="single" w:sz="8" w:space="0" w:color="auto"/>
              <w:bottom w:val="single" w:sz="8" w:space="0" w:color="auto"/>
              <w:right w:val="single" w:sz="8" w:space="0" w:color="auto"/>
            </w:tcBorders>
            <w:vAlign w:val="center"/>
          </w:tcPr>
          <w:p w14:paraId="7FE1C8DC" w14:textId="77777777" w:rsidR="00414040" w:rsidRDefault="00904E1A">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13D7C08B" w:rsidR="00414040" w:rsidRDefault="00904E1A">
            <w:pPr>
              <w:pStyle w:val="P68B1DB1-TableParagraph73"/>
              <w:spacing w:before="108"/>
              <w:ind w:left="85"/>
              <w:jc w:val="both"/>
            </w:pPr>
            <w:r>
              <w:t>Identifica</w:t>
            </w:r>
            <w:r w:rsidR="00EF2238">
              <w:t>dor</w:t>
            </w:r>
            <w:r>
              <w:t xml:space="preserve"> de la función esencial</w:t>
            </w:r>
          </w:p>
          <w:p w14:paraId="7FE1C8DE" w14:textId="57025742" w:rsidR="00414040" w:rsidRDefault="00904E1A">
            <w:pPr>
              <w:pStyle w:val="P68B1DB1-TableParagraph40"/>
              <w:spacing w:before="108"/>
              <w:ind w:left="85"/>
              <w:jc w:val="both"/>
            </w:pPr>
            <w:r>
              <w:t xml:space="preserve">Función o funciones esenciales desempeñadas por </w:t>
            </w:r>
            <w:r w:rsidR="00C46264">
              <w:t>el ente</w:t>
            </w:r>
            <w:r>
              <w:t>, cuyo desempeño se vería obstaculizado o impedido por la interrupción del acceso al proveedor de servicios de IMF.</w:t>
            </w:r>
          </w:p>
          <w:p w14:paraId="79796B83" w14:textId="45A54613" w:rsidR="00414040" w:rsidRDefault="00904E1A">
            <w:pPr>
              <w:pStyle w:val="P68B1DB1-TableParagraph40"/>
              <w:spacing w:before="108"/>
              <w:ind w:left="85"/>
              <w:jc w:val="both"/>
              <w:rPr>
                <w:b/>
                <w:bCs/>
              </w:rPr>
            </w:pPr>
            <w:r>
              <w:t>I</w:t>
            </w:r>
            <w:r w:rsidR="00EF2238">
              <w:t>dentificador</w:t>
            </w:r>
            <w:r>
              <w:t xml:space="preserve"> de las funciones esenciales </w:t>
            </w:r>
            <w:r w:rsidR="004029D8">
              <w:t xml:space="preserve">declaradas </w:t>
            </w:r>
            <w:r>
              <w:t>en Z07.01</w:t>
            </w:r>
            <w:r>
              <w:rPr>
                <w:b/>
              </w:rPr>
              <w:t>:</w:t>
            </w:r>
          </w:p>
          <w:p w14:paraId="58520404" w14:textId="77777777" w:rsidR="00414040" w:rsidRDefault="00414040">
            <w:pPr>
              <w:pStyle w:val="TableParagraph"/>
              <w:spacing w:before="108"/>
              <w:ind w:left="85"/>
              <w:jc w:val="both"/>
              <w:rPr>
                <w:rFonts w:ascii="Times New Roman" w:eastAsia="Times New Roman" w:hAnsi="Times New Roman" w:cs="Times New Roman"/>
                <w:b/>
                <w:bCs/>
                <w:sz w:val="20"/>
                <w:szCs w:val="20"/>
              </w:rPr>
            </w:pPr>
          </w:p>
          <w:p w14:paraId="0E718D7B" w14:textId="77777777" w:rsidR="00414040" w:rsidRDefault="00904E1A">
            <w:pPr>
              <w:pStyle w:val="P68B1DB1-Normal19"/>
              <w:rPr>
                <w:rFonts w:eastAsiaTheme="minorHAnsi"/>
              </w:rPr>
            </w:pPr>
            <w:r>
              <w:t>Depósitos</w:t>
            </w:r>
          </w:p>
          <w:p w14:paraId="354D6B7F" w14:textId="77777777" w:rsidR="00414040" w:rsidRDefault="00904E1A">
            <w:pPr>
              <w:pStyle w:val="P68B1DB1-Normal19"/>
              <w:ind w:left="708"/>
            </w:pPr>
            <w:r>
              <w:t>Depósitos de hogares</w:t>
            </w:r>
          </w:p>
          <w:p w14:paraId="71C89914" w14:textId="707E14D3" w:rsidR="00414040" w:rsidRDefault="00904E1A">
            <w:pPr>
              <w:pStyle w:val="P68B1DB1-Normal19"/>
              <w:ind w:left="708"/>
            </w:pPr>
            <w:r>
              <w:t xml:space="preserve">Depósitos de sociedades no financieras </w:t>
            </w:r>
          </w:p>
          <w:p w14:paraId="7621A95F" w14:textId="6D0EC383" w:rsidR="00414040" w:rsidRDefault="00904E1A">
            <w:pPr>
              <w:pStyle w:val="P68B1DB1-Normal19"/>
              <w:ind w:left="1405"/>
            </w:pPr>
            <w:r>
              <w:t xml:space="preserve">Depósitos de sociedades no financieras </w:t>
            </w:r>
            <w:r w:rsidR="004029D8">
              <w:t>pymes</w:t>
            </w:r>
          </w:p>
          <w:p w14:paraId="046B913C" w14:textId="73440AD0" w:rsidR="00414040" w:rsidRDefault="00904E1A">
            <w:pPr>
              <w:pStyle w:val="P68B1DB1-Normal19"/>
              <w:ind w:left="1405"/>
            </w:pPr>
            <w:r>
              <w:t>Depósitos de sociedades no financieras no pymes</w:t>
            </w:r>
          </w:p>
          <w:p w14:paraId="2DAF57AE" w14:textId="6A6F5EF1" w:rsidR="00414040" w:rsidRDefault="00904E1A">
            <w:pPr>
              <w:pStyle w:val="P68B1DB1-Normal19"/>
              <w:ind w:left="708"/>
            </w:pPr>
            <w:r>
              <w:t>Depósitos de administraciones públicas</w:t>
            </w:r>
          </w:p>
          <w:p w14:paraId="3AC3807C" w14:textId="77777777" w:rsidR="00414040" w:rsidRDefault="00904E1A">
            <w:pPr>
              <w:pStyle w:val="P68B1DB1-Normal19"/>
              <w:ind w:left="708"/>
            </w:pPr>
            <w:r>
              <w:t>Depósitos de otros sectores/contrapartes (1)</w:t>
            </w:r>
          </w:p>
          <w:p w14:paraId="7924D974" w14:textId="77777777" w:rsidR="00414040" w:rsidRDefault="00904E1A">
            <w:pPr>
              <w:pStyle w:val="P68B1DB1-Normal19"/>
              <w:ind w:left="708"/>
            </w:pPr>
            <w:r>
              <w:t>Depósitos de otros sectores/contrapartes (2)</w:t>
            </w:r>
          </w:p>
          <w:p w14:paraId="15B73120" w14:textId="77777777" w:rsidR="00414040" w:rsidRDefault="00904E1A">
            <w:pPr>
              <w:pStyle w:val="P68B1DB1-Normal19"/>
              <w:ind w:left="708"/>
            </w:pPr>
            <w:r>
              <w:t>Depósitos de otros sectores/contrapartes (3)</w:t>
            </w:r>
          </w:p>
          <w:p w14:paraId="2FE46760" w14:textId="77777777" w:rsidR="00414040" w:rsidRDefault="00414040">
            <w:pPr>
              <w:rPr>
                <w:rFonts w:ascii="Times New Roman" w:hAnsi="Times New Roman" w:cs="Times New Roman"/>
                <w:sz w:val="20"/>
                <w:szCs w:val="20"/>
              </w:rPr>
            </w:pPr>
          </w:p>
          <w:p w14:paraId="685EA40A" w14:textId="4D9A222F" w:rsidR="00414040" w:rsidRDefault="00744D9A">
            <w:pPr>
              <w:pStyle w:val="P68B1DB1-Normal19"/>
            </w:pPr>
            <w:r>
              <w:t>Concesión de financiación</w:t>
            </w:r>
          </w:p>
          <w:p w14:paraId="11C80F7E" w14:textId="2D1E4EB9" w:rsidR="00414040" w:rsidRDefault="00904E1A">
            <w:pPr>
              <w:pStyle w:val="P68B1DB1-Normal19"/>
              <w:ind w:left="708"/>
            </w:pPr>
            <w:r>
              <w:t>Préstamos a hogares</w:t>
            </w:r>
          </w:p>
          <w:p w14:paraId="430711EA" w14:textId="77777777" w:rsidR="00414040" w:rsidRDefault="00904E1A">
            <w:pPr>
              <w:pStyle w:val="P68B1DB1-Normal19"/>
              <w:ind w:left="1416"/>
            </w:pPr>
            <w:r>
              <w:t>Préstamos a hogares para adquisición de vivienda</w:t>
            </w:r>
          </w:p>
          <w:p w14:paraId="0147203E" w14:textId="77777777" w:rsidR="00414040" w:rsidRDefault="00904E1A">
            <w:pPr>
              <w:pStyle w:val="P68B1DB1-Normal19"/>
              <w:ind w:left="1416"/>
            </w:pPr>
            <w:r>
              <w:t>Préstamos a hogares para fines distintos de la adquisición de vivienda</w:t>
            </w:r>
          </w:p>
          <w:p w14:paraId="20ACA306" w14:textId="77777777" w:rsidR="00414040" w:rsidRDefault="00904E1A">
            <w:pPr>
              <w:pStyle w:val="P68B1DB1-Normal19"/>
              <w:ind w:left="708"/>
            </w:pPr>
            <w:r>
              <w:t>Préstamos a sociedades no financieras</w:t>
            </w:r>
          </w:p>
          <w:p w14:paraId="19F6CF03" w14:textId="7DA5FB87" w:rsidR="00414040" w:rsidRDefault="5B1A3546">
            <w:pPr>
              <w:pStyle w:val="P68B1DB1-Normal19"/>
              <w:ind w:left="1416"/>
              <w:rPr>
                <w:lang w:val="es-ES"/>
              </w:rPr>
            </w:pPr>
            <w:r w:rsidRPr="6A079B7E">
              <w:rPr>
                <w:lang w:val="es-ES"/>
              </w:rPr>
              <w:t xml:space="preserve">Préstamos a sociedades no financieras </w:t>
            </w:r>
            <w:r w:rsidR="004029D8">
              <w:rPr>
                <w:lang w:val="es-ES"/>
              </w:rPr>
              <w:t>pymes</w:t>
            </w:r>
          </w:p>
          <w:p w14:paraId="2C705D0D" w14:textId="77777777" w:rsidR="00414040" w:rsidRDefault="00904E1A">
            <w:pPr>
              <w:pStyle w:val="P68B1DB1-Normal19"/>
              <w:ind w:left="1416"/>
            </w:pPr>
            <w:r>
              <w:t>Préstamos a sociedades no financieras no pymes</w:t>
            </w:r>
          </w:p>
          <w:p w14:paraId="6DAE8B55" w14:textId="379CDC66" w:rsidR="00414040" w:rsidRDefault="00904E1A">
            <w:pPr>
              <w:pStyle w:val="P68B1DB1-Normal19"/>
              <w:ind w:left="708"/>
            </w:pPr>
            <w:r>
              <w:t>Préstamos a administraciones públicas</w:t>
            </w:r>
          </w:p>
          <w:p w14:paraId="5C2428A3" w14:textId="77777777" w:rsidR="00414040" w:rsidRDefault="00904E1A">
            <w:pPr>
              <w:pStyle w:val="P68B1DB1-Normal19"/>
              <w:ind w:left="708"/>
            </w:pPr>
            <w:r>
              <w:t>Préstamos a otros sectores/contrapartes (1)</w:t>
            </w:r>
          </w:p>
          <w:p w14:paraId="7237D4E5" w14:textId="77777777" w:rsidR="00414040" w:rsidRDefault="00904E1A">
            <w:pPr>
              <w:pStyle w:val="P68B1DB1-Normal19"/>
              <w:ind w:left="708"/>
            </w:pPr>
            <w:r>
              <w:lastRenderedPageBreak/>
              <w:t>Préstamos a otros sectores/contrapartes (2)</w:t>
            </w:r>
          </w:p>
          <w:p w14:paraId="62EF53AB" w14:textId="77777777" w:rsidR="00414040" w:rsidRDefault="00904E1A">
            <w:pPr>
              <w:pStyle w:val="P68B1DB1-Normal19"/>
              <w:ind w:left="708"/>
            </w:pPr>
            <w:r>
              <w:t>Préstamos a otros sectores/contrapartes (3)</w:t>
            </w:r>
          </w:p>
          <w:p w14:paraId="1269B857" w14:textId="77777777" w:rsidR="00414040" w:rsidRDefault="00414040">
            <w:pPr>
              <w:rPr>
                <w:rFonts w:ascii="Times New Roman" w:hAnsi="Times New Roman" w:cs="Times New Roman"/>
                <w:sz w:val="20"/>
                <w:szCs w:val="20"/>
              </w:rPr>
            </w:pPr>
          </w:p>
          <w:p w14:paraId="7CD1A6B0" w14:textId="77777777" w:rsidR="00414040" w:rsidRDefault="00904E1A">
            <w:pPr>
              <w:pStyle w:val="P68B1DB1-Normal19"/>
            </w:pPr>
            <w:r>
              <w:t xml:space="preserve">Pago, caja, compensación, liquidación y custodia </w:t>
            </w:r>
          </w:p>
          <w:p w14:paraId="11F499EA" w14:textId="77777777" w:rsidR="00414040" w:rsidRDefault="00904E1A">
            <w:pPr>
              <w:pStyle w:val="P68B1DB1-Normal19"/>
              <w:ind w:left="708"/>
            </w:pPr>
            <w:r>
              <w:t>Servicios de pago a IFM</w:t>
            </w:r>
          </w:p>
          <w:p w14:paraId="6FC14FBE" w14:textId="63AF60F4" w:rsidR="00414040" w:rsidRDefault="00904E1A">
            <w:pPr>
              <w:pStyle w:val="P68B1DB1-Normal19"/>
              <w:ind w:left="708"/>
            </w:pPr>
            <w:bookmarkStart w:id="138" w:name="_Hlk192600698"/>
            <w:r>
              <w:t>Servicios de pago a «no IFM»</w:t>
            </w:r>
            <w:r w:rsidR="004029D8">
              <w:t xml:space="preserve"> </w:t>
            </w:r>
          </w:p>
          <w:p w14:paraId="704B9B25" w14:textId="5A2754AB" w:rsidR="00414040" w:rsidRPr="00D44C08" w:rsidRDefault="00904E1A">
            <w:pPr>
              <w:pStyle w:val="P68B1DB1-Normal19"/>
              <w:ind w:left="1405"/>
            </w:pPr>
            <w:r>
              <w:t xml:space="preserve">Servicios </w:t>
            </w:r>
            <w:r w:rsidRPr="00D44C08">
              <w:t>de pago a «no IFM» para hogares</w:t>
            </w:r>
          </w:p>
          <w:p w14:paraId="1F8BC691" w14:textId="2ED81794" w:rsidR="00414040" w:rsidRPr="00D44C08" w:rsidRDefault="00904E1A">
            <w:pPr>
              <w:pStyle w:val="P68B1DB1-Normal19"/>
              <w:ind w:left="1405"/>
            </w:pPr>
            <w:r w:rsidRPr="00D44C08">
              <w:t xml:space="preserve">Servicios de pago a </w:t>
            </w:r>
            <w:r w:rsidR="007968CA" w:rsidRPr="00210421">
              <w:t>«no IFM»</w:t>
            </w:r>
            <w:r w:rsidRPr="00D44C08">
              <w:t xml:space="preserve"> para sociedades no financieras</w:t>
            </w:r>
          </w:p>
          <w:p w14:paraId="39782E47" w14:textId="7F5BC826" w:rsidR="00414040" w:rsidRPr="00D44C08" w:rsidRDefault="5B1A3546">
            <w:pPr>
              <w:pStyle w:val="P68B1DB1-Normal19"/>
              <w:ind w:left="1972"/>
            </w:pPr>
            <w:r w:rsidRPr="00D44C08">
              <w:t xml:space="preserve">Servicios de pago a </w:t>
            </w:r>
            <w:r w:rsidR="00DD6B82" w:rsidRPr="00210421">
              <w:t>«no IFM»</w:t>
            </w:r>
            <w:r w:rsidRPr="00D44C08">
              <w:t xml:space="preserve"> para sociedades no financieras</w:t>
            </w:r>
            <w:r w:rsidR="4171A645" w:rsidRPr="00D44C08">
              <w:t xml:space="preserve"> </w:t>
            </w:r>
            <w:r w:rsidR="004029D8" w:rsidRPr="00D44C08">
              <w:t>pymes</w:t>
            </w:r>
          </w:p>
          <w:p w14:paraId="416F0C20" w14:textId="2FF91C1D" w:rsidR="00414040" w:rsidRDefault="00904E1A">
            <w:pPr>
              <w:pStyle w:val="P68B1DB1-Normal19"/>
              <w:ind w:left="1972"/>
            </w:pPr>
            <w:r w:rsidRPr="00D44C08">
              <w:t xml:space="preserve">Servicios de pago a </w:t>
            </w:r>
            <w:r w:rsidR="008C6EAF" w:rsidRPr="00210421">
              <w:t>«no IFM»</w:t>
            </w:r>
            <w:r>
              <w:t xml:space="preserve"> para sociedades no financieras no pymes</w:t>
            </w:r>
            <w:bookmarkEnd w:id="138"/>
          </w:p>
          <w:p w14:paraId="661D0C87" w14:textId="77777777" w:rsidR="00414040" w:rsidRDefault="00904E1A">
            <w:pPr>
              <w:pStyle w:val="P68B1DB1-Normal19"/>
              <w:ind w:left="708"/>
            </w:pPr>
            <w:r>
              <w:t>Servicios de caja</w:t>
            </w:r>
          </w:p>
          <w:p w14:paraId="03769573" w14:textId="77777777" w:rsidR="00414040" w:rsidRDefault="00904E1A">
            <w:pPr>
              <w:pStyle w:val="P68B1DB1-Normal19"/>
              <w:ind w:left="708"/>
            </w:pPr>
            <w:r>
              <w:t>Servicios de liquidación de valores</w:t>
            </w:r>
          </w:p>
          <w:p w14:paraId="775020A9" w14:textId="77777777" w:rsidR="00414040" w:rsidRDefault="00904E1A">
            <w:pPr>
              <w:pStyle w:val="P68B1DB1-Normal19"/>
              <w:ind w:left="708"/>
            </w:pPr>
            <w:r>
              <w:t>Servicios de compensación a través de ECC</w:t>
            </w:r>
          </w:p>
          <w:p w14:paraId="5801E2F6" w14:textId="77777777" w:rsidR="00414040" w:rsidRDefault="00904E1A">
            <w:pPr>
              <w:pStyle w:val="P68B1DB1-Normal19"/>
              <w:ind w:left="708"/>
            </w:pPr>
            <w:r>
              <w:t>Servicios de custodia</w:t>
            </w:r>
          </w:p>
          <w:p w14:paraId="5B6CE30A" w14:textId="77777777" w:rsidR="00414040" w:rsidRDefault="00904E1A">
            <w:pPr>
              <w:pStyle w:val="P68B1DB1-Normal19"/>
              <w:ind w:left="708"/>
            </w:pPr>
            <w:r>
              <w:t>Otros servicios/actividades/funciones (1) sobre pagos, efectivo, liquidación, compensación y custodia</w:t>
            </w:r>
          </w:p>
          <w:p w14:paraId="7B4ED125" w14:textId="77777777" w:rsidR="00414040" w:rsidRDefault="00904E1A">
            <w:pPr>
              <w:pStyle w:val="P68B1DB1-Normal19"/>
              <w:ind w:left="708"/>
            </w:pPr>
            <w:r>
              <w:t>Otros servicios/actividades/funciones (2) sobre pagos, efectivo, liquidación, compensación y custodia</w:t>
            </w:r>
          </w:p>
          <w:p w14:paraId="19BA6278" w14:textId="77777777" w:rsidR="00414040" w:rsidRDefault="00904E1A">
            <w:pPr>
              <w:pStyle w:val="P68B1DB1-Normal19"/>
              <w:ind w:left="708"/>
            </w:pPr>
            <w:r>
              <w:t>Otros servicios/actividades/funciones (3) sobre pagos, efectivo, liquidación, compensación y custodia</w:t>
            </w:r>
          </w:p>
          <w:p w14:paraId="1E6049F9" w14:textId="77777777" w:rsidR="00414040" w:rsidRDefault="00414040">
            <w:pPr>
              <w:rPr>
                <w:rFonts w:ascii="Times New Roman" w:hAnsi="Times New Roman" w:cs="Times New Roman"/>
                <w:sz w:val="20"/>
                <w:szCs w:val="20"/>
              </w:rPr>
            </w:pPr>
          </w:p>
          <w:p w14:paraId="6F0287A8" w14:textId="4A3CDF30" w:rsidR="00414040" w:rsidRDefault="00904E1A">
            <w:pPr>
              <w:pStyle w:val="P68B1DB1-Normal19"/>
            </w:pPr>
            <w:r>
              <w:t xml:space="preserve">Mercados de </w:t>
            </w:r>
            <w:r w:rsidR="004029D8">
              <w:t>c</w:t>
            </w:r>
            <w:r>
              <w:t>apitales</w:t>
            </w:r>
          </w:p>
          <w:p w14:paraId="4F1B2CB2" w14:textId="1C4B0BCE" w:rsidR="00414040" w:rsidRDefault="00904E1A">
            <w:pPr>
              <w:pStyle w:val="P68B1DB1-Normal19"/>
              <w:ind w:left="708"/>
            </w:pPr>
            <w:r>
              <w:t>Derivados mantenidos para negociar</w:t>
            </w:r>
          </w:p>
          <w:p w14:paraId="608E7B75" w14:textId="77777777" w:rsidR="00414040" w:rsidRDefault="60688621">
            <w:pPr>
              <w:pStyle w:val="P68B1DB1-Normal19"/>
              <w:ind w:left="1416"/>
            </w:pPr>
            <w:r>
              <w:t>Derivados mantenidos para negociar (OTC)</w:t>
            </w:r>
          </w:p>
          <w:p w14:paraId="55232CB1" w14:textId="77777777" w:rsidR="00414040" w:rsidRDefault="00904E1A">
            <w:pPr>
              <w:pStyle w:val="P68B1DB1-Normal19"/>
              <w:ind w:left="1416"/>
            </w:pPr>
            <w:r>
              <w:t>Derivados mantenidos para negociar (no OTC)</w:t>
            </w:r>
          </w:p>
          <w:p w14:paraId="41765F70" w14:textId="77777777" w:rsidR="00414040" w:rsidRDefault="00904E1A">
            <w:pPr>
              <w:pStyle w:val="P68B1DB1-Normal19"/>
              <w:ind w:left="708"/>
            </w:pPr>
            <w:r>
              <w:t>Mercados secundarios/negociación</w:t>
            </w:r>
          </w:p>
          <w:p w14:paraId="75381D0F" w14:textId="77777777" w:rsidR="00414040" w:rsidRDefault="00904E1A">
            <w:pPr>
              <w:pStyle w:val="P68B1DB1-Normal19"/>
              <w:ind w:left="708"/>
            </w:pPr>
            <w:r>
              <w:t>Mercados primarios/aseguramiento</w:t>
            </w:r>
          </w:p>
          <w:p w14:paraId="04BFAC55" w14:textId="327AA44C" w:rsidR="00414040" w:rsidRDefault="00904E1A">
            <w:pPr>
              <w:pStyle w:val="P68B1DB1-Normal19"/>
              <w:ind w:left="708"/>
            </w:pPr>
            <w:r>
              <w:t>Otr</w:t>
            </w:r>
            <w:r w:rsidR="004F5CBC">
              <w:t>o</w:t>
            </w:r>
            <w:r>
              <w:t xml:space="preserve">s </w:t>
            </w:r>
            <w:r w:rsidR="004F5CBC">
              <w:t>servicios</w:t>
            </w:r>
            <w:r>
              <w:t>/actividades/</w:t>
            </w:r>
            <w:r w:rsidR="004F5CBC">
              <w:t xml:space="preserve">funciones </w:t>
            </w:r>
            <w:r>
              <w:t>(1) en mercados de capital</w:t>
            </w:r>
            <w:r w:rsidR="004F5CBC">
              <w:t>es</w:t>
            </w:r>
          </w:p>
          <w:p w14:paraId="4842F14D" w14:textId="77777777" w:rsidR="00414040" w:rsidRDefault="00904E1A">
            <w:pPr>
              <w:pStyle w:val="P68B1DB1-Normal19"/>
              <w:ind w:left="708"/>
            </w:pPr>
            <w:r>
              <w:t>Otros servicios/actividades/funciones (2) en mercados de capitales</w:t>
            </w:r>
          </w:p>
          <w:p w14:paraId="4B2FE832" w14:textId="77777777" w:rsidR="00414040" w:rsidRDefault="00904E1A">
            <w:pPr>
              <w:pStyle w:val="P68B1DB1-Normal19"/>
              <w:ind w:left="708"/>
            </w:pPr>
            <w:r>
              <w:t>Otros servicios/actividades/funciones (3) en mercados de capitales</w:t>
            </w:r>
          </w:p>
          <w:p w14:paraId="07EB9C1C" w14:textId="77777777" w:rsidR="00414040" w:rsidRDefault="00414040">
            <w:pPr>
              <w:ind w:left="708"/>
              <w:rPr>
                <w:rFonts w:ascii="Times New Roman" w:hAnsi="Times New Roman" w:cs="Times New Roman"/>
                <w:sz w:val="20"/>
                <w:szCs w:val="20"/>
              </w:rPr>
            </w:pPr>
          </w:p>
          <w:p w14:paraId="74D09EC2" w14:textId="77777777" w:rsidR="00414040" w:rsidRDefault="00904E1A">
            <w:pPr>
              <w:pStyle w:val="P68B1DB1-Normal19"/>
            </w:pPr>
            <w:r>
              <w:t>Financiación mayorista</w:t>
            </w:r>
          </w:p>
          <w:p w14:paraId="02676859" w14:textId="25FDC47D" w:rsidR="00414040" w:rsidRDefault="004F5CBC">
            <w:pPr>
              <w:pStyle w:val="P68B1DB1-ListParagraph60"/>
            </w:pPr>
            <w:r>
              <w:t xml:space="preserve">Toma de </w:t>
            </w:r>
            <w:r w:rsidR="0090074D">
              <w:t>financiación</w:t>
            </w:r>
          </w:p>
          <w:p w14:paraId="541AD926" w14:textId="77777777" w:rsidR="00414040" w:rsidRDefault="00904E1A">
            <w:pPr>
              <w:pStyle w:val="P68B1DB1-ListParagraph60"/>
            </w:pPr>
            <w:r>
              <w:t>Derivados (activos)</w:t>
            </w:r>
          </w:p>
          <w:p w14:paraId="25097734" w14:textId="0BF75816" w:rsidR="00414040" w:rsidRDefault="48B39833" w:rsidP="3E4E0AEA">
            <w:pPr>
              <w:pStyle w:val="P68B1DB1-ListParagraph60"/>
              <w:rPr>
                <w:lang w:val="es-ES"/>
              </w:rPr>
            </w:pPr>
            <w:r>
              <w:t xml:space="preserve">Concesión de </w:t>
            </w:r>
            <w:r w:rsidR="0090074D">
              <w:t>financiación</w:t>
            </w:r>
          </w:p>
          <w:p w14:paraId="772EBBB0" w14:textId="77777777" w:rsidR="00414040" w:rsidRDefault="00904E1A">
            <w:pPr>
              <w:pStyle w:val="P68B1DB1-ListParagraph60"/>
            </w:pPr>
            <w:r>
              <w:t>Derivados (pasivos)</w:t>
            </w:r>
          </w:p>
          <w:p w14:paraId="56E338CF" w14:textId="77777777" w:rsidR="00414040" w:rsidRDefault="00904E1A">
            <w:pPr>
              <w:pStyle w:val="P68B1DB1-ListParagraph60"/>
            </w:pPr>
            <w:r>
              <w:t>Otros tipos de producto (1) en los mercados mayoristas</w:t>
            </w:r>
          </w:p>
          <w:p w14:paraId="6607505D" w14:textId="77777777" w:rsidR="00414040" w:rsidRDefault="00904E1A">
            <w:pPr>
              <w:pStyle w:val="P68B1DB1-ListParagraph60"/>
            </w:pPr>
            <w:r>
              <w:t>Otros tipos de producto (2) en los mercados mayoristas</w:t>
            </w:r>
          </w:p>
          <w:p w14:paraId="41A2E098" w14:textId="77777777" w:rsidR="00414040" w:rsidRDefault="00904E1A">
            <w:pPr>
              <w:pStyle w:val="P68B1DB1-ListParagraph60"/>
            </w:pPr>
            <w:r>
              <w:t>Otros tipos de producto (3) en los mercados mayoristas</w:t>
            </w:r>
          </w:p>
          <w:p w14:paraId="7FE1C8DF" w14:textId="2134965F" w:rsidR="00414040" w:rsidRDefault="00414040">
            <w:pPr>
              <w:pStyle w:val="TableParagraph"/>
              <w:spacing w:before="108"/>
              <w:ind w:left="85"/>
              <w:jc w:val="both"/>
              <w:rPr>
                <w:rFonts w:ascii="Times New Roman" w:eastAsia="Times New Roman" w:hAnsi="Times New Roman" w:cs="Times New Roman"/>
                <w:b/>
                <w:bCs/>
                <w:i/>
                <w:iCs/>
                <w:sz w:val="20"/>
                <w:szCs w:val="20"/>
              </w:rPr>
            </w:pPr>
          </w:p>
        </w:tc>
      </w:tr>
      <w:tr w:rsidR="00414040" w14:paraId="7FE1C8E3" w14:textId="77777777" w:rsidTr="3E4E0AEA">
        <w:tc>
          <w:tcPr>
            <w:tcW w:w="1183" w:type="dxa"/>
            <w:tcBorders>
              <w:top w:val="single" w:sz="8" w:space="0" w:color="auto"/>
              <w:bottom w:val="single" w:sz="8" w:space="0" w:color="auto"/>
              <w:right w:val="single" w:sz="8" w:space="0" w:color="auto"/>
            </w:tcBorders>
            <w:vAlign w:val="center"/>
          </w:tcPr>
          <w:p w14:paraId="7FE1C8E1" w14:textId="77777777" w:rsidR="00414040" w:rsidRDefault="00904E1A">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2AFAF7C5" w:rsidR="00414040" w:rsidRDefault="5B1A3546">
            <w:pPr>
              <w:pStyle w:val="P68B1DB1-Heading481"/>
              <w:numPr>
                <w:ilvl w:val="0"/>
                <w:numId w:val="0"/>
              </w:numPr>
              <w:ind w:left="360"/>
            </w:pPr>
            <w:r>
              <w:t xml:space="preserve">IMF </w:t>
            </w:r>
            <w:r w:rsidR="7C581194">
              <w:t>principales</w:t>
            </w:r>
          </w:p>
        </w:tc>
      </w:tr>
      <w:tr w:rsidR="00414040" w14:paraId="7FE1C8E9" w14:textId="77777777" w:rsidTr="3E4E0AEA">
        <w:tc>
          <w:tcPr>
            <w:tcW w:w="1183" w:type="dxa"/>
            <w:tcBorders>
              <w:top w:val="single" w:sz="8" w:space="0" w:color="auto"/>
              <w:bottom w:val="single" w:sz="8" w:space="0" w:color="auto"/>
              <w:right w:val="single" w:sz="8" w:space="0" w:color="auto"/>
            </w:tcBorders>
            <w:vAlign w:val="center"/>
          </w:tcPr>
          <w:p w14:paraId="7FE1C8E4" w14:textId="77777777" w:rsidR="00414040" w:rsidRDefault="00904E1A">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113619A9" w:rsidR="00414040" w:rsidRDefault="5B1A3546">
            <w:pPr>
              <w:pStyle w:val="P68B1DB1-TableParagraph73"/>
              <w:spacing w:before="108"/>
              <w:ind w:left="85"/>
              <w:jc w:val="both"/>
            </w:pPr>
            <w:r>
              <w:t xml:space="preserve">IMF </w:t>
            </w:r>
            <w:r w:rsidR="6B28F483">
              <w:t>principales</w:t>
            </w:r>
            <w:r>
              <w:t>: S/N</w:t>
            </w:r>
          </w:p>
          <w:p w14:paraId="7FE1C8E6" w14:textId="638311D4" w:rsidR="00414040" w:rsidRDefault="5B1A3546">
            <w:pPr>
              <w:pStyle w:val="P68B1DB1-TableParagraph40"/>
              <w:numPr>
                <w:ilvl w:val="0"/>
                <w:numId w:val="248"/>
              </w:numPr>
              <w:spacing w:before="108"/>
              <w:jc w:val="both"/>
            </w:pPr>
            <w:r>
              <w:t xml:space="preserve">«Sí» si la IMF es </w:t>
            </w:r>
            <w:r w:rsidR="3EF99FCF">
              <w:t>principal</w:t>
            </w:r>
          </w:p>
          <w:p w14:paraId="7FE1C8E7" w14:textId="364FDD04" w:rsidR="00414040" w:rsidRDefault="5B1A3546">
            <w:pPr>
              <w:pStyle w:val="P68B1DB1-TableParagraph40"/>
              <w:numPr>
                <w:ilvl w:val="0"/>
                <w:numId w:val="248"/>
              </w:numPr>
              <w:spacing w:before="108"/>
              <w:jc w:val="both"/>
            </w:pPr>
            <w:r>
              <w:t xml:space="preserve">«No» si la IMF no es </w:t>
            </w:r>
            <w:r w:rsidR="124470E1">
              <w:t>principal</w:t>
            </w:r>
          </w:p>
          <w:p w14:paraId="7FE1C8E8" w14:textId="30DEA49E" w:rsidR="00414040" w:rsidRDefault="00904E1A">
            <w:pPr>
              <w:pStyle w:val="P68B1DB1-Heading482"/>
              <w:numPr>
                <w:ilvl w:val="3"/>
                <w:numId w:val="0"/>
              </w:numPr>
              <w:ind w:left="360"/>
            </w:pPr>
            <w:r>
              <w:t xml:space="preserve">Las columnas 0020 y 0050 no </w:t>
            </w:r>
            <w:r w:rsidR="004F5CBC">
              <w:t>son</w:t>
            </w:r>
            <w:r>
              <w:t xml:space="preserve"> mutuamente</w:t>
            </w:r>
            <w:r w:rsidR="004F5CBC">
              <w:t xml:space="preserve"> excluyentes</w:t>
            </w:r>
            <w:r>
              <w:t>.</w:t>
            </w:r>
          </w:p>
        </w:tc>
      </w:tr>
      <w:tr w:rsidR="00414040" w14:paraId="7FE1C8EE" w14:textId="77777777" w:rsidTr="3E4E0AEA">
        <w:tc>
          <w:tcPr>
            <w:tcW w:w="1183" w:type="dxa"/>
            <w:tcBorders>
              <w:top w:val="single" w:sz="8" w:space="0" w:color="auto"/>
              <w:bottom w:val="single" w:sz="8" w:space="0" w:color="auto"/>
              <w:right w:val="single" w:sz="8" w:space="0" w:color="auto"/>
            </w:tcBorders>
            <w:vAlign w:val="center"/>
          </w:tcPr>
          <w:p w14:paraId="7FE1C8EA" w14:textId="77777777" w:rsidR="00414040" w:rsidRDefault="00904E1A">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685E03C8" w:rsidR="00414040" w:rsidRDefault="00904E1A">
            <w:pPr>
              <w:pStyle w:val="P68B1DB1-TableParagraph73"/>
              <w:spacing w:before="108"/>
              <w:ind w:left="85"/>
              <w:jc w:val="both"/>
            </w:pPr>
            <w:r>
              <w:t>I</w:t>
            </w:r>
            <w:r w:rsidR="00EF2238">
              <w:t>dentificador</w:t>
            </w:r>
            <w:r>
              <w:t xml:space="preserve"> de la rama de actividad principal</w:t>
            </w:r>
          </w:p>
          <w:p w14:paraId="7FE1C8EC" w14:textId="713F80FD" w:rsidR="00414040" w:rsidRDefault="00904E1A">
            <w:pPr>
              <w:pStyle w:val="P68B1DB1-TableParagraph40"/>
              <w:spacing w:before="108"/>
              <w:ind w:left="85"/>
              <w:jc w:val="both"/>
              <w:rPr>
                <w:u w:val="single"/>
              </w:rPr>
            </w:pPr>
            <w:r>
              <w:t xml:space="preserve">Ramas de actividad principales realizadas por el usuario, cuyo </w:t>
            </w:r>
            <w:r w:rsidR="005B6ACD">
              <w:t>desar</w:t>
            </w:r>
            <w:r w:rsidR="009E3185">
              <w:t>r</w:t>
            </w:r>
            <w:r w:rsidR="005B6ACD">
              <w:t>ollo</w:t>
            </w:r>
            <w:r>
              <w:t xml:space="preserve"> se vería obstaculizado o impedido por la interrupción del acceso al proveedor de servicios de IMF.</w:t>
            </w:r>
          </w:p>
          <w:p w14:paraId="7FE1C8ED" w14:textId="07BDBAC0" w:rsidR="00414040" w:rsidRDefault="00904E1A">
            <w:pPr>
              <w:pStyle w:val="P68B1DB1-TableParagraph40"/>
              <w:spacing w:before="108"/>
              <w:ind w:left="85"/>
              <w:jc w:val="both"/>
              <w:rPr>
                <w:b/>
                <w:lang w:val="es-ES"/>
              </w:rPr>
            </w:pPr>
            <w:r w:rsidRPr="2133F407">
              <w:rPr>
                <w:lang w:val="es-ES"/>
              </w:rPr>
              <w:t>I</w:t>
            </w:r>
            <w:r w:rsidR="00EF2238">
              <w:rPr>
                <w:lang w:val="es-ES"/>
              </w:rPr>
              <w:t>dentificador</w:t>
            </w:r>
            <w:r w:rsidRPr="2133F407">
              <w:rPr>
                <w:lang w:val="es-ES"/>
              </w:rPr>
              <w:t xml:space="preserve"> de la </w:t>
            </w:r>
            <w:r w:rsidR="00744D9A">
              <w:rPr>
                <w:lang w:val="es-ES"/>
              </w:rPr>
              <w:t>rama de actividad</w:t>
            </w:r>
            <w:r w:rsidRPr="2133F407">
              <w:rPr>
                <w:lang w:val="es-ES"/>
              </w:rPr>
              <w:t xml:space="preserve"> principal, tal como se indica en la columna </w:t>
            </w:r>
            <w:r w:rsidR="00857A87">
              <w:rPr>
                <w:lang w:val="es-ES"/>
              </w:rPr>
              <w:t>0010</w:t>
            </w:r>
            <w:r w:rsidRPr="2133F407">
              <w:rPr>
                <w:lang w:val="es-ES"/>
              </w:rPr>
              <w:t xml:space="preserve"> de la Z </w:t>
            </w:r>
            <w:r w:rsidR="00857A87">
              <w:rPr>
                <w:lang w:val="es-ES"/>
              </w:rPr>
              <w:t>07.03</w:t>
            </w:r>
            <w:r w:rsidRPr="2133F407">
              <w:rPr>
                <w:lang w:val="es-ES"/>
              </w:rPr>
              <w:t>.</w:t>
            </w:r>
          </w:p>
        </w:tc>
      </w:tr>
    </w:tbl>
    <w:p w14:paraId="7FE1C8EF" w14:textId="77777777" w:rsidR="00414040" w:rsidRDefault="00414040">
      <w:pPr>
        <w:pStyle w:val="Instructionsberschrift2"/>
        <w:ind w:left="357"/>
        <w:rPr>
          <w:rFonts w:ascii="Times New Roman" w:eastAsia="Calibri" w:hAnsi="Times New Roman" w:cs="Times New Roman"/>
          <w:szCs w:val="20"/>
        </w:rPr>
      </w:pPr>
    </w:p>
    <w:p w14:paraId="7FE1C8F0" w14:textId="14B21FAF" w:rsidR="00414040" w:rsidRDefault="00904E1A">
      <w:pPr>
        <w:pStyle w:val="P68B1DB1-Instructionsberschrift271"/>
        <w:numPr>
          <w:ilvl w:val="1"/>
          <w:numId w:val="49"/>
        </w:numPr>
        <w:ind w:left="357" w:hanging="357"/>
      </w:pPr>
      <w:bookmarkStart w:id="139" w:name="_Toc211525942"/>
      <w:bookmarkStart w:id="140" w:name="_Hlk211523878"/>
      <w:r w:rsidRPr="2924E38F">
        <w:rPr>
          <w:lang w:val="es-ES"/>
        </w:rPr>
        <w:t>Z 09.03 — Servicios de IMF — Mét</w:t>
      </w:r>
      <w:r w:rsidR="00303A5D" w:rsidRPr="2924E38F">
        <w:rPr>
          <w:lang w:val="es-ES"/>
        </w:rPr>
        <w:t>ricas</w:t>
      </w:r>
      <w:r w:rsidRPr="2924E38F">
        <w:rPr>
          <w:lang w:val="es-ES"/>
        </w:rPr>
        <w:t xml:space="preserve"> clave (FMI 3)</w:t>
      </w:r>
      <w:bookmarkEnd w:id="139"/>
    </w:p>
    <w:bookmarkEnd w:id="140"/>
    <w:p w14:paraId="7FE1C8F1" w14:textId="77777777" w:rsidR="00414040" w:rsidRDefault="00904E1A">
      <w:pPr>
        <w:pStyle w:val="P68B1DB1-Numberedtitlelevel383"/>
      </w:pPr>
      <w:r>
        <w:t>Instrucciones relativas a posiciones concretas</w:t>
      </w:r>
    </w:p>
    <w:p w14:paraId="7FE1C8F2" w14:textId="39A919A2" w:rsidR="00414040" w:rsidRDefault="00904E1A" w:rsidP="466B0B01">
      <w:pPr>
        <w:pStyle w:val="InstructionsText2"/>
        <w:spacing w:before="0"/>
        <w:ind w:left="1418"/>
        <w:rPr>
          <w:rFonts w:ascii="Times New Roman" w:eastAsiaTheme="majorEastAsia" w:hAnsi="Times New Roman" w:cs="Times New Roman"/>
          <w:sz w:val="20"/>
          <w:szCs w:val="20"/>
          <w:lang w:val="es-ES"/>
        </w:rPr>
      </w:pPr>
      <w:r w:rsidRPr="466B0B01">
        <w:rPr>
          <w:rFonts w:ascii="Times New Roman" w:eastAsiaTheme="majorEastAsia" w:hAnsi="Times New Roman" w:cs="Times New Roman"/>
          <w:sz w:val="20"/>
          <w:szCs w:val="20"/>
          <w:lang w:val="es-ES"/>
        </w:rPr>
        <w:t xml:space="preserve">Solo se comunicarán los sistemas de pago, los depositarios centrales de valores (internacionales), los servicios de liquidación para operaciones de </w:t>
      </w:r>
      <w:proofErr w:type="gramStart"/>
      <w:r w:rsidRPr="466B0B01">
        <w:rPr>
          <w:rFonts w:ascii="Times New Roman" w:eastAsiaTheme="majorEastAsia" w:hAnsi="Times New Roman" w:cs="Times New Roman"/>
          <w:sz w:val="20"/>
          <w:szCs w:val="20"/>
          <w:lang w:val="es-ES"/>
        </w:rPr>
        <w:t xml:space="preserve">valores, </w:t>
      </w:r>
      <w:r w:rsidR="00E253BD" w:rsidRPr="466B0B01">
        <w:rPr>
          <w:rFonts w:eastAsiaTheme="majorEastAsia" w:cstheme="minorBidi"/>
          <w:sz w:val="20"/>
          <w:szCs w:val="20"/>
        </w:rPr>
        <w:t xml:space="preserve"> entidades</w:t>
      </w:r>
      <w:proofErr w:type="gramEnd"/>
      <w:r w:rsidR="00E253BD" w:rsidRPr="466B0B01">
        <w:rPr>
          <w:rFonts w:eastAsiaTheme="majorEastAsia" w:cstheme="minorBidi"/>
          <w:sz w:val="20"/>
          <w:szCs w:val="20"/>
        </w:rPr>
        <w:t xml:space="preserve"> de contrapartida central</w:t>
      </w:r>
      <w:r w:rsidR="058AB943" w:rsidRPr="00210421">
        <w:rPr>
          <w:rFonts w:eastAsiaTheme="majorEastAsia" w:cstheme="minorBidi"/>
          <w:sz w:val="20"/>
          <w:szCs w:val="20"/>
        </w:rPr>
        <w:t xml:space="preserve"> de derivados y </w:t>
      </w:r>
      <w:r w:rsidR="00E253BD" w:rsidRPr="466B0B01">
        <w:rPr>
          <w:rFonts w:eastAsiaTheme="majorEastAsia" w:cstheme="minorBidi"/>
          <w:sz w:val="20"/>
          <w:szCs w:val="20"/>
        </w:rPr>
        <w:t xml:space="preserve">entidades </w:t>
      </w:r>
      <w:r w:rsidR="007F01BF">
        <w:rPr>
          <w:rFonts w:eastAsiaTheme="majorEastAsia" w:cstheme="minorBidi"/>
          <w:sz w:val="20"/>
          <w:szCs w:val="20"/>
        </w:rPr>
        <w:t>d</w:t>
      </w:r>
      <w:r w:rsidR="00E253BD" w:rsidRPr="466B0B01">
        <w:rPr>
          <w:rFonts w:eastAsiaTheme="majorEastAsia" w:cstheme="minorBidi"/>
          <w:sz w:val="20"/>
          <w:szCs w:val="20"/>
        </w:rPr>
        <w:t xml:space="preserve">e contrapartida central </w:t>
      </w:r>
      <w:r w:rsidR="058AB943" w:rsidRPr="00210421">
        <w:rPr>
          <w:rFonts w:eastAsiaTheme="majorEastAsia" w:cstheme="minorBidi"/>
          <w:sz w:val="20"/>
          <w:szCs w:val="20"/>
        </w:rPr>
        <w:t>de valore</w:t>
      </w:r>
      <w:r w:rsidR="058AB943" w:rsidRPr="466B0B01">
        <w:rPr>
          <w:lang w:val="es-ES"/>
        </w:rPr>
        <w:t>s</w:t>
      </w:r>
      <w:r w:rsidRPr="466B0B01">
        <w:rPr>
          <w:rFonts w:ascii="Times New Roman" w:eastAsiaTheme="majorEastAsia" w:hAnsi="Times New Roman" w:cs="Times New Roman"/>
          <w:sz w:val="20"/>
          <w:szCs w:val="20"/>
          <w:lang w:val="es-ES"/>
        </w:rPr>
        <w:t>, a menos que se indique lo contrario</w:t>
      </w:r>
      <w:r w:rsidR="00197DB9">
        <w:rPr>
          <w:rStyle w:val="FootnoteReference"/>
          <w:rFonts w:eastAsiaTheme="majorEastAsia" w:cs="Times New Roman"/>
          <w:lang w:val="es-ES"/>
        </w:rPr>
        <w:footnoteReference w:id="33"/>
      </w:r>
      <w:r w:rsidR="00197DB9" w:rsidRPr="466B0B01">
        <w:rPr>
          <w:rFonts w:ascii="Times New Roman" w:eastAsiaTheme="majorEastAsia" w:hAnsi="Times New Roman" w:cs="Times New Roman"/>
          <w:sz w:val="20"/>
          <w:szCs w:val="20"/>
          <w:lang w:val="es-ES"/>
        </w:rPr>
        <w:t>.</w:t>
      </w:r>
    </w:p>
    <w:tbl>
      <w:tblPr>
        <w:tblW w:w="9015" w:type="dxa"/>
        <w:tblInd w:w="135" w:type="dxa"/>
        <w:tblLayout w:type="fixed"/>
        <w:tblLook w:val="04A0" w:firstRow="1" w:lastRow="0" w:firstColumn="1" w:lastColumn="0" w:noHBand="0" w:noVBand="1"/>
      </w:tblPr>
      <w:tblGrid>
        <w:gridCol w:w="1183"/>
        <w:gridCol w:w="7832"/>
      </w:tblGrid>
      <w:tr w:rsidR="00414040" w14:paraId="7FE1C8F5" w14:textId="77777777" w:rsidTr="11A44BD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414040" w:rsidRDefault="00904E1A">
            <w:pPr>
              <w:pStyle w:val="P68B1DB1-TableParagraph17"/>
              <w:spacing w:before="108"/>
              <w:ind w:left="85"/>
            </w:pPr>
            <w:r>
              <w:t xml:space="preserve">Columnas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414040" w:rsidRDefault="00904E1A">
            <w:pPr>
              <w:pStyle w:val="P68B1DB1-TableParagraph17"/>
              <w:spacing w:before="108"/>
              <w:ind w:left="85"/>
            </w:pPr>
            <w:r>
              <w:t xml:space="preserve">Instrucciones </w:t>
            </w:r>
          </w:p>
        </w:tc>
      </w:tr>
      <w:tr w:rsidR="00414040" w14:paraId="7FE1C8F9" w14:textId="77777777" w:rsidTr="11A44BD7">
        <w:tc>
          <w:tcPr>
            <w:tcW w:w="1183" w:type="dxa"/>
            <w:tcBorders>
              <w:top w:val="single" w:sz="8" w:space="0" w:color="1A171C"/>
              <w:bottom w:val="single" w:sz="8" w:space="0" w:color="auto"/>
              <w:right w:val="single" w:sz="8" w:space="0" w:color="auto"/>
            </w:tcBorders>
            <w:vAlign w:val="center"/>
          </w:tcPr>
          <w:p w14:paraId="7FE1C8F6" w14:textId="77777777" w:rsidR="00414040" w:rsidRDefault="00904E1A">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27492B21" w:rsidR="00414040" w:rsidRDefault="00904E1A">
            <w:pPr>
              <w:pStyle w:val="P68B1DB1-TableParagraph73"/>
              <w:spacing w:before="108"/>
              <w:jc w:val="both"/>
            </w:pPr>
            <w:r>
              <w:t>I</w:t>
            </w:r>
            <w:r w:rsidR="00EF2238">
              <w:t>dentificador</w:t>
            </w:r>
            <w:r>
              <w:t xml:space="preserve"> que representa la combinación de usuario, IMF, tipo de sistema e intermediario</w:t>
            </w:r>
          </w:p>
          <w:p w14:paraId="7FE1C8F8" w14:textId="3D084B35" w:rsidR="00414040" w:rsidRDefault="00904E1A">
            <w:pPr>
              <w:pStyle w:val="P68B1DB1-TableParagraph40"/>
              <w:spacing w:before="108"/>
              <w:jc w:val="both"/>
              <w:rPr>
                <w:b/>
                <w:bCs/>
                <w:i/>
                <w:iCs/>
              </w:rPr>
            </w:pPr>
            <w:r>
              <w:t xml:space="preserve">Utilícese un identificador único por fila, que corresponda a una combinación única de usuario, IMF, tipo de sistema e intermediario. Debe utilizarse el mismo </w:t>
            </w:r>
            <w:r w:rsidR="00EF2238">
              <w:t>identificador</w:t>
            </w:r>
            <w:r>
              <w:t>, correspondiente a la misma combinación, en las plantillas Z 09.01 a Z 09.05, cuando proceda.</w:t>
            </w:r>
          </w:p>
        </w:tc>
      </w:tr>
      <w:tr w:rsidR="00414040" w14:paraId="7FE1C8FD" w14:textId="77777777" w:rsidTr="11A44BD7">
        <w:tc>
          <w:tcPr>
            <w:tcW w:w="1183" w:type="dxa"/>
            <w:tcBorders>
              <w:top w:val="single" w:sz="8" w:space="0" w:color="auto"/>
              <w:bottom w:val="single" w:sz="8" w:space="0" w:color="auto"/>
              <w:right w:val="single" w:sz="8" w:space="0" w:color="auto"/>
            </w:tcBorders>
            <w:vAlign w:val="center"/>
          </w:tcPr>
          <w:p w14:paraId="7FE1C8FA" w14:textId="77777777" w:rsidR="00414040" w:rsidRDefault="00904E1A">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414040" w:rsidRDefault="00904E1A">
            <w:pPr>
              <w:pStyle w:val="P68B1DB1-TableParagraph73"/>
              <w:spacing w:before="108"/>
              <w:jc w:val="both"/>
            </w:pPr>
            <w:r>
              <w:t>Segmento</w:t>
            </w:r>
          </w:p>
          <w:p w14:paraId="7FE1C8FC" w14:textId="3B52F1F4" w:rsidR="00414040" w:rsidRDefault="5B1A3546" w:rsidP="6A079B7E">
            <w:pPr>
              <w:pStyle w:val="P68B1DB1-TableParagraph40"/>
              <w:spacing w:before="108"/>
              <w:ind w:left="85"/>
              <w:jc w:val="both"/>
              <w:rPr>
                <w:b/>
                <w:bCs/>
                <w:i/>
                <w:iCs/>
                <w:strike/>
                <w:lang w:val="es-ES"/>
              </w:rPr>
            </w:pPr>
            <w:r w:rsidRPr="6A079B7E">
              <w:rPr>
                <w:lang w:val="es-ES"/>
              </w:rPr>
              <w:t xml:space="preserve">Segmentos de mercado en los que opera el usuario. Una fila por segmento. Solo para las ECC. </w:t>
            </w:r>
          </w:p>
        </w:tc>
      </w:tr>
      <w:tr w:rsidR="00414040" w14:paraId="7FE1C902" w14:textId="77777777" w:rsidTr="11A44BD7">
        <w:tc>
          <w:tcPr>
            <w:tcW w:w="1183" w:type="dxa"/>
            <w:tcBorders>
              <w:top w:val="single" w:sz="8" w:space="0" w:color="auto"/>
              <w:bottom w:val="single" w:sz="8" w:space="0" w:color="auto"/>
              <w:right w:val="single" w:sz="8" w:space="0" w:color="auto"/>
            </w:tcBorders>
            <w:vAlign w:val="center"/>
          </w:tcPr>
          <w:p w14:paraId="7FE1C8FE" w14:textId="77777777" w:rsidR="00414040" w:rsidRDefault="00904E1A">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023A0F44" w:rsidR="00414040" w:rsidRDefault="60688621">
            <w:pPr>
              <w:pStyle w:val="P68B1DB1-TableParagraph73"/>
              <w:spacing w:before="108"/>
              <w:jc w:val="both"/>
            </w:pPr>
            <w:r>
              <w:t xml:space="preserve">Contribución al Fondo </w:t>
            </w:r>
            <w:r w:rsidR="45213F91">
              <w:t>de incumplimiento</w:t>
            </w:r>
          </w:p>
          <w:p w14:paraId="7FE1C900" w14:textId="08686379" w:rsidR="00414040" w:rsidRDefault="00904E1A">
            <w:pPr>
              <w:pStyle w:val="P68B1DB1-TableParagraph40"/>
              <w:spacing w:before="108"/>
              <w:jc w:val="both"/>
            </w:pPr>
            <w:r w:rsidRPr="11A44BD7">
              <w:rPr>
                <w:lang w:val="es-ES"/>
              </w:rPr>
              <w:t xml:space="preserve">Contribución al fondo </w:t>
            </w:r>
            <w:r w:rsidR="014CE1F3">
              <w:t>de incumplimiento</w:t>
            </w:r>
            <w:r w:rsidRPr="11A44BD7">
              <w:rPr>
                <w:lang w:val="es-ES"/>
              </w:rPr>
              <w:t xml:space="preserve">. Importe medio a lo largo del año. </w:t>
            </w:r>
          </w:p>
          <w:p w14:paraId="7FE1C901" w14:textId="77777777" w:rsidR="00414040" w:rsidRDefault="00904E1A">
            <w:pPr>
              <w:pStyle w:val="P68B1DB1-TableParagraph40"/>
              <w:spacing w:before="108"/>
              <w:ind w:left="85"/>
              <w:jc w:val="both"/>
              <w:rPr>
                <w:b/>
                <w:bCs/>
                <w:i/>
                <w:iCs/>
              </w:rPr>
            </w:pPr>
            <w:r>
              <w:t>Solo para las ECC.</w:t>
            </w:r>
          </w:p>
        </w:tc>
      </w:tr>
      <w:tr w:rsidR="00414040" w14:paraId="7FE1C906" w14:textId="77777777" w:rsidTr="11A44BD7">
        <w:tc>
          <w:tcPr>
            <w:tcW w:w="1183" w:type="dxa"/>
            <w:tcBorders>
              <w:top w:val="single" w:sz="8" w:space="0" w:color="auto"/>
              <w:bottom w:val="single" w:sz="8" w:space="0" w:color="auto"/>
              <w:right w:val="single" w:sz="8" w:space="0" w:color="auto"/>
            </w:tcBorders>
            <w:vAlign w:val="center"/>
          </w:tcPr>
          <w:p w14:paraId="7FE1C903" w14:textId="77777777" w:rsidR="00414040" w:rsidRDefault="00904E1A">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414040" w:rsidRDefault="00904E1A">
            <w:pPr>
              <w:pStyle w:val="P68B1DB1-TableParagraph73"/>
              <w:spacing w:before="108"/>
              <w:jc w:val="both"/>
              <w:rPr>
                <w:bCs/>
              </w:rPr>
            </w:pPr>
            <w:r>
              <w:t>Margen inicial sobre cuentas propias y de clientes</w:t>
            </w:r>
          </w:p>
          <w:p w14:paraId="7FE1C905" w14:textId="7381BA74" w:rsidR="00414040" w:rsidRDefault="5B1A3546" w:rsidP="6A079B7E">
            <w:pPr>
              <w:pStyle w:val="P68B1DB1-TableParagraph40"/>
              <w:spacing w:before="108"/>
              <w:ind w:left="85"/>
              <w:jc w:val="both"/>
              <w:rPr>
                <w:b/>
                <w:bCs/>
              </w:rPr>
            </w:pPr>
            <w:r>
              <w:t xml:space="preserve">Margen inicial aportado, desglosado por cuentas </w:t>
            </w:r>
            <w:proofErr w:type="gramStart"/>
            <w:r w:rsidR="63B54A49">
              <w:t xml:space="preserve">propias </w:t>
            </w:r>
            <w:r>
              <w:t xml:space="preserve"> y</w:t>
            </w:r>
            <w:proofErr w:type="gramEnd"/>
            <w:r>
              <w:t xml:space="preserve"> </w:t>
            </w:r>
            <w:proofErr w:type="gramStart"/>
            <w:r>
              <w:t>de  clientes</w:t>
            </w:r>
            <w:proofErr w:type="gramEnd"/>
            <w:r>
              <w:t xml:space="preserve">. Importe medio a lo largo del año. </w:t>
            </w:r>
            <w:r w:rsidR="00724BF2">
              <w:t xml:space="preserve">Informar solo </w:t>
            </w:r>
            <w:r>
              <w:t xml:space="preserve">para las ECC. La columna 0050 incluye </w:t>
            </w:r>
            <w:r w:rsidRPr="00A82FC7">
              <w:t xml:space="preserve">los </w:t>
            </w:r>
            <w:r w:rsidR="00423B70" w:rsidRPr="00A82FC7">
              <w:t xml:space="preserve">valores </w:t>
            </w:r>
            <w:r w:rsidR="5C5E58B1" w:rsidRPr="00210421">
              <w:rPr>
                <w:rFonts w:eastAsiaTheme="minorEastAsia"/>
              </w:rPr>
              <w:t>tanto de las cuentas ómnibus como de las cuentas de clientes individuales</w:t>
            </w:r>
            <w:r w:rsidRPr="00210421">
              <w:rPr>
                <w:rFonts w:eastAsiaTheme="minorEastAsia"/>
              </w:rPr>
              <w:t xml:space="preserve"> </w:t>
            </w:r>
            <w:r>
              <w:t>s.</w:t>
            </w:r>
          </w:p>
        </w:tc>
      </w:tr>
      <w:tr w:rsidR="00414040" w14:paraId="7FE1C90D" w14:textId="77777777" w:rsidTr="11A44BD7">
        <w:tc>
          <w:tcPr>
            <w:tcW w:w="1183" w:type="dxa"/>
            <w:tcBorders>
              <w:top w:val="single" w:sz="8" w:space="0" w:color="auto"/>
              <w:bottom w:val="single" w:sz="8" w:space="0" w:color="auto"/>
              <w:right w:val="single" w:sz="8" w:space="0" w:color="auto"/>
            </w:tcBorders>
            <w:vAlign w:val="center"/>
          </w:tcPr>
          <w:p w14:paraId="7FE1C907" w14:textId="1157106F" w:rsidR="00414040" w:rsidRDefault="00904E1A">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414040" w:rsidRDefault="00904E1A">
            <w:pPr>
              <w:pStyle w:val="P68B1DB1-TableParagraph73"/>
              <w:spacing w:before="108"/>
              <w:ind w:left="85"/>
              <w:jc w:val="both"/>
            </w:pPr>
            <w:r>
              <w:t>Valor de las posiciones en cuentas propias y de clientes</w:t>
            </w:r>
          </w:p>
          <w:p w14:paraId="7FE1C909" w14:textId="260D6AD9" w:rsidR="00414040" w:rsidRDefault="00904E1A">
            <w:pPr>
              <w:pStyle w:val="P68B1DB1-TableParagraph40"/>
              <w:spacing w:before="108"/>
              <w:ind w:left="85"/>
              <w:jc w:val="both"/>
            </w:pPr>
            <w:r>
              <w:t xml:space="preserve">Informar únicamente en el caso de las ECC y </w:t>
            </w:r>
            <w:proofErr w:type="gramStart"/>
            <w:r>
              <w:t>los</w:t>
            </w:r>
            <w:r w:rsidR="00CC1DCF">
              <w:t xml:space="preserve"> </w:t>
            </w:r>
            <w:r w:rsidDel="00CC1DCF">
              <w:t xml:space="preserve"> </w:t>
            </w:r>
            <w:r w:rsidDel="00C81EA8">
              <w:t>DCV</w:t>
            </w:r>
            <w:proofErr w:type="gramEnd"/>
            <w:r w:rsidR="00CC1DCF">
              <w:t>(I)</w:t>
            </w:r>
            <w:r>
              <w:t>. La columna 0070 incluy</w:t>
            </w:r>
            <w:r w:rsidRPr="00210421">
              <w:rPr>
                <w:rFonts w:asciiTheme="minorHAnsi" w:eastAsiaTheme="minorEastAsia" w:hAnsiTheme="minorHAnsi" w:cstheme="minorBidi"/>
              </w:rPr>
              <w:t xml:space="preserve">e </w:t>
            </w:r>
            <w:r w:rsidR="00A1581B">
              <w:rPr>
                <w:rFonts w:asciiTheme="minorHAnsi" w:eastAsiaTheme="minorEastAsia" w:hAnsiTheme="minorHAnsi" w:cstheme="minorBidi"/>
              </w:rPr>
              <w:t xml:space="preserve">los </w:t>
            </w:r>
            <w:r w:rsidR="00A1581B" w:rsidRPr="00210421">
              <w:rPr>
                <w:rFonts w:eastAsiaTheme="minorEastAsia"/>
              </w:rPr>
              <w:t xml:space="preserve">valores </w:t>
            </w:r>
            <w:r w:rsidRPr="00210421">
              <w:rPr>
                <w:rFonts w:eastAsiaTheme="minorEastAsia"/>
              </w:rPr>
              <w:t xml:space="preserve">tanto </w:t>
            </w:r>
            <w:r w:rsidR="29193ABB" w:rsidRPr="00210421">
              <w:rPr>
                <w:rFonts w:eastAsiaTheme="minorEastAsia"/>
              </w:rPr>
              <w:t>de las cuentas ómnibus como de las cuentas de clientes individuales</w:t>
            </w:r>
            <w:r w:rsidRPr="00423B70">
              <w:t>.</w:t>
            </w:r>
          </w:p>
          <w:p w14:paraId="7FE1C90A" w14:textId="77777777" w:rsidR="00414040" w:rsidRDefault="00904E1A">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ECC: Valor de las posiciones en ECC en los respectivos tipos de cuentas</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11F8D3D6" w:rsidR="00414040" w:rsidRDefault="00904E1A">
            <w:pPr>
              <w:pStyle w:val="P68B1DB1-TableParagraph40"/>
              <w:numPr>
                <w:ilvl w:val="0"/>
                <w:numId w:val="249"/>
              </w:numPr>
              <w:spacing w:before="108"/>
              <w:jc w:val="both"/>
            </w:pPr>
            <w:r w:rsidDel="00C81EA8">
              <w:t>DCV</w:t>
            </w:r>
            <w:r w:rsidR="00CC1DCF">
              <w:t>(I)</w:t>
            </w:r>
            <w:r>
              <w:t xml:space="preserve">: Valor de los valores mantenidos en los tipos de cuenta respectivos. </w:t>
            </w:r>
          </w:p>
          <w:p w14:paraId="7FE1C90C" w14:textId="77777777" w:rsidR="00414040" w:rsidRDefault="00904E1A">
            <w:pPr>
              <w:pStyle w:val="P68B1DB1-TableParagraph40"/>
              <w:spacing w:before="108"/>
              <w:ind w:left="85"/>
              <w:jc w:val="both"/>
              <w:rPr>
                <w:b/>
              </w:rPr>
            </w:pPr>
            <w:r>
              <w:t xml:space="preserve">Valor medio al final del día de liquidación durante el año anterior. </w:t>
            </w:r>
          </w:p>
        </w:tc>
      </w:tr>
      <w:tr w:rsidR="00414040" w14:paraId="7FE1C912" w14:textId="77777777" w:rsidTr="11A44BD7">
        <w:tc>
          <w:tcPr>
            <w:tcW w:w="1183" w:type="dxa"/>
            <w:tcBorders>
              <w:top w:val="single" w:sz="8" w:space="0" w:color="auto"/>
              <w:bottom w:val="single" w:sz="8" w:space="0" w:color="auto"/>
              <w:right w:val="single" w:sz="8" w:space="0" w:color="auto"/>
            </w:tcBorders>
            <w:vAlign w:val="center"/>
          </w:tcPr>
          <w:p w14:paraId="7FE1C90E" w14:textId="3E4BBED3" w:rsidR="00414040" w:rsidRDefault="00904E1A">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414040" w:rsidRDefault="00904E1A">
            <w:pPr>
              <w:pStyle w:val="P68B1DB1-TableParagraph73"/>
              <w:spacing w:before="108"/>
              <w:ind w:left="85"/>
              <w:jc w:val="both"/>
            </w:pPr>
            <w:r>
              <w:t xml:space="preserve">Número de clientes </w:t>
            </w:r>
          </w:p>
          <w:p w14:paraId="7FE1C910" w14:textId="11E36B52" w:rsidR="00414040" w:rsidRDefault="00904E1A">
            <w:pPr>
              <w:pStyle w:val="P68B1DB1-TableParagraph40"/>
              <w:spacing w:before="108"/>
              <w:ind w:left="85"/>
              <w:jc w:val="both"/>
            </w:pPr>
            <w:r>
              <w:t xml:space="preserve">Informar únicamente en el caso de las ECC y los </w:t>
            </w:r>
            <w:r w:rsidDel="003104B6">
              <w:t>DCV</w:t>
            </w:r>
            <w:r w:rsidR="00CC1DCF">
              <w:t>(I)</w:t>
            </w:r>
            <w:r>
              <w:t xml:space="preserve">. </w:t>
            </w:r>
          </w:p>
          <w:p w14:paraId="7FE1C911" w14:textId="77777777" w:rsidR="00414040" w:rsidRDefault="00904E1A">
            <w:pPr>
              <w:pStyle w:val="P68B1DB1-Heading482"/>
              <w:numPr>
                <w:ilvl w:val="3"/>
                <w:numId w:val="0"/>
              </w:numPr>
              <w:ind w:left="360"/>
              <w:rPr>
                <w:strike/>
                <w:color w:val="D13438"/>
              </w:rPr>
            </w:pPr>
            <w:r>
              <w:t>Número total de clientes incluidos en los distintos tipos de cuentas de clientes.</w:t>
            </w:r>
          </w:p>
        </w:tc>
      </w:tr>
      <w:tr w:rsidR="00414040" w14:paraId="7FE1C916" w14:textId="77777777" w:rsidTr="11A44BD7">
        <w:tc>
          <w:tcPr>
            <w:tcW w:w="1183" w:type="dxa"/>
            <w:tcBorders>
              <w:top w:val="single" w:sz="8" w:space="0" w:color="auto"/>
              <w:bottom w:val="single" w:sz="8" w:space="0" w:color="auto"/>
              <w:right w:val="single" w:sz="8" w:space="0" w:color="auto"/>
            </w:tcBorders>
            <w:vAlign w:val="center"/>
          </w:tcPr>
          <w:p w14:paraId="7FE1C913" w14:textId="7AE482AF" w:rsidR="00414040" w:rsidRDefault="00904E1A">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414040" w:rsidRDefault="00904E1A">
            <w:pPr>
              <w:pStyle w:val="P68B1DB1-TableParagraph73"/>
              <w:spacing w:before="108"/>
              <w:ind w:left="85"/>
              <w:jc w:val="both"/>
            </w:pPr>
            <w:r>
              <w:t>Número de operaciones en cuentas propias y de clientes</w:t>
            </w:r>
          </w:p>
          <w:p w14:paraId="7FE1C915" w14:textId="77777777" w:rsidR="00414040" w:rsidRDefault="00904E1A">
            <w:pPr>
              <w:pStyle w:val="P68B1DB1-Heading482"/>
              <w:numPr>
                <w:ilvl w:val="3"/>
                <w:numId w:val="0"/>
              </w:numPr>
              <w:ind w:left="360"/>
              <w:rPr>
                <w:strike/>
                <w:color w:val="D13438"/>
                <w:u w:val="single"/>
              </w:rPr>
            </w:pPr>
            <w:r>
              <w:t xml:space="preserve">Número total de operaciones ejecutadas durante el año para los tipos de cuenta respectivos. </w:t>
            </w:r>
          </w:p>
        </w:tc>
      </w:tr>
      <w:tr w:rsidR="00414040" w14:paraId="7FE1C921" w14:textId="77777777" w:rsidTr="11A44BD7">
        <w:tc>
          <w:tcPr>
            <w:tcW w:w="1183" w:type="dxa"/>
            <w:tcBorders>
              <w:top w:val="single" w:sz="8" w:space="0" w:color="auto"/>
              <w:bottom w:val="single" w:sz="8" w:space="0" w:color="auto"/>
              <w:right w:val="single" w:sz="8" w:space="0" w:color="auto"/>
            </w:tcBorders>
            <w:vAlign w:val="center"/>
          </w:tcPr>
          <w:p w14:paraId="7FE1C917" w14:textId="2B767234" w:rsidR="00414040" w:rsidRDefault="00904E1A">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414040" w:rsidRDefault="00904E1A">
            <w:pPr>
              <w:pStyle w:val="P68B1DB1-TableParagraph73"/>
              <w:spacing w:before="108"/>
              <w:ind w:left="85"/>
              <w:jc w:val="both"/>
            </w:pPr>
            <w:r>
              <w:t>Valor de las operaciones en cuentas propias y de clientes</w:t>
            </w:r>
          </w:p>
          <w:p w14:paraId="7FE1C919" w14:textId="5C98F391" w:rsidR="00414040" w:rsidRDefault="00904E1A">
            <w:pPr>
              <w:pStyle w:val="P68B1DB1-TableParagraph40"/>
              <w:spacing w:before="108"/>
              <w:ind w:left="85"/>
              <w:jc w:val="both"/>
            </w:pPr>
            <w:r>
              <w:lastRenderedPageBreak/>
              <w:t>Valor de las operaciones en el año de referencia de los tipos de cuenta respectivos. La columna 0130 incluye los valores de las cuentas de clientes tanto ómnibus como segregad</w:t>
            </w:r>
            <w:r w:rsidR="00A82FC7">
              <w:t>a</w:t>
            </w:r>
            <w:r>
              <w:t xml:space="preserve">s. </w:t>
            </w:r>
          </w:p>
          <w:p w14:paraId="7FE1C91A" w14:textId="06BE5644" w:rsidR="00414040" w:rsidRDefault="00904E1A">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Informe para </w:t>
            </w:r>
            <w:r w:rsidR="007C3744">
              <w:rPr>
                <w:rFonts w:ascii="Times New Roman" w:eastAsia="Times New Roman" w:hAnsi="Times New Roman" w:cs="Times New Roman"/>
                <w:sz w:val="20"/>
                <w:szCs w:val="20"/>
              </w:rPr>
              <w:t>SP</w:t>
            </w:r>
            <w:r>
              <w:rPr>
                <w:rFonts w:ascii="Times New Roman" w:eastAsia="Times New Roman" w:hAnsi="Times New Roman" w:cs="Times New Roman"/>
                <w:sz w:val="20"/>
                <w:szCs w:val="20"/>
              </w:rPr>
              <w:t xml:space="preserve">, ECC, </w:t>
            </w:r>
            <w:r w:rsidRPr="00423B70">
              <w:rPr>
                <w:rFonts w:ascii="Times New Roman" w:eastAsia="Times New Roman" w:hAnsi="Times New Roman" w:cs="Times New Roman"/>
                <w:sz w:val="20"/>
                <w:szCs w:val="20"/>
              </w:rPr>
              <w:t>DCV</w:t>
            </w:r>
            <w:r w:rsidR="00E14CD2" w:rsidRPr="00423B70">
              <w:rPr>
                <w:rFonts w:ascii="Times New Roman" w:eastAsia="Times New Roman" w:hAnsi="Times New Roman" w:cs="Times New Roman"/>
                <w:sz w:val="20"/>
                <w:szCs w:val="20"/>
              </w:rPr>
              <w:t>(I)</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4F0017FD" w:rsidR="00414040" w:rsidRDefault="007C3744">
            <w:pPr>
              <w:pStyle w:val="P68B1DB1-TableParagraph40"/>
              <w:numPr>
                <w:ilvl w:val="0"/>
                <w:numId w:val="250"/>
              </w:numPr>
              <w:spacing w:before="108"/>
              <w:jc w:val="both"/>
            </w:pPr>
            <w:r w:rsidRPr="00423B70">
              <w:t>SP</w:t>
            </w:r>
            <w:r w:rsidR="00904E1A">
              <w:t>: Valor de las operaciones enviadas.</w:t>
            </w:r>
          </w:p>
          <w:p w14:paraId="7FE1C91C" w14:textId="51A521F8" w:rsidR="00414040" w:rsidRDefault="00904E1A">
            <w:pPr>
              <w:pStyle w:val="P68B1DB1-TableParagraph40"/>
              <w:numPr>
                <w:ilvl w:val="0"/>
                <w:numId w:val="250"/>
              </w:numPr>
              <w:spacing w:before="108"/>
              <w:jc w:val="both"/>
            </w:pPr>
            <w:r>
              <w:t xml:space="preserve">ECC: Valor total de las operaciones ejecutadas durante el año. En el caso de los </w:t>
            </w:r>
            <w:proofErr w:type="gramStart"/>
            <w:r>
              <w:t>derivados :</w:t>
            </w:r>
            <w:proofErr w:type="gramEnd"/>
          </w:p>
          <w:p w14:paraId="7FE1C91D" w14:textId="77777777" w:rsidR="00414040" w:rsidRDefault="00904E1A">
            <w:pPr>
              <w:pStyle w:val="P68B1DB1-TableParagraph40"/>
              <w:numPr>
                <w:ilvl w:val="1"/>
                <w:numId w:val="250"/>
              </w:numPr>
              <w:spacing w:before="108"/>
              <w:jc w:val="both"/>
            </w:pPr>
            <w:r>
              <w:t>Opciones = precio de ejercicio;</w:t>
            </w:r>
          </w:p>
          <w:p w14:paraId="7FE1C91E" w14:textId="77777777" w:rsidR="00414040" w:rsidRDefault="00904E1A">
            <w:pPr>
              <w:pStyle w:val="P68B1DB1-TableParagraph40"/>
              <w:numPr>
                <w:ilvl w:val="1"/>
                <w:numId w:val="250"/>
              </w:numPr>
              <w:spacing w:before="108"/>
              <w:jc w:val="both"/>
            </w:pPr>
            <w:r>
              <w:t>Futuros = valor del subyacente en el momento de la operación o, si existe un subyacente nocional, precio de mercado de los contratos de futuros en el momento de la operación.</w:t>
            </w:r>
          </w:p>
          <w:p w14:paraId="7FE1C91F" w14:textId="77777777" w:rsidR="00414040" w:rsidRDefault="00904E1A">
            <w:pPr>
              <w:pStyle w:val="P68B1DB1-TableParagraph40"/>
              <w:numPr>
                <w:ilvl w:val="1"/>
                <w:numId w:val="250"/>
              </w:numPr>
              <w:spacing w:before="108"/>
              <w:jc w:val="both"/>
            </w:pPr>
            <w:r>
              <w:t>Swaps = valor total de mercado de las operaciones pendientes al final del ejercicio.</w:t>
            </w:r>
          </w:p>
          <w:p w14:paraId="7FE1C920" w14:textId="471517DC" w:rsidR="00414040" w:rsidRDefault="00904E1A">
            <w:pPr>
              <w:pStyle w:val="P68B1DB1-TableParagraph40"/>
              <w:numPr>
                <w:ilvl w:val="0"/>
                <w:numId w:val="250"/>
              </w:numPr>
              <w:spacing w:before="108"/>
              <w:jc w:val="both"/>
              <w:rPr>
                <w:strike/>
                <w:color w:val="D13438"/>
                <w:u w:val="single"/>
              </w:rPr>
            </w:pPr>
            <w:r>
              <w:t>DCV</w:t>
            </w:r>
            <w:r w:rsidR="00381BF1">
              <w:t>(I)</w:t>
            </w:r>
            <w:r>
              <w:t xml:space="preserve">: Valor total de las instrucciones de entrega. </w:t>
            </w:r>
          </w:p>
        </w:tc>
      </w:tr>
      <w:tr w:rsidR="00414040" w14:paraId="7FE1C926" w14:textId="77777777" w:rsidTr="11A44BD7">
        <w:tc>
          <w:tcPr>
            <w:tcW w:w="1183" w:type="dxa"/>
            <w:tcBorders>
              <w:top w:val="single" w:sz="8" w:space="0" w:color="auto"/>
              <w:bottom w:val="single" w:sz="8" w:space="0" w:color="auto"/>
              <w:right w:val="single" w:sz="8" w:space="0" w:color="auto"/>
            </w:tcBorders>
            <w:vAlign w:val="center"/>
          </w:tcPr>
          <w:p w14:paraId="7FE1C922" w14:textId="1240362A" w:rsidR="00414040" w:rsidRDefault="00904E1A">
            <w:pPr>
              <w:pStyle w:val="P68B1DB1-Normal31"/>
              <w:rPr>
                <w:strike/>
              </w:rPr>
            </w:pPr>
            <w:r>
              <w:lastRenderedPageBreak/>
              <w:t>0140</w:t>
            </w:r>
          </w:p>
        </w:tc>
        <w:tc>
          <w:tcPr>
            <w:tcW w:w="7832" w:type="dxa"/>
            <w:tcBorders>
              <w:top w:val="single" w:sz="8" w:space="0" w:color="auto"/>
              <w:left w:val="single" w:sz="8" w:space="0" w:color="auto"/>
              <w:bottom w:val="single" w:sz="8" w:space="0" w:color="auto"/>
            </w:tcBorders>
            <w:vAlign w:val="bottom"/>
          </w:tcPr>
          <w:p w14:paraId="7FE1C923" w14:textId="77777777" w:rsidR="00414040" w:rsidRDefault="00904E1A">
            <w:pPr>
              <w:pStyle w:val="P68B1DB1-TableParagraph73"/>
              <w:spacing w:before="108" w:after="120"/>
              <w:ind w:left="85"/>
              <w:jc w:val="both"/>
            </w:pPr>
            <w:r>
              <w:t>Importe nocional acumulado</w:t>
            </w:r>
          </w:p>
          <w:p w14:paraId="7FE1C924" w14:textId="547E4E11" w:rsidR="00414040" w:rsidRDefault="00904E1A">
            <w:pPr>
              <w:pStyle w:val="P68B1DB1-TableParagraph40"/>
              <w:spacing w:before="108"/>
              <w:ind w:left="85"/>
              <w:jc w:val="both"/>
            </w:pPr>
            <w:r w:rsidRPr="1F00E86A">
              <w:rPr>
                <w:lang w:val="es-ES"/>
              </w:rPr>
              <w:t xml:space="preserve">Suma de los importes nocionales de las operaciones ejecutadas durante el año, tanto para las cuentas </w:t>
            </w:r>
            <w:r w:rsidR="17B89D65" w:rsidRPr="1F00E86A">
              <w:rPr>
                <w:lang w:val="es-ES"/>
              </w:rPr>
              <w:t>propias</w:t>
            </w:r>
            <w:r w:rsidRPr="1F00E86A">
              <w:rPr>
                <w:lang w:val="es-ES"/>
              </w:rPr>
              <w:t xml:space="preserve"> como para las de clientes. </w:t>
            </w:r>
            <w:r w:rsidR="00381BF1" w:rsidRPr="1F00E86A">
              <w:rPr>
                <w:lang w:val="es-ES"/>
              </w:rPr>
              <w:t xml:space="preserve">Facilítese la información </w:t>
            </w:r>
            <w:r w:rsidRPr="1F00E86A">
              <w:rPr>
                <w:lang w:val="es-ES"/>
              </w:rPr>
              <w:t xml:space="preserve">en </w:t>
            </w:r>
            <w:r w:rsidR="00381BF1" w:rsidRPr="00210421">
              <w:rPr>
                <w:lang w:val="es-ES"/>
              </w:rPr>
              <w:t xml:space="preserve">miles de </w:t>
            </w:r>
            <w:r w:rsidRPr="00210421">
              <w:rPr>
                <w:lang w:val="es-ES"/>
              </w:rPr>
              <w:t>millones</w:t>
            </w:r>
            <w:r w:rsidRPr="1F00E86A">
              <w:rPr>
                <w:lang w:val="es-ES"/>
              </w:rPr>
              <w:t xml:space="preserve"> EUR. </w:t>
            </w:r>
          </w:p>
          <w:p w14:paraId="7FE1C925" w14:textId="0C85D651" w:rsidR="00414040" w:rsidRDefault="00904E1A">
            <w:pPr>
              <w:pStyle w:val="P68B1DB1-Heading482"/>
              <w:numPr>
                <w:ilvl w:val="3"/>
                <w:numId w:val="0"/>
              </w:numPr>
              <w:ind w:left="360"/>
              <w:rPr>
                <w:strike/>
                <w:color w:val="D13438"/>
                <w:u w:val="single"/>
              </w:rPr>
            </w:pPr>
            <w:r>
              <w:t>Solo para derivados</w:t>
            </w:r>
            <w:r w:rsidR="00381BF1">
              <w:t xml:space="preserve"> ECC</w:t>
            </w:r>
            <w:r>
              <w:t>.</w:t>
            </w:r>
          </w:p>
        </w:tc>
      </w:tr>
      <w:tr w:rsidR="00414040" w14:paraId="7FE1C92A" w14:textId="77777777" w:rsidTr="11A44BD7">
        <w:tc>
          <w:tcPr>
            <w:tcW w:w="1183" w:type="dxa"/>
            <w:tcBorders>
              <w:top w:val="single" w:sz="8" w:space="0" w:color="auto"/>
              <w:bottom w:val="single" w:sz="8" w:space="0" w:color="auto"/>
              <w:right w:val="single" w:sz="8" w:space="0" w:color="auto"/>
            </w:tcBorders>
            <w:vAlign w:val="center"/>
          </w:tcPr>
          <w:p w14:paraId="7FE1C927" w14:textId="446A9A90" w:rsidR="00414040" w:rsidRDefault="00904E1A">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414040" w:rsidRDefault="00904E1A">
            <w:pPr>
              <w:pStyle w:val="P68B1DB1-TableParagraph73"/>
              <w:spacing w:before="108"/>
              <w:ind w:left="85"/>
              <w:jc w:val="both"/>
            </w:pPr>
            <w:r>
              <w:t>Línea de crédito</w:t>
            </w:r>
          </w:p>
          <w:p w14:paraId="7FE1C929" w14:textId="77777777" w:rsidR="00414040" w:rsidRDefault="00904E1A">
            <w:pPr>
              <w:pStyle w:val="P68B1DB1-Heading482"/>
              <w:numPr>
                <w:ilvl w:val="3"/>
                <w:numId w:val="0"/>
              </w:numPr>
              <w:ind w:left="360"/>
              <w:rPr>
                <w:strike/>
                <w:color w:val="D13438"/>
                <w:u w:val="single"/>
              </w:rPr>
            </w:pPr>
            <w:r>
              <w:t xml:space="preserve">Línea de crédito comprometida o no comprometida concedida por el sistema en caso de acceso directo, o por el intermediario u otro proveedor de liquidez en caso de acceso indirecto. Para los importes no divulgados, utilización máxima a lo largo del año. </w:t>
            </w:r>
          </w:p>
        </w:tc>
      </w:tr>
      <w:tr w:rsidR="00414040" w14:paraId="7FE1C931" w14:textId="77777777" w:rsidTr="11A44BD7">
        <w:tc>
          <w:tcPr>
            <w:tcW w:w="1183" w:type="dxa"/>
            <w:tcBorders>
              <w:top w:val="single" w:sz="8" w:space="0" w:color="auto"/>
              <w:bottom w:val="single" w:sz="8" w:space="0" w:color="auto"/>
              <w:right w:val="single" w:sz="8" w:space="0" w:color="auto"/>
            </w:tcBorders>
            <w:vAlign w:val="center"/>
          </w:tcPr>
          <w:p w14:paraId="7FE1C92B" w14:textId="48B84DB8" w:rsidR="00414040" w:rsidRDefault="00904E1A">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057BA9BC" w:rsidR="00414040" w:rsidRDefault="18E946D2">
            <w:pPr>
              <w:pStyle w:val="P68B1DB1-TableParagraph73"/>
              <w:spacing w:before="108"/>
              <w:ind w:left="85"/>
              <w:jc w:val="both"/>
            </w:pPr>
            <w:r>
              <w:t xml:space="preserve">Valor </w:t>
            </w:r>
            <w:r w:rsidR="00904E1A">
              <w:t>máximo de los requisitos de liquidez o garantías reales</w:t>
            </w:r>
          </w:p>
          <w:p w14:paraId="7FE1C92D" w14:textId="212FB48F" w:rsidR="00414040" w:rsidRDefault="001A5A0C">
            <w:pPr>
              <w:pStyle w:val="P68B1DB1-TableParagraph40"/>
              <w:spacing w:before="108"/>
              <w:ind w:left="85"/>
              <w:jc w:val="both"/>
            </w:pPr>
            <w:r>
              <w:t xml:space="preserve">Facilitar la información </w:t>
            </w:r>
            <w:r w:rsidR="00904E1A">
              <w:t xml:space="preserve">únicamente para </w:t>
            </w:r>
            <w:r w:rsidR="00904E1A" w:rsidRPr="00B6207E">
              <w:t>S</w:t>
            </w:r>
            <w:r w:rsidR="00735798" w:rsidRPr="00B6207E">
              <w:t>P</w:t>
            </w:r>
            <w:r w:rsidR="00904E1A">
              <w:t>, DCV</w:t>
            </w:r>
            <w:r>
              <w:t>(I)</w:t>
            </w:r>
            <w:r w:rsidR="00904E1A">
              <w:t xml:space="preserve"> y ECC, según proceda. Valor máximo en el año anterior.</w:t>
            </w:r>
          </w:p>
          <w:p w14:paraId="7FE1C92E" w14:textId="39B83DF2" w:rsidR="00414040" w:rsidRDefault="00904E1A">
            <w:pPr>
              <w:pStyle w:val="P68B1DB1-TableParagraph40"/>
              <w:numPr>
                <w:ilvl w:val="0"/>
                <w:numId w:val="251"/>
              </w:numPr>
              <w:spacing w:before="108"/>
              <w:jc w:val="both"/>
            </w:pPr>
            <w:r w:rsidRPr="6DBA8552">
              <w:rPr>
                <w:lang w:val="es-ES"/>
              </w:rPr>
              <w:t>Para DCV</w:t>
            </w:r>
            <w:r w:rsidR="001A5A0C" w:rsidRPr="6DBA8552">
              <w:rPr>
                <w:lang w:val="es-ES"/>
              </w:rPr>
              <w:t>(I)</w:t>
            </w:r>
            <w:r w:rsidRPr="6DBA8552">
              <w:rPr>
                <w:lang w:val="es-ES"/>
              </w:rPr>
              <w:t xml:space="preserve"> y </w:t>
            </w:r>
            <w:r w:rsidR="00735798" w:rsidRPr="00210421">
              <w:t>SP</w:t>
            </w:r>
            <w:r w:rsidRPr="6DBA8552">
              <w:rPr>
                <w:lang w:val="es-ES"/>
              </w:rPr>
              <w:t xml:space="preserve">:  </w:t>
            </w:r>
            <w:r w:rsidR="5961B1B2" w:rsidRPr="6DBA8552">
              <w:rPr>
                <w:lang w:val="es-ES"/>
              </w:rPr>
              <w:t xml:space="preserve"> uso máximo</w:t>
            </w:r>
            <w:r w:rsidR="00506298">
              <w:rPr>
                <w:lang w:val="es-ES"/>
              </w:rPr>
              <w:t xml:space="preserve"> </w:t>
            </w:r>
            <w:r w:rsidRPr="6DBA8552">
              <w:rPr>
                <w:lang w:val="es-ES"/>
              </w:rPr>
              <w:t xml:space="preserve">de la línea de crédito.  </w:t>
            </w:r>
          </w:p>
          <w:p w14:paraId="7FE1C92F" w14:textId="6C2D4D58" w:rsidR="00414040" w:rsidRDefault="00904E1A">
            <w:pPr>
              <w:pStyle w:val="P68B1DB1-TableParagraph40"/>
              <w:numPr>
                <w:ilvl w:val="0"/>
                <w:numId w:val="251"/>
              </w:numPr>
              <w:spacing w:before="108"/>
              <w:jc w:val="both"/>
            </w:pPr>
            <w:r>
              <w:t>En el caso de las ECC: requisitos de márgenes máximos.</w:t>
            </w:r>
          </w:p>
          <w:p w14:paraId="7FE1C930" w14:textId="20FD2068" w:rsidR="00414040" w:rsidRDefault="00904E1A">
            <w:pPr>
              <w:pStyle w:val="P68B1DB1-TableParagraph40"/>
              <w:numPr>
                <w:ilvl w:val="0"/>
                <w:numId w:val="251"/>
              </w:numPr>
              <w:spacing w:before="108"/>
              <w:jc w:val="both"/>
              <w:rPr>
                <w:strike/>
                <w:color w:val="D13438"/>
                <w:u w:val="single"/>
              </w:rPr>
            </w:pPr>
            <w:r>
              <w:t xml:space="preserve">Para los accesos indirectos: </w:t>
            </w:r>
            <w:r w:rsidR="0C571145">
              <w:t>financiación máxima requerida</w:t>
            </w:r>
            <w:r>
              <w:t xml:space="preserve"> por el intermediario.</w:t>
            </w:r>
          </w:p>
        </w:tc>
      </w:tr>
      <w:tr w:rsidR="00414040" w14:paraId="7FE1C935" w14:textId="77777777" w:rsidTr="11A44BD7">
        <w:tc>
          <w:tcPr>
            <w:tcW w:w="1183" w:type="dxa"/>
            <w:tcBorders>
              <w:top w:val="single" w:sz="8" w:space="0" w:color="auto"/>
              <w:bottom w:val="single" w:sz="8" w:space="0" w:color="auto"/>
              <w:right w:val="single" w:sz="8" w:space="0" w:color="auto"/>
            </w:tcBorders>
            <w:vAlign w:val="center"/>
          </w:tcPr>
          <w:p w14:paraId="7FE1C932" w14:textId="618A69A7" w:rsidR="00414040" w:rsidRDefault="00904E1A">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51AAB6F4" w:rsidR="00414040" w:rsidRDefault="007B3546">
            <w:pPr>
              <w:pStyle w:val="P68B1DB1-TableParagraph73"/>
              <w:spacing w:before="108"/>
              <w:ind w:left="85"/>
              <w:jc w:val="both"/>
            </w:pPr>
            <w:r>
              <w:t>Estimación de r</w:t>
            </w:r>
            <w:r w:rsidR="002B23AC">
              <w:t>equisitos</w:t>
            </w:r>
            <w:r w:rsidR="00904E1A">
              <w:t xml:space="preserve"> adicionales de liquidez o garantías reales en una situación de tensión</w:t>
            </w:r>
          </w:p>
          <w:p w14:paraId="7FE1C934" w14:textId="78689A78" w:rsidR="00414040" w:rsidRDefault="00904E1A">
            <w:pPr>
              <w:pStyle w:val="P68B1DB1-Heading482"/>
              <w:numPr>
                <w:ilvl w:val="0"/>
                <w:numId w:val="0"/>
              </w:numPr>
              <w:ind w:left="360"/>
              <w:rPr>
                <w:strike/>
                <w:color w:val="D13438"/>
                <w:u w:val="single"/>
                <w:lang w:val="es-ES"/>
              </w:rPr>
            </w:pPr>
            <w:r w:rsidRPr="3F4246BB">
              <w:rPr>
                <w:lang w:val="es-ES"/>
              </w:rPr>
              <w:t xml:space="preserve">Estimación de </w:t>
            </w:r>
            <w:r w:rsidR="007B3546" w:rsidRPr="3F4246BB">
              <w:rPr>
                <w:lang w:val="es-ES"/>
              </w:rPr>
              <w:t xml:space="preserve">posibles requisitos de </w:t>
            </w:r>
            <w:r w:rsidRPr="3F4246BB">
              <w:rPr>
                <w:lang w:val="es-ES"/>
              </w:rPr>
              <w:t>liquidez o garantías reales adicionales por encima del requisito máximo de la columna 0160, a l</w:t>
            </w:r>
            <w:r w:rsidR="007B3546" w:rsidRPr="3F4246BB">
              <w:rPr>
                <w:lang w:val="es-ES"/>
              </w:rPr>
              <w:t>o</w:t>
            </w:r>
            <w:r w:rsidRPr="3F4246BB">
              <w:rPr>
                <w:lang w:val="es-ES"/>
              </w:rPr>
              <w:t xml:space="preserve">s que el usuario </w:t>
            </w:r>
            <w:r w:rsidR="00493CB9">
              <w:rPr>
                <w:lang w:val="es-ES"/>
              </w:rPr>
              <w:t>podría tener que hacer</w:t>
            </w:r>
            <w:r w:rsidR="00493CB9" w:rsidRPr="3F4246BB">
              <w:rPr>
                <w:lang w:val="es-ES"/>
              </w:rPr>
              <w:t xml:space="preserve"> </w:t>
            </w:r>
            <w:r w:rsidRPr="3F4246BB">
              <w:rPr>
                <w:lang w:val="es-ES"/>
              </w:rPr>
              <w:t>frent</w:t>
            </w:r>
            <w:r w:rsidR="00493CB9">
              <w:rPr>
                <w:lang w:val="es-ES"/>
              </w:rPr>
              <w:t>e</w:t>
            </w:r>
            <w:r w:rsidRPr="3F4246BB">
              <w:rPr>
                <w:lang w:val="es-ES"/>
              </w:rPr>
              <w:t xml:space="preserve"> en una situación de tensión grave. </w:t>
            </w:r>
          </w:p>
        </w:tc>
      </w:tr>
    </w:tbl>
    <w:p w14:paraId="7FE1C936" w14:textId="77777777" w:rsidR="00414040" w:rsidRDefault="00414040">
      <w:pPr>
        <w:pStyle w:val="Instructionsberschrift2"/>
        <w:ind w:left="357"/>
        <w:rPr>
          <w:rFonts w:ascii="Times New Roman" w:eastAsia="Calibri" w:hAnsi="Times New Roman" w:cs="Times New Roman"/>
          <w:szCs w:val="20"/>
        </w:rPr>
      </w:pPr>
    </w:p>
    <w:p w14:paraId="7FE1C937" w14:textId="77777777" w:rsidR="00414040" w:rsidRDefault="00904E1A">
      <w:pPr>
        <w:pStyle w:val="P68B1DB1-Instructionsberschrift271"/>
        <w:numPr>
          <w:ilvl w:val="1"/>
          <w:numId w:val="49"/>
        </w:numPr>
        <w:ind w:left="357" w:hanging="357"/>
      </w:pPr>
      <w:bookmarkStart w:id="141" w:name="_Toc211525943"/>
      <w:r>
        <w:t>Z 09.04 — Servicios de IMF — ECC — Proveedores alternativos (IMF 4)</w:t>
      </w:r>
      <w:bookmarkEnd w:id="141"/>
    </w:p>
    <w:tbl>
      <w:tblPr>
        <w:tblW w:w="0" w:type="auto"/>
        <w:tblInd w:w="135" w:type="dxa"/>
        <w:tblLook w:val="04A0" w:firstRow="1" w:lastRow="0" w:firstColumn="1" w:lastColumn="0" w:noHBand="0" w:noVBand="1"/>
      </w:tblPr>
      <w:tblGrid>
        <w:gridCol w:w="1178"/>
        <w:gridCol w:w="7713"/>
      </w:tblGrid>
      <w:tr w:rsidR="00414040" w14:paraId="7FE1CBEC" w14:textId="77777777" w:rsidTr="6A079B7E">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414040" w:rsidRDefault="00904E1A">
            <w:pPr>
              <w:pStyle w:val="P68B1DB1-TableParagraph17"/>
              <w:spacing w:before="108"/>
              <w:ind w:left="85"/>
            </w:pPr>
            <w:bookmarkStart w:id="142" w:name="_Toc162265152"/>
            <w:bookmarkStart w:id="143" w:name="_Toc162265682"/>
            <w:bookmarkStart w:id="144" w:name="_Toc162265752"/>
            <w:bookmarkStart w:id="145" w:name="_Toc162266097"/>
            <w:bookmarkStart w:id="146" w:name="_Toc163639558"/>
            <w:bookmarkStart w:id="147" w:name="_Toc162265153"/>
            <w:bookmarkStart w:id="148" w:name="_Toc162265683"/>
            <w:bookmarkStart w:id="149" w:name="_Toc162265753"/>
            <w:bookmarkStart w:id="150" w:name="_Toc162266098"/>
            <w:bookmarkStart w:id="151" w:name="_Toc163639559"/>
            <w:bookmarkStart w:id="152" w:name="_Toc160027996"/>
            <w:bookmarkStart w:id="153" w:name="_Toc160028068"/>
            <w:bookmarkStart w:id="154" w:name="_Toc160028140"/>
            <w:bookmarkStart w:id="155" w:name="_Toc161034556"/>
            <w:bookmarkStart w:id="156" w:name="_Toc162265154"/>
            <w:bookmarkStart w:id="157" w:name="_Toc162265684"/>
            <w:bookmarkStart w:id="158" w:name="_Toc162265754"/>
            <w:bookmarkStart w:id="159" w:name="_Toc162266099"/>
            <w:bookmarkStart w:id="160" w:name="_Toc163639560"/>
            <w:bookmarkStart w:id="161" w:name="_Toc189493010"/>
            <w:bookmarkStart w:id="162" w:name="_Toc192249287"/>
            <w:bookmarkStart w:id="163" w:name="_Toc189493015"/>
            <w:bookmarkStart w:id="164" w:name="_Toc192249292"/>
            <w:bookmarkStart w:id="165" w:name="_Toc189493098"/>
            <w:bookmarkStart w:id="166" w:name="_Toc192249375"/>
            <w:bookmarkStart w:id="167" w:name="_Toc189493105"/>
            <w:bookmarkStart w:id="168" w:name="_Toc192249382"/>
            <w:bookmarkStart w:id="169" w:name="_Toc160027999"/>
            <w:bookmarkStart w:id="170" w:name="_Toc160028071"/>
            <w:bookmarkStart w:id="171" w:name="_Toc160028143"/>
            <w:bookmarkStart w:id="172" w:name="_Toc161034559"/>
            <w:bookmarkStart w:id="173" w:name="_Toc162265157"/>
            <w:bookmarkStart w:id="174" w:name="_Toc162265687"/>
            <w:bookmarkStart w:id="175" w:name="_Toc162265757"/>
            <w:bookmarkStart w:id="176" w:name="_Toc162266102"/>
            <w:bookmarkStart w:id="177" w:name="_Toc163639563"/>
            <w:bookmarkStart w:id="178" w:name="_Toc160028000"/>
            <w:bookmarkStart w:id="179" w:name="_Toc160028072"/>
            <w:bookmarkStart w:id="180" w:name="_Toc160028144"/>
            <w:bookmarkStart w:id="181" w:name="_Toc161034560"/>
            <w:bookmarkStart w:id="182" w:name="_Toc162265158"/>
            <w:bookmarkStart w:id="183" w:name="_Toc162265688"/>
            <w:bookmarkStart w:id="184" w:name="_Toc162265758"/>
            <w:bookmarkStart w:id="185" w:name="_Toc162266103"/>
            <w:bookmarkStart w:id="186" w:name="_Toc163639564"/>
            <w:bookmarkStart w:id="187" w:name="_Toc160028001"/>
            <w:bookmarkStart w:id="188" w:name="_Toc160028073"/>
            <w:bookmarkStart w:id="189" w:name="_Toc160028145"/>
            <w:bookmarkStart w:id="190" w:name="_Toc161034561"/>
            <w:bookmarkStart w:id="191" w:name="_Toc162265159"/>
            <w:bookmarkStart w:id="192" w:name="_Toc162265689"/>
            <w:bookmarkStart w:id="193" w:name="_Toc162265759"/>
            <w:bookmarkStart w:id="194" w:name="_Toc162266104"/>
            <w:bookmarkStart w:id="195" w:name="_Toc163639565"/>
            <w:bookmarkStart w:id="196" w:name="_Toc81454197"/>
            <w:bookmarkStart w:id="197" w:name="_Toc81485512"/>
            <w:bookmarkStart w:id="198" w:name="_Toc81485589"/>
            <w:bookmarkStart w:id="199" w:name="_Toc81485710"/>
            <w:bookmarkStart w:id="200" w:name="_Toc81485994"/>
            <w:bookmarkStart w:id="201" w:name="_Toc160028002"/>
            <w:bookmarkStart w:id="202" w:name="_Toc160028074"/>
            <w:bookmarkStart w:id="203" w:name="_Toc160028146"/>
            <w:bookmarkStart w:id="204" w:name="_Toc161034562"/>
            <w:bookmarkStart w:id="205" w:name="_Toc162265160"/>
            <w:bookmarkStart w:id="206" w:name="_Toc162265690"/>
            <w:bookmarkStart w:id="207" w:name="_Toc162265760"/>
            <w:bookmarkStart w:id="208" w:name="_Toc162266105"/>
            <w:bookmarkStart w:id="209" w:name="_Toc163639566"/>
            <w:bookmarkStart w:id="210" w:name="_Toc81454198"/>
            <w:bookmarkStart w:id="211" w:name="_Toc81485513"/>
            <w:bookmarkStart w:id="212" w:name="_Toc81485590"/>
            <w:bookmarkStart w:id="213" w:name="_Toc81485711"/>
            <w:bookmarkStart w:id="214" w:name="_Toc81485995"/>
            <w:bookmarkStart w:id="215" w:name="_Toc160028003"/>
            <w:bookmarkStart w:id="216" w:name="_Toc160028075"/>
            <w:bookmarkStart w:id="217" w:name="_Toc160028147"/>
            <w:bookmarkStart w:id="218" w:name="_Toc161034563"/>
            <w:bookmarkStart w:id="219" w:name="_Toc162265161"/>
            <w:bookmarkStart w:id="220" w:name="_Toc162265691"/>
            <w:bookmarkStart w:id="221" w:name="_Toc162265761"/>
            <w:bookmarkStart w:id="222" w:name="_Toc162266106"/>
            <w:bookmarkStart w:id="223" w:name="_Toc16363956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t xml:space="preserve">Columnas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414040" w:rsidRDefault="00904E1A">
            <w:pPr>
              <w:pStyle w:val="P68B1DB1-TableParagraph17"/>
              <w:spacing w:before="108"/>
              <w:ind w:left="85"/>
            </w:pPr>
            <w:r>
              <w:t xml:space="preserve">Instrucciones </w:t>
            </w:r>
          </w:p>
        </w:tc>
      </w:tr>
      <w:tr w:rsidR="00414040" w14:paraId="7FE1CBF3" w14:textId="77777777" w:rsidTr="6A079B7E">
        <w:tc>
          <w:tcPr>
            <w:tcW w:w="1178" w:type="dxa"/>
            <w:tcBorders>
              <w:top w:val="single" w:sz="8" w:space="0" w:color="1A171C"/>
              <w:bottom w:val="single" w:sz="8" w:space="0" w:color="auto"/>
              <w:right w:val="single" w:sz="8" w:space="0" w:color="auto"/>
            </w:tcBorders>
            <w:vAlign w:val="center"/>
          </w:tcPr>
          <w:p w14:paraId="7FE1CBED" w14:textId="2655C4FA" w:rsidR="00414040" w:rsidRDefault="00904E1A">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5FFADC56" w:rsidR="00414040" w:rsidRDefault="00904E1A">
            <w:pPr>
              <w:pStyle w:val="P68B1DB1-TableParagraph73"/>
              <w:spacing w:before="108"/>
              <w:ind w:left="85"/>
              <w:jc w:val="both"/>
            </w:pPr>
            <w:r>
              <w:t>I</w:t>
            </w:r>
            <w:r w:rsidR="00EF2238">
              <w:t>dentificador</w:t>
            </w:r>
            <w:r>
              <w:t xml:space="preserve"> que representa la combinación de usuario, IMF, tipo de sistema e intermediario</w:t>
            </w:r>
          </w:p>
          <w:p w14:paraId="7FE1CBEF" w14:textId="2166D4DC" w:rsidR="00414040" w:rsidRDefault="00904E1A">
            <w:pPr>
              <w:pStyle w:val="P68B1DB1-TableParagraph40"/>
              <w:spacing w:before="108"/>
              <w:ind w:left="85"/>
              <w:jc w:val="both"/>
            </w:pPr>
            <w:r>
              <w:t xml:space="preserve">Identificador de la ECC indicado en Z 09.01, columna 0010. </w:t>
            </w:r>
          </w:p>
          <w:p w14:paraId="7FE1CBF2" w14:textId="2A5BCF53" w:rsidR="00414040" w:rsidRDefault="00904E1A">
            <w:pPr>
              <w:pStyle w:val="P68B1DB1-TableParagraph40"/>
              <w:spacing w:before="108"/>
              <w:ind w:left="85"/>
              <w:jc w:val="both"/>
              <w:rPr>
                <w:b/>
                <w:bCs/>
                <w:i/>
                <w:iCs/>
              </w:rPr>
            </w:pPr>
            <w:r>
              <w:lastRenderedPageBreak/>
              <w:t>Informar únicamente para las ECC a las que se acceda directa o indirectamente. Notificar todos los accesos a las ECC.</w:t>
            </w:r>
          </w:p>
        </w:tc>
      </w:tr>
      <w:tr w:rsidR="00414040" w14:paraId="7FE1CBF9" w14:textId="77777777" w:rsidTr="6A079B7E">
        <w:tc>
          <w:tcPr>
            <w:tcW w:w="1178" w:type="dxa"/>
            <w:tcBorders>
              <w:top w:val="single" w:sz="8" w:space="0" w:color="auto"/>
              <w:bottom w:val="single" w:sz="8" w:space="0" w:color="auto"/>
              <w:right w:val="single" w:sz="8" w:space="0" w:color="auto"/>
            </w:tcBorders>
            <w:vAlign w:val="center"/>
          </w:tcPr>
          <w:p w14:paraId="7FE1CBF4" w14:textId="1F2D5BBA" w:rsidR="00414040" w:rsidRDefault="00904E1A">
            <w:pPr>
              <w:pStyle w:val="P68B1DB1-Normal31"/>
            </w:pPr>
            <w:r>
              <w:lastRenderedPageBreak/>
              <w:t>0020</w:t>
            </w:r>
          </w:p>
        </w:tc>
        <w:tc>
          <w:tcPr>
            <w:tcW w:w="7713" w:type="dxa"/>
            <w:tcBorders>
              <w:top w:val="single" w:sz="8" w:space="0" w:color="auto"/>
              <w:left w:val="single" w:sz="8" w:space="0" w:color="auto"/>
              <w:bottom w:val="single" w:sz="8" w:space="0" w:color="auto"/>
            </w:tcBorders>
            <w:vAlign w:val="bottom"/>
          </w:tcPr>
          <w:p w14:paraId="7FE1CBF5" w14:textId="77777777" w:rsidR="00414040" w:rsidRDefault="00904E1A">
            <w:pPr>
              <w:pStyle w:val="P68B1DB1-TableParagraph73"/>
              <w:spacing w:before="108"/>
              <w:ind w:left="85"/>
              <w:jc w:val="both"/>
              <w:rPr>
                <w:bCs/>
              </w:rPr>
            </w:pPr>
            <w:r>
              <w:t>Tipo de producto</w:t>
            </w:r>
          </w:p>
          <w:p w14:paraId="7FE1CBF8" w14:textId="236012E4" w:rsidR="00414040" w:rsidRDefault="00904E1A">
            <w:pPr>
              <w:pStyle w:val="P68B1DB1-TableParagraph40"/>
              <w:spacing w:before="108"/>
              <w:ind w:left="85"/>
              <w:jc w:val="both"/>
              <w:rPr>
                <w:b/>
                <w:bCs/>
                <w:i/>
                <w:iCs/>
              </w:rPr>
            </w:pPr>
            <w:r>
              <w:t xml:space="preserve">Tipo de producto cubierto por el acuerdo de compensación. Informar con el nivel adecuado de detalle necesario para el análisis de sustituibilidad. </w:t>
            </w:r>
          </w:p>
        </w:tc>
      </w:tr>
      <w:tr w:rsidR="00414040" w14:paraId="7FE1CC03" w14:textId="77777777" w:rsidTr="6A079B7E">
        <w:tc>
          <w:tcPr>
            <w:tcW w:w="1178" w:type="dxa"/>
            <w:tcBorders>
              <w:top w:val="single" w:sz="8" w:space="0" w:color="auto"/>
              <w:bottom w:val="single" w:sz="8" w:space="0" w:color="auto"/>
              <w:right w:val="single" w:sz="8" w:space="0" w:color="auto"/>
            </w:tcBorders>
            <w:vAlign w:val="center"/>
          </w:tcPr>
          <w:p w14:paraId="7FE1CBFA" w14:textId="37C17AD0" w:rsidR="00414040" w:rsidRDefault="00904E1A">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414040" w:rsidRDefault="00904E1A">
            <w:pPr>
              <w:pStyle w:val="P68B1DB1-TableParagraph73"/>
              <w:spacing w:before="108"/>
              <w:ind w:left="85"/>
              <w:jc w:val="both"/>
            </w:pPr>
            <w:r>
              <w:t>Sustituibilidad S/N</w:t>
            </w:r>
          </w:p>
          <w:p w14:paraId="7FE1CBFC" w14:textId="14259446" w:rsidR="00414040" w:rsidRDefault="5B1A3546">
            <w:pPr>
              <w:pStyle w:val="P68B1DB1-TableParagraph40"/>
              <w:spacing w:before="108"/>
              <w:ind w:left="85"/>
              <w:jc w:val="both"/>
              <w:rPr>
                <w:lang w:val="es-ES"/>
              </w:rPr>
            </w:pPr>
            <w:r w:rsidRPr="6A079B7E">
              <w:rPr>
                <w:lang w:val="es-ES"/>
              </w:rPr>
              <w:t xml:space="preserve">Capacidad del usuario para sustituir al </w:t>
            </w:r>
            <w:r w:rsidR="006C3362">
              <w:t xml:space="preserve">proveedor </w:t>
            </w:r>
            <w:r w:rsidRPr="6A079B7E">
              <w:rPr>
                <w:lang w:val="es-ES"/>
              </w:rPr>
              <w:t xml:space="preserve">de servicios de compensación </w:t>
            </w:r>
            <w:r w:rsidR="00FE5070">
              <w:rPr>
                <w:lang w:val="es-ES"/>
              </w:rPr>
              <w:t>de</w:t>
            </w:r>
            <w:r w:rsidR="00FE5070" w:rsidRPr="6A079B7E">
              <w:rPr>
                <w:lang w:val="es-ES"/>
              </w:rPr>
              <w:t xml:space="preserve"> </w:t>
            </w:r>
            <w:r w:rsidRPr="6A079B7E">
              <w:rPr>
                <w:lang w:val="es-ES"/>
              </w:rPr>
              <w:t xml:space="preserve">la columna </w:t>
            </w:r>
            <w:r w:rsidR="00FE5070">
              <w:rPr>
                <w:lang w:val="es-ES"/>
              </w:rPr>
              <w:t xml:space="preserve">0020 de Z </w:t>
            </w:r>
            <w:r w:rsidRPr="6A079B7E">
              <w:rPr>
                <w:lang w:val="es-ES"/>
              </w:rPr>
              <w:t xml:space="preserve">09.01 por un intermediario/IMF alternativo con el que tenga una relación contractual en la fecha </w:t>
            </w:r>
            <w:r w:rsidRPr="00B6207E">
              <w:rPr>
                <w:lang w:val="es-ES"/>
              </w:rPr>
              <w:t xml:space="preserve">de </w:t>
            </w:r>
            <w:r w:rsidR="00F458E6" w:rsidRPr="00210421">
              <w:rPr>
                <w:lang w:val="es-ES"/>
              </w:rPr>
              <w:t>referencia</w:t>
            </w:r>
            <w:r w:rsidRPr="00B6207E">
              <w:rPr>
                <w:lang w:val="es-ES"/>
              </w:rPr>
              <w:t xml:space="preserve">. </w:t>
            </w:r>
          </w:p>
          <w:p w14:paraId="7FE1CBFE" w14:textId="1F022B26" w:rsidR="00414040" w:rsidRDefault="00904E1A">
            <w:pPr>
              <w:pStyle w:val="P68B1DB1-TableParagraph40"/>
              <w:numPr>
                <w:ilvl w:val="0"/>
                <w:numId w:val="256"/>
              </w:numPr>
              <w:spacing w:before="108"/>
              <w:jc w:val="both"/>
            </w:pPr>
            <w:r>
              <w:t>«Sí» si es posible la sustitución</w:t>
            </w:r>
          </w:p>
          <w:p w14:paraId="7FE1CBFF" w14:textId="719E31EA" w:rsidR="00414040" w:rsidRDefault="00904E1A">
            <w:pPr>
              <w:pStyle w:val="P68B1DB1-TableParagraph40"/>
              <w:numPr>
                <w:ilvl w:val="0"/>
                <w:numId w:val="256"/>
              </w:numPr>
              <w:spacing w:before="108"/>
              <w:jc w:val="both"/>
            </w:pPr>
            <w:r>
              <w:t>«No» si no es posible la sustitución</w:t>
            </w:r>
          </w:p>
          <w:p w14:paraId="7FE1CC02" w14:textId="77777777" w:rsidR="00414040" w:rsidRDefault="00414040">
            <w:pPr>
              <w:pStyle w:val="TableParagraph"/>
              <w:spacing w:before="108"/>
              <w:jc w:val="both"/>
              <w:rPr>
                <w:rFonts w:ascii="Times New Roman" w:eastAsia="Times New Roman" w:hAnsi="Times New Roman" w:cs="Times New Roman"/>
                <w:b/>
                <w:sz w:val="20"/>
                <w:szCs w:val="20"/>
              </w:rPr>
            </w:pPr>
          </w:p>
        </w:tc>
      </w:tr>
      <w:tr w:rsidR="00414040" w14:paraId="7FE1CC08" w14:textId="77777777" w:rsidTr="6A079B7E">
        <w:tc>
          <w:tcPr>
            <w:tcW w:w="1178" w:type="dxa"/>
            <w:tcBorders>
              <w:top w:val="single" w:sz="8" w:space="0" w:color="auto"/>
              <w:bottom w:val="single" w:sz="8" w:space="0" w:color="auto"/>
              <w:right w:val="single" w:sz="8" w:space="0" w:color="auto"/>
            </w:tcBorders>
            <w:vAlign w:val="center"/>
          </w:tcPr>
          <w:p w14:paraId="7FE1CC04" w14:textId="77777777" w:rsidR="00414040" w:rsidRDefault="00904E1A">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414040" w:rsidRDefault="00904E1A">
            <w:pPr>
              <w:pStyle w:val="P68B1DB1-TableParagraph73"/>
              <w:spacing w:before="108" w:after="120"/>
              <w:jc w:val="both"/>
              <w:rPr>
                <w:bCs/>
              </w:rPr>
            </w:pPr>
            <w:r>
              <w:t>Proveedor alternativo</w:t>
            </w:r>
          </w:p>
          <w:p w14:paraId="7FE1CC06" w14:textId="77777777" w:rsidR="00414040" w:rsidRDefault="00904E1A">
            <w:pPr>
              <w:pStyle w:val="P68B1DB1-Normal31"/>
              <w:spacing w:line="276" w:lineRule="auto"/>
              <w:jc w:val="both"/>
            </w:pPr>
            <w:r>
              <w:t xml:space="preserve">Nombre del FMI/intermediario identificado como posible sustituto. </w:t>
            </w:r>
          </w:p>
          <w:p w14:paraId="7FE1CC07" w14:textId="2011DAFC" w:rsidR="00414040" w:rsidRDefault="00904E1A">
            <w:pPr>
              <w:pStyle w:val="P68B1DB1-TableParagraph40"/>
              <w:spacing w:before="108"/>
              <w:ind w:left="85"/>
              <w:jc w:val="both"/>
              <w:rPr>
                <w:b/>
                <w:bCs/>
              </w:rPr>
            </w:pPr>
            <w:r>
              <w:t>Indíquese únicamente si Z 09.04 columna 0030 es Sí.</w:t>
            </w:r>
          </w:p>
        </w:tc>
      </w:tr>
      <w:tr w:rsidR="00414040" w14:paraId="7FE1CC0D" w14:textId="77777777" w:rsidTr="6A079B7E">
        <w:tc>
          <w:tcPr>
            <w:tcW w:w="1178" w:type="dxa"/>
            <w:tcBorders>
              <w:top w:val="single" w:sz="8" w:space="0" w:color="auto"/>
              <w:bottom w:val="single" w:sz="8" w:space="0" w:color="auto"/>
              <w:right w:val="single" w:sz="8" w:space="0" w:color="auto"/>
            </w:tcBorders>
            <w:vAlign w:val="center"/>
          </w:tcPr>
          <w:p w14:paraId="7FE1CC09" w14:textId="77777777" w:rsidR="00414040" w:rsidRDefault="00904E1A">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59C6550D" w:rsidR="00414040" w:rsidRDefault="00904E1A">
            <w:pPr>
              <w:pStyle w:val="P68B1DB1-TableParagraph73"/>
              <w:spacing w:before="108"/>
              <w:jc w:val="both"/>
              <w:rPr>
                <w:bCs/>
              </w:rPr>
            </w:pPr>
            <w:r>
              <w:t>Identificador de proveedor alternativo</w:t>
            </w:r>
          </w:p>
          <w:p w14:paraId="7FE1CC0B" w14:textId="680AAC78" w:rsidR="00414040" w:rsidRDefault="00904E1A">
            <w:pPr>
              <w:pStyle w:val="P68B1DB1-Normal31"/>
              <w:spacing w:after="120" w:line="276" w:lineRule="auto"/>
              <w:jc w:val="both"/>
              <w:rPr>
                <w:b/>
                <w:bCs/>
              </w:rPr>
            </w:pPr>
            <w:r>
              <w:t>Identificador único que representa la combinación de usuario, IMF, tipo de sistema e intermediario del proveedor alternativo con el que el usuario tiene una relación contractual establecida, tal como se indica en Z 09.01, columna 0010.</w:t>
            </w:r>
            <w:r>
              <w:rPr>
                <w:b/>
              </w:rPr>
              <w:t xml:space="preserve"> </w:t>
            </w:r>
          </w:p>
          <w:p w14:paraId="7FE1CC0C" w14:textId="7C8756E6" w:rsidR="00414040" w:rsidRDefault="00904E1A">
            <w:pPr>
              <w:pStyle w:val="P68B1DB1-TableParagraph40"/>
              <w:spacing w:before="108"/>
              <w:ind w:left="85"/>
              <w:jc w:val="both"/>
              <w:rPr>
                <w:b/>
                <w:bCs/>
              </w:rPr>
            </w:pPr>
            <w:r>
              <w:t>Indíquese únicamente si Z 09.04 columna 0030 es Sí.</w:t>
            </w:r>
          </w:p>
        </w:tc>
      </w:tr>
    </w:tbl>
    <w:p w14:paraId="7FE1CECA" w14:textId="77777777" w:rsidR="00414040" w:rsidRDefault="00414040">
      <w:pPr>
        <w:rPr>
          <w:rFonts w:ascii="Times New Roman" w:hAnsi="Times New Roman" w:cs="Times New Roman"/>
          <w:b/>
          <w:color w:val="000000" w:themeColor="text1"/>
          <w:sz w:val="20"/>
          <w:szCs w:val="20"/>
          <w:u w:val="single"/>
        </w:rPr>
      </w:pPr>
      <w:bookmarkStart w:id="224" w:name="_Toc80891744"/>
      <w:bookmarkStart w:id="225" w:name="_Toc81454206"/>
      <w:bookmarkStart w:id="226" w:name="_Toc81485521"/>
      <w:bookmarkStart w:id="227" w:name="_Toc81485598"/>
      <w:bookmarkStart w:id="228" w:name="_Toc81485719"/>
      <w:bookmarkStart w:id="229" w:name="_Toc81486003"/>
      <w:bookmarkStart w:id="230" w:name="_Toc160028011"/>
      <w:bookmarkStart w:id="231" w:name="_Toc160028083"/>
      <w:bookmarkStart w:id="232" w:name="_Toc160028155"/>
      <w:bookmarkStart w:id="233" w:name="_Toc80891746"/>
      <w:bookmarkStart w:id="234" w:name="_Toc81454208"/>
      <w:bookmarkStart w:id="235" w:name="_Toc81485523"/>
      <w:bookmarkStart w:id="236" w:name="_Toc81485600"/>
      <w:bookmarkStart w:id="237" w:name="_Toc81485721"/>
      <w:bookmarkStart w:id="238" w:name="_Toc81486005"/>
      <w:bookmarkStart w:id="239" w:name="_Toc160028013"/>
      <w:bookmarkStart w:id="240" w:name="_Toc160028085"/>
      <w:bookmarkStart w:id="241" w:name="_Toc160028157"/>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FE1CF06" w14:textId="77777777" w:rsidR="00414040" w:rsidRDefault="00414040">
      <w:pPr>
        <w:pStyle w:val="Instructionsberschrift2"/>
        <w:ind w:left="357"/>
        <w:rPr>
          <w:rFonts w:ascii="Times New Roman" w:eastAsia="Calibri" w:hAnsi="Times New Roman" w:cs="Times New Roman"/>
          <w:szCs w:val="20"/>
        </w:rPr>
      </w:pPr>
    </w:p>
    <w:p w14:paraId="7FE1CF07" w14:textId="539D7C0B" w:rsidR="00414040" w:rsidRPr="00210421" w:rsidRDefault="00904E1A" w:rsidP="4941412B">
      <w:pPr>
        <w:pStyle w:val="P68B1DB1-Instructionsberschrift284"/>
        <w:numPr>
          <w:ilvl w:val="1"/>
          <w:numId w:val="49"/>
        </w:numPr>
        <w:spacing w:before="0"/>
        <w:ind w:left="357" w:hanging="357"/>
        <w:rPr>
          <w:lang w:val="es-ES"/>
        </w:rPr>
      </w:pPr>
      <w:bookmarkStart w:id="242" w:name="_Toc211525944"/>
      <w:r w:rsidRPr="00B6207E">
        <w:rPr>
          <w:lang w:val="es-ES"/>
        </w:rPr>
        <w:t>Análisis d</w:t>
      </w:r>
      <w:r w:rsidRPr="00B6207E">
        <w:t xml:space="preserve">e </w:t>
      </w:r>
      <w:r w:rsidR="174A4EEF" w:rsidRPr="00210421">
        <w:rPr>
          <w:lang w:val="es-ES"/>
        </w:rPr>
        <w:t>pasivos</w:t>
      </w:r>
      <w:bookmarkEnd w:id="242"/>
    </w:p>
    <w:p w14:paraId="7FE1CF08" w14:textId="53CCE3BD" w:rsidR="00414040" w:rsidRDefault="00904E1A">
      <w:pPr>
        <w:pStyle w:val="Instructionsberschrift2"/>
        <w:numPr>
          <w:ilvl w:val="1"/>
          <w:numId w:val="49"/>
        </w:numPr>
        <w:spacing w:before="0"/>
        <w:ind w:left="357" w:hanging="357"/>
        <w:rPr>
          <w:rFonts w:ascii="Times New Roman" w:hAnsi="Times New Roman" w:cs="Times New Roman"/>
        </w:rPr>
      </w:pPr>
      <w:bookmarkStart w:id="243" w:name="_Toc211525945"/>
      <w:r>
        <w:rPr>
          <w:rFonts w:ascii="Times New Roman" w:hAnsi="Times New Roman" w:cs="Times New Roman"/>
          <w:color w:val="000000" w:themeColor="text1"/>
        </w:rPr>
        <w:t>Z 11.00 Pasivos intragrupo</w:t>
      </w:r>
      <w:r>
        <w:rPr>
          <w:rFonts w:ascii="Times New Roman" w:eastAsia="Calibri" w:hAnsi="Times New Roman" w:cs="Times New Roman"/>
          <w:szCs w:val="20"/>
        </w:rPr>
        <w:t xml:space="preserve"> (LIAB-G-1)</w:t>
      </w:r>
      <w:bookmarkEnd w:id="243"/>
    </w:p>
    <w:p w14:paraId="7FE1CF0A" w14:textId="69A86E79" w:rsidR="00414040" w:rsidRDefault="00904E1A">
      <w:pPr>
        <w:pStyle w:val="P68B1DB1-Numberedtitlelevel385"/>
      </w:pPr>
      <w:bookmarkStart w:id="244" w:name="_Toc81454213"/>
      <w:r>
        <w:t>Observaciones generales</w:t>
      </w:r>
    </w:p>
    <w:p w14:paraId="7FE1CF0B" w14:textId="757BDAAF" w:rsidR="00414040" w:rsidRDefault="00904E1A">
      <w:pPr>
        <w:pStyle w:val="P68B1DB1-InstructionsText26"/>
        <w:numPr>
          <w:ilvl w:val="2"/>
          <w:numId w:val="209"/>
        </w:numPr>
        <w:spacing w:before="0"/>
        <w:ind w:left="1276"/>
        <w:rPr>
          <w:rFonts w:eastAsiaTheme="majorEastAsia"/>
          <w:lang w:val="es-ES"/>
        </w:rPr>
      </w:pPr>
      <w:r w:rsidRPr="27597B4C">
        <w:rPr>
          <w:lang w:val="es-ES"/>
        </w:rPr>
        <w:t xml:space="preserve">Este cuadro requiere información sobre los pasivos intragrupo </w:t>
      </w:r>
      <w:r w:rsidR="0ADE2881" w:rsidRPr="27597B4C">
        <w:rPr>
          <w:lang w:val="es-ES"/>
        </w:rPr>
        <w:t>abarcando</w:t>
      </w:r>
      <w:r w:rsidRPr="27597B4C">
        <w:rPr>
          <w:lang w:val="es-ES"/>
        </w:rPr>
        <w:t xml:space="preserve"> todos los fondos propios y pasivos.</w:t>
      </w:r>
    </w:p>
    <w:p w14:paraId="7FE1CF0C" w14:textId="4EB93BD0" w:rsidR="00414040" w:rsidRDefault="0090724D" w:rsidP="2647857F">
      <w:pPr>
        <w:pStyle w:val="P68B1DB1-InstructionsText26"/>
        <w:numPr>
          <w:ilvl w:val="2"/>
          <w:numId w:val="209"/>
        </w:numPr>
        <w:spacing w:before="0"/>
        <w:ind w:left="1276"/>
        <w:rPr>
          <w:rFonts w:eastAsiaTheme="majorEastAsia"/>
        </w:rPr>
      </w:pPr>
      <w:r>
        <w:t>Los entes</w:t>
      </w:r>
      <w:r w:rsidR="3989B834">
        <w:t xml:space="preserve"> que deben considerarse como intragrupo son aquell</w:t>
      </w:r>
      <w:r>
        <w:t>o</w:t>
      </w:r>
      <w:r w:rsidR="3989B834">
        <w:t xml:space="preserve">s que </w:t>
      </w:r>
      <w:r w:rsidR="00654825">
        <w:t xml:space="preserve">—de </w:t>
      </w:r>
      <w:r w:rsidR="3989B834">
        <w:t>conformidad con la definición de la columna 0100 de Z02.00</w:t>
      </w:r>
      <w:r w:rsidR="00654825">
        <w:t xml:space="preserve">— </w:t>
      </w:r>
      <w:r w:rsidR="3989B834">
        <w:t>pertenecen al ámbito contable de consolidación de</w:t>
      </w:r>
      <w:r w:rsidR="314B755D">
        <w:t>l</w:t>
      </w:r>
      <w:r w:rsidR="3989B834">
        <w:t xml:space="preserve"> ent</w:t>
      </w:r>
      <w:r w:rsidR="43FD9164">
        <w:t>e</w:t>
      </w:r>
      <w:r w:rsidR="3989B834">
        <w:t xml:space="preserve"> matriz últim</w:t>
      </w:r>
      <w:r w:rsidR="3204D958">
        <w:t>o</w:t>
      </w:r>
      <w:r w:rsidR="3989B834">
        <w:t xml:space="preserve">. En consecuencia, estos pasivos no se </w:t>
      </w:r>
      <w:proofErr w:type="gramStart"/>
      <w:r w:rsidR="3E602D54">
        <w:t xml:space="preserve">informarán </w:t>
      </w:r>
      <w:r w:rsidR="3989B834">
        <w:t xml:space="preserve"> en</w:t>
      </w:r>
      <w:proofErr w:type="gramEnd"/>
      <w:r w:rsidR="3989B834">
        <w:t xml:space="preserve"> las pestañas detalladas Z 12.00 a Z 17.00, excepto en el caso de Z 15.00 Derivados (véase más adelante).</w:t>
      </w:r>
    </w:p>
    <w:p w14:paraId="7FE1CF0D" w14:textId="33386724" w:rsidR="00414040" w:rsidRDefault="3989B834" w:rsidP="2647857F">
      <w:pPr>
        <w:pStyle w:val="P68B1DB1-InstructionsText26"/>
        <w:numPr>
          <w:ilvl w:val="2"/>
          <w:numId w:val="209"/>
        </w:numPr>
        <w:spacing w:before="0"/>
        <w:ind w:left="1276"/>
        <w:rPr>
          <w:rFonts w:eastAsiaTheme="majorEastAsia"/>
        </w:rPr>
      </w:pPr>
      <w:r>
        <w:t xml:space="preserve">Los derivados son de naturaleza específica y no se </w:t>
      </w:r>
      <w:r w:rsidR="5BAD6602">
        <w:t>informan</w:t>
      </w:r>
      <w:r>
        <w:t xml:space="preserve"> en Z 11.00, sino siempre en Z 15.00.</w:t>
      </w:r>
    </w:p>
    <w:p w14:paraId="7FE1CF0E" w14:textId="6DF2B599" w:rsidR="00414040" w:rsidRDefault="3989B834" w:rsidP="2647857F">
      <w:pPr>
        <w:pStyle w:val="P68B1DB1-InstructionsText26"/>
        <w:numPr>
          <w:ilvl w:val="2"/>
          <w:numId w:val="209"/>
        </w:numPr>
        <w:spacing w:before="0"/>
        <w:ind w:left="1276"/>
        <w:rPr>
          <w:rFonts w:eastAsiaTheme="majorEastAsia"/>
          <w:lang w:val="es-ES"/>
        </w:rPr>
      </w:pPr>
      <w:r w:rsidRPr="2647857F">
        <w:rPr>
          <w:lang w:val="es-ES"/>
        </w:rPr>
        <w:t xml:space="preserve">Todos los pasivos emitidos a </w:t>
      </w:r>
      <w:r w:rsidRPr="083490A9">
        <w:rPr>
          <w:lang w:val="es-ES"/>
        </w:rPr>
        <w:t>ent</w:t>
      </w:r>
      <w:r w:rsidR="3E8891FC" w:rsidRPr="083490A9">
        <w:rPr>
          <w:lang w:val="es-ES"/>
        </w:rPr>
        <w:t>es</w:t>
      </w:r>
      <w:r w:rsidRPr="083490A9">
        <w:rPr>
          <w:lang w:val="es-ES"/>
        </w:rPr>
        <w:t xml:space="preserve"> incluid</w:t>
      </w:r>
      <w:r w:rsidR="23F00759" w:rsidRPr="083490A9">
        <w:rPr>
          <w:lang w:val="es-ES"/>
        </w:rPr>
        <w:t>o</w:t>
      </w:r>
      <w:r w:rsidRPr="083490A9">
        <w:rPr>
          <w:lang w:val="es-ES"/>
        </w:rPr>
        <w:t>s</w:t>
      </w:r>
      <w:r w:rsidRPr="2647857F">
        <w:rPr>
          <w:lang w:val="es-ES"/>
        </w:rPr>
        <w:t xml:space="preserve"> en el ámbito de consolidación contable (incluidas las entidades con cometido especial incluidas en el ámbito de consolidación), tanto dentro como fuera del grupo de resolución, se </w:t>
      </w:r>
      <w:proofErr w:type="gramStart"/>
      <w:r w:rsidR="69ED223D" w:rsidRPr="2647857F">
        <w:rPr>
          <w:lang w:val="es-ES"/>
        </w:rPr>
        <w:t xml:space="preserve">incluirán </w:t>
      </w:r>
      <w:r w:rsidRPr="2647857F">
        <w:rPr>
          <w:lang w:val="es-ES"/>
        </w:rPr>
        <w:t xml:space="preserve"> en</w:t>
      </w:r>
      <w:proofErr w:type="gramEnd"/>
      <w:r w:rsidRPr="2647857F">
        <w:rPr>
          <w:lang w:val="es-ES"/>
        </w:rPr>
        <w:t xml:space="preserve"> la plantilla Z 11.00. A efectos </w:t>
      </w:r>
      <w:proofErr w:type="gramStart"/>
      <w:r w:rsidRPr="2647857F">
        <w:rPr>
          <w:lang w:val="es-ES"/>
        </w:rPr>
        <w:t xml:space="preserve">de </w:t>
      </w:r>
      <w:r w:rsidR="681BE76A" w:rsidRPr="2647857F">
        <w:rPr>
          <w:lang w:val="es-ES"/>
        </w:rPr>
        <w:t xml:space="preserve"> </w:t>
      </w:r>
      <w:r w:rsidR="681BE76A" w:rsidRPr="45FB0287">
        <w:rPr>
          <w:lang w:val="es-ES"/>
        </w:rPr>
        <w:t>est</w:t>
      </w:r>
      <w:r w:rsidR="7B09EDF8" w:rsidRPr="45FB0287">
        <w:rPr>
          <w:lang w:val="es-ES"/>
        </w:rPr>
        <w:t>a</w:t>
      </w:r>
      <w:proofErr w:type="gramEnd"/>
      <w:r w:rsidR="7B09EDF8" w:rsidRPr="45FB0287">
        <w:rPr>
          <w:lang w:val="es-ES"/>
        </w:rPr>
        <w:t xml:space="preserve"> </w:t>
      </w:r>
      <w:r w:rsidR="7B09EDF8" w:rsidRPr="67BF93CB">
        <w:rPr>
          <w:lang w:val="es-ES"/>
        </w:rPr>
        <w:t>plantilla</w:t>
      </w:r>
      <w:r w:rsidRPr="2647857F">
        <w:rPr>
          <w:lang w:val="es-ES"/>
        </w:rPr>
        <w:t xml:space="preserve">, los pasivos deben comunicarse por operación, es decir, cada operación </w:t>
      </w:r>
      <w:proofErr w:type="gramStart"/>
      <w:r w:rsidRPr="2647857F">
        <w:rPr>
          <w:lang w:val="es-ES"/>
        </w:rPr>
        <w:t xml:space="preserve">presentada </w:t>
      </w:r>
      <w:r w:rsidR="00844A73">
        <w:rPr>
          <w:lang w:val="es-ES"/>
        </w:rPr>
        <w:t xml:space="preserve"> en</w:t>
      </w:r>
      <w:proofErr w:type="gramEnd"/>
      <w:r w:rsidR="00B6207E">
        <w:rPr>
          <w:lang w:val="es-ES"/>
        </w:rPr>
        <w:t xml:space="preserve"> </w:t>
      </w:r>
      <w:r w:rsidR="7A97BAC5" w:rsidRPr="00210421">
        <w:rPr>
          <w:lang w:val="es-ES"/>
        </w:rPr>
        <w:t xml:space="preserve">una fila </w:t>
      </w:r>
      <w:proofErr w:type="gramStart"/>
      <w:r w:rsidR="00755EA1">
        <w:rPr>
          <w:lang w:val="es-ES"/>
        </w:rPr>
        <w:t xml:space="preserve">independiente </w:t>
      </w:r>
      <w:r w:rsidRPr="2647857F">
        <w:rPr>
          <w:lang w:val="es-ES"/>
        </w:rPr>
        <w:t>.</w:t>
      </w:r>
      <w:proofErr w:type="gramEnd"/>
      <w:r w:rsidRPr="2647857F">
        <w:rPr>
          <w:lang w:val="es-ES"/>
        </w:rPr>
        <w:t xml:space="preserve"> Sin embargo, las operaciones deben </w:t>
      </w:r>
      <w:r w:rsidR="6769055A" w:rsidRPr="2647857F">
        <w:rPr>
          <w:lang w:val="es-ES"/>
        </w:rPr>
        <w:t>informarse</w:t>
      </w:r>
      <w:r w:rsidRPr="2647857F">
        <w:rPr>
          <w:lang w:val="es-ES"/>
        </w:rPr>
        <w:t xml:space="preserve"> en varias filas en caso de que correspondan a diferentes </w:t>
      </w:r>
      <w:r w:rsidR="78103358" w:rsidRPr="2647857F">
        <w:rPr>
          <w:lang w:val="es-ES"/>
        </w:rPr>
        <w:t xml:space="preserve">rangos </w:t>
      </w:r>
      <w:r w:rsidR="005B05BB">
        <w:rPr>
          <w:lang w:val="es-ES"/>
        </w:rPr>
        <w:t xml:space="preserve">en caso </w:t>
      </w:r>
      <w:r w:rsidRPr="2647857F">
        <w:rPr>
          <w:lang w:val="es-ES"/>
        </w:rPr>
        <w:t>de insolvencia.</w:t>
      </w:r>
    </w:p>
    <w:p w14:paraId="7FE1CF0F" w14:textId="77777777" w:rsidR="00414040" w:rsidRDefault="00904E1A">
      <w:pPr>
        <w:pStyle w:val="P68B1DB1-Numberedtitlelevel372"/>
      </w:pPr>
      <w:r>
        <w:t>Instrucciones relativas a posiciones concretas</w:t>
      </w:r>
    </w:p>
    <w:tbl>
      <w:tblPr>
        <w:tblW w:w="9024" w:type="dxa"/>
        <w:tblLook w:val="01E0" w:firstRow="1" w:lastRow="1" w:firstColumn="1" w:lastColumn="1" w:noHBand="0" w:noVBand="0"/>
      </w:tblPr>
      <w:tblGrid>
        <w:gridCol w:w="1135"/>
        <w:gridCol w:w="7717"/>
        <w:gridCol w:w="172"/>
      </w:tblGrid>
      <w:tr w:rsidR="00414040" w14:paraId="7FE1CF14" w14:textId="77777777" w:rsidTr="618604ED">
        <w:trPr>
          <w:gridAfter w:val="1"/>
          <w:wAfter w:w="172" w:type="dxa"/>
          <w:tblHeader/>
        </w:trPr>
        <w:tc>
          <w:tcPr>
            <w:tcW w:w="1135" w:type="dxa"/>
            <w:tcBorders>
              <w:top w:val="single" w:sz="4" w:space="0" w:color="1A171C"/>
              <w:left w:val="nil"/>
              <w:bottom w:val="single" w:sz="4" w:space="0" w:color="1A171C"/>
              <w:right w:val="single" w:sz="4" w:space="0" w:color="1A171C"/>
            </w:tcBorders>
            <w:shd w:val="clear" w:color="auto" w:fill="E4E5E5"/>
          </w:tcPr>
          <w:p w14:paraId="7FE1CF12" w14:textId="77777777" w:rsidR="00414040" w:rsidRDefault="00904E1A">
            <w:pPr>
              <w:pStyle w:val="P68B1DB1-TableParagraph17"/>
              <w:spacing w:before="108"/>
              <w:ind w:left="85"/>
            </w:pPr>
            <w:r>
              <w:lastRenderedPageBreak/>
              <w:t xml:space="preserve">Columnas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414040" w:rsidRDefault="00904E1A">
            <w:pPr>
              <w:pStyle w:val="P68B1DB1-TableParagraph17"/>
              <w:spacing w:before="108"/>
              <w:ind w:left="85" w:right="1"/>
            </w:pPr>
            <w:r>
              <w:t>Instrucciones</w:t>
            </w:r>
          </w:p>
        </w:tc>
      </w:tr>
      <w:tr w:rsidR="00414040" w14:paraId="7FE1CF18" w14:textId="77777777" w:rsidTr="618604ED">
        <w:tc>
          <w:tcPr>
            <w:tcW w:w="1135" w:type="dxa"/>
            <w:tcBorders>
              <w:top w:val="single" w:sz="8" w:space="0" w:color="1A171C"/>
              <w:left w:val="nil"/>
              <w:bottom w:val="single" w:sz="8" w:space="0" w:color="1A171C"/>
              <w:right w:val="single" w:sz="8" w:space="0" w:color="1A171C"/>
            </w:tcBorders>
            <w:vAlign w:val="center"/>
          </w:tcPr>
          <w:p w14:paraId="7FE1CF15" w14:textId="77777777" w:rsidR="00414040" w:rsidRDefault="00904E1A">
            <w:pPr>
              <w:pStyle w:val="P68B1DB1-Normal31"/>
            </w:pPr>
            <w:r>
              <w:t>0010</w:t>
            </w:r>
          </w:p>
        </w:tc>
        <w:tc>
          <w:tcPr>
            <w:tcW w:w="7889" w:type="dxa"/>
            <w:gridSpan w:val="2"/>
            <w:tcBorders>
              <w:top w:val="single" w:sz="8" w:space="0" w:color="1A171C"/>
              <w:left w:val="single" w:sz="8" w:space="0" w:color="1A171C"/>
              <w:bottom w:val="single" w:sz="8" w:space="0" w:color="1A171C"/>
              <w:right w:val="nil"/>
            </w:tcBorders>
            <w:vAlign w:val="bottom"/>
          </w:tcPr>
          <w:p w14:paraId="7FE1CF16" w14:textId="132DA0A0" w:rsidR="00414040" w:rsidRDefault="00904E1A">
            <w:pPr>
              <w:pStyle w:val="P68B1DB1-TableParagraph40"/>
              <w:spacing w:before="108"/>
              <w:ind w:left="85"/>
              <w:jc w:val="both"/>
              <w:rPr>
                <w:b/>
                <w:bCs/>
              </w:rPr>
            </w:pPr>
            <w:r>
              <w:t xml:space="preserve"> </w:t>
            </w:r>
            <w:r>
              <w:rPr>
                <w:b/>
              </w:rPr>
              <w:t>N.</w:t>
            </w:r>
            <w:r w:rsidR="0055282F">
              <w:rPr>
                <w:b/>
              </w:rPr>
              <w:t>º</w:t>
            </w:r>
          </w:p>
          <w:p w14:paraId="7FE1CF17" w14:textId="5877DF48" w:rsidR="00414040" w:rsidRDefault="00904E1A">
            <w:pPr>
              <w:pStyle w:val="P68B1DB1-TableParagraph40"/>
              <w:spacing w:before="108"/>
              <w:ind w:left="85"/>
              <w:jc w:val="both"/>
            </w:pPr>
            <w:r>
              <w:t xml:space="preserve">Número único o clave principal </w:t>
            </w:r>
            <w:r w:rsidR="0055282F" w:rsidRPr="00B6207E">
              <w:t>única</w:t>
            </w:r>
            <w:r w:rsidR="0055282F">
              <w:t xml:space="preserve"> </w:t>
            </w:r>
            <w:r>
              <w:t xml:space="preserve">para identificar las </w:t>
            </w:r>
            <w:r w:rsidR="46CF5497">
              <w:t>filas</w:t>
            </w:r>
            <w:r>
              <w:t xml:space="preserve">. </w:t>
            </w:r>
          </w:p>
        </w:tc>
      </w:tr>
      <w:tr w:rsidR="00414040" w14:paraId="7FE1CF1C" w14:textId="77777777" w:rsidTr="618604ED">
        <w:tc>
          <w:tcPr>
            <w:tcW w:w="1135" w:type="dxa"/>
            <w:tcBorders>
              <w:top w:val="single" w:sz="8" w:space="0" w:color="1A171C"/>
              <w:left w:val="nil"/>
              <w:bottom w:val="single" w:sz="8" w:space="0" w:color="1A171C"/>
              <w:right w:val="single" w:sz="8" w:space="0" w:color="1A171C"/>
            </w:tcBorders>
            <w:vAlign w:val="center"/>
          </w:tcPr>
          <w:p w14:paraId="7FE1CF19" w14:textId="77777777" w:rsidR="00414040" w:rsidRDefault="00904E1A">
            <w:pPr>
              <w:pStyle w:val="P68B1DB1-Normal31"/>
            </w:pPr>
            <w:r>
              <w:t>0020</w:t>
            </w:r>
          </w:p>
        </w:tc>
        <w:tc>
          <w:tcPr>
            <w:tcW w:w="7889" w:type="dxa"/>
            <w:gridSpan w:val="2"/>
            <w:tcBorders>
              <w:top w:val="single" w:sz="8" w:space="0" w:color="1A171C"/>
              <w:left w:val="single" w:sz="8" w:space="0" w:color="1A171C"/>
              <w:bottom w:val="single" w:sz="8" w:space="0" w:color="1A171C"/>
              <w:right w:val="nil"/>
            </w:tcBorders>
            <w:vAlign w:val="bottom"/>
          </w:tcPr>
          <w:p w14:paraId="7FE1CF1A" w14:textId="77777777" w:rsidR="00414040" w:rsidRDefault="00904E1A">
            <w:pPr>
              <w:pStyle w:val="P68B1DB1-TableParagraph40"/>
              <w:spacing w:before="108"/>
              <w:ind w:left="85"/>
              <w:jc w:val="both"/>
              <w:rPr>
                <w:b/>
                <w:bCs/>
              </w:rPr>
            </w:pPr>
            <w:r>
              <w:t xml:space="preserve"> </w:t>
            </w:r>
            <w:r>
              <w:rPr>
                <w:b/>
              </w:rPr>
              <w:t>Fila</w:t>
            </w:r>
          </w:p>
          <w:p w14:paraId="7FE1CF1B" w14:textId="09BDC01A" w:rsidR="00414040" w:rsidRDefault="00904E1A">
            <w:pPr>
              <w:pStyle w:val="P68B1DB1-TableParagraph40"/>
              <w:spacing w:before="108"/>
              <w:ind w:left="85"/>
              <w:jc w:val="both"/>
            </w:pPr>
            <w:r>
              <w:t xml:space="preserve">Para cada instrumento, deberá realizarse una conciliación con las categorías de pasivos de la estructura del pasivo </w:t>
            </w:r>
            <w:r w:rsidR="008E17D4">
              <w:t xml:space="preserve">de </w:t>
            </w:r>
            <w:r>
              <w:t>Z02.00 a partir de una lista predefinida de valores.</w:t>
            </w:r>
          </w:p>
        </w:tc>
      </w:tr>
      <w:tr w:rsidR="00414040" w14:paraId="7FE1CF20" w14:textId="77777777" w:rsidTr="618604ED">
        <w:tc>
          <w:tcPr>
            <w:tcW w:w="1135" w:type="dxa"/>
            <w:tcBorders>
              <w:top w:val="single" w:sz="8" w:space="0" w:color="1A171C"/>
              <w:left w:val="nil"/>
              <w:bottom w:val="single" w:sz="8" w:space="0" w:color="1A171C"/>
              <w:right w:val="single" w:sz="8" w:space="0" w:color="1A171C"/>
            </w:tcBorders>
            <w:vAlign w:val="center"/>
          </w:tcPr>
          <w:p w14:paraId="7FE1CF1D" w14:textId="77777777" w:rsidR="00414040" w:rsidRDefault="00904E1A">
            <w:pPr>
              <w:pStyle w:val="P68B1DB1-Normal31"/>
            </w:pPr>
            <w:r>
              <w:t>0021</w:t>
            </w:r>
          </w:p>
        </w:tc>
        <w:tc>
          <w:tcPr>
            <w:tcW w:w="7889" w:type="dxa"/>
            <w:gridSpan w:val="2"/>
            <w:tcBorders>
              <w:top w:val="single" w:sz="8" w:space="0" w:color="1A171C"/>
              <w:left w:val="single" w:sz="8" w:space="0" w:color="1A171C"/>
              <w:bottom w:val="single" w:sz="8" w:space="0" w:color="1A171C"/>
              <w:right w:val="nil"/>
            </w:tcBorders>
            <w:vAlign w:val="bottom"/>
          </w:tcPr>
          <w:p w14:paraId="7FE1CF1E" w14:textId="77777777" w:rsidR="00414040" w:rsidRDefault="00904E1A">
            <w:pPr>
              <w:pStyle w:val="P68B1DB1-TableParagraph73"/>
              <w:spacing w:before="108"/>
              <w:ind w:left="85"/>
              <w:jc w:val="both"/>
              <w:rPr>
                <w:bCs/>
              </w:rPr>
            </w:pPr>
            <w:r>
              <w:t xml:space="preserve">Columna </w:t>
            </w:r>
          </w:p>
          <w:p w14:paraId="7FE1CF1F" w14:textId="4F7F4AFC" w:rsidR="00414040" w:rsidRDefault="00904E1A">
            <w:pPr>
              <w:pStyle w:val="P68B1DB1-TableParagraph40"/>
              <w:spacing w:before="108"/>
              <w:ind w:left="85"/>
              <w:jc w:val="both"/>
            </w:pPr>
            <w:r>
              <w:t xml:space="preserve">Para cada instrumento, deberá realizarse una conciliación con la categoría de contraparte </w:t>
            </w:r>
            <w:r w:rsidR="008E17D4" w:rsidRPr="00B6207E">
              <w:t>de</w:t>
            </w:r>
            <w:r w:rsidR="008E17D4">
              <w:t xml:space="preserve"> </w:t>
            </w:r>
            <w:r>
              <w:t>Z02.00 con la que se ha contraído el pasivo, a partir de una lista predefinida de valores.</w:t>
            </w:r>
          </w:p>
        </w:tc>
      </w:tr>
      <w:tr w:rsidR="00414040" w14:paraId="7FE1CF24" w14:textId="77777777" w:rsidTr="618604ED">
        <w:tc>
          <w:tcPr>
            <w:tcW w:w="1135" w:type="dxa"/>
            <w:tcBorders>
              <w:top w:val="single" w:sz="8" w:space="0" w:color="1A171C"/>
              <w:left w:val="nil"/>
              <w:bottom w:val="single" w:sz="8" w:space="0" w:color="1A171C"/>
              <w:right w:val="single" w:sz="8" w:space="0" w:color="1A171C"/>
            </w:tcBorders>
            <w:vAlign w:val="center"/>
          </w:tcPr>
          <w:p w14:paraId="7FE1CF21" w14:textId="77777777" w:rsidR="00414040" w:rsidRDefault="00904E1A">
            <w:pPr>
              <w:pStyle w:val="P68B1DB1-Normal31"/>
            </w:pPr>
            <w:r>
              <w:t>0030</w:t>
            </w:r>
          </w:p>
        </w:tc>
        <w:tc>
          <w:tcPr>
            <w:tcW w:w="7889" w:type="dxa"/>
            <w:gridSpan w:val="2"/>
            <w:tcBorders>
              <w:top w:val="single" w:sz="8" w:space="0" w:color="1A171C"/>
              <w:left w:val="single" w:sz="8" w:space="0" w:color="1A171C"/>
              <w:bottom w:val="single" w:sz="8" w:space="0" w:color="1A171C"/>
              <w:right w:val="nil"/>
            </w:tcBorders>
            <w:vAlign w:val="bottom"/>
          </w:tcPr>
          <w:p w14:paraId="7FE1CF22" w14:textId="616C7F76" w:rsidR="00414040" w:rsidRDefault="609C6BB7">
            <w:pPr>
              <w:pStyle w:val="P68B1DB1-TableParagraph73"/>
              <w:spacing w:before="108"/>
              <w:ind w:left="85"/>
              <w:jc w:val="both"/>
            </w:pPr>
            <w:r>
              <w:t xml:space="preserve"> Rango en caso </w:t>
            </w:r>
            <w:r w:rsidR="3989B834">
              <w:t>de insolvencia</w:t>
            </w:r>
          </w:p>
          <w:p w14:paraId="7FE1CF23" w14:textId="1A62AA83" w:rsidR="00414040" w:rsidRDefault="3989B834">
            <w:pPr>
              <w:pStyle w:val="P68B1DB1-TableParagraph40"/>
              <w:spacing w:before="108"/>
              <w:ind w:left="85"/>
              <w:jc w:val="both"/>
            </w:pPr>
            <w:r w:rsidRPr="466B0B01">
              <w:rPr>
                <w:lang w:val="es-ES"/>
              </w:rPr>
              <w:t>El rango</w:t>
            </w:r>
            <w:r w:rsidR="00904E1A" w:rsidRPr="466B0B01">
              <w:rPr>
                <w:lang w:val="es-ES"/>
              </w:rPr>
              <w:t xml:space="preserve"> en caso </w:t>
            </w:r>
            <w:r w:rsidRPr="466B0B01">
              <w:rPr>
                <w:lang w:val="es-ES"/>
              </w:rPr>
              <w:t>de insolvencia será uno de los rangos incluidos en el orden de prelación en caso de insolvencia publicado por la autoridad de resolución de ese país.</w:t>
            </w:r>
          </w:p>
        </w:tc>
      </w:tr>
      <w:tr w:rsidR="00414040" w14:paraId="7FE1CF28" w14:textId="77777777" w:rsidTr="618604ED">
        <w:tc>
          <w:tcPr>
            <w:tcW w:w="1135" w:type="dxa"/>
            <w:tcBorders>
              <w:top w:val="single" w:sz="8" w:space="0" w:color="1A171C"/>
              <w:left w:val="nil"/>
              <w:bottom w:val="single" w:sz="8" w:space="0" w:color="1A171C"/>
              <w:right w:val="single" w:sz="8" w:space="0" w:color="1A171C"/>
            </w:tcBorders>
            <w:vAlign w:val="center"/>
          </w:tcPr>
          <w:p w14:paraId="7FE1CF25" w14:textId="77777777" w:rsidR="00414040" w:rsidRDefault="00904E1A">
            <w:pPr>
              <w:pStyle w:val="P68B1DB1-Normal31"/>
            </w:pPr>
            <w:r>
              <w:t>0040</w:t>
            </w:r>
          </w:p>
        </w:tc>
        <w:tc>
          <w:tcPr>
            <w:tcW w:w="7889" w:type="dxa"/>
            <w:gridSpan w:val="2"/>
            <w:tcBorders>
              <w:top w:val="single" w:sz="8" w:space="0" w:color="1A171C"/>
              <w:left w:val="single" w:sz="8" w:space="0" w:color="1A171C"/>
              <w:bottom w:val="single" w:sz="8" w:space="0" w:color="1A171C"/>
              <w:right w:val="nil"/>
            </w:tcBorders>
            <w:vAlign w:val="bottom"/>
          </w:tcPr>
          <w:p w14:paraId="7FE1CF26" w14:textId="77777777" w:rsidR="00414040" w:rsidRDefault="00904E1A">
            <w:pPr>
              <w:pStyle w:val="P68B1DB1-TableParagraph73"/>
              <w:spacing w:before="108"/>
              <w:ind w:left="85"/>
              <w:jc w:val="both"/>
              <w:rPr>
                <w:bCs/>
              </w:rPr>
            </w:pPr>
            <w:r>
              <w:t>Identificador del contrato</w:t>
            </w:r>
          </w:p>
          <w:p w14:paraId="7FE1CF27" w14:textId="5E827C31" w:rsidR="00414040" w:rsidRDefault="00904E1A">
            <w:pPr>
              <w:pStyle w:val="P68B1DB1-TableParagraph40"/>
              <w:spacing w:before="108"/>
              <w:ind w:left="85"/>
              <w:jc w:val="both"/>
            </w:pPr>
            <w:r>
              <w:t>Se comunicará el ISIN o, en caso de que el ISIN no esté disponible, otro identificador del contrato del instrumento.</w:t>
            </w:r>
          </w:p>
        </w:tc>
      </w:tr>
      <w:tr w:rsidR="00414040" w14:paraId="7FE1CF2C" w14:textId="77777777" w:rsidTr="618604ED">
        <w:tc>
          <w:tcPr>
            <w:tcW w:w="1135" w:type="dxa"/>
            <w:tcBorders>
              <w:top w:val="single" w:sz="8" w:space="0" w:color="1A171C"/>
              <w:left w:val="nil"/>
              <w:bottom w:val="single" w:sz="8" w:space="0" w:color="1A171C"/>
              <w:right w:val="single" w:sz="8" w:space="0" w:color="1A171C"/>
            </w:tcBorders>
            <w:vAlign w:val="center"/>
          </w:tcPr>
          <w:p w14:paraId="7FE1CF29" w14:textId="77777777" w:rsidR="00414040" w:rsidRDefault="00904E1A">
            <w:pPr>
              <w:pStyle w:val="P68B1DB1-Normal31"/>
            </w:pPr>
            <w:r>
              <w:t>0045</w:t>
            </w:r>
          </w:p>
        </w:tc>
        <w:tc>
          <w:tcPr>
            <w:tcW w:w="7889" w:type="dxa"/>
            <w:gridSpan w:val="2"/>
            <w:tcBorders>
              <w:top w:val="single" w:sz="8" w:space="0" w:color="1A171C"/>
              <w:left w:val="single" w:sz="8" w:space="0" w:color="1A171C"/>
              <w:bottom w:val="single" w:sz="8" w:space="0" w:color="1A171C"/>
              <w:right w:val="nil"/>
            </w:tcBorders>
            <w:vAlign w:val="bottom"/>
          </w:tcPr>
          <w:p w14:paraId="7FE1CF2A" w14:textId="49B7BD39" w:rsidR="00414040" w:rsidRDefault="00904E1A">
            <w:pPr>
              <w:pStyle w:val="P68B1DB1-TableParagraph73"/>
              <w:spacing w:before="108"/>
              <w:ind w:left="85"/>
              <w:jc w:val="both"/>
              <w:rPr>
                <w:bCs/>
              </w:rPr>
            </w:pPr>
            <w:r>
              <w:t>Nombre de la contraparte.</w:t>
            </w:r>
          </w:p>
          <w:p w14:paraId="7FE1CF2B" w14:textId="5634127E" w:rsidR="00414040" w:rsidRDefault="00904E1A">
            <w:pPr>
              <w:pStyle w:val="P68B1DB1-TableParagraph40"/>
              <w:spacing w:before="108"/>
              <w:ind w:left="85"/>
              <w:jc w:val="both"/>
            </w:pPr>
            <w:r>
              <w:t xml:space="preserve">El nombre </w:t>
            </w:r>
            <w:r w:rsidR="0BBDE624">
              <w:t>del ente</w:t>
            </w:r>
            <w:r>
              <w:t xml:space="preserve"> de la contraparte del pasivo.</w:t>
            </w:r>
          </w:p>
        </w:tc>
      </w:tr>
      <w:tr w:rsidR="00414040" w14:paraId="7FE1CF31" w14:textId="77777777" w:rsidTr="618604ED">
        <w:tc>
          <w:tcPr>
            <w:tcW w:w="1135" w:type="dxa"/>
            <w:tcBorders>
              <w:top w:val="single" w:sz="8" w:space="0" w:color="1A171C"/>
              <w:left w:val="nil"/>
              <w:bottom w:val="single" w:sz="8" w:space="0" w:color="1A171C"/>
              <w:right w:val="single" w:sz="8" w:space="0" w:color="1A171C"/>
            </w:tcBorders>
            <w:vAlign w:val="center"/>
          </w:tcPr>
          <w:p w14:paraId="7FE1CF2D" w14:textId="77777777" w:rsidR="00414040" w:rsidRDefault="00904E1A">
            <w:pPr>
              <w:pStyle w:val="P68B1DB1-Normal31"/>
            </w:pPr>
            <w:r>
              <w:t>0050</w:t>
            </w:r>
          </w:p>
        </w:tc>
        <w:tc>
          <w:tcPr>
            <w:tcW w:w="7889" w:type="dxa"/>
            <w:gridSpan w:val="2"/>
            <w:tcBorders>
              <w:top w:val="single" w:sz="8" w:space="0" w:color="1A171C"/>
              <w:left w:val="single" w:sz="8" w:space="0" w:color="1A171C"/>
              <w:bottom w:val="single" w:sz="8" w:space="0" w:color="1A171C"/>
              <w:right w:val="nil"/>
            </w:tcBorders>
            <w:vAlign w:val="bottom"/>
          </w:tcPr>
          <w:p w14:paraId="7FE1CF2E" w14:textId="2BAACD17" w:rsidR="00414040" w:rsidRDefault="00904E1A">
            <w:pPr>
              <w:pStyle w:val="P68B1DB1-TableParagraph73"/>
              <w:spacing w:before="108"/>
              <w:ind w:left="85"/>
              <w:jc w:val="both"/>
              <w:rPr>
                <w:bCs/>
              </w:rPr>
            </w:pPr>
            <w:r>
              <w:t>Identificador de la contraparte</w:t>
            </w:r>
          </w:p>
          <w:p w14:paraId="7FE1CF2F" w14:textId="646FA911" w:rsidR="00414040" w:rsidRPr="00F31A6E" w:rsidRDefault="3989B834" w:rsidP="2647857F">
            <w:pPr>
              <w:pStyle w:val="P68B1DB1-TableParagraph40"/>
              <w:spacing w:before="108"/>
              <w:ind w:left="85"/>
              <w:jc w:val="both"/>
            </w:pPr>
            <w:r w:rsidRPr="2647857F">
              <w:rPr>
                <w:lang w:val="es-ES"/>
              </w:rPr>
              <w:t xml:space="preserve">El código LEI único </w:t>
            </w:r>
            <w:r w:rsidRPr="00F31A6E">
              <w:rPr>
                <w:lang w:val="es-ES"/>
              </w:rPr>
              <w:t>de</w:t>
            </w:r>
            <w:r w:rsidR="65CB83EE" w:rsidRPr="00210421">
              <w:rPr>
                <w:lang w:val="es-ES"/>
              </w:rPr>
              <w:t xml:space="preserve"> la</w:t>
            </w:r>
            <w:r w:rsidRPr="008E17D4">
              <w:rPr>
                <w:lang w:val="es-ES"/>
              </w:rPr>
              <w:t xml:space="preserve"> contrap</w:t>
            </w:r>
            <w:r w:rsidRPr="2647857F">
              <w:rPr>
                <w:lang w:val="es-ES"/>
              </w:rPr>
              <w:t>arte. En ausencia de un LEI, debe utilizarse el identificador único de instituciones financieras monetarias del BCE (</w:t>
            </w:r>
            <w:r w:rsidR="00E43404" w:rsidRPr="00EF2238">
              <w:rPr>
                <w:rFonts w:eastAsia="Verdana"/>
                <w:lang w:val="es-ES"/>
              </w:rPr>
              <w:t xml:space="preserve">identificador </w:t>
            </w:r>
            <w:r w:rsidRPr="2647857F">
              <w:rPr>
                <w:lang w:val="es-ES"/>
              </w:rPr>
              <w:t>de IFM) de la entidad de crédito para uso en RIAD. En ausencia de ambos identificadores se podrá usar el i</w:t>
            </w:r>
            <w:r w:rsidRPr="220D13F3">
              <w:rPr>
                <w:lang w:val="es-ES"/>
              </w:rPr>
              <w:t>dentificador interno</w:t>
            </w:r>
          </w:p>
          <w:p w14:paraId="7FE1CF30" w14:textId="585107E3" w:rsidR="00414040" w:rsidRDefault="00414040">
            <w:pPr>
              <w:pStyle w:val="TableParagraph"/>
              <w:spacing w:before="108"/>
              <w:ind w:left="85"/>
              <w:jc w:val="both"/>
              <w:rPr>
                <w:rFonts w:ascii="Times New Roman" w:eastAsia="Times New Roman" w:hAnsi="Times New Roman" w:cs="Times New Roman"/>
                <w:sz w:val="20"/>
                <w:szCs w:val="20"/>
              </w:rPr>
            </w:pPr>
          </w:p>
        </w:tc>
      </w:tr>
      <w:tr w:rsidR="00414040" w14:paraId="7FE1CF35" w14:textId="77777777" w:rsidTr="618604ED">
        <w:tc>
          <w:tcPr>
            <w:tcW w:w="1135" w:type="dxa"/>
            <w:tcBorders>
              <w:top w:val="single" w:sz="8" w:space="0" w:color="1A171C"/>
              <w:left w:val="nil"/>
              <w:bottom w:val="single" w:sz="8" w:space="0" w:color="1A171C"/>
              <w:right w:val="single" w:sz="8" w:space="0" w:color="1A171C"/>
            </w:tcBorders>
            <w:vAlign w:val="center"/>
          </w:tcPr>
          <w:p w14:paraId="7FE1CF32" w14:textId="37A8736C" w:rsidR="00414040" w:rsidRDefault="00904E1A">
            <w:pPr>
              <w:pStyle w:val="P68B1DB1-Normal31"/>
            </w:pPr>
            <w:r>
              <w:t>0053</w:t>
            </w:r>
          </w:p>
        </w:tc>
        <w:tc>
          <w:tcPr>
            <w:tcW w:w="7889" w:type="dxa"/>
            <w:gridSpan w:val="2"/>
            <w:tcBorders>
              <w:top w:val="single" w:sz="8" w:space="0" w:color="1A171C"/>
              <w:left w:val="single" w:sz="8" w:space="0" w:color="1A171C"/>
              <w:bottom w:val="single" w:sz="8" w:space="0" w:color="1A171C"/>
              <w:right w:val="nil"/>
            </w:tcBorders>
            <w:vAlign w:val="bottom"/>
          </w:tcPr>
          <w:p w14:paraId="7FE1CF33" w14:textId="77777777" w:rsidR="00414040" w:rsidRDefault="00904E1A">
            <w:pPr>
              <w:pStyle w:val="P68B1DB1-TableParagraph73"/>
              <w:spacing w:before="108"/>
              <w:ind w:left="85"/>
              <w:jc w:val="both"/>
              <w:rPr>
                <w:bCs/>
              </w:rPr>
            </w:pPr>
            <w:r>
              <w:t>Tipo de identificador</w:t>
            </w:r>
          </w:p>
          <w:p w14:paraId="7FE1CF34" w14:textId="77777777" w:rsidR="00414040" w:rsidRDefault="3989B834">
            <w:pPr>
              <w:pStyle w:val="P68B1DB1-TableParagraph40"/>
              <w:spacing w:before="108"/>
              <w:ind w:left="85"/>
              <w:jc w:val="both"/>
            </w:pPr>
            <w:r>
              <w:t xml:space="preserve">Se seleccionará una de las opciones siguientes: «Código LEI», «Código de </w:t>
            </w:r>
            <w:r w:rsidRPr="00F31A6E">
              <w:t>IFM</w:t>
            </w:r>
            <w:r>
              <w:t>» o «Tipo de identificador: distinto del código LEI o de IFM».</w:t>
            </w:r>
          </w:p>
        </w:tc>
      </w:tr>
      <w:tr w:rsidR="00414040" w14:paraId="7FE1CF39" w14:textId="77777777" w:rsidTr="618604ED">
        <w:tc>
          <w:tcPr>
            <w:tcW w:w="1135" w:type="dxa"/>
            <w:tcBorders>
              <w:top w:val="single" w:sz="8" w:space="0" w:color="1A171C"/>
              <w:left w:val="nil"/>
              <w:bottom w:val="single" w:sz="8" w:space="0" w:color="1A171C"/>
              <w:right w:val="single" w:sz="8" w:space="0" w:color="1A171C"/>
            </w:tcBorders>
            <w:vAlign w:val="center"/>
          </w:tcPr>
          <w:p w14:paraId="7FE1CF36" w14:textId="5460B58C" w:rsidR="00414040" w:rsidRDefault="00904E1A">
            <w:pPr>
              <w:pStyle w:val="P68B1DB1-Normal31"/>
            </w:pPr>
            <w:r>
              <w:t>0055</w:t>
            </w:r>
          </w:p>
        </w:tc>
        <w:tc>
          <w:tcPr>
            <w:tcW w:w="7889" w:type="dxa"/>
            <w:gridSpan w:val="2"/>
            <w:tcBorders>
              <w:top w:val="single" w:sz="8" w:space="0" w:color="1A171C"/>
              <w:left w:val="single" w:sz="8" w:space="0" w:color="1A171C"/>
              <w:bottom w:val="single" w:sz="8" w:space="0" w:color="1A171C"/>
              <w:right w:val="nil"/>
            </w:tcBorders>
            <w:vAlign w:val="bottom"/>
          </w:tcPr>
          <w:p w14:paraId="7FE1CF37" w14:textId="1D21A85C" w:rsidR="00414040" w:rsidRDefault="00904E1A">
            <w:pPr>
              <w:pStyle w:val="P68B1DB1-TableParagraph73"/>
              <w:spacing w:before="108"/>
              <w:ind w:left="85"/>
              <w:jc w:val="both"/>
              <w:rPr>
                <w:bCs/>
              </w:rPr>
            </w:pPr>
            <w:r>
              <w:t>Relación con la contraparte</w:t>
            </w:r>
          </w:p>
          <w:p w14:paraId="7FE1CF38" w14:textId="58CFBC4B" w:rsidR="00414040" w:rsidRDefault="00904E1A">
            <w:pPr>
              <w:pStyle w:val="P68B1DB1-TableParagraph40"/>
              <w:spacing w:before="108"/>
              <w:ind w:left="85"/>
              <w:jc w:val="both"/>
            </w:pPr>
            <w:r>
              <w:t xml:space="preserve">Este campo indica la relación </w:t>
            </w:r>
            <w:r w:rsidR="00C46264">
              <w:t>del ente</w:t>
            </w:r>
            <w:r>
              <w:t xml:space="preserve"> prestatari</w:t>
            </w:r>
            <w:r w:rsidR="00C46264">
              <w:t>o</w:t>
            </w:r>
            <w:r>
              <w:t xml:space="preserve"> con </w:t>
            </w:r>
            <w:r w:rsidR="00C46264">
              <w:t>el ente</w:t>
            </w:r>
            <w:r>
              <w:t xml:space="preserve"> declarante. Está prevista una lista de valores para este campo: la contraparte puede ser una «</w:t>
            </w:r>
            <w:r w:rsidR="00091AAC">
              <w:t>m</w:t>
            </w:r>
            <w:r w:rsidR="0E591402">
              <w:t>atriz</w:t>
            </w:r>
            <w:r w:rsidR="009E3185">
              <w:t xml:space="preserve"> </w:t>
            </w:r>
            <w:r>
              <w:t>directa o indirecta», una «dependiente directa o indirecta» o, alternativamente, una «</w:t>
            </w:r>
            <w:r w:rsidR="00091AAC">
              <w:rPr>
                <w:lang w:val="es-ES"/>
              </w:rPr>
              <w:t>a</w:t>
            </w:r>
            <w:r w:rsidR="1452937B" w:rsidRPr="5228A050">
              <w:rPr>
                <w:lang w:val="es-ES"/>
              </w:rPr>
              <w:t>sociada</w:t>
            </w:r>
            <w:r>
              <w:t>».</w:t>
            </w:r>
          </w:p>
        </w:tc>
      </w:tr>
      <w:tr w:rsidR="00414040" w14:paraId="7FE1CF3D" w14:textId="77777777" w:rsidTr="618604ED">
        <w:tc>
          <w:tcPr>
            <w:tcW w:w="1135" w:type="dxa"/>
            <w:tcBorders>
              <w:top w:val="single" w:sz="8" w:space="0" w:color="1A171C"/>
              <w:left w:val="nil"/>
              <w:bottom w:val="single" w:sz="8" w:space="0" w:color="1A171C"/>
              <w:right w:val="single" w:sz="8" w:space="0" w:color="1A171C"/>
            </w:tcBorders>
            <w:vAlign w:val="center"/>
          </w:tcPr>
          <w:p w14:paraId="7FE1CF3A" w14:textId="77777777" w:rsidR="00414040" w:rsidRDefault="00904E1A">
            <w:pPr>
              <w:pStyle w:val="P68B1DB1-Normal31"/>
            </w:pPr>
            <w:r>
              <w:t>0056</w:t>
            </w:r>
          </w:p>
        </w:tc>
        <w:tc>
          <w:tcPr>
            <w:tcW w:w="7889" w:type="dxa"/>
            <w:gridSpan w:val="2"/>
            <w:tcBorders>
              <w:top w:val="single" w:sz="8" w:space="0" w:color="1A171C"/>
              <w:left w:val="single" w:sz="8" w:space="0" w:color="1A171C"/>
              <w:bottom w:val="single" w:sz="8" w:space="0" w:color="1A171C"/>
              <w:right w:val="nil"/>
            </w:tcBorders>
            <w:vAlign w:val="bottom"/>
          </w:tcPr>
          <w:p w14:paraId="7FE1CF3B" w14:textId="34775F91" w:rsidR="00414040" w:rsidRDefault="5BCD499E">
            <w:pPr>
              <w:pStyle w:val="P68B1DB1-TableParagraph73"/>
              <w:spacing w:before="108"/>
              <w:ind w:left="85"/>
              <w:jc w:val="both"/>
            </w:pPr>
            <w:r>
              <w:t xml:space="preserve">Tipo </w:t>
            </w:r>
            <w:proofErr w:type="gramStart"/>
            <w:r>
              <w:t xml:space="preserve">de </w:t>
            </w:r>
            <w:r w:rsidR="073C23A3">
              <w:t xml:space="preserve"> pasivo</w:t>
            </w:r>
            <w:proofErr w:type="gramEnd"/>
          </w:p>
          <w:p w14:paraId="7FE1CF3C" w14:textId="36F5473A" w:rsidR="00414040" w:rsidRDefault="5BCD499E">
            <w:pPr>
              <w:pStyle w:val="P68B1DB1-TableParagraph40"/>
              <w:spacing w:before="108"/>
              <w:ind w:left="85"/>
              <w:jc w:val="both"/>
            </w:pPr>
            <w:r>
              <w:t xml:space="preserve">En el caso de los pasivos que se </w:t>
            </w:r>
            <w:r w:rsidR="7FEF38A8">
              <w:t>declaran</w:t>
            </w:r>
            <w:r>
              <w:t xml:space="preserve"> en Z02.00</w:t>
            </w:r>
            <w:r w:rsidRPr="00F31A6E">
              <w:t>-c0020-</w:t>
            </w:r>
            <w:r w:rsidR="5F7C646F" w:rsidRPr="00210421">
              <w:t>r0210</w:t>
            </w:r>
            <w:r w:rsidR="00D32070">
              <w:t xml:space="preserve"> </w:t>
            </w:r>
            <w:r>
              <w:t xml:space="preserve">como «r0210 — Pasivos frente a </w:t>
            </w:r>
            <w:r w:rsidR="005646A1">
              <w:t>otros entes</w:t>
            </w:r>
            <w:r>
              <w:t xml:space="preserve"> del grupo de resolución», indíquese el tipo de pasivo que se habría </w:t>
            </w:r>
            <w:r w:rsidR="78CAC743">
              <w:t>informado</w:t>
            </w:r>
            <w:r>
              <w:t xml:space="preserve"> en Z02.00 si el pasivo no se hubiera considerado excluido.</w:t>
            </w:r>
          </w:p>
        </w:tc>
      </w:tr>
      <w:tr w:rsidR="00414040" w14:paraId="7FE1CF41" w14:textId="77777777" w:rsidTr="618604ED">
        <w:tc>
          <w:tcPr>
            <w:tcW w:w="1135" w:type="dxa"/>
            <w:tcBorders>
              <w:top w:val="single" w:sz="8" w:space="0" w:color="1A171C"/>
              <w:left w:val="nil"/>
              <w:bottom w:val="single" w:sz="8" w:space="0" w:color="1A171C"/>
              <w:right w:val="single" w:sz="8" w:space="0" w:color="1A171C"/>
            </w:tcBorders>
            <w:vAlign w:val="center"/>
          </w:tcPr>
          <w:p w14:paraId="7FE1CF3E" w14:textId="23D0ECF1" w:rsidR="00414040" w:rsidRDefault="00904E1A">
            <w:pPr>
              <w:pStyle w:val="P68B1DB1-Normal31"/>
            </w:pPr>
            <w:r>
              <w:t>0060</w:t>
            </w:r>
          </w:p>
        </w:tc>
        <w:tc>
          <w:tcPr>
            <w:tcW w:w="7889" w:type="dxa"/>
            <w:gridSpan w:val="2"/>
            <w:tcBorders>
              <w:top w:val="single" w:sz="8" w:space="0" w:color="1A171C"/>
              <w:left w:val="single" w:sz="8" w:space="0" w:color="1A171C"/>
              <w:bottom w:val="single" w:sz="8" w:space="0" w:color="1A171C"/>
              <w:right w:val="nil"/>
            </w:tcBorders>
            <w:vAlign w:val="bottom"/>
          </w:tcPr>
          <w:p w14:paraId="7FE1CF3F" w14:textId="57D53075" w:rsidR="00414040" w:rsidRDefault="28F201CC">
            <w:pPr>
              <w:pStyle w:val="P68B1DB1-TableParagraph73"/>
              <w:spacing w:before="108"/>
              <w:ind w:left="85"/>
              <w:jc w:val="both"/>
            </w:pPr>
            <w:r>
              <w:t>Derecho</w:t>
            </w:r>
            <w:r w:rsidR="3989B834">
              <w:t xml:space="preserve"> aplicable</w:t>
            </w:r>
          </w:p>
          <w:p w14:paraId="7FE1CF40" w14:textId="5C358217" w:rsidR="00414040" w:rsidRDefault="00904E1A">
            <w:pPr>
              <w:pStyle w:val="P68B1DB1-TableParagraph40"/>
              <w:spacing w:before="108"/>
              <w:ind w:left="85"/>
              <w:jc w:val="both"/>
            </w:pPr>
            <w:r>
              <w:t xml:space="preserve">El código ISO 3166-1 alpha-2 del país cuya legislación rige el instrumento (utilícese el código ISO 3166-2 cuando sea pertinente la ley de una subdivisión administrativa, por ejemplo, «US-NY»). Si el contrato se rige por la normativa de más de un país, se </w:t>
            </w:r>
            <w:r w:rsidR="1B02DE36">
              <w:t>informará</w:t>
            </w:r>
            <w:r>
              <w:t xml:space="preserve"> el país cuya normativa tenga mayor relevancia para el reconocimiento de las </w:t>
            </w:r>
            <w:r w:rsidR="009A0224">
              <w:t xml:space="preserve">competencias </w:t>
            </w:r>
            <w:r>
              <w:t xml:space="preserve">de </w:t>
            </w:r>
            <w:r w:rsidR="009A0224">
              <w:t xml:space="preserve">amortización </w:t>
            </w:r>
            <w:r>
              <w:t xml:space="preserve">y conversión.  </w:t>
            </w:r>
          </w:p>
        </w:tc>
      </w:tr>
      <w:tr w:rsidR="00414040" w14:paraId="7FE1CF4A" w14:textId="77777777" w:rsidTr="618604ED">
        <w:tc>
          <w:tcPr>
            <w:tcW w:w="1135" w:type="dxa"/>
            <w:tcBorders>
              <w:top w:val="single" w:sz="8" w:space="0" w:color="1A171C"/>
              <w:left w:val="nil"/>
              <w:bottom w:val="single" w:sz="8" w:space="0" w:color="1A171C"/>
              <w:right w:val="single" w:sz="8" w:space="0" w:color="1A171C"/>
            </w:tcBorders>
            <w:vAlign w:val="center"/>
          </w:tcPr>
          <w:p w14:paraId="7FE1CF42" w14:textId="77777777" w:rsidR="00414040" w:rsidRDefault="00904E1A">
            <w:pPr>
              <w:pStyle w:val="P68B1DB1-Normal31"/>
            </w:pPr>
            <w:r>
              <w:t>0070</w:t>
            </w:r>
          </w:p>
        </w:tc>
        <w:tc>
          <w:tcPr>
            <w:tcW w:w="7889" w:type="dxa"/>
            <w:gridSpan w:val="2"/>
            <w:tcBorders>
              <w:top w:val="single" w:sz="8" w:space="0" w:color="1A171C"/>
              <w:left w:val="single" w:sz="8" w:space="0" w:color="1A171C"/>
              <w:bottom w:val="single" w:sz="8" w:space="0" w:color="1A171C"/>
              <w:right w:val="nil"/>
            </w:tcBorders>
            <w:vAlign w:val="bottom"/>
          </w:tcPr>
          <w:p w14:paraId="7FE1CF43" w14:textId="37132E78" w:rsidR="00414040" w:rsidRDefault="00904E1A">
            <w:pPr>
              <w:pStyle w:val="P68B1DB1-TableParagraph73"/>
              <w:spacing w:before="108"/>
              <w:ind w:left="85"/>
              <w:jc w:val="both"/>
              <w:rPr>
                <w:bCs/>
              </w:rPr>
            </w:pPr>
            <w:r>
              <w:t xml:space="preserve">Si se trata del Derecho de un tercer país, reconocimiento contractual </w:t>
            </w:r>
          </w:p>
          <w:p w14:paraId="7FE1CF45" w14:textId="5CF8ADB6" w:rsidR="00414040" w:rsidRDefault="3989B834">
            <w:pPr>
              <w:pStyle w:val="P68B1DB1-TableParagraph40"/>
              <w:spacing w:before="108"/>
              <w:ind w:left="85"/>
              <w:jc w:val="both"/>
            </w:pPr>
            <w:r w:rsidRPr="2647857F">
              <w:rPr>
                <w:lang w:val="es-ES"/>
              </w:rPr>
              <w:t xml:space="preserve">Identificación de las disposiciones contractuales para el reconocimiento de las competencias de recapitalización interna de conformidad con el artículo 55 de la </w:t>
            </w:r>
            <w:r w:rsidR="00CB2BE9">
              <w:rPr>
                <w:lang w:val="es-ES"/>
              </w:rPr>
              <w:t>BRRD</w:t>
            </w:r>
            <w:r w:rsidR="2D6AC008" w:rsidRPr="2647857F">
              <w:rPr>
                <w:lang w:val="es-ES"/>
              </w:rPr>
              <w:t>. Se debe indicar de la siguiente lista predefin</w:t>
            </w:r>
            <w:r w:rsidR="00CB2BE9">
              <w:rPr>
                <w:lang w:val="es-ES"/>
              </w:rPr>
              <w:t>i</w:t>
            </w:r>
            <w:r w:rsidR="2D6AC008" w:rsidRPr="2647857F">
              <w:rPr>
                <w:lang w:val="es-ES"/>
              </w:rPr>
              <w:t>da</w:t>
            </w:r>
            <w:r w:rsidR="00CB2BE9">
              <w:rPr>
                <w:lang w:val="es-ES"/>
              </w:rPr>
              <w:t>:</w:t>
            </w:r>
          </w:p>
          <w:p w14:paraId="7FE1CF46" w14:textId="19ECC2EF" w:rsidR="00414040" w:rsidRDefault="00904E1A">
            <w:pPr>
              <w:pStyle w:val="P68B1DB1-TableParagraph40"/>
              <w:spacing w:before="108"/>
              <w:ind w:left="85"/>
              <w:jc w:val="both"/>
            </w:pPr>
            <w:r>
              <w:t xml:space="preserve">«Sí, respaldado por dictamen jurídico» = el pasivo incluye una cláusula de reconocimiento de </w:t>
            </w:r>
            <w:r>
              <w:lastRenderedPageBreak/>
              <w:t xml:space="preserve">recapitalización interna de conformidad con el artículo 55 de la </w:t>
            </w:r>
            <w:r w:rsidR="00CB2BE9">
              <w:t xml:space="preserve">BRRD </w:t>
            </w:r>
            <w:r>
              <w:t>que está respaldada por un dictamen jurídico;</w:t>
            </w:r>
          </w:p>
          <w:p w14:paraId="7FE1CF47" w14:textId="2AFF0917" w:rsidR="00414040" w:rsidRDefault="00904E1A">
            <w:pPr>
              <w:pStyle w:val="P68B1DB1-TableParagraph40"/>
              <w:spacing w:before="108"/>
              <w:ind w:left="85"/>
              <w:jc w:val="both"/>
            </w:pPr>
            <w:r>
              <w:t>«Sí, no respaldado por dictamen jurídico» = el pasivo incluye una cláusula de reconocimiento de recapitalización interna de conformidad con el artículo 55 de la DRRB que actualmente no está respaldada por un dictamen jurídico;</w:t>
            </w:r>
          </w:p>
          <w:p w14:paraId="7FE1CF48" w14:textId="7427A49E" w:rsidR="00414040" w:rsidRDefault="00904E1A">
            <w:pPr>
              <w:pStyle w:val="P68B1DB1-TableParagraph40"/>
              <w:spacing w:before="108"/>
              <w:ind w:left="85"/>
              <w:jc w:val="both"/>
            </w:pPr>
            <w:r>
              <w:t>«No» = el pasivo no incluye una cláusula de reconocimiento de recapitalización interna;</w:t>
            </w:r>
          </w:p>
          <w:p w14:paraId="7FE1CF49" w14:textId="1DD7A097" w:rsidR="00414040" w:rsidRDefault="3989B834">
            <w:pPr>
              <w:pStyle w:val="P68B1DB1-TableParagraph40"/>
              <w:spacing w:before="108"/>
              <w:ind w:left="85"/>
              <w:jc w:val="both"/>
            </w:pPr>
            <w:r>
              <w:t xml:space="preserve">«No </w:t>
            </w:r>
            <w:r w:rsidR="00F72850">
              <w:t>aplicable</w:t>
            </w:r>
            <w:r>
              <w:t xml:space="preserve">».  </w:t>
            </w:r>
          </w:p>
        </w:tc>
      </w:tr>
      <w:tr w:rsidR="00414040" w14:paraId="7FE1CF4E" w14:textId="77777777" w:rsidTr="618604ED">
        <w:tc>
          <w:tcPr>
            <w:tcW w:w="1135" w:type="dxa"/>
            <w:vAlign w:val="center"/>
          </w:tcPr>
          <w:p w14:paraId="7FE1CF4B" w14:textId="77777777" w:rsidR="00414040" w:rsidRDefault="00904E1A">
            <w:pPr>
              <w:pStyle w:val="P68B1DB1-Normal31"/>
            </w:pPr>
            <w:r>
              <w:lastRenderedPageBreak/>
              <w:t>0080</w:t>
            </w:r>
          </w:p>
        </w:tc>
        <w:tc>
          <w:tcPr>
            <w:tcW w:w="7889" w:type="dxa"/>
            <w:gridSpan w:val="2"/>
            <w:tcBorders>
              <w:top w:val="single" w:sz="8" w:space="0" w:color="1A171C"/>
              <w:left w:val="single" w:sz="8" w:space="0" w:color="1A171C"/>
              <w:bottom w:val="single" w:sz="8" w:space="0" w:color="1A171C"/>
              <w:right w:val="nil"/>
            </w:tcBorders>
            <w:vAlign w:val="bottom"/>
          </w:tcPr>
          <w:p w14:paraId="7FE1CF4C" w14:textId="0D0990E5" w:rsidR="00414040" w:rsidRDefault="00904E1A">
            <w:pPr>
              <w:pStyle w:val="P68B1DB1-TableParagraph73"/>
              <w:spacing w:before="108"/>
              <w:ind w:left="85"/>
              <w:jc w:val="both"/>
              <w:rPr>
                <w:bCs/>
              </w:rPr>
            </w:pPr>
            <w:r w:rsidRPr="044DDBC8">
              <w:rPr>
                <w:lang w:val="es-ES"/>
              </w:rPr>
              <w:t xml:space="preserve">Importe pendiente </w:t>
            </w:r>
            <w:r w:rsidR="623E5F4B" w:rsidRPr="4D5771B3">
              <w:rPr>
                <w:lang w:val="es-ES"/>
              </w:rPr>
              <w:t>del principal</w:t>
            </w:r>
          </w:p>
          <w:p w14:paraId="7FE1CF4D" w14:textId="1F7D6035" w:rsidR="00414040" w:rsidRDefault="00904E1A">
            <w:pPr>
              <w:pStyle w:val="P68B1DB1-TableParagraph40"/>
              <w:spacing w:before="108"/>
              <w:ind w:left="85"/>
              <w:jc w:val="both"/>
            </w:pPr>
            <w:r>
              <w:t>El principal pendiente del pasivo.</w:t>
            </w:r>
          </w:p>
        </w:tc>
      </w:tr>
      <w:tr w:rsidR="00414040" w14:paraId="7FE1CF52" w14:textId="77777777" w:rsidTr="618604ED">
        <w:tc>
          <w:tcPr>
            <w:tcW w:w="1135" w:type="dxa"/>
            <w:tcBorders>
              <w:top w:val="single" w:sz="8" w:space="0" w:color="1A171C"/>
              <w:left w:val="nil"/>
              <w:bottom w:val="single" w:sz="8" w:space="0" w:color="1A171C"/>
              <w:right w:val="single" w:sz="8" w:space="0" w:color="1A171C"/>
            </w:tcBorders>
            <w:vAlign w:val="center"/>
          </w:tcPr>
          <w:p w14:paraId="7FE1CF4F" w14:textId="77777777" w:rsidR="00414040" w:rsidRDefault="00904E1A">
            <w:pPr>
              <w:pStyle w:val="P68B1DB1-Normal31"/>
            </w:pPr>
            <w:r>
              <w:t>0090</w:t>
            </w:r>
          </w:p>
        </w:tc>
        <w:tc>
          <w:tcPr>
            <w:tcW w:w="7889" w:type="dxa"/>
            <w:gridSpan w:val="2"/>
            <w:tcBorders>
              <w:top w:val="single" w:sz="8" w:space="0" w:color="1A171C"/>
              <w:left w:val="single" w:sz="8" w:space="0" w:color="1A171C"/>
              <w:bottom w:val="single" w:sz="8" w:space="0" w:color="1A171C"/>
              <w:right w:val="nil"/>
            </w:tcBorders>
            <w:vAlign w:val="bottom"/>
          </w:tcPr>
          <w:p w14:paraId="7FE1CF50" w14:textId="430863E1" w:rsidR="00414040" w:rsidRDefault="00D02CF0">
            <w:pPr>
              <w:pStyle w:val="P68B1DB1-TableParagraph73"/>
              <w:spacing w:before="108"/>
              <w:ind w:left="85"/>
              <w:jc w:val="both"/>
              <w:rPr>
                <w:bCs/>
              </w:rPr>
            </w:pPr>
            <w:r w:rsidRPr="001B60B6">
              <w:t xml:space="preserve">Intereses </w:t>
            </w:r>
            <w:r w:rsidR="00904E1A" w:rsidRPr="001B60B6">
              <w:t>devengado</w:t>
            </w:r>
            <w:r w:rsidRPr="001B60B6">
              <w:t>s</w:t>
            </w:r>
          </w:p>
          <w:p w14:paraId="7FE1CF51" w14:textId="6BF1C45C" w:rsidR="00414040" w:rsidRDefault="00904E1A">
            <w:pPr>
              <w:pStyle w:val="P68B1DB1-TableParagraph40"/>
              <w:spacing w:before="108"/>
              <w:ind w:left="85"/>
              <w:jc w:val="both"/>
            </w:pPr>
            <w:r>
              <w:t>Los intereses devengados pendientes sobre el pasivo.</w:t>
            </w:r>
          </w:p>
        </w:tc>
      </w:tr>
      <w:tr w:rsidR="00414040" w14:paraId="7FE1CF56" w14:textId="77777777" w:rsidTr="618604ED">
        <w:tc>
          <w:tcPr>
            <w:tcW w:w="1135" w:type="dxa"/>
            <w:tcBorders>
              <w:top w:val="single" w:sz="8" w:space="0" w:color="1A171C"/>
              <w:left w:val="nil"/>
              <w:bottom w:val="single" w:sz="8" w:space="0" w:color="1A171C"/>
              <w:right w:val="single" w:sz="8" w:space="0" w:color="1A171C"/>
            </w:tcBorders>
            <w:vAlign w:val="center"/>
          </w:tcPr>
          <w:p w14:paraId="7FE1CF53" w14:textId="77777777" w:rsidR="00414040" w:rsidRDefault="00904E1A">
            <w:pPr>
              <w:pStyle w:val="P68B1DB1-Normal31"/>
            </w:pPr>
            <w:r>
              <w:t>0100</w:t>
            </w:r>
          </w:p>
        </w:tc>
        <w:tc>
          <w:tcPr>
            <w:tcW w:w="7889" w:type="dxa"/>
            <w:gridSpan w:val="2"/>
            <w:tcBorders>
              <w:top w:val="single" w:sz="8" w:space="0" w:color="1A171C"/>
              <w:left w:val="single" w:sz="8" w:space="0" w:color="1A171C"/>
              <w:bottom w:val="single" w:sz="8" w:space="0" w:color="1A171C"/>
              <w:right w:val="nil"/>
            </w:tcBorders>
            <w:vAlign w:val="bottom"/>
          </w:tcPr>
          <w:p w14:paraId="7FE1CF54" w14:textId="3506FC94" w:rsidR="00414040" w:rsidRDefault="00904E1A">
            <w:pPr>
              <w:pStyle w:val="P68B1DB1-TableParagraph73"/>
              <w:spacing w:before="108"/>
              <w:ind w:left="85"/>
              <w:jc w:val="both"/>
              <w:rPr>
                <w:bCs/>
              </w:rPr>
            </w:pPr>
            <w:r>
              <w:t>Moneda</w:t>
            </w:r>
          </w:p>
          <w:p w14:paraId="7FE1CF55" w14:textId="486596EF" w:rsidR="00414040" w:rsidRDefault="00904E1A">
            <w:pPr>
              <w:pStyle w:val="P68B1DB1-TableParagraph40"/>
              <w:spacing w:before="108"/>
              <w:ind w:left="85"/>
              <w:jc w:val="both"/>
            </w:pPr>
            <w:r>
              <w:t>La moneda del pasivo con arreglo a su código ISO 4217 de 3 letras.</w:t>
            </w:r>
          </w:p>
        </w:tc>
      </w:tr>
      <w:tr w:rsidR="00414040" w14:paraId="7FE1CF5A" w14:textId="77777777" w:rsidTr="618604ED">
        <w:tc>
          <w:tcPr>
            <w:tcW w:w="1135" w:type="dxa"/>
            <w:tcBorders>
              <w:top w:val="single" w:sz="8" w:space="0" w:color="1A171C"/>
              <w:left w:val="nil"/>
              <w:bottom w:val="single" w:sz="8" w:space="0" w:color="1A171C"/>
              <w:right w:val="single" w:sz="8" w:space="0" w:color="1A171C"/>
            </w:tcBorders>
            <w:vAlign w:val="center"/>
          </w:tcPr>
          <w:p w14:paraId="7FE1CF57" w14:textId="77777777" w:rsidR="00414040" w:rsidRDefault="00904E1A">
            <w:pPr>
              <w:pStyle w:val="P68B1DB1-Normal31"/>
            </w:pPr>
            <w:r>
              <w:t>0110</w:t>
            </w:r>
          </w:p>
        </w:tc>
        <w:tc>
          <w:tcPr>
            <w:tcW w:w="7889" w:type="dxa"/>
            <w:gridSpan w:val="2"/>
            <w:tcBorders>
              <w:top w:val="single" w:sz="8" w:space="0" w:color="1A171C"/>
              <w:left w:val="single" w:sz="8" w:space="0" w:color="1A171C"/>
              <w:bottom w:val="single" w:sz="8" w:space="0" w:color="1A171C"/>
              <w:right w:val="nil"/>
            </w:tcBorders>
            <w:vAlign w:val="bottom"/>
          </w:tcPr>
          <w:p w14:paraId="7FE1CF58" w14:textId="77777777" w:rsidR="00414040" w:rsidRDefault="00904E1A">
            <w:pPr>
              <w:pStyle w:val="P68B1DB1-TableParagraph73"/>
              <w:spacing w:before="108"/>
              <w:ind w:left="85"/>
              <w:jc w:val="both"/>
              <w:rPr>
                <w:bCs/>
              </w:rPr>
            </w:pPr>
            <w:r>
              <w:t>Fecha de emisión</w:t>
            </w:r>
          </w:p>
          <w:p w14:paraId="7FE1CF59" w14:textId="11F1141B" w:rsidR="00414040" w:rsidRDefault="3989B834">
            <w:pPr>
              <w:pStyle w:val="P68B1DB1-TableParagraph40"/>
              <w:spacing w:before="108"/>
              <w:ind w:left="85"/>
              <w:jc w:val="both"/>
            </w:pPr>
            <w:r>
              <w:t>Fecha de la emisión inicial del pasivo. Para operaciones de financiación de valores sujetas a un acuerdo de compensación</w:t>
            </w:r>
            <w:r w:rsidR="0F39051B">
              <w:t xml:space="preserve"> e informadas</w:t>
            </w:r>
            <w:r>
              <w:t xml:space="preserve"> como un conjunto de compensación, la </w:t>
            </w:r>
            <w:r w:rsidRPr="001B60B6">
              <w:t xml:space="preserve">fecha de </w:t>
            </w:r>
            <w:r w:rsidR="00C100A2" w:rsidRPr="001B60B6">
              <w:t>referencia</w:t>
            </w:r>
            <w:r w:rsidR="00C100A2">
              <w:t xml:space="preserve"> </w:t>
            </w:r>
            <w:proofErr w:type="gramStart"/>
            <w:r>
              <w:t>p</w:t>
            </w:r>
            <w:r w:rsidR="65195805">
              <w:t xml:space="preserve">uede </w:t>
            </w:r>
            <w:r>
              <w:t xml:space="preserve"> usarse</w:t>
            </w:r>
            <w:proofErr w:type="gramEnd"/>
            <w:r>
              <w:t xml:space="preserve"> como fecha de emisión.</w:t>
            </w:r>
          </w:p>
        </w:tc>
      </w:tr>
      <w:tr w:rsidR="00414040" w14:paraId="7FE1CF5E" w14:textId="77777777" w:rsidTr="618604ED">
        <w:tc>
          <w:tcPr>
            <w:tcW w:w="1135" w:type="dxa"/>
            <w:tcBorders>
              <w:top w:val="single" w:sz="8" w:space="0" w:color="1A171C"/>
              <w:left w:val="nil"/>
              <w:bottom w:val="single" w:sz="8" w:space="0" w:color="1A171C"/>
              <w:right w:val="single" w:sz="8" w:space="0" w:color="1A171C"/>
            </w:tcBorders>
            <w:vAlign w:val="center"/>
          </w:tcPr>
          <w:p w14:paraId="7FE1CF5B" w14:textId="77777777" w:rsidR="00414040" w:rsidRDefault="00904E1A">
            <w:pPr>
              <w:pStyle w:val="P68B1DB1-Normal31"/>
            </w:pPr>
            <w:r>
              <w:t>0120</w:t>
            </w:r>
          </w:p>
        </w:tc>
        <w:tc>
          <w:tcPr>
            <w:tcW w:w="7889" w:type="dxa"/>
            <w:gridSpan w:val="2"/>
            <w:tcBorders>
              <w:top w:val="single" w:sz="8" w:space="0" w:color="1A171C"/>
              <w:left w:val="single" w:sz="8" w:space="0" w:color="1A171C"/>
              <w:bottom w:val="single" w:sz="8" w:space="0" w:color="1A171C"/>
              <w:right w:val="nil"/>
            </w:tcBorders>
            <w:vAlign w:val="bottom"/>
          </w:tcPr>
          <w:p w14:paraId="7FE1CF5C" w14:textId="6A90F952" w:rsidR="00414040" w:rsidRDefault="5BA39298">
            <w:pPr>
              <w:pStyle w:val="P68B1DB1-TableParagraph73"/>
              <w:spacing w:before="108"/>
              <w:ind w:left="85"/>
              <w:jc w:val="both"/>
              <w:rPr>
                <w:lang w:val="es-ES"/>
              </w:rPr>
            </w:pPr>
            <w:r w:rsidRPr="618604ED">
              <w:rPr>
                <w:lang w:val="es-ES"/>
              </w:rPr>
              <w:t>Primer</w:t>
            </w:r>
            <w:r>
              <w:t>a f</w:t>
            </w:r>
            <w:r w:rsidR="411D7B1C" w:rsidRPr="618604ED">
              <w:rPr>
                <w:lang w:val="es-ES"/>
              </w:rPr>
              <w:t>echa de amortización</w:t>
            </w:r>
            <w:r w:rsidR="6BC4E585" w:rsidRPr="618604ED">
              <w:rPr>
                <w:lang w:val="es-ES"/>
              </w:rPr>
              <w:t xml:space="preserve"> o reembolso</w:t>
            </w:r>
            <w:r w:rsidR="5E9560A8" w:rsidRPr="618604ED">
              <w:rPr>
                <w:lang w:val="es-ES"/>
              </w:rPr>
              <w:t xml:space="preserve"> anticipad</w:t>
            </w:r>
            <w:r w:rsidR="42BEACD4" w:rsidRPr="618604ED">
              <w:rPr>
                <w:lang w:val="es-ES"/>
              </w:rPr>
              <w:t>o</w:t>
            </w:r>
            <w:r w:rsidR="411D7B1C" w:rsidRPr="618604ED">
              <w:rPr>
                <w:lang w:val="es-ES"/>
              </w:rPr>
              <w:t xml:space="preserve"> </w:t>
            </w:r>
          </w:p>
          <w:p w14:paraId="7FE1CF5D" w14:textId="16939301" w:rsidR="00414040" w:rsidRDefault="50DCC17D">
            <w:pPr>
              <w:pStyle w:val="P68B1DB1-TableParagraph40"/>
              <w:spacing w:before="108"/>
              <w:ind w:left="85"/>
              <w:jc w:val="both"/>
            </w:pPr>
            <w:r>
              <w:t xml:space="preserve">Si existe una opción para que el acreedor </w:t>
            </w:r>
            <w:r w:rsidR="6DE2014B">
              <w:t xml:space="preserve">solicite la amortización o el reembolso anticipado, o si se prevén contractualmente condiciones para la amortización o el reembolso anticipado, indíquese la fecha más temprana. </w:t>
            </w:r>
            <w:r w:rsidR="57FE290D">
              <w:t xml:space="preserve">Si el reembolso anticipado solo corresponde a una parte del pasivo (p. ej., reembolso anticipado del 50 % del importe nominal), el pasivo deberá dividirse para tener en cuenta esta cláusula de amortización parcial anticipada. </w:t>
            </w:r>
            <w:r>
              <w:t xml:space="preserve"> Para operaciones de financiación de valores sujetas a un acuerdo de compensación </w:t>
            </w:r>
            <w:r w:rsidR="087B6FD2">
              <w:t xml:space="preserve">e informadas </w:t>
            </w:r>
            <w:r>
              <w:t xml:space="preserve">como un conjunto de compensación, </w:t>
            </w:r>
            <w:r w:rsidR="00D02CF0">
              <w:t xml:space="preserve">deberá usarse </w:t>
            </w:r>
            <w:r>
              <w:t xml:space="preserve">el día siguiente a la fecha de </w:t>
            </w:r>
            <w:r w:rsidR="00C100A2" w:rsidRPr="001B60B6">
              <w:t>referenci</w:t>
            </w:r>
            <w:r w:rsidR="00C100A2">
              <w:t>a</w:t>
            </w:r>
            <w:r>
              <w:t>.</w:t>
            </w:r>
          </w:p>
        </w:tc>
      </w:tr>
      <w:tr w:rsidR="00414040" w14:paraId="7FE1CF63" w14:textId="77777777" w:rsidTr="618604ED">
        <w:tc>
          <w:tcPr>
            <w:tcW w:w="1135" w:type="dxa"/>
            <w:tcBorders>
              <w:top w:val="single" w:sz="8" w:space="0" w:color="1A171C"/>
              <w:left w:val="nil"/>
              <w:bottom w:val="single" w:sz="8" w:space="0" w:color="1A171C"/>
              <w:right w:val="single" w:sz="8" w:space="0" w:color="1A171C"/>
            </w:tcBorders>
            <w:vAlign w:val="center"/>
          </w:tcPr>
          <w:p w14:paraId="7FE1CF5F" w14:textId="77777777" w:rsidR="00414040" w:rsidRDefault="00904E1A">
            <w:pPr>
              <w:pStyle w:val="P68B1DB1-Normal31"/>
            </w:pPr>
            <w:r>
              <w:t>0130</w:t>
            </w:r>
          </w:p>
        </w:tc>
        <w:tc>
          <w:tcPr>
            <w:tcW w:w="7889" w:type="dxa"/>
            <w:gridSpan w:val="2"/>
            <w:tcBorders>
              <w:top w:val="single" w:sz="8" w:space="0" w:color="1A171C"/>
              <w:left w:val="single" w:sz="8" w:space="0" w:color="1A171C"/>
              <w:bottom w:val="single" w:sz="8" w:space="0" w:color="1A171C"/>
              <w:right w:val="nil"/>
            </w:tcBorders>
            <w:vAlign w:val="bottom"/>
          </w:tcPr>
          <w:p w14:paraId="7FE1CF60" w14:textId="77777777" w:rsidR="00414040" w:rsidRDefault="00904E1A">
            <w:pPr>
              <w:pStyle w:val="P68B1DB1-TableParagraph73"/>
              <w:spacing w:before="108"/>
              <w:ind w:left="85"/>
              <w:jc w:val="both"/>
              <w:rPr>
                <w:bCs/>
              </w:rPr>
            </w:pPr>
            <w:r>
              <w:t>Vencimiento legal</w:t>
            </w:r>
          </w:p>
          <w:p w14:paraId="7FE1CF61" w14:textId="3264BEEA" w:rsidR="00414040" w:rsidRDefault="00904E1A">
            <w:pPr>
              <w:pStyle w:val="P68B1DB1-TableParagraph40"/>
              <w:spacing w:before="108"/>
              <w:ind w:left="85"/>
              <w:jc w:val="both"/>
            </w:pPr>
            <w:r>
              <w:t xml:space="preserve">Fecha del vencimiento final legal </w:t>
            </w:r>
            <w:r w:rsidR="6A93D69E">
              <w:t>del pasivo</w:t>
            </w:r>
            <w:r>
              <w:t>. Para instrumentos perpetuos, utilícese «2099-01-31».</w:t>
            </w:r>
          </w:p>
          <w:p w14:paraId="7FE1CF62" w14:textId="0D316A39" w:rsidR="00414040" w:rsidRDefault="00904E1A">
            <w:pPr>
              <w:pStyle w:val="P68B1DB1-TableParagraph40"/>
              <w:spacing w:before="108"/>
              <w:ind w:left="85"/>
              <w:jc w:val="both"/>
            </w:pPr>
            <w:r w:rsidRPr="11A44BD7">
              <w:rPr>
                <w:lang w:val="es-ES"/>
              </w:rPr>
              <w:t xml:space="preserve">Para operaciones de financiación de valores sujetas a un acuerdo de compensación y </w:t>
            </w:r>
            <w:proofErr w:type="gramStart"/>
            <w:r w:rsidR="1967C299" w:rsidRPr="11A44BD7">
              <w:rPr>
                <w:lang w:val="es-ES"/>
              </w:rPr>
              <w:t>declaradas</w:t>
            </w:r>
            <w:r w:rsidRPr="11A44BD7">
              <w:rPr>
                <w:lang w:val="es-ES"/>
              </w:rPr>
              <w:t xml:space="preserve"> como</w:t>
            </w:r>
            <w:proofErr w:type="gramEnd"/>
            <w:r w:rsidRPr="11A44BD7">
              <w:rPr>
                <w:lang w:val="es-ES"/>
              </w:rPr>
              <w:t xml:space="preserve"> un conjunto de </w:t>
            </w:r>
            <w:proofErr w:type="gramStart"/>
            <w:r w:rsidRPr="11A44BD7">
              <w:rPr>
                <w:lang w:val="es-ES"/>
              </w:rPr>
              <w:t>compensación,</w:t>
            </w:r>
            <w:proofErr w:type="gramEnd"/>
            <w:r w:rsidRPr="11A44BD7">
              <w:rPr>
                <w:lang w:val="es-ES"/>
              </w:rPr>
              <w:t xml:space="preserve"> </w:t>
            </w:r>
            <w:r w:rsidR="00D02CF0">
              <w:rPr>
                <w:lang w:val="es-ES"/>
              </w:rPr>
              <w:t>deberá usarse</w:t>
            </w:r>
            <w:r w:rsidR="00D02CF0" w:rsidRPr="11A44BD7">
              <w:rPr>
                <w:lang w:val="es-ES"/>
              </w:rPr>
              <w:t xml:space="preserve"> </w:t>
            </w:r>
            <w:r w:rsidRPr="11A44BD7">
              <w:rPr>
                <w:lang w:val="es-ES"/>
              </w:rPr>
              <w:t xml:space="preserve">el día siguiente a la </w:t>
            </w:r>
            <w:r w:rsidRPr="001B60B6">
              <w:rPr>
                <w:lang w:val="es-ES"/>
              </w:rPr>
              <w:t xml:space="preserve">fecha de </w:t>
            </w:r>
            <w:r w:rsidR="00C100A2" w:rsidRPr="001B60B6">
              <w:rPr>
                <w:lang w:val="es-ES"/>
              </w:rPr>
              <w:t>referencia</w:t>
            </w:r>
            <w:r w:rsidRPr="11A44BD7">
              <w:rPr>
                <w:lang w:val="es-ES"/>
              </w:rPr>
              <w:t>.</w:t>
            </w:r>
          </w:p>
        </w:tc>
      </w:tr>
      <w:tr w:rsidR="00414040" w14:paraId="7FE1CF67" w14:textId="77777777" w:rsidTr="618604ED">
        <w:tc>
          <w:tcPr>
            <w:tcW w:w="1135" w:type="dxa"/>
            <w:tcBorders>
              <w:top w:val="single" w:sz="8" w:space="0" w:color="1A171C"/>
              <w:left w:val="nil"/>
              <w:bottom w:val="single" w:sz="8" w:space="0" w:color="1A171C"/>
              <w:right w:val="single" w:sz="8" w:space="0" w:color="1A171C"/>
            </w:tcBorders>
            <w:vAlign w:val="center"/>
          </w:tcPr>
          <w:p w14:paraId="7FE1CF64" w14:textId="77777777" w:rsidR="00414040" w:rsidRDefault="00904E1A">
            <w:pPr>
              <w:pStyle w:val="P68B1DB1-Normal31"/>
            </w:pPr>
            <w:r>
              <w:t>0150</w:t>
            </w:r>
          </w:p>
        </w:tc>
        <w:tc>
          <w:tcPr>
            <w:tcW w:w="7889" w:type="dxa"/>
            <w:gridSpan w:val="2"/>
            <w:tcBorders>
              <w:top w:val="single" w:sz="8" w:space="0" w:color="1A171C"/>
              <w:left w:val="single" w:sz="8" w:space="0" w:color="1A171C"/>
              <w:bottom w:val="single" w:sz="8" w:space="0" w:color="1A171C"/>
              <w:right w:val="nil"/>
            </w:tcBorders>
            <w:vAlign w:val="bottom"/>
          </w:tcPr>
          <w:p w14:paraId="7FE1CF65" w14:textId="090D1A38" w:rsidR="00414040" w:rsidRDefault="3989B834">
            <w:pPr>
              <w:pStyle w:val="P68B1DB1-TableParagraph73"/>
              <w:spacing w:before="108"/>
              <w:ind w:left="85"/>
              <w:jc w:val="both"/>
            </w:pPr>
            <w:r>
              <w:t xml:space="preserve">Importe de la </w:t>
            </w:r>
            <w:r w:rsidR="5EB325E8">
              <w:t>p</w:t>
            </w:r>
            <w:r w:rsidR="4DADEF75">
              <w:t>ignoración</w:t>
            </w:r>
            <w:r w:rsidR="5EB325E8">
              <w:t xml:space="preserve">, </w:t>
            </w:r>
            <w:r>
              <w:t>prenda o garantía real</w:t>
            </w:r>
          </w:p>
          <w:p w14:paraId="7FE1CF66" w14:textId="71CF568F" w:rsidR="00414040" w:rsidRDefault="3989B834">
            <w:pPr>
              <w:pStyle w:val="P68B1DB1-TableParagraph40"/>
              <w:spacing w:before="108"/>
              <w:ind w:left="85"/>
              <w:jc w:val="both"/>
            </w:pPr>
            <w:r w:rsidRPr="2E2E78DB">
              <w:rPr>
                <w:lang w:val="es-ES"/>
              </w:rPr>
              <w:t>Cuando un pasivo está garantizado por una p</w:t>
            </w:r>
            <w:r w:rsidR="00904E1A" w:rsidRPr="2E2E78DB">
              <w:rPr>
                <w:lang w:val="es-ES"/>
              </w:rPr>
              <w:t>ignoración</w:t>
            </w:r>
            <w:r w:rsidR="5EB325E8" w:rsidRPr="2E2E78DB">
              <w:rPr>
                <w:lang w:val="es-ES"/>
              </w:rPr>
              <w:t>,</w:t>
            </w:r>
            <w:r w:rsidR="37371A47" w:rsidRPr="2E2E78DB">
              <w:rPr>
                <w:lang w:val="es-ES"/>
              </w:rPr>
              <w:t xml:space="preserve"> </w:t>
            </w:r>
            <w:r w:rsidR="00904E1A" w:rsidRPr="2E2E78DB">
              <w:rPr>
                <w:lang w:val="es-ES"/>
              </w:rPr>
              <w:t>prenda</w:t>
            </w:r>
            <w:r w:rsidRPr="2E2E78DB">
              <w:rPr>
                <w:lang w:val="es-ES"/>
              </w:rPr>
              <w:t xml:space="preserve"> o garantía real, el valor bruto de esta última deberá </w:t>
            </w:r>
            <w:r w:rsidR="6C3EBA0F" w:rsidRPr="2E2E78DB">
              <w:rPr>
                <w:lang w:val="es-ES"/>
              </w:rPr>
              <w:t>informarse</w:t>
            </w:r>
            <w:r w:rsidRPr="2E2E78DB">
              <w:rPr>
                <w:lang w:val="es-ES"/>
              </w:rPr>
              <w:t xml:space="preserve">. En caso contrario, en el caso de los pasivos no garantizados, esta categoría </w:t>
            </w:r>
            <w:r w:rsidR="64E4A6D9" w:rsidRPr="2E2E78DB">
              <w:rPr>
                <w:lang w:val="es-ES"/>
              </w:rPr>
              <w:t>se informará en blanco</w:t>
            </w:r>
            <w:r w:rsidRPr="2E2E78DB">
              <w:rPr>
                <w:lang w:val="es-ES"/>
              </w:rPr>
              <w:t xml:space="preserve">. Este importe determinará la parte con garantía real y, en su caso, la parte no garantizada de cualquier pasivo garantizado. Para conjuntos de garantías reales que garanticen </w:t>
            </w:r>
            <w:r w:rsidR="003C3B2C">
              <w:rPr>
                <w:lang w:val="es-ES"/>
              </w:rPr>
              <w:t xml:space="preserve">elementos de </w:t>
            </w:r>
            <w:r w:rsidRPr="2E2E78DB">
              <w:rPr>
                <w:lang w:val="es-ES"/>
              </w:rPr>
              <w:t xml:space="preserve">varias partidas, </w:t>
            </w:r>
            <w:r w:rsidR="00CD12F9" w:rsidRPr="2E2E78DB">
              <w:rPr>
                <w:lang w:val="es-ES"/>
              </w:rPr>
              <w:t xml:space="preserve">se </w:t>
            </w:r>
            <w:r w:rsidR="008D4FCE" w:rsidRPr="2E2E78DB">
              <w:rPr>
                <w:lang w:val="es-ES"/>
              </w:rPr>
              <w:t>determinar</w:t>
            </w:r>
            <w:r w:rsidR="00CD12F9" w:rsidRPr="2E2E78DB">
              <w:rPr>
                <w:lang w:val="es-ES"/>
              </w:rPr>
              <w:t>á</w:t>
            </w:r>
            <w:r w:rsidR="008D4FCE" w:rsidRPr="2E2E78DB">
              <w:rPr>
                <w:lang w:val="es-ES"/>
              </w:rPr>
              <w:t xml:space="preserve"> </w:t>
            </w:r>
            <w:r w:rsidRPr="2E2E78DB">
              <w:rPr>
                <w:lang w:val="es-ES"/>
              </w:rPr>
              <w:t xml:space="preserve">la ratio de cobertura </w:t>
            </w:r>
            <w:r w:rsidR="00405ADE">
              <w:rPr>
                <w:lang w:val="es-ES"/>
              </w:rPr>
              <w:t>total</w:t>
            </w:r>
            <w:r w:rsidR="00405ADE" w:rsidRPr="2E2E78DB">
              <w:rPr>
                <w:lang w:val="es-ES"/>
              </w:rPr>
              <w:t xml:space="preserve"> </w:t>
            </w:r>
            <w:proofErr w:type="gramStart"/>
            <w:r w:rsidRPr="2E2E78DB">
              <w:rPr>
                <w:lang w:val="es-ES"/>
              </w:rPr>
              <w:t xml:space="preserve">y </w:t>
            </w:r>
            <w:r w:rsidR="3CFC5617" w:rsidRPr="2E2E78DB">
              <w:rPr>
                <w:lang w:val="es-ES"/>
              </w:rPr>
              <w:t xml:space="preserve"> </w:t>
            </w:r>
            <w:r w:rsidR="00CD12F9" w:rsidRPr="2E2E78DB">
              <w:rPr>
                <w:lang w:val="es-ES"/>
              </w:rPr>
              <w:t>se</w:t>
            </w:r>
            <w:proofErr w:type="gramEnd"/>
            <w:r w:rsidR="00CD12F9" w:rsidRPr="2E2E78DB">
              <w:rPr>
                <w:lang w:val="es-ES"/>
              </w:rPr>
              <w:t xml:space="preserve"> aplicará</w:t>
            </w:r>
            <w:r w:rsidR="00F5513A">
              <w:rPr>
                <w:lang w:val="es-ES"/>
              </w:rPr>
              <w:t xml:space="preserve"> </w:t>
            </w:r>
            <w:r w:rsidRPr="2E2E78DB">
              <w:rPr>
                <w:lang w:val="es-ES"/>
              </w:rPr>
              <w:t xml:space="preserve">de forma prorrateada a todas las </w:t>
            </w:r>
            <w:r w:rsidRPr="001B60B6">
              <w:rPr>
                <w:lang w:val="es-ES"/>
              </w:rPr>
              <w:t>partidas</w:t>
            </w:r>
            <w:r w:rsidRPr="2E2E78DB">
              <w:rPr>
                <w:lang w:val="es-ES"/>
              </w:rPr>
              <w:t xml:space="preserve"> cubiertas por dicho conjunto.</w:t>
            </w:r>
          </w:p>
        </w:tc>
      </w:tr>
      <w:tr w:rsidR="00414040" w14:paraId="7FE1CF6B" w14:textId="77777777" w:rsidTr="618604ED">
        <w:tc>
          <w:tcPr>
            <w:tcW w:w="1135" w:type="dxa"/>
            <w:tcBorders>
              <w:top w:val="single" w:sz="8" w:space="0" w:color="1A171C"/>
              <w:left w:val="nil"/>
              <w:bottom w:val="single" w:sz="8" w:space="0" w:color="1A171C"/>
              <w:right w:val="single" w:sz="8" w:space="0" w:color="1A171C"/>
            </w:tcBorders>
            <w:vAlign w:val="center"/>
          </w:tcPr>
          <w:p w14:paraId="7FE1CF68" w14:textId="77777777" w:rsidR="00414040" w:rsidRDefault="00904E1A">
            <w:pPr>
              <w:pStyle w:val="P68B1DB1-Normal31"/>
            </w:pPr>
            <w:r>
              <w:t>0160</w:t>
            </w:r>
          </w:p>
        </w:tc>
        <w:tc>
          <w:tcPr>
            <w:tcW w:w="7889" w:type="dxa"/>
            <w:gridSpan w:val="2"/>
            <w:tcBorders>
              <w:top w:val="single" w:sz="8" w:space="0" w:color="1A171C"/>
              <w:left w:val="single" w:sz="8" w:space="0" w:color="1A171C"/>
              <w:bottom w:val="single" w:sz="8" w:space="0" w:color="1A171C"/>
              <w:right w:val="nil"/>
            </w:tcBorders>
            <w:vAlign w:val="bottom"/>
          </w:tcPr>
          <w:p w14:paraId="7FE1CF69" w14:textId="77777777" w:rsidR="00414040" w:rsidRDefault="00904E1A">
            <w:pPr>
              <w:pStyle w:val="P68B1DB1-TableParagraph73"/>
              <w:spacing w:before="108"/>
              <w:ind w:left="85"/>
              <w:jc w:val="both"/>
              <w:rPr>
                <w:bCs/>
              </w:rPr>
            </w:pPr>
            <w:r>
              <w:t>Garante, en su caso</w:t>
            </w:r>
          </w:p>
          <w:p w14:paraId="7FE1CF6A" w14:textId="439007B2" w:rsidR="00414040" w:rsidRDefault="3989B834">
            <w:pPr>
              <w:pStyle w:val="P68B1DB1-TableParagraph40"/>
              <w:spacing w:before="108"/>
              <w:ind w:left="85"/>
              <w:jc w:val="both"/>
            </w:pPr>
            <w:r>
              <w:t>Si el instrumento dispone de garantías, se debe proporcionar una identificación detallada del garante (código LEI, código ISO 3166–1 alfa-2 del país para gobierno, etc.)</w:t>
            </w:r>
            <w:r w:rsidR="00D32070">
              <w:t>.</w:t>
            </w:r>
            <w:r>
              <w:t xml:space="preserve"> Cuando </w:t>
            </w:r>
            <w:r w:rsidR="00FC4A64">
              <w:t>existan</w:t>
            </w:r>
            <w:r>
              <w:t xml:space="preserve"> varios garantes, deberán </w:t>
            </w:r>
            <w:r w:rsidR="2318B2E5">
              <w:t>informarse</w:t>
            </w:r>
            <w:r>
              <w:t xml:space="preserve"> todos los identificadores, separados mediante un punto y coma.</w:t>
            </w:r>
          </w:p>
        </w:tc>
      </w:tr>
      <w:tr w:rsidR="00414040" w14:paraId="7FE1CF70" w14:textId="77777777" w:rsidTr="618604ED">
        <w:tc>
          <w:tcPr>
            <w:tcW w:w="1135" w:type="dxa"/>
            <w:tcBorders>
              <w:top w:val="single" w:sz="8" w:space="0" w:color="1A171C"/>
              <w:left w:val="nil"/>
              <w:bottom w:val="single" w:sz="8" w:space="0" w:color="1A171C"/>
              <w:right w:val="single" w:sz="8" w:space="0" w:color="1A171C"/>
            </w:tcBorders>
            <w:vAlign w:val="center"/>
          </w:tcPr>
          <w:p w14:paraId="7FE1CF6C" w14:textId="77777777" w:rsidR="00414040" w:rsidRDefault="00904E1A">
            <w:pPr>
              <w:pStyle w:val="P68B1DB1-Normal31"/>
            </w:pPr>
            <w:r>
              <w:t>0175</w:t>
            </w:r>
          </w:p>
        </w:tc>
        <w:tc>
          <w:tcPr>
            <w:tcW w:w="7889" w:type="dxa"/>
            <w:gridSpan w:val="2"/>
            <w:tcBorders>
              <w:top w:val="single" w:sz="8" w:space="0" w:color="1A171C"/>
              <w:left w:val="single" w:sz="8" w:space="0" w:color="1A171C"/>
              <w:bottom w:val="single" w:sz="8" w:space="0" w:color="1A171C"/>
              <w:right w:val="nil"/>
            </w:tcBorders>
            <w:vAlign w:val="bottom"/>
          </w:tcPr>
          <w:p w14:paraId="7FE1CF6D" w14:textId="700ADA42" w:rsidR="00414040" w:rsidRDefault="00904E1A">
            <w:pPr>
              <w:pStyle w:val="P68B1DB1-TableParagraph73"/>
              <w:spacing w:before="108"/>
              <w:ind w:left="85"/>
              <w:jc w:val="both"/>
              <w:rPr>
                <w:bCs/>
              </w:rPr>
            </w:pPr>
            <w:r>
              <w:t xml:space="preserve">Importe </w:t>
            </w:r>
            <w:r w:rsidR="1124FE41">
              <w:t>admisible para el</w:t>
            </w:r>
            <w:r>
              <w:t xml:space="preserve"> MREL</w:t>
            </w:r>
          </w:p>
          <w:p w14:paraId="7FE1CF6F" w14:textId="1628A0C6" w:rsidR="00414040" w:rsidRDefault="3989B834">
            <w:pPr>
              <w:pStyle w:val="P68B1DB1-TableParagraph40"/>
              <w:spacing w:before="108"/>
              <w:ind w:left="85"/>
              <w:jc w:val="both"/>
            </w:pPr>
            <w:r w:rsidRPr="2466DABA">
              <w:rPr>
                <w:lang w:val="es-ES"/>
              </w:rPr>
              <w:t xml:space="preserve">El importe de los fondos propios y pasivos admisibles </w:t>
            </w:r>
            <w:r w:rsidR="00CE57B4">
              <w:rPr>
                <w:lang w:val="es-ES"/>
              </w:rPr>
              <w:t>computables</w:t>
            </w:r>
            <w:r w:rsidRPr="2466DABA">
              <w:rPr>
                <w:lang w:val="es-ES"/>
              </w:rPr>
              <w:t xml:space="preserve"> para el requisito establecido de conformidad con el artículo 45, apartado 1, de la Directiva 2014/59/UE. </w:t>
            </w:r>
          </w:p>
        </w:tc>
      </w:tr>
      <w:tr w:rsidR="00414040" w14:paraId="7FE1CF76" w14:textId="77777777" w:rsidTr="618604ED">
        <w:tc>
          <w:tcPr>
            <w:tcW w:w="1135" w:type="dxa"/>
            <w:tcBorders>
              <w:top w:val="single" w:sz="8" w:space="0" w:color="1A171C"/>
              <w:left w:val="nil"/>
              <w:bottom w:val="single" w:sz="8" w:space="0" w:color="1A171C"/>
              <w:right w:val="single" w:sz="8" w:space="0" w:color="1A171C"/>
            </w:tcBorders>
            <w:vAlign w:val="center"/>
          </w:tcPr>
          <w:p w14:paraId="7FE1CF71" w14:textId="77777777" w:rsidR="00414040" w:rsidRDefault="00904E1A">
            <w:pPr>
              <w:pStyle w:val="P68B1DB1-Normal31"/>
            </w:pPr>
            <w:r>
              <w:t>0180</w:t>
            </w:r>
          </w:p>
        </w:tc>
        <w:tc>
          <w:tcPr>
            <w:tcW w:w="7889" w:type="dxa"/>
            <w:gridSpan w:val="2"/>
            <w:tcBorders>
              <w:top w:val="single" w:sz="8" w:space="0" w:color="1A171C"/>
              <w:left w:val="single" w:sz="8" w:space="0" w:color="1A171C"/>
              <w:bottom w:val="single" w:sz="8" w:space="0" w:color="1A171C"/>
              <w:right w:val="nil"/>
            </w:tcBorders>
            <w:vAlign w:val="bottom"/>
          </w:tcPr>
          <w:p w14:paraId="7FE1CF72" w14:textId="0B551FC7" w:rsidR="00414040" w:rsidRDefault="306A1D1B" w:rsidP="2647857F">
            <w:pPr>
              <w:pStyle w:val="P68B1DB1-TableParagraph73"/>
              <w:spacing w:before="108"/>
              <w:ind w:left="85"/>
              <w:jc w:val="both"/>
            </w:pPr>
            <w:r>
              <w:t>Fondos propios admisibles</w:t>
            </w:r>
          </w:p>
          <w:p w14:paraId="7FE1CF73" w14:textId="4D3E57A4" w:rsidR="00414040" w:rsidRPr="00D32070" w:rsidRDefault="00904E1A">
            <w:pPr>
              <w:pStyle w:val="P68B1DB1-TableParagraph40"/>
              <w:spacing w:before="108"/>
              <w:ind w:left="85"/>
              <w:jc w:val="both"/>
            </w:pPr>
            <w:r>
              <w:lastRenderedPageBreak/>
              <w:t xml:space="preserve">Indique si el instrumento está incluido en los fondos propios y a qué nivel, junto </w:t>
            </w:r>
            <w:r w:rsidR="00E810DD" w:rsidRPr="001B60B6">
              <w:t>con</w:t>
            </w:r>
            <w:r w:rsidR="00E810DD">
              <w:t xml:space="preserve"> </w:t>
            </w:r>
            <w:r>
              <w:t xml:space="preserve">la información sobre </w:t>
            </w:r>
            <w:r w:rsidR="1364F0FE" w:rsidRPr="00210421">
              <w:rPr>
                <w:rFonts w:eastAsiaTheme="minorEastAsia"/>
                <w:lang w:val="es-ES"/>
              </w:rPr>
              <w:t>el régimen de eliminación progresiva (</w:t>
            </w:r>
            <w:proofErr w:type="spellStart"/>
            <w:r w:rsidR="1364F0FE" w:rsidRPr="00210421">
              <w:rPr>
                <w:rFonts w:eastAsiaTheme="minorEastAsia"/>
                <w:i/>
                <w:iCs/>
                <w:lang w:val="es-ES"/>
              </w:rPr>
              <w:t>phase-out</w:t>
            </w:r>
            <w:proofErr w:type="spellEnd"/>
            <w:r w:rsidR="1364F0FE" w:rsidRPr="00210421">
              <w:rPr>
                <w:rFonts w:eastAsiaTheme="minorEastAsia"/>
                <w:lang w:val="es-ES"/>
              </w:rPr>
              <w:t>) y las disposiciones transitorias (</w:t>
            </w:r>
            <w:proofErr w:type="spellStart"/>
            <w:r w:rsidR="1364F0FE" w:rsidRPr="00210421">
              <w:rPr>
                <w:rFonts w:eastAsiaTheme="minorEastAsia"/>
                <w:i/>
                <w:iCs/>
                <w:lang w:val="es-ES"/>
              </w:rPr>
              <w:t>grandfathering</w:t>
            </w:r>
            <w:proofErr w:type="spellEnd"/>
            <w:proofErr w:type="gramStart"/>
            <w:r w:rsidR="1364F0FE" w:rsidRPr="00210421">
              <w:rPr>
                <w:rFonts w:eastAsiaTheme="minorEastAsia"/>
                <w:lang w:val="es-ES"/>
              </w:rPr>
              <w:t xml:space="preserve">) </w:t>
            </w:r>
            <w:r w:rsidRPr="00D32070">
              <w:t>.</w:t>
            </w:r>
            <w:proofErr w:type="gramEnd"/>
            <w:r w:rsidRPr="00D32070">
              <w:t xml:space="preserve"> El valor puede ser «No», «Parcialmente AT1, T1 y T2», «T2 en </w:t>
            </w:r>
            <w:r w:rsidR="24174E40" w:rsidRPr="00A119F0">
              <w:t>eliminación progresiva</w:t>
            </w:r>
            <w:r w:rsidRPr="00D32070">
              <w:t xml:space="preserve">», «T2 con </w:t>
            </w:r>
            <w:r w:rsidR="2D59FF34" w:rsidRPr="00D32070">
              <w:t>disposición transitoria</w:t>
            </w:r>
            <w:r w:rsidRPr="00D32070">
              <w:t xml:space="preserve">», «Cumplimiento total T2», «AT1 con </w:t>
            </w:r>
            <w:r w:rsidR="26182316" w:rsidRPr="00D32070">
              <w:t>disposición transitoria</w:t>
            </w:r>
            <w:r w:rsidRPr="00D32070">
              <w:t xml:space="preserve">», «Cumplimiento total AT1» o «CET1» </w:t>
            </w:r>
            <w:r w:rsidR="00E810DD" w:rsidRPr="00D32070">
              <w:t xml:space="preserve">de </w:t>
            </w:r>
            <w:r w:rsidRPr="00D32070">
              <w:t>una lista predefinida.</w:t>
            </w:r>
          </w:p>
          <w:p w14:paraId="7FE1CF74" w14:textId="4BAE3D5D" w:rsidR="00414040" w:rsidRPr="00D32070" w:rsidRDefault="00904E1A">
            <w:pPr>
              <w:pStyle w:val="P68B1DB1-TableParagraph40"/>
              <w:spacing w:before="108"/>
              <w:ind w:left="85"/>
              <w:jc w:val="both"/>
            </w:pPr>
            <w:r w:rsidRPr="00D32070">
              <w:rPr>
                <w:lang w:val="es-ES"/>
              </w:rPr>
              <w:t xml:space="preserve">En la lista de opciones, el término «eliminación </w:t>
            </w:r>
            <w:r w:rsidR="1A34546F" w:rsidRPr="00D32070">
              <w:rPr>
                <w:lang w:val="es-ES"/>
              </w:rPr>
              <w:t>progresiva</w:t>
            </w:r>
            <w:r w:rsidRPr="00D32070">
              <w:rPr>
                <w:lang w:val="es-ES"/>
              </w:rPr>
              <w:t>» se refiere al período de 5 años anterior al vencimiento de cualquier instrument</w:t>
            </w:r>
            <w:r w:rsidR="34BD100E" w:rsidRPr="00D32070">
              <w:rPr>
                <w:lang w:val="es-ES"/>
              </w:rPr>
              <w:t>o</w:t>
            </w:r>
            <w:r w:rsidR="00D32070" w:rsidRPr="00A119F0">
              <w:rPr>
                <w:lang w:val="es-ES"/>
              </w:rPr>
              <w:t xml:space="preserve"> </w:t>
            </w:r>
            <w:r w:rsidR="2F98C60E" w:rsidRPr="00D32070">
              <w:rPr>
                <w:lang w:val="es-ES"/>
              </w:rPr>
              <w:t>T</w:t>
            </w:r>
            <w:r w:rsidRPr="00D32070">
              <w:rPr>
                <w:lang w:val="es-ES"/>
              </w:rPr>
              <w:t xml:space="preserve">2, durante el cual solo </w:t>
            </w:r>
            <w:r w:rsidR="22E8C1E4" w:rsidRPr="00D32070">
              <w:rPr>
                <w:lang w:val="es-ES"/>
              </w:rPr>
              <w:t>se reconoce proporcionalmente en función del tiempo restante hasta el vencimiento</w:t>
            </w:r>
            <w:r w:rsidRPr="00D32070">
              <w:rPr>
                <w:lang w:val="es-ES"/>
              </w:rPr>
              <w:t>. «Disposici</w:t>
            </w:r>
            <w:r w:rsidR="001566BA" w:rsidRPr="00D32070">
              <w:rPr>
                <w:lang w:val="es-ES"/>
              </w:rPr>
              <w:t>ones</w:t>
            </w:r>
            <w:r w:rsidR="1C1846E2" w:rsidRPr="00D32070">
              <w:rPr>
                <w:lang w:val="es-ES"/>
              </w:rPr>
              <w:t xml:space="preserve"> transitoria</w:t>
            </w:r>
            <w:r w:rsidR="001566BA" w:rsidRPr="00D32070">
              <w:rPr>
                <w:lang w:val="es-ES"/>
              </w:rPr>
              <w:t>s»</w:t>
            </w:r>
            <w:r w:rsidR="59578706" w:rsidRPr="00D32070">
              <w:rPr>
                <w:lang w:val="es-ES"/>
              </w:rPr>
              <w:t xml:space="preserve"> hace referencia a </w:t>
            </w:r>
            <w:r w:rsidRPr="00D32070">
              <w:rPr>
                <w:lang w:val="es-ES"/>
              </w:rPr>
              <w:t xml:space="preserve">cualquier medida transitoria aplicable a un instrumento </w:t>
            </w:r>
            <w:r w:rsidR="4F263DA1" w:rsidRPr="00D32070">
              <w:rPr>
                <w:lang w:val="es-ES"/>
              </w:rPr>
              <w:t>T</w:t>
            </w:r>
            <w:r w:rsidRPr="00D32070">
              <w:rPr>
                <w:lang w:val="es-ES"/>
              </w:rPr>
              <w:t xml:space="preserve">2, excluida la «eliminación </w:t>
            </w:r>
            <w:r w:rsidR="0A0B4306" w:rsidRPr="00D32070">
              <w:rPr>
                <w:lang w:val="es-ES"/>
              </w:rPr>
              <w:t>progresiva</w:t>
            </w:r>
            <w:r w:rsidRPr="00D32070">
              <w:rPr>
                <w:lang w:val="es-ES"/>
              </w:rPr>
              <w:t xml:space="preserve">». Durante </w:t>
            </w:r>
            <w:r w:rsidR="143B15B0" w:rsidRPr="00D32070">
              <w:rPr>
                <w:lang w:val="es-ES"/>
              </w:rPr>
              <w:t>este período transitorio,</w:t>
            </w:r>
            <w:r w:rsidRPr="00D32070">
              <w:rPr>
                <w:lang w:val="es-ES"/>
              </w:rPr>
              <w:t xml:space="preserve"> el reconocimiento podrá ser total o parcial.</w:t>
            </w:r>
          </w:p>
          <w:p w14:paraId="7FE1CF75" w14:textId="77777777" w:rsidR="00414040" w:rsidRDefault="00414040">
            <w:pPr>
              <w:pStyle w:val="TableParagraph"/>
              <w:spacing w:before="108"/>
              <w:ind w:left="85"/>
              <w:jc w:val="both"/>
              <w:rPr>
                <w:rFonts w:ascii="Times New Roman" w:eastAsia="Times New Roman" w:hAnsi="Times New Roman" w:cs="Times New Roman"/>
                <w:sz w:val="20"/>
                <w:szCs w:val="20"/>
              </w:rPr>
            </w:pPr>
          </w:p>
        </w:tc>
      </w:tr>
      <w:tr w:rsidR="00414040" w14:paraId="7FE1CF7A" w14:textId="77777777" w:rsidTr="618604ED">
        <w:tc>
          <w:tcPr>
            <w:tcW w:w="1135" w:type="dxa"/>
            <w:tcBorders>
              <w:top w:val="single" w:sz="8" w:space="0" w:color="1A171C"/>
              <w:left w:val="nil"/>
              <w:bottom w:val="single" w:sz="8" w:space="0" w:color="1A171C"/>
              <w:right w:val="single" w:sz="8" w:space="0" w:color="1A171C"/>
            </w:tcBorders>
            <w:vAlign w:val="center"/>
          </w:tcPr>
          <w:p w14:paraId="7FE1CF77" w14:textId="77777777" w:rsidR="00414040" w:rsidRDefault="00904E1A">
            <w:pPr>
              <w:pStyle w:val="P68B1DB1-Normal31"/>
            </w:pPr>
            <w:r>
              <w:lastRenderedPageBreak/>
              <w:t>0190</w:t>
            </w:r>
          </w:p>
        </w:tc>
        <w:tc>
          <w:tcPr>
            <w:tcW w:w="7889" w:type="dxa"/>
            <w:gridSpan w:val="2"/>
            <w:tcBorders>
              <w:top w:val="single" w:sz="8" w:space="0" w:color="1A171C"/>
              <w:left w:val="single" w:sz="8" w:space="0" w:color="1A171C"/>
              <w:bottom w:val="single" w:sz="8" w:space="0" w:color="1A171C"/>
              <w:right w:val="nil"/>
            </w:tcBorders>
            <w:vAlign w:val="bottom"/>
          </w:tcPr>
          <w:p w14:paraId="7FE1CF78" w14:textId="7674F7B7" w:rsidR="00414040" w:rsidRDefault="251F3AB6">
            <w:pPr>
              <w:pStyle w:val="P68B1DB1-TableParagraph73"/>
              <w:spacing w:before="108"/>
              <w:ind w:left="85"/>
              <w:jc w:val="both"/>
              <w:rPr>
                <w:bCs/>
              </w:rPr>
            </w:pPr>
            <w:r>
              <w:t xml:space="preserve">Importe de fondos propios admisibles </w:t>
            </w:r>
          </w:p>
          <w:p w14:paraId="7FE1CF79" w14:textId="26B2DA95" w:rsidR="00414040" w:rsidRDefault="00904E1A">
            <w:pPr>
              <w:pStyle w:val="P68B1DB1-TableParagraph40"/>
              <w:spacing w:before="108"/>
              <w:ind w:left="85"/>
              <w:jc w:val="both"/>
            </w:pPr>
            <w:r>
              <w:t>El importe del instrumento</w:t>
            </w:r>
            <w:r w:rsidR="4531F343">
              <w:t xml:space="preserve"> admisible</w:t>
            </w:r>
            <w:r>
              <w:t xml:space="preserve"> como fondos propios.</w:t>
            </w:r>
          </w:p>
        </w:tc>
      </w:tr>
    </w:tbl>
    <w:p w14:paraId="7FE1CF7B" w14:textId="77777777" w:rsidR="00414040" w:rsidRDefault="00414040">
      <w:pPr>
        <w:pStyle w:val="Instructionsberschrift2"/>
        <w:ind w:left="357"/>
        <w:rPr>
          <w:rFonts w:ascii="Times New Roman" w:eastAsia="Calibri" w:hAnsi="Times New Roman" w:cs="Times New Roman"/>
          <w:szCs w:val="20"/>
        </w:rPr>
      </w:pPr>
    </w:p>
    <w:p w14:paraId="7FE1CF7C" w14:textId="44D36F26" w:rsidR="00414040" w:rsidRDefault="00904E1A">
      <w:pPr>
        <w:pStyle w:val="Instructionsberschrift2"/>
        <w:numPr>
          <w:ilvl w:val="1"/>
          <w:numId w:val="49"/>
        </w:numPr>
        <w:spacing w:before="0"/>
        <w:ind w:left="357" w:hanging="357"/>
        <w:rPr>
          <w:rFonts w:ascii="Times New Roman" w:hAnsi="Times New Roman" w:cs="Times New Roman"/>
          <w:lang w:val="es-ES"/>
        </w:rPr>
      </w:pPr>
      <w:bookmarkStart w:id="245" w:name="_Toc211525946"/>
      <w:r w:rsidRPr="3E769634">
        <w:rPr>
          <w:rFonts w:ascii="Times New Roman" w:hAnsi="Times New Roman" w:cs="Times New Roman"/>
          <w:color w:val="000000" w:themeColor="text1"/>
          <w:lang w:val="es-ES"/>
        </w:rPr>
        <w:t xml:space="preserve">Z 12.00 — </w:t>
      </w:r>
      <w:r w:rsidR="00933DCE" w:rsidRPr="00210421">
        <w:rPr>
          <w:rFonts w:ascii="Times New Roman" w:hAnsi="Times New Roman" w:cs="Times New Roman"/>
        </w:rPr>
        <w:t xml:space="preserve">Valores (incluidos el capital de nivel 1 ordinario (CET1), el capital de nivel 1 adicional (AT1) y los instrumentos de nivel 2 (T2), excepto intragrupo) </w:t>
      </w:r>
      <w:bookmarkEnd w:id="244"/>
      <w:r w:rsidRPr="00A119F0">
        <w:rPr>
          <w:rFonts w:ascii="Times New Roman" w:eastAsia="Calibri" w:hAnsi="Times New Roman" w:cs="Times New Roman"/>
          <w:lang w:val="es-ES"/>
        </w:rPr>
        <w:t>(LIAB-G-2)</w:t>
      </w:r>
      <w:bookmarkEnd w:id="245"/>
    </w:p>
    <w:p w14:paraId="7FE1CF7D" w14:textId="77777777" w:rsidR="00414040" w:rsidRDefault="00904E1A">
      <w:pPr>
        <w:pStyle w:val="P68B1DB1-Numberedtitlelevel372"/>
      </w:pPr>
      <w:r>
        <w:t>Observaciones generales</w:t>
      </w:r>
    </w:p>
    <w:p w14:paraId="7FE1CF7F" w14:textId="75D7FA75" w:rsidR="00414040" w:rsidRDefault="00904E1A" w:rsidP="2466DABA">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 xml:space="preserve">Un valor es un instrumento financiero negociable, fungible, que representa un valor financiero, con independencia de sus características específicas reales (p. ej., estos instrumentos están garantizados o no). </w:t>
      </w:r>
      <w:r w:rsidR="014B04A8" w:rsidRPr="2466DABA">
        <w:rPr>
          <w:rFonts w:ascii="Times New Roman" w:eastAsia="Cambria" w:hAnsi="Times New Roman" w:cs="Times New Roman"/>
          <w:sz w:val="20"/>
          <w:szCs w:val="20"/>
        </w:rPr>
        <w:t>Esta plantilla</w:t>
      </w:r>
      <w:r>
        <w:rPr>
          <w:rFonts w:ascii="Times New Roman" w:eastAsia="Cambria" w:hAnsi="Times New Roman" w:cs="Times New Roman"/>
          <w:sz w:val="20"/>
          <w:szCs w:val="20"/>
        </w:rPr>
        <w:t xml:space="preserve"> incluirá también los instrumentos de los fondos propios</w:t>
      </w:r>
      <w:r>
        <w:rPr>
          <w:rStyle w:val="FootnoteReference"/>
          <w:rFonts w:eastAsia="Cambria" w:cs="Times New Roman"/>
        </w:rPr>
        <w:footnoteReference w:id="36"/>
      </w:r>
      <w:r>
        <w:rPr>
          <w:rFonts w:ascii="Times New Roman" w:eastAsia="Cambria" w:hAnsi="Times New Roman" w:cs="Times New Roman"/>
          <w:sz w:val="20"/>
          <w:szCs w:val="20"/>
        </w:rPr>
        <w:t>. A efectos de los instrumentos de capital de nivel 1 ordinario, el derecho residual de las acciones sobre el patrimonio neto contable total (según se define en Z 02.00-</w:t>
      </w:r>
      <w:r w:rsidR="009D733E" w:rsidRPr="2466DABA">
        <w:rPr>
          <w:rFonts w:ascii="Times New Roman" w:eastAsia="Cambria" w:hAnsi="Times New Roman" w:cs="Times New Roman"/>
          <w:sz w:val="20"/>
          <w:szCs w:val="20"/>
        </w:rPr>
        <w:t>r0511</w:t>
      </w:r>
      <w:r>
        <w:rPr>
          <w:rFonts w:ascii="Times New Roman" w:eastAsia="Cambria" w:hAnsi="Times New Roman" w:cs="Times New Roman"/>
          <w:sz w:val="20"/>
          <w:szCs w:val="20"/>
        </w:rPr>
        <w:t>) se comunicará a nivel de instrumento.</w:t>
      </w:r>
    </w:p>
    <w:p w14:paraId="7FE1CF81" w14:textId="79B04234" w:rsidR="00414040" w:rsidRDefault="00904E1A">
      <w:pPr>
        <w:pStyle w:val="P68B1DB1-InstructionsText286"/>
        <w:numPr>
          <w:ilvl w:val="2"/>
          <w:numId w:val="209"/>
        </w:numPr>
        <w:spacing w:before="0"/>
        <w:ind w:left="1134"/>
      </w:pPr>
      <w:r>
        <w:t xml:space="preserve">Cuando no se disponga del identificador del prestamista (columna 0210) (por ejemplo, en el caso de instrumentos negociados en plataformas), cada fila se </w:t>
      </w:r>
      <w:r w:rsidR="7EBEC294">
        <w:t xml:space="preserve">informará </w:t>
      </w:r>
      <w:r>
        <w:t>a nivel agregado con respecto a este campo.</w:t>
      </w:r>
    </w:p>
    <w:p w14:paraId="7FE1CF83" w14:textId="6E5D23D0" w:rsidR="00414040" w:rsidRDefault="00904E1A">
      <w:pPr>
        <w:pStyle w:val="P68B1DB1-InstructionsText286"/>
        <w:numPr>
          <w:ilvl w:val="2"/>
          <w:numId w:val="209"/>
        </w:numPr>
        <w:spacing w:before="0"/>
        <w:ind w:left="1134"/>
      </w:pPr>
      <w:r>
        <w:t>A efectos de est</w:t>
      </w:r>
      <w:r w:rsidR="049C0A0F">
        <w:t>a plantilla</w:t>
      </w:r>
      <w:r>
        <w:t>, los pasivos se comunicarán en filas al nivel de detalle definido por los campos solicitados.</w:t>
      </w:r>
    </w:p>
    <w:p w14:paraId="7FE1CF86" w14:textId="77777777" w:rsidR="00414040" w:rsidRDefault="00414040">
      <w:pPr>
        <w:spacing w:line="276" w:lineRule="auto"/>
        <w:rPr>
          <w:rFonts w:ascii="Times New Roman" w:hAnsi="Times New Roman" w:cs="Times New Roman"/>
          <w:sz w:val="20"/>
          <w:szCs w:val="20"/>
        </w:rPr>
      </w:pPr>
    </w:p>
    <w:p w14:paraId="7FE1CF87" w14:textId="77777777" w:rsidR="00414040" w:rsidRDefault="00904E1A">
      <w:pPr>
        <w:pStyle w:val="P68B1DB1-Numberedtitlelevel372"/>
      </w:pPr>
      <w:r>
        <w:t>Instrucciones relativas a posiciones concretas</w:t>
      </w:r>
    </w:p>
    <w:p w14:paraId="7FE1CF88" w14:textId="77777777" w:rsidR="00414040" w:rsidRDefault="00414040">
      <w:pPr>
        <w:pStyle w:val="body"/>
        <w:rPr>
          <w:rFonts w:ascii="Times New Roman" w:hAnsi="Times New Roman" w:cs="Times New Roman"/>
          <w:color w:val="000000" w:themeColor="text1"/>
          <w:sz w:val="20"/>
          <w:szCs w:val="20"/>
        </w:rPr>
      </w:pPr>
    </w:p>
    <w:tbl>
      <w:tblPr>
        <w:tblW w:w="9025" w:type="dxa"/>
        <w:tblLook w:val="01E0" w:firstRow="1" w:lastRow="1" w:firstColumn="1" w:lastColumn="1" w:noHBand="0" w:noVBand="0"/>
      </w:tblPr>
      <w:tblGrid>
        <w:gridCol w:w="1306"/>
        <w:gridCol w:w="7547"/>
        <w:gridCol w:w="172"/>
      </w:tblGrid>
      <w:tr w:rsidR="00414040" w14:paraId="7FE1CF8B" w14:textId="77777777" w:rsidTr="618604ED">
        <w:trPr>
          <w:gridAfter w:val="1"/>
          <w:wAfter w:w="172" w:type="dxa"/>
          <w:tblHeader/>
        </w:trPr>
        <w:tc>
          <w:tcPr>
            <w:tcW w:w="1306" w:type="dxa"/>
            <w:tcBorders>
              <w:top w:val="single" w:sz="4" w:space="0" w:color="1A171C"/>
              <w:left w:val="nil"/>
              <w:bottom w:val="single" w:sz="4" w:space="0" w:color="1A171C"/>
              <w:right w:val="single" w:sz="4" w:space="0" w:color="1A171C"/>
            </w:tcBorders>
            <w:shd w:val="clear" w:color="auto" w:fill="E4E5E5"/>
          </w:tcPr>
          <w:p w14:paraId="7FE1CF89" w14:textId="77777777" w:rsidR="00414040" w:rsidRDefault="00904E1A">
            <w:pPr>
              <w:pStyle w:val="P68B1DB1-TableParagraph17"/>
              <w:spacing w:before="108"/>
              <w:ind w:left="85"/>
            </w:pPr>
            <w:r>
              <w:t>Columnas</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414040" w:rsidRDefault="00904E1A">
            <w:pPr>
              <w:pStyle w:val="P68B1DB1-TableParagraph17"/>
              <w:spacing w:before="108"/>
              <w:ind w:left="85" w:right="1"/>
            </w:pPr>
            <w:r>
              <w:t>Instrucciones</w:t>
            </w:r>
          </w:p>
        </w:tc>
      </w:tr>
      <w:tr w:rsidR="00414040" w14:paraId="7FE1CF8F" w14:textId="77777777" w:rsidTr="618604ED">
        <w:tc>
          <w:tcPr>
            <w:tcW w:w="1306" w:type="dxa"/>
            <w:tcBorders>
              <w:top w:val="single" w:sz="8" w:space="0" w:color="1A171C"/>
              <w:left w:val="nil"/>
              <w:bottom w:val="single" w:sz="8" w:space="0" w:color="1A171C"/>
              <w:right w:val="single" w:sz="8" w:space="0" w:color="1A171C"/>
            </w:tcBorders>
            <w:vAlign w:val="center"/>
          </w:tcPr>
          <w:p w14:paraId="7FE1CF8C" w14:textId="77777777" w:rsidR="00414040" w:rsidRDefault="00904E1A">
            <w:pPr>
              <w:pStyle w:val="P68B1DB1-Normal31"/>
            </w:pPr>
            <w:r>
              <w:t>0010</w:t>
            </w:r>
          </w:p>
        </w:tc>
        <w:tc>
          <w:tcPr>
            <w:tcW w:w="7719" w:type="dxa"/>
            <w:gridSpan w:val="2"/>
            <w:tcBorders>
              <w:top w:val="single" w:sz="8" w:space="0" w:color="1A171C"/>
              <w:left w:val="single" w:sz="8" w:space="0" w:color="1A171C"/>
              <w:bottom w:val="single" w:sz="8" w:space="0" w:color="1A171C"/>
              <w:right w:val="nil"/>
            </w:tcBorders>
            <w:vAlign w:val="bottom"/>
          </w:tcPr>
          <w:p w14:paraId="7FE1CF8D" w14:textId="0633D6C8" w:rsidR="00414040" w:rsidRDefault="00904E1A">
            <w:pPr>
              <w:pStyle w:val="P68B1DB1-TableParagraph40"/>
              <w:spacing w:before="108"/>
              <w:ind w:left="85"/>
              <w:jc w:val="both"/>
              <w:rPr>
                <w:b/>
                <w:bCs/>
              </w:rPr>
            </w:pPr>
            <w:r>
              <w:t xml:space="preserve"> </w:t>
            </w:r>
            <w:r>
              <w:rPr>
                <w:b/>
              </w:rPr>
              <w:t>N.</w:t>
            </w:r>
            <w:r w:rsidR="009D733E">
              <w:rPr>
                <w:b/>
              </w:rPr>
              <w:t>º</w:t>
            </w:r>
          </w:p>
          <w:p w14:paraId="7FE1CF8E" w14:textId="747A12E0" w:rsidR="00414040" w:rsidRDefault="00904E1A">
            <w:pPr>
              <w:pStyle w:val="P68B1DB1-TableParagraph40"/>
              <w:spacing w:before="108"/>
              <w:ind w:left="85"/>
              <w:jc w:val="both"/>
            </w:pPr>
            <w:r>
              <w:t xml:space="preserve">Número único o clave </w:t>
            </w:r>
            <w:r w:rsidRPr="001B60B6">
              <w:t xml:space="preserve">principal </w:t>
            </w:r>
            <w:r w:rsidR="009D733E" w:rsidRPr="001B60B6">
              <w:t xml:space="preserve">única </w:t>
            </w:r>
            <w:r w:rsidRPr="001B60B6">
              <w:t xml:space="preserve">para identificar las </w:t>
            </w:r>
            <w:r w:rsidR="74A68A93" w:rsidRPr="001B60B6">
              <w:t>filas</w:t>
            </w:r>
            <w:r>
              <w:t>.</w:t>
            </w:r>
          </w:p>
        </w:tc>
      </w:tr>
      <w:tr w:rsidR="00414040" w14:paraId="7FE1CF93" w14:textId="77777777" w:rsidTr="618604ED">
        <w:tc>
          <w:tcPr>
            <w:tcW w:w="1306" w:type="dxa"/>
            <w:tcBorders>
              <w:top w:val="single" w:sz="8" w:space="0" w:color="1A171C"/>
              <w:left w:val="nil"/>
              <w:bottom w:val="single" w:sz="8" w:space="0" w:color="1A171C"/>
              <w:right w:val="single" w:sz="8" w:space="0" w:color="1A171C"/>
            </w:tcBorders>
            <w:vAlign w:val="center"/>
          </w:tcPr>
          <w:p w14:paraId="7FE1CF90" w14:textId="77777777" w:rsidR="00414040" w:rsidRDefault="00904E1A">
            <w:pPr>
              <w:pStyle w:val="P68B1DB1-Normal31"/>
            </w:pPr>
            <w:r>
              <w:t>0020</w:t>
            </w:r>
          </w:p>
        </w:tc>
        <w:tc>
          <w:tcPr>
            <w:tcW w:w="7719" w:type="dxa"/>
            <w:gridSpan w:val="2"/>
            <w:tcBorders>
              <w:top w:val="single" w:sz="8" w:space="0" w:color="1A171C"/>
              <w:left w:val="single" w:sz="8" w:space="0" w:color="1A171C"/>
              <w:bottom w:val="single" w:sz="8" w:space="0" w:color="1A171C"/>
              <w:right w:val="nil"/>
            </w:tcBorders>
            <w:vAlign w:val="bottom"/>
          </w:tcPr>
          <w:p w14:paraId="7FE1CF91" w14:textId="2D0C3327" w:rsidR="00414040" w:rsidRDefault="00904E1A">
            <w:pPr>
              <w:pStyle w:val="P68B1DB1-TableParagraph73"/>
              <w:spacing w:before="108"/>
              <w:ind w:left="85"/>
              <w:jc w:val="both"/>
              <w:rPr>
                <w:bCs/>
              </w:rPr>
            </w:pPr>
            <w:r>
              <w:t>Fila</w:t>
            </w:r>
          </w:p>
          <w:p w14:paraId="7FE1CF92" w14:textId="0A3301E1" w:rsidR="00414040" w:rsidRDefault="00904E1A">
            <w:pPr>
              <w:pStyle w:val="P68B1DB1-TableParagraph40"/>
              <w:spacing w:before="108"/>
              <w:ind w:left="85"/>
              <w:jc w:val="both"/>
            </w:pPr>
            <w:r>
              <w:t xml:space="preserve">Para cada fila informada, deberá realizarse una conciliación con las categorías de pasivos de la estructura del pasivo </w:t>
            </w:r>
            <w:r w:rsidR="009D733E">
              <w:t xml:space="preserve">de </w:t>
            </w:r>
            <w:r>
              <w:t>Z02.00 a nivel de vencimiento, a partir de una lista predefinida de valores.</w:t>
            </w:r>
          </w:p>
        </w:tc>
      </w:tr>
      <w:tr w:rsidR="00414040" w14:paraId="7FE1CF97" w14:textId="77777777" w:rsidTr="618604ED">
        <w:tc>
          <w:tcPr>
            <w:tcW w:w="1306" w:type="dxa"/>
            <w:tcBorders>
              <w:top w:val="single" w:sz="8" w:space="0" w:color="1A171C"/>
              <w:left w:val="nil"/>
              <w:bottom w:val="single" w:sz="8" w:space="0" w:color="1A171C"/>
              <w:right w:val="single" w:sz="8" w:space="0" w:color="1A171C"/>
            </w:tcBorders>
            <w:vAlign w:val="center"/>
          </w:tcPr>
          <w:p w14:paraId="7FE1CF94" w14:textId="77777777" w:rsidR="00414040" w:rsidRDefault="00904E1A">
            <w:pPr>
              <w:pStyle w:val="P68B1DB1-Normal31"/>
            </w:pPr>
            <w:r>
              <w:lastRenderedPageBreak/>
              <w:t>0030</w:t>
            </w:r>
          </w:p>
        </w:tc>
        <w:tc>
          <w:tcPr>
            <w:tcW w:w="7719" w:type="dxa"/>
            <w:gridSpan w:val="2"/>
            <w:tcBorders>
              <w:top w:val="single" w:sz="8" w:space="0" w:color="1A171C"/>
              <w:left w:val="single" w:sz="8" w:space="0" w:color="1A171C"/>
              <w:bottom w:val="single" w:sz="8" w:space="0" w:color="1A171C"/>
              <w:right w:val="nil"/>
            </w:tcBorders>
            <w:vAlign w:val="bottom"/>
          </w:tcPr>
          <w:p w14:paraId="7FE1CF95" w14:textId="77777777" w:rsidR="00414040" w:rsidRDefault="00904E1A">
            <w:pPr>
              <w:pStyle w:val="P68B1DB1-TableParagraph73"/>
              <w:spacing w:before="108"/>
              <w:ind w:left="85"/>
              <w:jc w:val="both"/>
              <w:rPr>
                <w:bCs/>
              </w:rPr>
            </w:pPr>
            <w:r>
              <w:t xml:space="preserve">Columna </w:t>
            </w:r>
          </w:p>
          <w:p w14:paraId="7FE1CF96" w14:textId="61DBDACB" w:rsidR="00414040" w:rsidRDefault="00904E1A">
            <w:pPr>
              <w:pStyle w:val="P68B1DB1-TableParagraph40"/>
              <w:spacing w:before="108"/>
              <w:ind w:left="85"/>
              <w:jc w:val="both"/>
            </w:pPr>
            <w:r>
              <w:t xml:space="preserve">Para cada fila informada, deberá realizarse una conciliación con la categoría de contraparte </w:t>
            </w:r>
            <w:r w:rsidR="009D733E">
              <w:t xml:space="preserve">de </w:t>
            </w:r>
            <w:r>
              <w:t>Ζ02.00 con la que se ha contraído el pasivo, a partir de una lista predefinida de valores.</w:t>
            </w:r>
          </w:p>
        </w:tc>
      </w:tr>
      <w:tr w:rsidR="00414040" w14:paraId="7FE1CF9B" w14:textId="77777777" w:rsidTr="618604ED">
        <w:tc>
          <w:tcPr>
            <w:tcW w:w="1306" w:type="dxa"/>
            <w:tcBorders>
              <w:top w:val="single" w:sz="8" w:space="0" w:color="1A171C"/>
              <w:left w:val="nil"/>
              <w:bottom w:val="single" w:sz="8" w:space="0" w:color="1A171C"/>
              <w:right w:val="single" w:sz="8" w:space="0" w:color="1A171C"/>
            </w:tcBorders>
            <w:vAlign w:val="center"/>
          </w:tcPr>
          <w:p w14:paraId="7FE1CF98" w14:textId="77777777" w:rsidR="00414040" w:rsidRDefault="00904E1A">
            <w:pPr>
              <w:pStyle w:val="P68B1DB1-Normal31"/>
            </w:pPr>
            <w:r>
              <w:t>0040</w:t>
            </w:r>
          </w:p>
        </w:tc>
        <w:tc>
          <w:tcPr>
            <w:tcW w:w="7719" w:type="dxa"/>
            <w:gridSpan w:val="2"/>
            <w:tcBorders>
              <w:top w:val="single" w:sz="8" w:space="0" w:color="1A171C"/>
              <w:left w:val="single" w:sz="8" w:space="0" w:color="1A171C"/>
              <w:bottom w:val="single" w:sz="8" w:space="0" w:color="1A171C"/>
              <w:right w:val="nil"/>
            </w:tcBorders>
            <w:vAlign w:val="bottom"/>
          </w:tcPr>
          <w:p w14:paraId="7FE1CF99" w14:textId="4A659794" w:rsidR="00414040" w:rsidRPr="001B60B6" w:rsidRDefault="00904E1A">
            <w:pPr>
              <w:pStyle w:val="P68B1DB1-TableParagraph40"/>
              <w:spacing w:before="108"/>
              <w:ind w:left="85"/>
              <w:jc w:val="both"/>
              <w:rPr>
                <w:b/>
                <w:bCs/>
              </w:rPr>
            </w:pPr>
            <w:r>
              <w:t xml:space="preserve"> </w:t>
            </w:r>
            <w:r w:rsidR="07FC4D91" w:rsidRPr="001B60B6">
              <w:rPr>
                <w:b/>
                <w:bCs/>
              </w:rPr>
              <w:t xml:space="preserve">Rango </w:t>
            </w:r>
            <w:r w:rsidRPr="001B60B6">
              <w:rPr>
                <w:b/>
              </w:rPr>
              <w:t>en caso de insolvencia</w:t>
            </w:r>
          </w:p>
          <w:p w14:paraId="7FE1CF9A" w14:textId="33768518" w:rsidR="00414040" w:rsidRDefault="00904E1A">
            <w:pPr>
              <w:pStyle w:val="P68B1DB1-TableParagraph40"/>
              <w:spacing w:before="108"/>
              <w:ind w:left="85"/>
              <w:jc w:val="both"/>
            </w:pPr>
            <w:r w:rsidRPr="001B60B6">
              <w:t>El rango en caso de insolvencia será uno de los rangos incluidos en el orden de prelación en caso de insolvencia publicado por la autoridad de resolución</w:t>
            </w:r>
            <w:r>
              <w:t xml:space="preserve"> de ese país. </w:t>
            </w:r>
          </w:p>
        </w:tc>
      </w:tr>
      <w:tr w:rsidR="00414040" w14:paraId="7FE1CF9F" w14:textId="77777777" w:rsidTr="618604ED">
        <w:tc>
          <w:tcPr>
            <w:tcW w:w="1306" w:type="dxa"/>
            <w:tcBorders>
              <w:top w:val="single" w:sz="8" w:space="0" w:color="1A171C"/>
              <w:left w:val="nil"/>
              <w:bottom w:val="single" w:sz="8" w:space="0" w:color="1A171C"/>
              <w:right w:val="single" w:sz="8" w:space="0" w:color="1A171C"/>
            </w:tcBorders>
            <w:vAlign w:val="center"/>
          </w:tcPr>
          <w:p w14:paraId="7FE1CF9C" w14:textId="77777777" w:rsidR="00414040" w:rsidRDefault="00904E1A">
            <w:pPr>
              <w:pStyle w:val="P68B1DB1-Normal31"/>
            </w:pPr>
            <w:r>
              <w:t>0050</w:t>
            </w:r>
          </w:p>
        </w:tc>
        <w:tc>
          <w:tcPr>
            <w:tcW w:w="7719" w:type="dxa"/>
            <w:gridSpan w:val="2"/>
            <w:tcBorders>
              <w:top w:val="single" w:sz="8" w:space="0" w:color="1A171C"/>
              <w:left w:val="single" w:sz="8" w:space="0" w:color="1A171C"/>
              <w:bottom w:val="single" w:sz="8" w:space="0" w:color="1A171C"/>
              <w:right w:val="nil"/>
            </w:tcBorders>
            <w:vAlign w:val="bottom"/>
          </w:tcPr>
          <w:p w14:paraId="7FE1CF9D" w14:textId="77777777" w:rsidR="00414040" w:rsidRDefault="00904E1A">
            <w:pPr>
              <w:pStyle w:val="P68B1DB1-TableParagraph73"/>
              <w:spacing w:before="108"/>
              <w:ind w:left="85"/>
              <w:jc w:val="both"/>
              <w:rPr>
                <w:bCs/>
              </w:rPr>
            </w:pPr>
            <w:r>
              <w:t>ISIN</w:t>
            </w:r>
          </w:p>
          <w:p w14:paraId="7FE1CF9E" w14:textId="02C8C7D3" w:rsidR="00414040" w:rsidRDefault="00904E1A">
            <w:pPr>
              <w:pStyle w:val="P68B1DB1-TableParagraph40"/>
              <w:spacing w:before="108"/>
              <w:ind w:left="85"/>
              <w:jc w:val="both"/>
            </w:pPr>
            <w:r>
              <w:t>Se comunicará el ISIN o, en caso de que el ISIN no esté disponible, otro identificador del contrato del instrumento.</w:t>
            </w:r>
          </w:p>
        </w:tc>
      </w:tr>
      <w:tr w:rsidR="00414040" w14:paraId="7FE1CFAC" w14:textId="77777777" w:rsidTr="618604ED">
        <w:tc>
          <w:tcPr>
            <w:tcW w:w="1306" w:type="dxa"/>
            <w:tcBorders>
              <w:top w:val="single" w:sz="8" w:space="0" w:color="1A171C"/>
              <w:left w:val="nil"/>
              <w:bottom w:val="single" w:sz="8" w:space="0" w:color="1A171C"/>
              <w:right w:val="single" w:sz="8" w:space="0" w:color="1A171C"/>
            </w:tcBorders>
            <w:vAlign w:val="center"/>
          </w:tcPr>
          <w:p w14:paraId="7FE1CFA0" w14:textId="77777777" w:rsidR="00414040" w:rsidRDefault="00904E1A">
            <w:pPr>
              <w:pStyle w:val="P68B1DB1-Normal31"/>
            </w:pPr>
            <w:r>
              <w:t>0060</w:t>
            </w:r>
          </w:p>
        </w:tc>
        <w:tc>
          <w:tcPr>
            <w:tcW w:w="7719" w:type="dxa"/>
            <w:gridSpan w:val="2"/>
            <w:tcBorders>
              <w:top w:val="single" w:sz="8" w:space="0" w:color="1A171C"/>
              <w:left w:val="single" w:sz="8" w:space="0" w:color="1A171C"/>
              <w:bottom w:val="single" w:sz="8" w:space="0" w:color="1A171C"/>
              <w:right w:val="nil"/>
            </w:tcBorders>
            <w:vAlign w:val="bottom"/>
          </w:tcPr>
          <w:p w14:paraId="7FE1CFA1" w14:textId="6BA6A7B1" w:rsidR="00414040" w:rsidRDefault="00904E1A">
            <w:pPr>
              <w:pStyle w:val="P68B1DB1-TableParagraph73"/>
              <w:spacing w:before="108"/>
              <w:ind w:left="85"/>
              <w:jc w:val="both"/>
              <w:rPr>
                <w:bCs/>
              </w:rPr>
            </w:pPr>
            <w:r>
              <w:t xml:space="preserve">Tipo de instrumento  </w:t>
            </w:r>
          </w:p>
          <w:p w14:paraId="7FE1CFA2" w14:textId="3674EFF1" w:rsidR="00414040" w:rsidRDefault="00904E1A">
            <w:pPr>
              <w:pStyle w:val="P68B1DB1-TableParagraph40"/>
              <w:spacing w:before="108"/>
              <w:ind w:left="85"/>
              <w:jc w:val="both"/>
              <w:rPr>
                <w:lang w:val="es-ES"/>
              </w:rPr>
            </w:pPr>
            <w:r w:rsidRPr="65BCDFEF">
              <w:rPr>
                <w:lang w:val="es-ES"/>
              </w:rPr>
              <w:t>Identificación del tipo de instrumento</w:t>
            </w:r>
            <w:r w:rsidR="6D1D29E6" w:rsidRPr="65BCDFEF">
              <w:rPr>
                <w:lang w:val="es-ES"/>
              </w:rPr>
              <w:t xml:space="preserve"> a partir de la siguiente lista </w:t>
            </w:r>
            <w:r w:rsidR="6D1D29E6" w:rsidRPr="4EA22B4F">
              <w:rPr>
                <w:lang w:val="es-ES"/>
              </w:rPr>
              <w:t>pred</w:t>
            </w:r>
            <w:r w:rsidR="6AC7C5C8" w:rsidRPr="4EA22B4F">
              <w:rPr>
                <w:lang w:val="es-ES"/>
              </w:rPr>
              <w:t>e</w:t>
            </w:r>
            <w:r w:rsidR="6D1D29E6" w:rsidRPr="4EA22B4F">
              <w:rPr>
                <w:lang w:val="es-ES"/>
              </w:rPr>
              <w:t>fin</w:t>
            </w:r>
            <w:r w:rsidR="5FAB187A" w:rsidRPr="4EA22B4F">
              <w:rPr>
                <w:lang w:val="es-ES"/>
              </w:rPr>
              <w:t>i</w:t>
            </w:r>
            <w:r w:rsidR="6D1D29E6" w:rsidRPr="4EA22B4F">
              <w:rPr>
                <w:lang w:val="es-ES"/>
              </w:rPr>
              <w:t>da</w:t>
            </w:r>
            <w:r w:rsidR="6D1D29E6" w:rsidRPr="65BCDFEF">
              <w:rPr>
                <w:lang w:val="es-ES"/>
              </w:rPr>
              <w:t>:</w:t>
            </w:r>
          </w:p>
          <w:p w14:paraId="7FE1CFA3" w14:textId="0C4F84B9" w:rsidR="00414040" w:rsidRDefault="00ED6B45" w:rsidP="00210421">
            <w:pPr>
              <w:pStyle w:val="P68B1DB1-TableParagraph40"/>
              <w:spacing w:before="108"/>
              <w:jc w:val="both"/>
            </w:pPr>
            <w:r>
              <w:t>-</w:t>
            </w:r>
            <w:r w:rsidR="00904E1A">
              <w:t xml:space="preserve">Bono </w:t>
            </w:r>
            <w:r w:rsidR="56C9F70E">
              <w:t>registrado</w:t>
            </w:r>
          </w:p>
          <w:p w14:paraId="5900841B" w14:textId="61A36BEC" w:rsidR="00414040" w:rsidRDefault="00ED6B45" w:rsidP="00210421">
            <w:pPr>
              <w:pStyle w:val="P68B1DB1-TableParagraph40"/>
              <w:spacing w:before="108"/>
              <w:jc w:val="both"/>
            </w:pPr>
            <w:r>
              <w:t>-</w:t>
            </w:r>
            <w:r w:rsidR="00904E1A">
              <w:t xml:space="preserve"> Bono al portador</w:t>
            </w:r>
          </w:p>
          <w:p w14:paraId="7FE1CFA5" w14:textId="34DAD56F" w:rsidR="00414040" w:rsidRDefault="00ED6B45" w:rsidP="00210421">
            <w:pPr>
              <w:pStyle w:val="P68B1DB1-TableParagraph40"/>
              <w:spacing w:before="108"/>
              <w:jc w:val="both"/>
            </w:pPr>
            <w:r>
              <w:t>-</w:t>
            </w:r>
            <w:r w:rsidR="62A6E081">
              <w:t>Certificado de deuda</w:t>
            </w:r>
          </w:p>
          <w:p w14:paraId="64BCBC64" w14:textId="4E7A2EFB" w:rsidR="65BCDFEF" w:rsidRDefault="00ED6B45" w:rsidP="00210421">
            <w:pPr>
              <w:pStyle w:val="P68B1DB1-TableParagraph40"/>
              <w:spacing w:before="108"/>
              <w:jc w:val="both"/>
            </w:pPr>
            <w:r>
              <w:t>-</w:t>
            </w:r>
            <w:r w:rsidR="00904E1A">
              <w:t xml:space="preserve"> Certificado de depósito/</w:t>
            </w:r>
            <w:r w:rsidR="00F01897">
              <w:t>efectos comerciales</w:t>
            </w:r>
          </w:p>
          <w:p w14:paraId="2BB3DFB9" w14:textId="40694081" w:rsidR="00C06AA7" w:rsidRDefault="00ED6B45" w:rsidP="00ED6B45">
            <w:pPr>
              <w:pStyle w:val="P68B1DB1-TableParagraph40"/>
            </w:pPr>
            <w:r>
              <w:t>-</w:t>
            </w:r>
            <w:r w:rsidR="00904E1A">
              <w:t>Título de propiedad</w:t>
            </w:r>
          </w:p>
          <w:p w14:paraId="7FE1CFA9" w14:textId="43A3E028" w:rsidR="00414040" w:rsidRDefault="00ED6B45" w:rsidP="00210421">
            <w:pPr>
              <w:pStyle w:val="P68B1DB1-TableParagraph40"/>
              <w:spacing w:before="108"/>
              <w:jc w:val="both"/>
            </w:pPr>
            <w:r w:rsidRPr="00ED6B45">
              <w:t>-</w:t>
            </w:r>
            <w:r>
              <w:t xml:space="preserve"> </w:t>
            </w:r>
            <w:r w:rsidR="45D26FDF">
              <w:t>Otro</w:t>
            </w:r>
          </w:p>
          <w:p w14:paraId="7FE1CFAA" w14:textId="2BCDE67E" w:rsidR="00414040" w:rsidRDefault="00904E1A">
            <w:pPr>
              <w:pStyle w:val="P68B1DB1-TableParagraph40"/>
              <w:spacing w:before="108"/>
              <w:ind w:left="85"/>
              <w:jc w:val="both"/>
            </w:pPr>
            <w:r>
              <w:t xml:space="preserve"> </w:t>
            </w:r>
          </w:p>
          <w:p w14:paraId="7FE1CFAB" w14:textId="00DB4171" w:rsidR="00414040" w:rsidRDefault="00414040">
            <w:pPr>
              <w:pStyle w:val="P68B1DB1-TableParagraph40"/>
              <w:spacing w:before="108"/>
              <w:ind w:left="85"/>
              <w:jc w:val="both"/>
            </w:pPr>
          </w:p>
        </w:tc>
      </w:tr>
      <w:tr w:rsidR="00414040" w14:paraId="7FE1CFB0" w14:textId="77777777" w:rsidTr="618604ED">
        <w:tc>
          <w:tcPr>
            <w:tcW w:w="1306" w:type="dxa"/>
            <w:tcBorders>
              <w:top w:val="single" w:sz="8" w:space="0" w:color="1A171C"/>
              <w:left w:val="nil"/>
              <w:bottom w:val="single" w:sz="8" w:space="0" w:color="1A171C"/>
              <w:right w:val="single" w:sz="8" w:space="0" w:color="1A171C"/>
            </w:tcBorders>
            <w:vAlign w:val="center"/>
          </w:tcPr>
          <w:p w14:paraId="7FE1CFAD" w14:textId="77777777" w:rsidR="00414040" w:rsidRDefault="00904E1A">
            <w:pPr>
              <w:pStyle w:val="P68B1DB1-Normal31"/>
            </w:pPr>
            <w:r>
              <w:t>0070</w:t>
            </w:r>
          </w:p>
        </w:tc>
        <w:tc>
          <w:tcPr>
            <w:tcW w:w="7719" w:type="dxa"/>
            <w:gridSpan w:val="2"/>
            <w:tcBorders>
              <w:top w:val="single" w:sz="8" w:space="0" w:color="1A171C"/>
              <w:left w:val="single" w:sz="8" w:space="0" w:color="1A171C"/>
              <w:bottom w:val="single" w:sz="8" w:space="0" w:color="1A171C"/>
              <w:right w:val="nil"/>
            </w:tcBorders>
            <w:vAlign w:val="bottom"/>
          </w:tcPr>
          <w:p w14:paraId="7FE1CFAE" w14:textId="766A3688" w:rsidR="00414040" w:rsidRDefault="4B152819">
            <w:pPr>
              <w:pStyle w:val="P68B1DB1-TableParagraph73"/>
              <w:spacing w:before="108"/>
              <w:ind w:left="85"/>
              <w:jc w:val="both"/>
              <w:rPr>
                <w:bCs/>
              </w:rPr>
            </w:pPr>
            <w:r>
              <w:t xml:space="preserve">Derecho </w:t>
            </w:r>
            <w:r w:rsidR="00904E1A">
              <w:t xml:space="preserve">aplicable  </w:t>
            </w:r>
          </w:p>
          <w:p w14:paraId="7FE1CFAF" w14:textId="4E1C04FD" w:rsidR="00414040" w:rsidRDefault="00904E1A" w:rsidP="637BC57D">
            <w:pPr>
              <w:pStyle w:val="P68B1DB1-TableParagraph40"/>
              <w:spacing w:before="108"/>
              <w:ind w:left="85"/>
              <w:jc w:val="both"/>
              <w:rPr>
                <w:lang w:val="es-ES"/>
              </w:rPr>
            </w:pPr>
            <w:r w:rsidRPr="637BC57D">
              <w:rPr>
                <w:lang w:val="es-ES"/>
              </w:rPr>
              <w:t xml:space="preserve">El código ISO 3166-1 alpha-2 del país cuya legislación rige el instrumento (utilícese el código ISO 3166-2 cuando sea pertinente la ley de una subdivisión administrativa, por ejemplo, «US-NY»). Si el contrato se rige por la normativa de más de un país, se </w:t>
            </w:r>
            <w:r w:rsidR="172D43D1" w:rsidRPr="637BC57D">
              <w:rPr>
                <w:lang w:val="es-ES"/>
              </w:rPr>
              <w:t>informará</w:t>
            </w:r>
            <w:r w:rsidRPr="637BC57D">
              <w:rPr>
                <w:lang w:val="es-ES"/>
              </w:rPr>
              <w:t xml:space="preserve"> el país cuya normativa tenga mayor relevancia para el reconocimiento de las </w:t>
            </w:r>
            <w:r w:rsidR="002C605C">
              <w:rPr>
                <w:lang w:val="es-ES"/>
              </w:rPr>
              <w:t>competencias</w:t>
            </w:r>
            <w:r w:rsidR="002C605C" w:rsidRPr="637BC57D">
              <w:rPr>
                <w:lang w:val="es-ES"/>
              </w:rPr>
              <w:t xml:space="preserve"> </w:t>
            </w:r>
            <w:r w:rsidRPr="637BC57D">
              <w:rPr>
                <w:lang w:val="es-ES"/>
              </w:rPr>
              <w:t xml:space="preserve">de </w:t>
            </w:r>
            <w:r w:rsidR="002C605C">
              <w:rPr>
                <w:lang w:val="es-ES"/>
              </w:rPr>
              <w:t>amortización</w:t>
            </w:r>
            <w:r w:rsidR="002C605C" w:rsidRPr="637BC57D">
              <w:rPr>
                <w:lang w:val="es-ES"/>
              </w:rPr>
              <w:t xml:space="preserve"> </w:t>
            </w:r>
            <w:r w:rsidRPr="637BC57D">
              <w:rPr>
                <w:lang w:val="es-ES"/>
              </w:rPr>
              <w:t xml:space="preserve">y conversión.  </w:t>
            </w:r>
          </w:p>
        </w:tc>
      </w:tr>
      <w:tr w:rsidR="00414040" w14:paraId="7FE1CFB9" w14:textId="77777777" w:rsidTr="618604ED">
        <w:tc>
          <w:tcPr>
            <w:tcW w:w="1306" w:type="dxa"/>
            <w:tcBorders>
              <w:top w:val="single" w:sz="8" w:space="0" w:color="1A171C"/>
              <w:left w:val="nil"/>
              <w:bottom w:val="single" w:sz="8" w:space="0" w:color="1A171C"/>
              <w:right w:val="single" w:sz="8" w:space="0" w:color="1A171C"/>
            </w:tcBorders>
            <w:vAlign w:val="center"/>
          </w:tcPr>
          <w:p w14:paraId="7FE1CFB1" w14:textId="77777777" w:rsidR="00414040" w:rsidRDefault="00904E1A">
            <w:pPr>
              <w:pStyle w:val="P68B1DB1-Normal31"/>
            </w:pPr>
            <w:r>
              <w:t>0080</w:t>
            </w:r>
          </w:p>
        </w:tc>
        <w:tc>
          <w:tcPr>
            <w:tcW w:w="7719" w:type="dxa"/>
            <w:gridSpan w:val="2"/>
            <w:tcBorders>
              <w:top w:val="single" w:sz="8" w:space="0" w:color="1A171C"/>
              <w:left w:val="single" w:sz="8" w:space="0" w:color="1A171C"/>
              <w:bottom w:val="single" w:sz="8" w:space="0" w:color="1A171C"/>
              <w:right w:val="nil"/>
            </w:tcBorders>
            <w:vAlign w:val="bottom"/>
          </w:tcPr>
          <w:p w14:paraId="7FE1CFB2" w14:textId="5EBC9195" w:rsidR="00414040" w:rsidRDefault="00904E1A">
            <w:pPr>
              <w:pStyle w:val="P68B1DB1-TableParagraph73"/>
              <w:spacing w:before="108"/>
              <w:ind w:left="85"/>
              <w:jc w:val="both"/>
              <w:rPr>
                <w:bCs/>
              </w:rPr>
            </w:pPr>
            <w:r>
              <w:t xml:space="preserve">Si se trata del Derecho de un tercer país, reconocimiento contractual </w:t>
            </w:r>
          </w:p>
          <w:p w14:paraId="7FE1CFB3" w14:textId="6FFB68B8" w:rsidR="00414040" w:rsidRDefault="00904E1A">
            <w:pPr>
              <w:pStyle w:val="P68B1DB1-TableParagraph40"/>
              <w:spacing w:before="108"/>
              <w:ind w:left="85"/>
              <w:jc w:val="both"/>
            </w:pPr>
            <w:r w:rsidRPr="6F76ED97">
              <w:rPr>
                <w:lang w:val="es-ES"/>
              </w:rPr>
              <w:t xml:space="preserve">Identificación de las disposiciones contractuales para el reconocimiento de las competencias de recapitalización interna de conformidad con el artículo 55 de la </w:t>
            </w:r>
            <w:r w:rsidR="00F72850">
              <w:rPr>
                <w:lang w:val="es-ES"/>
              </w:rPr>
              <w:t>BRRD</w:t>
            </w:r>
            <w:r w:rsidRPr="6F76ED97">
              <w:rPr>
                <w:lang w:val="es-ES"/>
              </w:rPr>
              <w:t xml:space="preserve">, </w:t>
            </w:r>
            <w:r w:rsidR="1525CA5E" w:rsidRPr="6F76ED97">
              <w:rPr>
                <w:lang w:val="es-ES"/>
              </w:rPr>
              <w:t>a partir de una lista predefinida</w:t>
            </w:r>
            <w:r w:rsidR="0064133D">
              <w:rPr>
                <w:lang w:val="es-ES"/>
              </w:rPr>
              <w:t xml:space="preserve">, </w:t>
            </w:r>
            <w:r w:rsidRPr="6F76ED97">
              <w:rPr>
                <w:lang w:val="es-ES"/>
              </w:rPr>
              <w:t>ya sea:</w:t>
            </w:r>
          </w:p>
          <w:p w14:paraId="7FE1CFB4" w14:textId="1A558087" w:rsidR="00414040" w:rsidRDefault="00904E1A">
            <w:pPr>
              <w:pStyle w:val="P68B1DB1-TableParagraph40"/>
              <w:spacing w:before="108"/>
              <w:ind w:left="85"/>
              <w:jc w:val="both"/>
            </w:pPr>
            <w:r>
              <w:t xml:space="preserve">«Sí, respaldado por dictamen jurídico» = el pasivo incluye una cláusula de reconocimiento de recapitalización interna de conformidad con el artículo 55 de la </w:t>
            </w:r>
            <w:r w:rsidR="00F72850">
              <w:t xml:space="preserve">BRRD </w:t>
            </w:r>
            <w:r>
              <w:t>que está respaldada por un dictamen jurídico;</w:t>
            </w:r>
          </w:p>
          <w:p w14:paraId="7FE1CFB5" w14:textId="5D306E71" w:rsidR="00414040" w:rsidRDefault="00904E1A">
            <w:pPr>
              <w:pStyle w:val="P68B1DB1-TableParagraph40"/>
              <w:spacing w:before="108"/>
              <w:ind w:left="85"/>
              <w:jc w:val="both"/>
            </w:pPr>
            <w:r>
              <w:t>«Sí, no respaldado por dictamen jurídico» = el pasivo incluye una cláusula de reconocimiento de recapitalización interna de conformidad con el artículo 55 de la DRRB que actualmente no está respaldada por un dictamen jurídico;</w:t>
            </w:r>
          </w:p>
          <w:p w14:paraId="7FE1CFB6" w14:textId="77777777" w:rsidR="00414040" w:rsidRDefault="00904E1A">
            <w:pPr>
              <w:pStyle w:val="P68B1DB1-TableParagraph40"/>
              <w:spacing w:before="108"/>
              <w:ind w:left="85"/>
              <w:jc w:val="both"/>
            </w:pPr>
            <w:r>
              <w:t>«No» = el pasivo no incluye una cláusula de reconocimiento de recapitalización interna;</w:t>
            </w:r>
          </w:p>
          <w:p w14:paraId="7FE1CFB7" w14:textId="2609D61F" w:rsidR="00414040" w:rsidRDefault="00904E1A">
            <w:pPr>
              <w:pStyle w:val="P68B1DB1-TableParagraph40"/>
              <w:spacing w:before="108"/>
              <w:ind w:left="85"/>
              <w:jc w:val="both"/>
            </w:pPr>
            <w:r>
              <w:t>«No aplica</w:t>
            </w:r>
            <w:r w:rsidR="00F72850">
              <w:t>ble</w:t>
            </w:r>
            <w:r>
              <w:t>»</w:t>
            </w:r>
            <w:r w:rsidR="0064133D">
              <w:t>.</w:t>
            </w:r>
          </w:p>
          <w:p w14:paraId="7FE1CFB8" w14:textId="62681A68" w:rsidR="00414040" w:rsidRDefault="00414040">
            <w:pPr>
              <w:pStyle w:val="P68B1DB1-TableParagraph40"/>
              <w:spacing w:before="108"/>
              <w:ind w:left="85"/>
              <w:jc w:val="both"/>
            </w:pPr>
          </w:p>
        </w:tc>
      </w:tr>
      <w:tr w:rsidR="00414040" w14:paraId="7FE1CFBD" w14:textId="77777777" w:rsidTr="618604ED">
        <w:tc>
          <w:tcPr>
            <w:tcW w:w="1306" w:type="dxa"/>
            <w:tcBorders>
              <w:top w:val="single" w:sz="8" w:space="0" w:color="1A171C"/>
              <w:left w:val="nil"/>
              <w:bottom w:val="single" w:sz="8" w:space="0" w:color="1A171C"/>
              <w:right w:val="single" w:sz="8" w:space="0" w:color="1A171C"/>
            </w:tcBorders>
            <w:vAlign w:val="center"/>
          </w:tcPr>
          <w:p w14:paraId="7FE1CFBA" w14:textId="77777777" w:rsidR="00414040" w:rsidRDefault="00904E1A">
            <w:pPr>
              <w:pStyle w:val="P68B1DB1-Normal31"/>
            </w:pPr>
            <w:r>
              <w:t>0090</w:t>
            </w:r>
          </w:p>
        </w:tc>
        <w:tc>
          <w:tcPr>
            <w:tcW w:w="7719" w:type="dxa"/>
            <w:gridSpan w:val="2"/>
            <w:tcBorders>
              <w:top w:val="single" w:sz="8" w:space="0" w:color="1A171C"/>
              <w:left w:val="single" w:sz="8" w:space="0" w:color="1A171C"/>
              <w:bottom w:val="single" w:sz="8" w:space="0" w:color="1A171C"/>
              <w:right w:val="nil"/>
            </w:tcBorders>
            <w:vAlign w:val="bottom"/>
          </w:tcPr>
          <w:p w14:paraId="7FE1CFBB" w14:textId="023CCF16" w:rsidR="00414040" w:rsidRDefault="00904E1A">
            <w:pPr>
              <w:pStyle w:val="P68B1DB1-TableParagraph73"/>
              <w:spacing w:before="108"/>
              <w:ind w:left="85"/>
              <w:jc w:val="both"/>
              <w:rPr>
                <w:bCs/>
              </w:rPr>
            </w:pPr>
            <w:r>
              <w:t xml:space="preserve">Moneda </w:t>
            </w:r>
          </w:p>
          <w:p w14:paraId="7FE1CFBC" w14:textId="200C2822" w:rsidR="00414040" w:rsidRDefault="00904E1A">
            <w:pPr>
              <w:pStyle w:val="P68B1DB1-TableParagraph40"/>
              <w:spacing w:before="108"/>
              <w:ind w:left="85"/>
              <w:jc w:val="both"/>
            </w:pPr>
            <w:r>
              <w:t>La moneda del pasivo con arreglo a su código ISO 4217 de 3 letras.</w:t>
            </w:r>
          </w:p>
        </w:tc>
      </w:tr>
      <w:tr w:rsidR="00414040" w14:paraId="7FE1CFC8" w14:textId="77777777" w:rsidTr="618604ED">
        <w:trPr>
          <w:trHeight w:val="2041"/>
        </w:trPr>
        <w:tc>
          <w:tcPr>
            <w:tcW w:w="1306" w:type="dxa"/>
            <w:tcBorders>
              <w:top w:val="single" w:sz="8" w:space="0" w:color="1A171C"/>
              <w:left w:val="nil"/>
              <w:bottom w:val="single" w:sz="8" w:space="0" w:color="1A171C"/>
              <w:right w:val="single" w:sz="8" w:space="0" w:color="1A171C"/>
            </w:tcBorders>
            <w:vAlign w:val="center"/>
          </w:tcPr>
          <w:p w14:paraId="7FE1CFC2" w14:textId="77777777" w:rsidR="00414040" w:rsidRDefault="00904E1A">
            <w:pPr>
              <w:pStyle w:val="P68B1DB1-Normal31"/>
            </w:pPr>
            <w:r>
              <w:lastRenderedPageBreak/>
              <w:t>0110</w:t>
            </w:r>
          </w:p>
          <w:p w14:paraId="7FE1CFC3" w14:textId="77777777" w:rsidR="00414040" w:rsidRDefault="00904E1A">
            <w:pPr>
              <w:pStyle w:val="P68B1DB1-Normal31"/>
            </w:pPr>
            <w:r>
              <w:t xml:space="preserve"> </w:t>
            </w:r>
          </w:p>
        </w:tc>
        <w:tc>
          <w:tcPr>
            <w:tcW w:w="7719" w:type="dxa"/>
            <w:gridSpan w:val="2"/>
            <w:tcBorders>
              <w:top w:val="single" w:sz="8" w:space="0" w:color="1A171C"/>
              <w:left w:val="single" w:sz="8" w:space="0" w:color="1A171C"/>
              <w:right w:val="nil"/>
            </w:tcBorders>
            <w:vAlign w:val="bottom"/>
          </w:tcPr>
          <w:p w14:paraId="7FE1CFC4" w14:textId="0B5E2315" w:rsidR="00414040" w:rsidRDefault="55B26541">
            <w:pPr>
              <w:pStyle w:val="P68B1DB1-TableParagraph73"/>
              <w:spacing w:before="108"/>
              <w:ind w:left="85"/>
              <w:jc w:val="both"/>
            </w:pPr>
            <w:r>
              <w:t xml:space="preserve">Importe </w:t>
            </w:r>
            <w:r w:rsidR="102887A3">
              <w:t xml:space="preserve">pendiente del principal </w:t>
            </w:r>
          </w:p>
          <w:p w14:paraId="7FE1CFC5" w14:textId="0CFE7725" w:rsidR="00414040" w:rsidRDefault="00904E1A">
            <w:pPr>
              <w:pStyle w:val="P68B1DB1-TableParagraph40"/>
              <w:spacing w:before="108"/>
              <w:ind w:left="85"/>
              <w:jc w:val="both"/>
            </w:pPr>
            <w:r w:rsidRPr="3149D60B">
              <w:rPr>
                <w:lang w:val="es-ES"/>
              </w:rPr>
              <w:t xml:space="preserve">El saldo vivo del principal del instrumento mantenido por la contraparte especificado en la columna 0210. Si la contraparte no está disponible porque los acreedores no pueden ser identificados, los importes pendientes del principal se agruparán </w:t>
            </w:r>
            <w:r w:rsidR="00A803CB">
              <w:rPr>
                <w:lang w:val="es-ES"/>
              </w:rPr>
              <w:t>sin</w:t>
            </w:r>
            <w:r w:rsidRPr="3149D60B">
              <w:rPr>
                <w:lang w:val="es-ES"/>
              </w:rPr>
              <w:t xml:space="preserve"> considerar a la contraparte. Para </w:t>
            </w:r>
            <w:r w:rsidR="00F72850" w:rsidRPr="3149D60B">
              <w:rPr>
                <w:lang w:val="es-ES"/>
              </w:rPr>
              <w:t xml:space="preserve">las </w:t>
            </w:r>
            <w:r w:rsidRPr="3149D60B">
              <w:rPr>
                <w:lang w:val="es-ES"/>
              </w:rPr>
              <w:t xml:space="preserve">acciones, este importe incluye reservas, con arreglo a las </w:t>
            </w:r>
            <w:r w:rsidR="10CA9499" w:rsidRPr="3149D60B">
              <w:rPr>
                <w:lang w:val="es-ES"/>
              </w:rPr>
              <w:t>instrucciones</w:t>
            </w:r>
            <w:r w:rsidRPr="3149D60B">
              <w:rPr>
                <w:lang w:val="es-ES"/>
              </w:rPr>
              <w:t xml:space="preserve"> relativas a Z02.00–r0511.</w:t>
            </w:r>
          </w:p>
          <w:p w14:paraId="7FE1CFC7" w14:textId="1EFD62D1" w:rsidR="00414040" w:rsidRDefault="00414040">
            <w:pPr>
              <w:pStyle w:val="TableParagraph"/>
              <w:spacing w:before="108"/>
              <w:ind w:left="85"/>
              <w:jc w:val="both"/>
              <w:rPr>
                <w:rFonts w:ascii="Times New Roman" w:eastAsia="Times New Roman" w:hAnsi="Times New Roman" w:cs="Times New Roman"/>
                <w:sz w:val="20"/>
                <w:szCs w:val="20"/>
              </w:rPr>
            </w:pPr>
          </w:p>
        </w:tc>
      </w:tr>
      <w:tr w:rsidR="00414040" w14:paraId="7FE1CFCC" w14:textId="77777777" w:rsidTr="618604ED">
        <w:tc>
          <w:tcPr>
            <w:tcW w:w="1306" w:type="dxa"/>
            <w:tcBorders>
              <w:top w:val="single" w:sz="8" w:space="0" w:color="1A171C"/>
              <w:left w:val="nil"/>
              <w:bottom w:val="single" w:sz="8" w:space="0" w:color="1A171C"/>
              <w:right w:val="single" w:sz="8" w:space="0" w:color="1A171C"/>
            </w:tcBorders>
            <w:vAlign w:val="center"/>
          </w:tcPr>
          <w:p w14:paraId="7FE1CFC9" w14:textId="77777777" w:rsidR="00414040" w:rsidRDefault="00904E1A">
            <w:pPr>
              <w:pStyle w:val="P68B1DB1-Normal31"/>
            </w:pPr>
            <w:r>
              <w:t>0120</w:t>
            </w:r>
          </w:p>
        </w:tc>
        <w:tc>
          <w:tcPr>
            <w:tcW w:w="7719" w:type="dxa"/>
            <w:gridSpan w:val="2"/>
            <w:tcBorders>
              <w:top w:val="single" w:sz="8" w:space="0" w:color="1A171C"/>
              <w:left w:val="single" w:sz="8" w:space="0" w:color="1A171C"/>
              <w:bottom w:val="single" w:sz="8" w:space="0" w:color="1A171C"/>
              <w:right w:val="nil"/>
            </w:tcBorders>
            <w:vAlign w:val="bottom"/>
          </w:tcPr>
          <w:p w14:paraId="7FE1CFCA" w14:textId="192D8562" w:rsidR="00414040" w:rsidRDefault="00F72850">
            <w:pPr>
              <w:pStyle w:val="P68B1DB1-TableParagraph73"/>
              <w:spacing w:before="108"/>
              <w:ind w:left="85"/>
              <w:jc w:val="both"/>
              <w:rPr>
                <w:bCs/>
              </w:rPr>
            </w:pPr>
            <w:r>
              <w:t xml:space="preserve">Intereses </w:t>
            </w:r>
            <w:r w:rsidR="00904E1A">
              <w:t>devengado</w:t>
            </w:r>
            <w:r>
              <w:t>s</w:t>
            </w:r>
            <w:r w:rsidR="00904E1A">
              <w:t xml:space="preserve"> </w:t>
            </w:r>
          </w:p>
          <w:p w14:paraId="7FE1CFCB" w14:textId="5040BFD7" w:rsidR="00414040" w:rsidRDefault="00904E1A">
            <w:pPr>
              <w:pStyle w:val="P68B1DB1-TableParagraph40"/>
              <w:spacing w:before="108"/>
              <w:ind w:left="85"/>
              <w:jc w:val="both"/>
            </w:pPr>
            <w:r>
              <w:t>Los intereses devengados pendientes sobre el instrumento.</w:t>
            </w:r>
          </w:p>
        </w:tc>
      </w:tr>
      <w:tr w:rsidR="00414040" w14:paraId="7FE1CFD0" w14:textId="77777777" w:rsidTr="618604ED">
        <w:tc>
          <w:tcPr>
            <w:tcW w:w="1306" w:type="dxa"/>
            <w:tcBorders>
              <w:top w:val="single" w:sz="8" w:space="0" w:color="1A171C"/>
              <w:left w:val="nil"/>
              <w:bottom w:val="single" w:sz="8" w:space="0" w:color="1A171C"/>
              <w:right w:val="single" w:sz="8" w:space="0" w:color="1A171C"/>
            </w:tcBorders>
            <w:vAlign w:val="center"/>
          </w:tcPr>
          <w:p w14:paraId="7FE1CFCD" w14:textId="77777777" w:rsidR="00414040" w:rsidRDefault="00904E1A">
            <w:pPr>
              <w:pStyle w:val="P68B1DB1-Normal31"/>
            </w:pPr>
            <w:r>
              <w:t>0130</w:t>
            </w:r>
          </w:p>
        </w:tc>
        <w:tc>
          <w:tcPr>
            <w:tcW w:w="7719" w:type="dxa"/>
            <w:gridSpan w:val="2"/>
            <w:tcBorders>
              <w:top w:val="single" w:sz="8" w:space="0" w:color="1A171C"/>
              <w:left w:val="single" w:sz="8" w:space="0" w:color="1A171C"/>
              <w:bottom w:val="single" w:sz="8" w:space="0" w:color="1A171C"/>
              <w:right w:val="nil"/>
            </w:tcBorders>
            <w:vAlign w:val="bottom"/>
          </w:tcPr>
          <w:p w14:paraId="7FE1CFCE" w14:textId="7D22CBBF" w:rsidR="00414040" w:rsidRDefault="00904E1A">
            <w:pPr>
              <w:pStyle w:val="P68B1DB1-TableParagraph73"/>
              <w:spacing w:before="108"/>
              <w:ind w:left="85"/>
              <w:jc w:val="both"/>
              <w:rPr>
                <w:bCs/>
              </w:rPr>
            </w:pPr>
            <w:r>
              <w:t xml:space="preserve">Clase de cupón </w:t>
            </w:r>
          </w:p>
          <w:p w14:paraId="7FE1CFCF" w14:textId="77777777" w:rsidR="00414040" w:rsidRDefault="00904E1A">
            <w:pPr>
              <w:pStyle w:val="P68B1DB1-TableParagraph40"/>
              <w:spacing w:before="108"/>
              <w:ind w:left="85"/>
              <w:jc w:val="both"/>
            </w:pPr>
            <w:r>
              <w:t>Identificación del tipo de pago de cupón actual como «Cupón fijo», «Cupón flotante», «Cupón estructurado» o «Cupón cero» de una lista predefinida.</w:t>
            </w:r>
          </w:p>
        </w:tc>
      </w:tr>
      <w:tr w:rsidR="00414040" w14:paraId="7FE1CFD4" w14:textId="77777777" w:rsidTr="618604ED">
        <w:tc>
          <w:tcPr>
            <w:tcW w:w="1306" w:type="dxa"/>
            <w:tcBorders>
              <w:top w:val="single" w:sz="8" w:space="0" w:color="1A171C"/>
              <w:left w:val="nil"/>
              <w:bottom w:val="single" w:sz="8" w:space="0" w:color="1A171C"/>
              <w:right w:val="single" w:sz="8" w:space="0" w:color="1A171C"/>
            </w:tcBorders>
            <w:vAlign w:val="center"/>
          </w:tcPr>
          <w:p w14:paraId="7FE1CFD1" w14:textId="77777777" w:rsidR="00414040" w:rsidRDefault="00904E1A">
            <w:pPr>
              <w:pStyle w:val="P68B1DB1-Normal31"/>
            </w:pPr>
            <w:r>
              <w:t>0140</w:t>
            </w:r>
          </w:p>
        </w:tc>
        <w:tc>
          <w:tcPr>
            <w:tcW w:w="7719" w:type="dxa"/>
            <w:gridSpan w:val="2"/>
            <w:tcBorders>
              <w:top w:val="single" w:sz="8" w:space="0" w:color="1A171C"/>
              <w:left w:val="single" w:sz="8" w:space="0" w:color="1A171C"/>
              <w:bottom w:val="single" w:sz="8" w:space="0" w:color="1A171C"/>
              <w:right w:val="nil"/>
            </w:tcBorders>
            <w:vAlign w:val="bottom"/>
          </w:tcPr>
          <w:p w14:paraId="7FE1CFD2" w14:textId="22F60EA9" w:rsidR="00414040" w:rsidRDefault="00904E1A">
            <w:pPr>
              <w:pStyle w:val="P68B1DB1-TableParagraph73"/>
              <w:spacing w:before="108"/>
              <w:ind w:left="85"/>
              <w:jc w:val="both"/>
            </w:pPr>
            <w:r>
              <w:t xml:space="preserve"> </w:t>
            </w:r>
            <w:r w:rsidR="435F24D3">
              <w:t>C</w:t>
            </w:r>
            <w:r>
              <w:t>upón actual (%)</w:t>
            </w:r>
          </w:p>
          <w:p w14:paraId="7FE1CFD3" w14:textId="5CAD3A2A" w:rsidR="00414040" w:rsidRDefault="215657ED">
            <w:pPr>
              <w:pStyle w:val="P68B1DB1-TableParagraph40"/>
              <w:spacing w:before="108"/>
              <w:ind w:left="85"/>
              <w:jc w:val="both"/>
            </w:pPr>
            <w:r w:rsidRPr="618604ED">
              <w:rPr>
                <w:lang w:val="es-ES"/>
              </w:rPr>
              <w:t>C</w:t>
            </w:r>
            <w:r w:rsidR="00904E1A" w:rsidRPr="618604ED">
              <w:rPr>
                <w:lang w:val="es-ES"/>
              </w:rPr>
              <w:t xml:space="preserve">upón aplicable al instrumento a la fecha </w:t>
            </w:r>
            <w:r w:rsidR="00904E1A" w:rsidRPr="00F446E2">
              <w:rPr>
                <w:lang w:val="es-ES"/>
              </w:rPr>
              <w:t xml:space="preserve">de </w:t>
            </w:r>
            <w:r w:rsidR="3CC496A0" w:rsidRPr="00F446E2">
              <w:rPr>
                <w:lang w:val="es-ES"/>
              </w:rPr>
              <w:t>referencia</w:t>
            </w:r>
            <w:r w:rsidR="00904E1A" w:rsidRPr="618604ED">
              <w:rPr>
                <w:lang w:val="es-ES"/>
              </w:rPr>
              <w:t xml:space="preserve">. </w:t>
            </w:r>
          </w:p>
        </w:tc>
      </w:tr>
      <w:tr w:rsidR="00414040" w14:paraId="7FE1CFD8" w14:textId="77777777" w:rsidTr="618604ED">
        <w:tc>
          <w:tcPr>
            <w:tcW w:w="1306" w:type="dxa"/>
            <w:tcBorders>
              <w:top w:val="single" w:sz="8" w:space="0" w:color="1A171C"/>
              <w:left w:val="nil"/>
              <w:bottom w:val="single" w:sz="8" w:space="0" w:color="1A171C"/>
              <w:right w:val="single" w:sz="8" w:space="0" w:color="1A171C"/>
            </w:tcBorders>
            <w:vAlign w:val="center"/>
          </w:tcPr>
          <w:p w14:paraId="7FE1CFD5" w14:textId="77777777" w:rsidR="00414040" w:rsidRDefault="00904E1A">
            <w:pPr>
              <w:pStyle w:val="P68B1DB1-Normal31"/>
            </w:pPr>
            <w:r>
              <w:t>0150</w:t>
            </w:r>
          </w:p>
        </w:tc>
        <w:tc>
          <w:tcPr>
            <w:tcW w:w="7719" w:type="dxa"/>
            <w:gridSpan w:val="2"/>
            <w:tcBorders>
              <w:top w:val="single" w:sz="8" w:space="0" w:color="1A171C"/>
              <w:left w:val="single" w:sz="8" w:space="0" w:color="1A171C"/>
              <w:bottom w:val="single" w:sz="8" w:space="0" w:color="1A171C"/>
              <w:right w:val="nil"/>
            </w:tcBorders>
            <w:vAlign w:val="bottom"/>
          </w:tcPr>
          <w:p w14:paraId="7FE1CFD6" w14:textId="5C828CFC" w:rsidR="00414040" w:rsidRDefault="00904E1A">
            <w:pPr>
              <w:pStyle w:val="P68B1DB1-TableParagraph73"/>
              <w:spacing w:before="108"/>
              <w:ind w:left="85"/>
              <w:jc w:val="both"/>
              <w:rPr>
                <w:bCs/>
              </w:rPr>
            </w:pPr>
            <w:r>
              <w:t xml:space="preserve">Fecha de emisión </w:t>
            </w:r>
          </w:p>
          <w:p w14:paraId="7FE1CFD7" w14:textId="77777777" w:rsidR="00414040" w:rsidRDefault="00904E1A">
            <w:pPr>
              <w:pStyle w:val="P68B1DB1-TableParagraph40"/>
              <w:spacing w:before="108"/>
              <w:ind w:left="85"/>
              <w:jc w:val="both"/>
            </w:pPr>
            <w:r>
              <w:t>Fecha de la emisión inicial del instrumento.</w:t>
            </w:r>
          </w:p>
        </w:tc>
      </w:tr>
      <w:tr w:rsidR="00414040" w14:paraId="7FE1CFDC" w14:textId="77777777" w:rsidTr="618604ED">
        <w:tc>
          <w:tcPr>
            <w:tcW w:w="1306" w:type="dxa"/>
            <w:tcBorders>
              <w:top w:val="single" w:sz="8" w:space="0" w:color="1A171C"/>
              <w:left w:val="nil"/>
              <w:bottom w:val="single" w:sz="8" w:space="0" w:color="1A171C"/>
              <w:right w:val="single" w:sz="8" w:space="0" w:color="1A171C"/>
            </w:tcBorders>
            <w:vAlign w:val="center"/>
          </w:tcPr>
          <w:p w14:paraId="7FE1CFD9" w14:textId="77777777" w:rsidR="00414040" w:rsidRDefault="00904E1A">
            <w:pPr>
              <w:pStyle w:val="P68B1DB1-Normal31"/>
            </w:pPr>
            <w:r>
              <w:t>0160</w:t>
            </w:r>
          </w:p>
        </w:tc>
        <w:tc>
          <w:tcPr>
            <w:tcW w:w="7719" w:type="dxa"/>
            <w:gridSpan w:val="2"/>
            <w:tcBorders>
              <w:top w:val="single" w:sz="8" w:space="0" w:color="1A171C"/>
              <w:left w:val="single" w:sz="8" w:space="0" w:color="1A171C"/>
              <w:bottom w:val="single" w:sz="8" w:space="0" w:color="1A171C"/>
              <w:right w:val="nil"/>
            </w:tcBorders>
            <w:vAlign w:val="bottom"/>
          </w:tcPr>
          <w:p w14:paraId="7FE1CFDA" w14:textId="3B0ED570" w:rsidR="00414040" w:rsidRDefault="38984D1E">
            <w:pPr>
              <w:pStyle w:val="P68B1DB1-TableParagraph73"/>
              <w:spacing w:before="108"/>
              <w:ind w:left="85"/>
              <w:jc w:val="both"/>
              <w:rPr>
                <w:lang w:val="es-ES"/>
              </w:rPr>
            </w:pPr>
            <w:r>
              <w:t>Primera f</w:t>
            </w:r>
            <w:r w:rsidR="00904E1A" w:rsidRPr="618604ED">
              <w:rPr>
                <w:lang w:val="es-ES"/>
              </w:rPr>
              <w:t>echa de amortización</w:t>
            </w:r>
            <w:r w:rsidR="69B414BD" w:rsidRPr="618604ED">
              <w:rPr>
                <w:lang w:val="es-ES"/>
              </w:rPr>
              <w:t xml:space="preserve"> </w:t>
            </w:r>
            <w:r w:rsidR="0413C48B" w:rsidRPr="618604ED">
              <w:rPr>
                <w:lang w:val="es-ES"/>
              </w:rPr>
              <w:t xml:space="preserve">o reembolso </w:t>
            </w:r>
            <w:r w:rsidR="69B414BD" w:rsidRPr="618604ED">
              <w:rPr>
                <w:lang w:val="es-ES"/>
              </w:rPr>
              <w:t>anticipad</w:t>
            </w:r>
            <w:r w:rsidR="021F2256" w:rsidRPr="618604ED">
              <w:rPr>
                <w:lang w:val="es-ES"/>
              </w:rPr>
              <w:t>o</w:t>
            </w:r>
            <w:r w:rsidR="00904E1A" w:rsidRPr="618604ED">
              <w:rPr>
                <w:lang w:val="es-ES"/>
              </w:rPr>
              <w:t xml:space="preserve"> </w:t>
            </w:r>
          </w:p>
          <w:p w14:paraId="7FE1CFDB" w14:textId="1B3BA94D" w:rsidR="00414040" w:rsidRDefault="00904E1A">
            <w:pPr>
              <w:pStyle w:val="P68B1DB1-TableParagraph40"/>
              <w:spacing w:before="108"/>
              <w:ind w:left="85"/>
              <w:jc w:val="both"/>
            </w:pPr>
            <w:r w:rsidRPr="1F069520">
              <w:rPr>
                <w:lang w:val="es-ES"/>
              </w:rPr>
              <w:t>Si existe una opción para que los titulares del instrumento</w:t>
            </w:r>
            <w:r w:rsidR="6B312676" w:rsidRPr="1F069520">
              <w:rPr>
                <w:lang w:val="es-ES"/>
              </w:rPr>
              <w:t xml:space="preserve"> soliciten la amortización o el reembolso anticipado, o si se prevén contractualmente condiciones para la amortización o el reembolso anticipado del pasivo, indíquese la fecha más temprana.</w:t>
            </w:r>
            <w:r w:rsidRPr="1F069520">
              <w:rPr>
                <w:lang w:val="es-ES"/>
              </w:rPr>
              <w:t xml:space="preserve"> Cuando tales eventos de </w:t>
            </w:r>
            <w:r w:rsidR="00CD2CD8">
              <w:rPr>
                <w:lang w:val="es-ES"/>
              </w:rPr>
              <w:t>terminación</w:t>
            </w:r>
            <w:r w:rsidR="00F446E2">
              <w:rPr>
                <w:lang w:val="es-ES"/>
              </w:rPr>
              <w:t xml:space="preserve"> </w:t>
            </w:r>
            <w:r w:rsidRPr="1F069520">
              <w:rPr>
                <w:lang w:val="es-ES"/>
              </w:rPr>
              <w:t xml:space="preserve">no estén vinculados a una fecha, sino a la ocurrencia de cualquier hecho en el futuro, indíquese la fecha más temprana en la que pueda producirse el </w:t>
            </w:r>
            <w:r w:rsidR="002A56C1">
              <w:rPr>
                <w:lang w:val="es-ES"/>
              </w:rPr>
              <w:t>hecho</w:t>
            </w:r>
            <w:r w:rsidRPr="1F069520">
              <w:rPr>
                <w:lang w:val="es-ES"/>
              </w:rPr>
              <w:t>. Si el reembolso anticipado solo corresponde a una parte del pasivo (p. ej., reembolso anticipado del 50 % del importe nominal), el pasivo deberá dividirse para tener en cuenta esta cláusula de amortización parcial anticipada.</w:t>
            </w:r>
          </w:p>
        </w:tc>
      </w:tr>
      <w:tr w:rsidR="00414040" w14:paraId="7FE1CFE0" w14:textId="77777777" w:rsidTr="618604ED">
        <w:tc>
          <w:tcPr>
            <w:tcW w:w="1306" w:type="dxa"/>
            <w:tcBorders>
              <w:top w:val="single" w:sz="8" w:space="0" w:color="1A171C"/>
              <w:left w:val="nil"/>
              <w:bottom w:val="single" w:sz="8" w:space="0" w:color="1A171C"/>
              <w:right w:val="single" w:sz="8" w:space="0" w:color="1A171C"/>
            </w:tcBorders>
            <w:vAlign w:val="center"/>
          </w:tcPr>
          <w:p w14:paraId="7FE1CFDD" w14:textId="77777777" w:rsidR="00414040" w:rsidRDefault="00904E1A">
            <w:pPr>
              <w:pStyle w:val="P68B1DB1-Normal31"/>
            </w:pPr>
            <w:r>
              <w:t>0170</w:t>
            </w:r>
          </w:p>
        </w:tc>
        <w:tc>
          <w:tcPr>
            <w:tcW w:w="7719" w:type="dxa"/>
            <w:gridSpan w:val="2"/>
            <w:tcBorders>
              <w:top w:val="single" w:sz="8" w:space="0" w:color="1A171C"/>
              <w:left w:val="single" w:sz="8" w:space="0" w:color="1A171C"/>
              <w:bottom w:val="single" w:sz="8" w:space="0" w:color="1A171C"/>
              <w:right w:val="nil"/>
            </w:tcBorders>
            <w:vAlign w:val="bottom"/>
          </w:tcPr>
          <w:p w14:paraId="7FE1CFDE" w14:textId="7C85BAAB" w:rsidR="00414040" w:rsidRDefault="00904E1A">
            <w:pPr>
              <w:pStyle w:val="P68B1DB1-TableParagraph73"/>
              <w:spacing w:before="108"/>
              <w:ind w:left="85"/>
              <w:jc w:val="both"/>
              <w:rPr>
                <w:bCs/>
              </w:rPr>
            </w:pPr>
            <w:r>
              <w:t xml:space="preserve">Vencimiento legal </w:t>
            </w:r>
          </w:p>
          <w:p w14:paraId="7FE1CFDF" w14:textId="0A83BBEC" w:rsidR="00414040" w:rsidRDefault="00904E1A">
            <w:pPr>
              <w:pStyle w:val="P68B1DB1-TableParagraph40"/>
              <w:spacing w:before="108"/>
              <w:ind w:left="85"/>
              <w:jc w:val="both"/>
            </w:pPr>
            <w:r>
              <w:t>Fecha del vencimiento final legal del instrumento. Para instrumentos perpetuos, utilícese «2099-01-31».</w:t>
            </w:r>
          </w:p>
        </w:tc>
      </w:tr>
      <w:tr w:rsidR="00414040" w14:paraId="7FE1CFE4" w14:textId="77777777" w:rsidTr="618604ED">
        <w:tc>
          <w:tcPr>
            <w:tcW w:w="1306" w:type="dxa"/>
            <w:tcBorders>
              <w:top w:val="single" w:sz="8" w:space="0" w:color="1A171C"/>
              <w:left w:val="nil"/>
              <w:bottom w:val="single" w:sz="8" w:space="0" w:color="1A171C"/>
              <w:right w:val="single" w:sz="8" w:space="0" w:color="1A171C"/>
            </w:tcBorders>
            <w:vAlign w:val="center"/>
          </w:tcPr>
          <w:p w14:paraId="7FE1CFE1" w14:textId="77777777" w:rsidR="00414040" w:rsidRDefault="00904E1A">
            <w:pPr>
              <w:pStyle w:val="P68B1DB1-Normal31"/>
            </w:pPr>
            <w:r>
              <w:t>0180</w:t>
            </w:r>
          </w:p>
        </w:tc>
        <w:tc>
          <w:tcPr>
            <w:tcW w:w="7719" w:type="dxa"/>
            <w:gridSpan w:val="2"/>
            <w:tcBorders>
              <w:top w:val="single" w:sz="8" w:space="0" w:color="1A171C"/>
              <w:left w:val="single" w:sz="8" w:space="0" w:color="1A171C"/>
              <w:bottom w:val="single" w:sz="8" w:space="0" w:color="1A171C"/>
              <w:right w:val="nil"/>
            </w:tcBorders>
            <w:vAlign w:val="bottom"/>
          </w:tcPr>
          <w:p w14:paraId="7FE1CFE2" w14:textId="2FFCAFEB" w:rsidR="00414040" w:rsidRDefault="00904E1A">
            <w:pPr>
              <w:pStyle w:val="P68B1DB1-TableParagraph73"/>
              <w:spacing w:before="108"/>
              <w:ind w:left="85"/>
              <w:jc w:val="both"/>
              <w:rPr>
                <w:bCs/>
              </w:rPr>
            </w:pPr>
            <w:r>
              <w:t xml:space="preserve">Colocación pública/privada </w:t>
            </w:r>
          </w:p>
          <w:p w14:paraId="7FE1CFE3" w14:textId="2106A1D1" w:rsidR="00414040" w:rsidRDefault="00904E1A">
            <w:pPr>
              <w:pStyle w:val="P68B1DB1-TableParagraph40"/>
              <w:spacing w:before="108"/>
              <w:ind w:left="85"/>
              <w:jc w:val="both"/>
            </w:pPr>
            <w:r w:rsidRPr="2924E38F">
              <w:rPr>
                <w:lang w:val="es-ES"/>
              </w:rPr>
              <w:t xml:space="preserve">En una colocación pública, </w:t>
            </w:r>
            <w:r w:rsidR="00C46264">
              <w:rPr>
                <w:lang w:val="es-ES"/>
              </w:rPr>
              <w:t>el ente</w:t>
            </w:r>
            <w:r w:rsidRPr="2924E38F">
              <w:rPr>
                <w:lang w:val="es-ES"/>
              </w:rPr>
              <w:t xml:space="preserve"> habrá publicado la emisión con el calendario específico de un </w:t>
            </w:r>
            <w:r w:rsidR="39C4DFD8" w:rsidRPr="15AC51A2">
              <w:rPr>
                <w:lang w:val="es-ES"/>
              </w:rPr>
              <w:t>proceso</w:t>
            </w:r>
            <w:r w:rsidR="39C4DFD8" w:rsidRPr="3149D60B">
              <w:rPr>
                <w:lang w:val="es-ES"/>
              </w:rPr>
              <w:t xml:space="preserve"> </w:t>
            </w:r>
            <w:r w:rsidRPr="2924E38F">
              <w:rPr>
                <w:lang w:val="es-ES"/>
              </w:rPr>
              <w:t xml:space="preserve">de licitación. Por el contrario, las colocaciones privadas se negocian entre partes individuales que actúan por cuenta propia y por cuenta de terceros. El valor </w:t>
            </w:r>
            <w:r w:rsidR="002A56C1" w:rsidRPr="2924E38F">
              <w:rPr>
                <w:lang w:val="es-ES"/>
              </w:rPr>
              <w:t xml:space="preserve">declarado </w:t>
            </w:r>
            <w:r w:rsidRPr="2924E38F">
              <w:rPr>
                <w:lang w:val="es-ES"/>
              </w:rPr>
              <w:t xml:space="preserve">podrá </w:t>
            </w:r>
            <w:r w:rsidR="002A56C1" w:rsidRPr="2924E38F">
              <w:rPr>
                <w:lang w:val="es-ES"/>
              </w:rPr>
              <w:t xml:space="preserve">ser </w:t>
            </w:r>
            <w:r w:rsidRPr="2924E38F">
              <w:rPr>
                <w:lang w:val="es-ES"/>
              </w:rPr>
              <w:t>«Colocación pública» o «Colocación privada»</w:t>
            </w:r>
            <w:r w:rsidR="002A56C1" w:rsidRPr="2924E38F">
              <w:rPr>
                <w:lang w:val="es-ES"/>
              </w:rPr>
              <w:t>,</w:t>
            </w:r>
            <w:r w:rsidRPr="2924E38F">
              <w:rPr>
                <w:lang w:val="es-ES"/>
              </w:rPr>
              <w:t xml:space="preserve"> </w:t>
            </w:r>
            <w:r w:rsidR="002A56C1" w:rsidRPr="2924E38F">
              <w:rPr>
                <w:lang w:val="es-ES"/>
              </w:rPr>
              <w:t>a partir de</w:t>
            </w:r>
            <w:r w:rsidRPr="2924E38F">
              <w:rPr>
                <w:lang w:val="es-ES"/>
              </w:rPr>
              <w:t xml:space="preserve"> una lista predefinida.</w:t>
            </w:r>
          </w:p>
        </w:tc>
      </w:tr>
      <w:tr w:rsidR="00414040" w14:paraId="7FE1CFE8" w14:textId="77777777" w:rsidTr="618604ED">
        <w:tc>
          <w:tcPr>
            <w:tcW w:w="1306" w:type="dxa"/>
            <w:tcBorders>
              <w:top w:val="single" w:sz="8" w:space="0" w:color="1A171C"/>
              <w:left w:val="nil"/>
              <w:bottom w:val="single" w:sz="8" w:space="0" w:color="1A171C"/>
              <w:right w:val="single" w:sz="8" w:space="0" w:color="1A171C"/>
            </w:tcBorders>
            <w:vAlign w:val="center"/>
          </w:tcPr>
          <w:p w14:paraId="7FE1CFE5" w14:textId="77777777" w:rsidR="00414040" w:rsidRDefault="00904E1A">
            <w:pPr>
              <w:pStyle w:val="P68B1DB1-Normal31"/>
            </w:pPr>
            <w:r>
              <w:t>0190</w:t>
            </w:r>
          </w:p>
        </w:tc>
        <w:tc>
          <w:tcPr>
            <w:tcW w:w="7719" w:type="dxa"/>
            <w:gridSpan w:val="2"/>
            <w:tcBorders>
              <w:top w:val="single" w:sz="8" w:space="0" w:color="1A171C"/>
              <w:left w:val="single" w:sz="8" w:space="0" w:color="1A171C"/>
              <w:bottom w:val="single" w:sz="8" w:space="0" w:color="1A171C"/>
              <w:right w:val="nil"/>
            </w:tcBorders>
            <w:vAlign w:val="bottom"/>
          </w:tcPr>
          <w:p w14:paraId="7FE1CFE6" w14:textId="652BB104" w:rsidR="00414040" w:rsidRDefault="00904E1A">
            <w:pPr>
              <w:pStyle w:val="P68B1DB1-TableParagraph73"/>
              <w:spacing w:before="108"/>
              <w:ind w:left="85"/>
              <w:jc w:val="both"/>
              <w:rPr>
                <w:bCs/>
              </w:rPr>
            </w:pPr>
            <w:r>
              <w:t xml:space="preserve">Agente pagador </w:t>
            </w:r>
          </w:p>
          <w:p w14:paraId="7FE1CFE7" w14:textId="1F750BE9" w:rsidR="00414040" w:rsidRDefault="00904E1A">
            <w:pPr>
              <w:pStyle w:val="P68B1DB1-TableParagraph40"/>
              <w:spacing w:before="108"/>
              <w:ind w:left="85"/>
              <w:jc w:val="both"/>
            </w:pPr>
            <w:r w:rsidRPr="42EA079E">
              <w:rPr>
                <w:lang w:val="es-ES"/>
              </w:rPr>
              <w:t xml:space="preserve">Identificación del </w:t>
            </w:r>
            <w:r w:rsidR="003A32C3" w:rsidRPr="42EA079E">
              <w:rPr>
                <w:lang w:val="es-ES"/>
              </w:rPr>
              <w:t xml:space="preserve">agente </w:t>
            </w:r>
            <w:r w:rsidRPr="42EA079E">
              <w:rPr>
                <w:lang w:val="es-ES"/>
              </w:rPr>
              <w:t xml:space="preserve">pagador del instrumento a través del código LEI. Un «agente pagador» es una entidad, normalmente un banco de </w:t>
            </w:r>
            <w:r w:rsidR="003A32C3" w:rsidRPr="42EA079E">
              <w:rPr>
                <w:lang w:val="es-ES"/>
              </w:rPr>
              <w:t>inversión</w:t>
            </w:r>
            <w:r w:rsidRPr="42EA079E">
              <w:rPr>
                <w:lang w:val="es-ES"/>
              </w:rPr>
              <w:t xml:space="preserve">, que acepta fondos del emisor de un valor y los distribuye a los </w:t>
            </w:r>
            <w:r w:rsidR="006D4005">
              <w:rPr>
                <w:lang w:val="es-ES"/>
              </w:rPr>
              <w:t>titulares</w:t>
            </w:r>
            <w:r w:rsidR="006D4005" w:rsidRPr="42EA079E">
              <w:rPr>
                <w:lang w:val="es-ES"/>
              </w:rPr>
              <w:t xml:space="preserve"> </w:t>
            </w:r>
            <w:r w:rsidRPr="42EA079E">
              <w:rPr>
                <w:lang w:val="es-ES"/>
              </w:rPr>
              <w:t xml:space="preserve">de dicho valor. En el caso de </w:t>
            </w:r>
            <w:r w:rsidR="003A32C3" w:rsidRPr="42EA079E">
              <w:rPr>
                <w:lang w:val="es-ES"/>
              </w:rPr>
              <w:t>acciones</w:t>
            </w:r>
            <w:r w:rsidRPr="42EA079E">
              <w:rPr>
                <w:lang w:val="es-ES"/>
              </w:rPr>
              <w:t xml:space="preserve">, un agente pagador distribuye </w:t>
            </w:r>
            <w:r w:rsidR="003A32C3" w:rsidRPr="42EA079E">
              <w:rPr>
                <w:lang w:val="es-ES"/>
              </w:rPr>
              <w:t xml:space="preserve">los </w:t>
            </w:r>
            <w:r w:rsidRPr="42EA079E">
              <w:rPr>
                <w:lang w:val="es-ES"/>
              </w:rPr>
              <w:t xml:space="preserve">dividendos a los accionistas. En el caso de bonos, distribuye </w:t>
            </w:r>
            <w:r w:rsidR="00CA63EF">
              <w:rPr>
                <w:lang w:val="es-ES"/>
              </w:rPr>
              <w:t xml:space="preserve">los </w:t>
            </w:r>
            <w:r w:rsidRPr="42EA079E">
              <w:rPr>
                <w:lang w:val="es-ES"/>
              </w:rPr>
              <w:t xml:space="preserve">pagos de cupones y reembolsos del principal a los </w:t>
            </w:r>
            <w:r w:rsidR="006D4005">
              <w:rPr>
                <w:lang w:val="es-ES"/>
              </w:rPr>
              <w:t>titulares</w:t>
            </w:r>
            <w:r w:rsidR="006D4005" w:rsidRPr="42EA079E">
              <w:rPr>
                <w:lang w:val="es-ES"/>
              </w:rPr>
              <w:t xml:space="preserve"> </w:t>
            </w:r>
            <w:r w:rsidRPr="42EA079E">
              <w:rPr>
                <w:lang w:val="es-ES"/>
              </w:rPr>
              <w:t xml:space="preserve">de </w:t>
            </w:r>
            <w:r w:rsidR="003A32C3" w:rsidRPr="42EA079E">
              <w:rPr>
                <w:lang w:val="es-ES"/>
              </w:rPr>
              <w:t>los bonos</w:t>
            </w:r>
            <w:r w:rsidRPr="42EA079E">
              <w:rPr>
                <w:lang w:val="es-ES"/>
              </w:rPr>
              <w:t>.</w:t>
            </w:r>
          </w:p>
        </w:tc>
      </w:tr>
      <w:tr w:rsidR="00414040" w14:paraId="7FE1CFF0" w14:textId="77777777" w:rsidTr="618604ED">
        <w:tc>
          <w:tcPr>
            <w:tcW w:w="1306" w:type="dxa"/>
            <w:tcBorders>
              <w:top w:val="single" w:sz="8" w:space="0" w:color="1A171C"/>
              <w:left w:val="nil"/>
              <w:bottom w:val="single" w:sz="8" w:space="0" w:color="1A171C"/>
              <w:right w:val="single" w:sz="8" w:space="0" w:color="1A171C"/>
            </w:tcBorders>
            <w:vAlign w:val="center"/>
          </w:tcPr>
          <w:p w14:paraId="7FE1CFED" w14:textId="77777777" w:rsidR="00414040" w:rsidRDefault="00904E1A">
            <w:pPr>
              <w:pStyle w:val="P68B1DB1-TableParagraph40"/>
              <w:spacing w:before="108"/>
              <w:ind w:left="85"/>
              <w:jc w:val="both"/>
            </w:pPr>
            <w:r>
              <w:t>0210</w:t>
            </w:r>
          </w:p>
        </w:tc>
        <w:tc>
          <w:tcPr>
            <w:tcW w:w="7719" w:type="dxa"/>
            <w:gridSpan w:val="2"/>
            <w:tcBorders>
              <w:top w:val="single" w:sz="8" w:space="0" w:color="1A171C"/>
              <w:left w:val="single" w:sz="8" w:space="0" w:color="1A171C"/>
              <w:bottom w:val="single" w:sz="8" w:space="0" w:color="1A171C"/>
              <w:right w:val="nil"/>
            </w:tcBorders>
            <w:vAlign w:val="bottom"/>
          </w:tcPr>
          <w:p w14:paraId="7FE1CFEE" w14:textId="07CBB79D" w:rsidR="00414040" w:rsidRDefault="00904E1A">
            <w:pPr>
              <w:pStyle w:val="P68B1DB1-TableParagraph73"/>
              <w:spacing w:before="108"/>
              <w:ind w:left="85"/>
              <w:jc w:val="both"/>
              <w:rPr>
                <w:bCs/>
              </w:rPr>
            </w:pPr>
            <w:r>
              <w:t xml:space="preserve">Identificador de la contraparte </w:t>
            </w:r>
          </w:p>
          <w:p w14:paraId="7FE1CFEF" w14:textId="29E05F2E" w:rsidR="00414040" w:rsidRDefault="00904E1A">
            <w:pPr>
              <w:pStyle w:val="P68B1DB1-TableParagraph40"/>
              <w:spacing w:before="108"/>
              <w:ind w:left="85"/>
              <w:jc w:val="both"/>
            </w:pPr>
            <w:r>
              <w:t xml:space="preserve">Indíquese el código LEI del acreedor. A falta de un código LEI, en el caso de bancos, deberá </w:t>
            </w:r>
            <w:r w:rsidR="6E96AFBE">
              <w:t>declararse</w:t>
            </w:r>
            <w:r>
              <w:t xml:space="preserve"> el identificador único de instituciones financieras monetarias del BCE (</w:t>
            </w:r>
            <w:r w:rsidR="003A02C5" w:rsidRPr="00EF2238">
              <w:rPr>
                <w:rFonts w:eastAsia="Verdana"/>
                <w:lang w:val="es-ES"/>
              </w:rPr>
              <w:t xml:space="preserve">identificador </w:t>
            </w:r>
            <w:r>
              <w:t xml:space="preserve">de IFM) utilizado en el RIAD. Exclusivamente en ausencia de ambos identificadores se podrá </w:t>
            </w:r>
            <w:r w:rsidR="003A32C3">
              <w:t>indicar</w:t>
            </w:r>
            <w:r>
              <w:t xml:space="preserve"> un identificador interno.</w:t>
            </w:r>
          </w:p>
        </w:tc>
      </w:tr>
      <w:tr w:rsidR="00414040" w14:paraId="7FE1CFF4" w14:textId="77777777" w:rsidTr="618604ED">
        <w:tc>
          <w:tcPr>
            <w:tcW w:w="1306" w:type="dxa"/>
            <w:tcBorders>
              <w:top w:val="single" w:sz="8" w:space="0" w:color="1A171C"/>
              <w:left w:val="nil"/>
              <w:bottom w:val="single" w:sz="8" w:space="0" w:color="1A171C"/>
              <w:right w:val="single" w:sz="8" w:space="0" w:color="1A171C"/>
            </w:tcBorders>
            <w:vAlign w:val="center"/>
          </w:tcPr>
          <w:p w14:paraId="7FE1CFF1" w14:textId="77777777" w:rsidR="00414040" w:rsidRDefault="00904E1A">
            <w:pPr>
              <w:pStyle w:val="P68B1DB1-Normal31"/>
            </w:pPr>
            <w:r>
              <w:t>0215</w:t>
            </w:r>
          </w:p>
        </w:tc>
        <w:tc>
          <w:tcPr>
            <w:tcW w:w="7719" w:type="dxa"/>
            <w:gridSpan w:val="2"/>
            <w:tcBorders>
              <w:top w:val="single" w:sz="8" w:space="0" w:color="1A171C"/>
              <w:left w:val="single" w:sz="8" w:space="0" w:color="1A171C"/>
              <w:bottom w:val="single" w:sz="8" w:space="0" w:color="1A171C"/>
              <w:right w:val="nil"/>
            </w:tcBorders>
            <w:vAlign w:val="bottom"/>
          </w:tcPr>
          <w:p w14:paraId="7FE1CFF2" w14:textId="77777777" w:rsidR="00414040" w:rsidRDefault="00904E1A">
            <w:pPr>
              <w:pStyle w:val="P68B1DB1-TableParagraph73"/>
              <w:spacing w:before="108"/>
              <w:ind w:left="85"/>
              <w:jc w:val="both"/>
              <w:rPr>
                <w:bCs/>
              </w:rPr>
            </w:pPr>
            <w:r>
              <w:t xml:space="preserve">Tipo de identificador </w:t>
            </w:r>
          </w:p>
          <w:p w14:paraId="7FE1CFF3" w14:textId="77777777" w:rsidR="00414040" w:rsidRDefault="00904E1A">
            <w:pPr>
              <w:pStyle w:val="P68B1DB1-TableParagraph40"/>
              <w:spacing w:before="108"/>
              <w:ind w:left="85"/>
              <w:jc w:val="both"/>
            </w:pPr>
            <w:r>
              <w:lastRenderedPageBreak/>
              <w:t>Se seleccionará una de las opciones siguientes: «Código LEI», «Código de IFM» o «Tipo de identificador: distinto del código LEI o de IFM».</w:t>
            </w:r>
          </w:p>
        </w:tc>
      </w:tr>
      <w:tr w:rsidR="00414040" w14:paraId="7FE1CFF8" w14:textId="77777777" w:rsidTr="618604ED">
        <w:tc>
          <w:tcPr>
            <w:tcW w:w="1306" w:type="dxa"/>
            <w:tcBorders>
              <w:top w:val="single" w:sz="8" w:space="0" w:color="1A171C"/>
              <w:left w:val="nil"/>
              <w:bottom w:val="single" w:sz="8" w:space="0" w:color="1A171C"/>
              <w:right w:val="single" w:sz="8" w:space="0" w:color="1A171C"/>
            </w:tcBorders>
            <w:vAlign w:val="center"/>
          </w:tcPr>
          <w:p w14:paraId="7FE1CFF5" w14:textId="77777777" w:rsidR="00414040" w:rsidRDefault="00904E1A">
            <w:pPr>
              <w:pStyle w:val="P68B1DB1-Normal31"/>
            </w:pPr>
            <w:r>
              <w:lastRenderedPageBreak/>
              <w:t>0220</w:t>
            </w:r>
          </w:p>
        </w:tc>
        <w:tc>
          <w:tcPr>
            <w:tcW w:w="7719" w:type="dxa"/>
            <w:gridSpan w:val="2"/>
            <w:tcBorders>
              <w:top w:val="single" w:sz="8" w:space="0" w:color="1A171C"/>
              <w:left w:val="single" w:sz="8" w:space="0" w:color="1A171C"/>
              <w:bottom w:val="single" w:sz="8" w:space="0" w:color="1A171C"/>
              <w:right w:val="nil"/>
            </w:tcBorders>
            <w:vAlign w:val="bottom"/>
          </w:tcPr>
          <w:p w14:paraId="7FE1CFF6" w14:textId="16D3F040" w:rsidR="00414040" w:rsidRDefault="0091098B">
            <w:pPr>
              <w:pStyle w:val="P68B1DB1-TableParagraph73"/>
              <w:spacing w:before="108"/>
              <w:ind w:left="85"/>
              <w:jc w:val="both"/>
              <w:rPr>
                <w:bCs/>
              </w:rPr>
            </w:pPr>
            <w:r>
              <w:t>V</w:t>
            </w:r>
            <w:r w:rsidR="00904E1A">
              <w:t>alores cotiza</w:t>
            </w:r>
            <w:r>
              <w:t>dos</w:t>
            </w:r>
            <w:r w:rsidR="00904E1A">
              <w:t xml:space="preserve"> en </w:t>
            </w:r>
          </w:p>
          <w:p w14:paraId="7FE1CFF7" w14:textId="5BB47508" w:rsidR="00414040" w:rsidRDefault="00904E1A">
            <w:pPr>
              <w:pStyle w:val="P68B1DB1-TableParagraph40"/>
              <w:spacing w:before="108"/>
              <w:ind w:left="85"/>
              <w:jc w:val="both"/>
            </w:pPr>
            <w:r>
              <w:t xml:space="preserve">Si los instrumentos cotizan en una plataforma de valores, </w:t>
            </w:r>
            <w:r w:rsidR="2225592B">
              <w:t>se deben indicar</w:t>
            </w:r>
            <w:r>
              <w:t xml:space="preserve"> dichas plataformas. Cuando se trate de varios mercados de valores, separe las plataformas con un punto y coma.</w:t>
            </w:r>
          </w:p>
        </w:tc>
      </w:tr>
      <w:tr w:rsidR="00414040" w14:paraId="7FE1CFFC" w14:textId="77777777" w:rsidTr="618604ED">
        <w:tc>
          <w:tcPr>
            <w:tcW w:w="1306" w:type="dxa"/>
            <w:tcBorders>
              <w:top w:val="single" w:sz="8" w:space="0" w:color="1A171C"/>
              <w:left w:val="nil"/>
              <w:bottom w:val="single" w:sz="8" w:space="0" w:color="1A171C"/>
              <w:right w:val="single" w:sz="8" w:space="0" w:color="1A171C"/>
            </w:tcBorders>
            <w:vAlign w:val="center"/>
          </w:tcPr>
          <w:p w14:paraId="7FE1CFF9" w14:textId="77777777" w:rsidR="00414040" w:rsidRDefault="00904E1A">
            <w:pPr>
              <w:pStyle w:val="P68B1DB1-Normal31"/>
            </w:pPr>
            <w:r>
              <w:t>0230</w:t>
            </w:r>
          </w:p>
        </w:tc>
        <w:tc>
          <w:tcPr>
            <w:tcW w:w="7719" w:type="dxa"/>
            <w:gridSpan w:val="2"/>
            <w:tcBorders>
              <w:top w:val="single" w:sz="8" w:space="0" w:color="1A171C"/>
              <w:left w:val="single" w:sz="8" w:space="0" w:color="1A171C"/>
              <w:bottom w:val="single" w:sz="8" w:space="0" w:color="1A171C"/>
              <w:right w:val="nil"/>
            </w:tcBorders>
            <w:vAlign w:val="bottom"/>
          </w:tcPr>
          <w:p w14:paraId="7FE1CFFA" w14:textId="124C9BEE" w:rsidR="00414040" w:rsidRDefault="00904E1A">
            <w:pPr>
              <w:pStyle w:val="P68B1DB1-TableParagraph73"/>
              <w:spacing w:before="108"/>
              <w:ind w:left="85"/>
              <w:jc w:val="both"/>
              <w:rPr>
                <w:bCs/>
              </w:rPr>
            </w:pPr>
            <w:r>
              <w:t xml:space="preserve">Sistemas de liquidación  </w:t>
            </w:r>
          </w:p>
          <w:p w14:paraId="7FE1CFFB" w14:textId="2006B3AF" w:rsidR="00414040" w:rsidRDefault="00904E1A">
            <w:pPr>
              <w:pStyle w:val="P68B1DB1-TableParagraph40"/>
              <w:spacing w:before="108"/>
              <w:ind w:left="85"/>
              <w:jc w:val="both"/>
            </w:pPr>
            <w:r>
              <w:t>Indique los sistemas de liquidación de valores cuando dichos valores puedan liquidarse. Cuando se trate de varios sistemas de liquidación, separe cada uno con un punto y coma.</w:t>
            </w:r>
          </w:p>
        </w:tc>
      </w:tr>
      <w:tr w:rsidR="00414040" w14:paraId="7FE1D000" w14:textId="77777777" w:rsidTr="618604ED">
        <w:tc>
          <w:tcPr>
            <w:tcW w:w="1306" w:type="dxa"/>
            <w:tcBorders>
              <w:top w:val="single" w:sz="8" w:space="0" w:color="1A171C"/>
              <w:left w:val="nil"/>
              <w:bottom w:val="single" w:sz="8" w:space="0" w:color="1A171C"/>
              <w:right w:val="single" w:sz="8" w:space="0" w:color="1A171C"/>
            </w:tcBorders>
            <w:vAlign w:val="center"/>
          </w:tcPr>
          <w:p w14:paraId="7FE1CFFD" w14:textId="77777777" w:rsidR="00414040" w:rsidRDefault="00904E1A">
            <w:pPr>
              <w:pStyle w:val="P68B1DB1-Normal31"/>
            </w:pPr>
            <w:r>
              <w:t>0240</w:t>
            </w:r>
          </w:p>
        </w:tc>
        <w:tc>
          <w:tcPr>
            <w:tcW w:w="7719" w:type="dxa"/>
            <w:gridSpan w:val="2"/>
            <w:tcBorders>
              <w:top w:val="single" w:sz="8" w:space="0" w:color="1A171C"/>
              <w:left w:val="single" w:sz="8" w:space="0" w:color="1A171C"/>
              <w:bottom w:val="single" w:sz="8" w:space="0" w:color="1A171C"/>
              <w:right w:val="nil"/>
            </w:tcBorders>
            <w:vAlign w:val="bottom"/>
          </w:tcPr>
          <w:p w14:paraId="7FE1CFFE" w14:textId="34FA8D12" w:rsidR="00414040" w:rsidRDefault="370A0FC3" w:rsidP="00210421">
            <w:pPr>
              <w:pStyle w:val="P68B1DB1-TableParagraph73"/>
              <w:spacing w:before="108"/>
              <w:jc w:val="both"/>
              <w:rPr>
                <w:lang w:val="es-ES"/>
              </w:rPr>
            </w:pPr>
            <w:r w:rsidRPr="11A44BD7">
              <w:rPr>
                <w:lang w:val="es-ES"/>
              </w:rPr>
              <w:t xml:space="preserve">Registrador </w:t>
            </w:r>
          </w:p>
          <w:p w14:paraId="7FE1CFFF" w14:textId="488D6681" w:rsidR="00414040" w:rsidRDefault="00904E1A">
            <w:pPr>
              <w:pStyle w:val="P68B1DB1-TableParagraph40"/>
              <w:spacing w:before="108"/>
              <w:ind w:left="85"/>
              <w:jc w:val="both"/>
            </w:pPr>
            <w:r>
              <w:t>Indique el registrador (responsable de mantener los registros de los propietarios de estos valores). El registrador o el titular del registro suele ser el propio emisor, un DCV u otr</w:t>
            </w:r>
            <w:r w:rsidR="721224F5">
              <w:t>o</w:t>
            </w:r>
            <w:r>
              <w:t xml:space="preserve"> ent</w:t>
            </w:r>
            <w:r w:rsidR="663DA61E">
              <w:t>e</w:t>
            </w:r>
            <w:r>
              <w:t xml:space="preserve">. </w:t>
            </w:r>
          </w:p>
        </w:tc>
      </w:tr>
      <w:tr w:rsidR="00414040" w14:paraId="7FE1D004" w14:textId="77777777" w:rsidTr="618604ED">
        <w:tc>
          <w:tcPr>
            <w:tcW w:w="1306" w:type="dxa"/>
            <w:tcBorders>
              <w:top w:val="single" w:sz="8" w:space="0" w:color="1A171C"/>
              <w:left w:val="nil"/>
              <w:right w:val="single" w:sz="8" w:space="0" w:color="1A171C"/>
            </w:tcBorders>
            <w:vAlign w:val="center"/>
          </w:tcPr>
          <w:p w14:paraId="7FE1D001" w14:textId="77777777" w:rsidR="00414040" w:rsidRDefault="00904E1A">
            <w:pPr>
              <w:pStyle w:val="P68B1DB1-Normal31"/>
            </w:pPr>
            <w:r>
              <w:t>C250</w:t>
            </w:r>
          </w:p>
        </w:tc>
        <w:tc>
          <w:tcPr>
            <w:tcW w:w="7719" w:type="dxa"/>
            <w:gridSpan w:val="2"/>
            <w:tcBorders>
              <w:top w:val="single" w:sz="8" w:space="0" w:color="1A171C"/>
              <w:left w:val="single" w:sz="8" w:space="0" w:color="1A171C"/>
              <w:right w:val="nil"/>
            </w:tcBorders>
            <w:vAlign w:val="bottom"/>
          </w:tcPr>
          <w:p w14:paraId="7FE1D002" w14:textId="200E4E8A" w:rsidR="00414040" w:rsidRDefault="00904E1A">
            <w:pPr>
              <w:pStyle w:val="P68B1DB1-TableParagraph73"/>
              <w:spacing w:before="108"/>
              <w:ind w:left="85"/>
              <w:jc w:val="both"/>
              <w:rPr>
                <w:bCs/>
              </w:rPr>
            </w:pPr>
            <w:r>
              <w:t xml:space="preserve">Depositario central de valores </w:t>
            </w:r>
          </w:p>
          <w:p w14:paraId="7FE1D003" w14:textId="77777777" w:rsidR="00414040" w:rsidRDefault="00904E1A">
            <w:pPr>
              <w:pStyle w:val="P68B1DB1-TableParagraph40"/>
              <w:spacing w:before="108"/>
              <w:ind w:left="85"/>
              <w:jc w:val="both"/>
            </w:pPr>
            <w:r>
              <w:t>Indique el DCV de emisión del valor.</w:t>
            </w:r>
          </w:p>
        </w:tc>
      </w:tr>
      <w:tr w:rsidR="00414040" w:rsidRPr="00C766EE" w14:paraId="7FE1D02F" w14:textId="77777777" w:rsidTr="618604ED">
        <w:tc>
          <w:tcPr>
            <w:tcW w:w="1306" w:type="dxa"/>
            <w:tcBorders>
              <w:left w:val="nil"/>
              <w:bottom w:val="single" w:sz="8" w:space="0" w:color="1A171C"/>
              <w:right w:val="single" w:sz="8" w:space="0" w:color="1A171C"/>
            </w:tcBorders>
            <w:vAlign w:val="center"/>
          </w:tcPr>
          <w:p w14:paraId="7FE1D005" w14:textId="77777777" w:rsidR="00414040" w:rsidRDefault="00904E1A">
            <w:pPr>
              <w:pStyle w:val="P68B1DB1-Normal31"/>
            </w:pPr>
            <w:r>
              <w:t xml:space="preserve"> </w:t>
            </w:r>
          </w:p>
        </w:tc>
        <w:tc>
          <w:tcPr>
            <w:tcW w:w="7719" w:type="dxa"/>
            <w:gridSpan w:val="2"/>
            <w:tcBorders>
              <w:left w:val="single" w:sz="8" w:space="0" w:color="1A171C"/>
              <w:bottom w:val="single" w:sz="8" w:space="0" w:color="1A171C"/>
              <w:right w:val="nil"/>
            </w:tcBorders>
            <w:vAlign w:val="bottom"/>
          </w:tcPr>
          <w:p w14:paraId="7FE1D006" w14:textId="73A24E4F" w:rsidR="00414040" w:rsidRPr="00F5513A" w:rsidRDefault="00904E1A">
            <w:pPr>
              <w:pStyle w:val="P68B1DB1-TableParagraph40"/>
              <w:spacing w:before="108"/>
              <w:ind w:left="85"/>
              <w:jc w:val="both"/>
            </w:pPr>
            <w:r w:rsidRPr="00F5513A">
              <w:t xml:space="preserve">Al informar </w:t>
            </w:r>
            <w:r w:rsidR="003A32C3" w:rsidRPr="00F5513A">
              <w:t xml:space="preserve">el </w:t>
            </w:r>
            <w:r w:rsidRPr="00F5513A">
              <w:t>DCV de emisión, utilícese la abreviatura indicada en el cuadro siguiente, salvo si el DCV pertinente no figura en la lista:</w:t>
            </w:r>
          </w:p>
          <w:p w14:paraId="7FE1D007" w14:textId="77777777" w:rsidR="00414040" w:rsidRPr="00F5513A" w:rsidRDefault="00904E1A">
            <w:pPr>
              <w:pStyle w:val="P68B1DB1-TableParagraph40"/>
              <w:spacing w:before="108"/>
              <w:ind w:left="85"/>
              <w:jc w:val="both"/>
            </w:pPr>
            <w:r w:rsidRPr="00F5513A">
              <w:t>ATHEX CSD_EL</w:t>
            </w:r>
          </w:p>
          <w:p w14:paraId="7FE1D008" w14:textId="77777777" w:rsidR="00414040" w:rsidRPr="00F5513A" w:rsidRDefault="00904E1A">
            <w:pPr>
              <w:pStyle w:val="P68B1DB1-TableParagraph40"/>
              <w:spacing w:before="108"/>
              <w:ind w:left="85"/>
              <w:jc w:val="both"/>
            </w:pPr>
            <w:r w:rsidRPr="00F5513A">
              <w:t>BOGS_EL</w:t>
            </w:r>
          </w:p>
          <w:p w14:paraId="7FE1D009" w14:textId="77777777" w:rsidR="00414040" w:rsidRPr="00F5513A" w:rsidRDefault="00904E1A">
            <w:pPr>
              <w:pStyle w:val="P68B1DB1-TableParagraph40"/>
              <w:spacing w:before="108"/>
              <w:ind w:left="85"/>
              <w:jc w:val="both"/>
            </w:pPr>
            <w:r w:rsidRPr="00F5513A">
              <w:t>CBF_DE</w:t>
            </w:r>
          </w:p>
          <w:p w14:paraId="7FE1D00A" w14:textId="77777777" w:rsidR="00414040" w:rsidRPr="00F5513A" w:rsidRDefault="00904E1A">
            <w:pPr>
              <w:pStyle w:val="P68B1DB1-TableParagraph40"/>
              <w:spacing w:before="108"/>
              <w:ind w:left="85"/>
              <w:jc w:val="both"/>
            </w:pPr>
            <w:r w:rsidRPr="00F5513A">
              <w:t>CBL_LU</w:t>
            </w:r>
          </w:p>
          <w:p w14:paraId="7FE1D00B" w14:textId="77777777" w:rsidR="00414040" w:rsidRPr="00F5513A" w:rsidRDefault="00904E1A">
            <w:pPr>
              <w:pStyle w:val="P68B1DB1-TableParagraph40"/>
              <w:spacing w:before="108"/>
              <w:ind w:left="85"/>
              <w:jc w:val="both"/>
            </w:pPr>
            <w:r w:rsidRPr="00F5513A">
              <w:t>CDCP SR_SK</w:t>
            </w:r>
          </w:p>
          <w:p w14:paraId="7FE1D00C" w14:textId="77777777" w:rsidR="00414040" w:rsidRPr="00F5513A" w:rsidRDefault="00904E1A">
            <w:pPr>
              <w:pStyle w:val="P68B1DB1-TableParagraph40"/>
              <w:spacing w:before="108"/>
              <w:ind w:left="85"/>
              <w:jc w:val="both"/>
            </w:pPr>
            <w:r w:rsidRPr="00F5513A">
              <w:t>CDCP_CZ</w:t>
            </w:r>
          </w:p>
          <w:p w14:paraId="1929E4C1" w14:textId="77777777" w:rsidR="00F238A6" w:rsidRPr="00210421" w:rsidRDefault="00F238A6" w:rsidP="00F238A6">
            <w:pPr>
              <w:pStyle w:val="P68B1DB1-TableParagraph40"/>
              <w:spacing w:before="108"/>
              <w:ind w:left="85"/>
              <w:jc w:val="both"/>
              <w:rPr>
                <w:lang w:val="en-US"/>
              </w:rPr>
            </w:pPr>
            <w:r w:rsidRPr="00210421">
              <w:rPr>
                <w:lang w:val="en-US"/>
              </w:rPr>
              <w:t xml:space="preserve">Central Depository &amp; Clearing </w:t>
            </w:r>
            <w:proofErr w:type="spellStart"/>
            <w:r w:rsidRPr="00210421">
              <w:rPr>
                <w:lang w:val="en-US"/>
              </w:rPr>
              <w:t>Company_HR</w:t>
            </w:r>
            <w:proofErr w:type="spellEnd"/>
          </w:p>
          <w:p w14:paraId="773972C3" w14:textId="77777777" w:rsidR="00F238A6" w:rsidRPr="00210421" w:rsidRDefault="00F238A6" w:rsidP="00F238A6">
            <w:pPr>
              <w:pStyle w:val="P68B1DB1-TableParagraph40"/>
              <w:spacing w:before="108"/>
              <w:ind w:left="85"/>
              <w:jc w:val="both"/>
              <w:rPr>
                <w:lang w:val="en-US"/>
              </w:rPr>
            </w:pPr>
            <w:r w:rsidRPr="00210421">
              <w:rPr>
                <w:lang w:val="en-US"/>
              </w:rPr>
              <w:t xml:space="preserve">Central Depository of Securities </w:t>
            </w:r>
            <w:proofErr w:type="spellStart"/>
            <w:r w:rsidRPr="00210421">
              <w:rPr>
                <w:lang w:val="en-US"/>
              </w:rPr>
              <w:t>Prague_CZ</w:t>
            </w:r>
            <w:proofErr w:type="spellEnd"/>
          </w:p>
          <w:p w14:paraId="71F49AF2" w14:textId="77777777" w:rsidR="00F238A6" w:rsidRPr="00F238A6" w:rsidRDefault="00F238A6" w:rsidP="00F238A6">
            <w:pPr>
              <w:pStyle w:val="P68B1DB1-TableParagraph40"/>
              <w:spacing w:before="108"/>
              <w:ind w:left="85"/>
              <w:jc w:val="both"/>
              <w:rPr>
                <w:lang w:val="es-ES"/>
              </w:rPr>
            </w:pPr>
            <w:r w:rsidRPr="00F238A6">
              <w:rPr>
                <w:lang w:val="es-ES"/>
              </w:rPr>
              <w:t xml:space="preserve">Central </w:t>
            </w:r>
            <w:proofErr w:type="spellStart"/>
            <w:r w:rsidRPr="00F238A6">
              <w:rPr>
                <w:lang w:val="es-ES"/>
              </w:rPr>
              <w:t>Depository_BG</w:t>
            </w:r>
            <w:proofErr w:type="spellEnd"/>
          </w:p>
          <w:p w14:paraId="7FE1D011" w14:textId="493D6424" w:rsidR="00414040" w:rsidRPr="00F5513A" w:rsidRDefault="00F238A6">
            <w:pPr>
              <w:pStyle w:val="P68B1DB1-TableParagraph40"/>
              <w:spacing w:before="108"/>
              <w:ind w:left="85"/>
              <w:jc w:val="both"/>
              <w:rPr>
                <w:lang w:val="en-GB"/>
              </w:rPr>
            </w:pPr>
            <w:proofErr w:type="spellStart"/>
            <w:r w:rsidRPr="00F238A6">
              <w:rPr>
                <w:lang w:val="es-ES"/>
              </w:rPr>
              <w:t>Cyprus</w:t>
            </w:r>
            <w:proofErr w:type="spellEnd"/>
            <w:r w:rsidRPr="00F238A6">
              <w:rPr>
                <w:lang w:val="es-ES"/>
              </w:rPr>
              <w:t xml:space="preserve"> CDCR_CY</w:t>
            </w:r>
            <w:proofErr w:type="spellStart"/>
            <w:r w:rsidR="00904E1A" w:rsidRPr="00F5513A">
              <w:rPr>
                <w:lang w:val="en-GB"/>
              </w:rPr>
              <w:t>Depozitarul</w:t>
            </w:r>
            <w:proofErr w:type="spellEnd"/>
            <w:r w:rsidR="00904E1A" w:rsidRPr="00F5513A">
              <w:rPr>
                <w:lang w:val="en-GB"/>
              </w:rPr>
              <w:t xml:space="preserve"> </w:t>
            </w:r>
            <w:proofErr w:type="spellStart"/>
            <w:r w:rsidR="00904E1A" w:rsidRPr="00F5513A">
              <w:rPr>
                <w:lang w:val="en-GB"/>
              </w:rPr>
              <w:t>Central_RO</w:t>
            </w:r>
            <w:proofErr w:type="spellEnd"/>
          </w:p>
          <w:p w14:paraId="7FE1D012" w14:textId="77777777" w:rsidR="00414040" w:rsidRPr="00F5513A" w:rsidRDefault="00904E1A">
            <w:pPr>
              <w:pStyle w:val="P68B1DB1-TableParagraph40"/>
              <w:spacing w:before="108"/>
              <w:ind w:left="85"/>
              <w:jc w:val="both"/>
              <w:rPr>
                <w:lang w:val="en-GB"/>
              </w:rPr>
            </w:pPr>
            <w:r w:rsidRPr="00F5513A">
              <w:rPr>
                <w:lang w:val="en-GB"/>
              </w:rPr>
              <w:t>DTC_US</w:t>
            </w:r>
          </w:p>
          <w:p w14:paraId="7FE1D013" w14:textId="77777777" w:rsidR="00414040" w:rsidRPr="00F5513A" w:rsidRDefault="00904E1A">
            <w:pPr>
              <w:pStyle w:val="P68B1DB1-TableParagraph40"/>
              <w:spacing w:before="108"/>
              <w:ind w:left="85"/>
              <w:jc w:val="both"/>
              <w:rPr>
                <w:lang w:val="en-GB"/>
              </w:rPr>
            </w:pPr>
            <w:r w:rsidRPr="00F5513A">
              <w:rPr>
                <w:lang w:val="en-GB"/>
              </w:rPr>
              <w:t xml:space="preserve">Euroclear </w:t>
            </w:r>
            <w:proofErr w:type="spellStart"/>
            <w:r w:rsidRPr="00F5513A">
              <w:rPr>
                <w:lang w:val="en-GB"/>
              </w:rPr>
              <w:t>Bank_BE</w:t>
            </w:r>
            <w:proofErr w:type="spellEnd"/>
          </w:p>
          <w:p w14:paraId="7FE1D014" w14:textId="77777777" w:rsidR="00414040" w:rsidRPr="00F5513A" w:rsidRDefault="00904E1A">
            <w:pPr>
              <w:pStyle w:val="P68B1DB1-TableParagraph40"/>
              <w:spacing w:before="108"/>
              <w:ind w:left="85"/>
              <w:jc w:val="both"/>
              <w:rPr>
                <w:lang w:val="en-GB"/>
              </w:rPr>
            </w:pPr>
            <w:r w:rsidRPr="00F5513A">
              <w:rPr>
                <w:lang w:val="en-GB"/>
              </w:rPr>
              <w:t xml:space="preserve">Euroclear </w:t>
            </w:r>
            <w:proofErr w:type="spellStart"/>
            <w:r w:rsidRPr="00F5513A">
              <w:rPr>
                <w:lang w:val="en-GB"/>
              </w:rPr>
              <w:t>Belgium_BE</w:t>
            </w:r>
            <w:proofErr w:type="spellEnd"/>
          </w:p>
          <w:p w14:paraId="7FE1D015" w14:textId="77777777" w:rsidR="00414040" w:rsidRPr="00F5513A" w:rsidRDefault="00904E1A">
            <w:pPr>
              <w:pStyle w:val="P68B1DB1-TableParagraph40"/>
              <w:spacing w:before="108"/>
              <w:ind w:left="85"/>
              <w:jc w:val="both"/>
              <w:rPr>
                <w:lang w:val="en-GB"/>
              </w:rPr>
            </w:pPr>
            <w:r w:rsidRPr="00F5513A">
              <w:rPr>
                <w:lang w:val="en-GB"/>
              </w:rPr>
              <w:t xml:space="preserve">Euroclear </w:t>
            </w:r>
            <w:proofErr w:type="spellStart"/>
            <w:r w:rsidRPr="00F5513A">
              <w:rPr>
                <w:lang w:val="en-GB"/>
              </w:rPr>
              <w:t>Finland_FI</w:t>
            </w:r>
            <w:proofErr w:type="spellEnd"/>
          </w:p>
          <w:p w14:paraId="7FE1D016" w14:textId="77777777" w:rsidR="00414040" w:rsidRPr="00F5513A" w:rsidRDefault="00904E1A">
            <w:pPr>
              <w:pStyle w:val="P68B1DB1-TableParagraph40"/>
              <w:spacing w:before="108"/>
              <w:ind w:left="85"/>
              <w:jc w:val="both"/>
              <w:rPr>
                <w:lang w:val="es-ES"/>
              </w:rPr>
            </w:pPr>
            <w:proofErr w:type="spellStart"/>
            <w:r w:rsidRPr="00F5513A">
              <w:rPr>
                <w:lang w:val="es-ES"/>
              </w:rPr>
              <w:t>Euroclear</w:t>
            </w:r>
            <w:proofErr w:type="spellEnd"/>
            <w:r w:rsidRPr="00F5513A">
              <w:rPr>
                <w:lang w:val="es-ES"/>
              </w:rPr>
              <w:t xml:space="preserve"> </w:t>
            </w:r>
            <w:proofErr w:type="spellStart"/>
            <w:r w:rsidRPr="00F5513A">
              <w:rPr>
                <w:lang w:val="es-ES"/>
              </w:rPr>
              <w:t>France_FR</w:t>
            </w:r>
            <w:proofErr w:type="spellEnd"/>
          </w:p>
          <w:p w14:paraId="7FE1D017" w14:textId="5337A31A" w:rsidR="00414040" w:rsidRPr="00F5513A" w:rsidRDefault="00F238A6">
            <w:pPr>
              <w:pStyle w:val="P68B1DB1-TableParagraph40"/>
              <w:spacing w:before="108"/>
              <w:ind w:left="85"/>
              <w:jc w:val="both"/>
            </w:pPr>
            <w:proofErr w:type="spellStart"/>
            <w:r w:rsidRPr="00F238A6">
              <w:rPr>
                <w:lang w:val="es-ES"/>
              </w:rPr>
              <w:t>Euroclear</w:t>
            </w:r>
            <w:proofErr w:type="spellEnd"/>
            <w:r w:rsidRPr="00F238A6">
              <w:rPr>
                <w:lang w:val="es-ES"/>
              </w:rPr>
              <w:t xml:space="preserve"> </w:t>
            </w:r>
            <w:proofErr w:type="spellStart"/>
            <w:r w:rsidRPr="00F238A6">
              <w:rPr>
                <w:lang w:val="es-ES"/>
              </w:rPr>
              <w:t>Netherlands_NL</w:t>
            </w:r>
            <w:proofErr w:type="spellEnd"/>
          </w:p>
          <w:p w14:paraId="7FE1D018" w14:textId="77777777" w:rsidR="00414040" w:rsidRPr="00F5513A" w:rsidRDefault="00904E1A">
            <w:pPr>
              <w:pStyle w:val="P68B1DB1-TableParagraph40"/>
              <w:spacing w:before="108"/>
              <w:ind w:left="85"/>
              <w:jc w:val="both"/>
            </w:pPr>
            <w:proofErr w:type="spellStart"/>
            <w:r w:rsidRPr="00F5513A">
              <w:rPr>
                <w:lang w:val="es-ES"/>
              </w:rPr>
              <w:t>Euroclear</w:t>
            </w:r>
            <w:proofErr w:type="spellEnd"/>
            <w:r w:rsidRPr="00F5513A">
              <w:rPr>
                <w:lang w:val="es-ES"/>
              </w:rPr>
              <w:t xml:space="preserve"> </w:t>
            </w:r>
            <w:proofErr w:type="spellStart"/>
            <w:r w:rsidRPr="00F5513A">
              <w:rPr>
                <w:lang w:val="es-ES"/>
              </w:rPr>
              <w:t>Sweden_SE</w:t>
            </w:r>
            <w:proofErr w:type="spellEnd"/>
          </w:p>
          <w:p w14:paraId="7FE1D019" w14:textId="1878F71C" w:rsidR="00414040" w:rsidRPr="00F5513A" w:rsidRDefault="00F238A6">
            <w:pPr>
              <w:pStyle w:val="P68B1DB1-TableParagraph40"/>
              <w:spacing w:before="108"/>
              <w:ind w:left="85"/>
              <w:jc w:val="both"/>
            </w:pPr>
            <w:proofErr w:type="spellStart"/>
            <w:r w:rsidRPr="00F238A6">
              <w:rPr>
                <w:lang w:val="es-ES"/>
              </w:rPr>
              <w:t>Euroclear</w:t>
            </w:r>
            <w:proofErr w:type="spellEnd"/>
            <w:r w:rsidRPr="00F238A6">
              <w:rPr>
                <w:lang w:val="es-ES"/>
              </w:rPr>
              <w:t xml:space="preserve"> UK &amp; </w:t>
            </w:r>
            <w:proofErr w:type="spellStart"/>
            <w:r w:rsidRPr="00F238A6">
              <w:rPr>
                <w:lang w:val="es-ES"/>
              </w:rPr>
              <w:t>Ireland_UK</w:t>
            </w:r>
            <w:proofErr w:type="spellEnd"/>
          </w:p>
          <w:p w14:paraId="7FE1D01B" w14:textId="451F5DFD" w:rsidR="00414040" w:rsidRPr="00F5513A" w:rsidRDefault="002B0748">
            <w:pPr>
              <w:pStyle w:val="P68B1DB1-TableParagraph40"/>
              <w:spacing w:before="108"/>
              <w:ind w:left="85"/>
              <w:jc w:val="both"/>
            </w:pPr>
            <w:r w:rsidRPr="00210421">
              <w:rPr>
                <w:lang w:val="en-US"/>
              </w:rPr>
              <w:t>Government Securities Depository (GSD)_BG</w:t>
            </w:r>
            <w:r w:rsidRPr="00210421" w:rsidDel="002B0748">
              <w:rPr>
                <w:lang w:val="en-US"/>
              </w:rPr>
              <w:t xml:space="preserve"> </w:t>
            </w:r>
            <w:proofErr w:type="spellStart"/>
            <w:r w:rsidR="00904E1A" w:rsidRPr="00F5513A">
              <w:rPr>
                <w:lang w:val="es-ES"/>
              </w:rPr>
              <w:t>Iberclear_ES</w:t>
            </w:r>
            <w:proofErr w:type="spellEnd"/>
          </w:p>
          <w:p w14:paraId="7FE1D01C" w14:textId="77777777" w:rsidR="00414040" w:rsidRPr="00F5513A" w:rsidRDefault="00904E1A">
            <w:pPr>
              <w:pStyle w:val="P68B1DB1-TableParagraph40"/>
              <w:spacing w:before="108"/>
              <w:ind w:left="85"/>
              <w:jc w:val="both"/>
            </w:pPr>
            <w:r w:rsidRPr="00F5513A">
              <w:t>INTERBOLSA_PT</w:t>
            </w:r>
          </w:p>
          <w:p w14:paraId="7FE1D01D" w14:textId="77777777" w:rsidR="00414040" w:rsidRPr="00F5513A" w:rsidRDefault="00904E1A">
            <w:pPr>
              <w:pStyle w:val="P68B1DB1-TableParagraph40"/>
              <w:spacing w:before="108"/>
              <w:ind w:left="85"/>
              <w:jc w:val="both"/>
            </w:pPr>
            <w:r w:rsidRPr="00F5513A">
              <w:t>KDD_SI</w:t>
            </w:r>
          </w:p>
          <w:p w14:paraId="7FE1D01E" w14:textId="77777777" w:rsidR="00414040" w:rsidRPr="0079232E" w:rsidRDefault="00904E1A">
            <w:pPr>
              <w:pStyle w:val="P68B1DB1-TableParagraph40"/>
              <w:spacing w:before="108"/>
              <w:ind w:left="85"/>
              <w:jc w:val="both"/>
              <w:rPr>
                <w:lang w:val="fr-FR"/>
              </w:rPr>
            </w:pPr>
            <w:r w:rsidRPr="0079232E">
              <w:rPr>
                <w:lang w:val="fr-FR"/>
              </w:rPr>
              <w:t>KDPW_PL</w:t>
            </w:r>
          </w:p>
          <w:p w14:paraId="7FE1D01F" w14:textId="77777777" w:rsidR="00414040" w:rsidRPr="00F5513A" w:rsidRDefault="00904E1A">
            <w:pPr>
              <w:pStyle w:val="P68B1DB1-TableParagraph40"/>
              <w:spacing w:before="108"/>
              <w:ind w:left="85"/>
              <w:jc w:val="both"/>
              <w:rPr>
                <w:lang w:val="en-GB"/>
              </w:rPr>
            </w:pPr>
            <w:r w:rsidRPr="00F5513A">
              <w:rPr>
                <w:lang w:val="en-GB"/>
              </w:rPr>
              <w:t>KELER_HU</w:t>
            </w:r>
          </w:p>
          <w:p w14:paraId="7FE1D020" w14:textId="77777777" w:rsidR="00414040" w:rsidRPr="00F5513A" w:rsidRDefault="00904E1A">
            <w:pPr>
              <w:pStyle w:val="P68B1DB1-TableParagraph40"/>
              <w:spacing w:before="108"/>
              <w:ind w:left="85"/>
              <w:jc w:val="both"/>
              <w:rPr>
                <w:lang w:val="en-GB"/>
              </w:rPr>
            </w:pPr>
            <w:r w:rsidRPr="00F5513A">
              <w:rPr>
                <w:lang w:val="en-GB"/>
              </w:rPr>
              <w:t>LUX CSD_LU</w:t>
            </w:r>
          </w:p>
          <w:p w14:paraId="7FE1D022" w14:textId="54B6005A" w:rsidR="00414040" w:rsidRPr="00F5513A" w:rsidRDefault="00E31736">
            <w:pPr>
              <w:pStyle w:val="P68B1DB1-TableParagraph40"/>
              <w:spacing w:before="108"/>
              <w:ind w:left="85"/>
              <w:jc w:val="both"/>
              <w:rPr>
                <w:lang w:val="en-GB"/>
              </w:rPr>
            </w:pPr>
            <w:r w:rsidRPr="00F5513A">
              <w:rPr>
                <w:lang w:val="en-GB"/>
              </w:rPr>
              <w:t xml:space="preserve">Malta Stock Exchange </w:t>
            </w:r>
            <w:proofErr w:type="spellStart"/>
            <w:r w:rsidRPr="00F5513A">
              <w:rPr>
                <w:lang w:val="en-GB"/>
              </w:rPr>
              <w:t>CSD_MT</w:t>
            </w:r>
            <w:r w:rsidR="00904E1A" w:rsidRPr="00F5513A">
              <w:rPr>
                <w:lang w:val="en-GB"/>
              </w:rPr>
              <w:t>Euronext</w:t>
            </w:r>
            <w:proofErr w:type="spellEnd"/>
            <w:r w:rsidR="00904E1A" w:rsidRPr="00F5513A">
              <w:rPr>
                <w:lang w:val="en-GB"/>
              </w:rPr>
              <w:t xml:space="preserve"> Securities </w:t>
            </w:r>
            <w:proofErr w:type="spellStart"/>
            <w:r w:rsidR="00904E1A" w:rsidRPr="00F5513A">
              <w:rPr>
                <w:lang w:val="en-GB"/>
              </w:rPr>
              <w:t>Milan_IT</w:t>
            </w:r>
            <w:proofErr w:type="spellEnd"/>
          </w:p>
          <w:p w14:paraId="7FE1D023" w14:textId="77777777" w:rsidR="00414040" w:rsidRPr="00F5513A" w:rsidRDefault="00904E1A">
            <w:pPr>
              <w:pStyle w:val="P68B1DB1-TableParagraph40"/>
              <w:spacing w:before="108"/>
              <w:ind w:left="85"/>
              <w:jc w:val="both"/>
              <w:rPr>
                <w:lang w:val="en-GB"/>
              </w:rPr>
            </w:pPr>
            <w:r w:rsidRPr="00F5513A">
              <w:rPr>
                <w:lang w:val="en-GB"/>
              </w:rPr>
              <w:lastRenderedPageBreak/>
              <w:t>Nasdaq CSD_EE</w:t>
            </w:r>
          </w:p>
          <w:p w14:paraId="7FE1D024" w14:textId="77777777" w:rsidR="00414040" w:rsidRPr="00F5513A" w:rsidRDefault="00904E1A">
            <w:pPr>
              <w:pStyle w:val="P68B1DB1-TableParagraph40"/>
              <w:spacing w:before="108"/>
              <w:ind w:left="85"/>
              <w:jc w:val="both"/>
              <w:rPr>
                <w:lang w:val="en-GB"/>
              </w:rPr>
            </w:pPr>
            <w:r w:rsidRPr="00F5513A">
              <w:rPr>
                <w:lang w:val="en-GB"/>
              </w:rPr>
              <w:t>Nasdaq CSD_LT</w:t>
            </w:r>
          </w:p>
          <w:p w14:paraId="7FE1D025" w14:textId="77777777" w:rsidR="00414040" w:rsidRPr="00F5513A" w:rsidRDefault="00904E1A">
            <w:pPr>
              <w:pStyle w:val="P68B1DB1-TableParagraph40"/>
              <w:spacing w:before="108"/>
              <w:ind w:left="85"/>
              <w:jc w:val="both"/>
              <w:rPr>
                <w:lang w:val="en-GB"/>
              </w:rPr>
            </w:pPr>
            <w:r w:rsidRPr="00F5513A">
              <w:rPr>
                <w:lang w:val="en-GB"/>
              </w:rPr>
              <w:t>Nasdaq CSD_LV</w:t>
            </w:r>
          </w:p>
          <w:p w14:paraId="7FE1D026" w14:textId="77777777" w:rsidR="00414040" w:rsidRPr="00F5513A" w:rsidRDefault="00904E1A">
            <w:pPr>
              <w:pStyle w:val="P68B1DB1-TableParagraph40"/>
              <w:spacing w:before="108"/>
              <w:ind w:left="85"/>
              <w:jc w:val="both"/>
              <w:rPr>
                <w:lang w:val="en-GB"/>
              </w:rPr>
            </w:pPr>
            <w:r w:rsidRPr="00F5513A">
              <w:rPr>
                <w:lang w:val="en-GB"/>
              </w:rPr>
              <w:t>NBB SSS_BE</w:t>
            </w:r>
          </w:p>
          <w:p w14:paraId="7FE1D027" w14:textId="77777777" w:rsidR="00414040" w:rsidRPr="00F5513A" w:rsidRDefault="00904E1A">
            <w:pPr>
              <w:pStyle w:val="P68B1DB1-TableParagraph40"/>
              <w:spacing w:before="108"/>
              <w:ind w:left="85"/>
              <w:jc w:val="both"/>
              <w:rPr>
                <w:lang w:val="en-GB"/>
              </w:rPr>
            </w:pPr>
            <w:proofErr w:type="spellStart"/>
            <w:r w:rsidRPr="00F5513A">
              <w:rPr>
                <w:lang w:val="en-GB"/>
              </w:rPr>
              <w:t>nCDCP_SK</w:t>
            </w:r>
            <w:proofErr w:type="spellEnd"/>
          </w:p>
          <w:p w14:paraId="7FE1D028" w14:textId="77777777" w:rsidR="00414040" w:rsidRPr="00F5513A" w:rsidRDefault="00904E1A">
            <w:pPr>
              <w:pStyle w:val="P68B1DB1-TableParagraph40"/>
              <w:spacing w:before="108"/>
              <w:ind w:left="85"/>
              <w:jc w:val="both"/>
              <w:rPr>
                <w:lang w:val="en-GB"/>
              </w:rPr>
            </w:pPr>
            <w:proofErr w:type="spellStart"/>
            <w:r w:rsidRPr="00F5513A">
              <w:rPr>
                <w:lang w:val="en-GB"/>
              </w:rPr>
              <w:t>OeKB</w:t>
            </w:r>
            <w:proofErr w:type="spellEnd"/>
            <w:r w:rsidRPr="00F5513A">
              <w:rPr>
                <w:lang w:val="en-GB"/>
              </w:rPr>
              <w:t xml:space="preserve"> CSD_AT</w:t>
            </w:r>
          </w:p>
          <w:p w14:paraId="7FE1D029" w14:textId="77777777" w:rsidR="00414040" w:rsidRPr="00F5513A" w:rsidRDefault="00904E1A">
            <w:pPr>
              <w:pStyle w:val="P68B1DB1-TableParagraph40"/>
              <w:spacing w:before="108"/>
              <w:ind w:left="85"/>
              <w:jc w:val="both"/>
              <w:rPr>
                <w:lang w:val="en-GB"/>
              </w:rPr>
            </w:pPr>
            <w:r w:rsidRPr="00F5513A">
              <w:rPr>
                <w:lang w:val="en-GB"/>
              </w:rPr>
              <w:t>SAFIR_RO</w:t>
            </w:r>
          </w:p>
          <w:p w14:paraId="7FE1D02A" w14:textId="77777777" w:rsidR="00414040" w:rsidRPr="00F5513A" w:rsidRDefault="00904E1A">
            <w:pPr>
              <w:pStyle w:val="P68B1DB1-TableParagraph40"/>
              <w:spacing w:before="108"/>
              <w:ind w:left="85"/>
              <w:jc w:val="both"/>
              <w:rPr>
                <w:lang w:val="en-GB"/>
              </w:rPr>
            </w:pPr>
            <w:r w:rsidRPr="00F5513A">
              <w:rPr>
                <w:lang w:val="en-GB"/>
              </w:rPr>
              <w:t>SEIS SIS_CH</w:t>
            </w:r>
          </w:p>
          <w:p w14:paraId="7FE1D02B" w14:textId="77777777" w:rsidR="00414040" w:rsidRPr="00F5513A" w:rsidRDefault="00904E1A">
            <w:pPr>
              <w:pStyle w:val="P68B1DB1-TableParagraph40"/>
              <w:spacing w:before="108"/>
              <w:ind w:left="85"/>
              <w:jc w:val="both"/>
              <w:rPr>
                <w:lang w:val="en-GB"/>
              </w:rPr>
            </w:pPr>
            <w:r w:rsidRPr="00F5513A">
              <w:rPr>
                <w:lang w:val="en-GB"/>
              </w:rPr>
              <w:t>SKARBNET4_PL</w:t>
            </w:r>
          </w:p>
          <w:p w14:paraId="7FE1D02C" w14:textId="77777777" w:rsidR="00414040" w:rsidRPr="00F5513A" w:rsidRDefault="00904E1A">
            <w:pPr>
              <w:pStyle w:val="P68B1DB1-TableParagraph40"/>
              <w:spacing w:before="108"/>
              <w:ind w:left="85"/>
              <w:jc w:val="both"/>
              <w:rPr>
                <w:lang w:val="en-GB"/>
              </w:rPr>
            </w:pPr>
            <w:r w:rsidRPr="00F5513A">
              <w:rPr>
                <w:lang w:val="en-GB"/>
              </w:rPr>
              <w:t>SKD_CZ</w:t>
            </w:r>
          </w:p>
          <w:p w14:paraId="7FE1D02D" w14:textId="77777777" w:rsidR="00414040" w:rsidRPr="00F5513A" w:rsidRDefault="00904E1A">
            <w:pPr>
              <w:pStyle w:val="P68B1DB1-TableParagraph40"/>
              <w:spacing w:before="108"/>
              <w:ind w:left="85"/>
              <w:jc w:val="both"/>
              <w:rPr>
                <w:lang w:val="en-GB"/>
              </w:rPr>
            </w:pPr>
            <w:r w:rsidRPr="00F5513A">
              <w:rPr>
                <w:lang w:val="en-GB"/>
              </w:rPr>
              <w:t xml:space="preserve">VP </w:t>
            </w:r>
            <w:proofErr w:type="spellStart"/>
            <w:r w:rsidRPr="00F5513A">
              <w:rPr>
                <w:lang w:val="en-GB"/>
              </w:rPr>
              <w:t>Securities_DK</w:t>
            </w:r>
            <w:proofErr w:type="spellEnd"/>
          </w:p>
          <w:p w14:paraId="7FE1D02E" w14:textId="77777777" w:rsidR="00414040" w:rsidRPr="00F5513A" w:rsidRDefault="00904E1A">
            <w:pPr>
              <w:pStyle w:val="P68B1DB1-TableParagraph40"/>
              <w:spacing w:before="108"/>
              <w:ind w:left="85"/>
              <w:jc w:val="both"/>
              <w:rPr>
                <w:lang w:val="en-GB"/>
              </w:rPr>
            </w:pPr>
            <w:r w:rsidRPr="00F5513A">
              <w:rPr>
                <w:lang w:val="en-GB"/>
              </w:rPr>
              <w:t>VPS_NO</w:t>
            </w:r>
          </w:p>
        </w:tc>
      </w:tr>
      <w:tr w:rsidR="00414040" w14:paraId="7FE1D036" w14:textId="77777777" w:rsidTr="618604ED">
        <w:tc>
          <w:tcPr>
            <w:tcW w:w="1306" w:type="dxa"/>
            <w:tcBorders>
              <w:top w:val="single" w:sz="8" w:space="0" w:color="1A171C"/>
              <w:left w:val="nil"/>
              <w:bottom w:val="single" w:sz="8" w:space="0" w:color="1A171C"/>
              <w:right w:val="single" w:sz="8" w:space="0" w:color="1A171C"/>
            </w:tcBorders>
            <w:vAlign w:val="center"/>
          </w:tcPr>
          <w:p w14:paraId="7FE1D033" w14:textId="77777777" w:rsidR="00414040" w:rsidRDefault="00904E1A">
            <w:pPr>
              <w:pStyle w:val="P68B1DB1-Normal31"/>
            </w:pPr>
            <w:r>
              <w:lastRenderedPageBreak/>
              <w:t>0270</w:t>
            </w:r>
          </w:p>
        </w:tc>
        <w:tc>
          <w:tcPr>
            <w:tcW w:w="7719" w:type="dxa"/>
            <w:gridSpan w:val="2"/>
            <w:tcBorders>
              <w:top w:val="single" w:sz="8" w:space="0" w:color="1A171C"/>
              <w:left w:val="single" w:sz="8" w:space="0" w:color="1A171C"/>
              <w:bottom w:val="single" w:sz="8" w:space="0" w:color="1A171C"/>
              <w:right w:val="nil"/>
            </w:tcBorders>
            <w:vAlign w:val="bottom"/>
          </w:tcPr>
          <w:p w14:paraId="7FE1D034" w14:textId="6538728E" w:rsidR="00414040" w:rsidRDefault="00904E1A">
            <w:pPr>
              <w:pStyle w:val="P68B1DB1-TableParagraph73"/>
              <w:spacing w:before="108"/>
              <w:ind w:left="85"/>
              <w:jc w:val="both"/>
              <w:rPr>
                <w:bCs/>
              </w:rPr>
            </w:pPr>
            <w:r w:rsidRPr="4D5771B3">
              <w:rPr>
                <w:lang w:val="es-ES"/>
              </w:rPr>
              <w:t>Importe de la p</w:t>
            </w:r>
            <w:r w:rsidR="7BD7C2BE" w:rsidRPr="4D5771B3">
              <w:rPr>
                <w:lang w:val="es-ES"/>
              </w:rPr>
              <w:t>ignoración</w:t>
            </w:r>
            <w:r w:rsidRPr="4D5771B3">
              <w:rPr>
                <w:lang w:val="es-ES"/>
              </w:rPr>
              <w:t>, prenda o garantía real</w:t>
            </w:r>
          </w:p>
          <w:p w14:paraId="7FE1D035" w14:textId="36973CD0" w:rsidR="00414040" w:rsidRDefault="00904E1A">
            <w:pPr>
              <w:pStyle w:val="P68B1DB1-TableParagraph40"/>
              <w:spacing w:before="108"/>
              <w:ind w:left="85"/>
              <w:jc w:val="both"/>
            </w:pPr>
            <w:r w:rsidRPr="3E769634">
              <w:rPr>
                <w:lang w:val="es-ES"/>
              </w:rPr>
              <w:t xml:space="preserve">Cuando un pasivo está garantizado por una pignoración, prenda o garantía real, el valor bruto de mercado de esta última deberá </w:t>
            </w:r>
            <w:r w:rsidR="020BC396" w:rsidRPr="3E769634">
              <w:rPr>
                <w:lang w:val="es-ES"/>
              </w:rPr>
              <w:t>informarse</w:t>
            </w:r>
            <w:r w:rsidRPr="3E769634">
              <w:rPr>
                <w:lang w:val="es-ES"/>
              </w:rPr>
              <w:t xml:space="preserve">. En el caso de los pasivos no garantizados, esta categoría se </w:t>
            </w:r>
            <w:r w:rsidR="496AFBFD" w:rsidRPr="3E769634">
              <w:rPr>
                <w:lang w:val="es-ES"/>
              </w:rPr>
              <w:t>informará en blanco</w:t>
            </w:r>
            <w:r w:rsidRPr="3E769634">
              <w:rPr>
                <w:lang w:val="es-ES"/>
              </w:rPr>
              <w:t xml:space="preserve">. Este importe determinará la parte con garantía real y, en su caso, la parte no garantizada de cualquier pasivo garantizado. </w:t>
            </w:r>
            <w:r w:rsidR="004121F3" w:rsidRPr="3E769634">
              <w:rPr>
                <w:lang w:val="es-ES"/>
              </w:rPr>
              <w:t>Para</w:t>
            </w:r>
            <w:r w:rsidRPr="3E769634">
              <w:rPr>
                <w:lang w:val="es-ES"/>
              </w:rPr>
              <w:t xml:space="preserve"> conjuntos de garantías reales que garanticen </w:t>
            </w:r>
            <w:r w:rsidR="007E68CF">
              <w:rPr>
                <w:lang w:val="es-ES"/>
              </w:rPr>
              <w:t xml:space="preserve">elementos de </w:t>
            </w:r>
            <w:r w:rsidR="004121F3" w:rsidRPr="3E769634">
              <w:rPr>
                <w:lang w:val="es-ES"/>
              </w:rPr>
              <w:t xml:space="preserve">varias </w:t>
            </w:r>
            <w:r w:rsidRPr="3E769634">
              <w:rPr>
                <w:lang w:val="es-ES"/>
              </w:rPr>
              <w:t xml:space="preserve">partidas, </w:t>
            </w:r>
            <w:r w:rsidR="79CB4300" w:rsidRPr="3E769634">
              <w:rPr>
                <w:lang w:val="es-ES"/>
              </w:rPr>
              <w:t xml:space="preserve">se </w:t>
            </w:r>
            <w:r w:rsidR="004121F3" w:rsidRPr="3E769634">
              <w:rPr>
                <w:lang w:val="es-ES"/>
              </w:rPr>
              <w:t>determinará</w:t>
            </w:r>
            <w:r w:rsidRPr="3E769634">
              <w:rPr>
                <w:lang w:val="es-ES"/>
              </w:rPr>
              <w:t xml:space="preserve"> la ratio de cobertura </w:t>
            </w:r>
            <w:r w:rsidR="00405ADE">
              <w:rPr>
                <w:lang w:val="es-ES"/>
              </w:rPr>
              <w:t xml:space="preserve">total </w:t>
            </w:r>
            <w:r w:rsidRPr="3E769634">
              <w:rPr>
                <w:lang w:val="es-ES"/>
              </w:rPr>
              <w:t xml:space="preserve">y </w:t>
            </w:r>
            <w:r w:rsidR="004121F3" w:rsidRPr="3E769634">
              <w:rPr>
                <w:lang w:val="es-ES"/>
              </w:rPr>
              <w:t>se aplicará de forma prorrateada</w:t>
            </w:r>
            <w:r w:rsidRPr="3E769634">
              <w:rPr>
                <w:lang w:val="es-ES"/>
              </w:rPr>
              <w:t xml:space="preserve"> a todas las partidas cubiertas por </w:t>
            </w:r>
            <w:r w:rsidR="004121F3" w:rsidRPr="3E769634">
              <w:rPr>
                <w:lang w:val="es-ES"/>
              </w:rPr>
              <w:t xml:space="preserve">dicho </w:t>
            </w:r>
            <w:r w:rsidRPr="3E769634">
              <w:rPr>
                <w:lang w:val="es-ES"/>
              </w:rPr>
              <w:t>conjunto.</w:t>
            </w:r>
          </w:p>
        </w:tc>
      </w:tr>
      <w:tr w:rsidR="00414040" w14:paraId="7FE1D03A" w14:textId="77777777" w:rsidTr="618604ED">
        <w:tc>
          <w:tcPr>
            <w:tcW w:w="1306" w:type="dxa"/>
            <w:tcBorders>
              <w:top w:val="single" w:sz="8" w:space="0" w:color="1A171C"/>
              <w:left w:val="nil"/>
              <w:bottom w:val="single" w:sz="8" w:space="0" w:color="1A171C"/>
              <w:right w:val="single" w:sz="8" w:space="0" w:color="1A171C"/>
            </w:tcBorders>
            <w:vAlign w:val="center"/>
          </w:tcPr>
          <w:p w14:paraId="7FE1D037" w14:textId="77777777" w:rsidR="00414040" w:rsidRDefault="00904E1A">
            <w:pPr>
              <w:pStyle w:val="P68B1DB1-Normal31"/>
            </w:pPr>
            <w:r>
              <w:t>0280</w:t>
            </w:r>
          </w:p>
        </w:tc>
        <w:tc>
          <w:tcPr>
            <w:tcW w:w="7719" w:type="dxa"/>
            <w:gridSpan w:val="2"/>
            <w:tcBorders>
              <w:top w:val="single" w:sz="8" w:space="0" w:color="1A171C"/>
              <w:left w:val="single" w:sz="8" w:space="0" w:color="1A171C"/>
              <w:bottom w:val="single" w:sz="8" w:space="0" w:color="1A171C"/>
              <w:right w:val="nil"/>
            </w:tcBorders>
            <w:vAlign w:val="bottom"/>
          </w:tcPr>
          <w:p w14:paraId="7FE1D038" w14:textId="4F4E64F0" w:rsidR="00414040" w:rsidRDefault="00904E1A">
            <w:pPr>
              <w:pStyle w:val="P68B1DB1-TableParagraph73"/>
              <w:spacing w:before="108"/>
              <w:ind w:left="85"/>
              <w:jc w:val="both"/>
              <w:rPr>
                <w:bCs/>
              </w:rPr>
            </w:pPr>
            <w:r>
              <w:t xml:space="preserve">Garante </w:t>
            </w:r>
          </w:p>
          <w:p w14:paraId="7FE1D039" w14:textId="7905C40C" w:rsidR="00414040" w:rsidRDefault="00904E1A">
            <w:pPr>
              <w:pStyle w:val="P68B1DB1-TableParagraph40"/>
              <w:spacing w:before="108"/>
              <w:ind w:left="85"/>
              <w:jc w:val="both"/>
            </w:pPr>
            <w:r w:rsidRPr="2466DABA">
              <w:rPr>
                <w:lang w:val="es-ES"/>
              </w:rPr>
              <w:t>Si el instrumento dispone de garantías, se debe proporcionar una identificación detallada del garante (código LEI, código ISO 3166–1 alfa-2 del país para gobierno, etc.)</w:t>
            </w:r>
            <w:r w:rsidR="003B1A9F">
              <w:rPr>
                <w:lang w:val="es-ES"/>
              </w:rPr>
              <w:t>.</w:t>
            </w:r>
            <w:r w:rsidRPr="2466DABA">
              <w:rPr>
                <w:lang w:val="es-ES"/>
              </w:rPr>
              <w:t xml:space="preserve"> Cuando </w:t>
            </w:r>
            <w:r w:rsidR="00522C10">
              <w:rPr>
                <w:lang w:val="es-ES"/>
              </w:rPr>
              <w:t>existan</w:t>
            </w:r>
            <w:r w:rsidRPr="2466DABA">
              <w:rPr>
                <w:lang w:val="es-ES"/>
              </w:rPr>
              <w:t xml:space="preserve"> varios garantes, </w:t>
            </w:r>
            <w:r w:rsidR="3537A4D4" w:rsidRPr="2466DABA">
              <w:rPr>
                <w:lang w:val="es-ES"/>
              </w:rPr>
              <w:t>deberán informarse</w:t>
            </w:r>
            <w:r w:rsidRPr="2466DABA">
              <w:rPr>
                <w:lang w:val="es-ES"/>
              </w:rPr>
              <w:t xml:space="preserve"> todos los identificadores, separados mediante un punto y coma.</w:t>
            </w:r>
          </w:p>
        </w:tc>
      </w:tr>
      <w:tr w:rsidR="00414040" w14:paraId="7FE1D045" w14:textId="77777777" w:rsidTr="618604ED">
        <w:tc>
          <w:tcPr>
            <w:tcW w:w="1306" w:type="dxa"/>
            <w:tcBorders>
              <w:top w:val="single" w:sz="8" w:space="0" w:color="1A171C"/>
              <w:left w:val="nil"/>
              <w:bottom w:val="single" w:sz="8" w:space="0" w:color="1A171C"/>
              <w:right w:val="single" w:sz="8" w:space="0" w:color="1A171C"/>
            </w:tcBorders>
            <w:vAlign w:val="center"/>
          </w:tcPr>
          <w:p w14:paraId="7FE1D042" w14:textId="77777777" w:rsidR="00414040" w:rsidRDefault="00904E1A">
            <w:pPr>
              <w:pStyle w:val="P68B1DB1-Normal31"/>
            </w:pPr>
            <w:r>
              <w:t>0305</w:t>
            </w:r>
          </w:p>
        </w:tc>
        <w:tc>
          <w:tcPr>
            <w:tcW w:w="7719" w:type="dxa"/>
            <w:gridSpan w:val="2"/>
            <w:tcBorders>
              <w:top w:val="single" w:sz="8" w:space="0" w:color="1A171C"/>
              <w:left w:val="single" w:sz="8" w:space="0" w:color="1A171C"/>
              <w:bottom w:val="single" w:sz="8" w:space="0" w:color="1A171C"/>
              <w:right w:val="nil"/>
            </w:tcBorders>
            <w:vAlign w:val="bottom"/>
          </w:tcPr>
          <w:p w14:paraId="7FE1D043" w14:textId="6D3EF060" w:rsidR="00414040" w:rsidRDefault="00904E1A">
            <w:pPr>
              <w:pStyle w:val="P68B1DB1-TableParagraph73"/>
              <w:spacing w:before="108"/>
              <w:ind w:left="85"/>
              <w:jc w:val="both"/>
              <w:rPr>
                <w:bCs/>
              </w:rPr>
            </w:pPr>
            <w:r>
              <w:t xml:space="preserve">Importe </w:t>
            </w:r>
            <w:r w:rsidR="7ECF1279">
              <w:t xml:space="preserve">admisible para el </w:t>
            </w:r>
            <w:r>
              <w:t xml:space="preserve">MREL </w:t>
            </w:r>
          </w:p>
          <w:p w14:paraId="7FE1D044" w14:textId="4FBFD580" w:rsidR="00414040" w:rsidRDefault="00904E1A" w:rsidP="0C3A85F4">
            <w:pPr>
              <w:pStyle w:val="P68B1DB1-TableParagraph40"/>
              <w:spacing w:before="108"/>
              <w:ind w:left="85"/>
              <w:jc w:val="both"/>
              <w:rPr>
                <w:lang w:val="es-ES"/>
              </w:rPr>
            </w:pPr>
            <w:r w:rsidRPr="0C3A85F4">
              <w:rPr>
                <w:lang w:val="es-ES"/>
              </w:rPr>
              <w:t xml:space="preserve">El importe de los fondos propios y pasivos admisibles </w:t>
            </w:r>
            <w:r w:rsidR="00BF25B1">
              <w:rPr>
                <w:lang w:val="es-ES"/>
              </w:rPr>
              <w:t>computables</w:t>
            </w:r>
            <w:r w:rsidR="00405ADE">
              <w:rPr>
                <w:lang w:val="es-ES"/>
              </w:rPr>
              <w:t xml:space="preserve"> </w:t>
            </w:r>
            <w:r w:rsidRPr="0C3A85F4">
              <w:rPr>
                <w:lang w:val="es-ES"/>
              </w:rPr>
              <w:t>para el requisito establecido de conformidad con el artículo 45, apartado 1, de la Directiva 2014/59/UE.</w:t>
            </w:r>
          </w:p>
        </w:tc>
      </w:tr>
      <w:tr w:rsidR="00414040" w14:paraId="7FE1D04C" w14:textId="77777777" w:rsidTr="618604ED">
        <w:trPr>
          <w:trHeight w:val="2982"/>
        </w:trPr>
        <w:tc>
          <w:tcPr>
            <w:tcW w:w="1306" w:type="dxa"/>
            <w:tcBorders>
              <w:top w:val="single" w:sz="8" w:space="0" w:color="1A171C"/>
              <w:left w:val="nil"/>
              <w:bottom w:val="single" w:sz="8" w:space="0" w:color="1A171C"/>
              <w:right w:val="single" w:sz="8" w:space="0" w:color="1A171C"/>
            </w:tcBorders>
            <w:vAlign w:val="center"/>
          </w:tcPr>
          <w:p w14:paraId="7FE1D046" w14:textId="77777777" w:rsidR="00414040" w:rsidRDefault="00904E1A">
            <w:pPr>
              <w:pStyle w:val="P68B1DB1-Normal31"/>
            </w:pPr>
            <w:r>
              <w:t>0310</w:t>
            </w:r>
          </w:p>
          <w:p w14:paraId="7FE1D047" w14:textId="77777777" w:rsidR="00414040" w:rsidRDefault="00904E1A">
            <w:pPr>
              <w:pStyle w:val="P68B1DB1-Normal31"/>
            </w:pPr>
            <w:r>
              <w:t xml:space="preserve"> </w:t>
            </w:r>
          </w:p>
        </w:tc>
        <w:tc>
          <w:tcPr>
            <w:tcW w:w="7719" w:type="dxa"/>
            <w:gridSpan w:val="2"/>
            <w:tcBorders>
              <w:top w:val="single" w:sz="8" w:space="0" w:color="1A171C"/>
              <w:left w:val="single" w:sz="8" w:space="0" w:color="1A171C"/>
              <w:right w:val="nil"/>
            </w:tcBorders>
            <w:vAlign w:val="bottom"/>
          </w:tcPr>
          <w:p w14:paraId="7FE1D048" w14:textId="0D6E5C61" w:rsidR="00414040" w:rsidRDefault="2E47E372">
            <w:pPr>
              <w:pStyle w:val="P68B1DB1-TableParagraph73"/>
              <w:spacing w:before="108"/>
              <w:ind w:left="85"/>
              <w:jc w:val="both"/>
              <w:rPr>
                <w:bCs/>
              </w:rPr>
            </w:pPr>
            <w:r>
              <w:t xml:space="preserve">Fondos propios admisibles </w:t>
            </w:r>
            <w:r w:rsidR="00904E1A">
              <w:t xml:space="preserve"> </w:t>
            </w:r>
          </w:p>
          <w:p w14:paraId="7FE1D049" w14:textId="6768CED8" w:rsidR="00414040" w:rsidRDefault="00904E1A">
            <w:pPr>
              <w:pStyle w:val="P68B1DB1-TableParagraph40"/>
              <w:spacing w:before="108"/>
              <w:ind w:left="85"/>
              <w:jc w:val="both"/>
            </w:pPr>
            <w:r w:rsidRPr="1F069520">
              <w:rPr>
                <w:lang w:val="es-ES"/>
              </w:rPr>
              <w:t xml:space="preserve">Indique si el instrumento está incluido en los fondos propios y a qué nivel, junto a la información sobre el régimen de </w:t>
            </w:r>
            <w:r w:rsidR="3F73CACC" w:rsidRPr="1F069520">
              <w:rPr>
                <w:lang w:val="es-ES"/>
              </w:rPr>
              <w:t xml:space="preserve">eliminación </w:t>
            </w:r>
            <w:proofErr w:type="gramStart"/>
            <w:r w:rsidR="3F73CACC" w:rsidRPr="1F069520">
              <w:rPr>
                <w:lang w:val="es-ES"/>
              </w:rPr>
              <w:t xml:space="preserve">progresiva </w:t>
            </w:r>
            <w:r w:rsidRPr="1F069520">
              <w:rPr>
                <w:lang w:val="es-ES"/>
              </w:rPr>
              <w:t xml:space="preserve"> y</w:t>
            </w:r>
            <w:proofErr w:type="gramEnd"/>
            <w:r w:rsidRPr="1F069520">
              <w:rPr>
                <w:lang w:val="es-ES"/>
              </w:rPr>
              <w:t xml:space="preserve"> </w:t>
            </w:r>
            <w:r w:rsidR="3C1E07D7" w:rsidRPr="1F069520">
              <w:rPr>
                <w:lang w:val="es-ES"/>
              </w:rPr>
              <w:t>las disposiciones transitorias</w:t>
            </w:r>
            <w:r w:rsidRPr="1F069520">
              <w:rPr>
                <w:lang w:val="es-ES"/>
              </w:rPr>
              <w:t xml:space="preserve">. El valor puede ser «No», «Parcialmente AT1, T1 y T2», «T2 en </w:t>
            </w:r>
            <w:r w:rsidR="1FF8BE59" w:rsidRPr="1F069520">
              <w:rPr>
                <w:lang w:val="es-ES"/>
              </w:rPr>
              <w:t>eliminación progresiva</w:t>
            </w:r>
            <w:r w:rsidRPr="1F069520">
              <w:rPr>
                <w:lang w:val="es-ES"/>
              </w:rPr>
              <w:t xml:space="preserve">», «T2 con </w:t>
            </w:r>
            <w:r w:rsidR="0C4ABF8F" w:rsidRPr="1F069520">
              <w:rPr>
                <w:lang w:val="es-ES"/>
              </w:rPr>
              <w:t>disposición transitoria</w:t>
            </w:r>
            <w:r w:rsidRPr="1F069520">
              <w:rPr>
                <w:lang w:val="es-ES"/>
              </w:rPr>
              <w:t xml:space="preserve">», «Cumplimiento total T2», «AT1 con </w:t>
            </w:r>
            <w:r w:rsidR="1B8F59C2" w:rsidRPr="1F069520">
              <w:rPr>
                <w:lang w:val="es-ES"/>
              </w:rPr>
              <w:t>disposición transitoria</w:t>
            </w:r>
            <w:r w:rsidRPr="1F069520">
              <w:rPr>
                <w:lang w:val="es-ES"/>
              </w:rPr>
              <w:t>», «Cumplimiento total AT1» o «CET1»</w:t>
            </w:r>
            <w:r w:rsidR="00DF4834">
              <w:rPr>
                <w:lang w:val="es-ES"/>
              </w:rPr>
              <w:t>, a partir de</w:t>
            </w:r>
            <w:r w:rsidRPr="1F069520">
              <w:rPr>
                <w:lang w:val="es-ES"/>
              </w:rPr>
              <w:t xml:space="preserve"> una lista predefinida. </w:t>
            </w:r>
          </w:p>
          <w:p w14:paraId="7FE1D04A" w14:textId="07EA96CB" w:rsidR="00414040" w:rsidRDefault="00904E1A">
            <w:pPr>
              <w:pStyle w:val="P68B1DB1-TableParagraph40"/>
              <w:spacing w:before="108"/>
              <w:ind w:left="85"/>
              <w:jc w:val="both"/>
            </w:pPr>
            <w:r w:rsidRPr="0C3A85F4">
              <w:rPr>
                <w:lang w:val="es-ES"/>
              </w:rPr>
              <w:t xml:space="preserve">En la lista de opciones, el término «eliminación </w:t>
            </w:r>
            <w:r w:rsidR="04419935" w:rsidRPr="0C3A85F4">
              <w:rPr>
                <w:lang w:val="es-ES"/>
              </w:rPr>
              <w:t>progresiva</w:t>
            </w:r>
            <w:r w:rsidRPr="0C3A85F4">
              <w:rPr>
                <w:lang w:val="es-ES"/>
              </w:rPr>
              <w:t>» se refiere al período de 5 años anterior al vencimiento de cualquier instrumento de capital de nivel 2 determinado, durante el cual solo existe un reconocimiento proporciona</w:t>
            </w:r>
            <w:r w:rsidR="39651105" w:rsidRPr="0C3A85F4">
              <w:rPr>
                <w:lang w:val="es-ES"/>
              </w:rPr>
              <w:t>l</w:t>
            </w:r>
            <w:r w:rsidRPr="0C3A85F4">
              <w:rPr>
                <w:lang w:val="es-ES"/>
              </w:rPr>
              <w:t xml:space="preserve"> basado en el tiempo restante hasta el vencimiento. «Disposiciones </w:t>
            </w:r>
            <w:r w:rsidR="19FDB8E6" w:rsidRPr="0C3A85F4">
              <w:rPr>
                <w:lang w:val="es-ES"/>
              </w:rPr>
              <w:t>transitorias</w:t>
            </w:r>
            <w:r w:rsidRPr="0C3A85F4">
              <w:rPr>
                <w:lang w:val="es-ES"/>
              </w:rPr>
              <w:t xml:space="preserve">»: cualquier medida transitoria aplicable a un instrumento </w:t>
            </w:r>
            <w:r w:rsidR="00400AAA" w:rsidRPr="0C3A85F4">
              <w:rPr>
                <w:lang w:val="es-ES"/>
              </w:rPr>
              <w:t>T</w:t>
            </w:r>
            <w:r w:rsidRPr="0C3A85F4">
              <w:rPr>
                <w:lang w:val="es-ES"/>
              </w:rPr>
              <w:t xml:space="preserve">2, excluida la «eliminación </w:t>
            </w:r>
            <w:r w:rsidR="7A8057FA" w:rsidRPr="0C3A85F4">
              <w:rPr>
                <w:lang w:val="es-ES"/>
              </w:rPr>
              <w:t>progresiva</w:t>
            </w:r>
            <w:r w:rsidRPr="0C3A85F4">
              <w:rPr>
                <w:lang w:val="es-ES"/>
              </w:rPr>
              <w:t>». Durante dicha «</w:t>
            </w:r>
            <w:r w:rsidR="4586AFEE" w:rsidRPr="0C3A85F4">
              <w:rPr>
                <w:lang w:val="es-ES"/>
              </w:rPr>
              <w:t>disposición transitoria</w:t>
            </w:r>
            <w:r w:rsidRPr="0C3A85F4">
              <w:rPr>
                <w:lang w:val="es-ES"/>
              </w:rPr>
              <w:t>», el reconocimiento podrá ser total o parcial.</w:t>
            </w:r>
          </w:p>
          <w:p w14:paraId="7FE1D04B" w14:textId="56289907" w:rsidR="00414040" w:rsidRDefault="00904E1A">
            <w:pPr>
              <w:pStyle w:val="P68B1DB1-TableParagraph40"/>
              <w:spacing w:before="108"/>
              <w:ind w:left="85"/>
              <w:jc w:val="both"/>
            </w:pPr>
            <w:r>
              <w:t xml:space="preserve"> </w:t>
            </w:r>
          </w:p>
        </w:tc>
      </w:tr>
      <w:tr w:rsidR="00414040" w14:paraId="7FE1D051" w14:textId="77777777" w:rsidTr="618604ED">
        <w:tc>
          <w:tcPr>
            <w:tcW w:w="1306" w:type="dxa"/>
            <w:tcBorders>
              <w:top w:val="single" w:sz="8" w:space="0" w:color="1A171C"/>
              <w:left w:val="nil"/>
              <w:bottom w:val="single" w:sz="8" w:space="0" w:color="1A171C"/>
              <w:right w:val="single" w:sz="8" w:space="0" w:color="1A171C"/>
            </w:tcBorders>
            <w:vAlign w:val="center"/>
          </w:tcPr>
          <w:p w14:paraId="7FE1D04D" w14:textId="77777777" w:rsidR="00414040" w:rsidRDefault="00904E1A">
            <w:pPr>
              <w:pStyle w:val="P68B1DB1-Normal31"/>
            </w:pPr>
            <w:r>
              <w:t>0320</w:t>
            </w:r>
          </w:p>
        </w:tc>
        <w:tc>
          <w:tcPr>
            <w:tcW w:w="7719" w:type="dxa"/>
            <w:gridSpan w:val="2"/>
            <w:tcBorders>
              <w:top w:val="single" w:sz="8" w:space="0" w:color="1A171C"/>
              <w:left w:val="single" w:sz="8" w:space="0" w:color="1A171C"/>
              <w:bottom w:val="single" w:sz="8" w:space="0" w:color="1A171C"/>
              <w:right w:val="nil"/>
            </w:tcBorders>
            <w:vAlign w:val="bottom"/>
          </w:tcPr>
          <w:p w14:paraId="7FE1D04E" w14:textId="4DA792BB" w:rsidR="00414040" w:rsidRDefault="00904E1A">
            <w:pPr>
              <w:pStyle w:val="P68B1DB1-TableParagraph40"/>
              <w:spacing w:before="108"/>
              <w:ind w:left="85"/>
              <w:jc w:val="both"/>
              <w:rPr>
                <w:b/>
                <w:bCs/>
              </w:rPr>
            </w:pPr>
            <w:r>
              <w:t xml:space="preserve"> </w:t>
            </w:r>
            <w:r>
              <w:rPr>
                <w:b/>
              </w:rPr>
              <w:t xml:space="preserve">Importe </w:t>
            </w:r>
            <w:r w:rsidR="6F739CAC" w:rsidRPr="7A83C96A">
              <w:rPr>
                <w:b/>
                <w:bCs/>
              </w:rPr>
              <w:t xml:space="preserve">de fondos propios </w:t>
            </w:r>
            <w:r w:rsidR="00400AAA">
              <w:rPr>
                <w:b/>
                <w:bCs/>
              </w:rPr>
              <w:t>admisibles</w:t>
            </w:r>
          </w:p>
          <w:p w14:paraId="7FE1D050" w14:textId="30B4F77C" w:rsidR="00414040" w:rsidRDefault="00904E1A">
            <w:pPr>
              <w:pStyle w:val="P68B1DB1-TableParagraph40"/>
              <w:spacing w:before="108"/>
              <w:ind w:left="85"/>
              <w:jc w:val="both"/>
            </w:pPr>
            <w:r>
              <w:t xml:space="preserve">El importe del instrumento </w:t>
            </w:r>
            <w:r w:rsidR="5489F565">
              <w:t>admisible</w:t>
            </w:r>
            <w:r>
              <w:t xml:space="preserve"> como fondos propios.</w:t>
            </w:r>
          </w:p>
        </w:tc>
      </w:tr>
    </w:tbl>
    <w:p w14:paraId="7FE1D052" w14:textId="77777777" w:rsidR="00414040" w:rsidRDefault="00414040">
      <w:pPr>
        <w:rPr>
          <w:rFonts w:ascii="Times New Roman" w:hAnsi="Times New Roman" w:cs="Times New Roman"/>
        </w:rPr>
      </w:pPr>
    </w:p>
    <w:p w14:paraId="7FE1D053" w14:textId="77777777" w:rsidR="00414040" w:rsidRDefault="00414040">
      <w:pPr>
        <w:pStyle w:val="Instructionsberschrift2"/>
        <w:ind w:left="357"/>
        <w:rPr>
          <w:rFonts w:ascii="Times New Roman" w:eastAsia="Calibri" w:hAnsi="Times New Roman" w:cs="Times New Roman"/>
          <w:szCs w:val="20"/>
        </w:rPr>
      </w:pPr>
    </w:p>
    <w:p w14:paraId="7FE1D054" w14:textId="6B5C3BCC" w:rsidR="00414040" w:rsidRDefault="00904E1A">
      <w:pPr>
        <w:pStyle w:val="Instructionsberschrift2"/>
        <w:numPr>
          <w:ilvl w:val="1"/>
          <w:numId w:val="49"/>
        </w:numPr>
        <w:spacing w:before="0"/>
        <w:ind w:left="357" w:hanging="357"/>
        <w:rPr>
          <w:rFonts w:ascii="Times New Roman" w:hAnsi="Times New Roman" w:cs="Times New Roman"/>
        </w:rPr>
      </w:pPr>
      <w:bookmarkStart w:id="246" w:name="_Toc211525947"/>
      <w:r>
        <w:rPr>
          <w:rFonts w:ascii="Times New Roman" w:eastAsiaTheme="minorEastAsia" w:hAnsi="Times New Roman" w:cs="Times New Roman"/>
        </w:rPr>
        <w:t xml:space="preserve">Z 13.00 — Todos los depósitos (excepto intragrupo) </w:t>
      </w:r>
      <w:r>
        <w:rPr>
          <w:rFonts w:ascii="Times New Roman" w:eastAsia="Calibri" w:hAnsi="Times New Roman" w:cs="Times New Roman"/>
          <w:szCs w:val="20"/>
        </w:rPr>
        <w:t>(LIAB-G-3)</w:t>
      </w:r>
      <w:bookmarkEnd w:id="246"/>
    </w:p>
    <w:p w14:paraId="7FE1D057" w14:textId="77777777" w:rsidR="00414040" w:rsidRDefault="00904E1A">
      <w:pPr>
        <w:pStyle w:val="P68B1DB1-Numberedtitlelevel372"/>
      </w:pPr>
      <w:r>
        <w:t>Observaciones generales</w:t>
      </w:r>
    </w:p>
    <w:p w14:paraId="7FE1D058" w14:textId="7217D192" w:rsidR="00414040" w:rsidRDefault="00904E1A">
      <w:pPr>
        <w:pStyle w:val="P68B1DB1-InstructionsText26"/>
        <w:numPr>
          <w:ilvl w:val="2"/>
          <w:numId w:val="209"/>
        </w:numPr>
        <w:spacing w:before="0"/>
        <w:ind w:left="1418"/>
        <w:rPr>
          <w:rFonts w:eastAsia="Cambria"/>
        </w:rPr>
      </w:pPr>
      <w:bookmarkStart w:id="247" w:name="_Hlk211868346"/>
      <w:r>
        <w:t xml:space="preserve">El ámbito de aplicación </w:t>
      </w:r>
      <w:r w:rsidR="007D0411">
        <w:t xml:space="preserve">de la </w:t>
      </w:r>
      <w:r>
        <w:t xml:space="preserve">presente </w:t>
      </w:r>
      <w:r w:rsidR="007D0411">
        <w:t xml:space="preserve">plantilla </w:t>
      </w:r>
      <w:r>
        <w:t>abarca todos los depósitos, excluidas las operaciones intragrupo, independientemente de la naturaleza del depósito o del plazo. Los depósitos deben identificarse sobre la base de la definición que figura en el artículo 2, apartado</w:t>
      </w:r>
      <w:r w:rsidR="00400AAA">
        <w:t>s</w:t>
      </w:r>
      <w:r>
        <w:t> 1</w:t>
      </w:r>
      <w:r w:rsidR="00400AAA">
        <w:t xml:space="preserve"> y 3,</w:t>
      </w:r>
      <w:r>
        <w:t xml:space="preserve"> de la Directiva 2014/49/UE.</w:t>
      </w:r>
    </w:p>
    <w:p w14:paraId="7FE1D05A" w14:textId="1CC85F8F" w:rsidR="00414040" w:rsidRDefault="00904E1A">
      <w:pPr>
        <w:pStyle w:val="P68B1DB1-InstructionsText286"/>
        <w:numPr>
          <w:ilvl w:val="2"/>
          <w:numId w:val="209"/>
        </w:numPr>
        <w:spacing w:before="0"/>
        <w:ind w:left="1418"/>
        <w:rPr>
          <w:lang w:val="es-ES"/>
        </w:rPr>
      </w:pPr>
      <w:r w:rsidRPr="00405ADE">
        <w:rPr>
          <w:lang w:val="es-ES"/>
        </w:rPr>
        <w:t>A efectos de</w:t>
      </w:r>
      <w:r w:rsidR="235C072F" w:rsidRPr="00405ADE">
        <w:rPr>
          <w:lang w:val="es-ES"/>
        </w:rPr>
        <w:t xml:space="preserve"> la presente plantilla</w:t>
      </w:r>
      <w:r w:rsidRPr="00405ADE">
        <w:rPr>
          <w:lang w:val="es-ES"/>
        </w:rPr>
        <w:t xml:space="preserve">, </w:t>
      </w:r>
      <w:r w:rsidR="42B339AF" w:rsidRPr="00405ADE">
        <w:rPr>
          <w:lang w:val="es-ES"/>
        </w:rPr>
        <w:t xml:space="preserve">se deben </w:t>
      </w:r>
      <w:r w:rsidRPr="00405ADE">
        <w:rPr>
          <w:lang w:val="es-ES"/>
        </w:rPr>
        <w:t xml:space="preserve">agrupar todos los </w:t>
      </w:r>
      <w:r w:rsidRPr="00210421">
        <w:rPr>
          <w:lang w:val="es-ES"/>
        </w:rPr>
        <w:t xml:space="preserve">depósitos </w:t>
      </w:r>
      <w:r w:rsidR="00765384" w:rsidRPr="00210421">
        <w:rPr>
          <w:lang w:val="es-ES"/>
        </w:rPr>
        <w:t>sin cobertura no preferentes</w:t>
      </w:r>
      <w:r w:rsidRPr="00405ADE">
        <w:rPr>
          <w:lang w:val="es-ES"/>
        </w:rPr>
        <w:t xml:space="preserve"> (tal como se definen en Z 02.00-</w:t>
      </w:r>
      <w:r w:rsidR="00400AAA" w:rsidRPr="00405ADE">
        <w:rPr>
          <w:lang w:val="es-ES"/>
        </w:rPr>
        <w:t>r0320</w:t>
      </w:r>
      <w:r w:rsidRPr="00405ADE">
        <w:rPr>
          <w:lang w:val="es-ES"/>
        </w:rPr>
        <w:t xml:space="preserve">) con un vencimiento residual inferior a 1 año, todos los </w:t>
      </w:r>
      <w:r w:rsidRPr="00210421">
        <w:rPr>
          <w:lang w:val="es-ES"/>
        </w:rPr>
        <w:t xml:space="preserve">depósitos </w:t>
      </w:r>
      <w:r w:rsidR="00765384" w:rsidRPr="00210421">
        <w:rPr>
          <w:lang w:val="es-ES"/>
        </w:rPr>
        <w:t>con cobertura</w:t>
      </w:r>
      <w:r w:rsidR="00765384" w:rsidRPr="00405ADE">
        <w:rPr>
          <w:lang w:val="es-ES"/>
        </w:rPr>
        <w:t xml:space="preserve"> </w:t>
      </w:r>
      <w:r w:rsidRPr="00405ADE">
        <w:rPr>
          <w:lang w:val="es-ES"/>
        </w:rPr>
        <w:t xml:space="preserve">y los </w:t>
      </w:r>
      <w:r w:rsidRPr="00210421">
        <w:rPr>
          <w:lang w:val="es-ES"/>
        </w:rPr>
        <w:t xml:space="preserve">depósitos </w:t>
      </w:r>
      <w:r w:rsidR="00765384" w:rsidRPr="00210421">
        <w:rPr>
          <w:lang w:val="es-ES"/>
        </w:rPr>
        <w:t xml:space="preserve">sin </w:t>
      </w:r>
      <w:proofErr w:type="gramStart"/>
      <w:r w:rsidR="00765384" w:rsidRPr="00210421">
        <w:rPr>
          <w:lang w:val="es-ES"/>
        </w:rPr>
        <w:t>cobertura</w:t>
      </w:r>
      <w:proofErr w:type="gramEnd"/>
      <w:r w:rsidR="00765384" w:rsidRPr="00210421">
        <w:rPr>
          <w:lang w:val="es-ES"/>
        </w:rPr>
        <w:t xml:space="preserve"> pero preferentes</w:t>
      </w:r>
      <w:r w:rsidRPr="00405ADE">
        <w:rPr>
          <w:lang w:val="es-ES"/>
        </w:rPr>
        <w:t xml:space="preserve"> (según</w:t>
      </w:r>
      <w:r w:rsidRPr="3E769634">
        <w:rPr>
          <w:lang w:val="es-ES"/>
        </w:rPr>
        <w:t xml:space="preserve"> la definición de Z 02.00-</w:t>
      </w:r>
      <w:r w:rsidR="00765384" w:rsidRPr="3E769634">
        <w:rPr>
          <w:lang w:val="es-ES"/>
        </w:rPr>
        <w:t xml:space="preserve">r0310 </w:t>
      </w:r>
      <w:r w:rsidRPr="3E769634">
        <w:rPr>
          <w:lang w:val="es-ES"/>
        </w:rPr>
        <w:t xml:space="preserve">y con independencia de su vencimiento residual), por categoría de pasivo (columna 0020), tipo de contraparte (columna 0025) y </w:t>
      </w:r>
      <w:r w:rsidR="39BC94AC" w:rsidRPr="4A386356">
        <w:rPr>
          <w:lang w:val="es-ES"/>
        </w:rPr>
        <w:t>rango</w:t>
      </w:r>
      <w:r w:rsidR="00405ADE">
        <w:rPr>
          <w:lang w:val="es-ES"/>
        </w:rPr>
        <w:t xml:space="preserve"> </w:t>
      </w:r>
      <w:r w:rsidRPr="4A386356">
        <w:rPr>
          <w:lang w:val="es-ES"/>
        </w:rPr>
        <w:t>en</w:t>
      </w:r>
      <w:r w:rsidRPr="3E769634">
        <w:rPr>
          <w:lang w:val="es-ES"/>
        </w:rPr>
        <w:t xml:space="preserve"> caso de insolvencia (columna 0030). Los depósitos </w:t>
      </w:r>
      <w:r w:rsidR="004F4186" w:rsidRPr="3E769634">
        <w:rPr>
          <w:lang w:val="es-ES"/>
        </w:rPr>
        <w:t>sin cobertura no preferentes</w:t>
      </w:r>
      <w:r w:rsidRPr="3E769634">
        <w:rPr>
          <w:lang w:val="es-ES"/>
        </w:rPr>
        <w:t xml:space="preserve"> con un vencimiento residual superior o igual a 1 año deben </w:t>
      </w:r>
      <w:r w:rsidR="0BEA41A3" w:rsidRPr="3E769634">
        <w:rPr>
          <w:lang w:val="es-ES"/>
        </w:rPr>
        <w:t>declararse</w:t>
      </w:r>
      <w:r w:rsidRPr="3E769634">
        <w:rPr>
          <w:lang w:val="es-ES"/>
        </w:rPr>
        <w:t xml:space="preserve"> </w:t>
      </w:r>
      <w:r w:rsidR="006F491F">
        <w:rPr>
          <w:lang w:val="es-ES"/>
        </w:rPr>
        <w:t>en</w:t>
      </w:r>
      <w:r w:rsidR="006F491F" w:rsidRPr="3E769634">
        <w:rPr>
          <w:lang w:val="es-ES"/>
        </w:rPr>
        <w:t xml:space="preserve"> </w:t>
      </w:r>
      <w:r w:rsidRPr="3E769634">
        <w:rPr>
          <w:lang w:val="es-ES"/>
        </w:rPr>
        <w:t xml:space="preserve">una fila </w:t>
      </w:r>
      <w:r w:rsidR="006F491F">
        <w:rPr>
          <w:lang w:val="es-ES"/>
        </w:rPr>
        <w:t>independiente</w:t>
      </w:r>
      <w:r w:rsidR="006F491F" w:rsidRPr="3E769634">
        <w:rPr>
          <w:lang w:val="es-ES"/>
        </w:rPr>
        <w:t xml:space="preserve"> </w:t>
      </w:r>
      <w:r w:rsidR="004F4186" w:rsidRPr="3E769634">
        <w:rPr>
          <w:lang w:val="es-ES"/>
        </w:rPr>
        <w:t>en relación con</w:t>
      </w:r>
      <w:r w:rsidRPr="3E769634">
        <w:rPr>
          <w:lang w:val="es-ES"/>
        </w:rPr>
        <w:t xml:space="preserve"> todos los campos solicitados. </w:t>
      </w:r>
    </w:p>
    <w:p w14:paraId="7FE1D05B" w14:textId="7FDED07B" w:rsidR="00414040" w:rsidRPr="00210421" w:rsidRDefault="00904E1A" w:rsidP="00210421">
      <w:pPr>
        <w:pStyle w:val="P68B1DB1-InstructionsText26"/>
        <w:numPr>
          <w:ilvl w:val="2"/>
          <w:numId w:val="209"/>
        </w:numPr>
        <w:spacing w:before="0"/>
        <w:ind w:left="1418"/>
      </w:pPr>
      <w:r w:rsidRPr="4941412B">
        <w:rPr>
          <w:lang w:val="es-ES"/>
        </w:rPr>
        <w:t xml:space="preserve">No </w:t>
      </w:r>
      <w:proofErr w:type="gramStart"/>
      <w:r w:rsidRPr="4941412B">
        <w:rPr>
          <w:lang w:val="es-ES"/>
        </w:rPr>
        <w:t>obstante</w:t>
      </w:r>
      <w:proofErr w:type="gramEnd"/>
      <w:r w:rsidRPr="4941412B">
        <w:rPr>
          <w:lang w:val="es-ES"/>
        </w:rPr>
        <w:t xml:space="preserve"> lo dispuesto en el punto 67, cada depósito de una entidad de crédito, independientemente del tipo de depósito, deberá </w:t>
      </w:r>
      <w:r w:rsidR="5456C3A6" w:rsidRPr="4941412B">
        <w:rPr>
          <w:lang w:val="es-ES"/>
        </w:rPr>
        <w:t>informarse</w:t>
      </w:r>
      <w:r w:rsidRPr="4941412B">
        <w:rPr>
          <w:lang w:val="es-ES"/>
        </w:rPr>
        <w:t xml:space="preserve"> </w:t>
      </w:r>
      <w:r w:rsidR="00D84AA3">
        <w:rPr>
          <w:lang w:val="es-ES"/>
        </w:rPr>
        <w:t>en una fila independiente</w:t>
      </w:r>
      <w:r w:rsidRPr="4941412B">
        <w:rPr>
          <w:lang w:val="es-ES"/>
        </w:rPr>
        <w:t xml:space="preserve"> en relación con todos los campos solicitados. Por ejemplo, una sola operación debe </w:t>
      </w:r>
      <w:r w:rsidR="004F4186" w:rsidRPr="4941412B">
        <w:rPr>
          <w:lang w:val="es-ES"/>
        </w:rPr>
        <w:t xml:space="preserve">informarse </w:t>
      </w:r>
      <w:r w:rsidRPr="4941412B">
        <w:rPr>
          <w:lang w:val="es-ES"/>
        </w:rPr>
        <w:t>en varias filas en caso de que se refiera a diferentes</w:t>
      </w:r>
      <w:r w:rsidR="594D1267" w:rsidRPr="4941412B">
        <w:rPr>
          <w:lang w:val="es-ES"/>
        </w:rPr>
        <w:t xml:space="preserve"> rangos en caso</w:t>
      </w:r>
      <w:r w:rsidRPr="4941412B">
        <w:rPr>
          <w:lang w:val="es-ES"/>
        </w:rPr>
        <w:t xml:space="preserve"> de insolvencia.</w:t>
      </w:r>
    </w:p>
    <w:p w14:paraId="7FE1D05C" w14:textId="39F99DBE" w:rsidR="00414040" w:rsidRPr="00210421" w:rsidRDefault="00904E1A" w:rsidP="00210421">
      <w:pPr>
        <w:pStyle w:val="P68B1DB1-InstructionsText26"/>
        <w:numPr>
          <w:ilvl w:val="2"/>
          <w:numId w:val="209"/>
        </w:numPr>
        <w:spacing w:before="0"/>
        <w:ind w:left="1418"/>
      </w:pPr>
      <w:r w:rsidRPr="00210421">
        <w:t xml:space="preserve">Todos los demás depósitos no mencionados explícitamente deberán </w:t>
      </w:r>
      <w:r w:rsidR="171E9928" w:rsidRPr="00210421">
        <w:t xml:space="preserve">informarse </w:t>
      </w:r>
      <w:r w:rsidR="0071242D">
        <w:t>en</w:t>
      </w:r>
      <w:r w:rsidR="0071242D" w:rsidRPr="00210421">
        <w:t xml:space="preserve"> </w:t>
      </w:r>
      <w:r w:rsidRPr="00210421">
        <w:t xml:space="preserve">una fila </w:t>
      </w:r>
      <w:r w:rsidR="0071242D">
        <w:t xml:space="preserve">independiente </w:t>
      </w:r>
      <w:r w:rsidR="004F4186" w:rsidRPr="00210421">
        <w:t xml:space="preserve">en relación con </w:t>
      </w:r>
      <w:r w:rsidRPr="00210421">
        <w:t>todos los campos solicitados.</w:t>
      </w:r>
    </w:p>
    <w:bookmarkEnd w:id="247"/>
    <w:p w14:paraId="7FE1D061" w14:textId="77777777" w:rsidR="00414040" w:rsidRDefault="00904E1A">
      <w:pPr>
        <w:pStyle w:val="P68B1DB1-InstructionsText287"/>
        <w:numPr>
          <w:ilvl w:val="0"/>
          <w:numId w:val="0"/>
        </w:numPr>
        <w:ind w:left="753"/>
      </w:pPr>
      <w:r>
        <w:t>Instrucciones relativas a posiciones concretas</w:t>
      </w:r>
    </w:p>
    <w:tbl>
      <w:tblPr>
        <w:tblW w:w="9026" w:type="dxa"/>
        <w:tblLook w:val="01E0" w:firstRow="1" w:lastRow="1" w:firstColumn="1" w:lastColumn="1" w:noHBand="0" w:noVBand="0"/>
      </w:tblPr>
      <w:tblGrid>
        <w:gridCol w:w="1113"/>
        <w:gridCol w:w="7742"/>
        <w:gridCol w:w="171"/>
      </w:tblGrid>
      <w:tr w:rsidR="00414040" w14:paraId="7FE1D064" w14:textId="77777777" w:rsidTr="618604ED">
        <w:trPr>
          <w:gridAfter w:val="1"/>
          <w:wAfter w:w="172" w:type="dxa"/>
          <w:tblHeader/>
        </w:trPr>
        <w:tc>
          <w:tcPr>
            <w:tcW w:w="1082" w:type="dxa"/>
            <w:tcBorders>
              <w:top w:val="single" w:sz="4" w:space="0" w:color="1A171C"/>
              <w:left w:val="nil"/>
              <w:bottom w:val="single" w:sz="4" w:space="0" w:color="1A171C"/>
              <w:right w:val="single" w:sz="4" w:space="0" w:color="1A171C"/>
            </w:tcBorders>
            <w:shd w:val="clear" w:color="auto" w:fill="E4E5E5"/>
          </w:tcPr>
          <w:p w14:paraId="7FE1D062" w14:textId="77777777" w:rsidR="00414040" w:rsidRDefault="00904E1A">
            <w:pPr>
              <w:pStyle w:val="P68B1DB1-TableParagraph17"/>
              <w:spacing w:before="108"/>
              <w:ind w:left="85"/>
            </w:pPr>
            <w:r>
              <w:t>Columnas</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414040" w:rsidRDefault="00904E1A">
            <w:pPr>
              <w:pStyle w:val="P68B1DB1-TableParagraph17"/>
              <w:spacing w:before="108"/>
              <w:ind w:left="85" w:right="1"/>
            </w:pPr>
            <w:r>
              <w:t>Instrucciones</w:t>
            </w:r>
          </w:p>
        </w:tc>
      </w:tr>
      <w:tr w:rsidR="00414040" w14:paraId="7FE1D068" w14:textId="77777777" w:rsidTr="618604ED">
        <w:tc>
          <w:tcPr>
            <w:tcW w:w="1082" w:type="dxa"/>
            <w:tcBorders>
              <w:top w:val="single" w:sz="8" w:space="0" w:color="1A171C"/>
              <w:left w:val="nil"/>
              <w:bottom w:val="single" w:sz="8" w:space="0" w:color="1A171C"/>
              <w:right w:val="single" w:sz="8" w:space="0" w:color="1A171C"/>
            </w:tcBorders>
          </w:tcPr>
          <w:p w14:paraId="7FE1D065" w14:textId="77777777" w:rsidR="00414040" w:rsidRDefault="00904E1A">
            <w:pPr>
              <w:pStyle w:val="P68B1DB1-Normal31"/>
            </w:pPr>
            <w:r>
              <w:t>0010</w:t>
            </w:r>
          </w:p>
        </w:tc>
        <w:tc>
          <w:tcPr>
            <w:tcW w:w="7944" w:type="dxa"/>
            <w:gridSpan w:val="2"/>
            <w:tcBorders>
              <w:top w:val="single" w:sz="8" w:space="0" w:color="1A171C"/>
              <w:left w:val="single" w:sz="8" w:space="0" w:color="1A171C"/>
              <w:bottom w:val="single" w:sz="8" w:space="0" w:color="1A171C"/>
              <w:right w:val="nil"/>
            </w:tcBorders>
          </w:tcPr>
          <w:p w14:paraId="7FE1D066" w14:textId="0A256A56" w:rsidR="00414040" w:rsidRDefault="00904E1A">
            <w:pPr>
              <w:pStyle w:val="P68B1DB1-TableParagraph73"/>
              <w:spacing w:before="108"/>
              <w:ind w:left="85"/>
              <w:jc w:val="both"/>
              <w:rPr>
                <w:bCs/>
              </w:rPr>
            </w:pPr>
            <w:r>
              <w:t>N.</w:t>
            </w:r>
            <w:r w:rsidR="00D07532">
              <w:t>º</w:t>
            </w:r>
          </w:p>
          <w:p w14:paraId="7FE1D067" w14:textId="586D1379" w:rsidR="00414040" w:rsidRDefault="00904E1A">
            <w:pPr>
              <w:pStyle w:val="P68B1DB1-TableParagraph40"/>
              <w:spacing w:before="108"/>
              <w:ind w:left="85"/>
              <w:jc w:val="both"/>
            </w:pPr>
            <w:r>
              <w:t xml:space="preserve">Número único o clave </w:t>
            </w:r>
            <w:r w:rsidRPr="00405ADE">
              <w:t xml:space="preserve">principal </w:t>
            </w:r>
            <w:r w:rsidR="00D07532" w:rsidRPr="00405ADE">
              <w:t>única</w:t>
            </w:r>
            <w:r w:rsidR="00D07532" w:rsidRPr="008C6BCD">
              <w:t xml:space="preserve"> </w:t>
            </w:r>
            <w:r w:rsidRPr="00405ADE">
              <w:t>para</w:t>
            </w:r>
            <w:r>
              <w:t xml:space="preserve"> identificar las </w:t>
            </w:r>
            <w:r w:rsidR="00BF00F4">
              <w:t>filas</w:t>
            </w:r>
            <w:r>
              <w:t>.</w:t>
            </w:r>
          </w:p>
        </w:tc>
      </w:tr>
      <w:tr w:rsidR="00414040" w14:paraId="7FE1D06C" w14:textId="77777777" w:rsidTr="618604ED">
        <w:tc>
          <w:tcPr>
            <w:tcW w:w="1082" w:type="dxa"/>
            <w:tcBorders>
              <w:top w:val="single" w:sz="8" w:space="0" w:color="1A171C"/>
              <w:left w:val="nil"/>
              <w:bottom w:val="single" w:sz="8" w:space="0" w:color="1A171C"/>
              <w:right w:val="single" w:sz="8" w:space="0" w:color="1A171C"/>
            </w:tcBorders>
          </w:tcPr>
          <w:p w14:paraId="7FE1D069" w14:textId="77777777" w:rsidR="00414040" w:rsidRDefault="00904E1A">
            <w:pPr>
              <w:pStyle w:val="P68B1DB1-Normal31"/>
            </w:pPr>
            <w:r>
              <w:t>0020</w:t>
            </w:r>
          </w:p>
        </w:tc>
        <w:tc>
          <w:tcPr>
            <w:tcW w:w="7944" w:type="dxa"/>
            <w:gridSpan w:val="2"/>
            <w:tcBorders>
              <w:top w:val="single" w:sz="8" w:space="0" w:color="1A171C"/>
              <w:left w:val="single" w:sz="8" w:space="0" w:color="1A171C"/>
              <w:bottom w:val="single" w:sz="8" w:space="0" w:color="1A171C"/>
              <w:right w:val="nil"/>
            </w:tcBorders>
          </w:tcPr>
          <w:p w14:paraId="7FE1D06A" w14:textId="7FE04A35" w:rsidR="00414040" w:rsidRDefault="00904E1A">
            <w:pPr>
              <w:pStyle w:val="P68B1DB1-TableParagraph73"/>
              <w:spacing w:before="108"/>
              <w:ind w:left="85"/>
              <w:jc w:val="both"/>
              <w:rPr>
                <w:bCs/>
              </w:rPr>
            </w:pPr>
            <w:r>
              <w:t xml:space="preserve">Fila </w:t>
            </w:r>
          </w:p>
          <w:p w14:paraId="7FE1D06B" w14:textId="6B90E591" w:rsidR="00414040" w:rsidRDefault="00904E1A">
            <w:pPr>
              <w:pStyle w:val="P68B1DB1-TableParagraph40"/>
              <w:spacing w:before="108"/>
              <w:ind w:left="85"/>
              <w:jc w:val="both"/>
            </w:pPr>
            <w:r>
              <w:t xml:space="preserve">Para cada fila informada, deberá realizarse una conciliación con la categoría de pasivos de la estructura del pasivo </w:t>
            </w:r>
            <w:r w:rsidR="00D07532">
              <w:t xml:space="preserve">de </w:t>
            </w:r>
            <w:r>
              <w:t>Z02.00 a nivel de vencimiento, a partir de una lista predefinida de valores.</w:t>
            </w:r>
          </w:p>
        </w:tc>
      </w:tr>
      <w:tr w:rsidR="00414040" w14:paraId="7FE1D070" w14:textId="77777777" w:rsidTr="618604ED">
        <w:tc>
          <w:tcPr>
            <w:tcW w:w="1082" w:type="dxa"/>
            <w:tcBorders>
              <w:top w:val="single" w:sz="8" w:space="0" w:color="1A171C"/>
              <w:left w:val="nil"/>
              <w:bottom w:val="single" w:sz="8" w:space="0" w:color="1A171C"/>
              <w:right w:val="single" w:sz="8" w:space="0" w:color="1A171C"/>
            </w:tcBorders>
          </w:tcPr>
          <w:p w14:paraId="7FE1D06D" w14:textId="77777777" w:rsidR="00414040" w:rsidRDefault="00904E1A">
            <w:pPr>
              <w:pStyle w:val="P68B1DB1-Normal31"/>
            </w:pPr>
            <w:r>
              <w:t>0025</w:t>
            </w:r>
          </w:p>
        </w:tc>
        <w:tc>
          <w:tcPr>
            <w:tcW w:w="7944" w:type="dxa"/>
            <w:gridSpan w:val="2"/>
            <w:tcBorders>
              <w:top w:val="single" w:sz="8" w:space="0" w:color="1A171C"/>
              <w:left w:val="single" w:sz="8" w:space="0" w:color="1A171C"/>
              <w:bottom w:val="single" w:sz="8" w:space="0" w:color="1A171C"/>
              <w:right w:val="nil"/>
            </w:tcBorders>
          </w:tcPr>
          <w:p w14:paraId="7FE1D06E" w14:textId="77777777" w:rsidR="00414040" w:rsidRDefault="00904E1A">
            <w:pPr>
              <w:pStyle w:val="P68B1DB1-TableParagraph73"/>
              <w:spacing w:before="108"/>
              <w:ind w:left="85"/>
              <w:jc w:val="both"/>
              <w:rPr>
                <w:bCs/>
              </w:rPr>
            </w:pPr>
            <w:r>
              <w:t xml:space="preserve">Columna </w:t>
            </w:r>
          </w:p>
          <w:p w14:paraId="7FE1D06F" w14:textId="30C3D8FF" w:rsidR="00414040" w:rsidRDefault="00904E1A">
            <w:pPr>
              <w:pStyle w:val="P68B1DB1-TableParagraph40"/>
              <w:spacing w:before="108"/>
              <w:ind w:left="85"/>
              <w:jc w:val="both"/>
            </w:pPr>
            <w:r>
              <w:t xml:space="preserve">Para cada fila informada, deberá realizarse una conciliación con la categoría de contraparte </w:t>
            </w:r>
            <w:r w:rsidR="00D07532">
              <w:t xml:space="preserve">de </w:t>
            </w:r>
            <w:r>
              <w:t>Ζ02.00 con la que se ha contraído el depósito, a partir de una lista predefinida de valores.</w:t>
            </w:r>
          </w:p>
        </w:tc>
      </w:tr>
      <w:tr w:rsidR="00414040" w14:paraId="7FE1D074" w14:textId="77777777" w:rsidTr="618604ED">
        <w:tc>
          <w:tcPr>
            <w:tcW w:w="1082" w:type="dxa"/>
            <w:tcBorders>
              <w:top w:val="single" w:sz="8" w:space="0" w:color="1A171C"/>
              <w:left w:val="nil"/>
              <w:bottom w:val="single" w:sz="8" w:space="0" w:color="1A171C"/>
              <w:right w:val="single" w:sz="8" w:space="0" w:color="1A171C"/>
            </w:tcBorders>
          </w:tcPr>
          <w:p w14:paraId="7FE1D071" w14:textId="77777777" w:rsidR="00414040" w:rsidRDefault="00904E1A">
            <w:pPr>
              <w:pStyle w:val="P68B1DB1-Normal31"/>
            </w:pPr>
            <w:r>
              <w:t>0030</w:t>
            </w:r>
          </w:p>
        </w:tc>
        <w:tc>
          <w:tcPr>
            <w:tcW w:w="7944" w:type="dxa"/>
            <w:gridSpan w:val="2"/>
            <w:tcBorders>
              <w:top w:val="single" w:sz="8" w:space="0" w:color="1A171C"/>
              <w:left w:val="single" w:sz="8" w:space="0" w:color="1A171C"/>
              <w:bottom w:val="single" w:sz="8" w:space="0" w:color="1A171C"/>
              <w:right w:val="nil"/>
            </w:tcBorders>
          </w:tcPr>
          <w:p w14:paraId="7FE1D072" w14:textId="64688913" w:rsidR="00414040" w:rsidRPr="00405ADE" w:rsidRDefault="24B972F7">
            <w:pPr>
              <w:pStyle w:val="P68B1DB1-TableParagraph73"/>
              <w:spacing w:before="108"/>
              <w:ind w:left="85"/>
              <w:jc w:val="both"/>
            </w:pPr>
            <w:r w:rsidRPr="00405ADE">
              <w:t>Rango</w:t>
            </w:r>
            <w:r w:rsidR="00904E1A" w:rsidRPr="00405ADE">
              <w:t xml:space="preserve"> en caso de insolvencia  </w:t>
            </w:r>
          </w:p>
          <w:p w14:paraId="7FE1D073" w14:textId="27D7CFA2" w:rsidR="00414040" w:rsidRDefault="00904E1A">
            <w:pPr>
              <w:pStyle w:val="P68B1DB1-TableParagraph40"/>
              <w:spacing w:before="108"/>
              <w:ind w:left="85"/>
              <w:jc w:val="both"/>
              <w:rPr>
                <w:lang w:val="es-ES"/>
              </w:rPr>
            </w:pPr>
            <w:r w:rsidRPr="00405ADE">
              <w:rPr>
                <w:lang w:val="es-ES"/>
              </w:rPr>
              <w:t xml:space="preserve">El </w:t>
            </w:r>
            <w:r w:rsidRPr="00210421">
              <w:rPr>
                <w:lang w:val="es-ES"/>
              </w:rPr>
              <w:t>rango en caso de insolvencia</w:t>
            </w:r>
            <w:r w:rsidRPr="00405ADE">
              <w:rPr>
                <w:lang w:val="es-ES"/>
              </w:rPr>
              <w:t xml:space="preserve"> será uno de los </w:t>
            </w:r>
            <w:r w:rsidRPr="00210421">
              <w:rPr>
                <w:lang w:val="es-ES"/>
              </w:rPr>
              <w:t>rangos incluidos en el orden de prelación en caso de insolvencia</w:t>
            </w:r>
            <w:r w:rsidRPr="00405ADE">
              <w:rPr>
                <w:lang w:val="es-ES"/>
              </w:rPr>
              <w:t xml:space="preserve"> publicado</w:t>
            </w:r>
            <w:r w:rsidRPr="466B0B01">
              <w:rPr>
                <w:lang w:val="es-ES"/>
              </w:rPr>
              <w:t xml:space="preserve"> por la autoridad de resolución de ese país.</w:t>
            </w:r>
          </w:p>
        </w:tc>
      </w:tr>
      <w:tr w:rsidR="00414040" w14:paraId="7FE1D078" w14:textId="77777777" w:rsidTr="618604ED">
        <w:tc>
          <w:tcPr>
            <w:tcW w:w="1082" w:type="dxa"/>
            <w:tcBorders>
              <w:top w:val="single" w:sz="8" w:space="0" w:color="1A171C"/>
              <w:left w:val="nil"/>
              <w:bottom w:val="single" w:sz="8" w:space="0" w:color="1A171C"/>
              <w:right w:val="single" w:sz="8" w:space="0" w:color="1A171C"/>
            </w:tcBorders>
          </w:tcPr>
          <w:p w14:paraId="7FE1D075" w14:textId="77777777" w:rsidR="00414040" w:rsidRDefault="00904E1A">
            <w:pPr>
              <w:pStyle w:val="P68B1DB1-Normal31"/>
            </w:pPr>
            <w:r>
              <w:t>0035</w:t>
            </w:r>
          </w:p>
        </w:tc>
        <w:tc>
          <w:tcPr>
            <w:tcW w:w="7944" w:type="dxa"/>
            <w:gridSpan w:val="2"/>
            <w:tcBorders>
              <w:top w:val="single" w:sz="8" w:space="0" w:color="1A171C"/>
              <w:left w:val="single" w:sz="8" w:space="0" w:color="1A171C"/>
              <w:bottom w:val="single" w:sz="8" w:space="0" w:color="1A171C"/>
              <w:right w:val="nil"/>
            </w:tcBorders>
          </w:tcPr>
          <w:p w14:paraId="7FE1D076" w14:textId="195F80F6" w:rsidR="00414040" w:rsidRDefault="00D07532">
            <w:pPr>
              <w:pStyle w:val="P68B1DB1-TableParagraph73"/>
              <w:spacing w:before="108"/>
              <w:ind w:left="85"/>
              <w:jc w:val="both"/>
              <w:rPr>
                <w:bCs/>
              </w:rPr>
            </w:pPr>
            <w:r>
              <w:t>Identificador del contrato</w:t>
            </w:r>
            <w:r w:rsidR="00904E1A">
              <w:t xml:space="preserve"> </w:t>
            </w:r>
          </w:p>
          <w:p w14:paraId="7FE1D077" w14:textId="77777777" w:rsidR="00414040" w:rsidRDefault="00904E1A">
            <w:pPr>
              <w:pStyle w:val="P68B1DB1-TableParagraph40"/>
              <w:spacing w:before="108"/>
              <w:ind w:left="85"/>
              <w:jc w:val="both"/>
            </w:pPr>
            <w:r>
              <w:t>Identificador interno del contrato.</w:t>
            </w:r>
          </w:p>
        </w:tc>
      </w:tr>
      <w:tr w:rsidR="00414040" w14:paraId="7FE1D07C" w14:textId="77777777" w:rsidTr="618604ED">
        <w:tc>
          <w:tcPr>
            <w:tcW w:w="1082" w:type="dxa"/>
            <w:vMerge w:val="restart"/>
            <w:tcBorders>
              <w:top w:val="single" w:sz="8" w:space="0" w:color="1A171C"/>
              <w:left w:val="nil"/>
              <w:bottom w:val="single" w:sz="8" w:space="0" w:color="1A171C"/>
              <w:right w:val="single" w:sz="8" w:space="0" w:color="1A171C"/>
            </w:tcBorders>
          </w:tcPr>
          <w:p w14:paraId="7FE1D079" w14:textId="77777777" w:rsidR="00414040" w:rsidRDefault="00904E1A">
            <w:pPr>
              <w:pStyle w:val="P68B1DB1-Normal31"/>
            </w:pPr>
            <w:r>
              <w:t>0040</w:t>
            </w:r>
          </w:p>
        </w:tc>
        <w:tc>
          <w:tcPr>
            <w:tcW w:w="7944" w:type="dxa"/>
            <w:gridSpan w:val="2"/>
            <w:tcBorders>
              <w:top w:val="single" w:sz="8" w:space="0" w:color="1A171C"/>
              <w:left w:val="single" w:sz="8" w:space="0" w:color="1A171C"/>
              <w:right w:val="nil"/>
            </w:tcBorders>
          </w:tcPr>
          <w:p w14:paraId="7FE1D07A" w14:textId="0FCA0B78" w:rsidR="00414040" w:rsidRDefault="00904E1A">
            <w:pPr>
              <w:pStyle w:val="P68B1DB1-TableParagraph73"/>
              <w:spacing w:before="108"/>
              <w:ind w:left="85"/>
              <w:jc w:val="both"/>
              <w:rPr>
                <w:bCs/>
              </w:rPr>
            </w:pPr>
            <w:r>
              <w:t xml:space="preserve">Identificador de la contraparte  </w:t>
            </w:r>
          </w:p>
          <w:p w14:paraId="7FE1D07B" w14:textId="45C7B79B" w:rsidR="00414040" w:rsidRDefault="00904E1A">
            <w:pPr>
              <w:pStyle w:val="P68B1DB1-TableParagraph40"/>
              <w:spacing w:before="108"/>
              <w:ind w:left="85"/>
              <w:jc w:val="both"/>
            </w:pPr>
            <w:r>
              <w:t xml:space="preserve">Indíquese el código LEI del depositante. A falta de un código LEI, en el caso de bancos, deberá </w:t>
            </w:r>
            <w:r w:rsidR="3DE68AE8">
              <w:t>informarse</w:t>
            </w:r>
            <w:r>
              <w:t xml:space="preserve"> el identificador único de instituciones financieras monetarias del BCE (</w:t>
            </w:r>
            <w:r w:rsidR="00E43404" w:rsidRPr="00EF2238">
              <w:rPr>
                <w:rFonts w:eastAsia="Verdana"/>
                <w:lang w:val="es-ES"/>
              </w:rPr>
              <w:t xml:space="preserve">identificador </w:t>
            </w:r>
            <w:r>
              <w:t xml:space="preserve">de IFM) utilizado en el RIAD. Solo en ausencia de ambos identificadores, indicar un identificador interno (solo se espera un identificador único por contraparte). </w:t>
            </w:r>
          </w:p>
        </w:tc>
      </w:tr>
      <w:tr w:rsidR="00414040" w14:paraId="7FE1D07F" w14:textId="77777777" w:rsidTr="618604ED">
        <w:tc>
          <w:tcPr>
            <w:tcW w:w="1082" w:type="dxa"/>
            <w:vMerge/>
            <w:vAlign w:val="center"/>
          </w:tcPr>
          <w:p w14:paraId="7FE1D07D" w14:textId="77777777" w:rsidR="00414040" w:rsidRDefault="00414040">
            <w:pPr>
              <w:rPr>
                <w:rFonts w:ascii="Times New Roman" w:hAnsi="Times New Roman" w:cs="Times New Roman"/>
              </w:rPr>
            </w:pPr>
          </w:p>
        </w:tc>
        <w:tc>
          <w:tcPr>
            <w:tcW w:w="7944" w:type="dxa"/>
            <w:gridSpan w:val="2"/>
            <w:tcBorders>
              <w:left w:val="single" w:sz="8" w:space="0" w:color="1A171C"/>
              <w:bottom w:val="single" w:sz="4" w:space="0" w:color="auto"/>
              <w:right w:val="nil"/>
            </w:tcBorders>
          </w:tcPr>
          <w:p w14:paraId="7FE1D07E" w14:textId="17BB416A" w:rsidR="00414040" w:rsidRDefault="00904E1A">
            <w:pPr>
              <w:pStyle w:val="P68B1DB1-TableParagraph40"/>
              <w:spacing w:before="108"/>
              <w:ind w:left="85"/>
              <w:jc w:val="both"/>
            </w:pPr>
            <w:r>
              <w:t>Para los depósitos comunicados a nivel agregado, indíquese «0000», ya que este campo es obligatorio.</w:t>
            </w:r>
          </w:p>
        </w:tc>
      </w:tr>
      <w:tr w:rsidR="00414040" w14:paraId="7FE1D083" w14:textId="77777777" w:rsidTr="618604ED">
        <w:tc>
          <w:tcPr>
            <w:tcW w:w="1082" w:type="dxa"/>
            <w:vMerge w:val="restart"/>
            <w:tcBorders>
              <w:top w:val="single" w:sz="4" w:space="0" w:color="auto"/>
              <w:left w:val="nil"/>
              <w:bottom w:val="single" w:sz="8" w:space="0" w:color="1A171C"/>
              <w:right w:val="single" w:sz="4" w:space="0" w:color="auto"/>
            </w:tcBorders>
          </w:tcPr>
          <w:p w14:paraId="7FE1D080" w14:textId="77777777" w:rsidR="00414040" w:rsidRDefault="00904E1A">
            <w:pPr>
              <w:pStyle w:val="P68B1DB1-Normal31"/>
            </w:pPr>
            <w:r>
              <w:lastRenderedPageBreak/>
              <w:t>0045</w:t>
            </w:r>
          </w:p>
        </w:tc>
        <w:tc>
          <w:tcPr>
            <w:tcW w:w="7944" w:type="dxa"/>
            <w:gridSpan w:val="2"/>
            <w:tcBorders>
              <w:top w:val="single" w:sz="4" w:space="0" w:color="auto"/>
              <w:left w:val="single" w:sz="4" w:space="0" w:color="auto"/>
            </w:tcBorders>
          </w:tcPr>
          <w:p w14:paraId="7FE1D081" w14:textId="05C93935" w:rsidR="00414040" w:rsidRDefault="00904E1A">
            <w:pPr>
              <w:pStyle w:val="P68B1DB1-TableParagraph73"/>
              <w:spacing w:before="108"/>
              <w:ind w:left="85"/>
              <w:jc w:val="both"/>
              <w:rPr>
                <w:bCs/>
              </w:rPr>
            </w:pPr>
            <w:r>
              <w:t xml:space="preserve">Tipo de identificador </w:t>
            </w:r>
          </w:p>
          <w:p w14:paraId="7FE1D082" w14:textId="77777777" w:rsidR="00414040" w:rsidRDefault="00904E1A">
            <w:pPr>
              <w:pStyle w:val="P68B1DB1-TableParagraph40"/>
              <w:spacing w:before="108"/>
              <w:ind w:left="85"/>
              <w:jc w:val="both"/>
            </w:pPr>
            <w:r>
              <w:t>Se seleccionará una de las opciones siguientes: «Código LEI», «Código de IFM» o «Tipo de identificador: distinto del código LEI o de IFM».</w:t>
            </w:r>
          </w:p>
        </w:tc>
      </w:tr>
      <w:tr w:rsidR="00414040" w14:paraId="7FE1D086" w14:textId="77777777" w:rsidTr="618604ED">
        <w:tc>
          <w:tcPr>
            <w:tcW w:w="1082" w:type="dxa"/>
            <w:vMerge/>
            <w:vAlign w:val="center"/>
          </w:tcPr>
          <w:p w14:paraId="7FE1D084" w14:textId="77777777" w:rsidR="00414040" w:rsidRDefault="00414040">
            <w:pPr>
              <w:rPr>
                <w:rFonts w:ascii="Times New Roman" w:eastAsia="Times New Roman" w:hAnsi="Times New Roman" w:cs="Times New Roman"/>
                <w:sz w:val="20"/>
                <w:szCs w:val="20"/>
              </w:rPr>
            </w:pPr>
          </w:p>
        </w:tc>
        <w:tc>
          <w:tcPr>
            <w:tcW w:w="7944" w:type="dxa"/>
            <w:gridSpan w:val="2"/>
            <w:tcBorders>
              <w:left w:val="single" w:sz="4" w:space="0" w:color="auto"/>
              <w:bottom w:val="single" w:sz="4" w:space="0" w:color="auto"/>
            </w:tcBorders>
          </w:tcPr>
          <w:p w14:paraId="7FE1D085" w14:textId="2249F5A9" w:rsidR="00414040" w:rsidRDefault="00904E1A">
            <w:pPr>
              <w:pStyle w:val="P68B1DB1-TableParagraph40"/>
              <w:spacing w:before="108"/>
              <w:ind w:left="85"/>
              <w:jc w:val="both"/>
            </w:pPr>
            <w:r>
              <w:t>Para los depósitos comunicados a nivel agregado, indíquese «Tipo de identificador distinto del código LEI o de IFM».</w:t>
            </w:r>
          </w:p>
        </w:tc>
      </w:tr>
      <w:tr w:rsidR="00414040" w14:paraId="7FE1D08A" w14:textId="77777777" w:rsidTr="618604ED">
        <w:tc>
          <w:tcPr>
            <w:tcW w:w="1082" w:type="dxa"/>
            <w:tcBorders>
              <w:top w:val="single" w:sz="4" w:space="0" w:color="auto"/>
              <w:left w:val="nil"/>
              <w:bottom w:val="single" w:sz="8" w:space="0" w:color="1A171C"/>
              <w:right w:val="single" w:sz="8" w:space="0" w:color="1A171C"/>
            </w:tcBorders>
          </w:tcPr>
          <w:p w14:paraId="7FE1D087" w14:textId="77777777" w:rsidR="00414040" w:rsidRDefault="00904E1A">
            <w:pPr>
              <w:pStyle w:val="P68B1DB1-Normal31"/>
            </w:pPr>
            <w:r>
              <w:t xml:space="preserve"> 005</w:t>
            </w:r>
          </w:p>
        </w:tc>
        <w:tc>
          <w:tcPr>
            <w:tcW w:w="7944" w:type="dxa"/>
            <w:gridSpan w:val="2"/>
            <w:tcBorders>
              <w:top w:val="single" w:sz="4" w:space="0" w:color="auto"/>
              <w:left w:val="single" w:sz="8" w:space="0" w:color="1A171C"/>
              <w:bottom w:val="single" w:sz="8" w:space="0" w:color="1A171C"/>
              <w:right w:val="nil"/>
            </w:tcBorders>
          </w:tcPr>
          <w:p w14:paraId="7FE1D088" w14:textId="19DB8B41" w:rsidR="00414040" w:rsidRDefault="2573593B">
            <w:pPr>
              <w:pStyle w:val="P68B1DB1-TableParagraph73"/>
              <w:spacing w:before="108"/>
              <w:ind w:left="85"/>
              <w:jc w:val="both"/>
              <w:rPr>
                <w:bCs/>
              </w:rPr>
            </w:pPr>
            <w:r>
              <w:t>Derecho</w:t>
            </w:r>
            <w:r w:rsidR="00904E1A">
              <w:t xml:space="preserve"> aplicable  </w:t>
            </w:r>
          </w:p>
          <w:p w14:paraId="7FE1D089" w14:textId="781E6CCC" w:rsidR="00414040" w:rsidRDefault="00904E1A">
            <w:pPr>
              <w:pStyle w:val="P68B1DB1-TableParagraph40"/>
              <w:spacing w:before="108"/>
              <w:ind w:left="85"/>
              <w:jc w:val="both"/>
            </w:pPr>
            <w:r>
              <w:t xml:space="preserve">El código ISO 3166-1 alpha-2 del país cuya legislación rige el instrumento (utilícese el código ISO 3166-2 cuando sea pertinente la ley de una subdivisión administrativa, por ejemplo, «US-NY»). Si el contrato se rige por la normativa de más de un país, se </w:t>
            </w:r>
            <w:r w:rsidR="6DC8E194">
              <w:t>informará</w:t>
            </w:r>
            <w:r>
              <w:t xml:space="preserve"> el país cuya normativa tenga mayor relevancia para el reconocimiento de las </w:t>
            </w:r>
            <w:r w:rsidR="00D07532">
              <w:t>competencias de amortización</w:t>
            </w:r>
            <w:r>
              <w:t xml:space="preserve"> y conversión.  Para los depósitos comunicados a nivel agregado, utilice el valor «Otros países».</w:t>
            </w:r>
          </w:p>
        </w:tc>
      </w:tr>
      <w:tr w:rsidR="00414040" w14:paraId="7FE1D08E" w14:textId="77777777" w:rsidTr="618604ED">
        <w:tc>
          <w:tcPr>
            <w:tcW w:w="1082" w:type="dxa"/>
            <w:tcBorders>
              <w:top w:val="single" w:sz="8" w:space="0" w:color="1A171C"/>
              <w:left w:val="nil"/>
              <w:bottom w:val="single" w:sz="8" w:space="0" w:color="1A171C"/>
              <w:right w:val="single" w:sz="8" w:space="0" w:color="1A171C"/>
            </w:tcBorders>
          </w:tcPr>
          <w:p w14:paraId="7FE1D08B" w14:textId="77777777" w:rsidR="00414040" w:rsidRDefault="00904E1A">
            <w:pPr>
              <w:pStyle w:val="P68B1DB1-Normal31"/>
            </w:pPr>
            <w:r>
              <w:t>0060</w:t>
            </w:r>
          </w:p>
        </w:tc>
        <w:tc>
          <w:tcPr>
            <w:tcW w:w="7944" w:type="dxa"/>
            <w:gridSpan w:val="2"/>
            <w:tcBorders>
              <w:top w:val="single" w:sz="8" w:space="0" w:color="1A171C"/>
              <w:left w:val="single" w:sz="8" w:space="0" w:color="1A171C"/>
              <w:bottom w:val="single" w:sz="8" w:space="0" w:color="1A171C"/>
              <w:right w:val="nil"/>
            </w:tcBorders>
          </w:tcPr>
          <w:p w14:paraId="7FE1D08C" w14:textId="77777777" w:rsidR="00414040" w:rsidRDefault="00904E1A">
            <w:pPr>
              <w:pStyle w:val="P68B1DB1-TableParagraph73"/>
              <w:spacing w:before="108"/>
              <w:ind w:left="85"/>
              <w:jc w:val="both"/>
              <w:rPr>
                <w:bCs/>
              </w:rPr>
            </w:pPr>
            <w:r>
              <w:t xml:space="preserve">Moneda  </w:t>
            </w:r>
          </w:p>
          <w:p w14:paraId="7FE1D08D" w14:textId="3FCE0053" w:rsidR="00414040" w:rsidRDefault="00904E1A">
            <w:pPr>
              <w:pStyle w:val="P68B1DB1-TableParagraph40"/>
              <w:spacing w:before="108"/>
              <w:ind w:left="85"/>
              <w:jc w:val="both"/>
            </w:pPr>
            <w:r>
              <w:t>La moneda del depósito con arreglo a su código ISO 4217 de 3 letras. Para los depósitos comunicados a nivel agregado, utilice el valor «XXX».</w:t>
            </w:r>
          </w:p>
        </w:tc>
      </w:tr>
      <w:tr w:rsidR="00414040" w14:paraId="7FE1D092" w14:textId="77777777" w:rsidTr="618604ED">
        <w:tc>
          <w:tcPr>
            <w:tcW w:w="1082" w:type="dxa"/>
            <w:tcBorders>
              <w:top w:val="single" w:sz="8" w:space="0" w:color="1A171C"/>
              <w:left w:val="nil"/>
              <w:bottom w:val="single" w:sz="8" w:space="0" w:color="1A171C"/>
              <w:right w:val="single" w:sz="8" w:space="0" w:color="1A171C"/>
            </w:tcBorders>
          </w:tcPr>
          <w:p w14:paraId="7FE1D08F" w14:textId="77777777" w:rsidR="00414040" w:rsidRDefault="00904E1A">
            <w:pPr>
              <w:pStyle w:val="P68B1DB1-Normal31"/>
            </w:pPr>
            <w:r>
              <w:t>0070</w:t>
            </w:r>
          </w:p>
        </w:tc>
        <w:tc>
          <w:tcPr>
            <w:tcW w:w="7944" w:type="dxa"/>
            <w:gridSpan w:val="2"/>
            <w:tcBorders>
              <w:top w:val="single" w:sz="8" w:space="0" w:color="1A171C"/>
              <w:left w:val="single" w:sz="8" w:space="0" w:color="1A171C"/>
              <w:bottom w:val="single" w:sz="8" w:space="0" w:color="1A171C"/>
              <w:right w:val="nil"/>
            </w:tcBorders>
          </w:tcPr>
          <w:p w14:paraId="7FE1D090" w14:textId="4240B789" w:rsidR="00414040" w:rsidRDefault="00904E1A">
            <w:pPr>
              <w:pStyle w:val="P68B1DB1-TableParagraph73"/>
              <w:spacing w:before="108"/>
              <w:ind w:left="85"/>
              <w:jc w:val="both"/>
              <w:rPr>
                <w:lang w:val="es-ES"/>
              </w:rPr>
            </w:pPr>
            <w:r w:rsidRPr="71E04D9D">
              <w:rPr>
                <w:lang w:val="es-ES"/>
              </w:rPr>
              <w:t>Importe</w:t>
            </w:r>
            <w:r w:rsidR="60BFBBE8" w:rsidRPr="4D5771B3">
              <w:rPr>
                <w:lang w:val="es-ES"/>
              </w:rPr>
              <w:t xml:space="preserve"> pendiente</w:t>
            </w:r>
            <w:r w:rsidR="3300FE07" w:rsidRPr="4D5771B3">
              <w:rPr>
                <w:lang w:val="es-ES"/>
              </w:rPr>
              <w:t xml:space="preserve"> del principal</w:t>
            </w:r>
          </w:p>
          <w:p w14:paraId="7FE1D091" w14:textId="47CDCC20" w:rsidR="00414040" w:rsidRDefault="00904E1A">
            <w:pPr>
              <w:pStyle w:val="P68B1DB1-TableParagraph40"/>
              <w:spacing w:before="108"/>
              <w:ind w:left="85"/>
              <w:jc w:val="both"/>
            </w:pPr>
            <w:r>
              <w:t xml:space="preserve">El importe </w:t>
            </w:r>
            <w:r w:rsidR="00F32570" w:rsidRPr="00F5513A">
              <w:t>pendiente</w:t>
            </w:r>
            <w:r w:rsidR="00F32570">
              <w:t xml:space="preserve"> </w:t>
            </w:r>
            <w:r>
              <w:t>del principal del depósito.</w:t>
            </w:r>
          </w:p>
        </w:tc>
      </w:tr>
      <w:tr w:rsidR="00414040" w14:paraId="7FE1D096" w14:textId="77777777" w:rsidTr="618604ED">
        <w:tc>
          <w:tcPr>
            <w:tcW w:w="1082" w:type="dxa"/>
            <w:tcBorders>
              <w:top w:val="single" w:sz="8" w:space="0" w:color="1A171C"/>
              <w:left w:val="nil"/>
              <w:bottom w:val="single" w:sz="8" w:space="0" w:color="1A171C"/>
              <w:right w:val="single" w:sz="8" w:space="0" w:color="1A171C"/>
            </w:tcBorders>
          </w:tcPr>
          <w:p w14:paraId="7FE1D093" w14:textId="77777777" w:rsidR="00414040" w:rsidRDefault="00904E1A">
            <w:pPr>
              <w:pStyle w:val="P68B1DB1-Normal31"/>
            </w:pPr>
            <w:r>
              <w:t>0080</w:t>
            </w:r>
          </w:p>
        </w:tc>
        <w:tc>
          <w:tcPr>
            <w:tcW w:w="7944" w:type="dxa"/>
            <w:gridSpan w:val="2"/>
            <w:tcBorders>
              <w:top w:val="single" w:sz="8" w:space="0" w:color="1A171C"/>
              <w:left w:val="single" w:sz="8" w:space="0" w:color="1A171C"/>
              <w:bottom w:val="single" w:sz="8" w:space="0" w:color="1A171C"/>
              <w:right w:val="nil"/>
            </w:tcBorders>
          </w:tcPr>
          <w:p w14:paraId="7FE1D094" w14:textId="3D1CBACC" w:rsidR="00414040" w:rsidRDefault="00F32570">
            <w:pPr>
              <w:pStyle w:val="P68B1DB1-TableParagraph73"/>
              <w:spacing w:before="108"/>
              <w:ind w:left="85"/>
              <w:jc w:val="both"/>
              <w:rPr>
                <w:bCs/>
              </w:rPr>
            </w:pPr>
            <w:r>
              <w:t xml:space="preserve">Intereses </w:t>
            </w:r>
            <w:r w:rsidR="00904E1A">
              <w:t>devengado</w:t>
            </w:r>
            <w:r>
              <w:t>s</w:t>
            </w:r>
            <w:r w:rsidR="00904E1A">
              <w:t xml:space="preserve"> </w:t>
            </w:r>
          </w:p>
          <w:p w14:paraId="7FE1D095" w14:textId="1CBCCFC7" w:rsidR="00414040" w:rsidRDefault="00904E1A">
            <w:pPr>
              <w:pStyle w:val="P68B1DB1-TableParagraph40"/>
              <w:spacing w:before="108"/>
              <w:ind w:left="85"/>
              <w:jc w:val="both"/>
            </w:pPr>
            <w:r>
              <w:t>Los intereses devengados pendientes sobre el depósito.</w:t>
            </w:r>
          </w:p>
        </w:tc>
      </w:tr>
      <w:tr w:rsidR="00414040" w14:paraId="7FE1D09A" w14:textId="77777777" w:rsidTr="618604ED">
        <w:tc>
          <w:tcPr>
            <w:tcW w:w="1082" w:type="dxa"/>
            <w:tcBorders>
              <w:top w:val="single" w:sz="8" w:space="0" w:color="1A171C"/>
              <w:left w:val="nil"/>
              <w:bottom w:val="single" w:sz="8" w:space="0" w:color="1A171C"/>
              <w:right w:val="single" w:sz="8" w:space="0" w:color="1A171C"/>
            </w:tcBorders>
          </w:tcPr>
          <w:p w14:paraId="7FE1D097" w14:textId="77777777" w:rsidR="00414040" w:rsidRDefault="00904E1A">
            <w:pPr>
              <w:pStyle w:val="P68B1DB1-Normal31"/>
            </w:pPr>
            <w:r>
              <w:t>0090</w:t>
            </w:r>
          </w:p>
        </w:tc>
        <w:tc>
          <w:tcPr>
            <w:tcW w:w="7944" w:type="dxa"/>
            <w:gridSpan w:val="2"/>
            <w:tcBorders>
              <w:top w:val="single" w:sz="8" w:space="0" w:color="1A171C"/>
              <w:left w:val="single" w:sz="8" w:space="0" w:color="1A171C"/>
              <w:bottom w:val="single" w:sz="8" w:space="0" w:color="1A171C"/>
              <w:right w:val="nil"/>
            </w:tcBorders>
          </w:tcPr>
          <w:p w14:paraId="7FE1D098" w14:textId="52C2978C" w:rsidR="00414040" w:rsidRDefault="00904E1A">
            <w:pPr>
              <w:pStyle w:val="P68B1DB1-TableParagraph73"/>
              <w:spacing w:before="108"/>
              <w:ind w:left="85"/>
              <w:jc w:val="both"/>
              <w:rPr>
                <w:bCs/>
              </w:rPr>
            </w:pPr>
            <w:r>
              <w:t xml:space="preserve">Tipo de interés vigente (%) </w:t>
            </w:r>
          </w:p>
          <w:p w14:paraId="7FE1D099" w14:textId="0E3CB279" w:rsidR="00414040" w:rsidRDefault="00904E1A">
            <w:pPr>
              <w:pStyle w:val="P68B1DB1-TableParagraph40"/>
              <w:spacing w:before="108"/>
              <w:ind w:left="85"/>
              <w:jc w:val="both"/>
            </w:pPr>
            <w:r>
              <w:t xml:space="preserve">Nivel actual del tipo de interés aplicable al depósito. </w:t>
            </w:r>
          </w:p>
        </w:tc>
      </w:tr>
      <w:tr w:rsidR="00414040" w14:paraId="7FE1D0A3" w14:textId="77777777" w:rsidTr="618604ED">
        <w:tc>
          <w:tcPr>
            <w:tcW w:w="1082" w:type="dxa"/>
            <w:tcBorders>
              <w:top w:val="single" w:sz="8" w:space="0" w:color="1A171C"/>
              <w:left w:val="nil"/>
              <w:bottom w:val="single" w:sz="8" w:space="0" w:color="1A171C"/>
              <w:right w:val="single" w:sz="8" w:space="0" w:color="1A171C"/>
            </w:tcBorders>
          </w:tcPr>
          <w:p w14:paraId="7FE1D09F" w14:textId="77777777" w:rsidR="00414040" w:rsidRDefault="00904E1A">
            <w:pPr>
              <w:pStyle w:val="P68B1DB1-TableParagraph40"/>
              <w:spacing w:before="108"/>
              <w:ind w:left="85"/>
              <w:jc w:val="both"/>
            </w:pPr>
            <w:r>
              <w:t>0110</w:t>
            </w:r>
          </w:p>
        </w:tc>
        <w:tc>
          <w:tcPr>
            <w:tcW w:w="7944" w:type="dxa"/>
            <w:gridSpan w:val="2"/>
            <w:tcBorders>
              <w:top w:val="single" w:sz="8" w:space="0" w:color="1A171C"/>
              <w:left w:val="single" w:sz="8" w:space="0" w:color="1A171C"/>
              <w:bottom w:val="single" w:sz="8" w:space="0" w:color="1A171C"/>
              <w:right w:val="nil"/>
            </w:tcBorders>
          </w:tcPr>
          <w:p w14:paraId="7FE1D0A0" w14:textId="1236EF6A" w:rsidR="00414040" w:rsidRDefault="00904E1A">
            <w:pPr>
              <w:pStyle w:val="P68B1DB1-TableParagraph73"/>
              <w:spacing w:before="108"/>
              <w:ind w:left="85"/>
              <w:jc w:val="both"/>
              <w:rPr>
                <w:bCs/>
              </w:rPr>
            </w:pPr>
            <w:r>
              <w:t>Importe de la p</w:t>
            </w:r>
            <w:r w:rsidR="0DACEC9D">
              <w:t>ignoración</w:t>
            </w:r>
            <w:r>
              <w:t>,</w:t>
            </w:r>
            <w:r w:rsidR="2A2C6D53">
              <w:t xml:space="preserve"> </w:t>
            </w:r>
            <w:r>
              <w:t xml:space="preserve">prenda o garantía real </w:t>
            </w:r>
          </w:p>
          <w:p w14:paraId="7FE1D0A2" w14:textId="07E667D8" w:rsidR="00414040" w:rsidRDefault="00904E1A">
            <w:pPr>
              <w:pStyle w:val="P68B1DB1-TableParagraph40"/>
              <w:spacing w:before="108"/>
              <w:ind w:left="85"/>
              <w:jc w:val="both"/>
            </w:pPr>
            <w:r>
              <w:t xml:space="preserve">Cuando un pasivo está garantizado por una pignoración, prenda o garantía real, el valor bruto de mercado de esta última deberá </w:t>
            </w:r>
            <w:r w:rsidR="71024E2B">
              <w:t>informarse</w:t>
            </w:r>
            <w:r>
              <w:t xml:space="preserve">. En el caso de los pasivos no garantizados, esta categoría se </w:t>
            </w:r>
            <w:r w:rsidR="1C0A1F2F">
              <w:t>informará en blanco</w:t>
            </w:r>
            <w:r>
              <w:t xml:space="preserve">. Este importe determinará la parte con garantía real y, en su caso, la parte no garantizada de cualquier depósito garantizado. Para conjuntos de garantías reales que garanticen varias partidas, </w:t>
            </w:r>
            <w:r w:rsidR="18FC2341">
              <w:t xml:space="preserve">se </w:t>
            </w:r>
            <w:r>
              <w:t>determin</w:t>
            </w:r>
            <w:r w:rsidR="1CAFA84C">
              <w:t>a</w:t>
            </w:r>
            <w:r w:rsidR="004121F3">
              <w:t>rá</w:t>
            </w:r>
            <w:r>
              <w:t xml:space="preserve"> la </w:t>
            </w:r>
            <w:r w:rsidRPr="00405ADE">
              <w:t xml:space="preserve">ratio de cobertura </w:t>
            </w:r>
            <w:r w:rsidR="0096453F" w:rsidRPr="00405ADE">
              <w:t>total</w:t>
            </w:r>
            <w:r w:rsidR="0096453F">
              <w:t xml:space="preserve"> </w:t>
            </w:r>
            <w:r>
              <w:t xml:space="preserve">y </w:t>
            </w:r>
            <w:r w:rsidR="1825A2F2">
              <w:t>se aplicar</w:t>
            </w:r>
            <w:r w:rsidR="004121F3">
              <w:t>á</w:t>
            </w:r>
            <w:r w:rsidR="1825A2F2">
              <w:t xml:space="preserve"> </w:t>
            </w:r>
            <w:r>
              <w:t>de forma prorrateada a todas las partidas cubiertas por dicho conjunto.</w:t>
            </w:r>
          </w:p>
        </w:tc>
      </w:tr>
      <w:tr w:rsidR="00414040" w14:paraId="7FE1D0A7" w14:textId="77777777" w:rsidTr="618604ED">
        <w:tc>
          <w:tcPr>
            <w:tcW w:w="1082" w:type="dxa"/>
            <w:tcBorders>
              <w:top w:val="single" w:sz="8" w:space="0" w:color="1A171C"/>
              <w:left w:val="nil"/>
              <w:bottom w:val="single" w:sz="8" w:space="0" w:color="1A171C"/>
              <w:right w:val="single" w:sz="8" w:space="0" w:color="1A171C"/>
            </w:tcBorders>
          </w:tcPr>
          <w:p w14:paraId="7FE1D0A4" w14:textId="77777777" w:rsidR="00414040" w:rsidRDefault="00904E1A">
            <w:pPr>
              <w:pStyle w:val="P68B1DB1-Normal31"/>
            </w:pPr>
            <w:r>
              <w:t>0115</w:t>
            </w:r>
          </w:p>
        </w:tc>
        <w:tc>
          <w:tcPr>
            <w:tcW w:w="7944" w:type="dxa"/>
            <w:gridSpan w:val="2"/>
            <w:tcBorders>
              <w:top w:val="single" w:sz="8" w:space="0" w:color="1A171C"/>
              <w:left w:val="single" w:sz="8" w:space="0" w:color="1A171C"/>
              <w:bottom w:val="single" w:sz="8" w:space="0" w:color="1A171C"/>
              <w:right w:val="nil"/>
            </w:tcBorders>
          </w:tcPr>
          <w:p w14:paraId="7FE1D0A5" w14:textId="520DE154" w:rsidR="00414040" w:rsidRDefault="00904E1A">
            <w:pPr>
              <w:pStyle w:val="P68B1DB1-TableParagraph73"/>
              <w:spacing w:before="108"/>
              <w:ind w:left="85"/>
              <w:jc w:val="both"/>
              <w:rPr>
                <w:bCs/>
              </w:rPr>
            </w:pPr>
            <w:r>
              <w:t xml:space="preserve">Importe </w:t>
            </w:r>
            <w:r w:rsidR="1C7F8DED">
              <w:t>admisible para el</w:t>
            </w:r>
            <w:r>
              <w:t xml:space="preserve"> MREL </w:t>
            </w:r>
          </w:p>
          <w:p w14:paraId="7FE1D0A6" w14:textId="798A24A9" w:rsidR="00414040" w:rsidRDefault="00904E1A">
            <w:pPr>
              <w:pStyle w:val="P68B1DB1-TableParagraph40"/>
              <w:spacing w:before="108"/>
              <w:ind w:left="85"/>
              <w:jc w:val="both"/>
            </w:pPr>
            <w:r w:rsidRPr="2133F407">
              <w:rPr>
                <w:lang w:val="es-ES"/>
              </w:rPr>
              <w:t xml:space="preserve">El importe </w:t>
            </w:r>
            <w:r w:rsidR="003D13A8">
              <w:rPr>
                <w:lang w:val="es-ES"/>
              </w:rPr>
              <w:t xml:space="preserve">admisible </w:t>
            </w:r>
            <w:r w:rsidR="00AD7076">
              <w:rPr>
                <w:lang w:val="es-ES"/>
              </w:rPr>
              <w:t>a efectos de</w:t>
            </w:r>
            <w:r w:rsidR="00597F43">
              <w:rPr>
                <w:lang w:val="es-ES"/>
              </w:rPr>
              <w:t xml:space="preserve">l MREL </w:t>
            </w:r>
            <w:r w:rsidR="00882E4F">
              <w:rPr>
                <w:lang w:val="es-ES"/>
              </w:rPr>
              <w:t xml:space="preserve">computable </w:t>
            </w:r>
            <w:r w:rsidRPr="2133F407">
              <w:rPr>
                <w:lang w:val="es-ES"/>
              </w:rPr>
              <w:t>para el requisito establecido de conformidad con el artículo 45, apartado 1, de la Directiva 2014/59/UE.</w:t>
            </w:r>
          </w:p>
        </w:tc>
      </w:tr>
      <w:tr w:rsidR="00414040" w14:paraId="7FE1D0AB" w14:textId="77777777" w:rsidTr="618604ED">
        <w:tc>
          <w:tcPr>
            <w:tcW w:w="1082" w:type="dxa"/>
            <w:tcBorders>
              <w:top w:val="single" w:sz="8" w:space="0" w:color="1A171C"/>
              <w:left w:val="nil"/>
              <w:bottom w:val="single" w:sz="8" w:space="0" w:color="1A171C"/>
              <w:right w:val="single" w:sz="8" w:space="0" w:color="1A171C"/>
            </w:tcBorders>
          </w:tcPr>
          <w:p w14:paraId="7FE1D0A8" w14:textId="77777777" w:rsidR="00414040" w:rsidRDefault="00904E1A">
            <w:pPr>
              <w:pStyle w:val="P68B1DB1-Normal31"/>
            </w:pPr>
            <w:r>
              <w:t>0120</w:t>
            </w:r>
          </w:p>
        </w:tc>
        <w:tc>
          <w:tcPr>
            <w:tcW w:w="7944" w:type="dxa"/>
            <w:gridSpan w:val="2"/>
            <w:tcBorders>
              <w:top w:val="single" w:sz="8" w:space="0" w:color="1A171C"/>
              <w:left w:val="single" w:sz="8" w:space="0" w:color="1A171C"/>
              <w:bottom w:val="single" w:sz="8" w:space="0" w:color="1A171C"/>
              <w:right w:val="nil"/>
            </w:tcBorders>
          </w:tcPr>
          <w:p w14:paraId="7FE1D0A9" w14:textId="3256B0A2" w:rsidR="00414040" w:rsidRDefault="00904E1A">
            <w:pPr>
              <w:pStyle w:val="P68B1DB1-TableParagraph73"/>
              <w:spacing w:before="108"/>
              <w:ind w:left="85"/>
              <w:jc w:val="both"/>
              <w:rPr>
                <w:bCs/>
              </w:rPr>
            </w:pPr>
            <w:r>
              <w:t xml:space="preserve">Fecha de emisión de los depósitos a plazo </w:t>
            </w:r>
          </w:p>
          <w:p w14:paraId="7FE1D0AA" w14:textId="77777777" w:rsidR="00414040" w:rsidRDefault="00904E1A">
            <w:pPr>
              <w:pStyle w:val="P68B1DB1-TableParagraph40"/>
              <w:spacing w:before="108"/>
              <w:ind w:left="85"/>
              <w:jc w:val="both"/>
            </w:pPr>
            <w:r>
              <w:t>Fecha de la emisión inicial del depósito a plazo fijo.</w:t>
            </w:r>
          </w:p>
        </w:tc>
      </w:tr>
      <w:tr w:rsidR="00414040" w14:paraId="7FE1D0AF" w14:textId="77777777" w:rsidTr="618604ED">
        <w:tc>
          <w:tcPr>
            <w:tcW w:w="1082" w:type="dxa"/>
            <w:vMerge w:val="restart"/>
            <w:tcBorders>
              <w:top w:val="single" w:sz="8" w:space="0" w:color="1A171C"/>
              <w:left w:val="nil"/>
              <w:right w:val="single" w:sz="8" w:space="0" w:color="1A171C"/>
            </w:tcBorders>
          </w:tcPr>
          <w:p w14:paraId="7FE1D0AC" w14:textId="77777777" w:rsidR="00414040" w:rsidRDefault="00904E1A">
            <w:pPr>
              <w:pStyle w:val="P68B1DB1-Normal31"/>
            </w:pPr>
            <w:r>
              <w:t>0130</w:t>
            </w:r>
          </w:p>
        </w:tc>
        <w:tc>
          <w:tcPr>
            <w:tcW w:w="7944" w:type="dxa"/>
            <w:gridSpan w:val="2"/>
            <w:tcBorders>
              <w:top w:val="single" w:sz="8" w:space="0" w:color="1A171C"/>
              <w:left w:val="single" w:sz="8" w:space="0" w:color="1A171C"/>
              <w:right w:val="nil"/>
            </w:tcBorders>
          </w:tcPr>
          <w:p w14:paraId="7FE1D0AD" w14:textId="6CCB5D27" w:rsidR="00414040" w:rsidRDefault="58088E81">
            <w:pPr>
              <w:pStyle w:val="P68B1DB1-TableParagraph73"/>
              <w:spacing w:before="108"/>
              <w:ind w:left="85"/>
              <w:jc w:val="both"/>
            </w:pPr>
            <w:r w:rsidRPr="618604ED">
              <w:rPr>
                <w:lang w:val="es-ES"/>
              </w:rPr>
              <w:t>Primera f</w:t>
            </w:r>
            <w:r w:rsidR="00904E1A" w:rsidRPr="618604ED">
              <w:rPr>
                <w:lang w:val="es-ES"/>
              </w:rPr>
              <w:t xml:space="preserve">echa de amortización </w:t>
            </w:r>
            <w:r w:rsidR="60B7BC96" w:rsidRPr="618604ED">
              <w:rPr>
                <w:lang w:val="es-ES"/>
              </w:rPr>
              <w:t>o reembolso anticipado</w:t>
            </w:r>
          </w:p>
          <w:p w14:paraId="7FE1D0AE" w14:textId="4B0FC603" w:rsidR="00414040" w:rsidRDefault="00904E1A">
            <w:pPr>
              <w:pStyle w:val="P68B1DB1-TableParagraph40"/>
              <w:spacing w:before="108"/>
              <w:ind w:left="85"/>
              <w:jc w:val="both"/>
              <w:rPr>
                <w:lang w:val="es-ES"/>
              </w:rPr>
            </w:pPr>
            <w:r w:rsidRPr="466B0B01">
              <w:rPr>
                <w:lang w:val="es-ES"/>
              </w:rPr>
              <w:t>Si existe una opción para que los titulares del acreedor</w:t>
            </w:r>
            <w:r w:rsidR="4AEFD0E2" w:rsidRPr="466B0B01">
              <w:rPr>
                <w:lang w:val="es-ES"/>
              </w:rPr>
              <w:t xml:space="preserve"> soliciten la amortización o el reembolso anticipado, o si se prevén contractualmente condiciones para la amortización o el reembolso anticipado del pasivo, indíquese la fecha más temprana o</w:t>
            </w:r>
            <w:r w:rsidR="01DC8BC0" w:rsidRPr="466B0B01">
              <w:rPr>
                <w:lang w:val="es-ES"/>
              </w:rPr>
              <w:t>,</w:t>
            </w:r>
            <w:r w:rsidR="4AEFD0E2" w:rsidRPr="466B0B01">
              <w:rPr>
                <w:lang w:val="es-ES"/>
              </w:rPr>
              <w:t xml:space="preserve"> en su lugar, la fecha de vencimiento </w:t>
            </w:r>
            <w:r w:rsidR="6DE953F0" w:rsidRPr="466B0B01">
              <w:rPr>
                <w:lang w:val="es-ES"/>
              </w:rPr>
              <w:t xml:space="preserve">contractual </w:t>
            </w:r>
            <w:r w:rsidR="4AEFD0E2" w:rsidRPr="466B0B01">
              <w:rPr>
                <w:lang w:val="es-ES"/>
              </w:rPr>
              <w:t xml:space="preserve">del </w:t>
            </w:r>
            <w:proofErr w:type="gramStart"/>
            <w:r w:rsidR="4AEFD0E2" w:rsidRPr="466B0B01">
              <w:rPr>
                <w:lang w:val="es-ES"/>
              </w:rPr>
              <w:t>depósito.</w:t>
            </w:r>
            <w:r w:rsidRPr="466B0B01">
              <w:rPr>
                <w:lang w:val="es-ES"/>
              </w:rPr>
              <w:t>.</w:t>
            </w:r>
            <w:proofErr w:type="gramEnd"/>
            <w:r w:rsidRPr="466B0B01">
              <w:rPr>
                <w:lang w:val="es-ES"/>
              </w:rPr>
              <w:t xml:space="preserve"> Si el reembolso anticipado solo corresponde a una parte del pasivo (p. ej., reembolso anticipado del 50 % del importe nominal), el pasivo deberá dividirse para tener en cuenta esta cláusula de amortización parcial anticipada.</w:t>
            </w:r>
          </w:p>
        </w:tc>
      </w:tr>
      <w:tr w:rsidR="00414040" w14:paraId="7FE1D0B2" w14:textId="77777777" w:rsidTr="618604ED">
        <w:tc>
          <w:tcPr>
            <w:tcW w:w="1082" w:type="dxa"/>
            <w:vMerge/>
            <w:vAlign w:val="center"/>
          </w:tcPr>
          <w:p w14:paraId="7FE1D0B0" w14:textId="77777777" w:rsidR="00414040" w:rsidRDefault="00414040">
            <w:pPr>
              <w:rPr>
                <w:rFonts w:ascii="Times New Roman" w:hAnsi="Times New Roman" w:cs="Times New Roman"/>
              </w:rPr>
            </w:pPr>
          </w:p>
        </w:tc>
        <w:tc>
          <w:tcPr>
            <w:tcW w:w="7944" w:type="dxa"/>
            <w:gridSpan w:val="2"/>
            <w:tcBorders>
              <w:left w:val="single" w:sz="8" w:space="0" w:color="1A171C"/>
              <w:bottom w:val="single" w:sz="8" w:space="0" w:color="1A171C"/>
              <w:right w:val="nil"/>
            </w:tcBorders>
          </w:tcPr>
          <w:p w14:paraId="7FE1D0B1" w14:textId="3E72C903" w:rsidR="00414040" w:rsidRDefault="00904E1A">
            <w:pPr>
              <w:pStyle w:val="P68B1DB1-TableParagraph40"/>
              <w:spacing w:before="108"/>
              <w:ind w:left="85"/>
              <w:jc w:val="both"/>
            </w:pPr>
            <w:r w:rsidRPr="1F069520">
              <w:rPr>
                <w:lang w:val="es-ES"/>
              </w:rPr>
              <w:t xml:space="preserve">En el caso de los depósitos comunicados a nivel agregado, la fecha de reembolso más temprana se </w:t>
            </w:r>
            <w:r w:rsidR="54A65BB0" w:rsidRPr="1F069520">
              <w:rPr>
                <w:lang w:val="es-ES"/>
              </w:rPr>
              <w:t>informará</w:t>
            </w:r>
            <w:r w:rsidRPr="1F069520">
              <w:rPr>
                <w:lang w:val="es-ES"/>
              </w:rPr>
              <w:t xml:space="preserve"> como «2199</w:t>
            </w:r>
            <w:r w:rsidR="1D14E94E" w:rsidRPr="1F069520">
              <w:rPr>
                <w:lang w:val="es-ES"/>
              </w:rPr>
              <w:t>-</w:t>
            </w:r>
            <w:r w:rsidRPr="1F069520">
              <w:rPr>
                <w:lang w:val="es-ES"/>
              </w:rPr>
              <w:t>12</w:t>
            </w:r>
            <w:r w:rsidR="0137AD92" w:rsidRPr="1F069520">
              <w:rPr>
                <w:lang w:val="es-ES"/>
              </w:rPr>
              <w:t>-</w:t>
            </w:r>
            <w:r w:rsidRPr="1F069520">
              <w:rPr>
                <w:lang w:val="es-ES"/>
              </w:rPr>
              <w:t xml:space="preserve">31». </w:t>
            </w:r>
          </w:p>
        </w:tc>
      </w:tr>
      <w:tr w:rsidR="00414040" w14:paraId="7FE1D0B6" w14:textId="77777777" w:rsidTr="618604ED">
        <w:tc>
          <w:tcPr>
            <w:tcW w:w="1082" w:type="dxa"/>
            <w:vMerge w:val="restart"/>
            <w:tcBorders>
              <w:top w:val="single" w:sz="8" w:space="0" w:color="1A171C"/>
              <w:left w:val="nil"/>
              <w:right w:val="single" w:sz="8" w:space="0" w:color="1A171C"/>
            </w:tcBorders>
          </w:tcPr>
          <w:p w14:paraId="7FE1D0B3" w14:textId="413885FF" w:rsidR="00414040" w:rsidRDefault="00414040">
            <w:pPr>
              <w:rPr>
                <w:rFonts w:ascii="Times New Roman" w:hAnsi="Times New Roman" w:cs="Times New Roman"/>
              </w:rPr>
            </w:pPr>
          </w:p>
        </w:tc>
        <w:tc>
          <w:tcPr>
            <w:tcW w:w="7944" w:type="dxa"/>
            <w:gridSpan w:val="2"/>
            <w:tcBorders>
              <w:top w:val="single" w:sz="8" w:space="0" w:color="1A171C"/>
              <w:left w:val="single" w:sz="8" w:space="0" w:color="1A171C"/>
              <w:right w:val="nil"/>
            </w:tcBorders>
          </w:tcPr>
          <w:p w14:paraId="7FE1D0B5" w14:textId="7EA5292A" w:rsidR="00414040" w:rsidRDefault="00414040">
            <w:pPr>
              <w:pStyle w:val="TableParagraph"/>
              <w:spacing w:before="108"/>
              <w:ind w:left="85"/>
              <w:jc w:val="both"/>
              <w:rPr>
                <w:rFonts w:ascii="Times New Roman" w:eastAsia="Times New Roman" w:hAnsi="Times New Roman" w:cs="Times New Roman"/>
                <w:sz w:val="20"/>
                <w:szCs w:val="20"/>
              </w:rPr>
            </w:pPr>
          </w:p>
        </w:tc>
      </w:tr>
      <w:tr w:rsidR="00414040" w14:paraId="7FE1D0B9" w14:textId="77777777" w:rsidTr="618604ED">
        <w:tc>
          <w:tcPr>
            <w:tcW w:w="1082" w:type="dxa"/>
            <w:vMerge/>
            <w:vAlign w:val="center"/>
          </w:tcPr>
          <w:p w14:paraId="7FE1D0B7" w14:textId="77777777" w:rsidR="00414040" w:rsidRDefault="00414040">
            <w:pPr>
              <w:rPr>
                <w:rFonts w:ascii="Times New Roman" w:hAnsi="Times New Roman" w:cs="Times New Roman"/>
              </w:rPr>
            </w:pPr>
          </w:p>
        </w:tc>
        <w:tc>
          <w:tcPr>
            <w:tcW w:w="7944" w:type="dxa"/>
            <w:gridSpan w:val="2"/>
            <w:tcBorders>
              <w:left w:val="single" w:sz="8" w:space="0" w:color="1A171C"/>
              <w:bottom w:val="single" w:sz="8" w:space="0" w:color="1A171C"/>
              <w:right w:val="nil"/>
            </w:tcBorders>
          </w:tcPr>
          <w:p w14:paraId="7FE1D0B8" w14:textId="21293449" w:rsidR="00414040" w:rsidRDefault="00414040">
            <w:pPr>
              <w:rPr>
                <w:rFonts w:ascii="Times New Roman" w:hAnsi="Times New Roman" w:cs="Times New Roman"/>
              </w:rPr>
            </w:pPr>
          </w:p>
        </w:tc>
      </w:tr>
    </w:tbl>
    <w:p w14:paraId="7FE1D0BA" w14:textId="77777777" w:rsidR="00414040" w:rsidRDefault="00414040">
      <w:pPr>
        <w:pStyle w:val="body"/>
        <w:rPr>
          <w:rFonts w:ascii="Times New Roman" w:hAnsi="Times New Roman" w:cs="Times New Roman"/>
          <w:color w:val="000000" w:themeColor="text1"/>
          <w:sz w:val="20"/>
          <w:szCs w:val="20"/>
        </w:rPr>
      </w:pPr>
    </w:p>
    <w:p w14:paraId="7FE1D0BB" w14:textId="77777777" w:rsidR="00414040" w:rsidRDefault="00414040">
      <w:pPr>
        <w:rPr>
          <w:rFonts w:ascii="Times New Roman" w:hAnsi="Times New Roman" w:cs="Times New Roman"/>
        </w:rPr>
      </w:pPr>
    </w:p>
    <w:p w14:paraId="7FE1D0BC" w14:textId="77777777" w:rsidR="00414040" w:rsidRDefault="00414040">
      <w:pPr>
        <w:pStyle w:val="Instructionsberschrift2"/>
        <w:ind w:left="357"/>
        <w:rPr>
          <w:rFonts w:ascii="Times New Roman" w:eastAsia="Calibri" w:hAnsi="Times New Roman" w:cs="Times New Roman"/>
          <w:szCs w:val="20"/>
        </w:rPr>
      </w:pPr>
    </w:p>
    <w:p w14:paraId="7FE1D0BD" w14:textId="2FE97D37" w:rsidR="00414040" w:rsidRDefault="00904E1A">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8" w:name="_Toc211525948"/>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Otros pasivos financieros (no incluidos en otras pestañas, excepto intragrupo) </w:t>
      </w:r>
      <w:r>
        <w:rPr>
          <w:rFonts w:ascii="Times New Roman" w:eastAsia="Calibri" w:hAnsi="Times New Roman" w:cs="Times New Roman"/>
          <w:szCs w:val="20"/>
        </w:rPr>
        <w:t>(LIAB-G-4)</w:t>
      </w:r>
      <w:bookmarkEnd w:id="248"/>
    </w:p>
    <w:p w14:paraId="7FE1D0BE" w14:textId="56404057" w:rsidR="00414040" w:rsidRDefault="00414040">
      <w:pPr>
        <w:pStyle w:val="Instructionsberschrift2"/>
        <w:ind w:left="357"/>
        <w:rPr>
          <w:rFonts w:ascii="Times New Roman" w:eastAsiaTheme="minorEastAsia" w:hAnsi="Times New Roman" w:cs="Times New Roman"/>
          <w:color w:val="000000" w:themeColor="text1"/>
        </w:rPr>
      </w:pPr>
    </w:p>
    <w:p w14:paraId="7FE1D0BF" w14:textId="77777777" w:rsidR="00414040" w:rsidRDefault="00904E1A">
      <w:pPr>
        <w:pStyle w:val="P68B1DB1-Numberedtitlelevel372"/>
      </w:pPr>
      <w:r>
        <w:t>Observaciones generales</w:t>
      </w:r>
    </w:p>
    <w:p w14:paraId="7FE1D0C0" w14:textId="260B668C" w:rsidR="00414040" w:rsidRDefault="00CC4BC8">
      <w:pPr>
        <w:pStyle w:val="P68B1DB1-InstructionsText286"/>
        <w:numPr>
          <w:ilvl w:val="2"/>
          <w:numId w:val="209"/>
        </w:numPr>
        <w:spacing w:before="0"/>
        <w:ind w:left="1276"/>
      </w:pPr>
      <w:r>
        <w:t>Esta plantilla</w:t>
      </w:r>
      <w:r w:rsidR="00904E1A">
        <w:t xml:space="preserve"> abarca todos los pasivos que no se </w:t>
      </w:r>
      <w:r w:rsidR="02BBFD9A">
        <w:t>declaran</w:t>
      </w:r>
      <w:r w:rsidR="00904E1A">
        <w:t xml:space="preserve"> en ninguno de los demás requisitos de información detallada (es decir, Z11.00, Z12.00, Z13.00, Z15.00, Z16.00 y Z17.00), como préstamos, pasivos operativos, pasivos frente a cámaras de compensación, etc.</w:t>
      </w:r>
    </w:p>
    <w:p w14:paraId="7FE1D0C2" w14:textId="5E3F094D" w:rsidR="00414040" w:rsidRDefault="00904E1A">
      <w:pPr>
        <w:pStyle w:val="P68B1DB1-InstructionsText286"/>
        <w:numPr>
          <w:ilvl w:val="2"/>
          <w:numId w:val="209"/>
        </w:numPr>
        <w:spacing w:before="0"/>
        <w:ind w:left="1276"/>
      </w:pPr>
      <w:r>
        <w:t xml:space="preserve">Las </w:t>
      </w:r>
      <w:r w:rsidR="00821944">
        <w:t xml:space="preserve">celdas </w:t>
      </w:r>
      <w:r>
        <w:t xml:space="preserve">que no son aplicables a un determinado pasivo (por ejemplo, intereses devengados, tipo de interés </w:t>
      </w:r>
      <w:r w:rsidR="0218F67B">
        <w:t>vigente</w:t>
      </w:r>
      <w:r>
        <w:t>, fecha de emisión, etc.) pueden dejarse en blanco.</w:t>
      </w:r>
    </w:p>
    <w:p w14:paraId="7FE1D0C3" w14:textId="31121A3B" w:rsidR="00414040" w:rsidRDefault="00904E1A">
      <w:pPr>
        <w:pStyle w:val="P68B1DB1-InstructionsText286"/>
        <w:numPr>
          <w:ilvl w:val="2"/>
          <w:numId w:val="209"/>
        </w:numPr>
        <w:spacing w:before="0"/>
        <w:ind w:left="1276"/>
        <w:rPr>
          <w:lang w:val="es-ES"/>
        </w:rPr>
      </w:pPr>
      <w:r w:rsidRPr="618604ED">
        <w:rPr>
          <w:lang w:val="es-ES"/>
        </w:rPr>
        <w:t>A efectos de est</w:t>
      </w:r>
      <w:r w:rsidR="498D630D" w:rsidRPr="618604ED">
        <w:rPr>
          <w:lang w:val="es-ES"/>
        </w:rPr>
        <w:t>a plantilla</w:t>
      </w:r>
      <w:r w:rsidRPr="618604ED">
        <w:rPr>
          <w:lang w:val="es-ES"/>
        </w:rPr>
        <w:t xml:space="preserve">, los pasivos se comunicarán en filas al nivel de detalle definido por los campos solicitados (en principio, cada operación </w:t>
      </w:r>
      <w:r w:rsidR="5B1E43E9" w:rsidRPr="618604ED">
        <w:rPr>
          <w:lang w:val="es-ES"/>
        </w:rPr>
        <w:t xml:space="preserve">declarada </w:t>
      </w:r>
      <w:r w:rsidR="4686361D" w:rsidRPr="618604ED">
        <w:rPr>
          <w:lang w:val="es-ES"/>
        </w:rPr>
        <w:t xml:space="preserve">en </w:t>
      </w:r>
      <w:r w:rsidRPr="618604ED">
        <w:rPr>
          <w:lang w:val="es-ES"/>
        </w:rPr>
        <w:t xml:space="preserve">una </w:t>
      </w:r>
      <w:r w:rsidR="542EA277" w:rsidRPr="618604ED">
        <w:rPr>
          <w:lang w:val="es-ES"/>
        </w:rPr>
        <w:t>fila</w:t>
      </w:r>
      <w:r w:rsidRPr="618604ED">
        <w:rPr>
          <w:lang w:val="es-ES"/>
        </w:rPr>
        <w:t xml:space="preserve"> </w:t>
      </w:r>
      <w:r w:rsidR="4686361D" w:rsidRPr="618604ED">
        <w:rPr>
          <w:lang w:val="es-ES"/>
        </w:rPr>
        <w:t>independiente</w:t>
      </w:r>
      <w:r w:rsidR="7A89426F" w:rsidRPr="618604ED">
        <w:rPr>
          <w:lang w:val="es-ES"/>
        </w:rPr>
        <w:t>)</w:t>
      </w:r>
      <w:r w:rsidRPr="618604ED">
        <w:rPr>
          <w:lang w:val="es-ES"/>
        </w:rPr>
        <w:t xml:space="preserve">. </w:t>
      </w:r>
      <w:r w:rsidR="72DE8861" w:rsidRPr="618604ED">
        <w:rPr>
          <w:lang w:val="es-ES"/>
        </w:rPr>
        <w:t>Agrup</w:t>
      </w:r>
      <w:r w:rsidR="7813B7F7" w:rsidRPr="618604ED">
        <w:rPr>
          <w:lang w:val="es-ES"/>
        </w:rPr>
        <w:t>ar</w:t>
      </w:r>
      <w:r w:rsidR="72DE8861" w:rsidRPr="618604ED">
        <w:rPr>
          <w:lang w:val="es-ES"/>
        </w:rPr>
        <w:t xml:space="preserve"> los </w:t>
      </w:r>
      <w:proofErr w:type="gramStart"/>
      <w:r w:rsidR="7813B7F7" w:rsidRPr="618604ED">
        <w:rPr>
          <w:lang w:val="es-ES"/>
        </w:rPr>
        <w:t>p</w:t>
      </w:r>
      <w:r w:rsidRPr="618604ED">
        <w:rPr>
          <w:lang w:val="es-ES"/>
        </w:rPr>
        <w:t>asivos  por</w:t>
      </w:r>
      <w:proofErr w:type="gramEnd"/>
      <w:r w:rsidRPr="618604ED">
        <w:rPr>
          <w:lang w:val="es-ES"/>
        </w:rPr>
        <w:t xml:space="preserve"> tipo y </w:t>
      </w:r>
      <w:r w:rsidR="336DEB26" w:rsidRPr="618604ED">
        <w:rPr>
          <w:lang w:val="es-ES"/>
        </w:rPr>
        <w:t>rango</w:t>
      </w:r>
      <w:r>
        <w:t>en caso de insolvencia</w:t>
      </w:r>
      <w:r w:rsidRPr="618604ED">
        <w:rPr>
          <w:lang w:val="es-ES"/>
        </w:rPr>
        <w:t>.</w:t>
      </w:r>
    </w:p>
    <w:p w14:paraId="7FE1D0C5" w14:textId="77777777" w:rsidR="00414040" w:rsidRDefault="00904E1A">
      <w:pPr>
        <w:pStyle w:val="P68B1DB1-InstructionsText287"/>
        <w:numPr>
          <w:ilvl w:val="0"/>
          <w:numId w:val="0"/>
        </w:numPr>
        <w:spacing w:before="0"/>
      </w:pPr>
      <w:r>
        <w:t>Instrucciones relativas a posiciones concretas</w:t>
      </w:r>
    </w:p>
    <w:tbl>
      <w:tblPr>
        <w:tblW w:w="9015" w:type="dxa"/>
        <w:tblInd w:w="135" w:type="dxa"/>
        <w:tblLayout w:type="fixed"/>
        <w:tblLook w:val="04A0" w:firstRow="1" w:lastRow="0" w:firstColumn="1" w:lastColumn="0" w:noHBand="0" w:noVBand="1"/>
      </w:tblPr>
      <w:tblGrid>
        <w:gridCol w:w="1183"/>
        <w:gridCol w:w="7832"/>
      </w:tblGrid>
      <w:tr w:rsidR="00414040" w14:paraId="7FE1D0C8" w14:textId="77777777" w:rsidTr="618604ED">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414040" w:rsidRDefault="00904E1A">
            <w:pPr>
              <w:pStyle w:val="P68B1DB1-TableParagraph17"/>
              <w:spacing w:before="108"/>
              <w:ind w:left="85"/>
            </w:pPr>
            <w:r>
              <w:t xml:space="preserve">Columnas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414040" w:rsidRDefault="00904E1A">
            <w:pPr>
              <w:pStyle w:val="P68B1DB1-TableParagraph17"/>
              <w:spacing w:before="108"/>
              <w:ind w:left="85"/>
            </w:pPr>
            <w:r>
              <w:t xml:space="preserve">Instrucciones </w:t>
            </w:r>
          </w:p>
        </w:tc>
      </w:tr>
      <w:tr w:rsidR="00414040" w14:paraId="7FE1D0CC" w14:textId="77777777" w:rsidTr="618604ED">
        <w:tc>
          <w:tcPr>
            <w:tcW w:w="1183" w:type="dxa"/>
            <w:tcBorders>
              <w:top w:val="single" w:sz="8" w:space="0" w:color="1A171C"/>
              <w:left w:val="nil"/>
              <w:bottom w:val="single" w:sz="8" w:space="0" w:color="1A171C"/>
              <w:right w:val="single" w:sz="8" w:space="0" w:color="1A171C"/>
            </w:tcBorders>
            <w:vAlign w:val="center"/>
          </w:tcPr>
          <w:p w14:paraId="7FE1D0C9" w14:textId="77777777" w:rsidR="00414040" w:rsidRDefault="00904E1A">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1E8507C7" w:rsidR="00414040" w:rsidRDefault="00904E1A">
            <w:pPr>
              <w:pStyle w:val="P68B1DB1-TableParagraph73"/>
              <w:spacing w:before="108"/>
              <w:ind w:left="85"/>
              <w:jc w:val="both"/>
              <w:rPr>
                <w:bCs/>
              </w:rPr>
            </w:pPr>
            <w:r>
              <w:t>N.</w:t>
            </w:r>
            <w:r w:rsidR="00332E07">
              <w:t>º</w:t>
            </w:r>
          </w:p>
          <w:p w14:paraId="7FE1D0CB" w14:textId="70881590" w:rsidR="00414040" w:rsidRDefault="00904E1A">
            <w:pPr>
              <w:pStyle w:val="P68B1DB1-TableParagraph40"/>
              <w:spacing w:before="108"/>
              <w:ind w:left="85"/>
              <w:jc w:val="both"/>
            </w:pPr>
            <w:r>
              <w:t xml:space="preserve">Número único o clave principal </w:t>
            </w:r>
            <w:r w:rsidR="005F350B">
              <w:t xml:space="preserve">única </w:t>
            </w:r>
            <w:r>
              <w:t xml:space="preserve">para identificar las </w:t>
            </w:r>
            <w:r w:rsidR="00BF00F4">
              <w:t>filas</w:t>
            </w:r>
            <w:r>
              <w:t>.</w:t>
            </w:r>
          </w:p>
        </w:tc>
      </w:tr>
      <w:tr w:rsidR="00414040" w14:paraId="7FE1D0D0" w14:textId="77777777" w:rsidTr="618604ED">
        <w:tc>
          <w:tcPr>
            <w:tcW w:w="1183" w:type="dxa"/>
            <w:tcBorders>
              <w:top w:val="single" w:sz="8" w:space="0" w:color="1A171C"/>
              <w:left w:val="nil"/>
              <w:bottom w:val="single" w:sz="8" w:space="0" w:color="1A171C"/>
              <w:right w:val="single" w:sz="8" w:space="0" w:color="1A171C"/>
            </w:tcBorders>
            <w:vAlign w:val="center"/>
          </w:tcPr>
          <w:p w14:paraId="7FE1D0CD" w14:textId="77777777" w:rsidR="00414040" w:rsidRDefault="00904E1A">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414040" w:rsidRDefault="00904E1A">
            <w:pPr>
              <w:pStyle w:val="P68B1DB1-TableParagraph73"/>
              <w:spacing w:before="108"/>
              <w:ind w:left="85"/>
              <w:jc w:val="both"/>
              <w:rPr>
                <w:bCs/>
              </w:rPr>
            </w:pPr>
            <w:r>
              <w:t xml:space="preserve">Fila </w:t>
            </w:r>
          </w:p>
          <w:p w14:paraId="7FE1D0CF" w14:textId="2FB01EF6" w:rsidR="00414040" w:rsidRDefault="00904E1A">
            <w:pPr>
              <w:pStyle w:val="P68B1DB1-TableParagraph40"/>
              <w:spacing w:before="108"/>
              <w:ind w:left="85"/>
              <w:jc w:val="both"/>
            </w:pPr>
            <w:r>
              <w:t xml:space="preserve">Para cada fila informada, deberá realizarse una conciliación con las categorías de pasivos de la estructura del pasivo </w:t>
            </w:r>
            <w:r w:rsidR="00332E07">
              <w:t xml:space="preserve">de </w:t>
            </w:r>
            <w:r>
              <w:t>Z02.00 a nivel de vencimiento, a partir de una lista predefinida de valores.</w:t>
            </w:r>
          </w:p>
        </w:tc>
      </w:tr>
      <w:tr w:rsidR="00414040" w14:paraId="7FE1D0D4" w14:textId="77777777" w:rsidTr="618604ED">
        <w:tc>
          <w:tcPr>
            <w:tcW w:w="1183" w:type="dxa"/>
            <w:tcBorders>
              <w:top w:val="single" w:sz="8" w:space="0" w:color="1A171C"/>
              <w:left w:val="nil"/>
              <w:bottom w:val="single" w:sz="8" w:space="0" w:color="1A171C"/>
              <w:right w:val="single" w:sz="8" w:space="0" w:color="1A171C"/>
            </w:tcBorders>
            <w:vAlign w:val="center"/>
          </w:tcPr>
          <w:p w14:paraId="7FE1D0D1" w14:textId="77777777" w:rsidR="00414040" w:rsidRDefault="00904E1A">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414040" w:rsidRDefault="00904E1A">
            <w:pPr>
              <w:pStyle w:val="P68B1DB1-TableParagraph73"/>
              <w:spacing w:before="108"/>
              <w:ind w:left="85"/>
              <w:jc w:val="both"/>
              <w:rPr>
                <w:bCs/>
              </w:rPr>
            </w:pPr>
            <w:r>
              <w:t xml:space="preserve">Columna </w:t>
            </w:r>
          </w:p>
          <w:p w14:paraId="7FE1D0D3" w14:textId="12A0A1B4" w:rsidR="00414040" w:rsidRDefault="00904E1A">
            <w:pPr>
              <w:pStyle w:val="P68B1DB1-TableParagraph40"/>
              <w:spacing w:before="108"/>
              <w:ind w:left="85"/>
              <w:jc w:val="both"/>
            </w:pPr>
            <w:r>
              <w:t xml:space="preserve">Para cada fila informada, deberá realizarse una conciliación con la categoría de contraparte </w:t>
            </w:r>
            <w:r w:rsidR="00814C62">
              <w:t xml:space="preserve">de </w:t>
            </w:r>
            <w:r>
              <w:t>Z02.00 con la que se ha contraído el pasivo, a partir de una lista predefinida de valores.</w:t>
            </w:r>
          </w:p>
        </w:tc>
      </w:tr>
      <w:tr w:rsidR="00414040" w14:paraId="7FE1D0D8" w14:textId="77777777" w:rsidTr="618604ED">
        <w:tc>
          <w:tcPr>
            <w:tcW w:w="1183" w:type="dxa"/>
            <w:tcBorders>
              <w:top w:val="single" w:sz="8" w:space="0" w:color="1A171C"/>
              <w:left w:val="nil"/>
              <w:bottom w:val="single" w:sz="8" w:space="0" w:color="1A171C"/>
              <w:right w:val="single" w:sz="8" w:space="0" w:color="1A171C"/>
            </w:tcBorders>
            <w:vAlign w:val="center"/>
          </w:tcPr>
          <w:p w14:paraId="7FE1D0D5" w14:textId="77777777" w:rsidR="00414040" w:rsidRDefault="00904E1A">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3768442B" w:rsidR="00414040" w:rsidRPr="008C6BCD" w:rsidRDefault="0688CB69">
            <w:pPr>
              <w:pStyle w:val="P68B1DB1-TableParagraph73"/>
              <w:spacing w:before="108"/>
              <w:ind w:left="85"/>
              <w:jc w:val="both"/>
              <w:rPr>
                <w:bCs/>
              </w:rPr>
            </w:pPr>
            <w:r w:rsidRPr="008C6BCD">
              <w:t>Rango</w:t>
            </w:r>
            <w:r w:rsidR="00904E1A" w:rsidRPr="008C6BCD">
              <w:t xml:space="preserve"> en caso de insolvencia  </w:t>
            </w:r>
          </w:p>
          <w:p w14:paraId="7FE1D0D7" w14:textId="3C00E6EA" w:rsidR="00414040" w:rsidRDefault="00904E1A">
            <w:pPr>
              <w:pStyle w:val="P68B1DB1-TableParagraph40"/>
              <w:spacing w:before="108"/>
              <w:ind w:left="85"/>
              <w:jc w:val="both"/>
            </w:pPr>
            <w:r w:rsidRPr="008C6BCD">
              <w:t>El rango en caso de insolvencia será uno de los rangos incluidos en el orden de prelación en caso de insolvencia publicado</w:t>
            </w:r>
            <w:r>
              <w:t xml:space="preserve"> por la autoridad de resolución de ese país.</w:t>
            </w:r>
          </w:p>
        </w:tc>
      </w:tr>
      <w:tr w:rsidR="00414040" w14:paraId="7FE1D0DC" w14:textId="77777777" w:rsidTr="618604ED">
        <w:tc>
          <w:tcPr>
            <w:tcW w:w="1183" w:type="dxa"/>
            <w:tcBorders>
              <w:top w:val="single" w:sz="8" w:space="0" w:color="1A171C"/>
              <w:left w:val="nil"/>
              <w:bottom w:val="single" w:sz="8" w:space="0" w:color="1A171C"/>
              <w:right w:val="single" w:sz="8" w:space="0" w:color="1A171C"/>
            </w:tcBorders>
            <w:vAlign w:val="center"/>
          </w:tcPr>
          <w:p w14:paraId="7FE1D0D9" w14:textId="77777777" w:rsidR="00414040" w:rsidRDefault="00904E1A">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414040" w:rsidRDefault="00904E1A">
            <w:pPr>
              <w:pStyle w:val="P68B1DB1-TableParagraph73"/>
              <w:spacing w:before="108"/>
              <w:ind w:left="85"/>
              <w:jc w:val="both"/>
              <w:rPr>
                <w:bCs/>
              </w:rPr>
            </w:pPr>
            <w:r>
              <w:t xml:space="preserve">Identificador del contrato </w:t>
            </w:r>
          </w:p>
          <w:p w14:paraId="7FE1D0DB" w14:textId="09A77FF8" w:rsidR="00414040" w:rsidRDefault="00904E1A">
            <w:pPr>
              <w:pStyle w:val="P68B1DB1-TableParagraph40"/>
              <w:spacing w:before="108"/>
              <w:ind w:left="85"/>
              <w:jc w:val="both"/>
            </w:pPr>
            <w:r>
              <w:t>Se comunicará el ISIN o, en caso de que el ISIN no esté disponible, otro identificador del contrato del instrumento.</w:t>
            </w:r>
          </w:p>
        </w:tc>
      </w:tr>
      <w:tr w:rsidR="00414040" w14:paraId="7FE1D0E0" w14:textId="77777777" w:rsidTr="618604ED">
        <w:tc>
          <w:tcPr>
            <w:tcW w:w="1183" w:type="dxa"/>
            <w:tcBorders>
              <w:top w:val="single" w:sz="8" w:space="0" w:color="1A171C"/>
              <w:left w:val="nil"/>
              <w:bottom w:val="single" w:sz="8" w:space="0" w:color="1A171C"/>
              <w:right w:val="single" w:sz="8" w:space="0" w:color="1A171C"/>
            </w:tcBorders>
            <w:vAlign w:val="center"/>
          </w:tcPr>
          <w:p w14:paraId="7FE1D0DD" w14:textId="77777777" w:rsidR="00414040" w:rsidRDefault="00904E1A">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360BEDEE" w:rsidR="00414040" w:rsidRDefault="00904E1A">
            <w:pPr>
              <w:pStyle w:val="P68B1DB1-TableParagraph73"/>
              <w:spacing w:before="108"/>
              <w:ind w:left="85"/>
              <w:jc w:val="both"/>
              <w:rPr>
                <w:bCs/>
              </w:rPr>
            </w:pPr>
            <w:r>
              <w:t>Nombre de la contraparte</w:t>
            </w:r>
          </w:p>
          <w:p w14:paraId="7FE1D0DF" w14:textId="3B87741C" w:rsidR="00414040" w:rsidRDefault="00904E1A">
            <w:pPr>
              <w:pStyle w:val="P68B1DB1-TableParagraph40"/>
              <w:spacing w:before="108"/>
              <w:ind w:left="85"/>
              <w:jc w:val="both"/>
            </w:pPr>
            <w:r w:rsidRPr="28D649BA">
              <w:rPr>
                <w:lang w:val="es-ES"/>
              </w:rPr>
              <w:t>Nombre de</w:t>
            </w:r>
            <w:r w:rsidR="5F37F854" w:rsidRPr="28D649BA">
              <w:rPr>
                <w:lang w:val="es-ES"/>
              </w:rPr>
              <w:t>l ente</w:t>
            </w:r>
            <w:r w:rsidRPr="28D649BA">
              <w:rPr>
                <w:lang w:val="es-ES"/>
              </w:rPr>
              <w:t xml:space="preserve"> de la contraparte del pasivo.</w:t>
            </w:r>
          </w:p>
        </w:tc>
      </w:tr>
      <w:tr w:rsidR="00414040" w14:paraId="7FE1D0E5" w14:textId="77777777" w:rsidTr="618604ED">
        <w:tc>
          <w:tcPr>
            <w:tcW w:w="1183" w:type="dxa"/>
            <w:tcBorders>
              <w:top w:val="single" w:sz="8" w:space="0" w:color="1A171C"/>
              <w:left w:val="nil"/>
              <w:bottom w:val="single" w:sz="8" w:space="0" w:color="1A171C"/>
              <w:right w:val="single" w:sz="8" w:space="0" w:color="1A171C"/>
            </w:tcBorders>
            <w:vAlign w:val="center"/>
          </w:tcPr>
          <w:p w14:paraId="7FE1D0E1" w14:textId="77777777" w:rsidR="00414040" w:rsidRDefault="00904E1A">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414040" w:rsidRDefault="00904E1A">
            <w:pPr>
              <w:pStyle w:val="P68B1DB1-TableParagraph73"/>
              <w:spacing w:before="108"/>
              <w:ind w:left="85"/>
              <w:jc w:val="both"/>
            </w:pPr>
            <w:r>
              <w:t>Identificador de la contraparte</w:t>
            </w:r>
          </w:p>
          <w:p w14:paraId="7FE1D0E3" w14:textId="30563310" w:rsidR="00414040" w:rsidRDefault="00904E1A">
            <w:pPr>
              <w:pStyle w:val="P68B1DB1-TableParagraph40"/>
              <w:spacing w:before="108"/>
              <w:ind w:left="85"/>
              <w:jc w:val="both"/>
            </w:pPr>
            <w:r>
              <w:t xml:space="preserve">Indíquese el código LEI del acreedor. A falta de un código LEI, en el caso de bancos, deberá </w:t>
            </w:r>
            <w:r w:rsidR="57715B04">
              <w:t>informarse</w:t>
            </w:r>
            <w:r>
              <w:t xml:space="preserve"> el identificador único de instituciones financieras monetarias del BCE (</w:t>
            </w:r>
            <w:r w:rsidR="003A02C5" w:rsidRPr="00EF2238">
              <w:rPr>
                <w:rFonts w:eastAsia="Verdana"/>
                <w:lang w:val="es-ES"/>
              </w:rPr>
              <w:t xml:space="preserve">identificador </w:t>
            </w:r>
            <w:r>
              <w:t xml:space="preserve">de IFM) utilizado en el RIAD. Exclusivamente en ausencia de ambos identificadores se podrá </w:t>
            </w:r>
            <w:r w:rsidR="00930E39">
              <w:t>indicar</w:t>
            </w:r>
            <w:r>
              <w:t xml:space="preserve"> un identificador interno.</w:t>
            </w:r>
          </w:p>
          <w:p w14:paraId="7FE1D0E4" w14:textId="1D573481" w:rsidR="00414040" w:rsidRDefault="00414040">
            <w:pPr>
              <w:pStyle w:val="TableParagraph"/>
              <w:spacing w:before="108"/>
              <w:ind w:left="85"/>
              <w:jc w:val="both"/>
              <w:rPr>
                <w:rFonts w:ascii="Times New Roman" w:eastAsia="Times New Roman" w:hAnsi="Times New Roman" w:cs="Times New Roman"/>
                <w:sz w:val="20"/>
                <w:szCs w:val="20"/>
              </w:rPr>
            </w:pPr>
          </w:p>
        </w:tc>
      </w:tr>
      <w:tr w:rsidR="00414040" w14:paraId="7FE1D0E9" w14:textId="77777777" w:rsidTr="618604ED">
        <w:tc>
          <w:tcPr>
            <w:tcW w:w="1183" w:type="dxa"/>
            <w:tcBorders>
              <w:top w:val="single" w:sz="8" w:space="0" w:color="1A171C"/>
              <w:left w:val="nil"/>
              <w:bottom w:val="single" w:sz="8" w:space="0" w:color="1A171C"/>
              <w:right w:val="single" w:sz="8" w:space="0" w:color="1A171C"/>
            </w:tcBorders>
            <w:vAlign w:val="center"/>
          </w:tcPr>
          <w:p w14:paraId="7FE1D0E6" w14:textId="77777777" w:rsidR="00414040" w:rsidRDefault="00904E1A">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414040" w:rsidRDefault="00904E1A">
            <w:pPr>
              <w:pStyle w:val="P68B1DB1-TableParagraph73"/>
              <w:spacing w:before="108"/>
              <w:ind w:left="85"/>
              <w:jc w:val="both"/>
              <w:rPr>
                <w:bCs/>
              </w:rPr>
            </w:pPr>
            <w:r>
              <w:t xml:space="preserve">Tipo de identificador </w:t>
            </w:r>
          </w:p>
          <w:p w14:paraId="7FE1D0E8" w14:textId="77777777" w:rsidR="00414040" w:rsidRDefault="00904E1A">
            <w:pPr>
              <w:pStyle w:val="P68B1DB1-TableParagraph40"/>
              <w:spacing w:before="108"/>
              <w:ind w:left="85"/>
              <w:jc w:val="both"/>
            </w:pPr>
            <w:r>
              <w:t xml:space="preserve">Se seleccionará una de las opciones siguientes: «Código LEI», «Código de IFM» o «Tipo de </w:t>
            </w:r>
            <w:r>
              <w:lastRenderedPageBreak/>
              <w:t>identificador: distinto del código LEI o de IFM».</w:t>
            </w:r>
          </w:p>
        </w:tc>
      </w:tr>
      <w:tr w:rsidR="00414040" w14:paraId="7FE1D0ED" w14:textId="77777777" w:rsidTr="618604ED">
        <w:tc>
          <w:tcPr>
            <w:tcW w:w="1183" w:type="dxa"/>
            <w:tcBorders>
              <w:top w:val="single" w:sz="8" w:space="0" w:color="1A171C"/>
              <w:left w:val="nil"/>
              <w:bottom w:val="single" w:sz="8" w:space="0" w:color="1A171C"/>
              <w:right w:val="single" w:sz="8" w:space="0" w:color="1A171C"/>
            </w:tcBorders>
            <w:vAlign w:val="center"/>
          </w:tcPr>
          <w:p w14:paraId="7FE1D0EA" w14:textId="4E648225" w:rsidR="00414040" w:rsidRDefault="00904E1A">
            <w:pPr>
              <w:pStyle w:val="P68B1DB1-Normal31"/>
            </w:pPr>
            <w:r>
              <w:lastRenderedPageBreak/>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75F1AA53" w:rsidR="00414040" w:rsidRDefault="3DAA6453">
            <w:pPr>
              <w:pStyle w:val="P68B1DB1-TableParagraph73"/>
              <w:spacing w:before="108"/>
              <w:ind w:left="85"/>
              <w:jc w:val="both"/>
              <w:rPr>
                <w:bCs/>
              </w:rPr>
            </w:pPr>
            <w:r>
              <w:t>Derecho</w:t>
            </w:r>
            <w:r w:rsidR="00904E1A">
              <w:t xml:space="preserve"> aplicable  </w:t>
            </w:r>
          </w:p>
          <w:p w14:paraId="7FE1D0EC" w14:textId="380F2838" w:rsidR="00414040" w:rsidRDefault="00904E1A">
            <w:pPr>
              <w:pStyle w:val="P68B1DB1-TableParagraph40"/>
              <w:spacing w:before="108"/>
              <w:ind w:left="85"/>
              <w:jc w:val="both"/>
            </w:pPr>
            <w:r>
              <w:t xml:space="preserve">El código ISO 3166-1 alpha-2 del país cuya legislación rige el instrumento (utilícese el código ISO 3166-2 cuando sea pertinente la ley de una subdivisión administrativa, por ejemplo, «US-NY»). Si el contrato se rige por la normativa de más de un país, se </w:t>
            </w:r>
            <w:r w:rsidR="41E78A96">
              <w:t>informará</w:t>
            </w:r>
            <w:r>
              <w:t xml:space="preserve"> el país cuya normativa tenga mayor relevancia para el reconocimiento de las </w:t>
            </w:r>
            <w:r w:rsidR="00F71C58">
              <w:t>competencias de amortización</w:t>
            </w:r>
            <w:r>
              <w:t xml:space="preserve"> y conversión.  </w:t>
            </w:r>
          </w:p>
        </w:tc>
      </w:tr>
      <w:tr w:rsidR="00414040" w:rsidRPr="002B3B7C" w14:paraId="7FE1D0F1" w14:textId="77777777" w:rsidTr="618604ED">
        <w:tc>
          <w:tcPr>
            <w:tcW w:w="1183" w:type="dxa"/>
            <w:tcBorders>
              <w:top w:val="single" w:sz="8" w:space="0" w:color="1A171C"/>
              <w:left w:val="nil"/>
              <w:bottom w:val="single" w:sz="8" w:space="0" w:color="1A171C"/>
              <w:right w:val="single" w:sz="8" w:space="0" w:color="1A171C"/>
            </w:tcBorders>
            <w:vAlign w:val="center"/>
          </w:tcPr>
          <w:p w14:paraId="7FE1D0EE" w14:textId="02F3BABE" w:rsidR="00414040" w:rsidRDefault="00904E1A">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414040" w:rsidRPr="00482F96" w:rsidRDefault="00904E1A">
            <w:pPr>
              <w:pStyle w:val="P68B1DB1-TableParagraph73"/>
              <w:spacing w:before="108"/>
              <w:ind w:left="85"/>
              <w:jc w:val="both"/>
              <w:rPr>
                <w:bCs/>
              </w:rPr>
            </w:pPr>
            <w:r w:rsidRPr="00482F96">
              <w:t xml:space="preserve">Tipo de pasivo financiero </w:t>
            </w:r>
          </w:p>
          <w:p w14:paraId="7FE1D0F0" w14:textId="2DF6642C" w:rsidR="00414040" w:rsidRPr="00210421" w:rsidRDefault="00904E1A">
            <w:pPr>
              <w:pStyle w:val="P68B1DB1-TableParagraph40"/>
              <w:spacing w:before="108"/>
              <w:ind w:left="85"/>
              <w:jc w:val="both"/>
              <w:rPr>
                <w:highlight w:val="yellow"/>
                <w:lang w:val="es-ES"/>
              </w:rPr>
            </w:pPr>
            <w:r w:rsidRPr="618604ED">
              <w:rPr>
                <w:lang w:val="es-ES"/>
              </w:rPr>
              <w:t>Se elegirá entre las siguientes opciones: «</w:t>
            </w:r>
            <w:r w:rsidR="1865E9A4" w:rsidRPr="618604ED">
              <w:rPr>
                <w:lang w:val="es-ES"/>
              </w:rPr>
              <w:t>Certificado de deuda</w:t>
            </w:r>
            <w:r w:rsidRPr="618604ED">
              <w:rPr>
                <w:lang w:val="es-ES"/>
              </w:rPr>
              <w:t>», «Bono registrado», «</w:t>
            </w:r>
            <w:r w:rsidR="0530FFAA" w:rsidRPr="618604ED">
              <w:rPr>
                <w:lang w:val="es-ES"/>
              </w:rPr>
              <w:t>Letra de cambio</w:t>
            </w:r>
            <w:r w:rsidRPr="618604ED">
              <w:rPr>
                <w:lang w:val="es-ES"/>
              </w:rPr>
              <w:t>», «</w:t>
            </w:r>
            <w:r w:rsidR="45D36D33" w:rsidRPr="618604ED">
              <w:rPr>
                <w:lang w:val="es-ES"/>
              </w:rPr>
              <w:t xml:space="preserve">Participaciones sin derecho a </w:t>
            </w:r>
            <w:proofErr w:type="gramStart"/>
            <w:r w:rsidR="45D36D33" w:rsidRPr="618604ED">
              <w:rPr>
                <w:lang w:val="es-ES"/>
              </w:rPr>
              <w:t xml:space="preserve">voto </w:t>
            </w:r>
            <w:r w:rsidRPr="618604ED">
              <w:rPr>
                <w:lang w:val="es-ES"/>
              </w:rPr>
              <w:t>»</w:t>
            </w:r>
            <w:proofErr w:type="gramEnd"/>
            <w:r w:rsidRPr="618604ED">
              <w:rPr>
                <w:lang w:val="es-ES"/>
              </w:rPr>
              <w:t>, «Otros pasivos financieros».</w:t>
            </w:r>
          </w:p>
        </w:tc>
      </w:tr>
      <w:tr w:rsidR="00414040" w14:paraId="7FE1D0FC" w14:textId="77777777" w:rsidTr="618604ED">
        <w:tc>
          <w:tcPr>
            <w:tcW w:w="1183" w:type="dxa"/>
            <w:tcBorders>
              <w:top w:val="single" w:sz="8" w:space="0" w:color="1A171C"/>
              <w:left w:val="nil"/>
              <w:bottom w:val="single" w:sz="8" w:space="0" w:color="1A171C"/>
              <w:right w:val="single" w:sz="8" w:space="0" w:color="1A171C"/>
            </w:tcBorders>
            <w:vAlign w:val="center"/>
          </w:tcPr>
          <w:p w14:paraId="7FE1D0F2" w14:textId="77777777" w:rsidR="00414040" w:rsidRDefault="00904E1A">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414040" w:rsidRDefault="00904E1A">
            <w:pPr>
              <w:pStyle w:val="P68B1DB1-TableParagraph73"/>
              <w:spacing w:before="108"/>
              <w:ind w:left="85"/>
              <w:jc w:val="both"/>
            </w:pPr>
            <w:r>
              <w:t xml:space="preserve">Si se trata de legislación de un tercer país, reconocimiento contractual </w:t>
            </w:r>
          </w:p>
          <w:p w14:paraId="7FE1D0F6" w14:textId="16009084" w:rsidR="00414040" w:rsidRDefault="00904E1A">
            <w:pPr>
              <w:pStyle w:val="P68B1DB1-TableParagraph40"/>
              <w:spacing w:before="108"/>
              <w:ind w:left="85"/>
              <w:jc w:val="both"/>
            </w:pPr>
            <w:r w:rsidRPr="1F069520">
              <w:rPr>
                <w:lang w:val="es-ES"/>
              </w:rPr>
              <w:t xml:space="preserve">Identificación de las disposiciones contractuales para el reconocimiento de las competencias de recapitalización interna de conformidad con el artículo 55 de la </w:t>
            </w:r>
            <w:r w:rsidR="00664F0D">
              <w:rPr>
                <w:lang w:val="es-ES"/>
              </w:rPr>
              <w:t>BRRD</w:t>
            </w:r>
            <w:r w:rsidRPr="1F069520">
              <w:rPr>
                <w:lang w:val="es-ES"/>
              </w:rPr>
              <w:t xml:space="preserve">, </w:t>
            </w:r>
            <w:r w:rsidR="4B314DF7" w:rsidRPr="1F069520">
              <w:rPr>
                <w:lang w:val="es-ES"/>
              </w:rPr>
              <w:t xml:space="preserve">a partir de una lista predefinida, </w:t>
            </w:r>
            <w:r w:rsidR="005F350B">
              <w:rPr>
                <w:lang w:val="es-ES"/>
              </w:rPr>
              <w:t>ya sea</w:t>
            </w:r>
            <w:r w:rsidR="005F350B" w:rsidRPr="1F069520">
              <w:rPr>
                <w:lang w:val="es-ES"/>
              </w:rPr>
              <w:t xml:space="preserve"> </w:t>
            </w:r>
          </w:p>
          <w:p w14:paraId="7FE1D0F7" w14:textId="6BB5EC8F" w:rsidR="00414040" w:rsidRDefault="7A962B38">
            <w:pPr>
              <w:pStyle w:val="P68B1DB1-TableParagraph40"/>
              <w:spacing w:before="108"/>
              <w:ind w:left="85"/>
              <w:jc w:val="both"/>
            </w:pPr>
            <w:proofErr w:type="gramStart"/>
            <w:r w:rsidRPr="1F069520">
              <w:rPr>
                <w:lang w:val="es-ES"/>
              </w:rPr>
              <w:t xml:space="preserve">« </w:t>
            </w:r>
            <w:r w:rsidR="00904E1A" w:rsidRPr="1F069520">
              <w:rPr>
                <w:lang w:val="es-ES"/>
              </w:rPr>
              <w:t>Sí</w:t>
            </w:r>
            <w:proofErr w:type="gramEnd"/>
            <w:r w:rsidR="00904E1A" w:rsidRPr="1F069520">
              <w:rPr>
                <w:lang w:val="es-ES"/>
              </w:rPr>
              <w:t xml:space="preserve">, respaldado por dictamen jurídico» = el pasivo incluye una cláusula de reconocimiento de recapitalización interna de conformidad con el artículo 55 de la </w:t>
            </w:r>
            <w:r w:rsidR="00664F0D">
              <w:rPr>
                <w:lang w:val="es-ES"/>
              </w:rPr>
              <w:t>BRRD</w:t>
            </w:r>
            <w:r w:rsidR="00904E1A" w:rsidRPr="1F069520">
              <w:rPr>
                <w:lang w:val="es-ES"/>
              </w:rPr>
              <w:t>, respaldada por un dictamen jurídico;</w:t>
            </w:r>
          </w:p>
          <w:p w14:paraId="7FE1D0F8" w14:textId="043AD71D" w:rsidR="00414040" w:rsidRDefault="00904E1A">
            <w:pPr>
              <w:pStyle w:val="P68B1DB1-TableParagraph40"/>
              <w:spacing w:before="108"/>
              <w:ind w:left="85"/>
              <w:jc w:val="both"/>
            </w:pPr>
            <w:r>
              <w:t xml:space="preserve">«Sí, no respaldado por dictamen jurídico» = el pasivo incluye una cláusula de reconocimiento de recapitalización interna de conformidad con el artículo 55 de la </w:t>
            </w:r>
            <w:r w:rsidR="00664F0D">
              <w:t xml:space="preserve">BRRD </w:t>
            </w:r>
            <w:r>
              <w:t>que actualmente no está respaldada por un dictamen jurídico;</w:t>
            </w:r>
          </w:p>
          <w:p w14:paraId="7FE1D0F9" w14:textId="77777777" w:rsidR="00414040" w:rsidRDefault="00904E1A">
            <w:pPr>
              <w:pStyle w:val="P68B1DB1-TableParagraph40"/>
              <w:spacing w:before="108"/>
              <w:ind w:left="85"/>
              <w:jc w:val="both"/>
            </w:pPr>
            <w:r>
              <w:t>«No» = el pasivo no incluye una cláusula de reconocimiento de recapitalización interna;</w:t>
            </w:r>
          </w:p>
          <w:p w14:paraId="7FE1D0FA" w14:textId="605B28E2" w:rsidR="00414040" w:rsidRDefault="00904E1A">
            <w:pPr>
              <w:pStyle w:val="P68B1DB1-TableParagraph40"/>
              <w:spacing w:before="108"/>
              <w:ind w:left="85"/>
              <w:jc w:val="both"/>
            </w:pPr>
            <w:r>
              <w:t>«No aplica</w:t>
            </w:r>
            <w:r w:rsidR="00664F0D">
              <w:t>ble</w:t>
            </w:r>
            <w:r>
              <w:t>»</w:t>
            </w:r>
            <w:r w:rsidR="005F350B">
              <w:t>.</w:t>
            </w:r>
            <w:r>
              <w:t xml:space="preserve">  </w:t>
            </w:r>
          </w:p>
          <w:p w14:paraId="7FE1D0FB" w14:textId="243C4C88" w:rsidR="00414040" w:rsidRDefault="00414040">
            <w:pPr>
              <w:pStyle w:val="P68B1DB1-TableParagraph40"/>
              <w:spacing w:before="108"/>
              <w:ind w:left="85"/>
              <w:jc w:val="both"/>
            </w:pPr>
          </w:p>
        </w:tc>
      </w:tr>
      <w:tr w:rsidR="00414040" w14:paraId="7FE1D100" w14:textId="77777777" w:rsidTr="618604ED">
        <w:tc>
          <w:tcPr>
            <w:tcW w:w="1183" w:type="dxa"/>
            <w:tcBorders>
              <w:top w:val="single" w:sz="8" w:space="0" w:color="1A171C"/>
              <w:left w:val="nil"/>
              <w:bottom w:val="single" w:sz="8" w:space="0" w:color="1A171C"/>
              <w:right w:val="single" w:sz="8" w:space="0" w:color="1A171C"/>
            </w:tcBorders>
            <w:vAlign w:val="center"/>
          </w:tcPr>
          <w:p w14:paraId="7FE1D0FD" w14:textId="77777777" w:rsidR="00414040" w:rsidRDefault="00904E1A">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4706655F" w:rsidR="00414040" w:rsidRDefault="00904E1A">
            <w:pPr>
              <w:pStyle w:val="P68B1DB1-TableParagraph73"/>
              <w:spacing w:before="108"/>
              <w:ind w:left="85"/>
              <w:jc w:val="both"/>
              <w:rPr>
                <w:bCs/>
              </w:rPr>
            </w:pPr>
            <w:r w:rsidRPr="1469E0BA">
              <w:rPr>
                <w:lang w:val="es-ES"/>
              </w:rPr>
              <w:t xml:space="preserve">Importe pendiente </w:t>
            </w:r>
            <w:r w:rsidR="2927B974" w:rsidRPr="4D5771B3">
              <w:rPr>
                <w:lang w:val="es-ES"/>
              </w:rPr>
              <w:t>del principal</w:t>
            </w:r>
          </w:p>
          <w:p w14:paraId="7FE1D0FF" w14:textId="66FDB1F5" w:rsidR="00414040" w:rsidRDefault="00904E1A">
            <w:pPr>
              <w:pStyle w:val="P68B1DB1-TableParagraph40"/>
              <w:spacing w:before="108"/>
              <w:ind w:left="85"/>
              <w:jc w:val="both"/>
            </w:pPr>
            <w:r>
              <w:t>El principal pendiente del pasivo.</w:t>
            </w:r>
          </w:p>
        </w:tc>
      </w:tr>
      <w:tr w:rsidR="00414040" w14:paraId="7FE1D104" w14:textId="77777777" w:rsidTr="618604ED">
        <w:tc>
          <w:tcPr>
            <w:tcW w:w="1183" w:type="dxa"/>
            <w:tcBorders>
              <w:top w:val="single" w:sz="8" w:space="0" w:color="1A171C"/>
              <w:left w:val="nil"/>
              <w:bottom w:val="single" w:sz="8" w:space="0" w:color="1A171C"/>
              <w:right w:val="single" w:sz="8" w:space="0" w:color="1A171C"/>
            </w:tcBorders>
            <w:vAlign w:val="center"/>
          </w:tcPr>
          <w:p w14:paraId="7FE1D101" w14:textId="77777777" w:rsidR="00414040" w:rsidRDefault="00904E1A">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5B6BCF71" w:rsidR="00414040" w:rsidRDefault="00664F0D">
            <w:pPr>
              <w:pStyle w:val="P68B1DB1-TableParagraph73"/>
              <w:spacing w:before="108"/>
              <w:ind w:left="85"/>
              <w:jc w:val="both"/>
              <w:rPr>
                <w:bCs/>
              </w:rPr>
            </w:pPr>
            <w:r>
              <w:t xml:space="preserve">Intereses </w:t>
            </w:r>
            <w:r w:rsidR="00904E1A">
              <w:t>devengado</w:t>
            </w:r>
            <w:r>
              <w:t>s</w:t>
            </w:r>
            <w:r w:rsidR="00904E1A">
              <w:t xml:space="preserve"> </w:t>
            </w:r>
          </w:p>
          <w:p w14:paraId="7FE1D103" w14:textId="345D6EBF" w:rsidR="00414040" w:rsidRDefault="00904E1A">
            <w:pPr>
              <w:pStyle w:val="P68B1DB1-TableParagraph40"/>
              <w:spacing w:before="108"/>
              <w:ind w:left="85"/>
              <w:jc w:val="both"/>
            </w:pPr>
            <w:r>
              <w:t>Los intereses devengados pendientes sobre el pasivo.</w:t>
            </w:r>
          </w:p>
        </w:tc>
      </w:tr>
      <w:tr w:rsidR="00414040" w14:paraId="7FE1D108" w14:textId="77777777" w:rsidTr="618604ED">
        <w:tc>
          <w:tcPr>
            <w:tcW w:w="1183" w:type="dxa"/>
            <w:tcBorders>
              <w:top w:val="single" w:sz="8" w:space="0" w:color="1A171C"/>
              <w:left w:val="nil"/>
              <w:bottom w:val="single" w:sz="8" w:space="0" w:color="1A171C"/>
              <w:right w:val="single" w:sz="8" w:space="0" w:color="1A171C"/>
            </w:tcBorders>
            <w:vAlign w:val="center"/>
          </w:tcPr>
          <w:p w14:paraId="7FE1D105" w14:textId="77777777" w:rsidR="00414040" w:rsidRDefault="00904E1A">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52020B66" w:rsidR="00414040" w:rsidRDefault="00904E1A">
            <w:pPr>
              <w:pStyle w:val="P68B1DB1-TableParagraph73"/>
              <w:spacing w:before="108"/>
              <w:ind w:left="85"/>
              <w:jc w:val="both"/>
              <w:rPr>
                <w:bCs/>
              </w:rPr>
            </w:pPr>
            <w:r w:rsidRPr="00664F0D">
              <w:t xml:space="preserve">Tipo de interés </w:t>
            </w:r>
            <w:r w:rsidR="00664F0D">
              <w:t>vigente</w:t>
            </w:r>
            <w:r w:rsidR="00664F0D" w:rsidRPr="00664F0D">
              <w:t xml:space="preserve"> </w:t>
            </w:r>
            <w:r w:rsidRPr="00664F0D">
              <w:t>(%)</w:t>
            </w:r>
            <w:r>
              <w:t xml:space="preserve"> </w:t>
            </w:r>
          </w:p>
          <w:p w14:paraId="7FE1D107" w14:textId="574366AF" w:rsidR="00414040" w:rsidRDefault="00904E1A">
            <w:pPr>
              <w:pStyle w:val="P68B1DB1-TableParagraph40"/>
              <w:spacing w:before="108"/>
              <w:ind w:left="85"/>
              <w:jc w:val="both"/>
            </w:pPr>
            <w:r>
              <w:t xml:space="preserve">Nivel actual del tipo de interés aplicable al pasivo. </w:t>
            </w:r>
          </w:p>
        </w:tc>
      </w:tr>
      <w:tr w:rsidR="00414040" w14:paraId="7FE1D10C" w14:textId="77777777" w:rsidTr="618604ED">
        <w:tc>
          <w:tcPr>
            <w:tcW w:w="1183" w:type="dxa"/>
            <w:tcBorders>
              <w:top w:val="single" w:sz="8" w:space="0" w:color="1A171C"/>
              <w:left w:val="nil"/>
              <w:bottom w:val="single" w:sz="8" w:space="0" w:color="1A171C"/>
              <w:right w:val="single" w:sz="8" w:space="0" w:color="1A171C"/>
            </w:tcBorders>
            <w:vAlign w:val="center"/>
          </w:tcPr>
          <w:p w14:paraId="7FE1D109" w14:textId="77777777" w:rsidR="00414040" w:rsidRDefault="00904E1A">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414040" w:rsidRDefault="00904E1A">
            <w:pPr>
              <w:pStyle w:val="P68B1DB1-TableParagraph73"/>
              <w:spacing w:before="108"/>
              <w:ind w:left="85"/>
              <w:jc w:val="both"/>
              <w:rPr>
                <w:bCs/>
              </w:rPr>
            </w:pPr>
            <w:r>
              <w:t xml:space="preserve">Moneda  </w:t>
            </w:r>
          </w:p>
          <w:p w14:paraId="7FE1D10B" w14:textId="4FC71DBE" w:rsidR="00414040" w:rsidRDefault="00904E1A">
            <w:pPr>
              <w:pStyle w:val="P68B1DB1-TableParagraph40"/>
              <w:spacing w:before="108"/>
              <w:ind w:left="85"/>
              <w:jc w:val="both"/>
            </w:pPr>
            <w:r>
              <w:t>La moneda del pasivo con arreglo a su código ISO 4217 de 3 letras.</w:t>
            </w:r>
          </w:p>
        </w:tc>
      </w:tr>
      <w:tr w:rsidR="00414040" w14:paraId="7FE1D110" w14:textId="77777777" w:rsidTr="618604ED">
        <w:tc>
          <w:tcPr>
            <w:tcW w:w="1183" w:type="dxa"/>
            <w:tcBorders>
              <w:top w:val="single" w:sz="8" w:space="0" w:color="1A171C"/>
              <w:left w:val="nil"/>
              <w:bottom w:val="single" w:sz="8" w:space="0" w:color="1A171C"/>
              <w:right w:val="single" w:sz="8" w:space="0" w:color="1A171C"/>
            </w:tcBorders>
            <w:vAlign w:val="center"/>
          </w:tcPr>
          <w:p w14:paraId="7FE1D10D" w14:textId="77777777" w:rsidR="00414040" w:rsidRDefault="00904E1A">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414040" w:rsidRDefault="00904E1A">
            <w:pPr>
              <w:pStyle w:val="P68B1DB1-TableParagraph73"/>
              <w:spacing w:before="108"/>
              <w:ind w:left="85"/>
              <w:jc w:val="both"/>
              <w:rPr>
                <w:bCs/>
              </w:rPr>
            </w:pPr>
            <w:r>
              <w:t xml:space="preserve">Fecha de emisión </w:t>
            </w:r>
          </w:p>
          <w:p w14:paraId="7FE1D10F" w14:textId="77777777" w:rsidR="00414040" w:rsidRDefault="00904E1A">
            <w:pPr>
              <w:pStyle w:val="P68B1DB1-TableParagraph40"/>
              <w:spacing w:before="108"/>
              <w:ind w:left="85"/>
              <w:jc w:val="both"/>
            </w:pPr>
            <w:r>
              <w:t>Fecha de la emisión inicial del pasivo.</w:t>
            </w:r>
          </w:p>
        </w:tc>
      </w:tr>
      <w:tr w:rsidR="00414040" w14:paraId="7FE1D114" w14:textId="77777777" w:rsidTr="618604ED">
        <w:tc>
          <w:tcPr>
            <w:tcW w:w="1183" w:type="dxa"/>
            <w:tcBorders>
              <w:top w:val="single" w:sz="8" w:space="0" w:color="1A171C"/>
              <w:left w:val="nil"/>
              <w:bottom w:val="single" w:sz="8" w:space="0" w:color="1A171C"/>
              <w:right w:val="single" w:sz="8" w:space="0" w:color="1A171C"/>
            </w:tcBorders>
            <w:vAlign w:val="center"/>
          </w:tcPr>
          <w:p w14:paraId="7FE1D111" w14:textId="77777777" w:rsidR="00414040" w:rsidRDefault="00904E1A">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3E664642" w:rsidR="00414040" w:rsidRDefault="7764B82B">
            <w:pPr>
              <w:pStyle w:val="P68B1DB1-TableParagraph73"/>
              <w:spacing w:before="108"/>
              <w:ind w:left="85"/>
              <w:jc w:val="both"/>
            </w:pPr>
            <w:r>
              <w:t>Primera f</w:t>
            </w:r>
            <w:r w:rsidR="00904E1A" w:rsidRPr="618604ED">
              <w:rPr>
                <w:lang w:val="es-ES"/>
              </w:rPr>
              <w:t>echa de amortización</w:t>
            </w:r>
            <w:r w:rsidR="088B0F36" w:rsidRPr="618604ED">
              <w:rPr>
                <w:lang w:val="es-ES"/>
              </w:rPr>
              <w:t xml:space="preserve"> </w:t>
            </w:r>
            <w:r w:rsidR="358C6D5F" w:rsidRPr="618604ED">
              <w:rPr>
                <w:lang w:val="es-ES"/>
              </w:rPr>
              <w:t xml:space="preserve">o reembolso </w:t>
            </w:r>
            <w:r w:rsidR="088B0F36" w:rsidRPr="618604ED">
              <w:rPr>
                <w:lang w:val="es-ES"/>
              </w:rPr>
              <w:t>anticipad</w:t>
            </w:r>
            <w:r w:rsidR="360513AB" w:rsidRPr="618604ED">
              <w:rPr>
                <w:lang w:val="es-ES"/>
              </w:rPr>
              <w:t>o</w:t>
            </w:r>
            <w:r w:rsidR="00904E1A" w:rsidRPr="618604ED">
              <w:rPr>
                <w:lang w:val="es-ES"/>
              </w:rPr>
              <w:t xml:space="preserve"> </w:t>
            </w:r>
          </w:p>
          <w:p w14:paraId="7FE1D113" w14:textId="746DB826" w:rsidR="00414040" w:rsidRDefault="00904E1A">
            <w:pPr>
              <w:pStyle w:val="P68B1DB1-TableParagraph40"/>
              <w:spacing w:before="108"/>
              <w:ind w:left="85"/>
              <w:jc w:val="both"/>
            </w:pPr>
            <w:r w:rsidRPr="1F069520">
              <w:rPr>
                <w:lang w:val="es-ES"/>
              </w:rPr>
              <w:t xml:space="preserve">Si existe una opción para que el acreedor </w:t>
            </w:r>
            <w:r w:rsidR="7652A574" w:rsidRPr="1F069520">
              <w:rPr>
                <w:lang w:val="es-ES"/>
              </w:rPr>
              <w:t xml:space="preserve">solicite la amortización o el reembolso anticipado, o si se prevén contractualmente condiciones para la amortización o el reembolso anticipado del pasivo, indíquese la fecha más temprana. </w:t>
            </w:r>
            <w:r w:rsidRPr="1F069520">
              <w:rPr>
                <w:lang w:val="es-ES"/>
              </w:rPr>
              <w:t>Si el reembolso anticipado solo corresponde a una parte del pasivo (p. ej., reembolso anticipado del 50 % del importe nominal), el pasivo deberá dividirse para tener en cuenta esta cláusula de amortización parcial anticipada.</w:t>
            </w:r>
          </w:p>
        </w:tc>
      </w:tr>
      <w:tr w:rsidR="00414040" w14:paraId="7FE1D118" w14:textId="77777777" w:rsidTr="618604ED">
        <w:tc>
          <w:tcPr>
            <w:tcW w:w="1183" w:type="dxa"/>
            <w:tcBorders>
              <w:top w:val="single" w:sz="8" w:space="0" w:color="1A171C"/>
              <w:left w:val="nil"/>
              <w:bottom w:val="single" w:sz="8" w:space="0" w:color="1A171C"/>
              <w:right w:val="single" w:sz="8" w:space="0" w:color="1A171C"/>
            </w:tcBorders>
            <w:vAlign w:val="center"/>
          </w:tcPr>
          <w:p w14:paraId="7FE1D115" w14:textId="77777777" w:rsidR="00414040" w:rsidRDefault="00904E1A">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414040" w:rsidRDefault="00904E1A">
            <w:pPr>
              <w:pStyle w:val="P68B1DB1-TableParagraph73"/>
              <w:spacing w:before="108"/>
              <w:ind w:left="85"/>
              <w:jc w:val="both"/>
              <w:rPr>
                <w:bCs/>
              </w:rPr>
            </w:pPr>
            <w:r>
              <w:t xml:space="preserve"> Vencimiento legal </w:t>
            </w:r>
          </w:p>
          <w:p w14:paraId="7FE1D117" w14:textId="39B8EDB9" w:rsidR="00414040" w:rsidRDefault="00904E1A">
            <w:pPr>
              <w:pStyle w:val="P68B1DB1-TableParagraph40"/>
              <w:spacing w:before="108"/>
              <w:ind w:left="85"/>
              <w:jc w:val="both"/>
            </w:pPr>
            <w:r>
              <w:t>Fecha del vencimiento final legal del instrumento. Para instrumentos perpetuos, utilícese «2099-01-31».</w:t>
            </w:r>
          </w:p>
        </w:tc>
      </w:tr>
      <w:tr w:rsidR="00414040" w14:paraId="7FE1D121" w14:textId="77777777" w:rsidTr="618604ED">
        <w:tc>
          <w:tcPr>
            <w:tcW w:w="1183" w:type="dxa"/>
            <w:tcBorders>
              <w:top w:val="single" w:sz="8" w:space="0" w:color="1A171C"/>
              <w:left w:val="nil"/>
              <w:bottom w:val="single" w:sz="8" w:space="0" w:color="1A171C"/>
              <w:right w:val="single" w:sz="8" w:space="0" w:color="1A171C"/>
            </w:tcBorders>
            <w:vAlign w:val="center"/>
          </w:tcPr>
          <w:p w14:paraId="7FE1D11D" w14:textId="77777777" w:rsidR="00414040" w:rsidRDefault="00904E1A">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303E8570" w:rsidR="00414040" w:rsidRDefault="00904E1A">
            <w:pPr>
              <w:pStyle w:val="P68B1DB1-TableParagraph73"/>
              <w:spacing w:before="108"/>
              <w:ind w:left="85"/>
              <w:jc w:val="both"/>
              <w:rPr>
                <w:bCs/>
              </w:rPr>
            </w:pPr>
            <w:r>
              <w:t>Importe de la p</w:t>
            </w:r>
            <w:r w:rsidR="276B7505">
              <w:t>ignoración</w:t>
            </w:r>
            <w:r>
              <w:t xml:space="preserve">, prenda o garantía real </w:t>
            </w:r>
          </w:p>
          <w:p w14:paraId="7FE1D120" w14:textId="2693F996" w:rsidR="00414040" w:rsidRDefault="00904E1A">
            <w:pPr>
              <w:pStyle w:val="P68B1DB1-TableParagraph40"/>
              <w:spacing w:before="108"/>
              <w:ind w:left="85"/>
              <w:jc w:val="both"/>
              <w:rPr>
                <w:lang w:val="es-ES"/>
              </w:rPr>
            </w:pPr>
            <w:r w:rsidRPr="23EA4BFB">
              <w:rPr>
                <w:lang w:val="es-ES"/>
              </w:rPr>
              <w:t>Cuando un pasivo está garantizado por una pignoración</w:t>
            </w:r>
            <w:r w:rsidRPr="4D5771B3">
              <w:rPr>
                <w:lang w:val="es-ES"/>
              </w:rPr>
              <w:t xml:space="preserve">, </w:t>
            </w:r>
            <w:r w:rsidRPr="23EA4BFB">
              <w:rPr>
                <w:lang w:val="es-ES"/>
              </w:rPr>
              <w:t xml:space="preserve">prenda o garantía real, el valor bruto </w:t>
            </w:r>
            <w:r w:rsidRPr="23EA4BFB">
              <w:rPr>
                <w:lang w:val="es-ES"/>
              </w:rPr>
              <w:lastRenderedPageBreak/>
              <w:t xml:space="preserve">de mercado de esta última deberá </w:t>
            </w:r>
            <w:r w:rsidR="3A3E7973" w:rsidRPr="23EA4BFB">
              <w:rPr>
                <w:lang w:val="es-ES"/>
              </w:rPr>
              <w:t>informarse</w:t>
            </w:r>
            <w:r w:rsidRPr="23EA4BFB">
              <w:rPr>
                <w:lang w:val="es-ES"/>
              </w:rPr>
              <w:t xml:space="preserve">. En el caso de los pasivos no garantizados, esta categoría </w:t>
            </w:r>
            <w:r w:rsidR="04EEB6F9">
              <w:t>se informará en blanco</w:t>
            </w:r>
            <w:r w:rsidRPr="23EA4BFB">
              <w:rPr>
                <w:lang w:val="es-ES"/>
              </w:rPr>
              <w:t>. Este importe determinará la parte con garantía real y, en su caso, la parte no garantizada de cualquier pasivo garantizado. Para conjuntos de garantías reales que garanticen varias partidas,</w:t>
            </w:r>
            <w:r w:rsidR="56929425" w:rsidRPr="23EA4BFB">
              <w:rPr>
                <w:lang w:val="es-ES"/>
              </w:rPr>
              <w:t xml:space="preserve"> se </w:t>
            </w:r>
            <w:proofErr w:type="gramStart"/>
            <w:r w:rsidRPr="17F8E6E3">
              <w:rPr>
                <w:lang w:val="es-ES"/>
              </w:rPr>
              <w:t>determin</w:t>
            </w:r>
            <w:r w:rsidR="5D572DEB" w:rsidRPr="17F8E6E3">
              <w:rPr>
                <w:lang w:val="es-ES"/>
              </w:rPr>
              <w:t>ar</w:t>
            </w:r>
            <w:r w:rsidR="00CD12F9">
              <w:rPr>
                <w:lang w:val="es-ES"/>
              </w:rPr>
              <w:t>á</w:t>
            </w:r>
            <w:r w:rsidR="5D572DEB" w:rsidRPr="17F8E6E3">
              <w:rPr>
                <w:lang w:val="es-ES"/>
              </w:rPr>
              <w:t xml:space="preserve"> </w:t>
            </w:r>
            <w:r w:rsidRPr="23EA4BFB">
              <w:rPr>
                <w:lang w:val="es-ES"/>
              </w:rPr>
              <w:t xml:space="preserve"> la</w:t>
            </w:r>
            <w:proofErr w:type="gramEnd"/>
            <w:r w:rsidRPr="23EA4BFB">
              <w:rPr>
                <w:lang w:val="es-ES"/>
              </w:rPr>
              <w:t xml:space="preserve"> ratio de cobertura </w:t>
            </w:r>
            <w:r w:rsidR="00CD12F9">
              <w:rPr>
                <w:lang w:val="es-ES"/>
              </w:rPr>
              <w:t>total</w:t>
            </w:r>
            <w:r w:rsidR="00CD12F9" w:rsidRPr="23EA4BFB">
              <w:rPr>
                <w:lang w:val="es-ES"/>
              </w:rPr>
              <w:t xml:space="preserve"> </w:t>
            </w:r>
            <w:r w:rsidRPr="23EA4BFB">
              <w:rPr>
                <w:lang w:val="es-ES"/>
              </w:rPr>
              <w:t xml:space="preserve">y </w:t>
            </w:r>
            <w:r w:rsidR="00CD12F9">
              <w:rPr>
                <w:lang w:val="es-ES"/>
              </w:rPr>
              <w:t>se aplicará</w:t>
            </w:r>
            <w:r w:rsidR="00CD12F9" w:rsidRPr="17F8E6E3">
              <w:rPr>
                <w:lang w:val="es-ES"/>
              </w:rPr>
              <w:t xml:space="preserve"> </w:t>
            </w:r>
            <w:r w:rsidRPr="23EA4BFB">
              <w:rPr>
                <w:lang w:val="es-ES"/>
              </w:rPr>
              <w:t>de forma prorrateada a todas las partidas cubiertas por dicho conjunto.</w:t>
            </w:r>
          </w:p>
        </w:tc>
      </w:tr>
      <w:tr w:rsidR="00414040" w14:paraId="7FE1D125" w14:textId="77777777" w:rsidTr="618604ED">
        <w:tc>
          <w:tcPr>
            <w:tcW w:w="1183" w:type="dxa"/>
            <w:tcBorders>
              <w:top w:val="single" w:sz="8" w:space="0" w:color="1A171C"/>
              <w:left w:val="nil"/>
              <w:bottom w:val="single" w:sz="8" w:space="0" w:color="1A171C"/>
              <w:right w:val="single" w:sz="8" w:space="0" w:color="1A171C"/>
            </w:tcBorders>
            <w:vAlign w:val="center"/>
          </w:tcPr>
          <w:p w14:paraId="7FE1D122" w14:textId="77777777" w:rsidR="00414040" w:rsidRDefault="00904E1A">
            <w:pPr>
              <w:pStyle w:val="P68B1DB1-Normal31"/>
            </w:pPr>
            <w:r>
              <w:lastRenderedPageBreak/>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414040" w:rsidRDefault="00904E1A">
            <w:pPr>
              <w:pStyle w:val="P68B1DB1-TableParagraph73"/>
              <w:spacing w:before="108"/>
              <w:ind w:left="85"/>
              <w:jc w:val="both"/>
              <w:rPr>
                <w:bCs/>
              </w:rPr>
            </w:pPr>
            <w:r>
              <w:t xml:space="preserve">Garante </w:t>
            </w:r>
          </w:p>
          <w:p w14:paraId="7FE1D124" w14:textId="0217B9D6" w:rsidR="00414040" w:rsidRDefault="00904E1A">
            <w:pPr>
              <w:pStyle w:val="P68B1DB1-TableParagraph40"/>
              <w:spacing w:before="108"/>
              <w:ind w:left="85"/>
              <w:jc w:val="both"/>
            </w:pPr>
            <w:r w:rsidRPr="4BEEBEF0">
              <w:rPr>
                <w:lang w:val="es-ES"/>
              </w:rPr>
              <w:t>Si el instrumento dispone de garantías, se debe proporcionar una identificación detallada del garante (código LEI, código ISO 3166–1 alfa-2 del país para gobierno, etc.)</w:t>
            </w:r>
            <w:r w:rsidR="00DF4834" w:rsidRPr="4BEEBEF0">
              <w:rPr>
                <w:lang w:val="es-ES"/>
              </w:rPr>
              <w:t>.</w:t>
            </w:r>
            <w:r w:rsidRPr="4BEEBEF0">
              <w:rPr>
                <w:lang w:val="es-ES"/>
              </w:rPr>
              <w:t xml:space="preserve"> Cuando </w:t>
            </w:r>
            <w:r w:rsidR="00BB589C">
              <w:rPr>
                <w:lang w:val="es-ES"/>
              </w:rPr>
              <w:t>existan</w:t>
            </w:r>
            <w:r w:rsidRPr="4BEEBEF0">
              <w:rPr>
                <w:lang w:val="es-ES"/>
              </w:rPr>
              <w:t xml:space="preserve"> varios garantes, deberán </w:t>
            </w:r>
            <w:r w:rsidR="1F568E3A" w:rsidRPr="4BEEBEF0">
              <w:rPr>
                <w:lang w:val="es-ES"/>
              </w:rPr>
              <w:t>declararse</w:t>
            </w:r>
            <w:r w:rsidRPr="4BEEBEF0">
              <w:rPr>
                <w:lang w:val="es-ES"/>
              </w:rPr>
              <w:t xml:space="preserve"> todos los identificadores, separados mediante un punto y coma.</w:t>
            </w:r>
          </w:p>
        </w:tc>
      </w:tr>
      <w:tr w:rsidR="00414040" w14:paraId="7FE1D131" w14:textId="77777777" w:rsidTr="618604ED">
        <w:tc>
          <w:tcPr>
            <w:tcW w:w="1183" w:type="dxa"/>
            <w:tcBorders>
              <w:top w:val="single" w:sz="8" w:space="0" w:color="1A171C"/>
              <w:left w:val="nil"/>
              <w:bottom w:val="single" w:sz="8" w:space="0" w:color="1A171C"/>
              <w:right w:val="single" w:sz="8" w:space="0" w:color="1A171C"/>
            </w:tcBorders>
            <w:vAlign w:val="center"/>
          </w:tcPr>
          <w:p w14:paraId="7FE1D12E" w14:textId="77777777" w:rsidR="00414040" w:rsidRDefault="00904E1A">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6340F1F9" w:rsidR="00414040" w:rsidRDefault="00904E1A">
            <w:pPr>
              <w:pStyle w:val="P68B1DB1-TableParagraph73"/>
              <w:spacing w:before="108"/>
              <w:ind w:left="85"/>
              <w:jc w:val="both"/>
              <w:rPr>
                <w:bCs/>
              </w:rPr>
            </w:pPr>
            <w:r>
              <w:t xml:space="preserve">Importe </w:t>
            </w:r>
            <w:r w:rsidR="3935FAEA">
              <w:t xml:space="preserve">admisible para el </w:t>
            </w:r>
            <w:r>
              <w:t xml:space="preserve">MREL </w:t>
            </w:r>
          </w:p>
          <w:p w14:paraId="7FE1D130" w14:textId="4D8FD63E" w:rsidR="00414040" w:rsidRDefault="00904E1A">
            <w:pPr>
              <w:pStyle w:val="P68B1DB1-TableParagraph40"/>
              <w:spacing w:before="108"/>
              <w:ind w:left="85"/>
              <w:jc w:val="both"/>
            </w:pPr>
            <w:r w:rsidRPr="2133F407">
              <w:rPr>
                <w:lang w:val="es-ES"/>
              </w:rPr>
              <w:t xml:space="preserve">El importe de los fondos propios y pasivos admisibles </w:t>
            </w:r>
            <w:r w:rsidR="00757E18">
              <w:rPr>
                <w:lang w:val="es-ES"/>
              </w:rPr>
              <w:t>computable</w:t>
            </w:r>
            <w:r w:rsidRPr="2133F407">
              <w:rPr>
                <w:lang w:val="es-ES"/>
              </w:rPr>
              <w:t xml:space="preserve"> para el requisito establecido de conformidad con el artículo 45, apartado 1, de la Directiva 2014/59/UE.</w:t>
            </w:r>
          </w:p>
        </w:tc>
      </w:tr>
      <w:tr w:rsidR="00414040" w14:paraId="7FE1D135" w14:textId="77777777" w:rsidTr="618604ED">
        <w:tc>
          <w:tcPr>
            <w:tcW w:w="1183" w:type="dxa"/>
            <w:tcBorders>
              <w:top w:val="single" w:sz="8" w:space="0" w:color="1A171C"/>
              <w:left w:val="nil"/>
              <w:bottom w:val="single" w:sz="8" w:space="0" w:color="1A171C"/>
              <w:right w:val="single" w:sz="8" w:space="0" w:color="1A171C"/>
            </w:tcBorders>
            <w:vAlign w:val="center"/>
          </w:tcPr>
          <w:p w14:paraId="7FE1D132" w14:textId="77777777" w:rsidR="00414040" w:rsidRDefault="00904E1A">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221AF1E0" w:rsidR="00414040" w:rsidRDefault="7513C2E8">
            <w:pPr>
              <w:pStyle w:val="P68B1DB1-TableParagraph73"/>
              <w:spacing w:before="108"/>
              <w:ind w:left="85"/>
              <w:jc w:val="both"/>
              <w:rPr>
                <w:bCs/>
              </w:rPr>
            </w:pPr>
            <w:r>
              <w:t>Fondos propios admisibles</w:t>
            </w:r>
          </w:p>
          <w:p w14:paraId="7FE1D134" w14:textId="38646910" w:rsidR="00414040" w:rsidRDefault="00904E1A" w:rsidP="003841CE">
            <w:pPr>
              <w:pStyle w:val="P68B1DB1-TableParagraph40"/>
              <w:spacing w:before="108"/>
              <w:ind w:left="85"/>
              <w:jc w:val="both"/>
            </w:pPr>
            <w:r w:rsidRPr="1F069520">
              <w:rPr>
                <w:lang w:val="es-ES"/>
              </w:rPr>
              <w:t xml:space="preserve">Indique si el instrumento está incluido en los fondos propios y a qué nivel, junto </w:t>
            </w:r>
            <w:r w:rsidR="00DF4834">
              <w:rPr>
                <w:lang w:val="es-ES"/>
              </w:rPr>
              <w:t>con</w:t>
            </w:r>
            <w:r w:rsidR="00DF4834" w:rsidRPr="1F069520">
              <w:rPr>
                <w:lang w:val="es-ES"/>
              </w:rPr>
              <w:t xml:space="preserve"> </w:t>
            </w:r>
            <w:r w:rsidRPr="1F069520">
              <w:rPr>
                <w:lang w:val="es-ES"/>
              </w:rPr>
              <w:t xml:space="preserve">la información sobre el régimen de </w:t>
            </w:r>
            <w:r w:rsidR="0C36A510" w:rsidRPr="1F069520">
              <w:rPr>
                <w:lang w:val="es-ES"/>
              </w:rPr>
              <w:t>eliminación progresiva</w:t>
            </w:r>
            <w:r w:rsidRPr="1F069520">
              <w:rPr>
                <w:lang w:val="es-ES"/>
              </w:rPr>
              <w:t xml:space="preserve"> y </w:t>
            </w:r>
            <w:r w:rsidR="24066236" w:rsidRPr="1F069520">
              <w:rPr>
                <w:lang w:val="es-ES"/>
              </w:rPr>
              <w:t>disposiciones transitorias</w:t>
            </w:r>
            <w:r w:rsidRPr="1F069520">
              <w:rPr>
                <w:lang w:val="es-ES"/>
              </w:rPr>
              <w:t xml:space="preserve">. El valor puede ser «No», «Parcialmente AT1, T1 y T2», «T2 en </w:t>
            </w:r>
            <w:r w:rsidR="23E372EC" w:rsidRPr="1F069520">
              <w:rPr>
                <w:lang w:val="es-ES"/>
              </w:rPr>
              <w:t>eliminación progresiva</w:t>
            </w:r>
            <w:r w:rsidRPr="1F069520">
              <w:rPr>
                <w:lang w:val="es-ES"/>
              </w:rPr>
              <w:t xml:space="preserve">», «T2 con </w:t>
            </w:r>
            <w:r w:rsidR="23F3BEDB" w:rsidRPr="1F069520">
              <w:rPr>
                <w:lang w:val="es-ES"/>
              </w:rPr>
              <w:t>disposiciones transitorias</w:t>
            </w:r>
            <w:r w:rsidRPr="1F069520">
              <w:rPr>
                <w:lang w:val="es-ES"/>
              </w:rPr>
              <w:t xml:space="preserve">», «Cumplimiento total T2», «AT1 con </w:t>
            </w:r>
            <w:r w:rsidR="5A4BE2EC" w:rsidRPr="1F069520">
              <w:rPr>
                <w:lang w:val="es-ES"/>
              </w:rPr>
              <w:t>disposiciones transitorias</w:t>
            </w:r>
            <w:r w:rsidRPr="1F069520">
              <w:rPr>
                <w:lang w:val="es-ES"/>
              </w:rPr>
              <w:t>», «Cumplimiento total AT1» o «CET1»</w:t>
            </w:r>
            <w:r w:rsidR="00DF4834">
              <w:rPr>
                <w:lang w:val="es-ES"/>
              </w:rPr>
              <w:t>,</w:t>
            </w:r>
            <w:r w:rsidRPr="1F069520">
              <w:rPr>
                <w:lang w:val="es-ES"/>
              </w:rPr>
              <w:t xml:space="preserve"> </w:t>
            </w:r>
            <w:r w:rsidR="00DF4834">
              <w:rPr>
                <w:lang w:val="es-ES"/>
              </w:rPr>
              <w:t>a partir de</w:t>
            </w:r>
            <w:r w:rsidR="00DF4834" w:rsidRPr="1F069520">
              <w:rPr>
                <w:lang w:val="es-ES"/>
              </w:rPr>
              <w:t xml:space="preserve"> </w:t>
            </w:r>
            <w:r w:rsidRPr="1F069520">
              <w:rPr>
                <w:lang w:val="es-ES"/>
              </w:rPr>
              <w:t>una lista predefinida.</w:t>
            </w:r>
          </w:p>
        </w:tc>
      </w:tr>
      <w:tr w:rsidR="00414040" w14:paraId="7FE1D139" w14:textId="77777777" w:rsidTr="618604ED">
        <w:tc>
          <w:tcPr>
            <w:tcW w:w="1183" w:type="dxa"/>
            <w:tcBorders>
              <w:top w:val="single" w:sz="8" w:space="0" w:color="1A171C"/>
              <w:left w:val="nil"/>
              <w:bottom w:val="single" w:sz="8" w:space="0" w:color="1A171C"/>
              <w:right w:val="single" w:sz="8" w:space="0" w:color="1A171C"/>
            </w:tcBorders>
            <w:vAlign w:val="center"/>
          </w:tcPr>
          <w:p w14:paraId="7FE1D136" w14:textId="77777777" w:rsidR="00414040" w:rsidRDefault="00904E1A">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73456240" w:rsidR="00414040" w:rsidRDefault="00904E1A">
            <w:pPr>
              <w:pStyle w:val="P68B1DB1-TableParagraph40"/>
              <w:spacing w:before="108"/>
              <w:ind w:left="85"/>
              <w:jc w:val="both"/>
              <w:rPr>
                <w:b/>
                <w:lang w:val="es-ES"/>
              </w:rPr>
            </w:pPr>
            <w:r w:rsidRPr="6089386A">
              <w:rPr>
                <w:lang w:val="es-ES"/>
              </w:rPr>
              <w:t xml:space="preserve"> </w:t>
            </w:r>
            <w:r w:rsidR="2E7EB61C" w:rsidRPr="77D16AE7">
              <w:rPr>
                <w:b/>
                <w:bCs/>
                <w:lang w:val="es-ES"/>
              </w:rPr>
              <w:t>Importe</w:t>
            </w:r>
            <w:r w:rsidR="2E7EB61C" w:rsidRPr="6089386A">
              <w:rPr>
                <w:b/>
                <w:bCs/>
                <w:lang w:val="es-ES"/>
              </w:rPr>
              <w:t xml:space="preserve"> de fondos </w:t>
            </w:r>
            <w:r w:rsidR="2E7EB61C" w:rsidRPr="77D16AE7">
              <w:rPr>
                <w:b/>
                <w:bCs/>
                <w:lang w:val="es-ES"/>
              </w:rPr>
              <w:t xml:space="preserve">propios admisibles </w:t>
            </w:r>
          </w:p>
          <w:p w14:paraId="7FE1D138" w14:textId="47D72277" w:rsidR="00414040" w:rsidRDefault="00904E1A">
            <w:pPr>
              <w:pStyle w:val="P68B1DB1-TableParagraph40"/>
              <w:spacing w:before="108"/>
              <w:ind w:left="85"/>
              <w:jc w:val="both"/>
            </w:pPr>
            <w:r>
              <w:t xml:space="preserve">El importe del instrumento </w:t>
            </w:r>
            <w:r w:rsidR="4662EB3C">
              <w:t>admisible</w:t>
            </w:r>
            <w:r>
              <w:t xml:space="preserve"> como fondos propios.</w:t>
            </w:r>
          </w:p>
        </w:tc>
      </w:tr>
    </w:tbl>
    <w:p w14:paraId="7FE1D13A" w14:textId="77777777" w:rsidR="00414040" w:rsidRDefault="00414040">
      <w:pPr>
        <w:pStyle w:val="Instructionsberschrift2"/>
        <w:ind w:left="357"/>
        <w:rPr>
          <w:rFonts w:ascii="Times New Roman" w:eastAsia="Calibri" w:hAnsi="Times New Roman" w:cs="Times New Roman"/>
          <w:szCs w:val="20"/>
        </w:rPr>
      </w:pPr>
      <w:bookmarkStart w:id="249" w:name="_Toc81454216"/>
    </w:p>
    <w:p w14:paraId="7FE1D13B" w14:textId="0DCB9703" w:rsidR="00414040" w:rsidRDefault="00904E1A">
      <w:pPr>
        <w:pStyle w:val="Instructionsberschrift2"/>
        <w:numPr>
          <w:ilvl w:val="1"/>
          <w:numId w:val="49"/>
        </w:numPr>
        <w:spacing w:before="0"/>
        <w:ind w:left="357" w:hanging="357"/>
        <w:rPr>
          <w:rFonts w:ascii="Times New Roman" w:hAnsi="Times New Roman" w:cs="Times New Roman"/>
        </w:rPr>
      </w:pPr>
      <w:bookmarkStart w:id="250" w:name="_Toc211525949"/>
      <w:r>
        <w:rPr>
          <w:rFonts w:ascii="Times New Roman" w:eastAsiaTheme="minorEastAsia" w:hAnsi="Times New Roman" w:cs="Times New Roman"/>
        </w:rPr>
        <w:t xml:space="preserve">Z 15.00 — Derivados </w:t>
      </w:r>
      <w:r>
        <w:rPr>
          <w:rFonts w:ascii="Times New Roman" w:eastAsia="Calibri" w:hAnsi="Times New Roman" w:cs="Times New Roman"/>
          <w:szCs w:val="20"/>
        </w:rPr>
        <w:t>(LIAB-G-5)</w:t>
      </w:r>
      <w:bookmarkEnd w:id="250"/>
    </w:p>
    <w:bookmarkEnd w:id="249"/>
    <w:p w14:paraId="7FE1D13D" w14:textId="77777777" w:rsidR="00414040" w:rsidRDefault="00904E1A">
      <w:pPr>
        <w:pStyle w:val="P68B1DB1-Numberedtitlelevel388"/>
      </w:pPr>
      <w:r>
        <w:t>Observaciones generales</w:t>
      </w:r>
    </w:p>
    <w:p w14:paraId="7FE1D13E" w14:textId="4BB28F67" w:rsidR="00414040" w:rsidRDefault="00904E1A" w:rsidP="1F069520">
      <w:pPr>
        <w:pStyle w:val="P68B1DB1-InstructionsText286"/>
        <w:numPr>
          <w:ilvl w:val="2"/>
          <w:numId w:val="209"/>
        </w:numPr>
        <w:spacing w:before="0"/>
        <w:ind w:left="1276"/>
        <w:rPr>
          <w:rFonts w:eastAsiaTheme="majorEastAsia"/>
          <w:lang w:val="es-ES"/>
        </w:rPr>
      </w:pPr>
      <w:r w:rsidRPr="1F069520">
        <w:rPr>
          <w:lang w:val="es-ES"/>
        </w:rPr>
        <w:t>A efectos de est</w:t>
      </w:r>
      <w:r w:rsidR="7DDE498E" w:rsidRPr="1F069520">
        <w:rPr>
          <w:lang w:val="es-ES"/>
        </w:rPr>
        <w:t>a plantilla</w:t>
      </w:r>
      <w:r w:rsidRPr="1F069520">
        <w:rPr>
          <w:lang w:val="es-ES"/>
        </w:rPr>
        <w:t xml:space="preserve">, los pasivos surgidos de derivados se comunicarán por conjunto de operaciones compensables, es decir, cada conjunto de operaciones compensables </w:t>
      </w:r>
      <w:r w:rsidR="009731A1">
        <w:rPr>
          <w:lang w:val="es-ES"/>
        </w:rPr>
        <w:t>informada en</w:t>
      </w:r>
      <w:r w:rsidR="009731A1" w:rsidRPr="1F069520">
        <w:rPr>
          <w:lang w:val="es-ES"/>
        </w:rPr>
        <w:t xml:space="preserve"> </w:t>
      </w:r>
      <w:r w:rsidRPr="1F069520">
        <w:rPr>
          <w:lang w:val="es-ES"/>
        </w:rPr>
        <w:t xml:space="preserve">una </w:t>
      </w:r>
      <w:r w:rsidR="547FB999" w:rsidRPr="5A3398EC">
        <w:rPr>
          <w:lang w:val="es-ES"/>
        </w:rPr>
        <w:t xml:space="preserve">fila </w:t>
      </w:r>
      <w:r w:rsidR="009731A1">
        <w:rPr>
          <w:lang w:val="es-ES"/>
        </w:rPr>
        <w:t>independiente</w:t>
      </w:r>
      <w:r w:rsidRPr="1F069520">
        <w:rPr>
          <w:lang w:val="es-ES"/>
        </w:rPr>
        <w:t xml:space="preserve">. </w:t>
      </w:r>
    </w:p>
    <w:p w14:paraId="7FE1D140" w14:textId="6B5870BD" w:rsidR="00414040" w:rsidRDefault="00904E1A">
      <w:pPr>
        <w:pStyle w:val="P68B1DB1-InstructionsText286"/>
        <w:numPr>
          <w:ilvl w:val="2"/>
          <w:numId w:val="209"/>
        </w:numPr>
        <w:spacing w:before="0"/>
        <w:ind w:left="1276"/>
      </w:pPr>
      <w:r>
        <w:t>Solo se comunicarán los conjuntos de operaciones compensables/contratos únicos de derivados que den lugar a un pasivo neto a precios de mercado (columna c0120).</w:t>
      </w:r>
    </w:p>
    <w:p w14:paraId="7FE1D142" w14:textId="77777777" w:rsidR="00414040" w:rsidRDefault="00904E1A">
      <w:pPr>
        <w:pStyle w:val="P68B1DB1-Numberedtitlelevel388"/>
      </w:pPr>
      <w:r>
        <w:t>Instrucciones relativas a posiciones concretas</w:t>
      </w:r>
    </w:p>
    <w:tbl>
      <w:tblPr>
        <w:tblW w:w="9015" w:type="dxa"/>
        <w:tblInd w:w="135" w:type="dxa"/>
        <w:tblLayout w:type="fixed"/>
        <w:tblLook w:val="04A0" w:firstRow="1" w:lastRow="0" w:firstColumn="1" w:lastColumn="0" w:noHBand="0" w:noVBand="1"/>
      </w:tblPr>
      <w:tblGrid>
        <w:gridCol w:w="1183"/>
        <w:gridCol w:w="7832"/>
      </w:tblGrid>
      <w:tr w:rsidR="00414040" w14:paraId="7FE1D145" w14:textId="77777777" w:rsidTr="618604ED">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414040" w:rsidRDefault="00904E1A">
            <w:pPr>
              <w:pStyle w:val="P68B1DB1-Normal31"/>
            </w:pPr>
            <w:r>
              <w:t xml:space="preserve">Columnas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414040" w:rsidRDefault="00904E1A">
            <w:pPr>
              <w:pStyle w:val="P68B1DB1-Normal31"/>
            </w:pPr>
            <w:r>
              <w:t xml:space="preserve">Instrucciones </w:t>
            </w:r>
          </w:p>
        </w:tc>
      </w:tr>
      <w:tr w:rsidR="00414040" w14:paraId="7FE1D149" w14:textId="77777777" w:rsidTr="618604ED">
        <w:tc>
          <w:tcPr>
            <w:tcW w:w="1183" w:type="dxa"/>
            <w:tcBorders>
              <w:top w:val="single" w:sz="8" w:space="0" w:color="1A171C"/>
              <w:left w:val="nil"/>
              <w:bottom w:val="single" w:sz="8" w:space="0" w:color="1A171C"/>
              <w:right w:val="single" w:sz="8" w:space="0" w:color="1A171C"/>
            </w:tcBorders>
            <w:vAlign w:val="center"/>
          </w:tcPr>
          <w:p w14:paraId="7FE1D146" w14:textId="77777777" w:rsidR="00414040" w:rsidRDefault="00904E1A">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1C342D80" w:rsidR="00414040" w:rsidRDefault="00904E1A">
            <w:pPr>
              <w:pStyle w:val="P68B1DB1-TableParagraph73"/>
              <w:spacing w:before="108"/>
              <w:ind w:left="85"/>
              <w:jc w:val="both"/>
              <w:rPr>
                <w:bCs/>
              </w:rPr>
            </w:pPr>
            <w:r>
              <w:t>N.</w:t>
            </w:r>
            <w:r w:rsidR="0026189D">
              <w:t xml:space="preserve">º </w:t>
            </w:r>
          </w:p>
          <w:p w14:paraId="7FE1D148" w14:textId="18C23B21" w:rsidR="00414040" w:rsidRDefault="00904E1A">
            <w:pPr>
              <w:pStyle w:val="P68B1DB1-TableParagraph40"/>
              <w:spacing w:before="108"/>
              <w:ind w:left="85"/>
              <w:jc w:val="both"/>
            </w:pPr>
            <w:r>
              <w:t xml:space="preserve">Número único o clave principal </w:t>
            </w:r>
            <w:r w:rsidR="0026189D" w:rsidRPr="008C6BCD">
              <w:t>única</w:t>
            </w:r>
            <w:r w:rsidR="0026189D">
              <w:t xml:space="preserve"> </w:t>
            </w:r>
            <w:r>
              <w:t xml:space="preserve">para identificar las </w:t>
            </w:r>
            <w:r w:rsidR="008C6BCD">
              <w:t>filas</w:t>
            </w:r>
            <w:r>
              <w:t>.</w:t>
            </w:r>
          </w:p>
        </w:tc>
      </w:tr>
      <w:tr w:rsidR="00414040" w14:paraId="7FE1D14D" w14:textId="77777777" w:rsidTr="618604ED">
        <w:tc>
          <w:tcPr>
            <w:tcW w:w="1183" w:type="dxa"/>
            <w:tcBorders>
              <w:top w:val="single" w:sz="8" w:space="0" w:color="1A171C"/>
              <w:left w:val="nil"/>
              <w:bottom w:val="single" w:sz="8" w:space="0" w:color="1A171C"/>
              <w:right w:val="single" w:sz="8" w:space="0" w:color="1A171C"/>
            </w:tcBorders>
            <w:vAlign w:val="center"/>
          </w:tcPr>
          <w:p w14:paraId="7FE1D14A" w14:textId="77777777" w:rsidR="00414040" w:rsidRDefault="00904E1A">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414040" w:rsidRDefault="00904E1A">
            <w:pPr>
              <w:pStyle w:val="P68B1DB1-TableParagraph73"/>
              <w:spacing w:before="108"/>
              <w:ind w:left="85"/>
              <w:jc w:val="both"/>
              <w:rPr>
                <w:bCs/>
              </w:rPr>
            </w:pPr>
            <w:r>
              <w:t xml:space="preserve">Columna </w:t>
            </w:r>
          </w:p>
          <w:p w14:paraId="7FE1D14C" w14:textId="7B7DF605" w:rsidR="00414040" w:rsidRDefault="00904E1A">
            <w:pPr>
              <w:pStyle w:val="P68B1DB1-TableParagraph40"/>
              <w:spacing w:before="108"/>
              <w:ind w:left="85"/>
              <w:jc w:val="both"/>
            </w:pPr>
            <w:r>
              <w:t xml:space="preserve">Para cada conjunto de operaciones compensables, debe </w:t>
            </w:r>
            <w:r w:rsidR="0026189D">
              <w:t xml:space="preserve">realizarse </w:t>
            </w:r>
            <w:r>
              <w:t>una conciliación con cuál</w:t>
            </w:r>
            <w:r w:rsidR="0026189D">
              <w:t>es</w:t>
            </w:r>
            <w:r>
              <w:t xml:space="preserve"> de </w:t>
            </w:r>
            <w:r w:rsidR="0026189D">
              <w:t xml:space="preserve">las categorías de contrapartes se ha contratado </w:t>
            </w:r>
            <w:r>
              <w:t xml:space="preserve">la estructura de pasivos </w:t>
            </w:r>
            <w:r w:rsidR="0026189D">
              <w:t xml:space="preserve">de </w:t>
            </w:r>
            <w:r>
              <w:t>Z 02.00 a partir de una lista predefinida de valores.</w:t>
            </w:r>
          </w:p>
        </w:tc>
      </w:tr>
      <w:tr w:rsidR="00414040" w14:paraId="7FE1D151" w14:textId="77777777" w:rsidTr="618604ED">
        <w:tc>
          <w:tcPr>
            <w:tcW w:w="1183" w:type="dxa"/>
            <w:tcBorders>
              <w:top w:val="single" w:sz="8" w:space="0" w:color="1A171C"/>
              <w:left w:val="nil"/>
              <w:bottom w:val="single" w:sz="8" w:space="0" w:color="1A171C"/>
              <w:right w:val="single" w:sz="8" w:space="0" w:color="1A171C"/>
            </w:tcBorders>
            <w:vAlign w:val="center"/>
          </w:tcPr>
          <w:p w14:paraId="7FE1D14E" w14:textId="77777777" w:rsidR="00414040" w:rsidRDefault="00904E1A">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791EAB67" w:rsidR="00414040" w:rsidRPr="008C6BCD" w:rsidRDefault="4A597883">
            <w:pPr>
              <w:pStyle w:val="P68B1DB1-TableParagraph73"/>
              <w:spacing w:before="108"/>
              <w:ind w:left="85"/>
              <w:jc w:val="both"/>
              <w:rPr>
                <w:bCs/>
              </w:rPr>
            </w:pPr>
            <w:r w:rsidRPr="008C6BCD">
              <w:t>Rango en caso</w:t>
            </w:r>
            <w:r w:rsidR="00904E1A" w:rsidRPr="008C6BCD">
              <w:t xml:space="preserve"> </w:t>
            </w:r>
            <w:r w:rsidR="00904E1A" w:rsidRPr="008C6BCD">
              <w:rPr>
                <w:lang w:val="es-ES"/>
              </w:rPr>
              <w:t xml:space="preserve">de insolvencia  </w:t>
            </w:r>
          </w:p>
          <w:p w14:paraId="7FE1D150" w14:textId="00926D41" w:rsidR="00414040" w:rsidRDefault="00904E1A">
            <w:pPr>
              <w:pStyle w:val="P68B1DB1-TableParagraph40"/>
              <w:spacing w:before="108"/>
              <w:ind w:left="85"/>
              <w:jc w:val="both"/>
            </w:pPr>
            <w:r w:rsidRPr="008C6BCD">
              <w:t>El rango en caso de insolvencia será uno de los rangos incluidos en el orden de prelación en caso de insolvencia publicado por la autoridad de resolución de ese</w:t>
            </w:r>
            <w:r>
              <w:t xml:space="preserve"> país.</w:t>
            </w:r>
          </w:p>
        </w:tc>
      </w:tr>
      <w:tr w:rsidR="00414040" w14:paraId="7FE1D155" w14:textId="77777777" w:rsidTr="618604ED">
        <w:tc>
          <w:tcPr>
            <w:tcW w:w="1183" w:type="dxa"/>
            <w:tcBorders>
              <w:top w:val="single" w:sz="8" w:space="0" w:color="1A171C"/>
              <w:left w:val="nil"/>
              <w:bottom w:val="single" w:sz="8" w:space="0" w:color="1A171C"/>
              <w:right w:val="single" w:sz="8" w:space="0" w:color="1A171C"/>
            </w:tcBorders>
            <w:vAlign w:val="center"/>
          </w:tcPr>
          <w:p w14:paraId="7FE1D152" w14:textId="77777777" w:rsidR="00414040" w:rsidRDefault="00904E1A">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414040" w:rsidRDefault="00904E1A">
            <w:pPr>
              <w:pStyle w:val="P68B1DB1-TableParagraph73"/>
              <w:spacing w:before="108"/>
              <w:ind w:left="85"/>
              <w:jc w:val="both"/>
              <w:rPr>
                <w:bCs/>
              </w:rPr>
            </w:pPr>
            <w:r>
              <w:t xml:space="preserve">Identificador del acuerdo marco  </w:t>
            </w:r>
          </w:p>
          <w:p w14:paraId="7FE1D154" w14:textId="77777777" w:rsidR="00414040" w:rsidRDefault="00904E1A">
            <w:pPr>
              <w:pStyle w:val="P68B1DB1-TableParagraph40"/>
              <w:spacing w:before="108"/>
              <w:ind w:left="85"/>
              <w:jc w:val="both"/>
            </w:pPr>
            <w:r>
              <w:t>Identificador interno del acuerdo marco o del contrato único.</w:t>
            </w:r>
          </w:p>
        </w:tc>
      </w:tr>
      <w:tr w:rsidR="00414040" w14:paraId="7FE1D159" w14:textId="77777777" w:rsidTr="618604ED">
        <w:tc>
          <w:tcPr>
            <w:tcW w:w="1183" w:type="dxa"/>
            <w:tcBorders>
              <w:top w:val="single" w:sz="8" w:space="0" w:color="1A171C"/>
              <w:left w:val="nil"/>
              <w:bottom w:val="single" w:sz="8" w:space="0" w:color="1A171C"/>
              <w:right w:val="single" w:sz="8" w:space="0" w:color="1A171C"/>
            </w:tcBorders>
            <w:vAlign w:val="center"/>
          </w:tcPr>
          <w:p w14:paraId="7FE1D156" w14:textId="77777777" w:rsidR="00414040" w:rsidRDefault="00904E1A">
            <w:pPr>
              <w:pStyle w:val="P68B1DB1-Normal31"/>
            </w:pPr>
            <w:r>
              <w:lastRenderedPageBreak/>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414040" w:rsidRDefault="00904E1A">
            <w:pPr>
              <w:pStyle w:val="P68B1DB1-TableParagraph73"/>
              <w:spacing w:before="108"/>
              <w:ind w:left="85"/>
              <w:jc w:val="both"/>
              <w:rPr>
                <w:bCs/>
              </w:rPr>
            </w:pPr>
            <w:r>
              <w:t xml:space="preserve">Tipo de acuerdo marco </w:t>
            </w:r>
          </w:p>
          <w:p w14:paraId="7FE1D158" w14:textId="338F32CE" w:rsidR="00414040" w:rsidRDefault="00904E1A">
            <w:pPr>
              <w:pStyle w:val="P68B1DB1-TableParagraph40"/>
              <w:spacing w:before="108"/>
              <w:ind w:left="85"/>
              <w:jc w:val="both"/>
            </w:pPr>
            <w:r>
              <w:t>Especifique el acuerdo marco, ya sea «acuerdo marco ISDA 2002», «acuerdo marco ISDA 1992», «acuerdo marco ISDA 1987», «acuerdo marco ISDA 1986», «acuerdo marco ISDA 1985», «otro acuerdo marco» o «contrato único» a partir de una lista predefinida.</w:t>
            </w:r>
          </w:p>
        </w:tc>
      </w:tr>
      <w:tr w:rsidR="00414040" w14:paraId="7FE1D15D" w14:textId="77777777" w:rsidTr="618604ED">
        <w:tc>
          <w:tcPr>
            <w:tcW w:w="1183" w:type="dxa"/>
            <w:tcBorders>
              <w:top w:val="single" w:sz="8" w:space="0" w:color="1A171C"/>
              <w:left w:val="nil"/>
              <w:bottom w:val="single" w:sz="8" w:space="0" w:color="1A171C"/>
              <w:right w:val="single" w:sz="8" w:space="0" w:color="1A171C"/>
            </w:tcBorders>
            <w:vAlign w:val="center"/>
          </w:tcPr>
          <w:p w14:paraId="7FE1D15A" w14:textId="77777777" w:rsidR="00414040" w:rsidRDefault="00904E1A">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28A29165" w:rsidR="00414040" w:rsidRDefault="00904E1A">
            <w:pPr>
              <w:pStyle w:val="P68B1DB1-TableParagraph73"/>
              <w:spacing w:before="108"/>
              <w:ind w:left="85"/>
              <w:jc w:val="both"/>
            </w:pPr>
            <w:r>
              <w:t>Entidad adher</w:t>
            </w:r>
            <w:r w:rsidR="1BD7E95E">
              <w:t>ida</w:t>
            </w:r>
            <w:r>
              <w:t xml:space="preserve"> al protocolo de la ISDA  </w:t>
            </w:r>
          </w:p>
          <w:p w14:paraId="7FE1D15C" w14:textId="7EFD4185" w:rsidR="00414040" w:rsidRDefault="00904E1A">
            <w:pPr>
              <w:pStyle w:val="P68B1DB1-TableParagraph40"/>
              <w:spacing w:before="108"/>
              <w:ind w:left="85"/>
              <w:jc w:val="both"/>
              <w:rPr>
                <w:lang w:val="es-ES"/>
              </w:rPr>
            </w:pPr>
            <w:r w:rsidRPr="3E4E0AEA">
              <w:rPr>
                <w:lang w:val="es-ES"/>
              </w:rPr>
              <w:t xml:space="preserve">Indique si </w:t>
            </w:r>
            <w:r w:rsidR="7F9E2059" w:rsidRPr="3E4E0AEA">
              <w:rPr>
                <w:lang w:val="es-ES"/>
              </w:rPr>
              <w:t>el ente</w:t>
            </w:r>
            <w:r w:rsidRPr="3E4E0AEA">
              <w:rPr>
                <w:lang w:val="es-ES"/>
              </w:rPr>
              <w:t xml:space="preserve"> ha firmado el ISDA Universal </w:t>
            </w:r>
            <w:proofErr w:type="spellStart"/>
            <w:r w:rsidRPr="3E4E0AEA">
              <w:rPr>
                <w:lang w:val="es-ES"/>
              </w:rPr>
              <w:t>Stay</w:t>
            </w:r>
            <w:proofErr w:type="spellEnd"/>
            <w:r w:rsidRPr="3E4E0AEA">
              <w:rPr>
                <w:lang w:val="es-ES"/>
              </w:rPr>
              <w:t xml:space="preserve"> </w:t>
            </w:r>
            <w:proofErr w:type="spellStart"/>
            <w:r w:rsidRPr="3E4E0AEA">
              <w:rPr>
                <w:lang w:val="es-ES"/>
              </w:rPr>
              <w:t>Protocol</w:t>
            </w:r>
            <w:proofErr w:type="spellEnd"/>
            <w:r w:rsidRPr="3E4E0AEA">
              <w:rPr>
                <w:lang w:val="es-ES"/>
              </w:rPr>
              <w:t xml:space="preserve"> </w:t>
            </w:r>
            <w:r w:rsidR="3979B403" w:rsidRPr="17C12D40">
              <w:rPr>
                <w:lang w:val="es-ES"/>
              </w:rPr>
              <w:t>eligiendo entre:</w:t>
            </w:r>
            <w:r w:rsidRPr="3E4E0AEA">
              <w:rPr>
                <w:lang w:val="es-ES"/>
              </w:rPr>
              <w:t xml:space="preserve"> «ISDA Universal </w:t>
            </w:r>
            <w:proofErr w:type="spellStart"/>
            <w:r w:rsidRPr="3E4E0AEA">
              <w:rPr>
                <w:lang w:val="es-ES"/>
              </w:rPr>
              <w:t>Protocol</w:t>
            </w:r>
            <w:proofErr w:type="spellEnd"/>
            <w:r w:rsidRPr="3E4E0AEA">
              <w:rPr>
                <w:lang w:val="es-ES"/>
              </w:rPr>
              <w:t xml:space="preserve">», «ISDA JMP Module», «BRRD II </w:t>
            </w:r>
            <w:proofErr w:type="spellStart"/>
            <w:r w:rsidRPr="3E4E0AEA">
              <w:rPr>
                <w:lang w:val="es-ES"/>
              </w:rPr>
              <w:t>Omnibus</w:t>
            </w:r>
            <w:proofErr w:type="spellEnd"/>
            <w:r w:rsidRPr="3E4E0AEA">
              <w:rPr>
                <w:lang w:val="es-ES"/>
              </w:rPr>
              <w:t xml:space="preserve"> </w:t>
            </w:r>
            <w:proofErr w:type="spellStart"/>
            <w:r w:rsidRPr="3E4E0AEA">
              <w:rPr>
                <w:lang w:val="es-ES"/>
              </w:rPr>
              <w:t>Jurisdictional</w:t>
            </w:r>
            <w:proofErr w:type="spellEnd"/>
            <w:r w:rsidRPr="3E4E0AEA">
              <w:rPr>
                <w:lang w:val="es-ES"/>
              </w:rPr>
              <w:t xml:space="preserve"> Module» o «No» a </w:t>
            </w:r>
            <w:r w:rsidR="0344202B" w:rsidRPr="3E4E0AEA">
              <w:rPr>
                <w:lang w:val="es-ES"/>
              </w:rPr>
              <w:t xml:space="preserve">partir </w:t>
            </w:r>
            <w:r w:rsidRPr="3E4E0AEA">
              <w:rPr>
                <w:lang w:val="es-ES"/>
              </w:rPr>
              <w:t xml:space="preserve">de una lista predefinida. </w:t>
            </w:r>
          </w:p>
        </w:tc>
      </w:tr>
      <w:tr w:rsidR="00414040" w14:paraId="7FE1D161" w14:textId="77777777" w:rsidTr="618604ED">
        <w:tc>
          <w:tcPr>
            <w:tcW w:w="1183" w:type="dxa"/>
            <w:tcBorders>
              <w:top w:val="single" w:sz="8" w:space="0" w:color="1A171C"/>
              <w:left w:val="nil"/>
              <w:bottom w:val="single" w:sz="8" w:space="0" w:color="1A171C"/>
              <w:right w:val="single" w:sz="8" w:space="0" w:color="1A171C"/>
            </w:tcBorders>
            <w:vAlign w:val="center"/>
          </w:tcPr>
          <w:p w14:paraId="7FE1D15E" w14:textId="77777777" w:rsidR="00414040" w:rsidRDefault="00904E1A">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414040" w:rsidRDefault="00904E1A">
            <w:pPr>
              <w:pStyle w:val="P68B1DB1-TableParagraph73"/>
              <w:spacing w:before="108"/>
              <w:ind w:left="85"/>
              <w:jc w:val="both"/>
              <w:rPr>
                <w:bCs/>
              </w:rPr>
            </w:pPr>
            <w:r>
              <w:t xml:space="preserve">Reconocimiento de la suspensión de la resolución  </w:t>
            </w:r>
          </w:p>
          <w:p w14:paraId="7FE1D160" w14:textId="6CA3EE1F" w:rsidR="00414040" w:rsidRDefault="00904E1A">
            <w:pPr>
              <w:pStyle w:val="P68B1DB1-TableParagraph40"/>
              <w:spacing w:before="108"/>
              <w:ind w:left="85"/>
              <w:jc w:val="both"/>
            </w:pPr>
            <w:r w:rsidRPr="2133F407">
              <w:rPr>
                <w:lang w:val="es-ES"/>
              </w:rPr>
              <w:t xml:space="preserve">Indique si la contraparte ha firmado el «ISDA Universal </w:t>
            </w:r>
            <w:proofErr w:type="spellStart"/>
            <w:r w:rsidRPr="2133F407">
              <w:rPr>
                <w:lang w:val="es-ES"/>
              </w:rPr>
              <w:t>Protocol</w:t>
            </w:r>
            <w:proofErr w:type="spellEnd"/>
            <w:r w:rsidRPr="2133F407">
              <w:rPr>
                <w:lang w:val="es-ES"/>
              </w:rPr>
              <w:t xml:space="preserve">», </w:t>
            </w:r>
            <w:r w:rsidR="00C73989">
              <w:rPr>
                <w:lang w:val="es-ES"/>
              </w:rPr>
              <w:t xml:space="preserve">el </w:t>
            </w:r>
            <w:r w:rsidRPr="2133F407">
              <w:rPr>
                <w:lang w:val="es-ES"/>
              </w:rPr>
              <w:t xml:space="preserve">«ISDA JMP Module», «Otro acuerdo de reconocimiento de </w:t>
            </w:r>
            <w:r w:rsidR="00C73989">
              <w:rPr>
                <w:lang w:val="es-ES"/>
              </w:rPr>
              <w:t>la suspensión</w:t>
            </w:r>
            <w:r w:rsidR="00C73989" w:rsidRPr="2133F407">
              <w:rPr>
                <w:lang w:val="es-ES"/>
              </w:rPr>
              <w:t xml:space="preserve"> </w:t>
            </w:r>
            <w:r w:rsidRPr="2133F407">
              <w:rPr>
                <w:lang w:val="es-ES"/>
              </w:rPr>
              <w:t xml:space="preserve">de </w:t>
            </w:r>
            <w:r w:rsidR="00C73989">
              <w:rPr>
                <w:lang w:val="es-ES"/>
              </w:rPr>
              <w:t xml:space="preserve">la </w:t>
            </w:r>
            <w:r w:rsidRPr="2133F407">
              <w:rPr>
                <w:lang w:val="es-ES"/>
              </w:rPr>
              <w:t xml:space="preserve">resolución» o «Sin reconocimiento de </w:t>
            </w:r>
            <w:r w:rsidR="00C73989">
              <w:rPr>
                <w:lang w:val="es-ES"/>
              </w:rPr>
              <w:t>la suspensión de la</w:t>
            </w:r>
            <w:r w:rsidRPr="2133F407">
              <w:rPr>
                <w:lang w:val="es-ES"/>
              </w:rPr>
              <w:t xml:space="preserve"> resolución» </w:t>
            </w:r>
            <w:r w:rsidR="00C73989">
              <w:rPr>
                <w:lang w:val="es-ES"/>
              </w:rPr>
              <w:t>a partir de</w:t>
            </w:r>
            <w:r w:rsidR="00C73989" w:rsidRPr="2133F407">
              <w:rPr>
                <w:lang w:val="es-ES"/>
              </w:rPr>
              <w:t xml:space="preserve"> </w:t>
            </w:r>
            <w:r w:rsidRPr="2133F407">
              <w:rPr>
                <w:lang w:val="es-ES"/>
              </w:rPr>
              <w:t>una lista predefinida.</w:t>
            </w:r>
          </w:p>
        </w:tc>
      </w:tr>
      <w:tr w:rsidR="00414040" w14:paraId="7FE1D165" w14:textId="77777777" w:rsidTr="618604ED">
        <w:tc>
          <w:tcPr>
            <w:tcW w:w="1183" w:type="dxa"/>
            <w:tcBorders>
              <w:top w:val="single" w:sz="8" w:space="0" w:color="1A171C"/>
              <w:left w:val="nil"/>
              <w:bottom w:val="single" w:sz="8" w:space="0" w:color="1A171C"/>
              <w:right w:val="single" w:sz="8" w:space="0" w:color="1A171C"/>
            </w:tcBorders>
            <w:vAlign w:val="center"/>
          </w:tcPr>
          <w:p w14:paraId="7FE1D162" w14:textId="77777777" w:rsidR="00414040" w:rsidRDefault="00904E1A">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414040" w:rsidRDefault="00904E1A">
            <w:pPr>
              <w:pStyle w:val="P68B1DB1-TableParagraph73"/>
              <w:spacing w:before="108"/>
              <w:ind w:left="85"/>
              <w:jc w:val="both"/>
              <w:rPr>
                <w:bCs/>
              </w:rPr>
            </w:pPr>
            <w:r>
              <w:t xml:space="preserve">Nombre de la contraparte </w:t>
            </w:r>
          </w:p>
          <w:p w14:paraId="7FE1D164" w14:textId="0E20EDE5" w:rsidR="00414040" w:rsidRDefault="00904E1A">
            <w:pPr>
              <w:pStyle w:val="P68B1DB1-TableParagraph40"/>
              <w:spacing w:before="108"/>
              <w:ind w:left="85"/>
              <w:jc w:val="both"/>
            </w:pPr>
            <w:bookmarkStart w:id="251" w:name="_Hlk189839311"/>
            <w:r w:rsidRPr="3E4E0AEA">
              <w:rPr>
                <w:lang w:val="es-ES"/>
              </w:rPr>
              <w:t xml:space="preserve">El nombre </w:t>
            </w:r>
            <w:r w:rsidR="68448CC1" w:rsidRPr="3E4E0AEA">
              <w:rPr>
                <w:lang w:val="es-ES"/>
              </w:rPr>
              <w:t>del ente</w:t>
            </w:r>
            <w:r w:rsidRPr="3E4E0AEA">
              <w:rPr>
                <w:lang w:val="es-ES"/>
              </w:rPr>
              <w:t xml:space="preserve"> de la contraparte.</w:t>
            </w:r>
            <w:bookmarkEnd w:id="251"/>
            <w:r w:rsidRPr="3E4E0AEA">
              <w:rPr>
                <w:lang w:val="es-ES"/>
              </w:rPr>
              <w:t xml:space="preserve"> En el caso de los derivados compensados por una ECC, </w:t>
            </w:r>
            <w:r w:rsidR="16918931" w:rsidRPr="3E4E0AEA">
              <w:rPr>
                <w:lang w:val="es-ES"/>
              </w:rPr>
              <w:t>indicar</w:t>
            </w:r>
            <w:r w:rsidRPr="3E4E0AEA">
              <w:rPr>
                <w:lang w:val="es-ES"/>
              </w:rPr>
              <w:t xml:space="preserve"> la ECC </w:t>
            </w:r>
            <w:r w:rsidR="005322A0">
              <w:rPr>
                <w:lang w:val="es-ES"/>
              </w:rPr>
              <w:t>pertinente</w:t>
            </w:r>
            <w:r w:rsidRPr="3E4E0AEA">
              <w:rPr>
                <w:lang w:val="es-ES"/>
              </w:rPr>
              <w:t xml:space="preserve"> como contraparte.</w:t>
            </w:r>
          </w:p>
        </w:tc>
      </w:tr>
      <w:tr w:rsidR="00414040" w14:paraId="7FE1D169" w14:textId="77777777" w:rsidTr="618604ED">
        <w:tc>
          <w:tcPr>
            <w:tcW w:w="1183" w:type="dxa"/>
            <w:tcBorders>
              <w:top w:val="single" w:sz="8" w:space="0" w:color="1A171C"/>
              <w:left w:val="nil"/>
              <w:bottom w:val="single" w:sz="8" w:space="0" w:color="1A171C"/>
              <w:right w:val="single" w:sz="8" w:space="0" w:color="1A171C"/>
            </w:tcBorders>
            <w:vAlign w:val="center"/>
          </w:tcPr>
          <w:p w14:paraId="7FE1D166" w14:textId="77777777" w:rsidR="00414040" w:rsidRDefault="00904E1A">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414040" w:rsidRDefault="00904E1A">
            <w:pPr>
              <w:pStyle w:val="P68B1DB1-TableParagraph73"/>
              <w:spacing w:before="108"/>
              <w:ind w:left="85"/>
              <w:jc w:val="both"/>
              <w:rPr>
                <w:bCs/>
              </w:rPr>
            </w:pPr>
            <w:r>
              <w:t xml:space="preserve">Identificador de la contraparte </w:t>
            </w:r>
          </w:p>
          <w:p w14:paraId="7FE1D168" w14:textId="2F5D9981" w:rsidR="00414040" w:rsidRDefault="00904E1A">
            <w:pPr>
              <w:pStyle w:val="P68B1DB1-TableParagraph40"/>
              <w:spacing w:before="108"/>
              <w:ind w:left="85"/>
              <w:jc w:val="both"/>
            </w:pPr>
            <w:r>
              <w:t xml:space="preserve">Indíquese el código LEI de la contraparte. A falta de un código LEI, en el caso de bancos, deberá </w:t>
            </w:r>
            <w:r w:rsidR="0806F9E6">
              <w:t>informarse</w:t>
            </w:r>
            <w:r>
              <w:t xml:space="preserve"> el identificador único de instituciones financieras monetarias del BCE (</w:t>
            </w:r>
            <w:r w:rsidR="00E43404" w:rsidRPr="00EF2238">
              <w:rPr>
                <w:rFonts w:eastAsia="Verdana"/>
                <w:lang w:val="es-ES"/>
              </w:rPr>
              <w:t xml:space="preserve">identificador </w:t>
            </w:r>
            <w:r>
              <w:t xml:space="preserve">de IFM) utilizado en el RIAD. En ausencia de ambos identificadores, indicar un identificador interno. </w:t>
            </w:r>
          </w:p>
        </w:tc>
      </w:tr>
      <w:tr w:rsidR="00414040" w14:paraId="7FE1D16D" w14:textId="77777777" w:rsidTr="618604ED">
        <w:tc>
          <w:tcPr>
            <w:tcW w:w="1183" w:type="dxa"/>
            <w:tcBorders>
              <w:top w:val="single" w:sz="8" w:space="0" w:color="1A171C"/>
              <w:left w:val="nil"/>
              <w:bottom w:val="single" w:sz="8" w:space="0" w:color="1A171C"/>
              <w:right w:val="single" w:sz="8" w:space="0" w:color="1A171C"/>
            </w:tcBorders>
            <w:vAlign w:val="center"/>
          </w:tcPr>
          <w:p w14:paraId="7FE1D16A" w14:textId="77777777" w:rsidR="00414040" w:rsidRDefault="00904E1A">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414040" w:rsidRDefault="00904E1A">
            <w:pPr>
              <w:pStyle w:val="P68B1DB1-TableParagraph73"/>
              <w:spacing w:before="108"/>
              <w:ind w:left="85"/>
              <w:jc w:val="both"/>
              <w:rPr>
                <w:bCs/>
              </w:rPr>
            </w:pPr>
            <w:r>
              <w:t xml:space="preserve">Tipo de identificador </w:t>
            </w:r>
          </w:p>
          <w:p w14:paraId="7FE1D16C" w14:textId="77777777" w:rsidR="00414040" w:rsidRDefault="00904E1A">
            <w:pPr>
              <w:pStyle w:val="P68B1DB1-TableParagraph40"/>
              <w:spacing w:before="108"/>
              <w:ind w:left="85"/>
              <w:jc w:val="both"/>
            </w:pPr>
            <w:r>
              <w:t>Se seleccionará una de las opciones siguientes: «Código LEI», «Código de IFM» o «Tipo de identificador: distinto del código LEI o de IFM».</w:t>
            </w:r>
          </w:p>
        </w:tc>
      </w:tr>
      <w:tr w:rsidR="00414040" w14:paraId="7FE1D171" w14:textId="77777777" w:rsidTr="618604ED">
        <w:tc>
          <w:tcPr>
            <w:tcW w:w="1183" w:type="dxa"/>
            <w:tcBorders>
              <w:top w:val="single" w:sz="8" w:space="0" w:color="1A171C"/>
              <w:left w:val="nil"/>
              <w:bottom w:val="single" w:sz="8" w:space="0" w:color="1A171C"/>
              <w:right w:val="single" w:sz="8" w:space="0" w:color="1A171C"/>
            </w:tcBorders>
            <w:vAlign w:val="center"/>
          </w:tcPr>
          <w:p w14:paraId="7FE1D16E" w14:textId="77777777" w:rsidR="00414040" w:rsidRDefault="00904E1A">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414040" w:rsidRDefault="00904E1A">
            <w:pPr>
              <w:pStyle w:val="P68B1DB1-TableParagraph73"/>
              <w:spacing w:before="108"/>
              <w:ind w:left="85"/>
              <w:jc w:val="both"/>
              <w:rPr>
                <w:bCs/>
              </w:rPr>
            </w:pPr>
            <w:r>
              <w:t xml:space="preserve">País de la contraparte  </w:t>
            </w:r>
          </w:p>
          <w:p w14:paraId="7FE1D170" w14:textId="77777777" w:rsidR="00414040" w:rsidRDefault="00904E1A">
            <w:pPr>
              <w:pStyle w:val="P68B1DB1-TableParagraph40"/>
              <w:spacing w:before="108"/>
              <w:ind w:left="85"/>
              <w:jc w:val="both"/>
            </w:pPr>
            <w:r>
              <w:t>La identificación ISO 3166–1 alfa –2 del país donde está constituida la contraparte.</w:t>
            </w:r>
          </w:p>
        </w:tc>
      </w:tr>
      <w:tr w:rsidR="00414040" w14:paraId="7404F251" w14:textId="77777777" w:rsidTr="618604ED">
        <w:tc>
          <w:tcPr>
            <w:tcW w:w="1183" w:type="dxa"/>
            <w:tcBorders>
              <w:top w:val="single" w:sz="8" w:space="0" w:color="1A171C"/>
              <w:left w:val="nil"/>
              <w:bottom w:val="single" w:sz="8" w:space="0" w:color="1A171C"/>
              <w:right w:val="single" w:sz="8" w:space="0" w:color="1A171C"/>
            </w:tcBorders>
            <w:vAlign w:val="center"/>
          </w:tcPr>
          <w:p w14:paraId="6A962F58" w14:textId="41C252E0" w:rsidR="00414040" w:rsidRDefault="00904E1A">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414040" w:rsidRDefault="00904E1A">
            <w:pPr>
              <w:pStyle w:val="P68B1DB1-TableParagraph73"/>
              <w:spacing w:before="108"/>
              <w:ind w:left="85"/>
              <w:jc w:val="both"/>
              <w:rPr>
                <w:bCs/>
              </w:rPr>
            </w:pPr>
            <w:r>
              <w:t>Operación intragrupo</w:t>
            </w:r>
          </w:p>
          <w:p w14:paraId="1EA32667" w14:textId="1D1FE65B" w:rsidR="00414040" w:rsidRDefault="00C46264">
            <w:pPr>
              <w:pStyle w:val="P68B1DB1-TableParagraph40"/>
              <w:spacing w:before="108"/>
              <w:ind w:left="85"/>
              <w:jc w:val="both"/>
            </w:pPr>
            <w:r>
              <w:t>El ente</w:t>
            </w:r>
            <w:r w:rsidR="00904E1A">
              <w:t xml:space="preserve"> declarante debe indicar si la operación </w:t>
            </w:r>
            <w:r w:rsidR="00115080">
              <w:t xml:space="preserve">comunicada </w:t>
            </w:r>
            <w:r w:rsidR="00904E1A">
              <w:t xml:space="preserve">se realiza con una contraparte perteneciente al ámbito de consolidación contable </w:t>
            </w:r>
            <w:r>
              <w:t>del ente</w:t>
            </w:r>
            <w:r w:rsidR="00904E1A">
              <w:t xml:space="preserve"> matriz </w:t>
            </w:r>
            <w:r>
              <w:t>último</w:t>
            </w:r>
            <w:r w:rsidR="00904E1A">
              <w:t>. Los valores aceptables son «verdadero» o «falso».</w:t>
            </w:r>
          </w:p>
        </w:tc>
      </w:tr>
      <w:tr w:rsidR="00414040" w14:paraId="7FE1D179" w14:textId="77777777" w:rsidTr="618604ED">
        <w:tc>
          <w:tcPr>
            <w:tcW w:w="1183" w:type="dxa"/>
            <w:tcBorders>
              <w:top w:val="single" w:sz="8" w:space="0" w:color="1A171C"/>
              <w:left w:val="nil"/>
              <w:bottom w:val="single" w:sz="8" w:space="0" w:color="1A171C"/>
              <w:right w:val="single" w:sz="8" w:space="0" w:color="1A171C"/>
            </w:tcBorders>
            <w:vAlign w:val="center"/>
          </w:tcPr>
          <w:p w14:paraId="7FE1D176" w14:textId="77777777" w:rsidR="00414040" w:rsidRDefault="00904E1A">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414040" w:rsidRDefault="00904E1A">
            <w:pPr>
              <w:pStyle w:val="P68B1DB1-TableParagraph73"/>
              <w:spacing w:before="108"/>
              <w:ind w:left="85"/>
              <w:jc w:val="both"/>
              <w:rPr>
                <w:bCs/>
              </w:rPr>
            </w:pPr>
            <w:r>
              <w:t>Derecho aplicable al acuerdo marco/contrato único</w:t>
            </w:r>
          </w:p>
          <w:p w14:paraId="7FE1D178" w14:textId="61AC294D" w:rsidR="00414040" w:rsidRDefault="00904E1A">
            <w:pPr>
              <w:pStyle w:val="P68B1DB1-TableParagraph40"/>
              <w:spacing w:before="108"/>
              <w:ind w:left="85"/>
              <w:jc w:val="both"/>
            </w:pPr>
            <w:r>
              <w:t xml:space="preserve">El código ISO 3166-1 alpha-2 del país cuya legislación rige el acuerdo marco/contrato único (utilícese el código ISO 3166-2 cuando sea pertinente la ley de una subdivisión administrativa, por ejemplo, «US-NY»). Si el contrato se rige por la normativa de más de un país, se </w:t>
            </w:r>
            <w:r w:rsidR="30C5E735">
              <w:t>informará</w:t>
            </w:r>
            <w:r>
              <w:t xml:space="preserve"> el país cuya normativa tenga mayor relevancia para el reconocimiento de </w:t>
            </w:r>
            <w:r w:rsidR="00115080">
              <w:t>las competencias de amortización</w:t>
            </w:r>
            <w:r>
              <w:t xml:space="preserve"> y conversión.  </w:t>
            </w:r>
          </w:p>
        </w:tc>
      </w:tr>
      <w:tr w:rsidR="00414040" w14:paraId="7FE1D17D" w14:textId="77777777" w:rsidTr="618604ED">
        <w:tc>
          <w:tcPr>
            <w:tcW w:w="1183" w:type="dxa"/>
            <w:tcBorders>
              <w:top w:val="single" w:sz="8" w:space="0" w:color="1A171C"/>
              <w:left w:val="nil"/>
              <w:bottom w:val="single" w:sz="8" w:space="0" w:color="1A171C"/>
              <w:right w:val="single" w:sz="8" w:space="0" w:color="1A171C"/>
            </w:tcBorders>
            <w:vAlign w:val="center"/>
          </w:tcPr>
          <w:p w14:paraId="7FE1D17A" w14:textId="77777777" w:rsidR="00414040" w:rsidRDefault="00904E1A">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24B95E18" w:rsidR="00414040" w:rsidRDefault="00904E1A">
            <w:pPr>
              <w:pStyle w:val="P68B1DB1-TableParagraph73"/>
              <w:spacing w:before="108"/>
              <w:ind w:left="85"/>
              <w:jc w:val="both"/>
              <w:rPr>
                <w:bCs/>
              </w:rPr>
            </w:pPr>
            <w:r>
              <w:t xml:space="preserve">Número de transacciones cubiertas  </w:t>
            </w:r>
          </w:p>
          <w:p w14:paraId="7FE1D17C" w14:textId="77777777" w:rsidR="00414040" w:rsidRDefault="00904E1A">
            <w:pPr>
              <w:pStyle w:val="P68B1DB1-TableParagraph40"/>
              <w:spacing w:before="108"/>
              <w:ind w:left="85"/>
              <w:jc w:val="both"/>
            </w:pPr>
            <w:r>
              <w:t>Indíquese el número de contratos individuales incluidos en el conjunto de operaciones compensables de los acuerdos marco.</w:t>
            </w:r>
          </w:p>
        </w:tc>
      </w:tr>
      <w:tr w:rsidR="00414040" w14:paraId="7FE1D181" w14:textId="77777777" w:rsidTr="618604ED">
        <w:tc>
          <w:tcPr>
            <w:tcW w:w="1183" w:type="dxa"/>
            <w:tcBorders>
              <w:top w:val="single" w:sz="8" w:space="0" w:color="1A171C"/>
              <w:left w:val="nil"/>
              <w:bottom w:val="single" w:sz="8" w:space="0" w:color="1A171C"/>
              <w:right w:val="single" w:sz="8" w:space="0" w:color="1A171C"/>
            </w:tcBorders>
            <w:vAlign w:val="center"/>
          </w:tcPr>
          <w:p w14:paraId="7FE1D17E" w14:textId="77777777" w:rsidR="00414040" w:rsidRDefault="00904E1A">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447FE0E0" w:rsidR="00414040" w:rsidRDefault="00904E1A">
            <w:pPr>
              <w:pStyle w:val="P68B1DB1-TableParagraph73"/>
              <w:spacing w:before="108"/>
              <w:ind w:left="85"/>
              <w:jc w:val="both"/>
              <w:rPr>
                <w:bCs/>
              </w:rPr>
            </w:pPr>
            <w:r>
              <w:t xml:space="preserve">Valor neto </w:t>
            </w:r>
            <w:r w:rsidR="001D47E8">
              <w:t xml:space="preserve">a precio </w:t>
            </w:r>
            <w:r>
              <w:t xml:space="preserve">de mercado </w:t>
            </w:r>
          </w:p>
          <w:p w14:paraId="7FE1D180" w14:textId="66C6EF33" w:rsidR="00414040" w:rsidRDefault="00904E1A">
            <w:pPr>
              <w:pStyle w:val="P68B1DB1-TableParagraph40"/>
              <w:spacing w:before="108"/>
              <w:ind w:left="85"/>
              <w:jc w:val="both"/>
            </w:pPr>
            <w:r>
              <w:t xml:space="preserve">Valor neto de mercado de los pasivos por derivados por conjunto de operaciones compensables contractuales suponiendo el cierre de </w:t>
            </w:r>
            <w:r w:rsidR="00115080">
              <w:t xml:space="preserve">los </w:t>
            </w:r>
            <w:r>
              <w:t xml:space="preserve">derivados en la fecha de referencia. </w:t>
            </w:r>
          </w:p>
        </w:tc>
      </w:tr>
      <w:tr w:rsidR="00414040" w14:paraId="7FE1D185" w14:textId="77777777" w:rsidTr="618604ED">
        <w:tc>
          <w:tcPr>
            <w:tcW w:w="1183" w:type="dxa"/>
            <w:tcBorders>
              <w:top w:val="single" w:sz="8" w:space="0" w:color="1A171C"/>
              <w:left w:val="nil"/>
              <w:bottom w:val="single" w:sz="8" w:space="0" w:color="1A171C"/>
              <w:right w:val="single" w:sz="8" w:space="0" w:color="1A171C"/>
            </w:tcBorders>
            <w:vAlign w:val="center"/>
          </w:tcPr>
          <w:p w14:paraId="7FE1D182" w14:textId="77777777" w:rsidR="00414040" w:rsidRDefault="00904E1A">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2F5DC123" w:rsidR="00414040" w:rsidRDefault="00904E1A">
            <w:pPr>
              <w:pStyle w:val="P68B1DB1-TableParagraph73"/>
              <w:spacing w:before="108"/>
              <w:ind w:left="85"/>
              <w:jc w:val="both"/>
            </w:pPr>
            <w:r>
              <w:t>Valor</w:t>
            </w:r>
            <w:r w:rsidR="7339347D">
              <w:t xml:space="preserve"> </w:t>
            </w:r>
            <w:r w:rsidR="00F75251">
              <w:t>n</w:t>
            </w:r>
            <w:r w:rsidR="7339347D">
              <w:t>eto</w:t>
            </w:r>
            <w:r>
              <w:t xml:space="preserve"> de las garantías reales </w:t>
            </w:r>
            <w:r w:rsidR="599E7F4B">
              <w:t>entregadas</w:t>
            </w:r>
          </w:p>
          <w:p w14:paraId="7FE1D184" w14:textId="2BCC008B" w:rsidR="00414040" w:rsidRDefault="00904E1A">
            <w:pPr>
              <w:pStyle w:val="P68B1DB1-TableParagraph40"/>
              <w:spacing w:before="108"/>
              <w:ind w:left="85"/>
              <w:jc w:val="both"/>
              <w:rPr>
                <w:lang w:val="es-ES"/>
              </w:rPr>
            </w:pPr>
            <w:r w:rsidRPr="3E4E0AEA">
              <w:rPr>
                <w:lang w:val="es-ES"/>
              </w:rPr>
              <w:t xml:space="preserve">El valor neto de mercado de las posiciones en garantías reales en el marco de un conjunto de operaciones compensables (es decir, las garantías reales aportadas </w:t>
            </w:r>
            <w:r w:rsidR="4FF71FAB" w:rsidRPr="3E4E0AEA">
              <w:rPr>
                <w:lang w:val="es-ES"/>
              </w:rPr>
              <w:t>menos</w:t>
            </w:r>
            <w:r w:rsidRPr="3E4E0AEA">
              <w:rPr>
                <w:lang w:val="es-ES"/>
              </w:rPr>
              <w:t xml:space="preserve"> las garantías reales recibidas). Esto incluye todas las cuentas de margen en virtud de los acuerdos de compensación. Se </w:t>
            </w:r>
            <w:r w:rsidR="6EB5EFA8" w:rsidRPr="3E4E0AEA">
              <w:rPr>
                <w:lang w:val="es-ES"/>
              </w:rPr>
              <w:t>informará</w:t>
            </w:r>
            <w:r w:rsidR="0DD63422" w:rsidRPr="3E4E0AEA">
              <w:rPr>
                <w:lang w:val="es-ES"/>
              </w:rPr>
              <w:t xml:space="preserve"> </w:t>
            </w:r>
            <w:r w:rsidRPr="3E4E0AEA">
              <w:rPr>
                <w:lang w:val="es-ES"/>
              </w:rPr>
              <w:t xml:space="preserve">como valor positivo de las garantías reales netas </w:t>
            </w:r>
            <w:r w:rsidR="036A16A6" w:rsidRPr="3E4E0AEA">
              <w:rPr>
                <w:lang w:val="es-ES"/>
              </w:rPr>
              <w:t>entregadas</w:t>
            </w:r>
            <w:r w:rsidR="008C6BCD">
              <w:rPr>
                <w:lang w:val="es-ES"/>
              </w:rPr>
              <w:t xml:space="preserve"> </w:t>
            </w:r>
            <w:r w:rsidRPr="3E4E0AEA">
              <w:rPr>
                <w:lang w:val="es-ES"/>
              </w:rPr>
              <w:t>a las contrapartes.</w:t>
            </w:r>
          </w:p>
        </w:tc>
      </w:tr>
      <w:tr w:rsidR="00414040" w14:paraId="7FE1D189" w14:textId="77777777" w:rsidTr="618604ED">
        <w:tc>
          <w:tcPr>
            <w:tcW w:w="1183" w:type="dxa"/>
            <w:tcBorders>
              <w:top w:val="single" w:sz="8" w:space="0" w:color="1A171C"/>
              <w:left w:val="nil"/>
              <w:bottom w:val="single" w:sz="8" w:space="0" w:color="1A171C"/>
              <w:right w:val="single" w:sz="8" w:space="0" w:color="1A171C"/>
            </w:tcBorders>
            <w:vAlign w:val="center"/>
          </w:tcPr>
          <w:p w14:paraId="7FE1D186" w14:textId="77777777" w:rsidR="00414040" w:rsidRDefault="00904E1A">
            <w:pPr>
              <w:pStyle w:val="P68B1DB1-Normal31"/>
            </w:pPr>
            <w:r>
              <w:lastRenderedPageBreak/>
              <w:t>0140</w:t>
            </w:r>
          </w:p>
        </w:tc>
        <w:tc>
          <w:tcPr>
            <w:tcW w:w="7832" w:type="dxa"/>
            <w:tcBorders>
              <w:top w:val="single" w:sz="8" w:space="0" w:color="1A171C"/>
              <w:left w:val="single" w:sz="8" w:space="0" w:color="1A171C"/>
              <w:bottom w:val="single" w:sz="8" w:space="0" w:color="1A171C"/>
              <w:right w:val="nil"/>
            </w:tcBorders>
            <w:vAlign w:val="bottom"/>
          </w:tcPr>
          <w:p w14:paraId="7FE1D187" w14:textId="4C3DAD10" w:rsidR="00414040" w:rsidRDefault="00904E1A">
            <w:pPr>
              <w:pStyle w:val="P68B1DB1-TableParagraph40"/>
              <w:spacing w:before="108"/>
              <w:ind w:left="85"/>
              <w:jc w:val="both"/>
              <w:rPr>
                <w:b/>
                <w:bCs/>
              </w:rPr>
            </w:pPr>
            <w:r>
              <w:t xml:space="preserve"> </w:t>
            </w:r>
            <w:r w:rsidRPr="1F069520">
              <w:rPr>
                <w:b/>
                <w:bCs/>
              </w:rPr>
              <w:t xml:space="preserve">Importe estimado </w:t>
            </w:r>
            <w:proofErr w:type="gramStart"/>
            <w:r w:rsidRPr="1F069520">
              <w:rPr>
                <w:b/>
                <w:bCs/>
              </w:rPr>
              <w:t xml:space="preserve">de </w:t>
            </w:r>
            <w:r w:rsidR="320BEAAB" w:rsidRPr="1F069520">
              <w:rPr>
                <w:b/>
                <w:bCs/>
              </w:rPr>
              <w:t xml:space="preserve"> liquidación</w:t>
            </w:r>
            <w:proofErr w:type="gramEnd"/>
          </w:p>
          <w:p w14:paraId="7FE1D188" w14:textId="29CC2C05" w:rsidR="00414040" w:rsidRDefault="00904E1A">
            <w:pPr>
              <w:pStyle w:val="P68B1DB1-TableParagraph40"/>
              <w:spacing w:before="108"/>
              <w:ind w:left="85"/>
              <w:jc w:val="both"/>
              <w:rPr>
                <w:lang w:val="es-ES"/>
              </w:rPr>
            </w:pPr>
            <w:r w:rsidRPr="618604ED">
              <w:rPr>
                <w:lang w:val="es-ES"/>
              </w:rPr>
              <w:t xml:space="preserve">El importe estimado de liquidación que cubra el importe de las pérdidas o los costes en que incurran las contrapartes de los derivados, o las ganancias realizadas por ellas, al sustituir u obtener el equivalente económico </w:t>
            </w:r>
            <w:r w:rsidR="4242316C" w:rsidRPr="618604ED">
              <w:rPr>
                <w:lang w:val="es-ES"/>
              </w:rPr>
              <w:t>en términos sustanciales</w:t>
            </w:r>
            <w:r w:rsidRPr="618604ED">
              <w:rPr>
                <w:lang w:val="es-ES"/>
              </w:rPr>
              <w:t xml:space="preserve"> de los contratos y los derechos de opción de las partes en relación con los contratos </w:t>
            </w:r>
            <w:r w:rsidR="1841679C" w:rsidRPr="618604ED">
              <w:rPr>
                <w:lang w:val="es-ES"/>
              </w:rPr>
              <w:t>resueltos</w:t>
            </w:r>
            <w:r w:rsidRPr="618604ED">
              <w:rPr>
                <w:lang w:val="es-ES"/>
              </w:rPr>
              <w:t xml:space="preserve">. En algunos casos; las estimaciones necesarias para determinar este valor de conformidad con el Reglamento </w:t>
            </w:r>
            <w:proofErr w:type="gramStart"/>
            <w:r w:rsidRPr="618604ED">
              <w:rPr>
                <w:lang w:val="es-ES"/>
              </w:rPr>
              <w:t>Delegado</w:t>
            </w:r>
            <w:proofErr w:type="gramEnd"/>
            <w:r w:rsidRPr="618604ED">
              <w:rPr>
                <w:lang w:val="es-ES"/>
              </w:rPr>
              <w:t xml:space="preserve"> (UE) 2016/1401 son difíciles de informar a escala individual. Por ello, en su lugar deben utilizarse valores aproximativos basados en datos disponibles, como los requisitos prudenciales por riesgo de mercado. Un valor positivo para el importe de liquidación estimado da lugar a un aumento del importe estimado de la </w:t>
            </w:r>
            <w:r w:rsidR="5B07F993" w:rsidRPr="618604ED">
              <w:rPr>
                <w:lang w:val="es-ES"/>
              </w:rPr>
              <w:t>resolución</w:t>
            </w:r>
            <w:r w:rsidRPr="618604ED">
              <w:rPr>
                <w:lang w:val="es-ES"/>
              </w:rPr>
              <w:t xml:space="preserve"> anticipada, mientras que un signo negativo reduciría el importe estimado de la </w:t>
            </w:r>
            <w:r w:rsidR="63439247" w:rsidRPr="618604ED">
              <w:rPr>
                <w:lang w:val="es-ES"/>
              </w:rPr>
              <w:t>resolución</w:t>
            </w:r>
            <w:r w:rsidRPr="618604ED">
              <w:rPr>
                <w:lang w:val="es-ES"/>
              </w:rPr>
              <w:t xml:space="preserve"> anticipada.</w:t>
            </w:r>
          </w:p>
        </w:tc>
      </w:tr>
      <w:tr w:rsidR="00414040" w14:paraId="7FE1D18D" w14:textId="77777777" w:rsidTr="618604ED">
        <w:tc>
          <w:tcPr>
            <w:tcW w:w="1183" w:type="dxa"/>
            <w:vMerge w:val="restart"/>
            <w:tcBorders>
              <w:top w:val="single" w:sz="8" w:space="0" w:color="1A171C"/>
              <w:left w:val="nil"/>
              <w:right w:val="single" w:sz="8" w:space="0" w:color="1A171C"/>
            </w:tcBorders>
            <w:vAlign w:val="center"/>
          </w:tcPr>
          <w:p w14:paraId="7FE1D18A" w14:textId="77777777" w:rsidR="00414040" w:rsidRDefault="00904E1A">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414040" w:rsidRDefault="00904E1A">
            <w:pPr>
              <w:pStyle w:val="P68B1DB1-TableParagraph40"/>
              <w:spacing w:before="108"/>
              <w:ind w:left="85"/>
              <w:jc w:val="both"/>
              <w:rPr>
                <w:b/>
                <w:bCs/>
              </w:rPr>
            </w:pPr>
            <w:r>
              <w:t xml:space="preserve"> </w:t>
            </w:r>
            <w:r>
              <w:rPr>
                <w:b/>
              </w:rPr>
              <w:t>Importe estimado de la resolución anticipada</w:t>
            </w:r>
          </w:p>
          <w:p w14:paraId="7FE1D18C" w14:textId="18C188C5" w:rsidR="00414040" w:rsidRDefault="00904E1A">
            <w:pPr>
              <w:pStyle w:val="P68B1DB1-TableParagraph40"/>
              <w:spacing w:before="108"/>
              <w:ind w:left="85"/>
              <w:jc w:val="both"/>
            </w:pPr>
            <w:r w:rsidRPr="2133F407">
              <w:rPr>
                <w:lang w:val="es-ES"/>
              </w:rPr>
              <w:t xml:space="preserve">Con referencia al Reglamento </w:t>
            </w:r>
            <w:proofErr w:type="gramStart"/>
            <w:r w:rsidRPr="2133F407">
              <w:rPr>
                <w:lang w:val="es-ES"/>
              </w:rPr>
              <w:t>Delegado</w:t>
            </w:r>
            <w:proofErr w:type="gramEnd"/>
            <w:r w:rsidRPr="2133F407">
              <w:rPr>
                <w:lang w:val="es-ES"/>
              </w:rPr>
              <w:t xml:space="preserve"> (UE) 2016/1401, sobre la valoración de los derivados con arreglo al artículo 49, apartado 4, de la </w:t>
            </w:r>
            <w:r w:rsidR="00081B97">
              <w:rPr>
                <w:lang w:val="es-ES"/>
              </w:rPr>
              <w:t>BRRD</w:t>
            </w:r>
            <w:r w:rsidRPr="2133F407">
              <w:rPr>
                <w:lang w:val="es-ES"/>
              </w:rPr>
              <w:t>, este importe se determina como sigue:</w:t>
            </w:r>
          </w:p>
        </w:tc>
      </w:tr>
      <w:tr w:rsidR="00414040" w14:paraId="7FE1D190" w14:textId="77777777" w:rsidTr="618604ED">
        <w:tc>
          <w:tcPr>
            <w:tcW w:w="1183" w:type="dxa"/>
            <w:vMerge/>
            <w:vAlign w:val="center"/>
          </w:tcPr>
          <w:p w14:paraId="7FE1D18E" w14:textId="77777777" w:rsidR="00414040" w:rsidRDefault="00414040">
            <w:pPr>
              <w:rPr>
                <w:rFonts w:ascii="Times New Roman" w:hAnsi="Times New Roman" w:cs="Times New Roman"/>
              </w:rPr>
            </w:pPr>
          </w:p>
        </w:tc>
        <w:tc>
          <w:tcPr>
            <w:tcW w:w="7832" w:type="dxa"/>
            <w:tcBorders>
              <w:left w:val="single" w:sz="8" w:space="0" w:color="1A171C"/>
              <w:right w:val="nil"/>
            </w:tcBorders>
            <w:vAlign w:val="bottom"/>
          </w:tcPr>
          <w:p w14:paraId="7FE1D18F" w14:textId="0A58F097" w:rsidR="00414040" w:rsidRDefault="00904E1A">
            <w:pPr>
              <w:pStyle w:val="P68B1DB1-TableParagraph40"/>
              <w:spacing w:before="108"/>
              <w:ind w:left="85"/>
              <w:jc w:val="both"/>
            </w:pPr>
            <w:r w:rsidRPr="0AA8AB26">
              <w:rPr>
                <w:lang w:val="es-ES"/>
              </w:rPr>
              <w:t xml:space="preserve"> «El valorador determinará el valor de los pasivos surgidos</w:t>
            </w:r>
            <w:r w:rsidR="1B1ECE98" w:rsidRPr="0AA8AB26">
              <w:rPr>
                <w:lang w:val="es-ES"/>
              </w:rPr>
              <w:t xml:space="preserve"> de los contratos de derivados</w:t>
            </w:r>
            <w:r w:rsidRPr="0AA8AB26">
              <w:rPr>
                <w:lang w:val="es-ES"/>
              </w:rPr>
              <w:t xml:space="preserve"> </w:t>
            </w:r>
            <w:r w:rsidR="27D7D8C6" w:rsidRPr="1366F12B">
              <w:rPr>
                <w:lang w:val="es-ES"/>
              </w:rPr>
              <w:t>bajo un</w:t>
            </w:r>
            <w:r w:rsidRPr="1366F12B">
              <w:rPr>
                <w:lang w:val="es-ES"/>
              </w:rPr>
              <w:t xml:space="preserve"> </w:t>
            </w:r>
            <w:r w:rsidR="0F151B7F" w:rsidRPr="0AA8AB26">
              <w:rPr>
                <w:lang w:val="es-ES"/>
              </w:rPr>
              <w:t xml:space="preserve">acuerdo de compensación contractual </w:t>
            </w:r>
            <w:r w:rsidRPr="0AA8AB26">
              <w:rPr>
                <w:lang w:val="es-ES"/>
              </w:rPr>
              <w:t xml:space="preserve">como un importe de </w:t>
            </w:r>
            <w:r w:rsidR="6EFA2CC0" w:rsidRPr="0AA8AB26">
              <w:rPr>
                <w:lang w:val="es-ES"/>
              </w:rPr>
              <w:t xml:space="preserve">resolución </w:t>
            </w:r>
            <w:r w:rsidRPr="0AA8AB26">
              <w:rPr>
                <w:lang w:val="es-ES"/>
              </w:rPr>
              <w:t xml:space="preserve">anticipada calculado como la suma de: </w:t>
            </w:r>
          </w:p>
        </w:tc>
      </w:tr>
      <w:tr w:rsidR="00414040" w14:paraId="7FE1D193" w14:textId="77777777" w:rsidTr="618604ED">
        <w:tc>
          <w:tcPr>
            <w:tcW w:w="1183" w:type="dxa"/>
            <w:vMerge/>
            <w:vAlign w:val="center"/>
          </w:tcPr>
          <w:p w14:paraId="7FE1D191" w14:textId="77777777" w:rsidR="00414040" w:rsidRDefault="00414040">
            <w:pPr>
              <w:rPr>
                <w:rFonts w:ascii="Times New Roman" w:hAnsi="Times New Roman" w:cs="Times New Roman"/>
              </w:rPr>
            </w:pPr>
          </w:p>
        </w:tc>
        <w:tc>
          <w:tcPr>
            <w:tcW w:w="7832" w:type="dxa"/>
            <w:tcBorders>
              <w:left w:val="single" w:sz="8" w:space="0" w:color="1A171C"/>
              <w:right w:val="nil"/>
            </w:tcBorders>
            <w:vAlign w:val="bottom"/>
          </w:tcPr>
          <w:p w14:paraId="7FE1D192" w14:textId="11128502" w:rsidR="00414040" w:rsidRDefault="00904E1A">
            <w:pPr>
              <w:pStyle w:val="P68B1DB1-TableParagraph40"/>
              <w:spacing w:before="108"/>
              <w:ind w:left="85"/>
              <w:jc w:val="both"/>
            </w:pPr>
            <w:r w:rsidRPr="3E4E0AEA">
              <w:rPr>
                <w:lang w:val="es-ES"/>
              </w:rPr>
              <w:t xml:space="preserve"> ·</w:t>
            </w:r>
            <w:r w:rsidR="005E117E">
              <w:rPr>
                <w:lang w:val="es-ES"/>
              </w:rPr>
              <w:t>l</w:t>
            </w:r>
            <w:r w:rsidRPr="3E4E0AEA">
              <w:rPr>
                <w:lang w:val="es-ES"/>
              </w:rPr>
              <w:t xml:space="preserve">as sumas no pagadas, las garantías reales u otras cantidades adeudadas por la entidad objeto de resolución a la contraparte, menos </w:t>
            </w:r>
            <w:r w:rsidRPr="00210421">
              <w:rPr>
                <w:lang w:val="es-ES"/>
              </w:rPr>
              <w:t>l</w:t>
            </w:r>
            <w:r w:rsidRPr="008C6BCD">
              <w:rPr>
                <w:lang w:val="es-ES"/>
              </w:rPr>
              <w:t>as</w:t>
            </w:r>
            <w:r w:rsidRPr="3E4E0AEA">
              <w:rPr>
                <w:lang w:val="es-ES"/>
              </w:rPr>
              <w:t xml:space="preserve"> sumas no pagadas, las garantías reales y otras cantidades adeudadas por la contraparte a la entidad objeto de resolución en la fecha de liquidación; así como</w:t>
            </w:r>
          </w:p>
        </w:tc>
      </w:tr>
      <w:tr w:rsidR="00414040" w14:paraId="7FE1D196" w14:textId="77777777" w:rsidTr="618604ED">
        <w:tc>
          <w:tcPr>
            <w:tcW w:w="1183" w:type="dxa"/>
            <w:vMerge/>
            <w:vAlign w:val="center"/>
          </w:tcPr>
          <w:p w14:paraId="7FE1D194" w14:textId="77777777" w:rsidR="00414040" w:rsidRDefault="00414040">
            <w:pPr>
              <w:rPr>
                <w:rFonts w:ascii="Times New Roman" w:hAnsi="Times New Roman" w:cs="Times New Roman"/>
              </w:rPr>
            </w:pPr>
          </w:p>
        </w:tc>
        <w:tc>
          <w:tcPr>
            <w:tcW w:w="7832" w:type="dxa"/>
            <w:tcBorders>
              <w:left w:val="single" w:sz="8" w:space="0" w:color="1A171C"/>
              <w:right w:val="nil"/>
            </w:tcBorders>
            <w:vAlign w:val="bottom"/>
          </w:tcPr>
          <w:p w14:paraId="7FE1D195" w14:textId="6C781D69" w:rsidR="00414040" w:rsidRDefault="00904E1A">
            <w:pPr>
              <w:pStyle w:val="P68B1DB1-TableParagraph40"/>
              <w:spacing w:before="108"/>
              <w:ind w:left="85"/>
              <w:jc w:val="both"/>
            </w:pPr>
            <w:r w:rsidRPr="3E4E0AEA">
              <w:rPr>
                <w:lang w:val="es-ES"/>
              </w:rPr>
              <w:t xml:space="preserve"> · </w:t>
            </w:r>
            <w:r w:rsidR="45791C96" w:rsidRPr="3E4E0AEA">
              <w:rPr>
                <w:lang w:val="es-ES"/>
              </w:rPr>
              <w:t xml:space="preserve">un </w:t>
            </w:r>
            <w:r w:rsidRPr="3E4E0AEA">
              <w:rPr>
                <w:lang w:val="es-ES"/>
              </w:rPr>
              <w:t xml:space="preserve">importe de liquidación que cubra el importe de las pérdidas o los costes en que incurran las contrapartes de los derivados, o las ganancias realizadas por ellas, al sustituir u obtener el equivalente económico </w:t>
            </w:r>
            <w:r w:rsidR="008C6BCD">
              <w:rPr>
                <w:lang w:val="es-ES"/>
              </w:rPr>
              <w:t>en términos sustanciales</w:t>
            </w:r>
            <w:r w:rsidRPr="3E4E0AEA">
              <w:rPr>
                <w:lang w:val="es-ES"/>
              </w:rPr>
              <w:t xml:space="preserve"> de los contratos y los derechos de opción de las partes en relación con los contrato</w:t>
            </w:r>
            <w:r w:rsidR="3AAD1F03" w:rsidRPr="3E4E0AEA">
              <w:rPr>
                <w:lang w:val="es-ES"/>
              </w:rPr>
              <w:t>s resueltos</w:t>
            </w:r>
            <w:r w:rsidRPr="3E4E0AEA">
              <w:rPr>
                <w:lang w:val="es-ES"/>
              </w:rPr>
              <w:t>.</w:t>
            </w:r>
            <w:r w:rsidR="005E117E">
              <w:rPr>
                <w:lang w:val="es-ES"/>
              </w:rPr>
              <w:t>»</w:t>
            </w:r>
          </w:p>
        </w:tc>
      </w:tr>
      <w:tr w:rsidR="00414040" w14:paraId="7FE1D199" w14:textId="77777777" w:rsidTr="618604ED">
        <w:tc>
          <w:tcPr>
            <w:tcW w:w="1183" w:type="dxa"/>
            <w:vMerge/>
            <w:vAlign w:val="center"/>
          </w:tcPr>
          <w:p w14:paraId="7FE1D197" w14:textId="77777777" w:rsidR="00414040" w:rsidRDefault="00414040">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606F33F3" w:rsidR="00414040" w:rsidRDefault="00904E1A">
            <w:pPr>
              <w:pStyle w:val="P68B1DB1-TableParagraph40"/>
              <w:spacing w:before="108"/>
              <w:ind w:left="85"/>
              <w:jc w:val="both"/>
            </w:pPr>
            <w:r>
              <w:t xml:space="preserve"> Por tanto, el importe estimado de </w:t>
            </w:r>
            <w:r w:rsidR="1978FE2A">
              <w:t>resolución</w:t>
            </w:r>
            <w:r>
              <w:t xml:space="preserve"> anticipada deberá ser igual al valor neto a precio de mercado (c0120) — valor </w:t>
            </w:r>
            <w:r w:rsidR="3869011D">
              <w:t xml:space="preserve">neto </w:t>
            </w:r>
            <w:r>
              <w:t>de la</w:t>
            </w:r>
            <w:r w:rsidR="3869011D">
              <w:t>s</w:t>
            </w:r>
            <w:r>
              <w:t xml:space="preserve"> garantía</w:t>
            </w:r>
            <w:r w:rsidR="3869011D">
              <w:t>s</w:t>
            </w:r>
            <w:r>
              <w:t xml:space="preserve"> real</w:t>
            </w:r>
            <w:r w:rsidR="3869011D">
              <w:t>es</w:t>
            </w:r>
            <w:r>
              <w:t xml:space="preserve"> </w:t>
            </w:r>
            <w:r w:rsidR="3869011D">
              <w:t xml:space="preserve">entregadas </w:t>
            </w:r>
            <w:r>
              <w:t xml:space="preserve">(c0130) + importe </w:t>
            </w:r>
            <w:r w:rsidR="3869011D">
              <w:t xml:space="preserve">estimado </w:t>
            </w:r>
            <w:r>
              <w:t>de liquidación</w:t>
            </w:r>
            <w:r w:rsidR="005E117E">
              <w:t xml:space="preserve"> </w:t>
            </w:r>
            <w:r>
              <w:t>(c0140).</w:t>
            </w:r>
          </w:p>
        </w:tc>
      </w:tr>
    </w:tbl>
    <w:p w14:paraId="7FE1D19A" w14:textId="77777777" w:rsidR="00414040" w:rsidRDefault="00414040">
      <w:pPr>
        <w:pStyle w:val="Instructionsberschrift2"/>
        <w:ind w:left="357"/>
        <w:rPr>
          <w:rFonts w:ascii="Times New Roman" w:eastAsia="Calibri" w:hAnsi="Times New Roman" w:cs="Times New Roman"/>
          <w:szCs w:val="20"/>
        </w:rPr>
      </w:pPr>
      <w:bookmarkStart w:id="252" w:name="_Toc81454217"/>
    </w:p>
    <w:p w14:paraId="7FE1D19B" w14:textId="2528EAAA" w:rsidR="00414040" w:rsidRDefault="00904E1A">
      <w:pPr>
        <w:pStyle w:val="Instructionsberschrift2"/>
        <w:numPr>
          <w:ilvl w:val="1"/>
          <w:numId w:val="49"/>
        </w:numPr>
        <w:spacing w:before="0"/>
        <w:ind w:left="357" w:hanging="357"/>
        <w:rPr>
          <w:rFonts w:ascii="Times New Roman" w:hAnsi="Times New Roman" w:cs="Times New Roman"/>
        </w:rPr>
      </w:pPr>
      <w:bookmarkStart w:id="253" w:name="_Toc211525950"/>
      <w:r>
        <w:rPr>
          <w:rFonts w:ascii="Times New Roman" w:eastAsiaTheme="minorEastAsia" w:hAnsi="Times New Roman" w:cs="Times New Roman"/>
        </w:rPr>
        <w:t xml:space="preserve">Z 16.00 — Operaciones de financiación garantizada excluidas las intragrupo </w:t>
      </w:r>
      <w:r w:rsidRPr="3E769634">
        <w:rPr>
          <w:rFonts w:ascii="Times New Roman" w:eastAsia="Calibri" w:hAnsi="Times New Roman" w:cs="Times New Roman"/>
        </w:rPr>
        <w:t>(LIAB-G-6)</w:t>
      </w:r>
      <w:bookmarkEnd w:id="253"/>
    </w:p>
    <w:p w14:paraId="7FE1D19C" w14:textId="07C13721" w:rsidR="00414040" w:rsidRDefault="00904E1A">
      <w:pPr>
        <w:pStyle w:val="P68B1DB1-Instructionsberschrift289"/>
        <w:rPr>
          <w:rFonts w:eastAsiaTheme="minorEastAsia"/>
        </w:rPr>
      </w:pPr>
      <w:r>
        <w:t xml:space="preserve"> </w:t>
      </w:r>
      <w:bookmarkEnd w:id="252"/>
    </w:p>
    <w:p w14:paraId="7FE1D19D" w14:textId="77777777" w:rsidR="00414040" w:rsidRDefault="00904E1A">
      <w:pPr>
        <w:pStyle w:val="P68B1DB1-Numberedtitlelevel388"/>
      </w:pPr>
      <w:r>
        <w:t>Observaciones generales</w:t>
      </w:r>
    </w:p>
    <w:p w14:paraId="7FE1D19E" w14:textId="4497E348" w:rsidR="00414040" w:rsidRDefault="00904E1A" w:rsidP="1F069520">
      <w:pPr>
        <w:pStyle w:val="P68B1DB1-InstructionsText286"/>
        <w:numPr>
          <w:ilvl w:val="2"/>
          <w:numId w:val="209"/>
        </w:numPr>
        <w:spacing w:before="0"/>
        <w:ind w:left="1276"/>
        <w:rPr>
          <w:rFonts w:eastAsiaTheme="majorEastAsia"/>
        </w:rPr>
      </w:pPr>
      <w:r>
        <w:t xml:space="preserve">La financiación garantizada incluye todos los acuerdos de financiación sujetos a la provisión de garantías reales, pignoraciones o prendas, salvo, por ejemplo, los </w:t>
      </w:r>
      <w:r w:rsidR="00124AD4">
        <w:t xml:space="preserve">valores </w:t>
      </w:r>
      <w:r>
        <w:t xml:space="preserve">que deban </w:t>
      </w:r>
      <w:r w:rsidR="08BA6E2C">
        <w:t>informarse</w:t>
      </w:r>
      <w:r>
        <w:t xml:space="preserve"> en Z</w:t>
      </w:r>
      <w:r w:rsidR="00124AD4">
        <w:t xml:space="preserve"> </w:t>
      </w:r>
      <w:r>
        <w:t xml:space="preserve">12.00. </w:t>
      </w:r>
    </w:p>
    <w:p w14:paraId="7FE1D19F" w14:textId="4DB152E1" w:rsidR="00414040" w:rsidRDefault="00904E1A">
      <w:pPr>
        <w:pStyle w:val="P68B1DB1-InstructionsText286"/>
        <w:numPr>
          <w:ilvl w:val="2"/>
          <w:numId w:val="209"/>
        </w:numPr>
        <w:spacing w:before="0"/>
        <w:ind w:left="1276"/>
        <w:rPr>
          <w:lang w:val="es-ES"/>
        </w:rPr>
      </w:pPr>
      <w:r w:rsidRPr="7D65B9F3">
        <w:rPr>
          <w:lang w:val="es-ES"/>
        </w:rPr>
        <w:t xml:space="preserve">Ejemplos típicos de estos acuerdos son la financiación </w:t>
      </w:r>
      <w:r w:rsidR="418AAA0F" w:rsidRPr="7D65B9F3">
        <w:rPr>
          <w:lang w:val="es-ES"/>
        </w:rPr>
        <w:t>de bancos centrales</w:t>
      </w:r>
      <w:r w:rsidR="00F5513A">
        <w:rPr>
          <w:lang w:val="es-ES"/>
        </w:rPr>
        <w:t xml:space="preserve"> </w:t>
      </w:r>
      <w:r w:rsidRPr="7D65B9F3">
        <w:rPr>
          <w:lang w:val="es-ES"/>
        </w:rPr>
        <w:t>o los pactos de recompra.</w:t>
      </w:r>
    </w:p>
    <w:p w14:paraId="7FE1D1A0" w14:textId="26C56ADD" w:rsidR="00414040" w:rsidRDefault="00904E1A">
      <w:pPr>
        <w:pStyle w:val="P68B1DB1-InstructionsText286"/>
        <w:numPr>
          <w:ilvl w:val="2"/>
          <w:numId w:val="209"/>
        </w:numPr>
        <w:spacing w:before="0"/>
        <w:ind w:left="1276"/>
      </w:pPr>
      <w:r>
        <w:t xml:space="preserve">Debe </w:t>
      </w:r>
      <w:r w:rsidR="513052D0">
        <w:t>declararse</w:t>
      </w:r>
      <w:r>
        <w:t xml:space="preserve"> el pasivo garantizado, no la propia garantía real.</w:t>
      </w:r>
    </w:p>
    <w:p w14:paraId="7FE1D1A1" w14:textId="4482003B" w:rsidR="00414040" w:rsidRDefault="00904E1A">
      <w:pPr>
        <w:pStyle w:val="P68B1DB1-InstructionsText286"/>
        <w:numPr>
          <w:ilvl w:val="2"/>
          <w:numId w:val="209"/>
        </w:numPr>
        <w:spacing w:before="0"/>
        <w:ind w:left="1276"/>
        <w:rPr>
          <w:lang w:val="es-ES"/>
        </w:rPr>
      </w:pPr>
      <w:r w:rsidRPr="73DD02DC">
        <w:rPr>
          <w:lang w:val="es-ES"/>
        </w:rPr>
        <w:t>A efectos de</w:t>
      </w:r>
      <w:r w:rsidR="31B6A03E" w:rsidRPr="73DD02DC">
        <w:rPr>
          <w:lang w:val="es-ES"/>
        </w:rPr>
        <w:t xml:space="preserve"> la presente plantilla</w:t>
      </w:r>
      <w:r w:rsidRPr="73DD02DC">
        <w:rPr>
          <w:lang w:val="es-ES"/>
        </w:rPr>
        <w:t xml:space="preserve">, los acuerdos de financiación garantizada deben comunicarse por conjunto de operaciones compensables, es decir, cada conjunto de operaciones compensables presentado </w:t>
      </w:r>
      <w:r w:rsidR="005E117E">
        <w:rPr>
          <w:lang w:val="es-ES"/>
        </w:rPr>
        <w:t>en una fila independiente</w:t>
      </w:r>
      <w:r w:rsidRPr="73DD02DC">
        <w:rPr>
          <w:lang w:val="es-ES"/>
        </w:rPr>
        <w:t xml:space="preserve">. Sin embargo, la parte garantizada y la parte no garantizada del mismo conjunto de operaciones compensables deben </w:t>
      </w:r>
      <w:r w:rsidR="5E3113E0" w:rsidRPr="73DD02DC">
        <w:rPr>
          <w:lang w:val="es-ES"/>
        </w:rPr>
        <w:t>informarse</w:t>
      </w:r>
      <w:r w:rsidRPr="73DD02DC">
        <w:rPr>
          <w:lang w:val="es-ES"/>
        </w:rPr>
        <w:t xml:space="preserve"> en </w:t>
      </w:r>
      <w:r w:rsidR="1BE90DE2" w:rsidRPr="73DD02DC">
        <w:rPr>
          <w:lang w:val="es-ES"/>
        </w:rPr>
        <w:t xml:space="preserve">filas </w:t>
      </w:r>
      <w:proofErr w:type="gramStart"/>
      <w:r w:rsidR="001A2E1B">
        <w:rPr>
          <w:lang w:val="es-ES"/>
        </w:rPr>
        <w:t xml:space="preserve">independientes </w:t>
      </w:r>
      <w:r w:rsidRPr="73DD02DC">
        <w:rPr>
          <w:lang w:val="es-ES"/>
        </w:rPr>
        <w:t xml:space="preserve"> en</w:t>
      </w:r>
      <w:proofErr w:type="gramEnd"/>
      <w:r w:rsidRPr="73DD02DC">
        <w:rPr>
          <w:lang w:val="es-ES"/>
        </w:rPr>
        <w:t xml:space="preserve"> caso de que correspondan a diferentes </w:t>
      </w:r>
      <w:r w:rsidR="68E841FA" w:rsidRPr="73DD02DC">
        <w:rPr>
          <w:lang w:val="es-ES"/>
        </w:rPr>
        <w:t>rangos</w:t>
      </w:r>
      <w:r w:rsidR="00F5513A">
        <w:rPr>
          <w:lang w:val="es-ES"/>
        </w:rPr>
        <w:t xml:space="preserve"> </w:t>
      </w:r>
      <w:r w:rsidRPr="73DD02DC">
        <w:rPr>
          <w:lang w:val="es-ES"/>
        </w:rPr>
        <w:t xml:space="preserve">en caso de insolvencia. </w:t>
      </w:r>
    </w:p>
    <w:p w14:paraId="7FE1D1A2" w14:textId="2B34CE8B" w:rsidR="00414040" w:rsidRDefault="00904E1A">
      <w:pPr>
        <w:pStyle w:val="P68B1DB1-InstructionsText286"/>
        <w:numPr>
          <w:ilvl w:val="2"/>
          <w:numId w:val="209"/>
        </w:numPr>
        <w:spacing w:before="0"/>
        <w:ind w:left="1276"/>
      </w:pPr>
      <w:r>
        <w:t xml:space="preserve">A este respecto no se aplica ningún umbral </w:t>
      </w:r>
      <w:r w:rsidR="43433F92">
        <w:t>mínimo para presentar esta plantilla.</w:t>
      </w:r>
    </w:p>
    <w:p w14:paraId="7FE1D1A3" w14:textId="77777777" w:rsidR="00414040" w:rsidRDefault="00904E1A">
      <w:pPr>
        <w:pStyle w:val="P68B1DB1-Numberedtitlelevel388"/>
      </w:pPr>
      <w:r>
        <w:lastRenderedPageBreak/>
        <w:t>Instrucciones relativas a posiciones concretas</w:t>
      </w:r>
    </w:p>
    <w:tbl>
      <w:tblPr>
        <w:tblW w:w="9015" w:type="dxa"/>
        <w:tblInd w:w="135" w:type="dxa"/>
        <w:tblLayout w:type="fixed"/>
        <w:tblLook w:val="04A0" w:firstRow="1" w:lastRow="0" w:firstColumn="1" w:lastColumn="0" w:noHBand="0" w:noVBand="1"/>
      </w:tblPr>
      <w:tblGrid>
        <w:gridCol w:w="1183"/>
        <w:gridCol w:w="7832"/>
      </w:tblGrid>
      <w:tr w:rsidR="00414040" w14:paraId="7FE1D1A6" w14:textId="77777777" w:rsidTr="11A44BD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414040" w:rsidRDefault="00904E1A">
            <w:pPr>
              <w:pStyle w:val="P68B1DB1-Normal31"/>
            </w:pPr>
            <w:r>
              <w:t xml:space="preserve">Columnas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414040" w:rsidRDefault="00904E1A">
            <w:pPr>
              <w:pStyle w:val="P68B1DB1-Normal31"/>
            </w:pPr>
            <w:r>
              <w:t xml:space="preserve">Instrucciones </w:t>
            </w:r>
          </w:p>
        </w:tc>
      </w:tr>
      <w:tr w:rsidR="00414040" w14:paraId="7FE1D1AA" w14:textId="77777777" w:rsidTr="11A44BD7">
        <w:tc>
          <w:tcPr>
            <w:tcW w:w="1183" w:type="dxa"/>
            <w:tcBorders>
              <w:top w:val="single" w:sz="8" w:space="0" w:color="1A171C"/>
              <w:left w:val="nil"/>
              <w:bottom w:val="single" w:sz="8" w:space="0" w:color="1A171C"/>
              <w:right w:val="single" w:sz="8" w:space="0" w:color="1A171C"/>
            </w:tcBorders>
            <w:vAlign w:val="center"/>
          </w:tcPr>
          <w:p w14:paraId="7FE1D1A7" w14:textId="77777777" w:rsidR="00414040" w:rsidRDefault="00904E1A">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23E462FE" w:rsidR="00414040" w:rsidRDefault="00904E1A">
            <w:pPr>
              <w:pStyle w:val="P68B1DB1-TableParagraph40"/>
              <w:spacing w:before="108"/>
              <w:ind w:left="85"/>
              <w:jc w:val="both"/>
              <w:rPr>
                <w:b/>
                <w:bCs/>
              </w:rPr>
            </w:pPr>
            <w:r>
              <w:t xml:space="preserve"> </w:t>
            </w:r>
            <w:r>
              <w:rPr>
                <w:b/>
              </w:rPr>
              <w:t>N.</w:t>
            </w:r>
            <w:r w:rsidR="00980608">
              <w:rPr>
                <w:b/>
              </w:rPr>
              <w:t>º</w:t>
            </w:r>
          </w:p>
          <w:p w14:paraId="7FE1D1A9" w14:textId="0BB68278" w:rsidR="00414040" w:rsidRDefault="00904E1A">
            <w:pPr>
              <w:pStyle w:val="P68B1DB1-TableParagraph40"/>
              <w:spacing w:before="108"/>
              <w:ind w:left="85"/>
              <w:jc w:val="both"/>
            </w:pPr>
            <w:r>
              <w:t xml:space="preserve">Número único o clave principal </w:t>
            </w:r>
            <w:r w:rsidR="00980608" w:rsidRPr="00BF00F4">
              <w:t>única</w:t>
            </w:r>
            <w:r w:rsidR="00980608">
              <w:t xml:space="preserve"> </w:t>
            </w:r>
            <w:r>
              <w:t xml:space="preserve">para identificar las </w:t>
            </w:r>
            <w:r w:rsidR="008C6BCD">
              <w:t>filas</w:t>
            </w:r>
            <w:r>
              <w:t>.</w:t>
            </w:r>
          </w:p>
        </w:tc>
      </w:tr>
      <w:tr w:rsidR="00414040" w14:paraId="7FE1D1AE" w14:textId="77777777" w:rsidTr="11A44BD7">
        <w:tc>
          <w:tcPr>
            <w:tcW w:w="1183" w:type="dxa"/>
            <w:tcBorders>
              <w:top w:val="single" w:sz="8" w:space="0" w:color="1A171C"/>
              <w:left w:val="nil"/>
              <w:bottom w:val="single" w:sz="8" w:space="0" w:color="1A171C"/>
              <w:right w:val="single" w:sz="8" w:space="0" w:color="1A171C"/>
            </w:tcBorders>
            <w:vAlign w:val="center"/>
          </w:tcPr>
          <w:p w14:paraId="7FE1D1AB" w14:textId="77777777" w:rsidR="00414040" w:rsidRDefault="00904E1A">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414040" w:rsidRDefault="00904E1A">
            <w:pPr>
              <w:pStyle w:val="P68B1DB1-TableParagraph40"/>
              <w:spacing w:before="108"/>
              <w:ind w:left="85"/>
              <w:jc w:val="both"/>
              <w:rPr>
                <w:b/>
                <w:bCs/>
              </w:rPr>
            </w:pPr>
            <w:r>
              <w:t xml:space="preserve"> </w:t>
            </w:r>
            <w:r>
              <w:rPr>
                <w:b/>
              </w:rPr>
              <w:t>Columna</w:t>
            </w:r>
          </w:p>
          <w:p w14:paraId="7FE1D1AD" w14:textId="73B7E10D" w:rsidR="00414040" w:rsidRDefault="00904E1A">
            <w:pPr>
              <w:pStyle w:val="P68B1DB1-TableParagraph40"/>
              <w:spacing w:before="108"/>
              <w:ind w:left="85"/>
              <w:jc w:val="both"/>
            </w:pPr>
            <w:r>
              <w:t xml:space="preserve">Para cada conjunto de compensación, deberá realizarse una conciliación con la categoría de contraparte </w:t>
            </w:r>
            <w:r w:rsidR="00980608">
              <w:t xml:space="preserve">de </w:t>
            </w:r>
            <w:r>
              <w:t>Z02.00 con la que se ha contraído el pasivo, a partir de una lista predefinida de valores.</w:t>
            </w:r>
          </w:p>
        </w:tc>
      </w:tr>
      <w:tr w:rsidR="00414040" w14:paraId="7FE1D1B2" w14:textId="77777777" w:rsidTr="11A44BD7">
        <w:tc>
          <w:tcPr>
            <w:tcW w:w="1183" w:type="dxa"/>
            <w:tcBorders>
              <w:top w:val="single" w:sz="8" w:space="0" w:color="1A171C"/>
              <w:left w:val="nil"/>
              <w:bottom w:val="single" w:sz="8" w:space="0" w:color="1A171C"/>
              <w:right w:val="single" w:sz="8" w:space="0" w:color="1A171C"/>
            </w:tcBorders>
            <w:vAlign w:val="center"/>
          </w:tcPr>
          <w:p w14:paraId="7FE1D1AF" w14:textId="77777777" w:rsidR="00414040" w:rsidRDefault="00904E1A">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1F4C93C8" w:rsidR="00414040" w:rsidRPr="008C6BCD" w:rsidRDefault="14C48B89">
            <w:pPr>
              <w:pStyle w:val="P68B1DB1-TableParagraph40"/>
              <w:spacing w:before="108"/>
              <w:ind w:left="85"/>
              <w:jc w:val="both"/>
              <w:rPr>
                <w:b/>
                <w:bCs/>
              </w:rPr>
            </w:pPr>
            <w:r w:rsidRPr="008C6BCD">
              <w:rPr>
                <w:b/>
                <w:bCs/>
              </w:rPr>
              <w:t>Rango en caso</w:t>
            </w:r>
            <w:r w:rsidR="00904E1A" w:rsidRPr="008C6BCD">
              <w:rPr>
                <w:b/>
              </w:rPr>
              <w:t xml:space="preserve"> de insolvencia</w:t>
            </w:r>
          </w:p>
          <w:p w14:paraId="7FE1D1B1" w14:textId="0D780E4C" w:rsidR="00414040" w:rsidRDefault="00904E1A">
            <w:pPr>
              <w:pStyle w:val="P68B1DB1-TableParagraph40"/>
              <w:spacing w:before="108"/>
              <w:ind w:left="85"/>
              <w:jc w:val="both"/>
            </w:pPr>
            <w:r w:rsidRPr="008C6BCD">
              <w:t>El rango en caso de insolvencia será uno de los rangos incluidos en el orden de prelación en caso de insolvencia</w:t>
            </w:r>
            <w:r>
              <w:t xml:space="preserve"> publicado por la autoridad de resolución de ese país.</w:t>
            </w:r>
          </w:p>
        </w:tc>
      </w:tr>
      <w:tr w:rsidR="00414040" w14:paraId="7FE1D1B6" w14:textId="77777777" w:rsidTr="11A44BD7">
        <w:tc>
          <w:tcPr>
            <w:tcW w:w="1183" w:type="dxa"/>
            <w:tcBorders>
              <w:top w:val="single" w:sz="8" w:space="0" w:color="1A171C"/>
              <w:left w:val="nil"/>
              <w:bottom w:val="single" w:sz="8" w:space="0" w:color="1A171C"/>
              <w:right w:val="single" w:sz="8" w:space="0" w:color="1A171C"/>
            </w:tcBorders>
            <w:vAlign w:val="center"/>
          </w:tcPr>
          <w:p w14:paraId="7FE1D1B3" w14:textId="77777777" w:rsidR="00414040" w:rsidRDefault="00904E1A">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414040" w:rsidRDefault="00904E1A">
            <w:pPr>
              <w:pStyle w:val="P68B1DB1-TableParagraph73"/>
              <w:spacing w:before="108"/>
              <w:ind w:left="85"/>
              <w:jc w:val="both"/>
              <w:rPr>
                <w:bCs/>
              </w:rPr>
            </w:pPr>
            <w:r>
              <w:t xml:space="preserve"> Identificador del acuerdo marco </w:t>
            </w:r>
          </w:p>
          <w:p w14:paraId="7FE1D1B5" w14:textId="77777777" w:rsidR="00414040" w:rsidRDefault="00904E1A">
            <w:pPr>
              <w:pStyle w:val="P68B1DB1-TableParagraph40"/>
              <w:spacing w:before="108"/>
              <w:ind w:left="85"/>
              <w:jc w:val="both"/>
            </w:pPr>
            <w:r>
              <w:t>Identificador interno del acuerdo marco o del contrato único.</w:t>
            </w:r>
          </w:p>
        </w:tc>
      </w:tr>
      <w:tr w:rsidR="00414040" w14:paraId="7FE1D1BA" w14:textId="77777777" w:rsidTr="11A44BD7">
        <w:tc>
          <w:tcPr>
            <w:tcW w:w="1183" w:type="dxa"/>
            <w:tcBorders>
              <w:top w:val="single" w:sz="8" w:space="0" w:color="1A171C"/>
              <w:left w:val="nil"/>
              <w:bottom w:val="single" w:sz="8" w:space="0" w:color="1A171C"/>
              <w:right w:val="single" w:sz="8" w:space="0" w:color="1A171C"/>
            </w:tcBorders>
            <w:vAlign w:val="center"/>
          </w:tcPr>
          <w:p w14:paraId="7FE1D1B7" w14:textId="77777777" w:rsidR="00414040" w:rsidRDefault="00904E1A">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414040" w:rsidRDefault="00904E1A">
            <w:pPr>
              <w:pStyle w:val="P68B1DB1-TableParagraph73"/>
              <w:spacing w:before="108"/>
              <w:ind w:left="85"/>
              <w:jc w:val="both"/>
              <w:rPr>
                <w:bCs/>
              </w:rPr>
            </w:pPr>
            <w:r>
              <w:t xml:space="preserve"> Tipo de acuerdo marco (p. ej., GMRA) </w:t>
            </w:r>
          </w:p>
          <w:p w14:paraId="7FE1D1B9" w14:textId="38D8B5C6" w:rsidR="00414040" w:rsidRDefault="00904E1A">
            <w:pPr>
              <w:pStyle w:val="P68B1DB1-TableParagraph40"/>
              <w:spacing w:before="108"/>
              <w:ind w:left="85"/>
              <w:jc w:val="both"/>
              <w:rPr>
                <w:lang w:val="es-ES"/>
              </w:rPr>
            </w:pPr>
            <w:r w:rsidRPr="2133F407">
              <w:rPr>
                <w:lang w:val="es-ES"/>
              </w:rPr>
              <w:t xml:space="preserve">Especifique el acuerdo marco, ya sea «ICMA 2011 </w:t>
            </w:r>
            <w:r w:rsidR="261466F8" w:rsidRPr="008C6BCD">
              <w:rPr>
                <w:lang w:val="es-ES"/>
              </w:rPr>
              <w:t>Acuerdos</w:t>
            </w:r>
            <w:r w:rsidRPr="008C6BCD">
              <w:rPr>
                <w:lang w:val="es-ES"/>
              </w:rPr>
              <w:t xml:space="preserve"> marco mundiales de recompra», «ICMA 2000 Acuerdos marco mundiales</w:t>
            </w:r>
            <w:r w:rsidR="35EA088A" w:rsidRPr="00210421">
              <w:rPr>
                <w:lang w:val="es-ES"/>
              </w:rPr>
              <w:t xml:space="preserve"> de recompra</w:t>
            </w:r>
            <w:r w:rsidRPr="008C6BCD">
              <w:rPr>
                <w:lang w:val="es-ES"/>
              </w:rPr>
              <w:t>», «ICMA 1995 Acuerdos marco mundiales de recompra», «</w:t>
            </w:r>
            <w:r w:rsidRPr="00BF00F4">
              <w:rPr>
                <w:lang w:val="es-ES"/>
              </w:rPr>
              <w:t xml:space="preserve">ICMA 1992 </w:t>
            </w:r>
            <w:r w:rsidRPr="008C6BCD">
              <w:rPr>
                <w:lang w:val="es-ES"/>
              </w:rPr>
              <w:t>Acuerdos marco mundiales de recompra», «Otros acuerdos marco mundiales de recompra»</w:t>
            </w:r>
            <w:r w:rsidRPr="2133F407">
              <w:rPr>
                <w:lang w:val="es-ES"/>
              </w:rPr>
              <w:t xml:space="preserve"> o «contrato único» de una lista predefinida.</w:t>
            </w:r>
          </w:p>
        </w:tc>
      </w:tr>
      <w:tr w:rsidR="00414040" w14:paraId="7FE1D1BE" w14:textId="77777777" w:rsidTr="11A44BD7">
        <w:tc>
          <w:tcPr>
            <w:tcW w:w="1183" w:type="dxa"/>
            <w:tcBorders>
              <w:top w:val="single" w:sz="8" w:space="0" w:color="1A171C"/>
              <w:left w:val="nil"/>
              <w:bottom w:val="single" w:sz="8" w:space="0" w:color="1A171C"/>
              <w:right w:val="single" w:sz="8" w:space="0" w:color="1A171C"/>
            </w:tcBorders>
            <w:vAlign w:val="center"/>
          </w:tcPr>
          <w:p w14:paraId="7FE1D1BB" w14:textId="77777777" w:rsidR="00414040" w:rsidRDefault="00904E1A">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CC2420C" w:rsidR="00414040" w:rsidRDefault="00904E1A">
            <w:pPr>
              <w:pStyle w:val="P68B1DB1-TableParagraph73"/>
              <w:spacing w:before="108"/>
              <w:ind w:left="85"/>
              <w:jc w:val="both"/>
              <w:rPr>
                <w:bCs/>
              </w:rPr>
            </w:pPr>
            <w:bookmarkStart w:id="254" w:name="_Hlk189839338"/>
            <w:r>
              <w:t xml:space="preserve">Nombre de la contraparte </w:t>
            </w:r>
          </w:p>
          <w:bookmarkEnd w:id="254"/>
          <w:p w14:paraId="7FE1D1BD" w14:textId="24959778" w:rsidR="00414040" w:rsidRDefault="00904E1A">
            <w:pPr>
              <w:pStyle w:val="P68B1DB1-TableParagraph40"/>
              <w:spacing w:before="108"/>
              <w:ind w:left="85"/>
              <w:jc w:val="both"/>
            </w:pPr>
            <w:r>
              <w:t xml:space="preserve">El nombre </w:t>
            </w:r>
            <w:r w:rsidR="00C46264">
              <w:t>del ente</w:t>
            </w:r>
            <w:r>
              <w:t xml:space="preserve"> de la contraparte.</w:t>
            </w:r>
          </w:p>
        </w:tc>
      </w:tr>
      <w:tr w:rsidR="00414040" w14:paraId="7FE1D1C2" w14:textId="77777777" w:rsidTr="11A44BD7">
        <w:tc>
          <w:tcPr>
            <w:tcW w:w="1183" w:type="dxa"/>
            <w:tcBorders>
              <w:top w:val="single" w:sz="8" w:space="0" w:color="1A171C"/>
              <w:left w:val="nil"/>
              <w:bottom w:val="single" w:sz="8" w:space="0" w:color="1A171C"/>
              <w:right w:val="single" w:sz="8" w:space="0" w:color="1A171C"/>
            </w:tcBorders>
            <w:vAlign w:val="center"/>
          </w:tcPr>
          <w:p w14:paraId="7FE1D1BF" w14:textId="77777777" w:rsidR="00414040" w:rsidRDefault="00904E1A">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5950E15A" w:rsidR="00414040" w:rsidRDefault="3864EEF5">
            <w:pPr>
              <w:pStyle w:val="P68B1DB1-TableParagraph40"/>
              <w:spacing w:before="108"/>
              <w:ind w:left="85"/>
              <w:jc w:val="both"/>
              <w:rPr>
                <w:b/>
                <w:bCs/>
              </w:rPr>
            </w:pPr>
            <w:r w:rsidRPr="11A44BD7">
              <w:rPr>
                <w:b/>
                <w:bCs/>
              </w:rPr>
              <w:t>Identificador de la contraparte</w:t>
            </w:r>
            <w:r w:rsidR="00904E1A" w:rsidRPr="11A44BD7">
              <w:rPr>
                <w:b/>
                <w:bCs/>
              </w:rPr>
              <w:t xml:space="preserve"> (LEI/IFM/identificador local)</w:t>
            </w:r>
          </w:p>
          <w:p w14:paraId="7FE1D1C1" w14:textId="7482098E" w:rsidR="00414040" w:rsidRDefault="00904E1A">
            <w:pPr>
              <w:pStyle w:val="P68B1DB1-TableParagraph40"/>
              <w:spacing w:before="108"/>
              <w:ind w:left="85"/>
              <w:jc w:val="both"/>
            </w:pPr>
            <w:r>
              <w:t xml:space="preserve">Indíquese el código LEI del acreedor. A falta de un código LEI, en el caso de bancos, deberá </w:t>
            </w:r>
            <w:r w:rsidR="57486386">
              <w:t>informarse</w:t>
            </w:r>
            <w:r>
              <w:t xml:space="preserve"> el identificador único de instituciones financieras monetarias del BCE (</w:t>
            </w:r>
            <w:r w:rsidR="003A02C5" w:rsidRPr="00EF2238">
              <w:rPr>
                <w:rFonts w:eastAsia="Verdana"/>
                <w:lang w:val="es-ES"/>
              </w:rPr>
              <w:t xml:space="preserve">identificador </w:t>
            </w:r>
            <w:r>
              <w:t>de IFM) utilizado en el RIAD. En ausencia de ambos identificadores, indicar un identificador interno.</w:t>
            </w:r>
          </w:p>
        </w:tc>
      </w:tr>
      <w:tr w:rsidR="00414040" w14:paraId="7FE1D1C6" w14:textId="77777777" w:rsidTr="11A44BD7">
        <w:tc>
          <w:tcPr>
            <w:tcW w:w="1183" w:type="dxa"/>
            <w:tcBorders>
              <w:top w:val="single" w:sz="8" w:space="0" w:color="1A171C"/>
              <w:left w:val="nil"/>
              <w:bottom w:val="single" w:sz="8" w:space="0" w:color="1A171C"/>
              <w:right w:val="single" w:sz="8" w:space="0" w:color="1A171C"/>
            </w:tcBorders>
            <w:vAlign w:val="center"/>
          </w:tcPr>
          <w:p w14:paraId="7FE1D1C3" w14:textId="77777777" w:rsidR="00414040" w:rsidRDefault="00904E1A">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414040" w:rsidRDefault="00904E1A">
            <w:pPr>
              <w:pStyle w:val="P68B1DB1-TableParagraph73"/>
              <w:spacing w:before="108"/>
              <w:ind w:left="85"/>
              <w:jc w:val="both"/>
              <w:rPr>
                <w:bCs/>
              </w:rPr>
            </w:pPr>
            <w:r>
              <w:t xml:space="preserve">Tipo de identificador </w:t>
            </w:r>
          </w:p>
          <w:p w14:paraId="7FE1D1C5" w14:textId="77777777" w:rsidR="00414040" w:rsidRDefault="00904E1A">
            <w:pPr>
              <w:pStyle w:val="P68B1DB1-TableParagraph40"/>
              <w:spacing w:before="108"/>
              <w:ind w:left="85"/>
              <w:jc w:val="both"/>
            </w:pPr>
            <w:r>
              <w:t>Se seleccionará una de las opciones siguientes: «Código LEI», «Código de IFM» o «Tipo de identificador: distinto del código LEI o de IFM».</w:t>
            </w:r>
          </w:p>
        </w:tc>
      </w:tr>
      <w:tr w:rsidR="00414040" w14:paraId="7FE1D1CA" w14:textId="77777777" w:rsidTr="11A44BD7">
        <w:tc>
          <w:tcPr>
            <w:tcW w:w="1183" w:type="dxa"/>
            <w:tcBorders>
              <w:top w:val="single" w:sz="8" w:space="0" w:color="1A171C"/>
              <w:left w:val="nil"/>
              <w:bottom w:val="single" w:sz="8" w:space="0" w:color="1A171C"/>
              <w:right w:val="single" w:sz="8" w:space="0" w:color="1A171C"/>
            </w:tcBorders>
            <w:vAlign w:val="center"/>
          </w:tcPr>
          <w:p w14:paraId="7FE1D1C7" w14:textId="77777777" w:rsidR="00414040" w:rsidRDefault="00904E1A">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414040" w:rsidRDefault="00904E1A">
            <w:pPr>
              <w:pStyle w:val="P68B1DB1-TableParagraph40"/>
              <w:spacing w:before="108"/>
              <w:ind w:left="85"/>
              <w:jc w:val="both"/>
              <w:rPr>
                <w:b/>
                <w:bCs/>
              </w:rPr>
            </w:pPr>
            <w:r>
              <w:t xml:space="preserve"> </w:t>
            </w:r>
            <w:r>
              <w:rPr>
                <w:b/>
              </w:rPr>
              <w:t>País de la contraparte</w:t>
            </w:r>
          </w:p>
          <w:p w14:paraId="7FE1D1C9" w14:textId="77777777" w:rsidR="00414040" w:rsidRDefault="00904E1A">
            <w:pPr>
              <w:pStyle w:val="P68B1DB1-TableParagraph40"/>
              <w:spacing w:before="108"/>
              <w:ind w:left="85"/>
              <w:jc w:val="both"/>
            </w:pPr>
            <w:r>
              <w:t>El nombre del país en el que está constituida la contraparte.</w:t>
            </w:r>
          </w:p>
        </w:tc>
      </w:tr>
      <w:tr w:rsidR="00414040" w14:paraId="7FE1D1CE" w14:textId="77777777" w:rsidTr="11A44BD7">
        <w:tc>
          <w:tcPr>
            <w:tcW w:w="1183" w:type="dxa"/>
            <w:tcBorders>
              <w:top w:val="single" w:sz="8" w:space="0" w:color="1A171C"/>
              <w:left w:val="nil"/>
              <w:bottom w:val="single" w:sz="8" w:space="0" w:color="1A171C"/>
              <w:right w:val="single" w:sz="8" w:space="0" w:color="1A171C"/>
            </w:tcBorders>
            <w:vAlign w:val="center"/>
          </w:tcPr>
          <w:p w14:paraId="7FE1D1CB" w14:textId="77777777" w:rsidR="00414040" w:rsidRDefault="00904E1A">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3F6D71D6" w:rsidR="00414040" w:rsidRDefault="00904E1A">
            <w:pPr>
              <w:pStyle w:val="P68B1DB1-TableParagraph40"/>
              <w:spacing w:before="108"/>
              <w:ind w:left="85"/>
              <w:jc w:val="both"/>
              <w:rPr>
                <w:b/>
                <w:bCs/>
              </w:rPr>
            </w:pPr>
            <w:r>
              <w:t xml:space="preserve"> </w:t>
            </w:r>
            <w:r>
              <w:rPr>
                <w:b/>
              </w:rPr>
              <w:t xml:space="preserve">Derecho por el que se rige </w:t>
            </w:r>
            <w:r w:rsidR="005E117E">
              <w:rPr>
                <w:b/>
              </w:rPr>
              <w:t xml:space="preserve">el </w:t>
            </w:r>
            <w:r w:rsidR="00C537FE">
              <w:rPr>
                <w:b/>
              </w:rPr>
              <w:t>acuerdo marco</w:t>
            </w:r>
            <w:r>
              <w:rPr>
                <w:b/>
              </w:rPr>
              <w:t>/</w:t>
            </w:r>
            <w:r w:rsidR="404F131D" w:rsidRPr="697ECA4E">
              <w:rPr>
                <w:b/>
                <w:bCs/>
              </w:rPr>
              <w:t>contrato</w:t>
            </w:r>
            <w:r>
              <w:rPr>
                <w:b/>
              </w:rPr>
              <w:t xml:space="preserve"> único</w:t>
            </w:r>
          </w:p>
          <w:p w14:paraId="7FE1D1CD" w14:textId="2045F057" w:rsidR="00414040" w:rsidRDefault="00904E1A">
            <w:pPr>
              <w:pStyle w:val="P68B1DB1-TableParagraph40"/>
              <w:spacing w:before="108"/>
              <w:ind w:left="85"/>
              <w:jc w:val="both"/>
            </w:pPr>
            <w:r>
              <w:t xml:space="preserve">Nombre del país cuya normativa regula el </w:t>
            </w:r>
            <w:r w:rsidR="00C537FE">
              <w:t>acuerdo marco</w:t>
            </w:r>
            <w:r>
              <w:t xml:space="preserve">/contrato único. Si el contrato se rige por la normativa de más de un país, se </w:t>
            </w:r>
            <w:r w:rsidR="086070DC">
              <w:t xml:space="preserve">informará </w:t>
            </w:r>
            <w:r>
              <w:t xml:space="preserve">el país cuya normativa tenga mayor relevancia para el reconocimiento de las </w:t>
            </w:r>
            <w:r w:rsidR="00C537FE">
              <w:t>competencias de amortización</w:t>
            </w:r>
            <w:r>
              <w:t xml:space="preserve"> y conversión.  </w:t>
            </w:r>
          </w:p>
        </w:tc>
      </w:tr>
      <w:tr w:rsidR="00414040" w14:paraId="7FE1D1D2" w14:textId="77777777" w:rsidTr="11A44BD7">
        <w:tc>
          <w:tcPr>
            <w:tcW w:w="1183" w:type="dxa"/>
            <w:tcBorders>
              <w:top w:val="single" w:sz="8" w:space="0" w:color="1A171C"/>
              <w:left w:val="nil"/>
              <w:bottom w:val="single" w:sz="8" w:space="0" w:color="1A171C"/>
              <w:right w:val="single" w:sz="8" w:space="0" w:color="1A171C"/>
            </w:tcBorders>
            <w:vAlign w:val="center"/>
          </w:tcPr>
          <w:p w14:paraId="7FE1D1CF" w14:textId="77777777" w:rsidR="00414040" w:rsidRDefault="00904E1A">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414040" w:rsidRDefault="00904E1A">
            <w:pPr>
              <w:pStyle w:val="P68B1DB1-TableParagraph40"/>
              <w:spacing w:before="108"/>
              <w:ind w:left="85"/>
              <w:jc w:val="both"/>
              <w:rPr>
                <w:b/>
                <w:bCs/>
              </w:rPr>
            </w:pPr>
            <w:r>
              <w:t xml:space="preserve"> </w:t>
            </w:r>
            <w:r>
              <w:rPr>
                <w:b/>
              </w:rPr>
              <w:t>Número de transacciones cubiertas</w:t>
            </w:r>
          </w:p>
          <w:p w14:paraId="7FE1D1D1" w14:textId="36220848" w:rsidR="00414040" w:rsidRDefault="00904E1A">
            <w:pPr>
              <w:pStyle w:val="P68B1DB1-TableParagraph40"/>
              <w:spacing w:before="108"/>
              <w:ind w:left="85"/>
              <w:jc w:val="both"/>
            </w:pPr>
            <w:r>
              <w:t xml:space="preserve">Indíquese el número de contratos individuales incluidos en el conjunto de operaciones compensables </w:t>
            </w:r>
            <w:r w:rsidR="00982BE3">
              <w:t>del acuerdo marco</w:t>
            </w:r>
            <w:r>
              <w:t>.</w:t>
            </w:r>
          </w:p>
        </w:tc>
      </w:tr>
      <w:tr w:rsidR="00414040" w14:paraId="7FE1D1D6" w14:textId="77777777" w:rsidTr="11A44BD7">
        <w:tc>
          <w:tcPr>
            <w:tcW w:w="1183" w:type="dxa"/>
            <w:tcBorders>
              <w:top w:val="single" w:sz="8" w:space="0" w:color="1A171C"/>
              <w:left w:val="nil"/>
              <w:bottom w:val="single" w:sz="8" w:space="0" w:color="1A171C"/>
              <w:right w:val="single" w:sz="8" w:space="0" w:color="1A171C"/>
            </w:tcBorders>
            <w:vAlign w:val="center"/>
          </w:tcPr>
          <w:p w14:paraId="7FE1D1D3" w14:textId="77777777" w:rsidR="00414040" w:rsidRDefault="00904E1A">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414040" w:rsidRDefault="00904E1A">
            <w:pPr>
              <w:pStyle w:val="P68B1DB1-TableParagraph40"/>
              <w:spacing w:before="108"/>
              <w:ind w:left="85"/>
              <w:jc w:val="both"/>
              <w:rPr>
                <w:b/>
                <w:bCs/>
              </w:rPr>
            </w:pPr>
            <w:r>
              <w:t xml:space="preserve"> </w:t>
            </w:r>
            <w:r>
              <w:rPr>
                <w:b/>
              </w:rPr>
              <w:t>Importe neto de la financiación recibida</w:t>
            </w:r>
          </w:p>
          <w:p w14:paraId="7FE1D1D5" w14:textId="0C0359AD" w:rsidR="00414040" w:rsidRDefault="00904E1A">
            <w:pPr>
              <w:pStyle w:val="P68B1DB1-TableParagraph40"/>
              <w:spacing w:before="108"/>
              <w:ind w:left="85"/>
              <w:jc w:val="both"/>
            </w:pPr>
            <w:r w:rsidRPr="3E769634">
              <w:rPr>
                <w:lang w:val="es-ES"/>
              </w:rPr>
              <w:t xml:space="preserve">Indique el importe neto de la financiación recibida dentro de acuerdos de financiación garantizada, teniendo en cuenta todas las operaciones sujetas al acuerdo de compensación. Obsérvese que este importe no incluye los intereses devengados, mientras que el importe correspondiente </w:t>
            </w:r>
            <w:r w:rsidR="003D442C" w:rsidRPr="3E769634">
              <w:rPr>
                <w:lang w:val="es-ES"/>
              </w:rPr>
              <w:t xml:space="preserve">de </w:t>
            </w:r>
            <w:r w:rsidRPr="3E769634">
              <w:rPr>
                <w:lang w:val="es-ES"/>
              </w:rPr>
              <w:t>la fila 0120 de Z02.00 sí lo</w:t>
            </w:r>
            <w:r w:rsidR="003D442C" w:rsidRPr="3E769634">
              <w:rPr>
                <w:lang w:val="es-ES"/>
              </w:rPr>
              <w:t>s</w:t>
            </w:r>
            <w:r w:rsidRPr="3E769634">
              <w:rPr>
                <w:lang w:val="es-ES"/>
              </w:rPr>
              <w:t xml:space="preserve"> </w:t>
            </w:r>
            <w:r w:rsidR="003D442C" w:rsidRPr="3E769634">
              <w:rPr>
                <w:lang w:val="es-ES"/>
              </w:rPr>
              <w:t>incluye</w:t>
            </w:r>
            <w:r w:rsidRPr="3E769634">
              <w:rPr>
                <w:lang w:val="es-ES"/>
              </w:rPr>
              <w:t>.</w:t>
            </w:r>
          </w:p>
        </w:tc>
      </w:tr>
      <w:tr w:rsidR="00414040" w14:paraId="7FE1D1DA" w14:textId="77777777" w:rsidTr="11A44BD7">
        <w:tc>
          <w:tcPr>
            <w:tcW w:w="1183" w:type="dxa"/>
            <w:tcBorders>
              <w:top w:val="single" w:sz="8" w:space="0" w:color="1A171C"/>
              <w:left w:val="nil"/>
              <w:bottom w:val="single" w:sz="8" w:space="0" w:color="1A171C"/>
              <w:right w:val="single" w:sz="8" w:space="0" w:color="1A171C"/>
            </w:tcBorders>
            <w:vAlign w:val="center"/>
          </w:tcPr>
          <w:p w14:paraId="7FE1D1D7" w14:textId="77777777" w:rsidR="00414040" w:rsidRDefault="00904E1A">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93FE9D" w:rsidR="00414040" w:rsidRDefault="00904E1A">
            <w:pPr>
              <w:pStyle w:val="P68B1DB1-TableParagraph73"/>
              <w:spacing w:before="108"/>
              <w:ind w:left="85"/>
              <w:jc w:val="both"/>
            </w:pPr>
            <w:r>
              <w:t xml:space="preserve"> Importe neto de las garantías reales </w:t>
            </w:r>
            <w:r w:rsidR="3B6F3D62">
              <w:t>entregadas</w:t>
            </w:r>
            <w:r>
              <w:t xml:space="preserve"> </w:t>
            </w:r>
          </w:p>
          <w:p w14:paraId="7FE1D1D9" w14:textId="039BB2CB" w:rsidR="00414040" w:rsidRDefault="00904E1A">
            <w:pPr>
              <w:pStyle w:val="P68B1DB1-TableParagraph40"/>
              <w:spacing w:before="108"/>
              <w:ind w:left="85"/>
              <w:jc w:val="both"/>
            </w:pPr>
            <w:r>
              <w:t xml:space="preserve">Por </w:t>
            </w:r>
            <w:r w:rsidR="63A3437C">
              <w:t xml:space="preserve">cada </w:t>
            </w:r>
            <w:r>
              <w:t xml:space="preserve">conjunto de operaciones compensables, indicar el valor neto de las garantías reales aportadas para cubrir las operaciones de financiación garantizada, teniendo en cuenta todas las </w:t>
            </w:r>
            <w:r>
              <w:lastRenderedPageBreak/>
              <w:t>posiciones en garantías reales consideradas en el acuerdo de compensación. Esto incluye cualquier importe de garantía real o margen que se intercambie.</w:t>
            </w:r>
          </w:p>
        </w:tc>
      </w:tr>
    </w:tbl>
    <w:p w14:paraId="7FE1D1DB" w14:textId="77777777" w:rsidR="00414040" w:rsidRDefault="00414040">
      <w:pPr>
        <w:pStyle w:val="Instructionsberschrift2"/>
        <w:ind w:left="357"/>
        <w:rPr>
          <w:rFonts w:ascii="Times New Roman" w:eastAsia="Calibri" w:hAnsi="Times New Roman" w:cs="Times New Roman"/>
          <w:szCs w:val="20"/>
        </w:rPr>
      </w:pPr>
      <w:bookmarkStart w:id="255" w:name="_Toc81454218"/>
    </w:p>
    <w:p w14:paraId="7FE1D1DC" w14:textId="4F83132F" w:rsidR="00414040" w:rsidRDefault="00904E1A">
      <w:pPr>
        <w:pStyle w:val="Instructionsberschrift2"/>
        <w:numPr>
          <w:ilvl w:val="1"/>
          <w:numId w:val="49"/>
        </w:numPr>
        <w:spacing w:before="0"/>
        <w:ind w:left="357" w:hanging="357"/>
        <w:rPr>
          <w:rFonts w:ascii="Times New Roman" w:hAnsi="Times New Roman" w:cs="Times New Roman"/>
        </w:rPr>
      </w:pPr>
      <w:bookmarkStart w:id="256" w:name="_Toc211525951"/>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Otros pasivos no financieros (no incluidos en otras pestañas, excepto intragrupo) </w:t>
      </w:r>
      <w:r>
        <w:rPr>
          <w:rFonts w:ascii="Times New Roman" w:eastAsia="Calibri" w:hAnsi="Times New Roman" w:cs="Times New Roman"/>
          <w:szCs w:val="20"/>
        </w:rPr>
        <w:t>(LIAB-G-7)</w:t>
      </w:r>
      <w:bookmarkEnd w:id="256"/>
    </w:p>
    <w:bookmarkEnd w:id="255"/>
    <w:p w14:paraId="7FE1D1DD" w14:textId="28BEEC11" w:rsidR="00414040" w:rsidRDefault="00414040">
      <w:pPr>
        <w:pStyle w:val="Instructionsberschrift2"/>
        <w:ind w:left="357"/>
        <w:rPr>
          <w:rFonts w:ascii="Times New Roman" w:eastAsiaTheme="minorEastAsia" w:hAnsi="Times New Roman" w:cs="Times New Roman"/>
          <w:u w:val="none"/>
        </w:rPr>
      </w:pPr>
    </w:p>
    <w:p w14:paraId="7FE1D1DE" w14:textId="77777777" w:rsidR="00414040" w:rsidRDefault="00904E1A">
      <w:pPr>
        <w:pStyle w:val="P68B1DB1-Numberedtitlelevel388"/>
      </w:pPr>
      <w:r>
        <w:t>Observaciones generales</w:t>
      </w:r>
    </w:p>
    <w:p w14:paraId="7FE1D1DF" w14:textId="741F771A" w:rsidR="00414040" w:rsidRDefault="00904E1A">
      <w:pPr>
        <w:pStyle w:val="P68B1DB1-InstructionsText286"/>
        <w:numPr>
          <w:ilvl w:val="2"/>
          <w:numId w:val="209"/>
        </w:numPr>
        <w:spacing w:before="0"/>
        <w:ind w:left="1276"/>
        <w:rPr>
          <w:rFonts w:eastAsiaTheme="majorEastAsia"/>
        </w:rPr>
      </w:pPr>
      <w:r>
        <w:t>Est</w:t>
      </w:r>
      <w:r w:rsidR="0B2EEFC8">
        <w:t>a plantilla</w:t>
      </w:r>
      <w:r>
        <w:t xml:space="preserve"> incluye pasivos no financieros tales como provisiones, pasivos por impuestos e ingresos diferidos.</w:t>
      </w:r>
    </w:p>
    <w:p w14:paraId="7FE1D1E0" w14:textId="762921FE" w:rsidR="00414040" w:rsidRPr="00BF00F4" w:rsidRDefault="00904E1A">
      <w:pPr>
        <w:pStyle w:val="P68B1DB1-InstructionsText286"/>
        <w:numPr>
          <w:ilvl w:val="2"/>
          <w:numId w:val="209"/>
        </w:numPr>
        <w:spacing w:before="0"/>
        <w:ind w:left="1276"/>
      </w:pPr>
      <w:r>
        <w:t xml:space="preserve">Agrupar estos pasivos por tipo de pasivo no financiero y </w:t>
      </w:r>
      <w:r w:rsidR="04D6A78B" w:rsidRPr="00BF00F4">
        <w:t>rango</w:t>
      </w:r>
      <w:r w:rsidRPr="00BF00F4">
        <w:t xml:space="preserve"> en caso de insolvencia.</w:t>
      </w:r>
    </w:p>
    <w:p w14:paraId="7FE1D1E2" w14:textId="77777777" w:rsidR="00414040" w:rsidRDefault="00904E1A">
      <w:pPr>
        <w:pStyle w:val="P68B1DB1-Numberedtitlelevel388"/>
      </w:pPr>
      <w:r>
        <w:t>Instrucciones relativas a posiciones concretas</w:t>
      </w:r>
    </w:p>
    <w:tbl>
      <w:tblPr>
        <w:tblW w:w="9015" w:type="dxa"/>
        <w:tblInd w:w="135" w:type="dxa"/>
        <w:tblLayout w:type="fixed"/>
        <w:tblLook w:val="04A0" w:firstRow="1" w:lastRow="0" w:firstColumn="1" w:lastColumn="0" w:noHBand="0" w:noVBand="1"/>
      </w:tblPr>
      <w:tblGrid>
        <w:gridCol w:w="1183"/>
        <w:gridCol w:w="7832"/>
      </w:tblGrid>
      <w:tr w:rsidR="00414040" w14:paraId="7FE1D1E5" w14:textId="77777777" w:rsidTr="0B2D3916">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414040" w:rsidRDefault="00904E1A">
            <w:pPr>
              <w:pStyle w:val="P68B1DB1-Normal31"/>
            </w:pPr>
            <w:r>
              <w:t xml:space="preserve">Columnas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414040" w:rsidRDefault="00904E1A">
            <w:pPr>
              <w:pStyle w:val="P68B1DB1-Normal31"/>
            </w:pPr>
            <w:r>
              <w:t xml:space="preserve">Instrucciones </w:t>
            </w:r>
          </w:p>
        </w:tc>
      </w:tr>
      <w:tr w:rsidR="00414040" w14:paraId="7FE1D1E9" w14:textId="77777777" w:rsidTr="0B2D3916">
        <w:tc>
          <w:tcPr>
            <w:tcW w:w="1183" w:type="dxa"/>
            <w:tcBorders>
              <w:top w:val="single" w:sz="8" w:space="0" w:color="1A171C"/>
              <w:left w:val="nil"/>
              <w:bottom w:val="single" w:sz="8" w:space="0" w:color="1A171C"/>
              <w:right w:val="single" w:sz="8" w:space="0" w:color="1A171C"/>
            </w:tcBorders>
            <w:vAlign w:val="center"/>
          </w:tcPr>
          <w:p w14:paraId="7FE1D1E6" w14:textId="77777777" w:rsidR="00414040" w:rsidRDefault="00904E1A">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230A0FBA" w:rsidR="00414040" w:rsidRDefault="00904E1A">
            <w:pPr>
              <w:pStyle w:val="P68B1DB1-TableParagraph73"/>
              <w:spacing w:before="108"/>
              <w:ind w:left="85"/>
              <w:jc w:val="both"/>
              <w:rPr>
                <w:bCs/>
              </w:rPr>
            </w:pPr>
            <w:r>
              <w:t xml:space="preserve"> N.</w:t>
            </w:r>
            <w:r w:rsidR="00F6402D">
              <w:t>º</w:t>
            </w:r>
            <w:r>
              <w:t xml:space="preserve"> </w:t>
            </w:r>
          </w:p>
          <w:p w14:paraId="7FE1D1E8" w14:textId="540A0F30" w:rsidR="00414040" w:rsidRDefault="00904E1A">
            <w:pPr>
              <w:pStyle w:val="P68B1DB1-TableParagraph40"/>
              <w:spacing w:before="108"/>
              <w:ind w:left="85"/>
              <w:jc w:val="both"/>
            </w:pPr>
            <w:r>
              <w:t xml:space="preserve">Número único o clave principal </w:t>
            </w:r>
            <w:r w:rsidR="00F6402D" w:rsidRPr="00BF00F4">
              <w:t>única</w:t>
            </w:r>
            <w:r w:rsidR="00F6402D">
              <w:t xml:space="preserve"> </w:t>
            </w:r>
            <w:r>
              <w:t xml:space="preserve">para identificar las </w:t>
            </w:r>
            <w:r w:rsidR="00BF00F4">
              <w:t>filas</w:t>
            </w:r>
            <w:r>
              <w:t>.</w:t>
            </w:r>
          </w:p>
        </w:tc>
      </w:tr>
      <w:tr w:rsidR="00414040" w14:paraId="7FE1D1ED" w14:textId="77777777" w:rsidTr="0B2D3916">
        <w:tc>
          <w:tcPr>
            <w:tcW w:w="1183" w:type="dxa"/>
            <w:tcBorders>
              <w:top w:val="single" w:sz="8" w:space="0" w:color="1A171C"/>
              <w:left w:val="nil"/>
              <w:bottom w:val="single" w:sz="8" w:space="0" w:color="1A171C"/>
              <w:right w:val="single" w:sz="8" w:space="0" w:color="1A171C"/>
            </w:tcBorders>
            <w:vAlign w:val="center"/>
          </w:tcPr>
          <w:p w14:paraId="7FE1D1EA" w14:textId="77777777" w:rsidR="00414040" w:rsidRDefault="00904E1A">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414040" w:rsidRDefault="00904E1A">
            <w:pPr>
              <w:pStyle w:val="P68B1DB1-TableParagraph73"/>
              <w:spacing w:before="108"/>
              <w:ind w:left="85"/>
              <w:jc w:val="both"/>
              <w:rPr>
                <w:bCs/>
              </w:rPr>
            </w:pPr>
            <w:r>
              <w:t xml:space="preserve"> Fila </w:t>
            </w:r>
          </w:p>
          <w:p w14:paraId="7FE1D1EC" w14:textId="20F57C41" w:rsidR="00414040" w:rsidRDefault="00904E1A">
            <w:pPr>
              <w:pStyle w:val="P68B1DB1-TableParagraph40"/>
              <w:spacing w:before="108"/>
              <w:ind w:left="85"/>
              <w:jc w:val="both"/>
            </w:pPr>
            <w:r>
              <w:t xml:space="preserve">Para cada pasivo, deberá realizarse una conciliación con las categorías de pasivos de la estructura del pasivo </w:t>
            </w:r>
            <w:r w:rsidR="00F6402D">
              <w:t xml:space="preserve">de </w:t>
            </w:r>
            <w:r>
              <w:t>Z02.00 a nivel de vencimiento, a partir de una lista predefinida de valores.</w:t>
            </w:r>
          </w:p>
        </w:tc>
      </w:tr>
      <w:tr w:rsidR="00414040" w14:paraId="7FE1D1F1" w14:textId="77777777" w:rsidTr="0B2D3916">
        <w:tc>
          <w:tcPr>
            <w:tcW w:w="1183" w:type="dxa"/>
            <w:tcBorders>
              <w:top w:val="single" w:sz="8" w:space="0" w:color="1A171C"/>
              <w:left w:val="nil"/>
              <w:bottom w:val="single" w:sz="8" w:space="0" w:color="1A171C"/>
              <w:right w:val="single" w:sz="8" w:space="0" w:color="1A171C"/>
            </w:tcBorders>
            <w:vAlign w:val="center"/>
          </w:tcPr>
          <w:p w14:paraId="7FE1D1EE" w14:textId="77777777" w:rsidR="00414040" w:rsidRDefault="00904E1A">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414040" w:rsidRDefault="00904E1A">
            <w:pPr>
              <w:pStyle w:val="P68B1DB1-TableParagraph40"/>
              <w:spacing w:before="108"/>
              <w:ind w:left="85"/>
              <w:jc w:val="both"/>
              <w:rPr>
                <w:b/>
                <w:bCs/>
              </w:rPr>
            </w:pPr>
            <w:r>
              <w:t xml:space="preserve"> </w:t>
            </w:r>
            <w:r>
              <w:rPr>
                <w:b/>
              </w:rPr>
              <w:t>Columna</w:t>
            </w:r>
          </w:p>
          <w:p w14:paraId="7FE1D1F0" w14:textId="04AC9EF6" w:rsidR="00414040" w:rsidRDefault="00904E1A">
            <w:pPr>
              <w:pStyle w:val="P68B1DB1-TableParagraph40"/>
              <w:spacing w:before="108"/>
              <w:ind w:left="85"/>
              <w:jc w:val="both"/>
            </w:pPr>
            <w:r>
              <w:t xml:space="preserve">Para cada pasivo, deberá realizarse una conciliación con la categoría de contraparte </w:t>
            </w:r>
            <w:r w:rsidR="00F6402D">
              <w:t xml:space="preserve">de </w:t>
            </w:r>
            <w:r>
              <w:t>Z 02.00 con la que se ha contraído el pasivo, a partir de una lista predefinida de valores.</w:t>
            </w:r>
          </w:p>
        </w:tc>
      </w:tr>
      <w:tr w:rsidR="00414040" w14:paraId="7FE1D1F5" w14:textId="77777777" w:rsidTr="0B2D3916">
        <w:tc>
          <w:tcPr>
            <w:tcW w:w="1183" w:type="dxa"/>
            <w:tcBorders>
              <w:top w:val="single" w:sz="8" w:space="0" w:color="1A171C"/>
              <w:left w:val="nil"/>
              <w:bottom w:val="single" w:sz="8" w:space="0" w:color="1A171C"/>
              <w:right w:val="single" w:sz="8" w:space="0" w:color="1A171C"/>
            </w:tcBorders>
            <w:vAlign w:val="center"/>
          </w:tcPr>
          <w:p w14:paraId="7FE1D1F2" w14:textId="77777777" w:rsidR="00414040" w:rsidRDefault="00904E1A">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6D5AF292" w:rsidR="00414040" w:rsidRPr="00BF00F4" w:rsidRDefault="00904E1A">
            <w:pPr>
              <w:pStyle w:val="P68B1DB1-TableParagraph40"/>
              <w:spacing w:before="108"/>
              <w:ind w:left="85"/>
              <w:jc w:val="both"/>
              <w:rPr>
                <w:b/>
                <w:bCs/>
              </w:rPr>
            </w:pPr>
            <w:r>
              <w:t xml:space="preserve"> </w:t>
            </w:r>
            <w:r w:rsidR="488BDC8C" w:rsidRPr="00BF00F4">
              <w:rPr>
                <w:b/>
                <w:bCs/>
              </w:rPr>
              <w:t xml:space="preserve">Rango en caso </w:t>
            </w:r>
            <w:r w:rsidRPr="00BF00F4">
              <w:rPr>
                <w:b/>
              </w:rPr>
              <w:t>de insolvencia</w:t>
            </w:r>
          </w:p>
          <w:p w14:paraId="7FE1D1F4" w14:textId="16989963" w:rsidR="00414040" w:rsidRDefault="00904E1A">
            <w:pPr>
              <w:pStyle w:val="P68B1DB1-TableParagraph40"/>
              <w:spacing w:before="108"/>
              <w:ind w:left="85"/>
              <w:jc w:val="both"/>
            </w:pPr>
            <w:r w:rsidRPr="00BF00F4">
              <w:t>El rango en caso de insolvencia será uno de los rangos incluidos en el orden de prelación en caso de insolvencia publicado</w:t>
            </w:r>
            <w:r>
              <w:t xml:space="preserve"> por la autoridad de resolución de ese país.</w:t>
            </w:r>
          </w:p>
        </w:tc>
      </w:tr>
      <w:tr w:rsidR="00414040" w14:paraId="7FE1D1F9" w14:textId="77777777" w:rsidTr="0B2D3916">
        <w:tc>
          <w:tcPr>
            <w:tcW w:w="1183" w:type="dxa"/>
            <w:tcBorders>
              <w:top w:val="single" w:sz="8" w:space="0" w:color="1A171C"/>
              <w:left w:val="nil"/>
              <w:bottom w:val="single" w:sz="8" w:space="0" w:color="1A171C"/>
              <w:right w:val="single" w:sz="8" w:space="0" w:color="1A171C"/>
            </w:tcBorders>
            <w:vAlign w:val="center"/>
          </w:tcPr>
          <w:p w14:paraId="7FE1D1F6" w14:textId="77777777" w:rsidR="00414040" w:rsidRDefault="00904E1A">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414040" w:rsidRDefault="00904E1A">
            <w:pPr>
              <w:pStyle w:val="P68B1DB1-TableParagraph73"/>
              <w:spacing w:before="108"/>
              <w:ind w:left="85"/>
              <w:jc w:val="both"/>
              <w:rPr>
                <w:bCs/>
              </w:rPr>
            </w:pPr>
            <w:r>
              <w:t xml:space="preserve">Identificador del contrato </w:t>
            </w:r>
          </w:p>
          <w:p w14:paraId="7FE1D1F8" w14:textId="2FF840C7" w:rsidR="00414040" w:rsidRDefault="00904E1A">
            <w:pPr>
              <w:pStyle w:val="P68B1DB1-TableParagraph40"/>
              <w:spacing w:before="108"/>
              <w:ind w:left="85"/>
              <w:jc w:val="both"/>
            </w:pPr>
            <w:r>
              <w:t xml:space="preserve">Identificador interno, equivalente al código ISIN para </w:t>
            </w:r>
            <w:r w:rsidR="17587D99">
              <w:t>valores</w:t>
            </w:r>
            <w:r>
              <w:t>.</w:t>
            </w:r>
          </w:p>
        </w:tc>
      </w:tr>
      <w:tr w:rsidR="00414040" w14:paraId="7FE1D1FD" w14:textId="77777777" w:rsidTr="0B2D3916">
        <w:tc>
          <w:tcPr>
            <w:tcW w:w="1183" w:type="dxa"/>
            <w:tcBorders>
              <w:top w:val="single" w:sz="8" w:space="0" w:color="1A171C"/>
              <w:left w:val="nil"/>
              <w:bottom w:val="single" w:sz="8" w:space="0" w:color="1A171C"/>
              <w:right w:val="single" w:sz="8" w:space="0" w:color="1A171C"/>
            </w:tcBorders>
            <w:vAlign w:val="center"/>
          </w:tcPr>
          <w:p w14:paraId="7FE1D1FA" w14:textId="77777777" w:rsidR="00414040" w:rsidRDefault="00904E1A">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414040" w:rsidRDefault="00904E1A">
            <w:pPr>
              <w:pStyle w:val="P68B1DB1-TableParagraph73"/>
              <w:spacing w:before="108"/>
              <w:ind w:left="85"/>
              <w:jc w:val="both"/>
              <w:rPr>
                <w:bCs/>
              </w:rPr>
            </w:pPr>
            <w:r>
              <w:t xml:space="preserve"> Identificador de la contraparte </w:t>
            </w:r>
          </w:p>
          <w:p w14:paraId="7FE1D1FC" w14:textId="7C5F32E5" w:rsidR="00414040" w:rsidRDefault="00904E1A">
            <w:pPr>
              <w:pStyle w:val="P68B1DB1-TableParagraph40"/>
              <w:spacing w:before="108"/>
              <w:ind w:left="85"/>
              <w:jc w:val="both"/>
            </w:pPr>
            <w:r>
              <w:t xml:space="preserve">Indíquese el código LEI del acreedor. A falta de un código LEI, en el caso de bancos, deberá </w:t>
            </w:r>
            <w:r w:rsidR="66530AE8">
              <w:t>informarse</w:t>
            </w:r>
            <w:r>
              <w:t xml:space="preserve"> el identificador único de instituciones financieras monetarias del BCE (</w:t>
            </w:r>
            <w:r w:rsidR="00E43404" w:rsidRPr="00EF2238">
              <w:rPr>
                <w:rFonts w:eastAsia="Verdana"/>
                <w:lang w:val="es-ES"/>
              </w:rPr>
              <w:t xml:space="preserve">identificador </w:t>
            </w:r>
            <w:r>
              <w:t>de IFM) utilizado en el RIAD. En ausencia de ambos identificadores, indicar un identificador interno.</w:t>
            </w:r>
          </w:p>
        </w:tc>
      </w:tr>
      <w:tr w:rsidR="00414040" w14:paraId="7FE1D201" w14:textId="77777777" w:rsidTr="0B2D3916">
        <w:tc>
          <w:tcPr>
            <w:tcW w:w="1183" w:type="dxa"/>
            <w:tcBorders>
              <w:top w:val="single" w:sz="8" w:space="0" w:color="1A171C"/>
              <w:left w:val="nil"/>
              <w:bottom w:val="single" w:sz="8" w:space="0" w:color="1A171C"/>
              <w:right w:val="single" w:sz="8" w:space="0" w:color="1A171C"/>
            </w:tcBorders>
            <w:vAlign w:val="center"/>
          </w:tcPr>
          <w:p w14:paraId="7FE1D1FE" w14:textId="77777777" w:rsidR="00414040" w:rsidRDefault="00904E1A">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414040" w:rsidRDefault="00904E1A">
            <w:pPr>
              <w:pStyle w:val="P68B1DB1-TableParagraph73"/>
              <w:spacing w:before="108"/>
              <w:ind w:left="85"/>
              <w:jc w:val="both"/>
              <w:rPr>
                <w:bCs/>
              </w:rPr>
            </w:pPr>
            <w:r>
              <w:t xml:space="preserve">Tipo de identificador </w:t>
            </w:r>
          </w:p>
          <w:p w14:paraId="7FE1D200" w14:textId="77777777" w:rsidR="00414040" w:rsidRDefault="00904E1A">
            <w:pPr>
              <w:pStyle w:val="P68B1DB1-TableParagraph40"/>
              <w:spacing w:before="108"/>
              <w:ind w:left="85"/>
              <w:jc w:val="both"/>
            </w:pPr>
            <w:r>
              <w:t>Se seleccionará una de las opciones siguientes: «Código LEI», «Código de IFM» o «Tipo de identificador: distinto del código LEI o de IFM».</w:t>
            </w:r>
          </w:p>
        </w:tc>
      </w:tr>
      <w:tr w:rsidR="00414040" w14:paraId="7FE1D205" w14:textId="77777777" w:rsidTr="0B2D3916">
        <w:tc>
          <w:tcPr>
            <w:tcW w:w="1183" w:type="dxa"/>
            <w:tcBorders>
              <w:top w:val="single" w:sz="8" w:space="0" w:color="1A171C"/>
              <w:left w:val="nil"/>
              <w:bottom w:val="single" w:sz="8" w:space="0" w:color="1A171C"/>
              <w:right w:val="single" w:sz="8" w:space="0" w:color="1A171C"/>
            </w:tcBorders>
            <w:vAlign w:val="center"/>
          </w:tcPr>
          <w:p w14:paraId="7FE1D202" w14:textId="0E607091" w:rsidR="00414040" w:rsidRDefault="00904E1A">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3F7EB20E" w:rsidR="00414040" w:rsidRDefault="7A392126">
            <w:pPr>
              <w:pStyle w:val="P68B1DB1-TableParagraph40"/>
              <w:spacing w:before="108"/>
              <w:ind w:left="85"/>
              <w:jc w:val="both"/>
              <w:rPr>
                <w:b/>
                <w:bCs/>
              </w:rPr>
            </w:pPr>
            <w:proofErr w:type="gramStart"/>
            <w:r w:rsidRPr="00210421">
              <w:rPr>
                <w:b/>
                <w:bCs/>
              </w:rPr>
              <w:t>Derecho</w:t>
            </w:r>
            <w:r>
              <w:t xml:space="preserve"> </w:t>
            </w:r>
            <w:r w:rsidR="00904E1A">
              <w:rPr>
                <w:b/>
              </w:rPr>
              <w:t xml:space="preserve"> aplicable</w:t>
            </w:r>
            <w:proofErr w:type="gramEnd"/>
          </w:p>
          <w:p w14:paraId="7FE1D204" w14:textId="7603648F" w:rsidR="00414040" w:rsidRDefault="00904E1A">
            <w:pPr>
              <w:pStyle w:val="P68B1DB1-TableParagraph40"/>
              <w:spacing w:before="108"/>
              <w:ind w:left="85"/>
              <w:jc w:val="both"/>
              <w:rPr>
                <w:lang w:val="es-ES"/>
              </w:rPr>
            </w:pPr>
            <w:r w:rsidRPr="077AB077">
              <w:rPr>
                <w:lang w:val="es-ES"/>
              </w:rPr>
              <w:t xml:space="preserve">Nombre del país cuya normativa regula </w:t>
            </w:r>
            <w:r w:rsidR="00F6402D">
              <w:rPr>
                <w:lang w:val="es-ES"/>
              </w:rPr>
              <w:t>el pasivo</w:t>
            </w:r>
            <w:r w:rsidRPr="077AB077">
              <w:rPr>
                <w:lang w:val="es-ES"/>
              </w:rPr>
              <w:t xml:space="preserve">. Si el contrato se rige por la normativa de más de un país, se </w:t>
            </w:r>
            <w:r w:rsidR="71ECBFF5" w:rsidRPr="077AB077">
              <w:rPr>
                <w:lang w:val="es-ES"/>
              </w:rPr>
              <w:t xml:space="preserve">indicará </w:t>
            </w:r>
            <w:r w:rsidRPr="077AB077">
              <w:rPr>
                <w:lang w:val="es-ES"/>
              </w:rPr>
              <w:t xml:space="preserve">el país cuya normativa tenga mayor relevancia para el reconocimiento de las </w:t>
            </w:r>
            <w:r w:rsidR="00F6402D">
              <w:rPr>
                <w:lang w:val="es-ES"/>
              </w:rPr>
              <w:t>competencias de amortización</w:t>
            </w:r>
            <w:r w:rsidRPr="077AB077">
              <w:rPr>
                <w:lang w:val="es-ES"/>
              </w:rPr>
              <w:t xml:space="preserve"> y conversión.  </w:t>
            </w:r>
          </w:p>
        </w:tc>
      </w:tr>
      <w:tr w:rsidR="00414040" w14:paraId="7FE1D213" w14:textId="77777777" w:rsidTr="0B2D3916">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414040" w:rsidRDefault="00904E1A">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414040" w:rsidRDefault="00904E1A">
            <w:pPr>
              <w:pStyle w:val="P68B1DB1-TableParagraph40"/>
              <w:spacing w:before="108"/>
              <w:ind w:left="85"/>
              <w:jc w:val="both"/>
              <w:rPr>
                <w:b/>
                <w:bCs/>
              </w:rPr>
            </w:pPr>
            <w:r>
              <w:t xml:space="preserve"> </w:t>
            </w:r>
            <w:r>
              <w:rPr>
                <w:b/>
              </w:rPr>
              <w:t>Tipo de pasivos no financieros</w:t>
            </w:r>
          </w:p>
          <w:p w14:paraId="7FE1D208" w14:textId="234E81AF" w:rsidR="00414040" w:rsidRDefault="00904E1A">
            <w:pPr>
              <w:pStyle w:val="P68B1DB1-TableParagraph40"/>
              <w:spacing w:before="108"/>
              <w:ind w:left="85"/>
              <w:jc w:val="both"/>
            </w:pPr>
            <w:r>
              <w:t>Se seleccionará una de las opciones siguientes:</w:t>
            </w:r>
          </w:p>
          <w:p w14:paraId="7FE1D209" w14:textId="1B19E45B" w:rsidR="00414040" w:rsidRDefault="00904E1A">
            <w:pPr>
              <w:pStyle w:val="P68B1DB1-TableParagraph40"/>
              <w:numPr>
                <w:ilvl w:val="0"/>
                <w:numId w:val="269"/>
              </w:numPr>
              <w:spacing w:before="108"/>
              <w:jc w:val="both"/>
            </w:pPr>
            <w:r>
              <w:t>Fondos para riesgos bancarios generales</w:t>
            </w:r>
          </w:p>
          <w:p w14:paraId="7FE1D20A" w14:textId="5F4C425A" w:rsidR="00414040" w:rsidRDefault="00904E1A">
            <w:pPr>
              <w:pStyle w:val="P68B1DB1-TableParagraph40"/>
              <w:numPr>
                <w:ilvl w:val="0"/>
                <w:numId w:val="269"/>
              </w:numPr>
              <w:spacing w:before="108"/>
              <w:jc w:val="both"/>
            </w:pPr>
            <w:r w:rsidRPr="2133F407">
              <w:rPr>
                <w:lang w:val="es-ES"/>
              </w:rPr>
              <w:t xml:space="preserve">Pensiones y otras obligaciones de prestaciones definidas </w:t>
            </w:r>
            <w:proofErr w:type="spellStart"/>
            <w:r w:rsidRPr="2133F407">
              <w:rPr>
                <w:lang w:val="es-ES"/>
              </w:rPr>
              <w:t>post-empleo</w:t>
            </w:r>
            <w:proofErr w:type="spellEnd"/>
          </w:p>
          <w:p w14:paraId="7FE1D20B" w14:textId="3AEADF9D" w:rsidR="00414040" w:rsidRDefault="00904E1A">
            <w:pPr>
              <w:pStyle w:val="P68B1DB1-TableParagraph40"/>
              <w:numPr>
                <w:ilvl w:val="0"/>
                <w:numId w:val="269"/>
              </w:numPr>
              <w:spacing w:before="108"/>
              <w:jc w:val="both"/>
            </w:pPr>
            <w:r w:rsidRPr="2133F407">
              <w:rPr>
                <w:lang w:val="es-ES"/>
              </w:rPr>
              <w:t xml:space="preserve">Retribuciones a los empleados. Distintas de pensiones y otras obligaciones de prestaciones definidas </w:t>
            </w:r>
            <w:proofErr w:type="spellStart"/>
            <w:r w:rsidRPr="2133F407">
              <w:rPr>
                <w:lang w:val="es-ES"/>
              </w:rPr>
              <w:t>post-empleo</w:t>
            </w:r>
            <w:proofErr w:type="spellEnd"/>
          </w:p>
          <w:p w14:paraId="7FE1D20C" w14:textId="66AEA5AF" w:rsidR="00414040" w:rsidRDefault="00904E1A">
            <w:pPr>
              <w:pStyle w:val="P68B1DB1-TableParagraph40"/>
              <w:numPr>
                <w:ilvl w:val="0"/>
                <w:numId w:val="269"/>
              </w:numPr>
              <w:spacing w:before="108"/>
              <w:jc w:val="both"/>
            </w:pPr>
            <w:r>
              <w:t>Reestructuración</w:t>
            </w:r>
          </w:p>
          <w:p w14:paraId="7FE1D20D" w14:textId="72D6FCB9" w:rsidR="00414040" w:rsidRDefault="00904E1A">
            <w:pPr>
              <w:pStyle w:val="P68B1DB1-TableParagraph40"/>
              <w:numPr>
                <w:ilvl w:val="0"/>
                <w:numId w:val="269"/>
              </w:numPr>
              <w:spacing w:before="108"/>
              <w:jc w:val="both"/>
            </w:pPr>
            <w:r>
              <w:t>Cuestiones jurídicas pendientes y litigios en materia fiscal</w:t>
            </w:r>
          </w:p>
          <w:p w14:paraId="7FE1D20E" w14:textId="6A9A65DF" w:rsidR="00414040" w:rsidRDefault="00904E1A">
            <w:pPr>
              <w:pStyle w:val="P68B1DB1-TableParagraph40"/>
              <w:numPr>
                <w:ilvl w:val="0"/>
                <w:numId w:val="269"/>
              </w:numPr>
              <w:spacing w:before="108"/>
              <w:jc w:val="both"/>
            </w:pPr>
            <w:r>
              <w:t>Exposiciones fuera de balance sujetas a riesgo de crédito</w:t>
            </w:r>
          </w:p>
          <w:p w14:paraId="7FE1D20F" w14:textId="07EDA945" w:rsidR="00414040" w:rsidRDefault="1D52A42F">
            <w:pPr>
              <w:pStyle w:val="P68B1DB1-TableParagraph40"/>
              <w:numPr>
                <w:ilvl w:val="0"/>
                <w:numId w:val="269"/>
              </w:numPr>
              <w:spacing w:before="108"/>
              <w:jc w:val="both"/>
            </w:pPr>
            <w:r w:rsidRPr="1F069520">
              <w:rPr>
                <w:lang w:val="es-ES"/>
              </w:rPr>
              <w:t>Otros pasivos no financieros distint</w:t>
            </w:r>
            <w:r w:rsidR="2161D65C" w:rsidRPr="1F069520">
              <w:rPr>
                <w:lang w:val="es-ES"/>
              </w:rPr>
              <w:t>o</w:t>
            </w:r>
            <w:r w:rsidRPr="1F069520">
              <w:rPr>
                <w:lang w:val="es-ES"/>
              </w:rPr>
              <w:t>s de</w:t>
            </w:r>
            <w:r w:rsidR="00904E1A" w:rsidRPr="1F069520">
              <w:rPr>
                <w:lang w:val="es-ES"/>
              </w:rPr>
              <w:t xml:space="preserve"> retribuciones a los empleados, reestructuración, cuestiones </w:t>
            </w:r>
            <w:r w:rsidR="00F11857">
              <w:rPr>
                <w:lang w:val="es-ES"/>
              </w:rPr>
              <w:t>jurídicas pendientes</w:t>
            </w:r>
            <w:r w:rsidR="00F11857" w:rsidRPr="1F069520">
              <w:rPr>
                <w:lang w:val="es-ES"/>
              </w:rPr>
              <w:t xml:space="preserve"> </w:t>
            </w:r>
            <w:r w:rsidR="00904E1A" w:rsidRPr="1F069520">
              <w:rPr>
                <w:lang w:val="es-ES"/>
              </w:rPr>
              <w:t xml:space="preserve">y litigios </w:t>
            </w:r>
            <w:r w:rsidR="00F11857">
              <w:rPr>
                <w:lang w:val="es-ES"/>
              </w:rPr>
              <w:t>en materia fiscal</w:t>
            </w:r>
            <w:r w:rsidR="00904E1A" w:rsidRPr="1F069520">
              <w:rPr>
                <w:lang w:val="es-ES"/>
              </w:rPr>
              <w:t>, exposiciones fuera de balance sujetas a riesgo de crédito</w:t>
            </w:r>
          </w:p>
          <w:p w14:paraId="7FE1D210" w14:textId="00431AB4" w:rsidR="00414040" w:rsidRDefault="00904E1A">
            <w:pPr>
              <w:pStyle w:val="P68B1DB1-TableParagraph40"/>
              <w:numPr>
                <w:ilvl w:val="0"/>
                <w:numId w:val="269"/>
              </w:numPr>
              <w:spacing w:before="108"/>
              <w:jc w:val="both"/>
            </w:pPr>
            <w:r>
              <w:t>Pasivos por impuestos</w:t>
            </w:r>
          </w:p>
          <w:p w14:paraId="7FE1D211" w14:textId="29640DA2" w:rsidR="00414040" w:rsidRDefault="00904E1A">
            <w:pPr>
              <w:pStyle w:val="P68B1DB1-TableParagraph40"/>
              <w:numPr>
                <w:ilvl w:val="0"/>
                <w:numId w:val="269"/>
              </w:numPr>
              <w:spacing w:before="108"/>
              <w:jc w:val="both"/>
            </w:pPr>
            <w:r>
              <w:t>Ingresos diferidos</w:t>
            </w:r>
          </w:p>
          <w:p w14:paraId="7FE1D212" w14:textId="7E6BDA10" w:rsidR="00414040" w:rsidRDefault="00904E1A">
            <w:pPr>
              <w:pStyle w:val="P68B1DB1-TableParagraph40"/>
              <w:numPr>
                <w:ilvl w:val="0"/>
                <w:numId w:val="269"/>
              </w:numPr>
              <w:spacing w:before="108"/>
              <w:jc w:val="both"/>
            </w:pPr>
            <w:r>
              <w:t>Pasivos distintos de los pasivos financieros, provisiones, pasivos por impuestos, ingresos diferidos</w:t>
            </w:r>
          </w:p>
        </w:tc>
      </w:tr>
      <w:tr w:rsidR="00414040" w14:paraId="7FE1D217" w14:textId="77777777" w:rsidTr="0B2D3916">
        <w:tc>
          <w:tcPr>
            <w:tcW w:w="1183" w:type="dxa"/>
            <w:tcBorders>
              <w:top w:val="single" w:sz="4" w:space="0" w:color="auto"/>
              <w:left w:val="nil"/>
              <w:bottom w:val="single" w:sz="8" w:space="0" w:color="1A171C"/>
              <w:right w:val="single" w:sz="8" w:space="0" w:color="1A171C"/>
            </w:tcBorders>
            <w:vAlign w:val="center"/>
          </w:tcPr>
          <w:p w14:paraId="7FE1D214" w14:textId="77777777" w:rsidR="00414040" w:rsidRDefault="00904E1A">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414040" w:rsidRDefault="00904E1A">
            <w:pPr>
              <w:pStyle w:val="P68B1DB1-TableParagraph40"/>
              <w:spacing w:before="108"/>
              <w:ind w:left="85"/>
              <w:jc w:val="both"/>
              <w:rPr>
                <w:b/>
                <w:bCs/>
              </w:rPr>
            </w:pPr>
            <w:r>
              <w:t xml:space="preserve"> </w:t>
            </w:r>
            <w:r>
              <w:rPr>
                <w:b/>
              </w:rPr>
              <w:t>Importe pendiente</w:t>
            </w:r>
          </w:p>
          <w:p w14:paraId="7FE1D216" w14:textId="41D11E8B" w:rsidR="00414040" w:rsidRDefault="00904E1A">
            <w:pPr>
              <w:pStyle w:val="P68B1DB1-TableParagraph40"/>
              <w:spacing w:before="108"/>
              <w:ind w:left="85"/>
              <w:jc w:val="both"/>
            </w:pPr>
            <w:r>
              <w:t>El importe pendiente del pasivo.</w:t>
            </w:r>
          </w:p>
        </w:tc>
      </w:tr>
      <w:tr w:rsidR="00414040" w14:paraId="7FE1D21B" w14:textId="77777777" w:rsidTr="0B2D3916">
        <w:tc>
          <w:tcPr>
            <w:tcW w:w="1183" w:type="dxa"/>
            <w:tcBorders>
              <w:top w:val="single" w:sz="8" w:space="0" w:color="1A171C"/>
              <w:left w:val="nil"/>
              <w:bottom w:val="single" w:sz="8" w:space="0" w:color="1A171C"/>
              <w:right w:val="single" w:sz="8" w:space="0" w:color="1A171C"/>
            </w:tcBorders>
            <w:vAlign w:val="center"/>
          </w:tcPr>
          <w:p w14:paraId="7FE1D218" w14:textId="77777777" w:rsidR="00414040" w:rsidRDefault="00904E1A">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414040" w:rsidRDefault="00904E1A">
            <w:pPr>
              <w:pStyle w:val="P68B1DB1-TableParagraph73"/>
              <w:spacing w:before="108"/>
              <w:ind w:left="85"/>
              <w:jc w:val="both"/>
              <w:rPr>
                <w:bCs/>
              </w:rPr>
            </w:pPr>
            <w:r>
              <w:t xml:space="preserve">Moneda  </w:t>
            </w:r>
          </w:p>
          <w:p w14:paraId="7FE1D21A" w14:textId="0E8D9FF4" w:rsidR="00414040" w:rsidRDefault="00904E1A">
            <w:pPr>
              <w:pStyle w:val="P68B1DB1-TableParagraph40"/>
              <w:spacing w:before="108"/>
              <w:ind w:left="85"/>
              <w:jc w:val="both"/>
            </w:pPr>
            <w:r>
              <w:t>La moneda del pasivo se emite con arreglo a su código ISO 4217 de 3 letras.</w:t>
            </w:r>
          </w:p>
        </w:tc>
      </w:tr>
      <w:tr w:rsidR="00414040" w14:paraId="7FE1D21F" w14:textId="77777777" w:rsidTr="0B2D3916">
        <w:tc>
          <w:tcPr>
            <w:tcW w:w="1183" w:type="dxa"/>
            <w:tcBorders>
              <w:top w:val="single" w:sz="8" w:space="0" w:color="1A171C"/>
              <w:left w:val="nil"/>
              <w:bottom w:val="single" w:sz="8" w:space="0" w:color="1A171C"/>
              <w:right w:val="single" w:sz="8" w:space="0" w:color="1A171C"/>
            </w:tcBorders>
            <w:vAlign w:val="center"/>
          </w:tcPr>
          <w:p w14:paraId="7FE1D21C" w14:textId="77777777" w:rsidR="00414040" w:rsidRDefault="00904E1A">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244F79B0" w:rsidR="00414040" w:rsidRDefault="00904E1A">
            <w:pPr>
              <w:pStyle w:val="P68B1DB1-TableParagraph73"/>
              <w:spacing w:before="108"/>
              <w:ind w:left="85"/>
              <w:jc w:val="both"/>
              <w:rPr>
                <w:bCs/>
              </w:rPr>
            </w:pPr>
            <w:r>
              <w:t xml:space="preserve"> Fecha de </w:t>
            </w:r>
            <w:r w:rsidR="00F11857">
              <w:t>reconocimiento</w:t>
            </w:r>
            <w:r>
              <w:t xml:space="preserve"> </w:t>
            </w:r>
          </w:p>
          <w:p w14:paraId="7FE1D21E" w14:textId="6A3E04DE" w:rsidR="00414040" w:rsidRDefault="00904E1A">
            <w:pPr>
              <w:pStyle w:val="P68B1DB1-TableParagraph40"/>
              <w:spacing w:before="108"/>
              <w:ind w:left="85"/>
              <w:jc w:val="both"/>
            </w:pPr>
            <w:r w:rsidRPr="2133F407">
              <w:rPr>
                <w:lang w:val="es-ES"/>
              </w:rPr>
              <w:t>Fecha en la que el pasivo fue reconocido en las cuentas financieras, de conformidad con las normas contables aplicables.</w:t>
            </w:r>
          </w:p>
        </w:tc>
      </w:tr>
      <w:tr w:rsidR="00414040" w14:paraId="7FE1D223" w14:textId="77777777" w:rsidTr="0B2D3916">
        <w:tc>
          <w:tcPr>
            <w:tcW w:w="1183" w:type="dxa"/>
            <w:tcBorders>
              <w:top w:val="single" w:sz="8" w:space="0" w:color="1A171C"/>
              <w:left w:val="nil"/>
              <w:bottom w:val="single" w:sz="8" w:space="0" w:color="1A171C"/>
              <w:right w:val="single" w:sz="8" w:space="0" w:color="1A171C"/>
            </w:tcBorders>
            <w:vAlign w:val="center"/>
          </w:tcPr>
          <w:p w14:paraId="7FE1D220" w14:textId="77777777" w:rsidR="00414040" w:rsidRDefault="00904E1A">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414040" w:rsidRDefault="00904E1A">
            <w:pPr>
              <w:pStyle w:val="P68B1DB1-TableParagraph73"/>
              <w:spacing w:before="108"/>
              <w:ind w:left="85"/>
              <w:jc w:val="both"/>
              <w:rPr>
                <w:bCs/>
              </w:rPr>
            </w:pPr>
            <w:r>
              <w:t xml:space="preserve">Fecha de vencimiento </w:t>
            </w:r>
          </w:p>
          <w:p w14:paraId="7FE1D222" w14:textId="17FC1873" w:rsidR="00414040" w:rsidRDefault="00904E1A">
            <w:pPr>
              <w:pStyle w:val="P68B1DB1-TableParagraph40"/>
              <w:spacing w:before="108"/>
              <w:ind w:left="85"/>
              <w:jc w:val="both"/>
            </w:pPr>
            <w:r>
              <w:t>Fecha del vencimiento final legal de</w:t>
            </w:r>
            <w:r w:rsidR="71B354F3">
              <w:t>l pasivo</w:t>
            </w:r>
            <w:r>
              <w:t>. Para pasivos perpetuos, utilícese «2099-01-31».</w:t>
            </w:r>
          </w:p>
        </w:tc>
      </w:tr>
      <w:tr w:rsidR="00414040" w14:paraId="7FE1D228" w14:textId="77777777" w:rsidTr="0B2D3916">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414040" w:rsidRDefault="00904E1A">
            <w:pPr>
              <w:pStyle w:val="P68B1DB1-Normal31"/>
            </w:pPr>
            <w:r>
              <w:t>0130</w:t>
            </w:r>
          </w:p>
        </w:tc>
        <w:tc>
          <w:tcPr>
            <w:tcW w:w="7832" w:type="dxa"/>
            <w:tcBorders>
              <w:top w:val="single" w:sz="8" w:space="0" w:color="1A171C"/>
              <w:left w:val="single" w:sz="8" w:space="0" w:color="1A171C"/>
              <w:right w:val="nil"/>
            </w:tcBorders>
            <w:vAlign w:val="bottom"/>
          </w:tcPr>
          <w:p w14:paraId="7FE1D225" w14:textId="3D42C081" w:rsidR="00414040" w:rsidRDefault="00904E1A">
            <w:pPr>
              <w:pStyle w:val="P68B1DB1-TableParagraph40"/>
              <w:spacing w:before="108"/>
              <w:ind w:left="85"/>
              <w:jc w:val="both"/>
              <w:rPr>
                <w:b/>
                <w:bCs/>
              </w:rPr>
            </w:pPr>
            <w:r>
              <w:t xml:space="preserve"> </w:t>
            </w:r>
            <w:r w:rsidR="4CBABCE6" w:rsidRPr="56B4A3A1">
              <w:rPr>
                <w:b/>
                <w:bCs/>
              </w:rPr>
              <w:t>Fondos propios admisibles</w:t>
            </w:r>
          </w:p>
          <w:p w14:paraId="7FE1D226" w14:textId="21ECC292" w:rsidR="00414040" w:rsidRDefault="00904E1A">
            <w:pPr>
              <w:pStyle w:val="P68B1DB1-TableParagraph40"/>
              <w:spacing w:before="108"/>
              <w:ind w:left="85"/>
              <w:jc w:val="both"/>
            </w:pPr>
            <w:r w:rsidRPr="1F069520">
              <w:rPr>
                <w:lang w:val="es-ES"/>
              </w:rPr>
              <w:t xml:space="preserve">Indique si el instrumento está incluido en los fondos propios y a qué nivel, junto </w:t>
            </w:r>
            <w:r w:rsidR="001566BA">
              <w:rPr>
                <w:lang w:val="es-ES"/>
              </w:rPr>
              <w:t>con</w:t>
            </w:r>
            <w:r w:rsidR="001566BA" w:rsidRPr="1F069520">
              <w:rPr>
                <w:lang w:val="es-ES"/>
              </w:rPr>
              <w:t xml:space="preserve"> </w:t>
            </w:r>
            <w:r w:rsidRPr="1F069520">
              <w:rPr>
                <w:lang w:val="es-ES"/>
              </w:rPr>
              <w:t xml:space="preserve">la información sobre el régimen de </w:t>
            </w:r>
            <w:r w:rsidR="3B631D67" w:rsidRPr="1F069520">
              <w:rPr>
                <w:lang w:val="es-ES"/>
              </w:rPr>
              <w:t>eliminación progresiva</w:t>
            </w:r>
            <w:r w:rsidRPr="1F069520">
              <w:rPr>
                <w:lang w:val="es-ES"/>
              </w:rPr>
              <w:t xml:space="preserve"> y </w:t>
            </w:r>
            <w:r w:rsidR="5120A2FD" w:rsidRPr="1F069520">
              <w:rPr>
                <w:lang w:val="es-ES"/>
              </w:rPr>
              <w:t>disposiciones transitorias</w:t>
            </w:r>
            <w:r w:rsidRPr="1F069520">
              <w:rPr>
                <w:lang w:val="es-ES"/>
              </w:rPr>
              <w:t xml:space="preserve">. El valor puede ser «No», «Parcialmente AT1, T1 y T2», «T2 </w:t>
            </w:r>
            <w:r w:rsidR="5A2F2579" w:rsidRPr="1F069520">
              <w:rPr>
                <w:lang w:val="es-ES"/>
              </w:rPr>
              <w:t>en eliminación progresiva</w:t>
            </w:r>
            <w:r w:rsidRPr="1F069520">
              <w:rPr>
                <w:lang w:val="es-ES"/>
              </w:rPr>
              <w:t xml:space="preserve">», «T2 con </w:t>
            </w:r>
            <w:r w:rsidR="45AC5D0C" w:rsidRPr="1F069520">
              <w:rPr>
                <w:lang w:val="es-ES"/>
              </w:rPr>
              <w:t>disposición transitoria</w:t>
            </w:r>
            <w:r w:rsidRPr="1F069520">
              <w:rPr>
                <w:lang w:val="es-ES"/>
              </w:rPr>
              <w:t xml:space="preserve">», «Cumplimiento total T2», «AT1 con </w:t>
            </w:r>
            <w:r w:rsidR="08D40310" w:rsidRPr="1F069520">
              <w:rPr>
                <w:lang w:val="es-ES"/>
              </w:rPr>
              <w:t>disposición transitoria</w:t>
            </w:r>
            <w:r w:rsidRPr="1F069520">
              <w:rPr>
                <w:lang w:val="es-ES"/>
              </w:rPr>
              <w:t>», «Cumplimiento total AT1» o «CET1»</w:t>
            </w:r>
            <w:r w:rsidR="00DF4834">
              <w:rPr>
                <w:lang w:val="es-ES"/>
              </w:rPr>
              <w:t>, a partir de</w:t>
            </w:r>
            <w:r w:rsidRPr="1F069520">
              <w:rPr>
                <w:lang w:val="es-ES"/>
              </w:rPr>
              <w:t xml:space="preserve"> una lista predefinida. </w:t>
            </w:r>
          </w:p>
          <w:p w14:paraId="7FE1D227" w14:textId="5D6FCE00" w:rsidR="00414040" w:rsidRDefault="00904E1A">
            <w:pPr>
              <w:pStyle w:val="P68B1DB1-TableParagraph40"/>
              <w:spacing w:before="108"/>
              <w:ind w:left="85"/>
              <w:jc w:val="both"/>
            </w:pPr>
            <w:r>
              <w:t xml:space="preserve"> En la lista de opciones, el término «eliminación </w:t>
            </w:r>
            <w:r w:rsidR="6EE80E97">
              <w:t>progresiva</w:t>
            </w:r>
            <w:r>
              <w:t xml:space="preserve">» se refiere al período de 5 años anterior al vencimiento de cualquier instrumento </w:t>
            </w:r>
            <w:r w:rsidR="001566BA" w:rsidRPr="00BF00F4">
              <w:t>T2</w:t>
            </w:r>
            <w:r>
              <w:t xml:space="preserve"> determinado, durante el cual solo existe un reconocimiento </w:t>
            </w:r>
            <w:r w:rsidR="001566BA">
              <w:t xml:space="preserve">proporcional </w:t>
            </w:r>
            <w:r>
              <w:t xml:space="preserve">basado en el tiempo restante hasta el vencimiento. «Disposiciones </w:t>
            </w:r>
            <w:r w:rsidR="7C3A943B">
              <w:t>transitorias</w:t>
            </w:r>
            <w:r>
              <w:t xml:space="preserve">»: cualquier medida transitoria aplicable a un instrumento </w:t>
            </w:r>
            <w:r w:rsidR="001566BA">
              <w:t>T</w:t>
            </w:r>
            <w:r>
              <w:t xml:space="preserve">2, excluida la «eliminación </w:t>
            </w:r>
            <w:r w:rsidR="2E4EBD6E">
              <w:t>progresiva</w:t>
            </w:r>
            <w:r>
              <w:t>». Durante dicha «</w:t>
            </w:r>
            <w:r w:rsidR="1E26707C">
              <w:t>disposición transitoria</w:t>
            </w:r>
            <w:r>
              <w:t>», el reconocimiento podrá ser total o parcial.</w:t>
            </w:r>
          </w:p>
        </w:tc>
      </w:tr>
      <w:tr w:rsidR="00414040" w14:paraId="7FE1D22C" w14:textId="77777777" w:rsidTr="0B2D3916">
        <w:tc>
          <w:tcPr>
            <w:tcW w:w="1183" w:type="dxa"/>
            <w:tcBorders>
              <w:top w:val="nil"/>
              <w:left w:val="nil"/>
              <w:bottom w:val="single" w:sz="8" w:space="0" w:color="1A171C"/>
              <w:right w:val="single" w:sz="8" w:space="0" w:color="1A171C"/>
            </w:tcBorders>
            <w:vAlign w:val="center"/>
          </w:tcPr>
          <w:p w14:paraId="7FE1D229" w14:textId="77777777" w:rsidR="00414040" w:rsidRDefault="00904E1A">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72D266EB" w:rsidR="00414040" w:rsidRDefault="00904E1A">
            <w:pPr>
              <w:pStyle w:val="P68B1DB1-TableParagraph40"/>
              <w:spacing w:before="108"/>
              <w:ind w:left="85"/>
              <w:jc w:val="both"/>
              <w:rPr>
                <w:b/>
                <w:bCs/>
              </w:rPr>
            </w:pPr>
            <w:r>
              <w:t xml:space="preserve"> </w:t>
            </w:r>
            <w:r>
              <w:rPr>
                <w:b/>
              </w:rPr>
              <w:t xml:space="preserve">Importe </w:t>
            </w:r>
            <w:r w:rsidR="48126D1F" w:rsidRPr="56B4A3A1">
              <w:rPr>
                <w:b/>
                <w:bCs/>
              </w:rPr>
              <w:t>de</w:t>
            </w:r>
            <w:r>
              <w:rPr>
                <w:b/>
              </w:rPr>
              <w:t xml:space="preserve"> fondos propios</w:t>
            </w:r>
            <w:r w:rsidR="0135833A" w:rsidRPr="56B4A3A1">
              <w:rPr>
                <w:b/>
                <w:bCs/>
              </w:rPr>
              <w:t xml:space="preserve"> admisibles</w:t>
            </w:r>
          </w:p>
          <w:p w14:paraId="7FE1D22B" w14:textId="395C9538" w:rsidR="00414040" w:rsidRDefault="00904E1A">
            <w:pPr>
              <w:pStyle w:val="P68B1DB1-TableParagraph40"/>
              <w:spacing w:before="108"/>
              <w:ind w:left="85"/>
              <w:jc w:val="both"/>
            </w:pPr>
            <w:r w:rsidRPr="7AFE2829">
              <w:rPr>
                <w:lang w:val="es-ES"/>
              </w:rPr>
              <w:t xml:space="preserve">El importe del instrumento </w:t>
            </w:r>
            <w:r w:rsidR="4A3DB5AB" w:rsidRPr="2BBA0212">
              <w:rPr>
                <w:lang w:val="es-ES"/>
              </w:rPr>
              <w:t>admisible</w:t>
            </w:r>
            <w:r w:rsidR="00582D2F">
              <w:rPr>
                <w:lang w:val="es-ES"/>
              </w:rPr>
              <w:t xml:space="preserve"> </w:t>
            </w:r>
            <w:r w:rsidRPr="7AFE2829">
              <w:rPr>
                <w:lang w:val="es-ES"/>
              </w:rPr>
              <w:t>como fondos propios.</w:t>
            </w:r>
          </w:p>
        </w:tc>
      </w:tr>
    </w:tbl>
    <w:p w14:paraId="7FE1D22D" w14:textId="01F1CEAB" w:rsidR="00414040" w:rsidRDefault="00414040">
      <w:pPr>
        <w:pStyle w:val="body"/>
        <w:rPr>
          <w:rFonts w:ascii="Times New Roman" w:hAnsi="Times New Roman" w:cs="Times New Roman"/>
          <w:sz w:val="20"/>
          <w:szCs w:val="20"/>
        </w:rPr>
      </w:pPr>
    </w:p>
    <w:p w14:paraId="349218F7" w14:textId="77777777" w:rsidR="00414040" w:rsidRDefault="00904E1A">
      <w:pPr>
        <w:pStyle w:val="P68B1DB1-Normal19"/>
        <w:spacing w:after="200" w:line="276" w:lineRule="auto"/>
      </w:pPr>
      <w:r>
        <w:br w:type="page"/>
      </w:r>
    </w:p>
    <w:p w14:paraId="42DED9B4" w14:textId="77777777" w:rsidR="00414040" w:rsidRDefault="00414040">
      <w:pPr>
        <w:pStyle w:val="Instructionsberschrift2"/>
        <w:ind w:left="357"/>
        <w:rPr>
          <w:rFonts w:ascii="Times New Roman" w:eastAsia="Calibri" w:hAnsi="Times New Roman" w:cs="Times New Roman"/>
          <w:szCs w:val="20"/>
        </w:rPr>
      </w:pPr>
    </w:p>
    <w:p w14:paraId="4BD624F8" w14:textId="77777777" w:rsidR="00414040" w:rsidRDefault="00414040">
      <w:pPr>
        <w:spacing w:after="200" w:line="276" w:lineRule="auto"/>
        <w:rPr>
          <w:rFonts w:ascii="Times New Roman" w:hAnsi="Times New Roman" w:cs="Times New Roman"/>
          <w:sz w:val="20"/>
          <w:szCs w:val="20"/>
        </w:rPr>
      </w:pPr>
    </w:p>
    <w:p w14:paraId="715529B0" w14:textId="64A141F4" w:rsidR="00414040" w:rsidRDefault="00904E1A">
      <w:pPr>
        <w:pStyle w:val="P68B1DB1-Instructionsberschrift284"/>
        <w:numPr>
          <w:ilvl w:val="1"/>
          <w:numId w:val="49"/>
        </w:numPr>
        <w:spacing w:before="0"/>
        <w:ind w:left="357" w:hanging="357"/>
      </w:pPr>
      <w:bookmarkStart w:id="257" w:name="_Toc192248856"/>
      <w:bookmarkStart w:id="258" w:name="_Toc211525952"/>
      <w:r>
        <w:t>Anexo I — Lista de IMF que deben utilizarse para Z 09.01 — c0050</w:t>
      </w:r>
      <w:bookmarkEnd w:id="257"/>
      <w:bookmarkEnd w:id="258"/>
    </w:p>
    <w:p w14:paraId="31681B73" w14:textId="51FEAE08" w:rsidR="00414040" w:rsidRDefault="00414040">
      <w:pPr>
        <w:pStyle w:val="body"/>
        <w:rPr>
          <w:rFonts w:ascii="Times New Roman" w:hAnsi="Times New Roman" w:cs="Times New Roman"/>
          <w:sz w:val="20"/>
          <w:szCs w:val="20"/>
        </w:rPr>
      </w:pPr>
    </w:p>
    <w:p w14:paraId="1E4D7216" w14:textId="77777777" w:rsidR="00414040" w:rsidRDefault="00414040">
      <w:pPr>
        <w:pStyle w:val="body"/>
        <w:rPr>
          <w:rFonts w:ascii="Times New Roman" w:hAnsi="Times New Roman" w:cs="Times New Roman"/>
          <w:sz w:val="20"/>
          <w:szCs w:val="20"/>
        </w:rPr>
      </w:pPr>
    </w:p>
    <w:p w14:paraId="430F4009" w14:textId="77777777" w:rsidR="00BF00F4" w:rsidRPr="00210421" w:rsidRDefault="00BF00F4" w:rsidP="00BF00F4">
      <w:pPr>
        <w:pStyle w:val="body"/>
        <w:rPr>
          <w:rFonts w:ascii="Times New Roman" w:hAnsi="Times New Roman" w:cs="Times New Roman"/>
          <w:sz w:val="20"/>
          <w:szCs w:val="20"/>
          <w:lang w:val="es-ES"/>
        </w:rPr>
      </w:pPr>
    </w:p>
    <w:tbl>
      <w:tblPr>
        <w:tblW w:w="9072" w:type="dxa"/>
        <w:tblLook w:val="04A0" w:firstRow="1" w:lastRow="0" w:firstColumn="1" w:lastColumn="0" w:noHBand="0" w:noVBand="1"/>
      </w:tblPr>
      <w:tblGrid>
        <w:gridCol w:w="9072"/>
      </w:tblGrid>
      <w:tr w:rsidR="00BF00F4" w:rsidRPr="00F238A6" w14:paraId="33723171" w14:textId="77777777" w:rsidTr="00576B53">
        <w:trPr>
          <w:trHeight w:val="80"/>
        </w:trPr>
        <w:tc>
          <w:tcPr>
            <w:tcW w:w="9072" w:type="dxa"/>
            <w:tcBorders>
              <w:top w:val="nil"/>
              <w:left w:val="nil"/>
              <w:bottom w:val="nil"/>
              <w:right w:val="nil"/>
            </w:tcBorders>
            <w:shd w:val="clear" w:color="auto" w:fill="EEECE1" w:themeFill="background2"/>
            <w:noWrap/>
            <w:vAlign w:val="bottom"/>
          </w:tcPr>
          <w:p w14:paraId="3B186F4A" w14:textId="14F8313A" w:rsidR="00BF00F4" w:rsidRPr="00210421" w:rsidRDefault="0021359D" w:rsidP="00576B53">
            <w:pPr>
              <w:rPr>
                <w:rFonts w:eastAsia="Times New Roman" w:cs="Calibri"/>
                <w:b/>
                <w:color w:val="000000"/>
                <w:sz w:val="18"/>
                <w:szCs w:val="18"/>
                <w:lang w:val="en-US"/>
              </w:rPr>
            </w:pPr>
            <w:r>
              <w:rPr>
                <w:rFonts w:eastAsia="Times New Roman" w:cs="Calibri"/>
                <w:b/>
                <w:color w:val="000000"/>
                <w:sz w:val="18"/>
                <w:szCs w:val="18"/>
                <w:lang w:val="en-US"/>
              </w:rPr>
              <w:t xml:space="preserve">Lista </w:t>
            </w:r>
            <w:proofErr w:type="spellStart"/>
            <w:r>
              <w:rPr>
                <w:rFonts w:eastAsia="Times New Roman" w:cs="Calibri"/>
                <w:b/>
                <w:color w:val="000000"/>
                <w:sz w:val="18"/>
                <w:szCs w:val="18"/>
                <w:lang w:val="en-US"/>
              </w:rPr>
              <w:t>desplegable</w:t>
            </w:r>
            <w:proofErr w:type="spellEnd"/>
            <w:r>
              <w:rPr>
                <w:rFonts w:eastAsia="Times New Roman" w:cs="Calibri"/>
                <w:b/>
                <w:color w:val="000000"/>
                <w:sz w:val="18"/>
                <w:szCs w:val="18"/>
                <w:lang w:val="en-US"/>
              </w:rPr>
              <w:t xml:space="preserve"> de IMF</w:t>
            </w:r>
          </w:p>
        </w:tc>
      </w:tr>
      <w:tr w:rsidR="00BF00F4" w:rsidRPr="00F22F68" w14:paraId="1F7560CF" w14:textId="77777777" w:rsidTr="00576B53">
        <w:trPr>
          <w:trHeight w:val="300"/>
        </w:trPr>
        <w:tc>
          <w:tcPr>
            <w:tcW w:w="9072" w:type="dxa"/>
            <w:tcBorders>
              <w:top w:val="nil"/>
              <w:left w:val="nil"/>
              <w:bottom w:val="nil"/>
              <w:right w:val="nil"/>
            </w:tcBorders>
            <w:noWrap/>
            <w:vAlign w:val="bottom"/>
            <w:hideMark/>
          </w:tcPr>
          <w:p w14:paraId="3EDF816F"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Athens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Office (ACO)</w:t>
            </w:r>
          </w:p>
        </w:tc>
      </w:tr>
      <w:tr w:rsidR="00BF00F4" w:rsidRPr="00F22F68" w14:paraId="742FC1B2" w14:textId="77777777" w:rsidTr="00576B53">
        <w:trPr>
          <w:trHeight w:val="300"/>
        </w:trPr>
        <w:tc>
          <w:tcPr>
            <w:tcW w:w="9072" w:type="dxa"/>
            <w:tcBorders>
              <w:top w:val="nil"/>
              <w:left w:val="nil"/>
              <w:bottom w:val="nil"/>
              <w:right w:val="nil"/>
            </w:tcBorders>
            <w:noWrap/>
            <w:vAlign w:val="bottom"/>
            <w:hideMark/>
          </w:tcPr>
          <w:p w14:paraId="750FA4BC"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ATHEX (Athens Stock Exchange)</w:t>
            </w:r>
          </w:p>
        </w:tc>
      </w:tr>
      <w:tr w:rsidR="00BF00F4" w:rsidRPr="00F22F68" w14:paraId="545AAF92" w14:textId="77777777" w:rsidTr="00576B53">
        <w:trPr>
          <w:trHeight w:val="300"/>
        </w:trPr>
        <w:tc>
          <w:tcPr>
            <w:tcW w:w="9072" w:type="dxa"/>
            <w:tcBorders>
              <w:top w:val="nil"/>
              <w:left w:val="nil"/>
              <w:bottom w:val="nil"/>
              <w:right w:val="nil"/>
            </w:tcBorders>
            <w:noWrap/>
            <w:vAlign w:val="bottom"/>
            <w:hideMark/>
          </w:tcPr>
          <w:p w14:paraId="6726BE2D"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ATHEX CSD</w:t>
            </w:r>
          </w:p>
        </w:tc>
      </w:tr>
      <w:tr w:rsidR="00BF00F4" w:rsidRPr="00F22F68" w14:paraId="5D642732" w14:textId="77777777" w:rsidTr="00576B53">
        <w:trPr>
          <w:trHeight w:val="300"/>
        </w:trPr>
        <w:tc>
          <w:tcPr>
            <w:tcW w:w="9072" w:type="dxa"/>
            <w:tcBorders>
              <w:top w:val="nil"/>
              <w:left w:val="nil"/>
              <w:bottom w:val="nil"/>
              <w:right w:val="nil"/>
            </w:tcBorders>
            <w:noWrap/>
            <w:vAlign w:val="bottom"/>
            <w:hideMark/>
          </w:tcPr>
          <w:p w14:paraId="360E4B1B"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ATHEXClear</w:t>
            </w:r>
            <w:proofErr w:type="spellEnd"/>
            <w:r w:rsidRPr="00F22F68">
              <w:rPr>
                <w:rFonts w:eastAsia="Times New Roman" w:cs="Calibri"/>
                <w:color w:val="000000"/>
                <w:sz w:val="18"/>
                <w:szCs w:val="18"/>
              </w:rPr>
              <w:t xml:space="preserve"> SA</w:t>
            </w:r>
          </w:p>
        </w:tc>
      </w:tr>
      <w:tr w:rsidR="00BF00F4" w:rsidRPr="00F22F68" w14:paraId="53B7F17E" w14:textId="77777777" w:rsidTr="00576B53">
        <w:trPr>
          <w:trHeight w:val="300"/>
        </w:trPr>
        <w:tc>
          <w:tcPr>
            <w:tcW w:w="9072" w:type="dxa"/>
            <w:tcBorders>
              <w:top w:val="nil"/>
              <w:left w:val="nil"/>
              <w:bottom w:val="nil"/>
              <w:right w:val="nil"/>
            </w:tcBorders>
            <w:noWrap/>
            <w:vAlign w:val="bottom"/>
            <w:hideMark/>
          </w:tcPr>
          <w:p w14:paraId="66408194"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The</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House ACH</w:t>
            </w:r>
          </w:p>
        </w:tc>
      </w:tr>
      <w:tr w:rsidR="00BF00F4" w:rsidRPr="00F238A6" w14:paraId="02F19EC5" w14:textId="77777777" w:rsidTr="00576B53">
        <w:trPr>
          <w:trHeight w:val="300"/>
        </w:trPr>
        <w:tc>
          <w:tcPr>
            <w:tcW w:w="9072" w:type="dxa"/>
            <w:tcBorders>
              <w:top w:val="nil"/>
              <w:left w:val="nil"/>
              <w:bottom w:val="nil"/>
              <w:right w:val="nil"/>
            </w:tcBorders>
            <w:noWrap/>
            <w:vAlign w:val="bottom"/>
            <w:hideMark/>
          </w:tcPr>
          <w:p w14:paraId="52B849BC"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Automated Clearing Settlement System (ACSS)</w:t>
            </w:r>
          </w:p>
        </w:tc>
      </w:tr>
      <w:tr w:rsidR="00BF00F4" w:rsidRPr="00F238A6" w14:paraId="536101B6" w14:textId="77777777" w:rsidTr="00576B53">
        <w:trPr>
          <w:trHeight w:val="300"/>
        </w:trPr>
        <w:tc>
          <w:tcPr>
            <w:tcW w:w="9072" w:type="dxa"/>
            <w:tcBorders>
              <w:top w:val="nil"/>
              <w:left w:val="nil"/>
              <w:bottom w:val="nil"/>
              <w:right w:val="nil"/>
            </w:tcBorders>
            <w:noWrap/>
            <w:vAlign w:val="bottom"/>
            <w:hideMark/>
          </w:tcPr>
          <w:p w14:paraId="0A64AD82"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BACS (Bankers' Automated Clearing Services)</w:t>
            </w:r>
          </w:p>
        </w:tc>
      </w:tr>
      <w:tr w:rsidR="00BF00F4" w:rsidRPr="00F22F68" w14:paraId="4070823C" w14:textId="77777777" w:rsidTr="00576B53">
        <w:trPr>
          <w:trHeight w:val="300"/>
        </w:trPr>
        <w:tc>
          <w:tcPr>
            <w:tcW w:w="9072" w:type="dxa"/>
            <w:tcBorders>
              <w:top w:val="nil"/>
              <w:left w:val="nil"/>
              <w:bottom w:val="nil"/>
              <w:right w:val="nil"/>
            </w:tcBorders>
            <w:noWrap/>
            <w:vAlign w:val="bottom"/>
            <w:hideMark/>
          </w:tcPr>
          <w:p w14:paraId="4B8B7767"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Bankgirot</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Bankgirocentralen</w:t>
            </w:r>
            <w:proofErr w:type="spellEnd"/>
            <w:r w:rsidRPr="00F22F68">
              <w:rPr>
                <w:rFonts w:eastAsia="Times New Roman" w:cs="Calibri"/>
                <w:color w:val="000000"/>
                <w:sz w:val="18"/>
                <w:szCs w:val="18"/>
              </w:rPr>
              <w:t xml:space="preserve"> BGC AB)</w:t>
            </w:r>
          </w:p>
        </w:tc>
      </w:tr>
      <w:tr w:rsidR="00BF00F4" w:rsidRPr="00F22F68" w14:paraId="55A1F3A5" w14:textId="77777777" w:rsidTr="00576B53">
        <w:trPr>
          <w:trHeight w:val="300"/>
        </w:trPr>
        <w:tc>
          <w:tcPr>
            <w:tcW w:w="9072" w:type="dxa"/>
            <w:tcBorders>
              <w:top w:val="nil"/>
              <w:left w:val="nil"/>
              <w:bottom w:val="nil"/>
              <w:right w:val="nil"/>
            </w:tcBorders>
            <w:noWrap/>
            <w:vAlign w:val="bottom"/>
            <w:hideMark/>
          </w:tcPr>
          <w:p w14:paraId="37410D24"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BI-COMP</w:t>
            </w:r>
          </w:p>
        </w:tc>
      </w:tr>
      <w:tr w:rsidR="00BF00F4" w:rsidRPr="00F238A6" w14:paraId="27B01F9F" w14:textId="77777777" w:rsidTr="00576B53">
        <w:trPr>
          <w:trHeight w:val="300"/>
        </w:trPr>
        <w:tc>
          <w:tcPr>
            <w:tcW w:w="9072" w:type="dxa"/>
            <w:tcBorders>
              <w:top w:val="nil"/>
              <w:left w:val="nil"/>
              <w:bottom w:val="nil"/>
              <w:right w:val="nil"/>
            </w:tcBorders>
            <w:noWrap/>
            <w:vAlign w:val="bottom"/>
            <w:hideMark/>
          </w:tcPr>
          <w:p w14:paraId="410CEB6A"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BISERA (Bank Integrated System for Electronic Payments)</w:t>
            </w:r>
          </w:p>
        </w:tc>
      </w:tr>
      <w:tr w:rsidR="00BF00F4" w:rsidRPr="00F22F68" w14:paraId="355F4E86" w14:textId="77777777" w:rsidTr="00576B53">
        <w:trPr>
          <w:trHeight w:val="300"/>
        </w:trPr>
        <w:tc>
          <w:tcPr>
            <w:tcW w:w="9072" w:type="dxa"/>
            <w:tcBorders>
              <w:top w:val="nil"/>
              <w:left w:val="nil"/>
              <w:bottom w:val="nil"/>
              <w:right w:val="nil"/>
            </w:tcBorders>
            <w:noWrap/>
            <w:vAlign w:val="bottom"/>
            <w:hideMark/>
          </w:tcPr>
          <w:p w14:paraId="2AB9CFA2"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Bloomberg </w:t>
            </w:r>
            <w:proofErr w:type="spellStart"/>
            <w:r w:rsidRPr="00F22F68">
              <w:rPr>
                <w:rFonts w:eastAsia="Times New Roman" w:cs="Calibri"/>
                <w:color w:val="000000"/>
                <w:sz w:val="18"/>
                <w:szCs w:val="18"/>
              </w:rPr>
              <w:t>Trade</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Repository</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Limited</w:t>
            </w:r>
            <w:proofErr w:type="spellEnd"/>
          </w:p>
        </w:tc>
      </w:tr>
      <w:tr w:rsidR="00BF00F4" w:rsidRPr="00F22F68" w14:paraId="4B8B6564" w14:textId="77777777" w:rsidTr="00576B53">
        <w:trPr>
          <w:trHeight w:val="300"/>
        </w:trPr>
        <w:tc>
          <w:tcPr>
            <w:tcW w:w="9072" w:type="dxa"/>
            <w:tcBorders>
              <w:top w:val="nil"/>
              <w:left w:val="nil"/>
              <w:bottom w:val="nil"/>
              <w:right w:val="nil"/>
            </w:tcBorders>
            <w:noWrap/>
            <w:vAlign w:val="bottom"/>
            <w:hideMark/>
          </w:tcPr>
          <w:p w14:paraId="245427E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BME</w:t>
            </w:r>
          </w:p>
        </w:tc>
      </w:tr>
      <w:tr w:rsidR="00BF00F4" w:rsidRPr="00F22F68" w14:paraId="2B19CCBE" w14:textId="77777777" w:rsidTr="00576B53">
        <w:trPr>
          <w:trHeight w:val="300"/>
        </w:trPr>
        <w:tc>
          <w:tcPr>
            <w:tcW w:w="9072" w:type="dxa"/>
            <w:tcBorders>
              <w:top w:val="nil"/>
              <w:left w:val="nil"/>
              <w:bottom w:val="nil"/>
              <w:right w:val="nil"/>
            </w:tcBorders>
            <w:noWrap/>
            <w:vAlign w:val="bottom"/>
            <w:hideMark/>
          </w:tcPr>
          <w:p w14:paraId="3DBD8811"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BME </w:t>
            </w:r>
            <w:proofErr w:type="spellStart"/>
            <w:r w:rsidRPr="00F22F68">
              <w:rPr>
                <w:rFonts w:eastAsia="Times New Roman" w:cs="Calibri"/>
                <w:color w:val="000000"/>
                <w:sz w:val="18"/>
                <w:szCs w:val="18"/>
              </w:rPr>
              <w:t>Clearing</w:t>
            </w:r>
            <w:proofErr w:type="spellEnd"/>
          </w:p>
        </w:tc>
      </w:tr>
      <w:tr w:rsidR="00BF00F4" w:rsidRPr="00F238A6" w14:paraId="307F39E0" w14:textId="77777777" w:rsidTr="00576B53">
        <w:trPr>
          <w:trHeight w:val="300"/>
        </w:trPr>
        <w:tc>
          <w:tcPr>
            <w:tcW w:w="9072" w:type="dxa"/>
            <w:tcBorders>
              <w:top w:val="nil"/>
              <w:left w:val="nil"/>
              <w:bottom w:val="nil"/>
              <w:right w:val="nil"/>
            </w:tcBorders>
            <w:noWrap/>
            <w:vAlign w:val="bottom"/>
            <w:hideMark/>
          </w:tcPr>
          <w:p w14:paraId="17D06354"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BOGS (Bank of Greece Securities Settlement System)</w:t>
            </w:r>
          </w:p>
        </w:tc>
      </w:tr>
      <w:tr w:rsidR="00BF00F4" w:rsidRPr="00F22F68" w14:paraId="641ACEB0" w14:textId="77777777" w:rsidTr="00576B53">
        <w:trPr>
          <w:trHeight w:val="300"/>
        </w:trPr>
        <w:tc>
          <w:tcPr>
            <w:tcW w:w="9072" w:type="dxa"/>
            <w:tcBorders>
              <w:top w:val="nil"/>
              <w:left w:val="nil"/>
              <w:bottom w:val="nil"/>
              <w:right w:val="nil"/>
            </w:tcBorders>
            <w:noWrap/>
            <w:vAlign w:val="bottom"/>
            <w:hideMark/>
          </w:tcPr>
          <w:p w14:paraId="1BDC0E3C"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BOJ-NET</w:t>
            </w:r>
          </w:p>
        </w:tc>
      </w:tr>
      <w:tr w:rsidR="00BF00F4" w:rsidRPr="00F22F68" w14:paraId="646EA402" w14:textId="77777777" w:rsidTr="00576B53">
        <w:trPr>
          <w:trHeight w:val="300"/>
        </w:trPr>
        <w:tc>
          <w:tcPr>
            <w:tcW w:w="9072" w:type="dxa"/>
            <w:tcBorders>
              <w:top w:val="nil"/>
              <w:left w:val="nil"/>
              <w:bottom w:val="nil"/>
              <w:right w:val="nil"/>
            </w:tcBorders>
            <w:noWrap/>
            <w:vAlign w:val="bottom"/>
            <w:hideMark/>
          </w:tcPr>
          <w:p w14:paraId="73782D4C"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BondSpot</w:t>
            </w:r>
            <w:proofErr w:type="spellEnd"/>
            <w:r w:rsidRPr="00F22F68">
              <w:rPr>
                <w:rFonts w:eastAsia="Times New Roman" w:cs="Calibri"/>
                <w:color w:val="000000"/>
                <w:sz w:val="18"/>
                <w:szCs w:val="18"/>
              </w:rPr>
              <w:t xml:space="preserve"> S.A.</w:t>
            </w:r>
          </w:p>
        </w:tc>
      </w:tr>
      <w:tr w:rsidR="00BF00F4" w:rsidRPr="00F22F68" w14:paraId="4C517260" w14:textId="77777777" w:rsidTr="00576B53">
        <w:trPr>
          <w:trHeight w:val="300"/>
        </w:trPr>
        <w:tc>
          <w:tcPr>
            <w:tcW w:w="9072" w:type="dxa"/>
            <w:tcBorders>
              <w:top w:val="nil"/>
              <w:left w:val="nil"/>
              <w:bottom w:val="nil"/>
              <w:right w:val="nil"/>
            </w:tcBorders>
            <w:noWrap/>
            <w:vAlign w:val="bottom"/>
            <w:hideMark/>
          </w:tcPr>
          <w:p w14:paraId="0396D40C"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BORICA</w:t>
            </w:r>
          </w:p>
        </w:tc>
      </w:tr>
      <w:tr w:rsidR="00BF00F4" w:rsidRPr="00F22F68" w14:paraId="1CBDAD60" w14:textId="77777777" w:rsidTr="00576B53">
        <w:trPr>
          <w:trHeight w:val="300"/>
        </w:trPr>
        <w:tc>
          <w:tcPr>
            <w:tcW w:w="9072" w:type="dxa"/>
            <w:tcBorders>
              <w:top w:val="nil"/>
              <w:left w:val="nil"/>
              <w:bottom w:val="nil"/>
              <w:right w:val="nil"/>
            </w:tcBorders>
            <w:noWrap/>
            <w:vAlign w:val="bottom"/>
            <w:hideMark/>
          </w:tcPr>
          <w:p w14:paraId="6B9DB88B"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Borsa</w:t>
            </w:r>
            <w:proofErr w:type="spellEnd"/>
            <w:r w:rsidRPr="00F22F68">
              <w:rPr>
                <w:rFonts w:eastAsia="Times New Roman" w:cs="Calibri"/>
                <w:color w:val="000000"/>
                <w:sz w:val="18"/>
                <w:szCs w:val="18"/>
              </w:rPr>
              <w:t xml:space="preserve"> Italiana </w:t>
            </w:r>
            <w:proofErr w:type="spellStart"/>
            <w:r w:rsidRPr="00F22F68">
              <w:rPr>
                <w:rFonts w:eastAsia="Times New Roman" w:cs="Calibri"/>
                <w:color w:val="000000"/>
                <w:sz w:val="18"/>
                <w:szCs w:val="18"/>
              </w:rPr>
              <w:t>SpA</w:t>
            </w:r>
            <w:proofErr w:type="spellEnd"/>
          </w:p>
        </w:tc>
      </w:tr>
      <w:tr w:rsidR="00BF00F4" w:rsidRPr="00F22F68" w14:paraId="2848056F" w14:textId="77777777" w:rsidTr="00576B53">
        <w:trPr>
          <w:trHeight w:val="300"/>
        </w:trPr>
        <w:tc>
          <w:tcPr>
            <w:tcW w:w="9072" w:type="dxa"/>
            <w:tcBorders>
              <w:top w:val="nil"/>
              <w:left w:val="nil"/>
              <w:bottom w:val="nil"/>
              <w:right w:val="nil"/>
            </w:tcBorders>
            <w:noWrap/>
            <w:vAlign w:val="bottom"/>
            <w:hideMark/>
          </w:tcPr>
          <w:p w14:paraId="33B0FF89"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Bratislava Stock Exchange</w:t>
            </w:r>
          </w:p>
        </w:tc>
      </w:tr>
      <w:tr w:rsidR="00BF00F4" w:rsidRPr="00F22F68" w14:paraId="5B31E427" w14:textId="77777777" w:rsidTr="00576B53">
        <w:trPr>
          <w:trHeight w:val="300"/>
        </w:trPr>
        <w:tc>
          <w:tcPr>
            <w:tcW w:w="9072" w:type="dxa"/>
            <w:tcBorders>
              <w:top w:val="nil"/>
              <w:left w:val="nil"/>
              <w:bottom w:val="nil"/>
              <w:right w:val="nil"/>
            </w:tcBorders>
            <w:noWrap/>
            <w:vAlign w:val="bottom"/>
            <w:hideMark/>
          </w:tcPr>
          <w:p w14:paraId="6E0544EB"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Budapest Stock Exchange</w:t>
            </w:r>
          </w:p>
        </w:tc>
      </w:tr>
      <w:tr w:rsidR="00BF00F4" w:rsidRPr="00F22F68" w14:paraId="4764171E" w14:textId="77777777" w:rsidTr="00576B53">
        <w:trPr>
          <w:trHeight w:val="300"/>
        </w:trPr>
        <w:tc>
          <w:tcPr>
            <w:tcW w:w="9072" w:type="dxa"/>
            <w:tcBorders>
              <w:top w:val="nil"/>
              <w:left w:val="nil"/>
              <w:bottom w:val="nil"/>
              <w:right w:val="nil"/>
            </w:tcBorders>
            <w:noWrap/>
            <w:vAlign w:val="bottom"/>
            <w:hideMark/>
          </w:tcPr>
          <w:p w14:paraId="240AA4E1"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Bulgarian</w:t>
            </w:r>
            <w:proofErr w:type="spellEnd"/>
            <w:r w:rsidRPr="00F22F68">
              <w:rPr>
                <w:rFonts w:eastAsia="Times New Roman" w:cs="Calibri"/>
                <w:color w:val="000000"/>
                <w:sz w:val="18"/>
                <w:szCs w:val="18"/>
              </w:rPr>
              <w:t xml:space="preserve"> Stock Exchange</w:t>
            </w:r>
          </w:p>
        </w:tc>
      </w:tr>
      <w:tr w:rsidR="00BF00F4" w:rsidRPr="00F22F68" w14:paraId="1D8A7D2E" w14:textId="77777777" w:rsidTr="00576B53">
        <w:trPr>
          <w:trHeight w:val="300"/>
        </w:trPr>
        <w:tc>
          <w:tcPr>
            <w:tcW w:w="9072" w:type="dxa"/>
            <w:tcBorders>
              <w:top w:val="nil"/>
              <w:left w:val="nil"/>
              <w:bottom w:val="nil"/>
              <w:right w:val="nil"/>
            </w:tcBorders>
            <w:noWrap/>
            <w:vAlign w:val="bottom"/>
            <w:hideMark/>
          </w:tcPr>
          <w:p w14:paraId="65D7A965"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Bursa de </w:t>
            </w:r>
            <w:proofErr w:type="spellStart"/>
            <w:r w:rsidRPr="00F22F68">
              <w:rPr>
                <w:rFonts w:eastAsia="Times New Roman" w:cs="Calibri"/>
                <w:color w:val="000000"/>
                <w:sz w:val="18"/>
                <w:szCs w:val="18"/>
              </w:rPr>
              <w:t>Valori</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Bucaresti</w:t>
            </w:r>
            <w:proofErr w:type="spellEnd"/>
          </w:p>
        </w:tc>
      </w:tr>
      <w:tr w:rsidR="00BF00F4" w:rsidRPr="00F238A6" w14:paraId="11732A50" w14:textId="77777777" w:rsidTr="00576B53">
        <w:trPr>
          <w:trHeight w:val="300"/>
        </w:trPr>
        <w:tc>
          <w:tcPr>
            <w:tcW w:w="9072" w:type="dxa"/>
            <w:tcBorders>
              <w:top w:val="nil"/>
              <w:left w:val="nil"/>
              <w:bottom w:val="nil"/>
              <w:right w:val="nil"/>
            </w:tcBorders>
            <w:noWrap/>
            <w:vAlign w:val="bottom"/>
            <w:hideMark/>
          </w:tcPr>
          <w:p w14:paraId="64F1205B"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 xml:space="preserve">Burza </w:t>
            </w:r>
            <w:proofErr w:type="spellStart"/>
            <w:r w:rsidRPr="00210421">
              <w:rPr>
                <w:rFonts w:eastAsia="Times New Roman" w:cs="Calibri"/>
                <w:color w:val="000000"/>
                <w:sz w:val="18"/>
                <w:szCs w:val="18"/>
                <w:lang w:val="en-US"/>
              </w:rPr>
              <w:t>cenných</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papírů</w:t>
            </w:r>
            <w:proofErr w:type="spellEnd"/>
            <w:r w:rsidRPr="00210421">
              <w:rPr>
                <w:rFonts w:eastAsia="Times New Roman" w:cs="Calibri"/>
                <w:color w:val="000000"/>
                <w:sz w:val="18"/>
                <w:szCs w:val="18"/>
                <w:lang w:val="en-US"/>
              </w:rPr>
              <w:t xml:space="preserve"> Praha, </w:t>
            </w:r>
            <w:proofErr w:type="spellStart"/>
            <w:r w:rsidRPr="00210421">
              <w:rPr>
                <w:rFonts w:eastAsia="Times New Roman" w:cs="Calibri"/>
                <w:color w:val="000000"/>
                <w:sz w:val="18"/>
                <w:szCs w:val="18"/>
                <w:lang w:val="en-US"/>
              </w:rPr>
              <w:t>a.s.</w:t>
            </w:r>
            <w:proofErr w:type="spellEnd"/>
            <w:r w:rsidRPr="00210421">
              <w:rPr>
                <w:rFonts w:eastAsia="Times New Roman" w:cs="Calibri"/>
                <w:color w:val="000000"/>
                <w:sz w:val="18"/>
                <w:szCs w:val="18"/>
                <w:lang w:val="en-US"/>
              </w:rPr>
              <w:t xml:space="preserve"> (Prague Stock Exchange)</w:t>
            </w:r>
          </w:p>
        </w:tc>
      </w:tr>
      <w:tr w:rsidR="00BF00F4" w:rsidRPr="00F238A6" w14:paraId="2E6215E4" w14:textId="77777777" w:rsidTr="00576B53">
        <w:trPr>
          <w:trHeight w:val="300"/>
        </w:trPr>
        <w:tc>
          <w:tcPr>
            <w:tcW w:w="9072" w:type="dxa"/>
            <w:tcBorders>
              <w:top w:val="nil"/>
              <w:left w:val="nil"/>
              <w:bottom w:val="nil"/>
              <w:right w:val="nil"/>
            </w:tcBorders>
            <w:noWrap/>
            <w:vAlign w:val="bottom"/>
            <w:hideMark/>
          </w:tcPr>
          <w:p w14:paraId="0A2AFE15"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Canadian depository for securities (CDS)</w:t>
            </w:r>
          </w:p>
        </w:tc>
      </w:tr>
      <w:tr w:rsidR="00BF00F4" w:rsidRPr="00F22F68" w14:paraId="72260785" w14:textId="77777777" w:rsidTr="00576B53">
        <w:trPr>
          <w:trHeight w:val="300"/>
        </w:trPr>
        <w:tc>
          <w:tcPr>
            <w:tcW w:w="9072" w:type="dxa"/>
            <w:tcBorders>
              <w:top w:val="nil"/>
              <w:left w:val="nil"/>
              <w:bottom w:val="nil"/>
              <w:right w:val="nil"/>
            </w:tcBorders>
            <w:noWrap/>
            <w:vAlign w:val="bottom"/>
            <w:hideMark/>
          </w:tcPr>
          <w:p w14:paraId="03EE9064"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Canadian Derivatives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Corporation</w:t>
            </w:r>
            <w:proofErr w:type="spellEnd"/>
          </w:p>
        </w:tc>
      </w:tr>
      <w:tr w:rsidR="00BF00F4" w:rsidRPr="00F22F68" w14:paraId="428C166E" w14:textId="77777777" w:rsidTr="00576B53">
        <w:trPr>
          <w:trHeight w:val="300"/>
        </w:trPr>
        <w:tc>
          <w:tcPr>
            <w:tcW w:w="9072" w:type="dxa"/>
            <w:tcBorders>
              <w:top w:val="nil"/>
              <w:left w:val="nil"/>
              <w:bottom w:val="nil"/>
              <w:right w:val="nil"/>
            </w:tcBorders>
            <w:noWrap/>
            <w:vAlign w:val="bottom"/>
          </w:tcPr>
          <w:p w14:paraId="37FB6630" w14:textId="77777777" w:rsidR="00BF00F4" w:rsidRPr="00F22F68" w:rsidRDefault="00BF00F4" w:rsidP="00576B53">
            <w:pPr>
              <w:rPr>
                <w:rFonts w:eastAsia="Times New Roman" w:cs="Calibri"/>
                <w:color w:val="000000"/>
                <w:sz w:val="18"/>
                <w:szCs w:val="18"/>
              </w:rPr>
            </w:pPr>
            <w:proofErr w:type="spellStart"/>
            <w:r w:rsidRPr="00EB7BE1">
              <w:rPr>
                <w:rFonts w:eastAsia="Times New Roman" w:cs="Calibri"/>
                <w:color w:val="000000"/>
                <w:sz w:val="18"/>
                <w:szCs w:val="18"/>
              </w:rPr>
              <w:t>Cboe</w:t>
            </w:r>
            <w:proofErr w:type="spellEnd"/>
            <w:r w:rsidRPr="00EB7BE1">
              <w:rPr>
                <w:rFonts w:eastAsia="Times New Roman" w:cs="Calibri"/>
                <w:color w:val="000000"/>
                <w:sz w:val="18"/>
                <w:szCs w:val="18"/>
              </w:rPr>
              <w:t xml:space="preserve"> Clear Europe</w:t>
            </w:r>
          </w:p>
        </w:tc>
      </w:tr>
      <w:tr w:rsidR="00BF00F4" w:rsidRPr="00F22F68" w14:paraId="650318C6" w14:textId="77777777" w:rsidTr="00576B53">
        <w:trPr>
          <w:trHeight w:val="300"/>
        </w:trPr>
        <w:tc>
          <w:tcPr>
            <w:tcW w:w="9072" w:type="dxa"/>
            <w:tcBorders>
              <w:top w:val="nil"/>
              <w:left w:val="nil"/>
              <w:bottom w:val="nil"/>
              <w:right w:val="nil"/>
            </w:tcBorders>
            <w:noWrap/>
            <w:vAlign w:val="bottom"/>
            <w:hideMark/>
          </w:tcPr>
          <w:p w14:paraId="13454F62"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CCP Austria</w:t>
            </w:r>
          </w:p>
        </w:tc>
      </w:tr>
      <w:tr w:rsidR="00BF00F4" w:rsidRPr="00F22F68" w14:paraId="4B608AA4" w14:textId="77777777" w:rsidTr="00576B53">
        <w:trPr>
          <w:trHeight w:val="300"/>
        </w:trPr>
        <w:tc>
          <w:tcPr>
            <w:tcW w:w="9072" w:type="dxa"/>
            <w:tcBorders>
              <w:top w:val="nil"/>
              <w:left w:val="nil"/>
              <w:bottom w:val="nil"/>
              <w:right w:val="nil"/>
            </w:tcBorders>
            <w:noWrap/>
            <w:vAlign w:val="bottom"/>
            <w:hideMark/>
          </w:tcPr>
          <w:p w14:paraId="42DA4A48"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CEC/UCV</w:t>
            </w:r>
          </w:p>
        </w:tc>
      </w:tr>
      <w:tr w:rsidR="00BF00F4" w:rsidRPr="00F22F68" w14:paraId="70D9AA4F" w14:textId="77777777" w:rsidTr="00576B53">
        <w:trPr>
          <w:trHeight w:val="300"/>
        </w:trPr>
        <w:tc>
          <w:tcPr>
            <w:tcW w:w="9072" w:type="dxa"/>
            <w:tcBorders>
              <w:top w:val="nil"/>
              <w:left w:val="nil"/>
              <w:bottom w:val="nil"/>
              <w:right w:val="nil"/>
            </w:tcBorders>
            <w:noWrap/>
            <w:vAlign w:val="bottom"/>
            <w:hideMark/>
          </w:tcPr>
          <w:p w14:paraId="51B3914A"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CEESEG AG (Wiener </w:t>
            </w:r>
            <w:proofErr w:type="spellStart"/>
            <w:r w:rsidRPr="00F22F68">
              <w:rPr>
                <w:rFonts w:eastAsia="Times New Roman" w:cs="Calibri"/>
                <w:color w:val="000000"/>
                <w:sz w:val="18"/>
                <w:szCs w:val="18"/>
              </w:rPr>
              <w:t>Borse</w:t>
            </w:r>
            <w:proofErr w:type="spellEnd"/>
            <w:r w:rsidRPr="00F22F68">
              <w:rPr>
                <w:rFonts w:eastAsia="Times New Roman" w:cs="Calibri"/>
                <w:color w:val="000000"/>
                <w:sz w:val="18"/>
                <w:szCs w:val="18"/>
              </w:rPr>
              <w:t>)</w:t>
            </w:r>
          </w:p>
        </w:tc>
      </w:tr>
      <w:tr w:rsidR="00BF00F4" w:rsidRPr="00F22F68" w14:paraId="425F75E9" w14:textId="77777777" w:rsidTr="00576B53">
        <w:trPr>
          <w:trHeight w:val="300"/>
        </w:trPr>
        <w:tc>
          <w:tcPr>
            <w:tcW w:w="9072" w:type="dxa"/>
            <w:tcBorders>
              <w:top w:val="nil"/>
              <w:left w:val="nil"/>
              <w:bottom w:val="nil"/>
              <w:right w:val="nil"/>
            </w:tcBorders>
            <w:noWrap/>
            <w:vAlign w:val="bottom"/>
            <w:hideMark/>
          </w:tcPr>
          <w:p w14:paraId="69677E2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Central </w:t>
            </w:r>
            <w:proofErr w:type="spellStart"/>
            <w:r w:rsidRPr="00F22F68">
              <w:rPr>
                <w:rFonts w:eastAsia="Times New Roman" w:cs="Calibri"/>
                <w:color w:val="000000"/>
                <w:sz w:val="18"/>
                <w:szCs w:val="18"/>
              </w:rPr>
              <w:t>Depository</w:t>
            </w:r>
            <w:proofErr w:type="spellEnd"/>
            <w:r w:rsidRPr="00F22F68">
              <w:rPr>
                <w:rFonts w:eastAsia="Times New Roman" w:cs="Calibri"/>
                <w:color w:val="000000"/>
                <w:sz w:val="18"/>
                <w:szCs w:val="18"/>
              </w:rPr>
              <w:t xml:space="preserve"> &amp;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Company</w:t>
            </w:r>
          </w:p>
        </w:tc>
      </w:tr>
      <w:tr w:rsidR="00BF00F4" w:rsidRPr="00F22F68" w14:paraId="722DAB81" w14:textId="77777777" w:rsidTr="00576B53">
        <w:trPr>
          <w:trHeight w:val="300"/>
        </w:trPr>
        <w:tc>
          <w:tcPr>
            <w:tcW w:w="9072" w:type="dxa"/>
            <w:tcBorders>
              <w:top w:val="nil"/>
              <w:left w:val="nil"/>
              <w:bottom w:val="nil"/>
              <w:right w:val="nil"/>
            </w:tcBorders>
            <w:noWrap/>
            <w:vAlign w:val="bottom"/>
            <w:hideMark/>
          </w:tcPr>
          <w:p w14:paraId="633B3A05"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Central </w:t>
            </w:r>
            <w:proofErr w:type="spellStart"/>
            <w:r w:rsidRPr="00F22F68">
              <w:rPr>
                <w:rFonts w:eastAsia="Times New Roman" w:cs="Calibri"/>
                <w:color w:val="000000"/>
                <w:sz w:val="18"/>
                <w:szCs w:val="18"/>
              </w:rPr>
              <w:t>Depository</w:t>
            </w:r>
            <w:proofErr w:type="spellEnd"/>
            <w:r w:rsidRPr="00F22F68">
              <w:rPr>
                <w:rFonts w:eastAsia="Times New Roman" w:cs="Calibri"/>
                <w:color w:val="000000"/>
                <w:sz w:val="18"/>
                <w:szCs w:val="18"/>
              </w:rPr>
              <w:t xml:space="preserve"> AD</w:t>
            </w:r>
          </w:p>
        </w:tc>
      </w:tr>
      <w:tr w:rsidR="00BF00F4" w:rsidRPr="00F238A6" w14:paraId="31368800" w14:textId="77777777" w:rsidTr="00576B53">
        <w:trPr>
          <w:trHeight w:val="300"/>
        </w:trPr>
        <w:tc>
          <w:tcPr>
            <w:tcW w:w="9072" w:type="dxa"/>
            <w:tcBorders>
              <w:top w:val="nil"/>
              <w:left w:val="nil"/>
              <w:bottom w:val="nil"/>
              <w:right w:val="nil"/>
            </w:tcBorders>
            <w:noWrap/>
            <w:vAlign w:val="bottom"/>
            <w:hideMark/>
          </w:tcPr>
          <w:p w14:paraId="5D195DF6"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Central Depository and Central Registry</w:t>
            </w:r>
          </w:p>
        </w:tc>
      </w:tr>
      <w:tr w:rsidR="00BF00F4" w:rsidRPr="00477074" w14:paraId="336C5C1E" w14:textId="77777777" w:rsidTr="00576B53">
        <w:trPr>
          <w:trHeight w:val="300"/>
        </w:trPr>
        <w:tc>
          <w:tcPr>
            <w:tcW w:w="9072" w:type="dxa"/>
            <w:tcBorders>
              <w:top w:val="nil"/>
              <w:left w:val="nil"/>
              <w:bottom w:val="nil"/>
              <w:right w:val="nil"/>
            </w:tcBorders>
            <w:noWrap/>
            <w:vAlign w:val="bottom"/>
            <w:hideMark/>
          </w:tcPr>
          <w:p w14:paraId="140C357B" w14:textId="77777777" w:rsidR="00BF00F4" w:rsidRPr="002E4F76" w:rsidRDefault="00BF00F4" w:rsidP="00576B53">
            <w:pPr>
              <w:rPr>
                <w:rFonts w:eastAsia="Times New Roman" w:cs="Calibri"/>
                <w:color w:val="000000"/>
                <w:sz w:val="18"/>
                <w:szCs w:val="18"/>
                <w:lang w:val="sv-SE"/>
              </w:rPr>
            </w:pPr>
            <w:r w:rsidRPr="002E4F76">
              <w:rPr>
                <w:rFonts w:eastAsia="Times New Roman" w:cs="Calibri"/>
                <w:color w:val="000000"/>
                <w:sz w:val="18"/>
                <w:szCs w:val="18"/>
                <w:lang w:val="sv-SE"/>
              </w:rPr>
              <w:t>Centralna klirinško depotna družba (KDD)</w:t>
            </w:r>
          </w:p>
        </w:tc>
      </w:tr>
      <w:tr w:rsidR="00BF00F4" w:rsidRPr="00F238A6" w14:paraId="05DFCB59" w14:textId="77777777" w:rsidTr="00576B53">
        <w:trPr>
          <w:trHeight w:val="300"/>
        </w:trPr>
        <w:tc>
          <w:tcPr>
            <w:tcW w:w="9072" w:type="dxa"/>
            <w:tcBorders>
              <w:top w:val="nil"/>
              <w:left w:val="nil"/>
              <w:bottom w:val="nil"/>
              <w:right w:val="nil"/>
            </w:tcBorders>
            <w:noWrap/>
            <w:vAlign w:val="bottom"/>
            <w:hideMark/>
          </w:tcPr>
          <w:p w14:paraId="5F16B9B9" w14:textId="77777777" w:rsidR="00BF00F4" w:rsidRPr="00210421" w:rsidRDefault="00BF00F4" w:rsidP="00576B53">
            <w:pPr>
              <w:rPr>
                <w:rFonts w:eastAsia="Times New Roman" w:cs="Calibri"/>
                <w:color w:val="000000"/>
                <w:sz w:val="18"/>
                <w:szCs w:val="18"/>
                <w:lang w:val="en-US"/>
              </w:rPr>
            </w:pPr>
            <w:proofErr w:type="spellStart"/>
            <w:r w:rsidRPr="00210421">
              <w:rPr>
                <w:rFonts w:eastAsia="Times New Roman" w:cs="Calibri"/>
                <w:color w:val="000000"/>
                <w:sz w:val="18"/>
                <w:szCs w:val="18"/>
                <w:lang w:val="en-US"/>
              </w:rPr>
              <w:t>Centrální</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depozitár</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cenných</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papíru</w:t>
            </w:r>
            <w:proofErr w:type="spellEnd"/>
            <w:r w:rsidRPr="00210421">
              <w:rPr>
                <w:rFonts w:eastAsia="Times New Roman" w:cs="Calibri"/>
                <w:color w:val="000000"/>
                <w:sz w:val="18"/>
                <w:szCs w:val="18"/>
                <w:lang w:val="en-US"/>
              </w:rPr>
              <w:t xml:space="preserve"> SR </w:t>
            </w:r>
            <w:proofErr w:type="spellStart"/>
            <w:r w:rsidRPr="00210421">
              <w:rPr>
                <w:rFonts w:eastAsia="Times New Roman" w:cs="Calibri"/>
                <w:color w:val="000000"/>
                <w:sz w:val="18"/>
                <w:szCs w:val="18"/>
                <w:lang w:val="en-US"/>
              </w:rPr>
              <w:t>a.s.</w:t>
            </w:r>
            <w:proofErr w:type="spellEnd"/>
            <w:r w:rsidRPr="00210421">
              <w:rPr>
                <w:rFonts w:eastAsia="Times New Roman" w:cs="Calibri"/>
                <w:color w:val="000000"/>
                <w:sz w:val="18"/>
                <w:szCs w:val="18"/>
                <w:lang w:val="en-US"/>
              </w:rPr>
              <w:t xml:space="preserve"> (CDCP) / Central Depository of Securities Prague</w:t>
            </w:r>
          </w:p>
        </w:tc>
      </w:tr>
      <w:tr w:rsidR="00BF00F4" w:rsidRPr="00F22F68" w14:paraId="1A47AD7D" w14:textId="77777777" w:rsidTr="00576B53">
        <w:trPr>
          <w:trHeight w:val="300"/>
        </w:trPr>
        <w:tc>
          <w:tcPr>
            <w:tcW w:w="9072" w:type="dxa"/>
            <w:tcBorders>
              <w:top w:val="nil"/>
              <w:left w:val="nil"/>
              <w:bottom w:val="nil"/>
              <w:right w:val="nil"/>
            </w:tcBorders>
            <w:noWrap/>
            <w:vAlign w:val="bottom"/>
            <w:hideMark/>
          </w:tcPr>
          <w:p w14:paraId="7588C057"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Centrálny</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Depositár</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Cenných</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Papierov</w:t>
            </w:r>
            <w:proofErr w:type="spellEnd"/>
            <w:r w:rsidRPr="00F22F68">
              <w:rPr>
                <w:rFonts w:eastAsia="Times New Roman" w:cs="Calibri"/>
                <w:color w:val="000000"/>
                <w:sz w:val="18"/>
                <w:szCs w:val="18"/>
              </w:rPr>
              <w:t xml:space="preserve"> (CDCP) SR</w:t>
            </w:r>
          </w:p>
        </w:tc>
      </w:tr>
      <w:tr w:rsidR="00BF00F4" w:rsidRPr="00F22F68" w14:paraId="40AB589A" w14:textId="77777777" w:rsidTr="00576B53">
        <w:trPr>
          <w:trHeight w:val="300"/>
        </w:trPr>
        <w:tc>
          <w:tcPr>
            <w:tcW w:w="9072" w:type="dxa"/>
            <w:tcBorders>
              <w:top w:val="nil"/>
              <w:left w:val="nil"/>
              <w:bottom w:val="nil"/>
              <w:right w:val="nil"/>
            </w:tcBorders>
            <w:noWrap/>
            <w:vAlign w:val="bottom"/>
            <w:hideMark/>
          </w:tcPr>
          <w:p w14:paraId="4AD74CD5"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lastRenderedPageBreak/>
              <w:t>CENTROlink</w:t>
            </w:r>
            <w:proofErr w:type="spellEnd"/>
          </w:p>
        </w:tc>
      </w:tr>
      <w:tr w:rsidR="00BF00F4" w:rsidRPr="00F238A6" w14:paraId="3A50A86B" w14:textId="77777777" w:rsidTr="00576B53">
        <w:trPr>
          <w:trHeight w:val="300"/>
        </w:trPr>
        <w:tc>
          <w:tcPr>
            <w:tcW w:w="9072" w:type="dxa"/>
            <w:tcBorders>
              <w:top w:val="nil"/>
              <w:left w:val="nil"/>
              <w:bottom w:val="nil"/>
              <w:right w:val="nil"/>
            </w:tcBorders>
            <w:noWrap/>
            <w:vAlign w:val="bottom"/>
            <w:hideMark/>
          </w:tcPr>
          <w:p w14:paraId="0872E1E4"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CERTIS (Czech Express Real Time Interbank Gross Settlement System)</w:t>
            </w:r>
          </w:p>
        </w:tc>
      </w:tr>
      <w:tr w:rsidR="00BF00F4" w:rsidRPr="00F238A6" w14:paraId="691B75FB" w14:textId="77777777" w:rsidTr="00576B53">
        <w:trPr>
          <w:trHeight w:val="300"/>
        </w:trPr>
        <w:tc>
          <w:tcPr>
            <w:tcW w:w="9072" w:type="dxa"/>
            <w:tcBorders>
              <w:top w:val="nil"/>
              <w:left w:val="nil"/>
              <w:bottom w:val="nil"/>
              <w:right w:val="nil"/>
            </w:tcBorders>
            <w:noWrap/>
            <w:vAlign w:val="bottom"/>
            <w:hideMark/>
          </w:tcPr>
          <w:p w14:paraId="4359DA60"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 xml:space="preserve">CHAPS (Clearing House Automated Payment </w:t>
            </w:r>
            <w:proofErr w:type="gramStart"/>
            <w:r w:rsidRPr="00210421">
              <w:rPr>
                <w:rFonts w:eastAsia="Times New Roman" w:cs="Calibri"/>
                <w:color w:val="000000"/>
                <w:sz w:val="18"/>
                <w:szCs w:val="18"/>
                <w:lang w:val="en-US"/>
              </w:rPr>
              <w:t>System )</w:t>
            </w:r>
            <w:proofErr w:type="gramEnd"/>
          </w:p>
        </w:tc>
      </w:tr>
      <w:tr w:rsidR="00BF00F4" w:rsidRPr="00F238A6" w14:paraId="1352B4F4" w14:textId="77777777" w:rsidTr="00576B53">
        <w:trPr>
          <w:trHeight w:val="300"/>
        </w:trPr>
        <w:tc>
          <w:tcPr>
            <w:tcW w:w="9072" w:type="dxa"/>
            <w:tcBorders>
              <w:top w:val="nil"/>
              <w:left w:val="nil"/>
              <w:bottom w:val="nil"/>
              <w:right w:val="nil"/>
            </w:tcBorders>
            <w:noWrap/>
            <w:vAlign w:val="bottom"/>
            <w:hideMark/>
          </w:tcPr>
          <w:p w14:paraId="5D8A079B"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Cheque &amp; Credit Clearing System Ltd</w:t>
            </w:r>
          </w:p>
        </w:tc>
      </w:tr>
      <w:tr w:rsidR="00BF00F4" w:rsidRPr="00F22F68" w14:paraId="5696EDE4" w14:textId="77777777" w:rsidTr="00576B53">
        <w:trPr>
          <w:trHeight w:val="300"/>
        </w:trPr>
        <w:tc>
          <w:tcPr>
            <w:tcW w:w="9072" w:type="dxa"/>
            <w:tcBorders>
              <w:top w:val="nil"/>
              <w:left w:val="nil"/>
              <w:bottom w:val="nil"/>
              <w:right w:val="nil"/>
            </w:tcBorders>
            <w:noWrap/>
            <w:vAlign w:val="bottom"/>
            <w:hideMark/>
          </w:tcPr>
          <w:p w14:paraId="66F4C0D7"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CHIPS</w:t>
            </w:r>
          </w:p>
        </w:tc>
      </w:tr>
      <w:tr w:rsidR="00BF00F4" w:rsidRPr="00F22F68" w14:paraId="3565571A" w14:textId="77777777" w:rsidTr="00576B53">
        <w:trPr>
          <w:trHeight w:val="300"/>
        </w:trPr>
        <w:tc>
          <w:tcPr>
            <w:tcW w:w="9072" w:type="dxa"/>
            <w:tcBorders>
              <w:top w:val="nil"/>
              <w:left w:val="nil"/>
              <w:bottom w:val="nil"/>
              <w:right w:val="nil"/>
            </w:tcBorders>
            <w:noWrap/>
            <w:vAlign w:val="bottom"/>
            <w:hideMark/>
          </w:tcPr>
          <w:p w14:paraId="77313258"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Service</w:t>
            </w:r>
            <w:proofErr w:type="spellEnd"/>
            <w:r w:rsidRPr="00F22F68">
              <w:rPr>
                <w:rFonts w:eastAsia="Times New Roman" w:cs="Calibri"/>
                <w:color w:val="000000"/>
                <w:sz w:val="18"/>
                <w:szCs w:val="18"/>
              </w:rPr>
              <w:t xml:space="preserve"> Austria (CSA)</w:t>
            </w:r>
          </w:p>
        </w:tc>
      </w:tr>
      <w:tr w:rsidR="00BF00F4" w:rsidRPr="00F22F68" w14:paraId="0F8D9FA6" w14:textId="77777777" w:rsidTr="00576B53">
        <w:trPr>
          <w:trHeight w:val="300"/>
        </w:trPr>
        <w:tc>
          <w:tcPr>
            <w:tcW w:w="9072" w:type="dxa"/>
            <w:tcBorders>
              <w:top w:val="nil"/>
              <w:left w:val="nil"/>
              <w:bottom w:val="nil"/>
              <w:right w:val="nil"/>
            </w:tcBorders>
            <w:noWrap/>
            <w:vAlign w:val="bottom"/>
            <w:hideMark/>
          </w:tcPr>
          <w:p w14:paraId="0BCB411D"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Service</w:t>
            </w:r>
            <w:proofErr w:type="spellEnd"/>
            <w:r w:rsidRPr="00F22F68">
              <w:rPr>
                <w:rFonts w:eastAsia="Times New Roman" w:cs="Calibri"/>
                <w:color w:val="000000"/>
                <w:sz w:val="18"/>
                <w:szCs w:val="18"/>
              </w:rPr>
              <w:t xml:space="preserve"> International (CSI)</w:t>
            </w:r>
          </w:p>
        </w:tc>
      </w:tr>
      <w:tr w:rsidR="00BF00F4" w:rsidRPr="00F22F68" w14:paraId="71B0C2E5" w14:textId="77777777" w:rsidTr="00576B53">
        <w:trPr>
          <w:trHeight w:val="300"/>
        </w:trPr>
        <w:tc>
          <w:tcPr>
            <w:tcW w:w="9072" w:type="dxa"/>
            <w:tcBorders>
              <w:top w:val="nil"/>
              <w:left w:val="nil"/>
              <w:bottom w:val="nil"/>
              <w:right w:val="nil"/>
            </w:tcBorders>
            <w:noWrap/>
            <w:vAlign w:val="bottom"/>
            <w:hideMark/>
          </w:tcPr>
          <w:p w14:paraId="473259ED"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Clearstream</w:t>
            </w:r>
            <w:proofErr w:type="spellEnd"/>
            <w:r w:rsidRPr="00F22F68">
              <w:rPr>
                <w:rFonts w:eastAsia="Times New Roman" w:cs="Calibri"/>
                <w:color w:val="000000"/>
                <w:sz w:val="18"/>
                <w:szCs w:val="18"/>
              </w:rPr>
              <w:t xml:space="preserve"> Banking AG</w:t>
            </w:r>
          </w:p>
        </w:tc>
      </w:tr>
      <w:tr w:rsidR="00BF00F4" w:rsidRPr="00F22F68" w14:paraId="7F525618" w14:textId="77777777" w:rsidTr="00576B53">
        <w:trPr>
          <w:trHeight w:val="300"/>
        </w:trPr>
        <w:tc>
          <w:tcPr>
            <w:tcW w:w="9072" w:type="dxa"/>
            <w:tcBorders>
              <w:top w:val="nil"/>
              <w:left w:val="nil"/>
              <w:bottom w:val="nil"/>
              <w:right w:val="nil"/>
            </w:tcBorders>
            <w:noWrap/>
            <w:vAlign w:val="bottom"/>
            <w:hideMark/>
          </w:tcPr>
          <w:p w14:paraId="2531B751"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Clearstream</w:t>
            </w:r>
            <w:proofErr w:type="spellEnd"/>
            <w:r w:rsidRPr="00F22F68">
              <w:rPr>
                <w:rFonts w:eastAsia="Times New Roman" w:cs="Calibri"/>
                <w:color w:val="000000"/>
                <w:sz w:val="18"/>
                <w:szCs w:val="18"/>
              </w:rPr>
              <w:t xml:space="preserve"> Banking </w:t>
            </w:r>
            <w:proofErr w:type="spellStart"/>
            <w:r w:rsidRPr="00F22F68">
              <w:rPr>
                <w:rFonts w:eastAsia="Times New Roman" w:cs="Calibri"/>
                <w:color w:val="000000"/>
                <w:sz w:val="18"/>
                <w:szCs w:val="18"/>
              </w:rPr>
              <w:t>Luxembourg</w:t>
            </w:r>
            <w:proofErr w:type="spellEnd"/>
          </w:p>
        </w:tc>
      </w:tr>
      <w:tr w:rsidR="00BF00F4" w:rsidRPr="00F22F68" w14:paraId="51AE9045" w14:textId="77777777" w:rsidTr="00576B53">
        <w:trPr>
          <w:trHeight w:val="300"/>
        </w:trPr>
        <w:tc>
          <w:tcPr>
            <w:tcW w:w="9072" w:type="dxa"/>
            <w:tcBorders>
              <w:top w:val="nil"/>
              <w:left w:val="nil"/>
              <w:bottom w:val="nil"/>
              <w:right w:val="nil"/>
            </w:tcBorders>
            <w:noWrap/>
            <w:vAlign w:val="bottom"/>
            <w:hideMark/>
          </w:tcPr>
          <w:p w14:paraId="14BDD55A"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CLS</w:t>
            </w:r>
          </w:p>
        </w:tc>
      </w:tr>
      <w:tr w:rsidR="00BF00F4" w:rsidRPr="00F238A6" w14:paraId="59990DBB" w14:textId="77777777" w:rsidTr="00576B53">
        <w:trPr>
          <w:trHeight w:val="300"/>
        </w:trPr>
        <w:tc>
          <w:tcPr>
            <w:tcW w:w="9072" w:type="dxa"/>
            <w:tcBorders>
              <w:top w:val="nil"/>
              <w:left w:val="nil"/>
              <w:bottom w:val="nil"/>
              <w:right w:val="nil"/>
            </w:tcBorders>
            <w:noWrap/>
            <w:vAlign w:val="bottom"/>
            <w:hideMark/>
          </w:tcPr>
          <w:p w14:paraId="30E19836"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CME Trade Repository Ltd (CME TR)</w:t>
            </w:r>
          </w:p>
        </w:tc>
      </w:tr>
      <w:tr w:rsidR="00BF00F4" w:rsidRPr="00F22F68" w14:paraId="18376F32" w14:textId="77777777" w:rsidTr="00576B53">
        <w:trPr>
          <w:trHeight w:val="300"/>
        </w:trPr>
        <w:tc>
          <w:tcPr>
            <w:tcW w:w="9072" w:type="dxa"/>
            <w:tcBorders>
              <w:top w:val="nil"/>
              <w:left w:val="nil"/>
              <w:bottom w:val="nil"/>
              <w:right w:val="nil"/>
            </w:tcBorders>
            <w:noWrap/>
            <w:vAlign w:val="bottom"/>
            <w:hideMark/>
          </w:tcPr>
          <w:p w14:paraId="5FB0AF06"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Cyprus</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House</w:t>
            </w:r>
          </w:p>
        </w:tc>
      </w:tr>
      <w:tr w:rsidR="00BF00F4" w:rsidRPr="00F22F68" w14:paraId="32B5F3B1" w14:textId="77777777" w:rsidTr="00576B53">
        <w:trPr>
          <w:trHeight w:val="300"/>
        </w:trPr>
        <w:tc>
          <w:tcPr>
            <w:tcW w:w="9072" w:type="dxa"/>
            <w:tcBorders>
              <w:top w:val="nil"/>
              <w:left w:val="nil"/>
              <w:bottom w:val="nil"/>
              <w:right w:val="nil"/>
            </w:tcBorders>
            <w:noWrap/>
            <w:vAlign w:val="bottom"/>
            <w:hideMark/>
          </w:tcPr>
          <w:p w14:paraId="21B187DD"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Cyprus</w:t>
            </w:r>
            <w:proofErr w:type="spellEnd"/>
            <w:r w:rsidRPr="00F22F68">
              <w:rPr>
                <w:rFonts w:eastAsia="Times New Roman" w:cs="Calibri"/>
                <w:color w:val="000000"/>
                <w:sz w:val="18"/>
                <w:szCs w:val="18"/>
              </w:rPr>
              <w:t xml:space="preserve"> Stock Exchange</w:t>
            </w:r>
          </w:p>
        </w:tc>
      </w:tr>
      <w:tr w:rsidR="00BF00F4" w:rsidRPr="00F22F68" w14:paraId="3F426B86" w14:textId="77777777" w:rsidTr="00576B53">
        <w:trPr>
          <w:trHeight w:val="300"/>
        </w:trPr>
        <w:tc>
          <w:tcPr>
            <w:tcW w:w="9072" w:type="dxa"/>
            <w:tcBorders>
              <w:top w:val="nil"/>
              <w:left w:val="nil"/>
              <w:bottom w:val="nil"/>
              <w:right w:val="nil"/>
            </w:tcBorders>
            <w:noWrap/>
            <w:vAlign w:val="bottom"/>
            <w:hideMark/>
          </w:tcPr>
          <w:p w14:paraId="09528EF1"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Dataclearing</w:t>
            </w:r>
            <w:proofErr w:type="spellEnd"/>
          </w:p>
        </w:tc>
      </w:tr>
      <w:tr w:rsidR="00BF00F4" w:rsidRPr="00F22F68" w14:paraId="60C16DCF" w14:textId="77777777" w:rsidTr="00576B53">
        <w:trPr>
          <w:trHeight w:val="300"/>
        </w:trPr>
        <w:tc>
          <w:tcPr>
            <w:tcW w:w="9072" w:type="dxa"/>
            <w:tcBorders>
              <w:top w:val="nil"/>
              <w:left w:val="nil"/>
              <w:bottom w:val="nil"/>
              <w:right w:val="nil"/>
            </w:tcBorders>
            <w:noWrap/>
            <w:vAlign w:val="bottom"/>
            <w:hideMark/>
          </w:tcPr>
          <w:p w14:paraId="7223C174"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Depozitarul</w:t>
            </w:r>
            <w:proofErr w:type="spellEnd"/>
            <w:r w:rsidRPr="00F22F68">
              <w:rPr>
                <w:rFonts w:eastAsia="Times New Roman" w:cs="Calibri"/>
                <w:color w:val="000000"/>
                <w:sz w:val="18"/>
                <w:szCs w:val="18"/>
              </w:rPr>
              <w:t xml:space="preserve"> Central S.A.</w:t>
            </w:r>
          </w:p>
        </w:tc>
      </w:tr>
      <w:tr w:rsidR="00BF00F4" w:rsidRPr="00F22F68" w14:paraId="1713966D" w14:textId="77777777" w:rsidTr="00576B53">
        <w:trPr>
          <w:trHeight w:val="300"/>
        </w:trPr>
        <w:tc>
          <w:tcPr>
            <w:tcW w:w="9072" w:type="dxa"/>
            <w:tcBorders>
              <w:top w:val="nil"/>
              <w:left w:val="nil"/>
              <w:bottom w:val="nil"/>
              <w:right w:val="nil"/>
            </w:tcBorders>
            <w:noWrap/>
            <w:vAlign w:val="bottom"/>
            <w:hideMark/>
          </w:tcPr>
          <w:p w14:paraId="779E82FA"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Deutsche </w:t>
            </w:r>
            <w:proofErr w:type="spellStart"/>
            <w:r w:rsidRPr="00F22F68">
              <w:rPr>
                <w:rFonts w:eastAsia="Times New Roman" w:cs="Calibri"/>
                <w:color w:val="000000"/>
                <w:sz w:val="18"/>
                <w:szCs w:val="18"/>
              </w:rPr>
              <w:t>Börse</w:t>
            </w:r>
            <w:proofErr w:type="spellEnd"/>
            <w:r w:rsidRPr="00F22F68">
              <w:rPr>
                <w:rFonts w:eastAsia="Times New Roman" w:cs="Calibri"/>
                <w:color w:val="000000"/>
                <w:sz w:val="18"/>
                <w:szCs w:val="18"/>
              </w:rPr>
              <w:t xml:space="preserve"> AG</w:t>
            </w:r>
          </w:p>
        </w:tc>
      </w:tr>
      <w:tr w:rsidR="00BF00F4" w:rsidRPr="00F238A6" w14:paraId="43D12166" w14:textId="77777777" w:rsidTr="00576B53">
        <w:trPr>
          <w:trHeight w:val="300"/>
        </w:trPr>
        <w:tc>
          <w:tcPr>
            <w:tcW w:w="9072" w:type="dxa"/>
            <w:tcBorders>
              <w:top w:val="nil"/>
              <w:left w:val="nil"/>
              <w:bottom w:val="nil"/>
              <w:right w:val="nil"/>
            </w:tcBorders>
            <w:noWrap/>
            <w:vAlign w:val="bottom"/>
            <w:hideMark/>
          </w:tcPr>
          <w:p w14:paraId="657E92C3" w14:textId="77777777" w:rsidR="00BF00F4" w:rsidRPr="002E4F76" w:rsidRDefault="00BF00F4" w:rsidP="00576B53">
            <w:pPr>
              <w:rPr>
                <w:rFonts w:eastAsia="Times New Roman" w:cs="Calibri"/>
                <w:color w:val="000000"/>
                <w:sz w:val="18"/>
                <w:szCs w:val="18"/>
                <w:lang w:val="sv-SE"/>
              </w:rPr>
            </w:pPr>
            <w:r w:rsidRPr="002E4F76">
              <w:rPr>
                <w:rFonts w:eastAsia="Times New Roman" w:cs="Calibri"/>
                <w:color w:val="000000"/>
                <w:sz w:val="18"/>
                <w:szCs w:val="18"/>
                <w:lang w:val="sv-SE"/>
              </w:rPr>
              <w:t>DIAS (Interbanking Systems S.A.)</w:t>
            </w:r>
          </w:p>
        </w:tc>
      </w:tr>
      <w:tr w:rsidR="00BF00F4" w:rsidRPr="00F22F68" w14:paraId="6656969A" w14:textId="77777777" w:rsidTr="00576B53">
        <w:trPr>
          <w:trHeight w:val="300"/>
        </w:trPr>
        <w:tc>
          <w:tcPr>
            <w:tcW w:w="9072" w:type="dxa"/>
            <w:tcBorders>
              <w:top w:val="nil"/>
              <w:left w:val="nil"/>
              <w:bottom w:val="nil"/>
              <w:right w:val="nil"/>
            </w:tcBorders>
            <w:noWrap/>
            <w:vAlign w:val="bottom"/>
            <w:hideMark/>
          </w:tcPr>
          <w:p w14:paraId="48FB28BC"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DTC (</w:t>
            </w:r>
            <w:proofErr w:type="spellStart"/>
            <w:r w:rsidRPr="00F22F68">
              <w:rPr>
                <w:rFonts w:eastAsia="Times New Roman" w:cs="Calibri"/>
                <w:color w:val="000000"/>
                <w:sz w:val="18"/>
                <w:szCs w:val="18"/>
              </w:rPr>
              <w:t>Depository</w:t>
            </w:r>
            <w:proofErr w:type="spellEnd"/>
            <w:r w:rsidRPr="00F22F68">
              <w:rPr>
                <w:rFonts w:eastAsia="Times New Roman" w:cs="Calibri"/>
                <w:color w:val="000000"/>
                <w:sz w:val="18"/>
                <w:szCs w:val="18"/>
              </w:rPr>
              <w:t xml:space="preserve"> Trust Company)</w:t>
            </w:r>
          </w:p>
        </w:tc>
      </w:tr>
      <w:tr w:rsidR="00BF00F4" w:rsidRPr="00F22F68" w14:paraId="7EEBBAFF" w14:textId="77777777" w:rsidTr="00576B53">
        <w:trPr>
          <w:trHeight w:val="300"/>
        </w:trPr>
        <w:tc>
          <w:tcPr>
            <w:tcW w:w="9072" w:type="dxa"/>
            <w:tcBorders>
              <w:top w:val="nil"/>
              <w:left w:val="nil"/>
              <w:bottom w:val="nil"/>
              <w:right w:val="nil"/>
            </w:tcBorders>
            <w:noWrap/>
            <w:vAlign w:val="bottom"/>
            <w:hideMark/>
          </w:tcPr>
          <w:p w14:paraId="22DC77C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DTCC Derivatives </w:t>
            </w:r>
            <w:proofErr w:type="spellStart"/>
            <w:r w:rsidRPr="00F22F68">
              <w:rPr>
                <w:rFonts w:eastAsia="Times New Roman" w:cs="Calibri"/>
                <w:color w:val="000000"/>
                <w:sz w:val="18"/>
                <w:szCs w:val="18"/>
              </w:rPr>
              <w:t>Repository</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Plc</w:t>
            </w:r>
            <w:proofErr w:type="spellEnd"/>
          </w:p>
        </w:tc>
      </w:tr>
      <w:tr w:rsidR="00BF00F4" w:rsidRPr="00F22F68" w14:paraId="0B0D7F0C" w14:textId="77777777" w:rsidTr="00576B53">
        <w:trPr>
          <w:trHeight w:val="300"/>
        </w:trPr>
        <w:tc>
          <w:tcPr>
            <w:tcW w:w="9072" w:type="dxa"/>
            <w:tcBorders>
              <w:top w:val="nil"/>
              <w:left w:val="nil"/>
              <w:bottom w:val="nil"/>
              <w:right w:val="nil"/>
            </w:tcBorders>
            <w:noWrap/>
            <w:vAlign w:val="bottom"/>
            <w:hideMark/>
          </w:tcPr>
          <w:p w14:paraId="3471C133"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Electronic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System</w:t>
            </w:r>
            <w:proofErr w:type="spellEnd"/>
            <w:r w:rsidRPr="00F22F68">
              <w:rPr>
                <w:rFonts w:eastAsia="Times New Roman" w:cs="Calibri"/>
                <w:color w:val="000000"/>
                <w:sz w:val="18"/>
                <w:szCs w:val="18"/>
              </w:rPr>
              <w:t xml:space="preserve"> (EKS)</w:t>
            </w:r>
          </w:p>
        </w:tc>
      </w:tr>
      <w:tr w:rsidR="00BF00F4" w:rsidRPr="00F22F68" w14:paraId="7C619501" w14:textId="77777777" w:rsidTr="00576B53">
        <w:trPr>
          <w:trHeight w:val="300"/>
        </w:trPr>
        <w:tc>
          <w:tcPr>
            <w:tcW w:w="9072" w:type="dxa"/>
            <w:tcBorders>
              <w:top w:val="nil"/>
              <w:left w:val="nil"/>
              <w:bottom w:val="nil"/>
              <w:right w:val="nil"/>
            </w:tcBorders>
            <w:noWrap/>
            <w:vAlign w:val="bottom"/>
            <w:hideMark/>
          </w:tcPr>
          <w:p w14:paraId="1FCFA7B5"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ELIXIR</w:t>
            </w:r>
          </w:p>
        </w:tc>
      </w:tr>
      <w:tr w:rsidR="00BF00F4" w:rsidRPr="00F22F68" w14:paraId="4134F71C" w14:textId="77777777" w:rsidTr="00576B53">
        <w:trPr>
          <w:trHeight w:val="300"/>
        </w:trPr>
        <w:tc>
          <w:tcPr>
            <w:tcW w:w="9072" w:type="dxa"/>
            <w:tcBorders>
              <w:top w:val="nil"/>
              <w:left w:val="nil"/>
              <w:bottom w:val="nil"/>
              <w:right w:val="nil"/>
            </w:tcBorders>
            <w:noWrap/>
            <w:vAlign w:val="bottom"/>
            <w:hideMark/>
          </w:tcPr>
          <w:p w14:paraId="469E47CA"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Equens</w:t>
            </w:r>
            <w:proofErr w:type="spellEnd"/>
          </w:p>
        </w:tc>
      </w:tr>
      <w:tr w:rsidR="00BF00F4" w:rsidRPr="00F22F68" w14:paraId="0E22ADD3" w14:textId="77777777" w:rsidTr="00576B53">
        <w:trPr>
          <w:trHeight w:val="300"/>
        </w:trPr>
        <w:tc>
          <w:tcPr>
            <w:tcW w:w="9072" w:type="dxa"/>
            <w:tcBorders>
              <w:top w:val="nil"/>
              <w:left w:val="nil"/>
              <w:bottom w:val="nil"/>
              <w:right w:val="nil"/>
            </w:tcBorders>
            <w:noWrap/>
            <w:vAlign w:val="bottom"/>
            <w:hideMark/>
          </w:tcPr>
          <w:p w14:paraId="27F8C823"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EUREX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AG</w:t>
            </w:r>
          </w:p>
        </w:tc>
      </w:tr>
      <w:tr w:rsidR="00BF00F4" w:rsidRPr="00F22F68" w14:paraId="567529B3" w14:textId="77777777" w:rsidTr="00576B53">
        <w:trPr>
          <w:trHeight w:val="300"/>
        </w:trPr>
        <w:tc>
          <w:tcPr>
            <w:tcW w:w="9072" w:type="dxa"/>
            <w:tcBorders>
              <w:top w:val="nil"/>
              <w:left w:val="nil"/>
              <w:bottom w:val="nil"/>
              <w:right w:val="nil"/>
            </w:tcBorders>
            <w:noWrap/>
            <w:vAlign w:val="bottom"/>
            <w:hideMark/>
          </w:tcPr>
          <w:p w14:paraId="6373399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EURO 1</w:t>
            </w:r>
          </w:p>
        </w:tc>
      </w:tr>
      <w:tr w:rsidR="00BF00F4" w:rsidRPr="00F22F68" w14:paraId="55DA5261" w14:textId="77777777" w:rsidTr="00576B53">
        <w:trPr>
          <w:trHeight w:val="300"/>
        </w:trPr>
        <w:tc>
          <w:tcPr>
            <w:tcW w:w="9072" w:type="dxa"/>
            <w:tcBorders>
              <w:top w:val="nil"/>
              <w:left w:val="nil"/>
              <w:bottom w:val="nil"/>
              <w:right w:val="nil"/>
            </w:tcBorders>
            <w:noWrap/>
            <w:vAlign w:val="bottom"/>
            <w:hideMark/>
          </w:tcPr>
          <w:p w14:paraId="67CD9BAE"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Euroclear</w:t>
            </w:r>
            <w:proofErr w:type="spellEnd"/>
            <w:r w:rsidRPr="00F22F68">
              <w:rPr>
                <w:rFonts w:eastAsia="Times New Roman" w:cs="Calibri"/>
                <w:color w:val="000000"/>
                <w:sz w:val="18"/>
                <w:szCs w:val="18"/>
              </w:rPr>
              <w:t xml:space="preserve"> Bank</w:t>
            </w:r>
          </w:p>
        </w:tc>
      </w:tr>
      <w:tr w:rsidR="00BF00F4" w:rsidRPr="00F22F68" w14:paraId="492D8F80" w14:textId="77777777" w:rsidTr="00576B53">
        <w:trPr>
          <w:trHeight w:val="300"/>
        </w:trPr>
        <w:tc>
          <w:tcPr>
            <w:tcW w:w="9072" w:type="dxa"/>
            <w:tcBorders>
              <w:top w:val="nil"/>
              <w:left w:val="nil"/>
              <w:bottom w:val="nil"/>
              <w:right w:val="nil"/>
            </w:tcBorders>
            <w:noWrap/>
            <w:vAlign w:val="bottom"/>
            <w:hideMark/>
          </w:tcPr>
          <w:p w14:paraId="339729DB"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Euroclear</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Belgium</w:t>
            </w:r>
            <w:proofErr w:type="spellEnd"/>
            <w:r w:rsidRPr="00F22F68">
              <w:rPr>
                <w:rFonts w:eastAsia="Times New Roman" w:cs="Calibri"/>
                <w:color w:val="000000"/>
                <w:sz w:val="18"/>
                <w:szCs w:val="18"/>
              </w:rPr>
              <w:t xml:space="preserve"> (ESES)</w:t>
            </w:r>
          </w:p>
        </w:tc>
      </w:tr>
      <w:tr w:rsidR="00BF00F4" w:rsidRPr="00F22F68" w14:paraId="7D034445" w14:textId="77777777" w:rsidTr="00576B53">
        <w:trPr>
          <w:trHeight w:val="300"/>
        </w:trPr>
        <w:tc>
          <w:tcPr>
            <w:tcW w:w="9072" w:type="dxa"/>
            <w:tcBorders>
              <w:top w:val="nil"/>
              <w:left w:val="nil"/>
              <w:bottom w:val="nil"/>
              <w:right w:val="nil"/>
            </w:tcBorders>
            <w:noWrap/>
            <w:vAlign w:val="bottom"/>
            <w:hideMark/>
          </w:tcPr>
          <w:p w14:paraId="73E6EC47"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Euroclear</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Finland</w:t>
            </w:r>
            <w:proofErr w:type="spellEnd"/>
          </w:p>
        </w:tc>
      </w:tr>
      <w:tr w:rsidR="00BF00F4" w:rsidRPr="00F22F68" w14:paraId="33D9037D" w14:textId="77777777" w:rsidTr="00576B53">
        <w:trPr>
          <w:trHeight w:val="300"/>
        </w:trPr>
        <w:tc>
          <w:tcPr>
            <w:tcW w:w="9072" w:type="dxa"/>
            <w:tcBorders>
              <w:top w:val="nil"/>
              <w:left w:val="nil"/>
              <w:bottom w:val="nil"/>
              <w:right w:val="nil"/>
            </w:tcBorders>
            <w:noWrap/>
            <w:vAlign w:val="bottom"/>
            <w:hideMark/>
          </w:tcPr>
          <w:p w14:paraId="015EFB3D"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Euroclear</w:t>
            </w:r>
            <w:proofErr w:type="spellEnd"/>
            <w:r w:rsidRPr="00F22F68">
              <w:rPr>
                <w:rFonts w:eastAsia="Times New Roman" w:cs="Calibri"/>
                <w:color w:val="000000"/>
                <w:sz w:val="18"/>
                <w:szCs w:val="18"/>
              </w:rPr>
              <w:t xml:space="preserve"> France (ESES)</w:t>
            </w:r>
          </w:p>
        </w:tc>
      </w:tr>
      <w:tr w:rsidR="00BF00F4" w:rsidRPr="00F22F68" w14:paraId="5030C5F3" w14:textId="77777777" w:rsidTr="00576B53">
        <w:trPr>
          <w:trHeight w:val="300"/>
        </w:trPr>
        <w:tc>
          <w:tcPr>
            <w:tcW w:w="9072" w:type="dxa"/>
            <w:tcBorders>
              <w:top w:val="nil"/>
              <w:left w:val="nil"/>
              <w:bottom w:val="nil"/>
              <w:right w:val="nil"/>
            </w:tcBorders>
            <w:noWrap/>
            <w:vAlign w:val="bottom"/>
            <w:hideMark/>
          </w:tcPr>
          <w:p w14:paraId="2767B252"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Euroclear</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Netherlands</w:t>
            </w:r>
            <w:proofErr w:type="spellEnd"/>
            <w:r w:rsidRPr="00F22F68">
              <w:rPr>
                <w:rFonts w:eastAsia="Times New Roman" w:cs="Calibri"/>
                <w:color w:val="000000"/>
                <w:sz w:val="18"/>
                <w:szCs w:val="18"/>
              </w:rPr>
              <w:t xml:space="preserve"> (ESES)</w:t>
            </w:r>
          </w:p>
        </w:tc>
      </w:tr>
      <w:tr w:rsidR="00BF00F4" w:rsidRPr="00F238A6" w14:paraId="3CE37774" w14:textId="77777777" w:rsidTr="00576B53">
        <w:trPr>
          <w:trHeight w:val="300"/>
        </w:trPr>
        <w:tc>
          <w:tcPr>
            <w:tcW w:w="9072" w:type="dxa"/>
            <w:tcBorders>
              <w:top w:val="nil"/>
              <w:left w:val="nil"/>
              <w:bottom w:val="nil"/>
              <w:right w:val="nil"/>
            </w:tcBorders>
            <w:noWrap/>
            <w:vAlign w:val="bottom"/>
            <w:hideMark/>
          </w:tcPr>
          <w:p w14:paraId="7A26C86A" w14:textId="77777777" w:rsidR="00BF00F4" w:rsidRPr="00EB7BE1" w:rsidRDefault="00BF00F4" w:rsidP="00576B53">
            <w:pPr>
              <w:rPr>
                <w:rFonts w:eastAsia="Times New Roman" w:cs="Calibri"/>
                <w:color w:val="000000"/>
                <w:sz w:val="18"/>
                <w:szCs w:val="18"/>
                <w:lang w:val="de-DE"/>
              </w:rPr>
            </w:pPr>
            <w:proofErr w:type="spellStart"/>
            <w:r w:rsidRPr="00EB7BE1">
              <w:rPr>
                <w:rFonts w:eastAsia="Times New Roman" w:cs="Calibri"/>
                <w:color w:val="000000"/>
                <w:sz w:val="18"/>
                <w:szCs w:val="18"/>
                <w:lang w:val="de-DE"/>
              </w:rPr>
              <w:t>Euroclear</w:t>
            </w:r>
            <w:proofErr w:type="spellEnd"/>
            <w:r w:rsidRPr="00EB7BE1">
              <w:rPr>
                <w:rFonts w:eastAsia="Times New Roman" w:cs="Calibri"/>
                <w:color w:val="000000"/>
                <w:sz w:val="18"/>
                <w:szCs w:val="18"/>
                <w:lang w:val="de-DE"/>
              </w:rPr>
              <w:t xml:space="preserve"> </w:t>
            </w:r>
            <w:proofErr w:type="spellStart"/>
            <w:r w:rsidRPr="00EB7BE1">
              <w:rPr>
                <w:rFonts w:eastAsia="Times New Roman" w:cs="Calibri"/>
                <w:color w:val="000000"/>
                <w:sz w:val="18"/>
                <w:szCs w:val="18"/>
                <w:lang w:val="de-DE"/>
              </w:rPr>
              <w:t>Sweden</w:t>
            </w:r>
            <w:proofErr w:type="spellEnd"/>
            <w:r w:rsidRPr="00EB7BE1">
              <w:rPr>
                <w:rFonts w:eastAsia="Times New Roman" w:cs="Calibri"/>
                <w:color w:val="000000"/>
                <w:sz w:val="18"/>
                <w:szCs w:val="18"/>
                <w:lang w:val="de-DE"/>
              </w:rPr>
              <w:t xml:space="preserve"> AB (VPC </w:t>
            </w:r>
            <w:proofErr w:type="spellStart"/>
            <w:r w:rsidRPr="00EB7BE1">
              <w:rPr>
                <w:rFonts w:eastAsia="Times New Roman" w:cs="Calibri"/>
                <w:color w:val="000000"/>
                <w:sz w:val="18"/>
                <w:szCs w:val="18"/>
                <w:lang w:val="de-DE"/>
              </w:rPr>
              <w:t>systemet</w:t>
            </w:r>
            <w:proofErr w:type="spellEnd"/>
            <w:r w:rsidRPr="00EB7BE1">
              <w:rPr>
                <w:rFonts w:eastAsia="Times New Roman" w:cs="Calibri"/>
                <w:color w:val="000000"/>
                <w:sz w:val="18"/>
                <w:szCs w:val="18"/>
                <w:lang w:val="de-DE"/>
              </w:rPr>
              <w:t>)</w:t>
            </w:r>
          </w:p>
        </w:tc>
      </w:tr>
      <w:tr w:rsidR="00BF00F4" w:rsidRPr="00F238A6" w14:paraId="7904459C" w14:textId="77777777" w:rsidTr="00576B53">
        <w:trPr>
          <w:trHeight w:val="300"/>
        </w:trPr>
        <w:tc>
          <w:tcPr>
            <w:tcW w:w="9072" w:type="dxa"/>
            <w:tcBorders>
              <w:top w:val="nil"/>
              <w:left w:val="nil"/>
              <w:bottom w:val="nil"/>
              <w:right w:val="nil"/>
            </w:tcBorders>
            <w:noWrap/>
            <w:vAlign w:val="bottom"/>
            <w:hideMark/>
          </w:tcPr>
          <w:p w14:paraId="7D6A7B2C"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Euroclear UK &amp; Ireland Limited (EUI) (CREST)</w:t>
            </w:r>
          </w:p>
        </w:tc>
      </w:tr>
      <w:tr w:rsidR="00BF00F4" w:rsidRPr="00F22F68" w14:paraId="03CDF1AD" w14:textId="77777777" w:rsidTr="00576B53">
        <w:trPr>
          <w:trHeight w:val="300"/>
        </w:trPr>
        <w:tc>
          <w:tcPr>
            <w:tcW w:w="9072" w:type="dxa"/>
            <w:tcBorders>
              <w:top w:val="nil"/>
              <w:left w:val="nil"/>
              <w:bottom w:val="nil"/>
              <w:right w:val="nil"/>
            </w:tcBorders>
            <w:noWrap/>
            <w:vAlign w:val="bottom"/>
            <w:hideMark/>
          </w:tcPr>
          <w:p w14:paraId="33EF70FA"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Euronext </w:t>
            </w:r>
            <w:proofErr w:type="spellStart"/>
            <w:r w:rsidRPr="00F22F68">
              <w:rPr>
                <w:rFonts w:eastAsia="Times New Roman" w:cs="Calibri"/>
                <w:color w:val="000000"/>
                <w:sz w:val="18"/>
                <w:szCs w:val="18"/>
              </w:rPr>
              <w:t>Amsterdam</w:t>
            </w:r>
            <w:proofErr w:type="spellEnd"/>
            <w:r w:rsidRPr="00F22F68">
              <w:rPr>
                <w:rFonts w:eastAsia="Times New Roman" w:cs="Calibri"/>
                <w:color w:val="000000"/>
                <w:sz w:val="18"/>
                <w:szCs w:val="18"/>
              </w:rPr>
              <w:t xml:space="preserve"> Cash </w:t>
            </w:r>
            <w:proofErr w:type="spellStart"/>
            <w:r w:rsidRPr="00F22F68">
              <w:rPr>
                <w:rFonts w:eastAsia="Times New Roman" w:cs="Calibri"/>
                <w:color w:val="000000"/>
                <w:sz w:val="18"/>
                <w:szCs w:val="18"/>
              </w:rPr>
              <w:t>Market</w:t>
            </w:r>
            <w:proofErr w:type="spellEnd"/>
          </w:p>
        </w:tc>
      </w:tr>
      <w:tr w:rsidR="00BF00F4" w:rsidRPr="00F238A6" w14:paraId="3D639E59" w14:textId="77777777" w:rsidTr="00576B53">
        <w:trPr>
          <w:trHeight w:val="300"/>
        </w:trPr>
        <w:tc>
          <w:tcPr>
            <w:tcW w:w="9072" w:type="dxa"/>
            <w:tcBorders>
              <w:top w:val="nil"/>
              <w:left w:val="nil"/>
              <w:bottom w:val="nil"/>
              <w:right w:val="nil"/>
            </w:tcBorders>
            <w:noWrap/>
            <w:vAlign w:val="bottom"/>
            <w:hideMark/>
          </w:tcPr>
          <w:p w14:paraId="0EBD3EEF"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Euronext Brussels SA</w:t>
            </w:r>
          </w:p>
          <w:p w14:paraId="0D241C70" w14:textId="77777777" w:rsidR="00BF00F4" w:rsidRPr="00210421" w:rsidRDefault="00BF00F4" w:rsidP="00576B53">
            <w:pPr>
              <w:rPr>
                <w:rFonts w:eastAsia="Times New Roman" w:cs="Calibri"/>
                <w:color w:val="000000"/>
                <w:sz w:val="18"/>
                <w:szCs w:val="18"/>
                <w:lang w:val="en-US"/>
              </w:rPr>
            </w:pPr>
            <w:r w:rsidRPr="00210421">
              <w:rPr>
                <w:rFonts w:eastAsia="Times New Roman" w:cs="Calibri"/>
                <w:bCs/>
                <w:color w:val="000000"/>
                <w:sz w:val="18"/>
                <w:szCs w:val="18"/>
                <w:lang w:val="en-US"/>
              </w:rPr>
              <w:t>Euronext Clearing</w:t>
            </w:r>
            <w:r>
              <w:rPr>
                <w:rStyle w:val="FootnoteReference"/>
                <w:rFonts w:eastAsia="Times New Roman" w:cs="Calibri"/>
                <w:bCs/>
                <w:color w:val="000000"/>
                <w:sz w:val="18"/>
              </w:rPr>
              <w:footnoteReference w:id="37"/>
            </w:r>
          </w:p>
        </w:tc>
      </w:tr>
      <w:tr w:rsidR="00BF00F4" w:rsidRPr="00F22F68" w14:paraId="7788682C" w14:textId="77777777" w:rsidTr="00576B53">
        <w:trPr>
          <w:trHeight w:val="300"/>
        </w:trPr>
        <w:tc>
          <w:tcPr>
            <w:tcW w:w="9072" w:type="dxa"/>
            <w:tcBorders>
              <w:top w:val="nil"/>
              <w:left w:val="nil"/>
              <w:bottom w:val="nil"/>
              <w:right w:val="nil"/>
            </w:tcBorders>
            <w:noWrap/>
            <w:vAlign w:val="bottom"/>
            <w:hideMark/>
          </w:tcPr>
          <w:p w14:paraId="31BE95DF"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Euronext </w:t>
            </w:r>
            <w:proofErr w:type="spellStart"/>
            <w:r w:rsidRPr="00F22F68">
              <w:rPr>
                <w:rFonts w:eastAsia="Times New Roman" w:cs="Calibri"/>
                <w:color w:val="000000"/>
                <w:sz w:val="18"/>
                <w:szCs w:val="18"/>
              </w:rPr>
              <w:t>Lisbon</w:t>
            </w:r>
            <w:proofErr w:type="spellEnd"/>
            <w:r w:rsidRPr="00F22F68">
              <w:rPr>
                <w:rFonts w:eastAsia="Times New Roman" w:cs="Calibri"/>
                <w:color w:val="000000"/>
                <w:sz w:val="18"/>
                <w:szCs w:val="18"/>
              </w:rPr>
              <w:t xml:space="preserve"> SA</w:t>
            </w:r>
          </w:p>
        </w:tc>
      </w:tr>
      <w:tr w:rsidR="00BF00F4" w:rsidRPr="00F22F68" w14:paraId="7D4B49B8" w14:textId="77777777" w:rsidTr="00576B53">
        <w:trPr>
          <w:trHeight w:val="300"/>
        </w:trPr>
        <w:tc>
          <w:tcPr>
            <w:tcW w:w="9072" w:type="dxa"/>
            <w:tcBorders>
              <w:top w:val="nil"/>
              <w:left w:val="nil"/>
              <w:bottom w:val="nil"/>
              <w:right w:val="nil"/>
            </w:tcBorders>
            <w:noWrap/>
            <w:vAlign w:val="bottom"/>
            <w:hideMark/>
          </w:tcPr>
          <w:p w14:paraId="471149DC"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European</w:t>
            </w:r>
            <w:proofErr w:type="spellEnd"/>
            <w:r w:rsidRPr="00F22F68">
              <w:rPr>
                <w:rFonts w:eastAsia="Times New Roman" w:cs="Calibri"/>
                <w:color w:val="000000"/>
                <w:sz w:val="18"/>
                <w:szCs w:val="18"/>
              </w:rPr>
              <w:t xml:space="preserve"> CCP NV</w:t>
            </w:r>
          </w:p>
        </w:tc>
      </w:tr>
      <w:tr w:rsidR="00BF00F4" w:rsidRPr="00F22F68" w14:paraId="6BAAAA00" w14:textId="77777777" w:rsidTr="00576B53">
        <w:trPr>
          <w:trHeight w:val="300"/>
        </w:trPr>
        <w:tc>
          <w:tcPr>
            <w:tcW w:w="9072" w:type="dxa"/>
            <w:tcBorders>
              <w:top w:val="nil"/>
              <w:left w:val="nil"/>
              <w:bottom w:val="nil"/>
              <w:right w:val="nil"/>
            </w:tcBorders>
            <w:noWrap/>
            <w:vAlign w:val="bottom"/>
            <w:hideMark/>
          </w:tcPr>
          <w:p w14:paraId="4C581F04"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European</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Commodity</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(ECC)</w:t>
            </w:r>
          </w:p>
        </w:tc>
      </w:tr>
      <w:tr w:rsidR="00BF00F4" w:rsidRPr="00F22F68" w14:paraId="3B4C36D8" w14:textId="77777777" w:rsidTr="00576B53">
        <w:trPr>
          <w:trHeight w:val="300"/>
        </w:trPr>
        <w:tc>
          <w:tcPr>
            <w:tcW w:w="9072" w:type="dxa"/>
            <w:tcBorders>
              <w:top w:val="nil"/>
              <w:left w:val="nil"/>
              <w:bottom w:val="nil"/>
              <w:right w:val="nil"/>
            </w:tcBorders>
            <w:noWrap/>
            <w:vAlign w:val="bottom"/>
            <w:hideMark/>
          </w:tcPr>
          <w:p w14:paraId="0D48C221"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Express Elixir</w:t>
            </w:r>
          </w:p>
        </w:tc>
      </w:tr>
      <w:tr w:rsidR="00BF00F4" w:rsidRPr="00F22F68" w14:paraId="4A6E2A32" w14:textId="77777777" w:rsidTr="00576B53">
        <w:trPr>
          <w:trHeight w:val="300"/>
        </w:trPr>
        <w:tc>
          <w:tcPr>
            <w:tcW w:w="9072" w:type="dxa"/>
            <w:tcBorders>
              <w:top w:val="nil"/>
              <w:left w:val="nil"/>
              <w:bottom w:val="nil"/>
              <w:right w:val="nil"/>
            </w:tcBorders>
            <w:noWrap/>
            <w:vAlign w:val="bottom"/>
            <w:hideMark/>
          </w:tcPr>
          <w:p w14:paraId="75E0C18D"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Faster</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Payments</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Service</w:t>
            </w:r>
            <w:proofErr w:type="spellEnd"/>
            <w:r w:rsidRPr="00F22F68">
              <w:rPr>
                <w:rFonts w:eastAsia="Times New Roman" w:cs="Calibri"/>
                <w:color w:val="000000"/>
                <w:sz w:val="18"/>
                <w:szCs w:val="18"/>
              </w:rPr>
              <w:t xml:space="preserve"> (FPS)</w:t>
            </w:r>
          </w:p>
        </w:tc>
      </w:tr>
      <w:tr w:rsidR="00BF00F4" w:rsidRPr="00F22F68" w14:paraId="108C3ADA" w14:textId="77777777" w:rsidTr="00576B53">
        <w:trPr>
          <w:trHeight w:val="300"/>
        </w:trPr>
        <w:tc>
          <w:tcPr>
            <w:tcW w:w="9072" w:type="dxa"/>
            <w:tcBorders>
              <w:top w:val="nil"/>
              <w:left w:val="nil"/>
              <w:bottom w:val="nil"/>
              <w:right w:val="nil"/>
            </w:tcBorders>
            <w:noWrap/>
            <w:vAlign w:val="bottom"/>
            <w:hideMark/>
          </w:tcPr>
          <w:p w14:paraId="7F559042"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FedACH</w:t>
            </w:r>
            <w:proofErr w:type="spellEnd"/>
            <w:r w:rsidRPr="00F22F68">
              <w:rPr>
                <w:rFonts w:eastAsia="Times New Roman" w:cs="Calibri"/>
                <w:color w:val="000000"/>
                <w:sz w:val="18"/>
                <w:szCs w:val="18"/>
              </w:rPr>
              <w:t xml:space="preserve"> Services</w:t>
            </w:r>
          </w:p>
        </w:tc>
      </w:tr>
      <w:tr w:rsidR="00BF00F4" w:rsidRPr="00F22F68" w14:paraId="013C4B44" w14:textId="77777777" w:rsidTr="00576B53">
        <w:trPr>
          <w:trHeight w:val="300"/>
        </w:trPr>
        <w:tc>
          <w:tcPr>
            <w:tcW w:w="9072" w:type="dxa"/>
            <w:tcBorders>
              <w:top w:val="nil"/>
              <w:left w:val="nil"/>
              <w:bottom w:val="nil"/>
              <w:right w:val="nil"/>
            </w:tcBorders>
            <w:noWrap/>
            <w:vAlign w:val="bottom"/>
            <w:hideMark/>
          </w:tcPr>
          <w:p w14:paraId="6EBA6EDF"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Fedwire</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Funds</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Service</w:t>
            </w:r>
            <w:proofErr w:type="spellEnd"/>
          </w:p>
        </w:tc>
      </w:tr>
      <w:tr w:rsidR="00BF00F4" w:rsidRPr="00F22F68" w14:paraId="467A09D6" w14:textId="77777777" w:rsidTr="00576B53">
        <w:trPr>
          <w:trHeight w:val="300"/>
        </w:trPr>
        <w:tc>
          <w:tcPr>
            <w:tcW w:w="9072" w:type="dxa"/>
            <w:tcBorders>
              <w:top w:val="nil"/>
              <w:left w:val="nil"/>
              <w:bottom w:val="nil"/>
              <w:right w:val="nil"/>
            </w:tcBorders>
            <w:noWrap/>
            <w:vAlign w:val="bottom"/>
            <w:hideMark/>
          </w:tcPr>
          <w:p w14:paraId="012012B3"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Fedwire</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Securities</w:t>
            </w:r>
            <w:proofErr w:type="spellEnd"/>
            <w:r w:rsidRPr="00F22F68">
              <w:rPr>
                <w:rFonts w:eastAsia="Times New Roman" w:cs="Calibri"/>
                <w:color w:val="000000"/>
                <w:sz w:val="18"/>
                <w:szCs w:val="18"/>
              </w:rPr>
              <w:t xml:space="preserve"> Services</w:t>
            </w:r>
          </w:p>
        </w:tc>
      </w:tr>
      <w:tr w:rsidR="00BF00F4" w:rsidRPr="00F238A6" w14:paraId="4A581413" w14:textId="77777777" w:rsidTr="00576B53">
        <w:trPr>
          <w:trHeight w:val="300"/>
        </w:trPr>
        <w:tc>
          <w:tcPr>
            <w:tcW w:w="9072" w:type="dxa"/>
            <w:tcBorders>
              <w:top w:val="nil"/>
              <w:left w:val="nil"/>
              <w:bottom w:val="nil"/>
              <w:right w:val="nil"/>
            </w:tcBorders>
            <w:noWrap/>
            <w:vAlign w:val="bottom"/>
            <w:hideMark/>
          </w:tcPr>
          <w:p w14:paraId="52D82D8B"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Fixed Income Clearing Corp (FICC)</w:t>
            </w:r>
          </w:p>
        </w:tc>
      </w:tr>
      <w:tr w:rsidR="00BF00F4" w:rsidRPr="00F238A6" w14:paraId="14491ED0" w14:textId="77777777" w:rsidTr="00576B53">
        <w:trPr>
          <w:trHeight w:val="300"/>
        </w:trPr>
        <w:tc>
          <w:tcPr>
            <w:tcW w:w="9072" w:type="dxa"/>
            <w:tcBorders>
              <w:top w:val="nil"/>
              <w:left w:val="nil"/>
              <w:bottom w:val="nil"/>
              <w:right w:val="nil"/>
            </w:tcBorders>
            <w:noWrap/>
            <w:vAlign w:val="bottom"/>
            <w:hideMark/>
          </w:tcPr>
          <w:p w14:paraId="3006E9EE" w14:textId="77777777" w:rsidR="00BF00F4" w:rsidRPr="00210421" w:rsidRDefault="00BF00F4" w:rsidP="00576B53">
            <w:pPr>
              <w:rPr>
                <w:rFonts w:eastAsia="Times New Roman" w:cs="Calibri"/>
                <w:color w:val="000000"/>
                <w:sz w:val="18"/>
                <w:szCs w:val="18"/>
                <w:lang w:val="en-US"/>
              </w:rPr>
            </w:pPr>
            <w:proofErr w:type="spellStart"/>
            <w:r w:rsidRPr="00210421">
              <w:rPr>
                <w:rFonts w:eastAsia="Times New Roman" w:cs="Calibri"/>
                <w:color w:val="000000"/>
                <w:sz w:val="18"/>
                <w:szCs w:val="18"/>
                <w:lang w:val="en-US"/>
              </w:rPr>
              <w:t>Gielda</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Papierow</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Wartosciowych</w:t>
            </w:r>
            <w:proofErr w:type="spellEnd"/>
            <w:r w:rsidRPr="00210421">
              <w:rPr>
                <w:rFonts w:eastAsia="Times New Roman" w:cs="Calibri"/>
                <w:color w:val="000000"/>
                <w:sz w:val="18"/>
                <w:szCs w:val="18"/>
                <w:lang w:val="en-US"/>
              </w:rPr>
              <w:t xml:space="preserve"> w Warszawie (Warsaw Stock Exchange)</w:t>
            </w:r>
          </w:p>
        </w:tc>
      </w:tr>
      <w:tr w:rsidR="00BF00F4" w:rsidRPr="00F22F68" w14:paraId="49B4EAA3" w14:textId="77777777" w:rsidTr="00576B53">
        <w:trPr>
          <w:trHeight w:val="300"/>
        </w:trPr>
        <w:tc>
          <w:tcPr>
            <w:tcW w:w="9072" w:type="dxa"/>
            <w:tcBorders>
              <w:top w:val="nil"/>
              <w:left w:val="nil"/>
              <w:bottom w:val="nil"/>
              <w:right w:val="nil"/>
            </w:tcBorders>
            <w:noWrap/>
            <w:vAlign w:val="bottom"/>
            <w:hideMark/>
          </w:tcPr>
          <w:p w14:paraId="542FD2C0"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lastRenderedPageBreak/>
              <w:t>Government</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Securities</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Depository</w:t>
            </w:r>
            <w:proofErr w:type="spellEnd"/>
            <w:r w:rsidRPr="00F22F68">
              <w:rPr>
                <w:rFonts w:eastAsia="Times New Roman" w:cs="Calibri"/>
                <w:color w:val="000000"/>
                <w:sz w:val="18"/>
                <w:szCs w:val="18"/>
              </w:rPr>
              <w:t xml:space="preserve"> (GSD)</w:t>
            </w:r>
          </w:p>
        </w:tc>
      </w:tr>
      <w:tr w:rsidR="00BF00F4" w:rsidRPr="00F22F68" w14:paraId="07D739E8" w14:textId="77777777" w:rsidTr="00576B53">
        <w:trPr>
          <w:trHeight w:val="300"/>
        </w:trPr>
        <w:tc>
          <w:tcPr>
            <w:tcW w:w="9072" w:type="dxa"/>
            <w:tcBorders>
              <w:top w:val="nil"/>
              <w:left w:val="nil"/>
              <w:bottom w:val="nil"/>
              <w:right w:val="nil"/>
            </w:tcBorders>
            <w:noWrap/>
            <w:vAlign w:val="bottom"/>
            <w:hideMark/>
          </w:tcPr>
          <w:p w14:paraId="3C9A55B8"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HSVP (RTGS)</w:t>
            </w:r>
          </w:p>
        </w:tc>
      </w:tr>
      <w:tr w:rsidR="00BF00F4" w:rsidRPr="00F22F68" w14:paraId="1A2E8B25" w14:textId="77777777" w:rsidTr="00576B53">
        <w:trPr>
          <w:trHeight w:val="300"/>
        </w:trPr>
        <w:tc>
          <w:tcPr>
            <w:tcW w:w="9072" w:type="dxa"/>
            <w:tcBorders>
              <w:top w:val="nil"/>
              <w:left w:val="nil"/>
              <w:bottom w:val="nil"/>
              <w:right w:val="nil"/>
            </w:tcBorders>
            <w:noWrap/>
            <w:vAlign w:val="bottom"/>
            <w:hideMark/>
          </w:tcPr>
          <w:p w14:paraId="66D52663"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Iberclear</w:t>
            </w:r>
            <w:proofErr w:type="spellEnd"/>
          </w:p>
        </w:tc>
      </w:tr>
      <w:tr w:rsidR="00BF00F4" w:rsidRPr="00F22F68" w14:paraId="46DE0A27" w14:textId="77777777" w:rsidTr="00576B53">
        <w:trPr>
          <w:trHeight w:val="300"/>
        </w:trPr>
        <w:tc>
          <w:tcPr>
            <w:tcW w:w="9072" w:type="dxa"/>
            <w:tcBorders>
              <w:top w:val="nil"/>
              <w:left w:val="nil"/>
              <w:bottom w:val="nil"/>
              <w:right w:val="nil"/>
            </w:tcBorders>
            <w:noWrap/>
            <w:vAlign w:val="bottom"/>
            <w:hideMark/>
          </w:tcPr>
          <w:p w14:paraId="069CC27E"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ICE Clear</w:t>
            </w:r>
          </w:p>
        </w:tc>
      </w:tr>
      <w:tr w:rsidR="00BF00F4" w:rsidRPr="00F22F68" w14:paraId="417CA58F" w14:textId="77777777" w:rsidTr="00576B53">
        <w:trPr>
          <w:trHeight w:val="300"/>
        </w:trPr>
        <w:tc>
          <w:tcPr>
            <w:tcW w:w="9072" w:type="dxa"/>
            <w:tcBorders>
              <w:top w:val="nil"/>
              <w:left w:val="nil"/>
              <w:bottom w:val="nil"/>
              <w:right w:val="nil"/>
            </w:tcBorders>
            <w:noWrap/>
            <w:vAlign w:val="bottom"/>
            <w:hideMark/>
          </w:tcPr>
          <w:p w14:paraId="4F3864B7"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ICE Clear Europe </w:t>
            </w:r>
            <w:proofErr w:type="spellStart"/>
            <w:r w:rsidRPr="00F22F68">
              <w:rPr>
                <w:rFonts w:eastAsia="Times New Roman" w:cs="Calibri"/>
                <w:color w:val="000000"/>
                <w:sz w:val="18"/>
                <w:szCs w:val="18"/>
              </w:rPr>
              <w:t>Limited</w:t>
            </w:r>
            <w:proofErr w:type="spellEnd"/>
          </w:p>
        </w:tc>
      </w:tr>
      <w:tr w:rsidR="00BF00F4" w:rsidRPr="00F22F68" w14:paraId="19084CDC" w14:textId="77777777" w:rsidTr="00576B53">
        <w:trPr>
          <w:trHeight w:val="300"/>
        </w:trPr>
        <w:tc>
          <w:tcPr>
            <w:tcW w:w="9072" w:type="dxa"/>
            <w:tcBorders>
              <w:top w:val="nil"/>
              <w:left w:val="nil"/>
              <w:bottom w:val="nil"/>
              <w:right w:val="nil"/>
            </w:tcBorders>
            <w:noWrap/>
            <w:vAlign w:val="bottom"/>
            <w:hideMark/>
          </w:tcPr>
          <w:p w14:paraId="65E83A0F"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ICE Clear </w:t>
            </w:r>
            <w:proofErr w:type="spellStart"/>
            <w:r w:rsidRPr="00F22F68">
              <w:rPr>
                <w:rFonts w:eastAsia="Times New Roman" w:cs="Calibri"/>
                <w:color w:val="000000"/>
                <w:sz w:val="18"/>
                <w:szCs w:val="18"/>
              </w:rPr>
              <w:t>Netherlands</w:t>
            </w:r>
            <w:proofErr w:type="spellEnd"/>
          </w:p>
        </w:tc>
      </w:tr>
      <w:tr w:rsidR="00BF00F4" w:rsidRPr="00F238A6" w14:paraId="3EA37AFE" w14:textId="77777777" w:rsidTr="00576B53">
        <w:trPr>
          <w:trHeight w:val="300"/>
        </w:trPr>
        <w:tc>
          <w:tcPr>
            <w:tcW w:w="9072" w:type="dxa"/>
            <w:tcBorders>
              <w:top w:val="nil"/>
              <w:left w:val="nil"/>
              <w:bottom w:val="nil"/>
              <w:right w:val="nil"/>
            </w:tcBorders>
            <w:noWrap/>
            <w:vAlign w:val="bottom"/>
            <w:hideMark/>
          </w:tcPr>
          <w:p w14:paraId="6E794D9D"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ICE Trade Vault Europe Limited (ICE TVEL)</w:t>
            </w:r>
          </w:p>
        </w:tc>
      </w:tr>
      <w:tr w:rsidR="00BF00F4" w:rsidRPr="00F22F68" w14:paraId="7126314A" w14:textId="77777777" w:rsidTr="00576B53">
        <w:trPr>
          <w:trHeight w:val="300"/>
        </w:trPr>
        <w:tc>
          <w:tcPr>
            <w:tcW w:w="9072" w:type="dxa"/>
            <w:tcBorders>
              <w:top w:val="nil"/>
              <w:left w:val="nil"/>
              <w:bottom w:val="nil"/>
              <w:right w:val="nil"/>
            </w:tcBorders>
            <w:noWrap/>
            <w:vAlign w:val="bottom"/>
            <w:hideMark/>
          </w:tcPr>
          <w:p w14:paraId="20B23EF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ID2S/RSSS</w:t>
            </w:r>
          </w:p>
        </w:tc>
      </w:tr>
      <w:tr w:rsidR="00BF00F4" w:rsidRPr="00F22F68" w14:paraId="1DD9F7F3" w14:textId="77777777" w:rsidTr="00576B53">
        <w:trPr>
          <w:trHeight w:val="300"/>
        </w:trPr>
        <w:tc>
          <w:tcPr>
            <w:tcW w:w="9072" w:type="dxa"/>
            <w:tcBorders>
              <w:top w:val="nil"/>
              <w:left w:val="nil"/>
              <w:bottom w:val="nil"/>
              <w:right w:val="nil"/>
            </w:tcBorders>
            <w:noWrap/>
            <w:vAlign w:val="bottom"/>
            <w:hideMark/>
          </w:tcPr>
          <w:p w14:paraId="613DE07D"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Interbank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System</w:t>
            </w:r>
            <w:proofErr w:type="spellEnd"/>
            <w:r w:rsidRPr="00F22F68">
              <w:rPr>
                <w:rFonts w:eastAsia="Times New Roman" w:cs="Calibri"/>
                <w:color w:val="000000"/>
                <w:sz w:val="18"/>
                <w:szCs w:val="18"/>
              </w:rPr>
              <w:t xml:space="preserve"> (ICS)</w:t>
            </w:r>
          </w:p>
        </w:tc>
      </w:tr>
      <w:tr w:rsidR="00BF00F4" w:rsidRPr="00F22F68" w14:paraId="6CAD402F" w14:textId="77777777" w:rsidTr="00576B53">
        <w:trPr>
          <w:trHeight w:val="300"/>
        </w:trPr>
        <w:tc>
          <w:tcPr>
            <w:tcW w:w="9072" w:type="dxa"/>
            <w:tcBorders>
              <w:top w:val="nil"/>
              <w:left w:val="nil"/>
              <w:bottom w:val="nil"/>
              <w:right w:val="nil"/>
            </w:tcBorders>
            <w:noWrap/>
            <w:vAlign w:val="bottom"/>
            <w:hideMark/>
          </w:tcPr>
          <w:p w14:paraId="4E09E544"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INTERBOLSA</w:t>
            </w:r>
          </w:p>
        </w:tc>
      </w:tr>
      <w:tr w:rsidR="00BF00F4" w:rsidRPr="00F22F68" w14:paraId="6790913B" w14:textId="77777777" w:rsidTr="00576B53">
        <w:trPr>
          <w:trHeight w:val="300"/>
        </w:trPr>
        <w:tc>
          <w:tcPr>
            <w:tcW w:w="9072" w:type="dxa"/>
            <w:tcBorders>
              <w:top w:val="nil"/>
              <w:left w:val="nil"/>
              <w:bottom w:val="nil"/>
              <w:right w:val="nil"/>
            </w:tcBorders>
            <w:noWrap/>
            <w:vAlign w:val="bottom"/>
            <w:hideMark/>
          </w:tcPr>
          <w:p w14:paraId="4D844D26"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IntradagClearing</w:t>
            </w:r>
            <w:proofErr w:type="spellEnd"/>
          </w:p>
        </w:tc>
      </w:tr>
      <w:tr w:rsidR="00BF00F4" w:rsidRPr="00F238A6" w14:paraId="668B010E" w14:textId="77777777" w:rsidTr="00576B53">
        <w:trPr>
          <w:trHeight w:val="300"/>
        </w:trPr>
        <w:tc>
          <w:tcPr>
            <w:tcW w:w="9072" w:type="dxa"/>
            <w:tcBorders>
              <w:top w:val="nil"/>
              <w:left w:val="nil"/>
              <w:bottom w:val="nil"/>
              <w:right w:val="nil"/>
            </w:tcBorders>
            <w:noWrap/>
            <w:vAlign w:val="bottom"/>
            <w:hideMark/>
          </w:tcPr>
          <w:p w14:paraId="302069E3" w14:textId="77777777" w:rsidR="00BF00F4" w:rsidRPr="00210421" w:rsidRDefault="00BF00F4" w:rsidP="00576B53">
            <w:pPr>
              <w:rPr>
                <w:rFonts w:eastAsia="Times New Roman" w:cs="Calibri"/>
                <w:color w:val="000000"/>
                <w:sz w:val="18"/>
                <w:szCs w:val="18"/>
                <w:lang w:val="en-US"/>
              </w:rPr>
            </w:pPr>
            <w:proofErr w:type="spellStart"/>
            <w:r w:rsidRPr="00210421">
              <w:rPr>
                <w:rFonts w:eastAsia="Times New Roman" w:cs="Calibri"/>
                <w:color w:val="000000"/>
                <w:sz w:val="18"/>
                <w:szCs w:val="18"/>
                <w:lang w:val="en-US"/>
              </w:rPr>
              <w:t>IRGiT</w:t>
            </w:r>
            <w:proofErr w:type="spellEnd"/>
            <w:r w:rsidRPr="00210421">
              <w:rPr>
                <w:rFonts w:eastAsia="Times New Roman" w:cs="Calibri"/>
                <w:color w:val="000000"/>
                <w:sz w:val="18"/>
                <w:szCs w:val="18"/>
                <w:lang w:val="en-US"/>
              </w:rPr>
              <w:t xml:space="preserve"> Izba </w:t>
            </w:r>
            <w:proofErr w:type="spellStart"/>
            <w:r w:rsidRPr="00210421">
              <w:rPr>
                <w:rFonts w:eastAsia="Times New Roman" w:cs="Calibri"/>
                <w:color w:val="000000"/>
                <w:sz w:val="18"/>
                <w:szCs w:val="18"/>
                <w:lang w:val="en-US"/>
              </w:rPr>
              <w:t>Rozliczeniowa</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Giełd</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Towarowych</w:t>
            </w:r>
            <w:proofErr w:type="spellEnd"/>
            <w:r w:rsidRPr="00210421">
              <w:rPr>
                <w:rFonts w:eastAsia="Times New Roman" w:cs="Calibri"/>
                <w:color w:val="000000"/>
                <w:sz w:val="18"/>
                <w:szCs w:val="18"/>
                <w:lang w:val="en-US"/>
              </w:rPr>
              <w:t xml:space="preserve"> S.A (Commodity Clearing House</w:t>
            </w:r>
          </w:p>
        </w:tc>
      </w:tr>
      <w:tr w:rsidR="00BF00F4" w:rsidRPr="00F238A6" w14:paraId="0B5C5266" w14:textId="77777777" w:rsidTr="00576B53">
        <w:trPr>
          <w:trHeight w:val="300"/>
        </w:trPr>
        <w:tc>
          <w:tcPr>
            <w:tcW w:w="9072" w:type="dxa"/>
            <w:tcBorders>
              <w:top w:val="nil"/>
              <w:left w:val="nil"/>
              <w:bottom w:val="nil"/>
              <w:right w:val="nil"/>
            </w:tcBorders>
            <w:noWrap/>
            <w:vAlign w:val="bottom"/>
            <w:hideMark/>
          </w:tcPr>
          <w:p w14:paraId="7DB45CE2"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Irish Paper Clearing Company (IPCC)</w:t>
            </w:r>
          </w:p>
        </w:tc>
      </w:tr>
      <w:tr w:rsidR="00BF00F4" w:rsidRPr="00F22F68" w14:paraId="6010062D" w14:textId="77777777" w:rsidTr="00576B53">
        <w:trPr>
          <w:trHeight w:val="300"/>
        </w:trPr>
        <w:tc>
          <w:tcPr>
            <w:tcW w:w="9072" w:type="dxa"/>
            <w:tcBorders>
              <w:top w:val="nil"/>
              <w:left w:val="nil"/>
              <w:bottom w:val="nil"/>
              <w:right w:val="nil"/>
            </w:tcBorders>
            <w:noWrap/>
            <w:vAlign w:val="bottom"/>
            <w:hideMark/>
          </w:tcPr>
          <w:p w14:paraId="6FD1D61D"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Irish</w:t>
            </w:r>
            <w:proofErr w:type="spellEnd"/>
            <w:r w:rsidRPr="00F22F68">
              <w:rPr>
                <w:rFonts w:eastAsia="Times New Roman" w:cs="Calibri"/>
                <w:color w:val="000000"/>
                <w:sz w:val="18"/>
                <w:szCs w:val="18"/>
              </w:rPr>
              <w:t xml:space="preserve"> Stock Exchange </w:t>
            </w:r>
            <w:proofErr w:type="spellStart"/>
            <w:r w:rsidRPr="00F22F68">
              <w:rPr>
                <w:rFonts w:eastAsia="Times New Roman" w:cs="Calibri"/>
                <w:color w:val="000000"/>
                <w:sz w:val="18"/>
                <w:szCs w:val="18"/>
              </w:rPr>
              <w:t>Ltd</w:t>
            </w:r>
            <w:proofErr w:type="spellEnd"/>
          </w:p>
        </w:tc>
      </w:tr>
      <w:tr w:rsidR="00BF00F4" w:rsidRPr="00F22F68" w14:paraId="187F462D" w14:textId="77777777" w:rsidTr="00576B53">
        <w:trPr>
          <w:trHeight w:val="300"/>
        </w:trPr>
        <w:tc>
          <w:tcPr>
            <w:tcW w:w="9072" w:type="dxa"/>
            <w:tcBorders>
              <w:top w:val="nil"/>
              <w:left w:val="nil"/>
              <w:bottom w:val="nil"/>
              <w:right w:val="nil"/>
            </w:tcBorders>
            <w:noWrap/>
            <w:vAlign w:val="bottom"/>
            <w:hideMark/>
          </w:tcPr>
          <w:p w14:paraId="61C9DF10"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Japan</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Securities</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Corporation</w:t>
            </w:r>
            <w:proofErr w:type="spellEnd"/>
          </w:p>
        </w:tc>
      </w:tr>
      <w:tr w:rsidR="00BF00F4" w:rsidRPr="00F22F68" w14:paraId="427B9DDB" w14:textId="77777777" w:rsidTr="00576B53">
        <w:trPr>
          <w:trHeight w:val="300"/>
        </w:trPr>
        <w:tc>
          <w:tcPr>
            <w:tcW w:w="9072" w:type="dxa"/>
            <w:tcBorders>
              <w:top w:val="nil"/>
              <w:left w:val="nil"/>
              <w:bottom w:val="nil"/>
              <w:right w:val="nil"/>
            </w:tcBorders>
            <w:noWrap/>
            <w:vAlign w:val="bottom"/>
            <w:hideMark/>
          </w:tcPr>
          <w:p w14:paraId="65B3EC42"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JASDEC</w:t>
            </w:r>
          </w:p>
        </w:tc>
      </w:tr>
      <w:tr w:rsidR="00BF00F4" w:rsidRPr="00F22F68" w14:paraId="5BF27461" w14:textId="77777777" w:rsidTr="00576B53">
        <w:trPr>
          <w:trHeight w:val="300"/>
        </w:trPr>
        <w:tc>
          <w:tcPr>
            <w:tcW w:w="9072" w:type="dxa"/>
            <w:tcBorders>
              <w:top w:val="nil"/>
              <w:left w:val="nil"/>
              <w:bottom w:val="nil"/>
              <w:right w:val="nil"/>
            </w:tcBorders>
            <w:noWrap/>
            <w:vAlign w:val="bottom"/>
            <w:hideMark/>
          </w:tcPr>
          <w:p w14:paraId="1B63BA65"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JASDEC DVP</w:t>
            </w:r>
          </w:p>
        </w:tc>
      </w:tr>
      <w:tr w:rsidR="00BF00F4" w:rsidRPr="00F22F68" w14:paraId="43FA81D0" w14:textId="77777777" w:rsidTr="00576B53">
        <w:trPr>
          <w:trHeight w:val="300"/>
        </w:trPr>
        <w:tc>
          <w:tcPr>
            <w:tcW w:w="9072" w:type="dxa"/>
            <w:tcBorders>
              <w:top w:val="nil"/>
              <w:left w:val="nil"/>
              <w:bottom w:val="nil"/>
              <w:right w:val="nil"/>
            </w:tcBorders>
            <w:noWrap/>
            <w:vAlign w:val="bottom"/>
            <w:hideMark/>
          </w:tcPr>
          <w:p w14:paraId="7F67963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JCC</w:t>
            </w:r>
          </w:p>
        </w:tc>
      </w:tr>
      <w:tr w:rsidR="00BF00F4" w:rsidRPr="00F22F68" w14:paraId="146DC7F4" w14:textId="77777777" w:rsidTr="00576B53">
        <w:trPr>
          <w:trHeight w:val="300"/>
        </w:trPr>
        <w:tc>
          <w:tcPr>
            <w:tcW w:w="9072" w:type="dxa"/>
            <w:tcBorders>
              <w:top w:val="nil"/>
              <w:left w:val="nil"/>
              <w:bottom w:val="nil"/>
              <w:right w:val="nil"/>
            </w:tcBorders>
            <w:noWrap/>
            <w:vAlign w:val="bottom"/>
            <w:hideMark/>
          </w:tcPr>
          <w:p w14:paraId="7C52ED7D"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KDPW S.A.</w:t>
            </w:r>
          </w:p>
        </w:tc>
      </w:tr>
      <w:tr w:rsidR="00BF00F4" w:rsidRPr="00F22F68" w14:paraId="5BB53D5C" w14:textId="77777777" w:rsidTr="00576B53">
        <w:trPr>
          <w:trHeight w:val="300"/>
        </w:trPr>
        <w:tc>
          <w:tcPr>
            <w:tcW w:w="9072" w:type="dxa"/>
            <w:tcBorders>
              <w:top w:val="nil"/>
              <w:left w:val="nil"/>
              <w:bottom w:val="nil"/>
              <w:right w:val="nil"/>
            </w:tcBorders>
            <w:noWrap/>
            <w:vAlign w:val="bottom"/>
            <w:hideMark/>
          </w:tcPr>
          <w:p w14:paraId="529C92B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KDPW_CCP S.A.</w:t>
            </w:r>
          </w:p>
        </w:tc>
      </w:tr>
      <w:tr w:rsidR="00BF00F4" w:rsidRPr="00F22F68" w14:paraId="3F1480EB" w14:textId="77777777" w:rsidTr="00576B53">
        <w:trPr>
          <w:trHeight w:val="300"/>
        </w:trPr>
        <w:tc>
          <w:tcPr>
            <w:tcW w:w="9072" w:type="dxa"/>
            <w:tcBorders>
              <w:top w:val="nil"/>
              <w:left w:val="nil"/>
              <w:bottom w:val="nil"/>
              <w:right w:val="nil"/>
            </w:tcBorders>
            <w:noWrap/>
            <w:vAlign w:val="bottom"/>
            <w:hideMark/>
          </w:tcPr>
          <w:p w14:paraId="52FFEC2E"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KDPW-TR</w:t>
            </w:r>
          </w:p>
        </w:tc>
      </w:tr>
      <w:tr w:rsidR="00BF00F4" w:rsidRPr="00F22F68" w14:paraId="48F70749" w14:textId="77777777" w:rsidTr="00576B53">
        <w:trPr>
          <w:trHeight w:val="300"/>
        </w:trPr>
        <w:tc>
          <w:tcPr>
            <w:tcW w:w="9072" w:type="dxa"/>
            <w:tcBorders>
              <w:top w:val="nil"/>
              <w:left w:val="nil"/>
              <w:bottom w:val="nil"/>
              <w:right w:val="nil"/>
            </w:tcBorders>
            <w:noWrap/>
            <w:vAlign w:val="bottom"/>
            <w:hideMark/>
          </w:tcPr>
          <w:p w14:paraId="10A299E8"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KELER CCP</w:t>
            </w:r>
          </w:p>
        </w:tc>
      </w:tr>
      <w:tr w:rsidR="00BF00F4" w:rsidRPr="00F22F68" w14:paraId="60E2992D" w14:textId="77777777" w:rsidTr="00576B53">
        <w:trPr>
          <w:trHeight w:val="300"/>
        </w:trPr>
        <w:tc>
          <w:tcPr>
            <w:tcW w:w="9072" w:type="dxa"/>
            <w:tcBorders>
              <w:top w:val="nil"/>
              <w:left w:val="nil"/>
              <w:bottom w:val="nil"/>
              <w:right w:val="nil"/>
            </w:tcBorders>
            <w:noWrap/>
            <w:vAlign w:val="bottom"/>
            <w:hideMark/>
          </w:tcPr>
          <w:p w14:paraId="47DF6997"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KELER CSD</w:t>
            </w:r>
          </w:p>
        </w:tc>
      </w:tr>
      <w:tr w:rsidR="00BF00F4" w:rsidRPr="00F22F68" w14:paraId="5D8A5D24" w14:textId="77777777" w:rsidTr="00576B53">
        <w:trPr>
          <w:trHeight w:val="300"/>
        </w:trPr>
        <w:tc>
          <w:tcPr>
            <w:tcW w:w="9072" w:type="dxa"/>
            <w:tcBorders>
              <w:top w:val="nil"/>
              <w:left w:val="nil"/>
              <w:bottom w:val="nil"/>
              <w:right w:val="nil"/>
            </w:tcBorders>
            <w:noWrap/>
            <w:vAlign w:val="bottom"/>
            <w:hideMark/>
          </w:tcPr>
          <w:p w14:paraId="701B2C9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KRONOS</w:t>
            </w:r>
          </w:p>
        </w:tc>
      </w:tr>
      <w:tr w:rsidR="00BF00F4" w:rsidRPr="00F22F68" w14:paraId="2635DBA9" w14:textId="77777777" w:rsidTr="00576B53">
        <w:trPr>
          <w:trHeight w:val="300"/>
        </w:trPr>
        <w:tc>
          <w:tcPr>
            <w:tcW w:w="9072" w:type="dxa"/>
            <w:tcBorders>
              <w:top w:val="nil"/>
              <w:left w:val="nil"/>
              <w:bottom w:val="nil"/>
              <w:right w:val="nil"/>
            </w:tcBorders>
            <w:noWrap/>
            <w:vAlign w:val="bottom"/>
            <w:hideMark/>
          </w:tcPr>
          <w:p w14:paraId="20242897"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KUBAS</w:t>
            </w:r>
          </w:p>
        </w:tc>
      </w:tr>
      <w:tr w:rsidR="00BF00F4" w:rsidRPr="00F238A6" w14:paraId="45BA9399" w14:textId="77777777" w:rsidTr="00576B53">
        <w:trPr>
          <w:trHeight w:val="300"/>
        </w:trPr>
        <w:tc>
          <w:tcPr>
            <w:tcW w:w="9072" w:type="dxa"/>
            <w:tcBorders>
              <w:top w:val="nil"/>
              <w:left w:val="nil"/>
              <w:bottom w:val="nil"/>
              <w:right w:val="nil"/>
            </w:tcBorders>
            <w:noWrap/>
            <w:vAlign w:val="bottom"/>
            <w:hideMark/>
          </w:tcPr>
          <w:p w14:paraId="7B389BB6"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Large Value Transfer System (LVTS)</w:t>
            </w:r>
          </w:p>
        </w:tc>
      </w:tr>
      <w:tr w:rsidR="00BF00F4" w:rsidRPr="00F22F68" w14:paraId="6F6BD0C5" w14:textId="77777777" w:rsidTr="00576B53">
        <w:trPr>
          <w:trHeight w:val="300"/>
        </w:trPr>
        <w:tc>
          <w:tcPr>
            <w:tcW w:w="9072" w:type="dxa"/>
            <w:tcBorders>
              <w:top w:val="nil"/>
              <w:left w:val="nil"/>
              <w:bottom w:val="nil"/>
              <w:right w:val="nil"/>
            </w:tcBorders>
            <w:noWrap/>
            <w:vAlign w:val="bottom"/>
            <w:hideMark/>
          </w:tcPr>
          <w:p w14:paraId="21BD1F70"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LCH </w:t>
            </w:r>
            <w:proofErr w:type="spellStart"/>
            <w:r w:rsidRPr="00F22F68">
              <w:rPr>
                <w:rFonts w:eastAsia="Times New Roman" w:cs="Calibri"/>
                <w:color w:val="000000"/>
                <w:sz w:val="18"/>
                <w:szCs w:val="18"/>
              </w:rPr>
              <w:t>Ltd</w:t>
            </w:r>
            <w:proofErr w:type="spellEnd"/>
          </w:p>
        </w:tc>
      </w:tr>
      <w:tr w:rsidR="00BF00F4" w:rsidRPr="00F22F68" w14:paraId="0A88DB3C" w14:textId="77777777" w:rsidTr="00576B53">
        <w:trPr>
          <w:trHeight w:val="300"/>
        </w:trPr>
        <w:tc>
          <w:tcPr>
            <w:tcW w:w="9072" w:type="dxa"/>
            <w:tcBorders>
              <w:top w:val="nil"/>
              <w:left w:val="nil"/>
              <w:bottom w:val="nil"/>
              <w:right w:val="nil"/>
            </w:tcBorders>
            <w:noWrap/>
            <w:vAlign w:val="bottom"/>
            <w:hideMark/>
          </w:tcPr>
          <w:p w14:paraId="1635018A"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LCH SA</w:t>
            </w:r>
          </w:p>
        </w:tc>
      </w:tr>
      <w:tr w:rsidR="00BF00F4" w:rsidRPr="00F22F68" w14:paraId="5F616397" w14:textId="77777777" w:rsidTr="00576B53">
        <w:trPr>
          <w:trHeight w:val="300"/>
        </w:trPr>
        <w:tc>
          <w:tcPr>
            <w:tcW w:w="9072" w:type="dxa"/>
            <w:tcBorders>
              <w:top w:val="nil"/>
              <w:left w:val="nil"/>
              <w:bottom w:val="nil"/>
              <w:right w:val="nil"/>
            </w:tcBorders>
            <w:noWrap/>
            <w:vAlign w:val="bottom"/>
            <w:hideMark/>
          </w:tcPr>
          <w:p w14:paraId="3F4F46F1"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Ljubljana</w:t>
            </w:r>
            <w:proofErr w:type="spellEnd"/>
            <w:r w:rsidRPr="00F22F68">
              <w:rPr>
                <w:rFonts w:eastAsia="Times New Roman" w:cs="Calibri"/>
                <w:color w:val="000000"/>
                <w:sz w:val="18"/>
                <w:szCs w:val="18"/>
              </w:rPr>
              <w:t xml:space="preserve"> Stock Exchange</w:t>
            </w:r>
          </w:p>
        </w:tc>
      </w:tr>
      <w:tr w:rsidR="00BF00F4" w:rsidRPr="00F22F68" w14:paraId="642A0F03" w14:textId="77777777" w:rsidTr="00576B53">
        <w:trPr>
          <w:trHeight w:val="300"/>
        </w:trPr>
        <w:tc>
          <w:tcPr>
            <w:tcW w:w="9072" w:type="dxa"/>
            <w:tcBorders>
              <w:top w:val="nil"/>
              <w:left w:val="nil"/>
              <w:bottom w:val="nil"/>
              <w:right w:val="nil"/>
            </w:tcBorders>
            <w:noWrap/>
            <w:vAlign w:val="bottom"/>
            <w:hideMark/>
          </w:tcPr>
          <w:p w14:paraId="3636821B"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LME Clear </w:t>
            </w:r>
            <w:proofErr w:type="spellStart"/>
            <w:r w:rsidRPr="00F22F68">
              <w:rPr>
                <w:rFonts w:eastAsia="Times New Roman" w:cs="Calibri"/>
                <w:color w:val="000000"/>
                <w:sz w:val="18"/>
                <w:szCs w:val="18"/>
              </w:rPr>
              <w:t>Limited</w:t>
            </w:r>
            <w:proofErr w:type="spellEnd"/>
          </w:p>
        </w:tc>
      </w:tr>
      <w:tr w:rsidR="00BF00F4" w:rsidRPr="00F238A6" w14:paraId="4E0F207B" w14:textId="77777777" w:rsidTr="00576B53">
        <w:trPr>
          <w:trHeight w:val="300"/>
        </w:trPr>
        <w:tc>
          <w:tcPr>
            <w:tcW w:w="9072" w:type="dxa"/>
            <w:tcBorders>
              <w:top w:val="nil"/>
              <w:left w:val="nil"/>
              <w:bottom w:val="nil"/>
              <w:right w:val="nil"/>
            </w:tcBorders>
            <w:noWrap/>
            <w:vAlign w:val="bottom"/>
            <w:hideMark/>
          </w:tcPr>
          <w:p w14:paraId="3C8ED1B0"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London Stock Exchange Ltd (LSE)</w:t>
            </w:r>
          </w:p>
        </w:tc>
      </w:tr>
      <w:tr w:rsidR="00BF00F4" w:rsidRPr="00F22F68" w14:paraId="71B92B4D" w14:textId="77777777" w:rsidTr="00576B53">
        <w:trPr>
          <w:trHeight w:val="300"/>
        </w:trPr>
        <w:tc>
          <w:tcPr>
            <w:tcW w:w="9072" w:type="dxa"/>
            <w:tcBorders>
              <w:top w:val="nil"/>
              <w:left w:val="nil"/>
              <w:bottom w:val="nil"/>
              <w:right w:val="nil"/>
            </w:tcBorders>
            <w:noWrap/>
            <w:vAlign w:val="bottom"/>
            <w:hideMark/>
          </w:tcPr>
          <w:p w14:paraId="355DFCD4"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LUX CSD</w:t>
            </w:r>
          </w:p>
        </w:tc>
      </w:tr>
      <w:tr w:rsidR="00BF00F4" w:rsidRPr="00F22F68" w14:paraId="2AE65D2B" w14:textId="77777777" w:rsidTr="00576B53">
        <w:trPr>
          <w:trHeight w:val="300"/>
        </w:trPr>
        <w:tc>
          <w:tcPr>
            <w:tcW w:w="9072" w:type="dxa"/>
            <w:tcBorders>
              <w:top w:val="nil"/>
              <w:left w:val="nil"/>
              <w:bottom w:val="nil"/>
              <w:right w:val="nil"/>
            </w:tcBorders>
            <w:noWrap/>
            <w:vAlign w:val="bottom"/>
            <w:hideMark/>
          </w:tcPr>
          <w:p w14:paraId="67BF2474"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Malta </w:t>
            </w:r>
            <w:proofErr w:type="spellStart"/>
            <w:r w:rsidRPr="00F22F68">
              <w:rPr>
                <w:rFonts w:eastAsia="Times New Roman" w:cs="Calibri"/>
                <w:color w:val="000000"/>
                <w:sz w:val="18"/>
                <w:szCs w:val="18"/>
              </w:rPr>
              <w:t>Clearing</w:t>
            </w:r>
            <w:proofErr w:type="spellEnd"/>
            <w:r w:rsidRPr="00F22F68">
              <w:rPr>
                <w:rFonts w:eastAsia="Times New Roman" w:cs="Calibri"/>
                <w:color w:val="000000"/>
                <w:sz w:val="18"/>
                <w:szCs w:val="18"/>
              </w:rPr>
              <w:t xml:space="preserve"> House</w:t>
            </w:r>
          </w:p>
        </w:tc>
      </w:tr>
      <w:tr w:rsidR="00BF00F4" w:rsidRPr="00F22F68" w14:paraId="716374B4" w14:textId="77777777" w:rsidTr="00576B53">
        <w:trPr>
          <w:trHeight w:val="300"/>
        </w:trPr>
        <w:tc>
          <w:tcPr>
            <w:tcW w:w="9072" w:type="dxa"/>
            <w:tcBorders>
              <w:top w:val="nil"/>
              <w:left w:val="nil"/>
              <w:bottom w:val="nil"/>
              <w:right w:val="nil"/>
            </w:tcBorders>
            <w:noWrap/>
            <w:vAlign w:val="bottom"/>
            <w:hideMark/>
          </w:tcPr>
          <w:p w14:paraId="62910B18"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Malta Stock Exchange</w:t>
            </w:r>
          </w:p>
        </w:tc>
      </w:tr>
      <w:tr w:rsidR="00BF00F4" w:rsidRPr="00F22F68" w14:paraId="63FDA88F" w14:textId="77777777" w:rsidTr="00576B53">
        <w:trPr>
          <w:trHeight w:val="300"/>
        </w:trPr>
        <w:tc>
          <w:tcPr>
            <w:tcW w:w="9072" w:type="dxa"/>
            <w:tcBorders>
              <w:top w:val="nil"/>
              <w:left w:val="nil"/>
              <w:bottom w:val="nil"/>
              <w:right w:val="nil"/>
            </w:tcBorders>
            <w:noWrap/>
            <w:vAlign w:val="bottom"/>
            <w:hideMark/>
          </w:tcPr>
          <w:p w14:paraId="0F810731"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Malta Stock Exchange CSD</w:t>
            </w:r>
          </w:p>
        </w:tc>
      </w:tr>
      <w:tr w:rsidR="00BF00F4" w:rsidRPr="00434529" w14:paraId="2CF7E2F1" w14:textId="77777777" w:rsidTr="00576B53">
        <w:trPr>
          <w:trHeight w:val="300"/>
        </w:trPr>
        <w:tc>
          <w:tcPr>
            <w:tcW w:w="9072" w:type="dxa"/>
            <w:tcBorders>
              <w:top w:val="nil"/>
              <w:left w:val="nil"/>
              <w:bottom w:val="nil"/>
              <w:right w:val="nil"/>
            </w:tcBorders>
            <w:noWrap/>
            <w:vAlign w:val="bottom"/>
            <w:hideMark/>
          </w:tcPr>
          <w:p w14:paraId="153853EA" w14:textId="77777777" w:rsidR="00BF00F4" w:rsidRPr="00A31D3C" w:rsidRDefault="00BF00F4" w:rsidP="00576B53">
            <w:pPr>
              <w:rPr>
                <w:rFonts w:eastAsia="Times New Roman" w:cs="Calibri"/>
                <w:color w:val="000000"/>
                <w:sz w:val="18"/>
                <w:szCs w:val="18"/>
                <w:lang w:val="es-ES"/>
              </w:rPr>
            </w:pPr>
            <w:r w:rsidRPr="00A31D3C">
              <w:rPr>
                <w:rFonts w:eastAsia="Times New Roman" w:cs="Calibri"/>
                <w:color w:val="000000"/>
                <w:sz w:val="18"/>
                <w:szCs w:val="18"/>
                <w:lang w:val="es-ES"/>
              </w:rPr>
              <w:t>MEFF Sociedad Rectora de Productos Derivados S. A.</w:t>
            </w:r>
          </w:p>
        </w:tc>
      </w:tr>
      <w:tr w:rsidR="00BF00F4" w:rsidRPr="00434529" w14:paraId="2F7FD5B3" w14:textId="77777777" w:rsidTr="00576B53">
        <w:trPr>
          <w:trHeight w:val="300"/>
        </w:trPr>
        <w:tc>
          <w:tcPr>
            <w:tcW w:w="9072" w:type="dxa"/>
            <w:tcBorders>
              <w:top w:val="nil"/>
              <w:left w:val="nil"/>
              <w:bottom w:val="nil"/>
              <w:right w:val="nil"/>
            </w:tcBorders>
            <w:noWrap/>
            <w:vAlign w:val="bottom"/>
            <w:hideMark/>
          </w:tcPr>
          <w:p w14:paraId="3CCA1476" w14:textId="77777777" w:rsidR="00BF00F4" w:rsidRPr="00A31D3C" w:rsidRDefault="00BF00F4" w:rsidP="00576B53">
            <w:pPr>
              <w:rPr>
                <w:rFonts w:eastAsia="Times New Roman" w:cs="Calibri"/>
                <w:color w:val="000000"/>
                <w:sz w:val="18"/>
                <w:szCs w:val="18"/>
                <w:lang w:val="es-ES"/>
              </w:rPr>
            </w:pPr>
            <w:r w:rsidRPr="00A31D3C">
              <w:rPr>
                <w:rFonts w:eastAsia="Times New Roman" w:cs="Calibri"/>
                <w:color w:val="000000"/>
                <w:sz w:val="18"/>
                <w:szCs w:val="18"/>
                <w:lang w:val="es-ES"/>
              </w:rPr>
              <w:t>Mercados de Deuda Pública en Anotaciones</w:t>
            </w:r>
          </w:p>
        </w:tc>
      </w:tr>
      <w:tr w:rsidR="00BF00F4" w:rsidRPr="00F22F68" w14:paraId="705A8ADD" w14:textId="77777777" w:rsidTr="00576B53">
        <w:trPr>
          <w:trHeight w:val="300"/>
        </w:trPr>
        <w:tc>
          <w:tcPr>
            <w:tcW w:w="9072" w:type="dxa"/>
            <w:tcBorders>
              <w:top w:val="nil"/>
              <w:left w:val="nil"/>
              <w:bottom w:val="nil"/>
              <w:right w:val="nil"/>
            </w:tcBorders>
            <w:noWrap/>
            <w:vAlign w:val="bottom"/>
            <w:hideMark/>
          </w:tcPr>
          <w:p w14:paraId="5635FDE8"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Monte </w:t>
            </w:r>
            <w:proofErr w:type="spellStart"/>
            <w:r w:rsidRPr="00F22F68">
              <w:rPr>
                <w:rFonts w:eastAsia="Times New Roman" w:cs="Calibri"/>
                <w:color w:val="000000"/>
                <w:sz w:val="18"/>
                <w:szCs w:val="18"/>
              </w:rPr>
              <w:t>Titoli</w:t>
            </w:r>
            <w:proofErr w:type="spellEnd"/>
          </w:p>
        </w:tc>
      </w:tr>
      <w:tr w:rsidR="00BF00F4" w:rsidRPr="00F22F68" w14:paraId="578C35BF" w14:textId="77777777" w:rsidTr="00576B53">
        <w:trPr>
          <w:trHeight w:val="300"/>
        </w:trPr>
        <w:tc>
          <w:tcPr>
            <w:tcW w:w="9072" w:type="dxa"/>
            <w:tcBorders>
              <w:top w:val="nil"/>
              <w:left w:val="nil"/>
              <w:bottom w:val="nil"/>
              <w:right w:val="nil"/>
            </w:tcBorders>
            <w:noWrap/>
            <w:vAlign w:val="bottom"/>
            <w:hideMark/>
          </w:tcPr>
          <w:p w14:paraId="5C8E3B77"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MTS</w:t>
            </w:r>
          </w:p>
        </w:tc>
      </w:tr>
      <w:tr w:rsidR="00BF00F4" w:rsidRPr="00F238A6" w14:paraId="6D642874" w14:textId="77777777" w:rsidTr="00576B53">
        <w:trPr>
          <w:trHeight w:val="300"/>
        </w:trPr>
        <w:tc>
          <w:tcPr>
            <w:tcW w:w="9072" w:type="dxa"/>
            <w:tcBorders>
              <w:top w:val="nil"/>
              <w:left w:val="nil"/>
              <w:bottom w:val="nil"/>
              <w:right w:val="nil"/>
            </w:tcBorders>
            <w:noWrap/>
            <w:vAlign w:val="bottom"/>
            <w:hideMark/>
          </w:tcPr>
          <w:p w14:paraId="38F6C158" w14:textId="77777777" w:rsidR="00BF00F4" w:rsidRPr="00210421" w:rsidRDefault="00BF00F4" w:rsidP="00576B53">
            <w:pPr>
              <w:rPr>
                <w:rFonts w:eastAsia="Times New Roman" w:cs="Calibri"/>
                <w:color w:val="000000"/>
                <w:sz w:val="18"/>
                <w:szCs w:val="18"/>
                <w:lang w:val="en-US"/>
              </w:rPr>
            </w:pPr>
            <w:proofErr w:type="spellStart"/>
            <w:r w:rsidRPr="00210421">
              <w:rPr>
                <w:rFonts w:eastAsia="Times New Roman" w:cs="Calibri"/>
                <w:color w:val="000000"/>
                <w:sz w:val="18"/>
                <w:szCs w:val="18"/>
                <w:lang w:val="en-US"/>
              </w:rPr>
              <w:t>Národný</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Centralny</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Depositar</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Cennych</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Papierov</w:t>
            </w:r>
            <w:proofErr w:type="spellEnd"/>
            <w:r w:rsidRPr="00210421">
              <w:rPr>
                <w:rFonts w:eastAsia="Times New Roman" w:cs="Calibri"/>
                <w:color w:val="000000"/>
                <w:sz w:val="18"/>
                <w:szCs w:val="18"/>
                <w:lang w:val="en-US"/>
              </w:rPr>
              <w:t xml:space="preserve"> (</w:t>
            </w:r>
            <w:proofErr w:type="spellStart"/>
            <w:r w:rsidRPr="00210421">
              <w:rPr>
                <w:rFonts w:eastAsia="Times New Roman" w:cs="Calibri"/>
                <w:color w:val="000000"/>
                <w:sz w:val="18"/>
                <w:szCs w:val="18"/>
                <w:lang w:val="en-US"/>
              </w:rPr>
              <w:t>nCDCP</w:t>
            </w:r>
            <w:proofErr w:type="spellEnd"/>
            <w:r w:rsidRPr="00210421">
              <w:rPr>
                <w:rFonts w:eastAsia="Times New Roman" w:cs="Calibri"/>
                <w:color w:val="000000"/>
                <w:sz w:val="18"/>
                <w:szCs w:val="18"/>
                <w:lang w:val="en-US"/>
              </w:rPr>
              <w:t>) as</w:t>
            </w:r>
          </w:p>
        </w:tc>
      </w:tr>
      <w:tr w:rsidR="00BF00F4" w:rsidRPr="00F22F68" w14:paraId="239BF1FF" w14:textId="77777777" w:rsidTr="00576B53">
        <w:trPr>
          <w:trHeight w:val="300"/>
        </w:trPr>
        <w:tc>
          <w:tcPr>
            <w:tcW w:w="9072" w:type="dxa"/>
            <w:tcBorders>
              <w:top w:val="nil"/>
              <w:left w:val="nil"/>
              <w:bottom w:val="nil"/>
              <w:right w:val="nil"/>
            </w:tcBorders>
            <w:noWrap/>
            <w:vAlign w:val="bottom"/>
            <w:hideMark/>
          </w:tcPr>
          <w:p w14:paraId="3670E207"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Nasdaq CSD SE</w:t>
            </w:r>
          </w:p>
        </w:tc>
      </w:tr>
      <w:tr w:rsidR="00BF00F4" w:rsidRPr="00F22F68" w14:paraId="75E7C8CF" w14:textId="77777777" w:rsidTr="00576B53">
        <w:trPr>
          <w:trHeight w:val="300"/>
        </w:trPr>
        <w:tc>
          <w:tcPr>
            <w:tcW w:w="9072" w:type="dxa"/>
            <w:tcBorders>
              <w:top w:val="nil"/>
              <w:left w:val="nil"/>
              <w:bottom w:val="nil"/>
              <w:right w:val="nil"/>
            </w:tcBorders>
            <w:noWrap/>
            <w:vAlign w:val="bottom"/>
            <w:hideMark/>
          </w:tcPr>
          <w:p w14:paraId="309F9A1B"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Nasdaq Helsinki</w:t>
            </w:r>
          </w:p>
        </w:tc>
      </w:tr>
      <w:tr w:rsidR="00BF00F4" w:rsidRPr="00F22F68" w14:paraId="6B7685DB" w14:textId="77777777" w:rsidTr="00576B53">
        <w:trPr>
          <w:trHeight w:val="300"/>
        </w:trPr>
        <w:tc>
          <w:tcPr>
            <w:tcW w:w="9072" w:type="dxa"/>
            <w:tcBorders>
              <w:top w:val="nil"/>
              <w:left w:val="nil"/>
              <w:bottom w:val="nil"/>
              <w:right w:val="nil"/>
            </w:tcBorders>
            <w:noWrap/>
            <w:vAlign w:val="bottom"/>
            <w:hideMark/>
          </w:tcPr>
          <w:p w14:paraId="580FA695"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Nasdaq OMX </w:t>
            </w:r>
            <w:proofErr w:type="spellStart"/>
            <w:r w:rsidRPr="00F22F68">
              <w:rPr>
                <w:rFonts w:eastAsia="Times New Roman" w:cs="Calibri"/>
                <w:color w:val="000000"/>
                <w:sz w:val="18"/>
                <w:szCs w:val="18"/>
              </w:rPr>
              <w:t>Clearing</w:t>
            </w:r>
            <w:proofErr w:type="spellEnd"/>
          </w:p>
        </w:tc>
      </w:tr>
      <w:tr w:rsidR="00BF00F4" w:rsidRPr="00F22F68" w14:paraId="61B8944F" w14:textId="77777777" w:rsidTr="00576B53">
        <w:trPr>
          <w:trHeight w:val="300"/>
        </w:trPr>
        <w:tc>
          <w:tcPr>
            <w:tcW w:w="9072" w:type="dxa"/>
            <w:tcBorders>
              <w:top w:val="nil"/>
              <w:left w:val="nil"/>
              <w:bottom w:val="nil"/>
              <w:right w:val="nil"/>
            </w:tcBorders>
            <w:noWrap/>
            <w:vAlign w:val="bottom"/>
            <w:hideMark/>
          </w:tcPr>
          <w:p w14:paraId="3CFA19B2"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Nasdaq OMX </w:t>
            </w:r>
            <w:proofErr w:type="spellStart"/>
            <w:r w:rsidRPr="00F22F68">
              <w:rPr>
                <w:rFonts w:eastAsia="Times New Roman" w:cs="Calibri"/>
                <w:color w:val="000000"/>
                <w:sz w:val="18"/>
                <w:szCs w:val="18"/>
              </w:rPr>
              <w:t>Stockholm</w:t>
            </w:r>
            <w:proofErr w:type="spellEnd"/>
          </w:p>
        </w:tc>
      </w:tr>
      <w:tr w:rsidR="00BF00F4" w:rsidRPr="00F238A6" w14:paraId="0A6C2CA9" w14:textId="77777777" w:rsidTr="00576B53">
        <w:trPr>
          <w:trHeight w:val="300"/>
        </w:trPr>
        <w:tc>
          <w:tcPr>
            <w:tcW w:w="9072" w:type="dxa"/>
            <w:tcBorders>
              <w:top w:val="nil"/>
              <w:left w:val="nil"/>
              <w:bottom w:val="nil"/>
              <w:right w:val="nil"/>
            </w:tcBorders>
            <w:noWrap/>
            <w:vAlign w:val="bottom"/>
            <w:hideMark/>
          </w:tcPr>
          <w:p w14:paraId="011E81F4"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National Securities Clearing Corp. (NSCC)</w:t>
            </w:r>
          </w:p>
        </w:tc>
      </w:tr>
      <w:tr w:rsidR="00BF00F4" w:rsidRPr="00F22F68" w14:paraId="7AEB7217" w14:textId="77777777" w:rsidTr="00576B53">
        <w:trPr>
          <w:trHeight w:val="300"/>
        </w:trPr>
        <w:tc>
          <w:tcPr>
            <w:tcW w:w="9072" w:type="dxa"/>
            <w:tcBorders>
              <w:top w:val="nil"/>
              <w:left w:val="nil"/>
              <w:bottom w:val="nil"/>
              <w:right w:val="nil"/>
            </w:tcBorders>
            <w:noWrap/>
            <w:vAlign w:val="bottom"/>
            <w:hideMark/>
          </w:tcPr>
          <w:p w14:paraId="72F9F9A7"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lastRenderedPageBreak/>
              <w:t>NBB SSS</w:t>
            </w:r>
          </w:p>
        </w:tc>
      </w:tr>
      <w:tr w:rsidR="00BF00F4" w:rsidRPr="00F238A6" w14:paraId="42ACC71D" w14:textId="77777777" w:rsidTr="00576B53">
        <w:trPr>
          <w:trHeight w:val="300"/>
        </w:trPr>
        <w:tc>
          <w:tcPr>
            <w:tcW w:w="9072" w:type="dxa"/>
            <w:tcBorders>
              <w:top w:val="nil"/>
              <w:left w:val="nil"/>
              <w:bottom w:val="nil"/>
              <w:right w:val="nil"/>
            </w:tcBorders>
            <w:noWrap/>
            <w:vAlign w:val="bottom"/>
            <w:hideMark/>
          </w:tcPr>
          <w:p w14:paraId="3584CCAD"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NBP bills and treasury bills Register</w:t>
            </w:r>
          </w:p>
        </w:tc>
      </w:tr>
      <w:tr w:rsidR="00BF00F4" w:rsidRPr="00F238A6" w14:paraId="5F06414C" w14:textId="77777777" w:rsidTr="00576B53">
        <w:trPr>
          <w:trHeight w:val="300"/>
        </w:trPr>
        <w:tc>
          <w:tcPr>
            <w:tcW w:w="9072" w:type="dxa"/>
            <w:tcBorders>
              <w:top w:val="nil"/>
              <w:left w:val="nil"/>
              <w:bottom w:val="nil"/>
              <w:right w:val="nil"/>
            </w:tcBorders>
            <w:noWrap/>
            <w:vAlign w:val="bottom"/>
            <w:hideMark/>
          </w:tcPr>
          <w:p w14:paraId="795F7B33"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NEX Abide Trade Repository AB</w:t>
            </w:r>
          </w:p>
        </w:tc>
      </w:tr>
      <w:tr w:rsidR="00BF00F4" w:rsidRPr="00F238A6" w14:paraId="457B7877" w14:textId="77777777" w:rsidTr="00576B53">
        <w:trPr>
          <w:trHeight w:val="300"/>
        </w:trPr>
        <w:tc>
          <w:tcPr>
            <w:tcW w:w="9072" w:type="dxa"/>
            <w:tcBorders>
              <w:top w:val="nil"/>
              <w:left w:val="nil"/>
              <w:bottom w:val="nil"/>
              <w:right w:val="nil"/>
            </w:tcBorders>
            <w:noWrap/>
            <w:vAlign w:val="bottom"/>
            <w:hideMark/>
          </w:tcPr>
          <w:p w14:paraId="0E03DE7F"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NICS (Norwegian Inter Bank Clearing System)</w:t>
            </w:r>
          </w:p>
        </w:tc>
      </w:tr>
      <w:tr w:rsidR="00BF00F4" w:rsidRPr="00F238A6" w14:paraId="41CC42CC" w14:textId="77777777" w:rsidTr="00576B53">
        <w:trPr>
          <w:trHeight w:val="300"/>
        </w:trPr>
        <w:tc>
          <w:tcPr>
            <w:tcW w:w="9072" w:type="dxa"/>
            <w:tcBorders>
              <w:top w:val="nil"/>
              <w:left w:val="nil"/>
              <w:bottom w:val="nil"/>
              <w:right w:val="nil"/>
            </w:tcBorders>
            <w:noWrap/>
            <w:vAlign w:val="bottom"/>
            <w:hideMark/>
          </w:tcPr>
          <w:p w14:paraId="2CC94E44"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 xml:space="preserve">NKS </w:t>
            </w:r>
            <w:proofErr w:type="gramStart"/>
            <w:r w:rsidRPr="00210421">
              <w:rPr>
                <w:rFonts w:eastAsia="Times New Roman" w:cs="Calibri"/>
                <w:color w:val="000000"/>
                <w:sz w:val="18"/>
                <w:szCs w:val="18"/>
                <w:lang w:val="en-US"/>
              </w:rPr>
              <w:t>( National</w:t>
            </w:r>
            <w:proofErr w:type="gramEnd"/>
            <w:r w:rsidRPr="00210421">
              <w:rPr>
                <w:rFonts w:eastAsia="Times New Roman" w:cs="Calibri"/>
                <w:color w:val="000000"/>
                <w:sz w:val="18"/>
                <w:szCs w:val="18"/>
                <w:lang w:val="en-US"/>
              </w:rPr>
              <w:t xml:space="preserve"> Clearing System)/</w:t>
            </w:r>
            <w:proofErr w:type="spellStart"/>
            <w:r w:rsidRPr="00210421">
              <w:rPr>
                <w:rFonts w:eastAsia="Times New Roman" w:cs="Calibri"/>
                <w:color w:val="000000"/>
                <w:sz w:val="18"/>
                <w:szCs w:val="18"/>
                <w:lang w:val="en-US"/>
              </w:rPr>
              <w:t>EuroNKS</w:t>
            </w:r>
            <w:proofErr w:type="spellEnd"/>
          </w:p>
        </w:tc>
      </w:tr>
      <w:tr w:rsidR="00BF00F4" w:rsidRPr="00F22F68" w14:paraId="1E15C26B" w14:textId="77777777" w:rsidTr="00576B53">
        <w:trPr>
          <w:trHeight w:val="300"/>
        </w:trPr>
        <w:tc>
          <w:tcPr>
            <w:tcW w:w="9072" w:type="dxa"/>
            <w:tcBorders>
              <w:top w:val="nil"/>
              <w:left w:val="nil"/>
              <w:bottom w:val="nil"/>
              <w:right w:val="nil"/>
            </w:tcBorders>
            <w:noWrap/>
            <w:vAlign w:val="bottom"/>
            <w:hideMark/>
          </w:tcPr>
          <w:p w14:paraId="542B5982"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NYSE Euronext Paris</w:t>
            </w:r>
          </w:p>
        </w:tc>
      </w:tr>
      <w:tr w:rsidR="00BF00F4" w:rsidRPr="00F238A6" w14:paraId="2A790FB0" w14:textId="77777777" w:rsidTr="00576B53">
        <w:trPr>
          <w:trHeight w:val="300"/>
        </w:trPr>
        <w:tc>
          <w:tcPr>
            <w:tcW w:w="9072" w:type="dxa"/>
            <w:tcBorders>
              <w:top w:val="nil"/>
              <w:left w:val="nil"/>
              <w:bottom w:val="nil"/>
              <w:right w:val="nil"/>
            </w:tcBorders>
            <w:noWrap/>
            <w:vAlign w:val="bottom"/>
            <w:hideMark/>
          </w:tcPr>
          <w:p w14:paraId="43D055D1" w14:textId="77777777" w:rsidR="00BF00F4" w:rsidRPr="00210421" w:rsidRDefault="00BF00F4" w:rsidP="00576B53">
            <w:pPr>
              <w:rPr>
                <w:rFonts w:eastAsia="Times New Roman" w:cs="Calibri"/>
                <w:color w:val="000000"/>
                <w:sz w:val="18"/>
                <w:szCs w:val="18"/>
                <w:lang w:val="en-US"/>
              </w:rPr>
            </w:pPr>
            <w:proofErr w:type="spellStart"/>
            <w:r w:rsidRPr="00210421">
              <w:rPr>
                <w:rFonts w:eastAsia="Times New Roman" w:cs="Calibri"/>
                <w:color w:val="000000"/>
                <w:sz w:val="18"/>
                <w:szCs w:val="18"/>
                <w:lang w:val="en-US"/>
              </w:rPr>
              <w:t>OeKB</w:t>
            </w:r>
            <w:proofErr w:type="spellEnd"/>
            <w:r w:rsidRPr="00210421">
              <w:rPr>
                <w:rFonts w:eastAsia="Times New Roman" w:cs="Calibri"/>
                <w:color w:val="000000"/>
                <w:sz w:val="18"/>
                <w:szCs w:val="18"/>
                <w:lang w:val="en-US"/>
              </w:rPr>
              <w:t xml:space="preserve"> CSD GmbH (WSB System)</w:t>
            </w:r>
          </w:p>
        </w:tc>
      </w:tr>
      <w:tr w:rsidR="00BF00F4" w:rsidRPr="00F22F68" w14:paraId="34426880" w14:textId="77777777" w:rsidTr="00576B53">
        <w:trPr>
          <w:trHeight w:val="300"/>
        </w:trPr>
        <w:tc>
          <w:tcPr>
            <w:tcW w:w="9072" w:type="dxa"/>
            <w:tcBorders>
              <w:top w:val="nil"/>
              <w:left w:val="nil"/>
              <w:bottom w:val="nil"/>
              <w:right w:val="nil"/>
            </w:tcBorders>
            <w:noWrap/>
            <w:vAlign w:val="bottom"/>
            <w:hideMark/>
          </w:tcPr>
          <w:p w14:paraId="015BA7D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OMI Clear</w:t>
            </w:r>
          </w:p>
        </w:tc>
      </w:tr>
      <w:tr w:rsidR="00BF00F4" w:rsidRPr="00F22F68" w14:paraId="5E4B719B" w14:textId="77777777" w:rsidTr="00576B53">
        <w:trPr>
          <w:trHeight w:val="300"/>
        </w:trPr>
        <w:tc>
          <w:tcPr>
            <w:tcW w:w="9072" w:type="dxa"/>
            <w:tcBorders>
              <w:top w:val="nil"/>
              <w:left w:val="nil"/>
              <w:bottom w:val="nil"/>
              <w:right w:val="nil"/>
            </w:tcBorders>
            <w:noWrap/>
            <w:vAlign w:val="bottom"/>
            <w:hideMark/>
          </w:tcPr>
          <w:p w14:paraId="72AFD35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POPS</w:t>
            </w:r>
          </w:p>
        </w:tc>
      </w:tr>
      <w:tr w:rsidR="00BF00F4" w:rsidRPr="00F22F68" w14:paraId="5D3BBB90" w14:textId="77777777" w:rsidTr="00576B53">
        <w:trPr>
          <w:trHeight w:val="300"/>
        </w:trPr>
        <w:tc>
          <w:tcPr>
            <w:tcW w:w="9072" w:type="dxa"/>
            <w:tcBorders>
              <w:top w:val="nil"/>
              <w:left w:val="nil"/>
              <w:bottom w:val="nil"/>
              <w:right w:val="nil"/>
            </w:tcBorders>
            <w:noWrap/>
            <w:vAlign w:val="bottom"/>
            <w:hideMark/>
          </w:tcPr>
          <w:p w14:paraId="0F522400"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REGIS</w:t>
            </w:r>
          </w:p>
        </w:tc>
      </w:tr>
      <w:tr w:rsidR="00BF00F4" w:rsidRPr="00F22F68" w14:paraId="6453790C" w14:textId="77777777" w:rsidTr="00576B53">
        <w:trPr>
          <w:trHeight w:val="300"/>
        </w:trPr>
        <w:tc>
          <w:tcPr>
            <w:tcW w:w="9072" w:type="dxa"/>
            <w:tcBorders>
              <w:top w:val="nil"/>
              <w:left w:val="nil"/>
              <w:bottom w:val="nil"/>
              <w:right w:val="nil"/>
            </w:tcBorders>
            <w:noWrap/>
            <w:vAlign w:val="bottom"/>
            <w:hideMark/>
          </w:tcPr>
          <w:p w14:paraId="5797598E"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Regis-TR</w:t>
            </w:r>
          </w:p>
        </w:tc>
      </w:tr>
      <w:tr w:rsidR="00BF00F4" w:rsidRPr="00F238A6" w14:paraId="49BE7BA1" w14:textId="77777777" w:rsidTr="00576B53">
        <w:trPr>
          <w:trHeight w:val="300"/>
        </w:trPr>
        <w:tc>
          <w:tcPr>
            <w:tcW w:w="9072" w:type="dxa"/>
            <w:tcBorders>
              <w:top w:val="nil"/>
              <w:left w:val="nil"/>
              <w:bottom w:val="nil"/>
              <w:right w:val="nil"/>
            </w:tcBorders>
            <w:noWrap/>
            <w:vAlign w:val="bottom"/>
            <w:hideMark/>
          </w:tcPr>
          <w:p w14:paraId="7157A0BE"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 xml:space="preserve">RINGS (Real-time </w:t>
            </w:r>
            <w:proofErr w:type="spellStart"/>
            <w:r w:rsidRPr="00210421">
              <w:rPr>
                <w:rFonts w:eastAsia="Times New Roman" w:cs="Calibri"/>
                <w:color w:val="000000"/>
                <w:sz w:val="18"/>
                <w:szCs w:val="18"/>
                <w:lang w:val="en-US"/>
              </w:rPr>
              <w:t>INterbank</w:t>
            </w:r>
            <w:proofErr w:type="spellEnd"/>
            <w:r w:rsidRPr="00210421">
              <w:rPr>
                <w:rFonts w:eastAsia="Times New Roman" w:cs="Calibri"/>
                <w:color w:val="000000"/>
                <w:sz w:val="18"/>
                <w:szCs w:val="18"/>
                <w:lang w:val="en-US"/>
              </w:rPr>
              <w:t xml:space="preserve"> Gross-settlement System)</w:t>
            </w:r>
          </w:p>
        </w:tc>
      </w:tr>
      <w:tr w:rsidR="00BF00F4" w:rsidRPr="00F22F68" w14:paraId="413B4A9A" w14:textId="77777777" w:rsidTr="00576B53">
        <w:trPr>
          <w:trHeight w:val="300"/>
        </w:trPr>
        <w:tc>
          <w:tcPr>
            <w:tcW w:w="9072" w:type="dxa"/>
            <w:tcBorders>
              <w:top w:val="nil"/>
              <w:left w:val="nil"/>
              <w:bottom w:val="nil"/>
              <w:right w:val="nil"/>
            </w:tcBorders>
            <w:noWrap/>
            <w:vAlign w:val="bottom"/>
            <w:hideMark/>
          </w:tcPr>
          <w:p w14:paraId="2B99AAD4"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RIX</w:t>
            </w:r>
          </w:p>
        </w:tc>
      </w:tr>
      <w:tr w:rsidR="00BF00F4" w:rsidRPr="00F238A6" w14:paraId="7EA96E4B" w14:textId="77777777" w:rsidTr="00576B53">
        <w:trPr>
          <w:trHeight w:val="300"/>
        </w:trPr>
        <w:tc>
          <w:tcPr>
            <w:tcW w:w="9072" w:type="dxa"/>
            <w:tcBorders>
              <w:top w:val="nil"/>
              <w:left w:val="nil"/>
              <w:bottom w:val="nil"/>
              <w:right w:val="nil"/>
            </w:tcBorders>
            <w:noWrap/>
            <w:vAlign w:val="bottom"/>
            <w:hideMark/>
          </w:tcPr>
          <w:p w14:paraId="1AA9C9A5"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RM-SYSTEM Czech Stock Exchange</w:t>
            </w:r>
          </w:p>
        </w:tc>
      </w:tr>
      <w:tr w:rsidR="00BF00F4" w:rsidRPr="00F22F68" w14:paraId="260CA1FA" w14:textId="77777777" w:rsidTr="00576B53">
        <w:trPr>
          <w:trHeight w:val="300"/>
        </w:trPr>
        <w:tc>
          <w:tcPr>
            <w:tcW w:w="9072" w:type="dxa"/>
            <w:tcBorders>
              <w:top w:val="nil"/>
              <w:left w:val="nil"/>
              <w:bottom w:val="nil"/>
              <w:right w:val="nil"/>
            </w:tcBorders>
            <w:noWrap/>
            <w:vAlign w:val="bottom"/>
            <w:hideMark/>
          </w:tcPr>
          <w:p w14:paraId="44F92BA8"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RoClear</w:t>
            </w:r>
            <w:proofErr w:type="spellEnd"/>
          </w:p>
        </w:tc>
      </w:tr>
      <w:tr w:rsidR="00BF00F4" w:rsidRPr="00F22F68" w14:paraId="424BE9A6" w14:textId="77777777" w:rsidTr="00576B53">
        <w:trPr>
          <w:trHeight w:val="300"/>
        </w:trPr>
        <w:tc>
          <w:tcPr>
            <w:tcW w:w="9072" w:type="dxa"/>
            <w:tcBorders>
              <w:top w:val="nil"/>
              <w:left w:val="nil"/>
              <w:bottom w:val="nil"/>
              <w:right w:val="nil"/>
            </w:tcBorders>
            <w:noWrap/>
            <w:vAlign w:val="bottom"/>
            <w:hideMark/>
          </w:tcPr>
          <w:p w14:paraId="4DAEB468"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RPS</w:t>
            </w:r>
          </w:p>
        </w:tc>
      </w:tr>
      <w:tr w:rsidR="00BF00F4" w:rsidRPr="00F22F68" w14:paraId="0218B393" w14:textId="77777777" w:rsidTr="00576B53">
        <w:trPr>
          <w:trHeight w:val="300"/>
        </w:trPr>
        <w:tc>
          <w:tcPr>
            <w:tcW w:w="9072" w:type="dxa"/>
            <w:tcBorders>
              <w:top w:val="nil"/>
              <w:left w:val="nil"/>
              <w:bottom w:val="nil"/>
              <w:right w:val="nil"/>
            </w:tcBorders>
            <w:noWrap/>
            <w:vAlign w:val="bottom"/>
            <w:hideMark/>
          </w:tcPr>
          <w:p w14:paraId="754F6669"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RT1</w:t>
            </w:r>
          </w:p>
        </w:tc>
      </w:tr>
      <w:tr w:rsidR="00BF00F4" w:rsidRPr="00F22F68" w14:paraId="0A7B42DE" w14:textId="77777777" w:rsidTr="00576B53">
        <w:trPr>
          <w:trHeight w:val="300"/>
        </w:trPr>
        <w:tc>
          <w:tcPr>
            <w:tcW w:w="9072" w:type="dxa"/>
            <w:tcBorders>
              <w:top w:val="nil"/>
              <w:left w:val="nil"/>
              <w:bottom w:val="nil"/>
              <w:right w:val="nil"/>
            </w:tcBorders>
            <w:noWrap/>
            <w:vAlign w:val="bottom"/>
            <w:hideMark/>
          </w:tcPr>
          <w:p w14:paraId="08ADB16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SAFIR</w:t>
            </w:r>
          </w:p>
        </w:tc>
      </w:tr>
      <w:tr w:rsidR="00BF00F4" w:rsidRPr="00F22F68" w14:paraId="4759FCB3" w14:textId="77777777" w:rsidTr="00576B53">
        <w:trPr>
          <w:trHeight w:val="300"/>
        </w:trPr>
        <w:tc>
          <w:tcPr>
            <w:tcW w:w="9072" w:type="dxa"/>
            <w:tcBorders>
              <w:top w:val="nil"/>
              <w:left w:val="nil"/>
              <w:bottom w:val="nil"/>
              <w:right w:val="nil"/>
            </w:tcBorders>
            <w:noWrap/>
            <w:vAlign w:val="bottom"/>
            <w:hideMark/>
          </w:tcPr>
          <w:p w14:paraId="35C0FA95"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SENT</w:t>
            </w:r>
          </w:p>
        </w:tc>
      </w:tr>
      <w:tr w:rsidR="00BF00F4" w:rsidRPr="00F22F68" w14:paraId="54C12F18" w14:textId="77777777" w:rsidTr="00576B53">
        <w:trPr>
          <w:trHeight w:val="300"/>
        </w:trPr>
        <w:tc>
          <w:tcPr>
            <w:tcW w:w="9072" w:type="dxa"/>
            <w:tcBorders>
              <w:top w:val="nil"/>
              <w:left w:val="nil"/>
              <w:bottom w:val="nil"/>
              <w:right w:val="nil"/>
            </w:tcBorders>
            <w:noWrap/>
            <w:vAlign w:val="bottom"/>
            <w:hideMark/>
          </w:tcPr>
          <w:p w14:paraId="6240386A"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SICOI</w:t>
            </w:r>
          </w:p>
        </w:tc>
      </w:tr>
      <w:tr w:rsidR="00BF00F4" w:rsidRPr="00F22F68" w14:paraId="210BE6B9" w14:textId="77777777" w:rsidTr="00576B53">
        <w:trPr>
          <w:trHeight w:val="300"/>
        </w:trPr>
        <w:tc>
          <w:tcPr>
            <w:tcW w:w="9072" w:type="dxa"/>
            <w:tcBorders>
              <w:top w:val="nil"/>
              <w:left w:val="nil"/>
              <w:bottom w:val="nil"/>
              <w:right w:val="nil"/>
            </w:tcBorders>
            <w:noWrap/>
            <w:vAlign w:val="bottom"/>
            <w:hideMark/>
          </w:tcPr>
          <w:p w14:paraId="12389DD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SIMP - PS</w:t>
            </w:r>
          </w:p>
        </w:tc>
      </w:tr>
      <w:tr w:rsidR="00BF00F4" w:rsidRPr="00F22F68" w14:paraId="4F121117" w14:textId="77777777" w:rsidTr="00576B53">
        <w:trPr>
          <w:trHeight w:val="300"/>
        </w:trPr>
        <w:tc>
          <w:tcPr>
            <w:tcW w:w="9072" w:type="dxa"/>
            <w:tcBorders>
              <w:top w:val="nil"/>
              <w:left w:val="nil"/>
              <w:bottom w:val="nil"/>
              <w:right w:val="nil"/>
            </w:tcBorders>
            <w:noWrap/>
            <w:vAlign w:val="bottom"/>
            <w:hideMark/>
          </w:tcPr>
          <w:p w14:paraId="609F01B9"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SIP </w:t>
            </w:r>
            <w:proofErr w:type="spellStart"/>
            <w:r w:rsidRPr="00F22F68">
              <w:rPr>
                <w:rFonts w:eastAsia="Times New Roman" w:cs="Calibri"/>
                <w:color w:val="000000"/>
                <w:sz w:val="18"/>
                <w:szCs w:val="18"/>
              </w:rPr>
              <w:t>SPlatobný</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systém</w:t>
            </w:r>
            <w:proofErr w:type="spellEnd"/>
          </w:p>
        </w:tc>
      </w:tr>
      <w:tr w:rsidR="00BF00F4" w:rsidRPr="00F22F68" w14:paraId="75634C13" w14:textId="77777777" w:rsidTr="00576B53">
        <w:trPr>
          <w:trHeight w:val="300"/>
        </w:trPr>
        <w:tc>
          <w:tcPr>
            <w:tcW w:w="9072" w:type="dxa"/>
            <w:tcBorders>
              <w:top w:val="nil"/>
              <w:left w:val="nil"/>
              <w:bottom w:val="nil"/>
              <w:right w:val="nil"/>
            </w:tcBorders>
            <w:noWrap/>
            <w:vAlign w:val="bottom"/>
            <w:hideMark/>
          </w:tcPr>
          <w:p w14:paraId="03267501"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SIX</w:t>
            </w:r>
          </w:p>
        </w:tc>
      </w:tr>
      <w:tr w:rsidR="00BF00F4" w:rsidRPr="00F22F68" w14:paraId="78213539" w14:textId="77777777" w:rsidTr="00576B53">
        <w:trPr>
          <w:trHeight w:val="300"/>
        </w:trPr>
        <w:tc>
          <w:tcPr>
            <w:tcW w:w="9072" w:type="dxa"/>
            <w:tcBorders>
              <w:top w:val="nil"/>
              <w:left w:val="nil"/>
              <w:bottom w:val="nil"/>
              <w:right w:val="nil"/>
            </w:tcBorders>
            <w:noWrap/>
            <w:vAlign w:val="bottom"/>
            <w:hideMark/>
          </w:tcPr>
          <w:p w14:paraId="7D6A7541"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SIX </w:t>
            </w:r>
            <w:proofErr w:type="spellStart"/>
            <w:r w:rsidRPr="00F22F68">
              <w:rPr>
                <w:rFonts w:eastAsia="Times New Roman" w:cs="Calibri"/>
                <w:color w:val="000000"/>
                <w:sz w:val="18"/>
                <w:szCs w:val="18"/>
              </w:rPr>
              <w:t>InterbankClearing</w:t>
            </w:r>
            <w:proofErr w:type="spellEnd"/>
            <w:r w:rsidRPr="00F22F68">
              <w:rPr>
                <w:rFonts w:eastAsia="Times New Roman" w:cs="Calibri"/>
                <w:color w:val="000000"/>
                <w:sz w:val="18"/>
                <w:szCs w:val="18"/>
              </w:rPr>
              <w:t xml:space="preserve"> (SIC)/</w:t>
            </w:r>
            <w:proofErr w:type="spellStart"/>
            <w:r w:rsidRPr="00F22F68">
              <w:rPr>
                <w:rFonts w:eastAsia="Times New Roman" w:cs="Calibri"/>
                <w:color w:val="000000"/>
                <w:sz w:val="18"/>
                <w:szCs w:val="18"/>
              </w:rPr>
              <w:t>EuroSIC</w:t>
            </w:r>
            <w:proofErr w:type="spellEnd"/>
          </w:p>
        </w:tc>
      </w:tr>
      <w:tr w:rsidR="00BF00F4" w:rsidRPr="00F22F68" w14:paraId="030C19EB" w14:textId="77777777" w:rsidTr="00576B53">
        <w:trPr>
          <w:trHeight w:val="300"/>
        </w:trPr>
        <w:tc>
          <w:tcPr>
            <w:tcW w:w="9072" w:type="dxa"/>
            <w:tcBorders>
              <w:top w:val="nil"/>
              <w:left w:val="nil"/>
              <w:bottom w:val="nil"/>
              <w:right w:val="nil"/>
            </w:tcBorders>
            <w:noWrap/>
            <w:vAlign w:val="bottom"/>
            <w:hideMark/>
          </w:tcPr>
          <w:p w14:paraId="2D03BA3A"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SIX Swiss Exchange</w:t>
            </w:r>
          </w:p>
        </w:tc>
      </w:tr>
      <w:tr w:rsidR="00BF00F4" w:rsidRPr="00F22F68" w14:paraId="0F85B932" w14:textId="77777777" w:rsidTr="00576B53">
        <w:trPr>
          <w:trHeight w:val="300"/>
        </w:trPr>
        <w:tc>
          <w:tcPr>
            <w:tcW w:w="9072" w:type="dxa"/>
            <w:tcBorders>
              <w:top w:val="nil"/>
              <w:left w:val="nil"/>
              <w:bottom w:val="nil"/>
              <w:right w:val="nil"/>
            </w:tcBorders>
            <w:noWrap/>
            <w:vAlign w:val="bottom"/>
            <w:hideMark/>
          </w:tcPr>
          <w:p w14:paraId="024AED7E"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SIX x-</w:t>
            </w:r>
            <w:proofErr w:type="spellStart"/>
            <w:r w:rsidRPr="00F22F68">
              <w:rPr>
                <w:rFonts w:eastAsia="Times New Roman" w:cs="Calibri"/>
                <w:color w:val="000000"/>
                <w:sz w:val="18"/>
                <w:szCs w:val="18"/>
              </w:rPr>
              <w:t>clear</w:t>
            </w:r>
            <w:proofErr w:type="spellEnd"/>
          </w:p>
        </w:tc>
      </w:tr>
      <w:tr w:rsidR="00BF00F4" w:rsidRPr="00F238A6" w14:paraId="60CA4B78" w14:textId="77777777" w:rsidTr="00576B53">
        <w:trPr>
          <w:trHeight w:val="300"/>
        </w:trPr>
        <w:tc>
          <w:tcPr>
            <w:tcW w:w="9072" w:type="dxa"/>
            <w:tcBorders>
              <w:top w:val="nil"/>
              <w:left w:val="nil"/>
              <w:bottom w:val="nil"/>
              <w:right w:val="nil"/>
            </w:tcBorders>
            <w:noWrap/>
            <w:vAlign w:val="bottom"/>
            <w:hideMark/>
          </w:tcPr>
          <w:p w14:paraId="181E630B"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SKD (Short Term Bond System)</w:t>
            </w:r>
          </w:p>
        </w:tc>
      </w:tr>
      <w:tr w:rsidR="00BF00F4" w:rsidRPr="00054E70" w14:paraId="5881F4A8" w14:textId="77777777" w:rsidTr="00576B53">
        <w:trPr>
          <w:trHeight w:val="300"/>
        </w:trPr>
        <w:tc>
          <w:tcPr>
            <w:tcW w:w="9072" w:type="dxa"/>
            <w:tcBorders>
              <w:top w:val="nil"/>
              <w:left w:val="nil"/>
              <w:bottom w:val="nil"/>
              <w:right w:val="nil"/>
            </w:tcBorders>
            <w:noWrap/>
            <w:vAlign w:val="bottom"/>
            <w:hideMark/>
          </w:tcPr>
          <w:p w14:paraId="4BBE2443" w14:textId="77777777" w:rsidR="00BF00F4" w:rsidRPr="00A31D3C" w:rsidRDefault="00BF00F4" w:rsidP="00576B53">
            <w:pPr>
              <w:rPr>
                <w:rFonts w:eastAsia="Times New Roman" w:cs="Calibri"/>
                <w:color w:val="000000"/>
                <w:sz w:val="18"/>
                <w:szCs w:val="18"/>
                <w:lang w:val="es-ES"/>
              </w:rPr>
            </w:pPr>
            <w:r w:rsidRPr="00A31D3C">
              <w:rPr>
                <w:rFonts w:eastAsia="Times New Roman" w:cs="Calibri"/>
                <w:color w:val="000000"/>
                <w:sz w:val="18"/>
                <w:szCs w:val="18"/>
                <w:lang w:val="es-ES"/>
              </w:rPr>
              <w:t>SNCE (Sistema Nacional de Compensación Electrónica)</w:t>
            </w:r>
          </w:p>
        </w:tc>
      </w:tr>
      <w:tr w:rsidR="00BF00F4" w:rsidRPr="00434529" w14:paraId="197EEE22" w14:textId="77777777" w:rsidTr="00576B53">
        <w:trPr>
          <w:trHeight w:val="300"/>
        </w:trPr>
        <w:tc>
          <w:tcPr>
            <w:tcW w:w="9072" w:type="dxa"/>
            <w:tcBorders>
              <w:top w:val="nil"/>
              <w:left w:val="nil"/>
              <w:bottom w:val="nil"/>
              <w:right w:val="nil"/>
            </w:tcBorders>
            <w:noWrap/>
            <w:vAlign w:val="bottom"/>
            <w:hideMark/>
          </w:tcPr>
          <w:p w14:paraId="0C93B477" w14:textId="77777777" w:rsidR="00BF00F4" w:rsidRPr="003C5532" w:rsidRDefault="00BF00F4" w:rsidP="00576B53">
            <w:pPr>
              <w:rPr>
                <w:rFonts w:eastAsia="Times New Roman" w:cs="Calibri"/>
                <w:color w:val="000000"/>
                <w:sz w:val="18"/>
                <w:szCs w:val="18"/>
                <w:lang w:val="fr-BE"/>
              </w:rPr>
            </w:pPr>
            <w:r w:rsidRPr="003C5532">
              <w:rPr>
                <w:rFonts w:eastAsia="Times New Roman" w:cs="Calibri"/>
                <w:color w:val="000000"/>
                <w:sz w:val="18"/>
                <w:szCs w:val="18"/>
                <w:lang w:val="fr-BE"/>
              </w:rPr>
              <w:t>Société de la Bourse du Luxembourg SA</w:t>
            </w:r>
          </w:p>
        </w:tc>
      </w:tr>
      <w:tr w:rsidR="00BF00F4" w:rsidRPr="00F22F68" w14:paraId="6282E3E8" w14:textId="77777777" w:rsidTr="00576B53">
        <w:trPr>
          <w:trHeight w:val="300"/>
        </w:trPr>
        <w:tc>
          <w:tcPr>
            <w:tcW w:w="9072" w:type="dxa"/>
            <w:tcBorders>
              <w:top w:val="nil"/>
              <w:left w:val="nil"/>
              <w:bottom w:val="nil"/>
              <w:right w:val="nil"/>
            </w:tcBorders>
            <w:noWrap/>
            <w:vAlign w:val="bottom"/>
            <w:hideMark/>
          </w:tcPr>
          <w:p w14:paraId="35824AF8"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SORBNET2</w:t>
            </w:r>
          </w:p>
        </w:tc>
      </w:tr>
      <w:tr w:rsidR="00BF00F4" w:rsidRPr="00F22F68" w14:paraId="69405D7A" w14:textId="77777777" w:rsidTr="00576B53">
        <w:trPr>
          <w:trHeight w:val="300"/>
        </w:trPr>
        <w:tc>
          <w:tcPr>
            <w:tcW w:w="9072" w:type="dxa"/>
            <w:tcBorders>
              <w:top w:val="nil"/>
              <w:left w:val="nil"/>
              <w:bottom w:val="nil"/>
              <w:right w:val="nil"/>
            </w:tcBorders>
            <w:noWrap/>
            <w:vAlign w:val="bottom"/>
            <w:hideMark/>
          </w:tcPr>
          <w:p w14:paraId="526E36FD"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STEP 1</w:t>
            </w:r>
          </w:p>
        </w:tc>
      </w:tr>
      <w:tr w:rsidR="00BF00F4" w:rsidRPr="00F22F68" w14:paraId="221E78DC" w14:textId="77777777" w:rsidTr="00576B53">
        <w:trPr>
          <w:trHeight w:val="300"/>
        </w:trPr>
        <w:tc>
          <w:tcPr>
            <w:tcW w:w="9072" w:type="dxa"/>
            <w:tcBorders>
              <w:top w:val="nil"/>
              <w:left w:val="nil"/>
              <w:bottom w:val="nil"/>
              <w:right w:val="nil"/>
            </w:tcBorders>
            <w:noWrap/>
            <w:vAlign w:val="bottom"/>
            <w:hideMark/>
          </w:tcPr>
          <w:p w14:paraId="654EFBCB"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STEP 2</w:t>
            </w:r>
          </w:p>
        </w:tc>
      </w:tr>
      <w:tr w:rsidR="00BF00F4" w:rsidRPr="00F22F68" w14:paraId="1368686B" w14:textId="77777777" w:rsidTr="00576B53">
        <w:trPr>
          <w:trHeight w:val="300"/>
        </w:trPr>
        <w:tc>
          <w:tcPr>
            <w:tcW w:w="9072" w:type="dxa"/>
            <w:tcBorders>
              <w:top w:val="nil"/>
              <w:left w:val="nil"/>
              <w:bottom w:val="nil"/>
              <w:right w:val="nil"/>
            </w:tcBorders>
            <w:noWrap/>
            <w:vAlign w:val="bottom"/>
            <w:hideMark/>
          </w:tcPr>
          <w:p w14:paraId="060F48CC"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STET/CORE</w:t>
            </w:r>
          </w:p>
        </w:tc>
      </w:tr>
      <w:tr w:rsidR="00BF00F4" w:rsidRPr="00F22F68" w14:paraId="23A9CB32" w14:textId="77777777" w:rsidTr="00576B53">
        <w:trPr>
          <w:trHeight w:val="300"/>
        </w:trPr>
        <w:tc>
          <w:tcPr>
            <w:tcW w:w="9072" w:type="dxa"/>
            <w:tcBorders>
              <w:top w:val="nil"/>
              <w:left w:val="nil"/>
              <w:bottom w:val="nil"/>
              <w:right w:val="nil"/>
            </w:tcBorders>
            <w:noWrap/>
            <w:vAlign w:val="bottom"/>
            <w:hideMark/>
          </w:tcPr>
          <w:p w14:paraId="277A8E17"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Straksclearingen</w:t>
            </w:r>
            <w:proofErr w:type="spellEnd"/>
          </w:p>
        </w:tc>
      </w:tr>
      <w:tr w:rsidR="00BF00F4" w:rsidRPr="00F22F68" w14:paraId="411313B3" w14:textId="77777777" w:rsidTr="00576B53">
        <w:trPr>
          <w:trHeight w:val="300"/>
        </w:trPr>
        <w:tc>
          <w:tcPr>
            <w:tcW w:w="9072" w:type="dxa"/>
            <w:tcBorders>
              <w:top w:val="nil"/>
              <w:left w:val="nil"/>
              <w:bottom w:val="nil"/>
              <w:right w:val="nil"/>
            </w:tcBorders>
            <w:noWrap/>
            <w:vAlign w:val="bottom"/>
            <w:hideMark/>
          </w:tcPr>
          <w:p w14:paraId="43E4F18A"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Sumclearingen</w:t>
            </w:r>
            <w:proofErr w:type="spellEnd"/>
          </w:p>
        </w:tc>
      </w:tr>
      <w:tr w:rsidR="00BF00F4" w:rsidRPr="00F238A6" w14:paraId="3465D13D" w14:textId="77777777" w:rsidTr="00576B53">
        <w:trPr>
          <w:trHeight w:val="300"/>
        </w:trPr>
        <w:tc>
          <w:tcPr>
            <w:tcW w:w="9072" w:type="dxa"/>
            <w:tcBorders>
              <w:top w:val="nil"/>
              <w:left w:val="nil"/>
              <w:bottom w:val="nil"/>
              <w:right w:val="nil"/>
            </w:tcBorders>
            <w:noWrap/>
            <w:vAlign w:val="bottom"/>
            <w:hideMark/>
          </w:tcPr>
          <w:p w14:paraId="13E78855" w14:textId="77777777" w:rsidR="00BF00F4" w:rsidRPr="00210421" w:rsidRDefault="00BF00F4" w:rsidP="00576B53">
            <w:pPr>
              <w:rPr>
                <w:rFonts w:eastAsia="Times New Roman" w:cs="Calibri"/>
                <w:color w:val="000000"/>
                <w:sz w:val="18"/>
                <w:szCs w:val="18"/>
                <w:lang w:val="en-US"/>
              </w:rPr>
            </w:pPr>
            <w:r w:rsidRPr="00210421">
              <w:rPr>
                <w:rFonts w:eastAsia="Times New Roman" w:cs="Calibri"/>
                <w:color w:val="000000"/>
                <w:sz w:val="18"/>
                <w:szCs w:val="18"/>
                <w:lang w:val="en-US"/>
              </w:rPr>
              <w:t>T2S (SSS - only for direct connectivity)</w:t>
            </w:r>
          </w:p>
        </w:tc>
      </w:tr>
      <w:tr w:rsidR="00BF00F4" w:rsidRPr="00F22F68" w14:paraId="714A4FB5" w14:textId="77777777" w:rsidTr="00576B53">
        <w:trPr>
          <w:trHeight w:val="300"/>
        </w:trPr>
        <w:tc>
          <w:tcPr>
            <w:tcW w:w="9072" w:type="dxa"/>
            <w:tcBorders>
              <w:top w:val="nil"/>
              <w:left w:val="nil"/>
              <w:bottom w:val="nil"/>
              <w:right w:val="nil"/>
            </w:tcBorders>
            <w:noWrap/>
            <w:vAlign w:val="bottom"/>
            <w:hideMark/>
          </w:tcPr>
          <w:p w14:paraId="4118D904"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TARGET2</w:t>
            </w:r>
          </w:p>
        </w:tc>
      </w:tr>
      <w:tr w:rsidR="00BF00F4" w:rsidRPr="00F22F68" w14:paraId="2CB6A203" w14:textId="77777777" w:rsidTr="00576B53">
        <w:trPr>
          <w:trHeight w:val="300"/>
        </w:trPr>
        <w:tc>
          <w:tcPr>
            <w:tcW w:w="9072" w:type="dxa"/>
            <w:tcBorders>
              <w:top w:val="nil"/>
              <w:left w:val="nil"/>
              <w:bottom w:val="nil"/>
              <w:right w:val="nil"/>
            </w:tcBorders>
            <w:noWrap/>
            <w:vAlign w:val="bottom"/>
            <w:hideMark/>
          </w:tcPr>
          <w:p w14:paraId="4AE0CA1D"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TIPS</w:t>
            </w:r>
          </w:p>
        </w:tc>
      </w:tr>
      <w:tr w:rsidR="00BF00F4" w:rsidRPr="00F22F68" w14:paraId="3669345A" w14:textId="77777777" w:rsidTr="00576B53">
        <w:trPr>
          <w:trHeight w:val="300"/>
        </w:trPr>
        <w:tc>
          <w:tcPr>
            <w:tcW w:w="9072" w:type="dxa"/>
            <w:tcBorders>
              <w:top w:val="nil"/>
              <w:left w:val="nil"/>
              <w:bottom w:val="nil"/>
              <w:right w:val="nil"/>
            </w:tcBorders>
            <w:noWrap/>
            <w:vAlign w:val="bottom"/>
            <w:hideMark/>
          </w:tcPr>
          <w:p w14:paraId="75722102"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UnaVista</w:t>
            </w:r>
            <w:proofErr w:type="spellEnd"/>
            <w:r w:rsidRPr="00F22F68">
              <w:rPr>
                <w:rFonts w:eastAsia="Times New Roman" w:cs="Calibri"/>
                <w:color w:val="000000"/>
                <w:sz w:val="18"/>
                <w:szCs w:val="18"/>
              </w:rPr>
              <w:t xml:space="preserve"> </w:t>
            </w:r>
            <w:proofErr w:type="spellStart"/>
            <w:r w:rsidRPr="00F22F68">
              <w:rPr>
                <w:rFonts w:eastAsia="Times New Roman" w:cs="Calibri"/>
                <w:color w:val="000000"/>
                <w:sz w:val="18"/>
                <w:szCs w:val="18"/>
              </w:rPr>
              <w:t>Limited</w:t>
            </w:r>
            <w:proofErr w:type="spellEnd"/>
          </w:p>
        </w:tc>
      </w:tr>
      <w:tr w:rsidR="00BF00F4" w:rsidRPr="00F22F68" w14:paraId="09720E1B" w14:textId="77777777" w:rsidTr="00576B53">
        <w:trPr>
          <w:trHeight w:val="300"/>
        </w:trPr>
        <w:tc>
          <w:tcPr>
            <w:tcW w:w="9072" w:type="dxa"/>
            <w:tcBorders>
              <w:top w:val="nil"/>
              <w:left w:val="nil"/>
              <w:bottom w:val="nil"/>
              <w:right w:val="nil"/>
            </w:tcBorders>
            <w:noWrap/>
            <w:vAlign w:val="bottom"/>
            <w:hideMark/>
          </w:tcPr>
          <w:p w14:paraId="7D0A2673" w14:textId="77777777" w:rsidR="00BF00F4" w:rsidRPr="00F22F68" w:rsidRDefault="00BF00F4" w:rsidP="00576B53">
            <w:pPr>
              <w:rPr>
                <w:rFonts w:eastAsia="Times New Roman" w:cs="Calibri"/>
                <w:color w:val="000000"/>
                <w:sz w:val="18"/>
                <w:szCs w:val="18"/>
              </w:rPr>
            </w:pPr>
            <w:proofErr w:type="spellStart"/>
            <w:r w:rsidRPr="00F22F68">
              <w:rPr>
                <w:rFonts w:eastAsia="Times New Roman" w:cs="Calibri"/>
                <w:color w:val="000000"/>
                <w:sz w:val="18"/>
                <w:szCs w:val="18"/>
              </w:rPr>
              <w:t>Verdipapirsentralen</w:t>
            </w:r>
            <w:proofErr w:type="spellEnd"/>
            <w:r w:rsidRPr="00F22F68">
              <w:rPr>
                <w:rFonts w:eastAsia="Times New Roman" w:cs="Calibri"/>
                <w:color w:val="000000"/>
                <w:sz w:val="18"/>
                <w:szCs w:val="18"/>
              </w:rPr>
              <w:t xml:space="preserve"> (VPS)</w:t>
            </w:r>
          </w:p>
        </w:tc>
      </w:tr>
      <w:tr w:rsidR="00BF00F4" w:rsidRPr="00F22F68" w14:paraId="7C2831AC" w14:textId="77777777" w:rsidTr="00576B53">
        <w:trPr>
          <w:trHeight w:val="300"/>
        </w:trPr>
        <w:tc>
          <w:tcPr>
            <w:tcW w:w="9072" w:type="dxa"/>
            <w:tcBorders>
              <w:top w:val="nil"/>
              <w:left w:val="nil"/>
              <w:bottom w:val="nil"/>
              <w:right w:val="nil"/>
            </w:tcBorders>
            <w:noWrap/>
            <w:vAlign w:val="bottom"/>
            <w:hideMark/>
          </w:tcPr>
          <w:p w14:paraId="7793CCE4"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VIBER</w:t>
            </w:r>
          </w:p>
        </w:tc>
      </w:tr>
      <w:tr w:rsidR="00BF00F4" w:rsidRPr="00F22F68" w14:paraId="707F1721" w14:textId="77777777" w:rsidTr="00576B53">
        <w:trPr>
          <w:trHeight w:val="300"/>
        </w:trPr>
        <w:tc>
          <w:tcPr>
            <w:tcW w:w="9072" w:type="dxa"/>
            <w:tcBorders>
              <w:top w:val="nil"/>
              <w:left w:val="nil"/>
              <w:bottom w:val="nil"/>
              <w:right w:val="nil"/>
            </w:tcBorders>
            <w:noWrap/>
            <w:vAlign w:val="bottom"/>
            <w:hideMark/>
          </w:tcPr>
          <w:p w14:paraId="2D069496"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VP Lux</w:t>
            </w:r>
          </w:p>
        </w:tc>
      </w:tr>
      <w:tr w:rsidR="00BF00F4" w:rsidRPr="00F22F68" w14:paraId="6A99CA82" w14:textId="77777777" w:rsidTr="00576B53">
        <w:trPr>
          <w:trHeight w:val="300"/>
        </w:trPr>
        <w:tc>
          <w:tcPr>
            <w:tcW w:w="9072" w:type="dxa"/>
            <w:tcBorders>
              <w:top w:val="nil"/>
              <w:left w:val="nil"/>
              <w:bottom w:val="nil"/>
              <w:right w:val="nil"/>
            </w:tcBorders>
            <w:noWrap/>
            <w:vAlign w:val="bottom"/>
            <w:hideMark/>
          </w:tcPr>
          <w:p w14:paraId="56A7489E" w14:textId="77777777" w:rsidR="00BF00F4" w:rsidRPr="00F22F68" w:rsidRDefault="00BF00F4" w:rsidP="00576B53">
            <w:pPr>
              <w:rPr>
                <w:rFonts w:eastAsia="Times New Roman" w:cs="Calibri"/>
                <w:color w:val="000000"/>
                <w:sz w:val="18"/>
                <w:szCs w:val="18"/>
              </w:rPr>
            </w:pPr>
            <w:r w:rsidRPr="00F22F68">
              <w:rPr>
                <w:rFonts w:eastAsia="Times New Roman" w:cs="Calibri"/>
                <w:color w:val="000000"/>
                <w:sz w:val="18"/>
                <w:szCs w:val="18"/>
              </w:rPr>
              <w:t xml:space="preserve">VP </w:t>
            </w:r>
            <w:proofErr w:type="spellStart"/>
            <w:r w:rsidRPr="00F22F68">
              <w:rPr>
                <w:rFonts w:eastAsia="Times New Roman" w:cs="Calibri"/>
                <w:color w:val="000000"/>
                <w:sz w:val="18"/>
                <w:szCs w:val="18"/>
              </w:rPr>
              <w:t>Securities</w:t>
            </w:r>
            <w:proofErr w:type="spellEnd"/>
            <w:r w:rsidRPr="00F22F68">
              <w:rPr>
                <w:rFonts w:eastAsia="Times New Roman" w:cs="Calibri"/>
                <w:color w:val="000000"/>
                <w:sz w:val="18"/>
                <w:szCs w:val="18"/>
              </w:rPr>
              <w:t xml:space="preserve"> A/S</w:t>
            </w:r>
          </w:p>
        </w:tc>
      </w:tr>
    </w:tbl>
    <w:p w14:paraId="28FAD9C2" w14:textId="77777777" w:rsidR="00BF00F4" w:rsidRPr="002F61BB" w:rsidRDefault="00BF00F4" w:rsidP="00BF00F4">
      <w:pPr>
        <w:pStyle w:val="body"/>
        <w:rPr>
          <w:rFonts w:ascii="Times New Roman" w:hAnsi="Times New Roman" w:cs="Times New Roman"/>
          <w:sz w:val="20"/>
          <w:szCs w:val="20"/>
          <w:lang w:val="en-GB"/>
        </w:rPr>
      </w:pPr>
    </w:p>
    <w:p w14:paraId="5BF78DFE" w14:textId="77777777" w:rsidR="00BF00F4" w:rsidRDefault="00BF00F4">
      <w:pPr>
        <w:pStyle w:val="body"/>
        <w:rPr>
          <w:rFonts w:ascii="Times New Roman" w:hAnsi="Times New Roman" w:cs="Times New Roman"/>
          <w:sz w:val="20"/>
          <w:szCs w:val="20"/>
        </w:rPr>
      </w:pPr>
    </w:p>
    <w:sectPr w:rsidR="00BF00F4">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8387" w14:textId="77777777" w:rsidR="00A26499" w:rsidRDefault="00A26499">
      <w:r>
        <w:separator/>
      </w:r>
    </w:p>
  </w:endnote>
  <w:endnote w:type="continuationSeparator" w:id="0">
    <w:p w14:paraId="4215282F" w14:textId="77777777" w:rsidR="00A26499" w:rsidRDefault="00A26499">
      <w:r>
        <w:continuationSeparator/>
      </w:r>
    </w:p>
  </w:endnote>
  <w:endnote w:type="continuationNotice" w:id="1">
    <w:p w14:paraId="3C0D59B6" w14:textId="77777777" w:rsidR="00A26499" w:rsidRDefault="00A26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414040" w:rsidRDefault="00904E1A">
        <w:pPr>
          <w:pStyle w:val="body"/>
          <w:jc w:val="right"/>
        </w:pPr>
        <w:r>
          <w:fldChar w:fldCharType="begin"/>
        </w:r>
        <w:r>
          <w:instrText xml:space="preserve"> PAGE   \* MERGEFORMAT </w:instrText>
        </w:r>
        <w:r>
          <w:fldChar w:fldCharType="separate"/>
        </w:r>
        <w:r>
          <w:t>89</w:t>
        </w:r>
        <w:r>
          <w:fldChar w:fldCharType="end"/>
        </w:r>
      </w:p>
    </w:sdtContent>
  </w:sdt>
  <w:p w14:paraId="7FE1D24F" w14:textId="77777777" w:rsidR="00414040" w:rsidRDefault="00414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414040" w:rsidRDefault="00904E1A">
    <w:pPr>
      <w:pStyle w:val="Footer"/>
    </w:pPr>
    <w:r>
      <w:rPr>
        <w:noProof/>
      </w:rPr>
      <mc:AlternateContent>
        <mc:Choice Requires="wps">
          <w:drawing>
            <wp:anchor distT="0" distB="0" distL="114300" distR="114300" simplePos="0" relativeHeight="251658243" behindDoc="0" locked="0" layoutInCell="1" allowOverlap="1" wp14:anchorId="7D4B7297" wp14:editId="10A1132C">
              <wp:simplePos x="0" y="0"/>
              <wp:positionH relativeFrom="margin">
                <wp:align>left</wp:align>
              </wp:positionH>
              <wp:positionV relativeFrom="paragraph">
                <wp:posOffset>-89067</wp:posOffset>
              </wp:positionV>
              <wp:extent cx="5587466" cy="511791"/>
              <wp:effectExtent l="0" t="0" r="13335" b="22225"/>
              <wp:wrapNone/>
              <wp:docPr id="978482222" name="Recuadro 5"/>
              <wp:cNvGraphicFramePr/>
              <a:graphic xmlns:a="http://schemas.openxmlformats.org/drawingml/2006/main">
                <a:graphicData uri="http://schemas.microsoft.com/office/word/2010/wordprocessingShape">
                  <wps:wsp>
                    <wps:cNvSpPr txBox="1"/>
                    <wps:spPr>
                      <a:xfrm>
                        <a:off x="0" y="0"/>
                        <a:ext cx="5587466" cy="511791"/>
                      </a:xfrm>
                      <a:prstGeom prst="rect">
                        <a:avLst/>
                      </a:prstGeom>
                      <a:solidFill>
                        <a:schemeClr val="lt1"/>
                      </a:solidFill>
                      <a:ln w="6350">
                        <a:solidFill>
                          <a:prstClr val="black"/>
                        </a:solidFill>
                      </a:ln>
                    </wps:spPr>
                    <wps:txbx>
                      <w:txbxContent>
                        <w:p w14:paraId="59008DEE" w14:textId="3CBD8109" w:rsidR="00414040" w:rsidRDefault="00904E1A">
                          <w:pPr>
                            <w:pStyle w:val="P68B1DB1-Normal92"/>
                            <w:rPr>
                              <w:bCs/>
                            </w:rPr>
                          </w:pPr>
                          <w:r>
                            <w:t xml:space="preserve">Estas instrucciones se redactaron inicialmente en inglés. Su traducción a las demás lenguas oficiales de la UE se realiza a través de </w:t>
                          </w:r>
                          <w:proofErr w:type="spellStart"/>
                          <w:r>
                            <w:t>eTranslation</w:t>
                          </w:r>
                          <w:proofErr w:type="spellEnd"/>
                          <w:r>
                            <w:t>, el servicio de traducción automática de la Comisión Europea, en la medida de lo posible.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Recuadro 5" o:spid="_x0000_s1029" type="#_x0000_t202" style="position:absolute;margin-left:0;margin-top:-7pt;width:439.95pt;height:40.3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" fillcolor="white [3201]" strokeweight=".5pt">
              <v:textbox>
                <w:txbxContent>
                  <w:p w14:paraId="59008DEE" w14:textId="3CBD8109" w:rsidR="00414040" w:rsidRDefault="00904E1A">
                    <w:pPr>
                      <w:pStyle w:val="P68B1DB1-Normal92"/>
                      <w:rPr>
                        <w:bCs/>
                      </w:rPr>
                    </w:pPr>
                    <w:r>
                      <w:t>Estas instrucciones se redactaron inicialmente en inglés. Su traducción a las demás lenguas oficiales de la UE se realiza a través de eTranslation, el servicio de traducción automática de la Comisión Europea, en la medida de lo posible.</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7BB4" w14:textId="77777777" w:rsidR="00A26499" w:rsidRDefault="00A26499">
      <w:r>
        <w:separator/>
      </w:r>
    </w:p>
  </w:footnote>
  <w:footnote w:type="continuationSeparator" w:id="0">
    <w:p w14:paraId="6783EEA7" w14:textId="77777777" w:rsidR="00A26499" w:rsidRDefault="00A26499">
      <w:r>
        <w:continuationSeparator/>
      </w:r>
    </w:p>
  </w:footnote>
  <w:footnote w:type="continuationNotice" w:id="1">
    <w:p w14:paraId="5B457328" w14:textId="77777777" w:rsidR="00A26499" w:rsidRDefault="00A26499"/>
  </w:footnote>
  <w:footnote w:id="2">
    <w:p w14:paraId="0A0A872C" w14:textId="77777777" w:rsidR="002D6FF8" w:rsidRDefault="002D6FF8" w:rsidP="002D6FF8">
      <w:pPr>
        <w:pStyle w:val="FootnoteText"/>
      </w:pPr>
      <w:r>
        <w:rPr>
          <w:rStyle w:val="FootnoteReference"/>
        </w:rPr>
        <w:footnoteRef/>
      </w:r>
      <w:r>
        <w:t xml:space="preserve"> REGLAMENTO DE EJECUCIÓN (UE) 2024/3117 DE LA COMISIÓN, de 29 de noviembre de 2024, por el que se establecen normas técnicas de ejecución para la aplicación del Reglamento (UE) n.º 575/2013 del Parlamento Europeo y del Consejo en relación con la comunicación de información con fines de supervisión por parte de las entidades, y por el que se deroga el Reglamento de Ejecución (UE) 2021/451 de la Comisión (</w:t>
      </w:r>
      <w:r>
        <w:rPr>
          <w:i/>
        </w:rPr>
        <w:t>DO L, 2024/3117, 27.12.2024, ELI: </w:t>
      </w:r>
      <w:hyperlink r:id="rId1" w:tgtFrame="_blank" w:tooltip="Gives access to this document through its ELI URI." w:history="1">
        <w:r>
          <w:rPr>
            <w:rStyle w:val="Hyperlink"/>
            <w:i/>
          </w:rPr>
          <w:t>http://data.europa.eu/eli/reg/2024/3117/oj</w:t>
        </w:r>
      </w:hyperlink>
      <w:r>
        <w:t>).</w:t>
      </w:r>
    </w:p>
  </w:footnote>
  <w:footnote w:id="3">
    <w:p w14:paraId="7FE1D258" w14:textId="77777777" w:rsidR="00414040" w:rsidRDefault="00904E1A">
      <w:pPr>
        <w:pStyle w:val="FootnoteText"/>
      </w:pPr>
      <w:r>
        <w:rPr>
          <w:rStyle w:val="FootnoteReference"/>
          <w:rFonts w:ascii="Times New Roman" w:hAnsi="Times New Roman"/>
        </w:rPr>
        <w:footnoteRef/>
      </w:r>
      <w:r>
        <w:t xml:space="preserve"> Reglamento (CE) n.º 1606/2002 del Parlamento Europeo y del Consejo, de 19 de julio de 2002, relativo a la aplicación de normas internacionales de contabilidad (DO L 243 de 11.9.2002, p. 1).</w:t>
      </w:r>
    </w:p>
  </w:footnote>
  <w:footnote w:id="4">
    <w:p w14:paraId="7FE1D259" w14:textId="77777777" w:rsidR="00414040" w:rsidRDefault="00904E1A">
      <w:pPr>
        <w:pStyle w:val="FootnoteText"/>
      </w:pPr>
      <w:r>
        <w:rPr>
          <w:rStyle w:val="FootnoteReference"/>
          <w:rFonts w:ascii="Times New Roman" w:hAnsi="Times New Roman"/>
        </w:rPr>
        <w:footnoteRef/>
      </w:r>
      <w:r>
        <w:t xml:space="preserve"> Reglamento (CE) n.º 1606/2002 del Parlamento Europeo y del Consejo, de 19 de julio de 2002, relativo a la aplicación de normas internacionales de contabilidad (DO L 243 de 11.9.2002, p. 1).</w:t>
      </w:r>
    </w:p>
  </w:footnote>
  <w:footnote w:id="5">
    <w:p w14:paraId="7FE1D25A" w14:textId="77777777" w:rsidR="00414040" w:rsidRDefault="00904E1A">
      <w:pPr>
        <w:pStyle w:val="FootnoteText"/>
      </w:pPr>
      <w:r>
        <w:rPr>
          <w:rStyle w:val="FootnoteReference"/>
          <w:rFonts w:ascii="Times New Roman" w:hAnsi="Times New Roman"/>
        </w:rPr>
        <w:footnoteRef/>
      </w:r>
      <w:r>
        <w:t xml:space="preserve"> Directiva 86/635/CEE del Consejo, de 8 de diciembre de 1986, relativa a las cuentas anuales y a las cuentas consolidadas de los bancos y otras entidades financieras (DO L 372 de 31.12.1986, p. 1).</w:t>
      </w:r>
    </w:p>
  </w:footnote>
  <w:footnote w:id="6">
    <w:p w14:paraId="47AD9F57" w14:textId="77777777" w:rsidR="009A4B0D" w:rsidRDefault="009A4B0D"/>
  </w:footnote>
  <w:footnote w:id="7">
    <w:p w14:paraId="7FE1D25C" w14:textId="77777777" w:rsidR="00414040" w:rsidRDefault="00904E1A">
      <w:pPr>
        <w:pStyle w:val="FootnoteText"/>
      </w:pPr>
      <w:r>
        <w:rPr>
          <w:rStyle w:val="FootnoteReference"/>
        </w:rPr>
        <w:footnoteRef/>
      </w:r>
      <w:r>
        <w:t xml:space="preserve"> Directiva 2013/36/UE del Parlamento Europeo y del Consejo, de 26 de junio de 2013, relativa al acceso a la actividad de las entidades de crédito y a la supervisión prudencial de las entidades de crédito y las empresas de inversión, por la que se modifica la Directiva 2002/87/CE y se derogan las Directivas 2006/48/CE y 2006/49/CE (DO L 176 de 27.6.2013, p. 338).</w:t>
      </w:r>
    </w:p>
  </w:footnote>
  <w:footnote w:id="8">
    <w:p w14:paraId="7FE1D25D" w14:textId="77777777" w:rsidR="00414040" w:rsidRDefault="00904E1A">
      <w:pPr>
        <w:pStyle w:val="FootnoteText"/>
      </w:pPr>
      <w:r>
        <w:rPr>
          <w:rStyle w:val="FootnoteReference"/>
        </w:rPr>
        <w:footnoteRef/>
      </w:r>
      <w:r>
        <w:t xml:space="preserve"> Reglamento (UE) 2019/2033 del Parlamento Europeo y del Consejo, de 27 de noviembre de 2019, relativo a los requisitos prudenciales de las empresas de servicios de inversión, y por el que se modifican los Reglamentos (UE) n.º 1093/2010, (UE) n.º 575/2013, (UE) n.º 600/2014 y (UE) n.º 806/2014 (DO L 314 de 5.12.2019, p. 1).</w:t>
      </w:r>
    </w:p>
  </w:footnote>
  <w:footnote w:id="9">
    <w:p w14:paraId="7FE1D25E" w14:textId="48B74357" w:rsidR="00414040" w:rsidRDefault="00904E1A">
      <w:pPr>
        <w:pStyle w:val="FootnoteText"/>
      </w:pPr>
      <w:r>
        <w:rPr>
          <w:rStyle w:val="FootnoteReference"/>
        </w:rPr>
        <w:footnoteRef/>
      </w:r>
      <w:r>
        <w:t xml:space="preserve"> Directiva (UE) 2019/2034 del Parlamento Europeo y del Consejo, de 27 de noviembre de 2019, relativa a la supervisión prudencial de las empresas de servicios de inversión, y por la que se modifican las Directivas 2002/87/CE, 2009/65/CE, 2011/61/UE, 2013/36/UE, 2014/59/UE y 2014/65/UE (DO L 314 de 5.12.2019, p. 64)</w:t>
      </w:r>
      <w:r w:rsidR="005A4BEF">
        <w:t>.</w:t>
      </w:r>
    </w:p>
  </w:footnote>
  <w:footnote w:id="10">
    <w:p w14:paraId="7FE1D25F" w14:textId="77777777" w:rsidR="00414040" w:rsidRDefault="00904E1A">
      <w:pPr>
        <w:pStyle w:val="FootnoteText"/>
      </w:pPr>
      <w:r>
        <w:rPr>
          <w:rStyle w:val="FootnoteReference"/>
          <w:rFonts w:ascii="Times New Roman" w:hAnsi="Times New Roman"/>
        </w:rPr>
        <w:footnoteRef/>
      </w:r>
      <w:r>
        <w:t xml:space="preserve"> Directiva 2009/138/CE del Parlamento Europeo y del Consejo, de 25 de noviembre de 2009, sobre el seguro de vida, el acceso a la actividad de seguro y de reaseguro y su ejercicio (Solvencia II) (Texto pertinente a efectos del EEE) (DO L 335 de 17.12.2009, p. 1).</w:t>
      </w:r>
    </w:p>
  </w:footnote>
  <w:footnote w:id="11">
    <w:p w14:paraId="47E418BB" w14:textId="7EEA76F2" w:rsidR="00991EFD" w:rsidRDefault="00991EFD" w:rsidP="00991EFD">
      <w:pPr>
        <w:pStyle w:val="FootnoteText"/>
      </w:pPr>
      <w:r>
        <w:rPr>
          <w:rStyle w:val="FootnoteReference"/>
          <w:rFonts w:ascii="Times New Roman" w:hAnsi="Times New Roman"/>
        </w:rPr>
        <w:footnoteRef/>
      </w:r>
      <w:r>
        <w:t xml:space="preserve"> </w:t>
      </w:r>
      <w:r w:rsidR="00A84499">
        <w:t>R</w:t>
      </w:r>
      <w:r>
        <w:t>eglamento (UE) 2021/379 del Banco Central Europeo, relativo al balance del sector de las instituciones financieras monetarias (DO L 297 de 7.11.2013, p. 1).</w:t>
      </w:r>
    </w:p>
  </w:footnote>
  <w:footnote w:id="12">
    <w:p w14:paraId="7FE1D261" w14:textId="335DD9C0" w:rsidR="00414040" w:rsidRDefault="00904E1A">
      <w:pPr>
        <w:pStyle w:val="FootnoteText"/>
      </w:pPr>
      <w:r w:rsidRPr="32D04945">
        <w:rPr>
          <w:rStyle w:val="FootnoteReference"/>
          <w:rFonts w:ascii="Times New Roman" w:hAnsi="Times New Roman"/>
          <w:lang w:val="es-ES"/>
        </w:rPr>
        <w:footnoteRef/>
      </w:r>
      <w:r w:rsidRPr="32D04945">
        <w:rPr>
          <w:lang w:val="es-ES"/>
        </w:rPr>
        <w:t xml:space="preserve"> Recomendación </w:t>
      </w:r>
      <w:r w:rsidRPr="32D04945">
        <w:rPr>
          <w:lang w:val="es-ES"/>
        </w:rPr>
        <w:t>de la Comisión, de 6 de mayo de 2003, sobre la definición de microempresas, pequeñas y medianas empresas [notificada con el número C(2003) 1422] (DO L 124 de 20.5.2003, p. 36).</w:t>
      </w:r>
    </w:p>
  </w:footnote>
  <w:footnote w:id="13">
    <w:p w14:paraId="74BC1C09" w14:textId="2C5E1052" w:rsidR="00414040" w:rsidRDefault="00904E1A">
      <w:pPr>
        <w:pStyle w:val="FootnoteText"/>
      </w:pPr>
      <w:r>
        <w:rPr>
          <w:rStyle w:val="FootnoteReference"/>
        </w:rPr>
        <w:footnoteRef/>
      </w:r>
      <w:r>
        <w:t xml:space="preserve"> Directiva 2014/65/UE del Parlamento Europeo y del Consejo, de 15 de mayo de 2014, relativa a los mercados de instrumentos </w:t>
      </w:r>
      <w:r>
        <w:rPr>
          <w:rFonts w:hint="eastAsia"/>
        </w:rPr>
        <w:t>financieros (DO L 173 de 12.6.2014, p. 349)</w:t>
      </w:r>
      <w:r>
        <w:t>.</w:t>
      </w:r>
    </w:p>
  </w:footnote>
  <w:footnote w:id="14">
    <w:p w14:paraId="23B2CCA5" w14:textId="77777777" w:rsidR="00687BB2" w:rsidRDefault="00687BB2" w:rsidP="00687BB2">
      <w:pPr>
        <w:pStyle w:val="FootnoteText"/>
      </w:pPr>
      <w:r>
        <w:rPr>
          <w:rStyle w:val="FootnoteReference"/>
        </w:rPr>
        <w:footnoteRef/>
      </w:r>
      <w:r>
        <w:t xml:space="preserve"> Directiva 2014/59/UE del Parlamento Europeo y del Consejo, de 15 de mayo de 2014, por la que se establece un marco para la reestructuración y la resolución de entidades de crédito y empresas de servicios de inversión, y por la que se modifican la Directiva 82/891/CEE del Consejo, y las Directivas 2001/24/CE, 2002/47/CE, 2004/25/CE, 2005/56/CE, 2007/36/CE, 2011/35/UE, 2012/30/UE y 2013/36/UE, y los Reglamentos (UE) no 1093/2010 y (UE) no 648/2012, del Parlamento Europeo y del Consejo (DO L 173 de 12.6.2014, p. 190).</w:t>
      </w:r>
    </w:p>
  </w:footnote>
  <w:footnote w:id="15">
    <w:p w14:paraId="7FE1D264" w14:textId="77777777" w:rsidR="00414040" w:rsidRDefault="00904E1A">
      <w:pPr>
        <w:pStyle w:val="FootnoteText"/>
      </w:pPr>
      <w:r>
        <w:rPr>
          <w:rStyle w:val="FootnoteReference"/>
        </w:rPr>
        <w:footnoteRef/>
      </w:r>
      <w:r>
        <w:t xml:space="preserve"> Directiva 2014/49/UE del Parlamento Europeo y del Consejo, de 16 de abril de 2014, relativa a los sistemas de garantía de depósitos (DO L 173 de 12.6.2014, p. 149).</w:t>
      </w:r>
    </w:p>
  </w:footnote>
  <w:footnote w:id="16">
    <w:p w14:paraId="39DBDAD9" w14:textId="77777777" w:rsidR="00CF1EF0" w:rsidRDefault="00CF1EF0" w:rsidP="00CF1EF0">
      <w:pPr>
        <w:pStyle w:val="FootnoteText"/>
      </w:pPr>
      <w:r w:rsidRPr="32D04945">
        <w:rPr>
          <w:rStyle w:val="FootnoteReference"/>
          <w:lang w:val="es-ES"/>
        </w:rPr>
        <w:footnoteRef/>
      </w:r>
      <w:r w:rsidRPr="32D04945">
        <w:rPr>
          <w:lang w:val="es-ES"/>
        </w:rPr>
        <w:t xml:space="preserve"> Reglamento Delegado (UE) 2016/1401 de la Comisión, de 23 de mayo de 2016, por el que se completa la Directiva 2014/59/UE del Parlamento Europeo y del Consejo, por la que se establece un marco para la reestructuración y la resolución de entidades de crédito y empresas de servicios de inversión, en lo que respecta a las normas técnicas de regulación relativas a los métodos y los principios de valoración de los pasivos surgidos de derivados (DO L 228 de 23.8.2016, p. 7).</w:t>
      </w:r>
    </w:p>
  </w:footnote>
  <w:footnote w:id="17">
    <w:p w14:paraId="7FE1D268" w14:textId="77777777" w:rsidR="00414040" w:rsidRDefault="00904E1A">
      <w:pPr>
        <w:pStyle w:val="FootnoteText"/>
      </w:pPr>
      <w:r>
        <w:rPr>
          <w:rStyle w:val="FootnoteReference"/>
        </w:rPr>
        <w:footnoteRef/>
      </w:r>
      <w:r>
        <w:t xml:space="preserve"> El nivel del colchón de conservación de capital, tal como se establece en el artículo 129 de la Directiva 2013/36/UE;</w:t>
      </w:r>
    </w:p>
  </w:footnote>
  <w:footnote w:id="18">
    <w:p w14:paraId="3BA0509E" w14:textId="77777777" w:rsidR="00EE1FBA" w:rsidRDefault="00EE1FBA" w:rsidP="00EE1FBA">
      <w:pPr>
        <w:pStyle w:val="FootnoteText"/>
      </w:pPr>
      <w:r>
        <w:rPr>
          <w:rStyle w:val="FootnoteReference"/>
        </w:rPr>
        <w:footnoteRef/>
      </w:r>
      <w:r>
        <w:t xml:space="preserve"> Reglamento Delegado (UE) 2016/778 de la Comisión, de 2 de febrero de 2016, por el que se complementa la Directiva 2014/59/UE del Parlamento Europeo y del Consejo en lo que respecta a las circunstancias y condiciones en que el pago de contribuciones extraordinarias ex post puede ser aplazado parcial o totalmente, y sobre los criterios de determinación de las actividades, los servicios y las operaciones en relación con las funciones esenciales, así como de las ramas de actividad y servicios asociados con respecto a las ramas de actividad principales (DO L 131 de 20.5.2016, p. 41).</w:t>
      </w:r>
    </w:p>
  </w:footnote>
  <w:footnote w:id="19">
    <w:p w14:paraId="7FE1D26D" w14:textId="77777777" w:rsidR="00414040" w:rsidRDefault="00904E1A">
      <w:pPr>
        <w:pStyle w:val="FootnoteText"/>
      </w:pPr>
      <w:r>
        <w:rPr>
          <w:rStyle w:val="FootnoteReference"/>
        </w:rPr>
        <w:footnoteRef/>
      </w:r>
      <w:r>
        <w:t xml:space="preserve"> Directiva (UE) 2015/2366 del Parlamento Europeo y del Consejo, de 25 de noviembre de 2015, sobre servicios de pago en el mercado interior y por la que se modifican las Directivas 2002/65/CE, 2009/110/CE y 2013/36/UE y el Reglamento (UE) n.º 1093/2010 y se deroga la Directiva 2007/64/CE (DO L 337 de 23.12.2015, p. 35).</w:t>
      </w:r>
    </w:p>
  </w:footnote>
  <w:footnote w:id="20">
    <w:p w14:paraId="3D0400C1" w14:textId="77777777" w:rsidR="0094348F" w:rsidRDefault="0094348F" w:rsidP="0094348F">
      <w:pPr>
        <w:pStyle w:val="FootnoteText"/>
      </w:pPr>
      <w:r>
        <w:rPr>
          <w:rStyle w:val="FootnoteReference"/>
        </w:rPr>
        <w:footnoteRef/>
      </w:r>
      <w:r>
        <w:t xml:space="preserve"> Reglamento (UE) n.º 648/2012 del Parlamento Europeo y del Consejo, de 4 de julio de 2012, relativo a los derivados extrabursátiles, las entidades de contrapartida central y los registros de operaciones (DO L 201 de 27.7.2012, p. 1).</w:t>
      </w:r>
    </w:p>
  </w:footnote>
  <w:footnote w:id="21">
    <w:p w14:paraId="2E9CEBE2" w14:textId="5AD50E09" w:rsidR="00037925" w:rsidRDefault="00037925" w:rsidP="00037925">
      <w:pPr>
        <w:pStyle w:val="FootnoteText"/>
      </w:pPr>
      <w:r>
        <w:rPr>
          <w:rStyle w:val="FootnoteReference"/>
        </w:rPr>
        <w:footnoteRef/>
      </w:r>
      <w:r>
        <w:t xml:space="preserve"> De acuerdo con el artículo 1, apartado 2, de la Orientación (UE) 2021/835 del Banco Central Europeo</w:t>
      </w:r>
      <w:r w:rsidR="004039A3">
        <w:t>,</w:t>
      </w:r>
      <w:r>
        <w:t xml:space="preserve"> de 26 de marzo de 2021, por la que se deroga la Orientación BCE/2014/15 sobre estadísticas monetarias y financieras (BCE/2021/16), las referencias a la Orientación derogada se entenderán hechas a la Orientación (UE) 2021/830 (BCE/2021/11), la Orientación (UE) 2021/831 (BCE/2021/12), la Orientación (UE) 2021/83</w:t>
      </w:r>
      <w:r w:rsidR="004039A3">
        <w:t>3</w:t>
      </w:r>
      <w:r>
        <w:t xml:space="preserve"> (BCE/2021/14), la Orientación (UE) 2021/83</w:t>
      </w:r>
      <w:r w:rsidR="004039A3">
        <w:t>2</w:t>
      </w:r>
      <w:r>
        <w:t xml:space="preserve"> (BCE/2021/13) y la Orientación (UE) 2021/834 (BCE/2021/15) según proceda y de acuerdo con los cuadros de correspondencias de los anexos II a VI</w:t>
      </w:r>
      <w:r w:rsidR="00A2797C">
        <w:t>.</w:t>
      </w:r>
    </w:p>
    <w:p w14:paraId="5512009C" w14:textId="77777777" w:rsidR="00037925" w:rsidRDefault="00037925" w:rsidP="00037925">
      <w:pPr>
        <w:pStyle w:val="FootnoteText"/>
      </w:pPr>
    </w:p>
  </w:footnote>
  <w:footnote w:id="22">
    <w:p w14:paraId="7FE1D272" w14:textId="3277774A" w:rsidR="00414040" w:rsidRDefault="00904E1A">
      <w:pPr>
        <w:pStyle w:val="FootnoteText"/>
      </w:pPr>
      <w:r w:rsidRPr="00210421">
        <w:rPr>
          <w:vertAlign w:val="superscript"/>
          <w:lang w:val="es-ES"/>
        </w:rPr>
        <w:footnoteRef/>
      </w:r>
      <w:r w:rsidRPr="00210421">
        <w:rPr>
          <w:vertAlign w:val="superscript"/>
          <w:lang w:val="es-ES"/>
        </w:rPr>
        <w:t xml:space="preserve"> </w:t>
      </w:r>
      <w:r w:rsidR="00017284">
        <w:rPr>
          <w:vertAlign w:val="superscript"/>
          <w:lang w:val="es-ES"/>
        </w:rPr>
        <w:t xml:space="preserve"> </w:t>
      </w:r>
      <w:r w:rsidR="00017284">
        <w:rPr>
          <w:lang w:val="es-ES"/>
        </w:rPr>
        <w:t xml:space="preserve">Tal </w:t>
      </w:r>
      <w:r w:rsidRPr="03ACFEEB">
        <w:rPr>
          <w:lang w:val="es-ES"/>
        </w:rPr>
        <w:t>como se define en el apartado 13 de las Directrices de la ABE sobre resolubilidad.</w:t>
      </w:r>
    </w:p>
  </w:footnote>
  <w:footnote w:id="23">
    <w:p w14:paraId="7FE1D273" w14:textId="60D312AD" w:rsidR="00414040" w:rsidRDefault="00904E1A">
      <w:pPr>
        <w:pStyle w:val="FootnoteText"/>
      </w:pPr>
      <w:r w:rsidRPr="32D04945">
        <w:rPr>
          <w:rStyle w:val="FootnoteReference"/>
          <w:rFonts w:ascii="Verdana" w:hAnsi="Verdana"/>
          <w:sz w:val="16"/>
          <w:szCs w:val="16"/>
          <w:lang w:val="es-ES"/>
        </w:rPr>
        <w:footnoteRef/>
      </w:r>
      <w:r w:rsidRPr="32D04945">
        <w:rPr>
          <w:lang w:val="es-ES"/>
        </w:rPr>
        <w:t xml:space="preserve"> Reglamento Delegado (UE) 2016/778 de la Comisión, artículo 6 y considerando (8).</w:t>
      </w:r>
    </w:p>
  </w:footnote>
  <w:footnote w:id="24">
    <w:p w14:paraId="7FE1D274" w14:textId="1C805137" w:rsidR="00414040" w:rsidRDefault="00904E1A">
      <w:pPr>
        <w:pStyle w:val="FootnoteText"/>
      </w:pPr>
      <w:r w:rsidRPr="32D04945">
        <w:rPr>
          <w:rStyle w:val="FootnoteReference"/>
          <w:rFonts w:ascii="Verdana" w:hAnsi="Verdana"/>
          <w:sz w:val="16"/>
          <w:szCs w:val="16"/>
          <w:lang w:val="es-ES"/>
        </w:rPr>
        <w:footnoteRef/>
      </w:r>
      <w:r w:rsidRPr="32D04945">
        <w:rPr>
          <w:lang w:val="es-ES"/>
        </w:rPr>
        <w:t xml:space="preserve"> Reglamento Delegado (UE) 2016/778 de la Comisión, artículo 7. </w:t>
      </w:r>
    </w:p>
  </w:footnote>
  <w:footnote w:id="25">
    <w:p w14:paraId="7FE1D275" w14:textId="34848DEF" w:rsidR="00414040" w:rsidRDefault="00904E1A">
      <w:pPr>
        <w:pStyle w:val="FootnoteText"/>
      </w:pPr>
      <w:r w:rsidRPr="00210421">
        <w:rPr>
          <w:vertAlign w:val="superscript"/>
        </w:rPr>
        <w:footnoteRef/>
      </w:r>
      <w:r>
        <w:t xml:space="preserve"> La continuidad de los servicios esenciales puede ser necesaria para alcanzar objetivos de resolución distintos del mantenimiento de funciones esenciales (por ejemplo, la estabilidad financiera garantizando la viabilidad de la entidad posterior a la resolución). </w:t>
      </w:r>
    </w:p>
    <w:p w14:paraId="7FE1D276" w14:textId="77777777" w:rsidR="00414040" w:rsidRDefault="00414040">
      <w:pPr>
        <w:pStyle w:val="FootnoteText"/>
      </w:pPr>
    </w:p>
  </w:footnote>
  <w:footnote w:id="26">
    <w:p w14:paraId="7FE1D27C" w14:textId="5D96208D" w:rsidR="00414040" w:rsidRDefault="00904E1A">
      <w:pPr>
        <w:pStyle w:val="FootnoteText"/>
        <w:rPr>
          <w:rFonts w:ascii="Segoe UI" w:hAnsi="Segoe UI" w:cs="Segoe UI"/>
        </w:rPr>
      </w:pPr>
      <w:r w:rsidRPr="00210421">
        <w:rPr>
          <w:vertAlign w:val="superscript"/>
        </w:rPr>
        <w:footnoteRef/>
      </w:r>
      <w:r>
        <w:t xml:space="preserve"> Las disposiciones del título IV, capítulo VI, de la </w:t>
      </w:r>
      <w:r w:rsidR="00041F12">
        <w:t xml:space="preserve">BRRD </w:t>
      </w:r>
      <w:r>
        <w:t xml:space="preserve">prevén la </w:t>
      </w:r>
      <w:r w:rsidRPr="009326A9">
        <w:t xml:space="preserve">resiliencia </w:t>
      </w:r>
      <w:r w:rsidR="009326A9">
        <w:t xml:space="preserve">en </w:t>
      </w:r>
      <w:r w:rsidR="0029489C" w:rsidRPr="009326A9">
        <w:t>resolución</w:t>
      </w:r>
      <w:r>
        <w:t>, en particular en el contexto del ejercicio de las competencias de la autoridad de resolución, excepto para la ejecución de los planes de reorganización de actividades.</w:t>
      </w:r>
    </w:p>
  </w:footnote>
  <w:footnote w:id="27">
    <w:p w14:paraId="03B26378" w14:textId="4E1D1A40" w:rsidR="00D725BD" w:rsidRDefault="00D725BD" w:rsidP="00D725BD">
      <w:pPr>
        <w:pStyle w:val="FootnoteText"/>
      </w:pPr>
      <w:r>
        <w:rPr>
          <w:rStyle w:val="FootnoteReference"/>
        </w:rPr>
        <w:footnoteRef/>
      </w:r>
      <w:r>
        <w:t xml:space="preserve"> Reglamento (UE) 2022/2554 del Parlamento Europeo y del Consejo</w:t>
      </w:r>
      <w:r w:rsidR="00220817">
        <w:t>,</w:t>
      </w:r>
      <w:r>
        <w:t xml:space="preserve"> de 14 de diciembre de 2022</w:t>
      </w:r>
      <w:r w:rsidR="00220817">
        <w:t>,</w:t>
      </w:r>
      <w:r>
        <w:t xml:space="preserve"> sobre la resiliencia operativa digital del sector financiero y por el que se modifican los Reglamentos (CE) n.º 1060/2009, (UE) n.º 648/2012, (UE) n.º 600/2014, (UE) n.º 909/2014 y (UE) 2016/1011.</w:t>
      </w:r>
    </w:p>
    <w:p w14:paraId="6D9EB248" w14:textId="77777777" w:rsidR="00D725BD" w:rsidRDefault="00D725BD" w:rsidP="00D725BD">
      <w:pPr>
        <w:pStyle w:val="FootnoteText"/>
      </w:pPr>
    </w:p>
  </w:footnote>
  <w:footnote w:id="28">
    <w:p w14:paraId="7FE1D27F" w14:textId="212DF5FE" w:rsidR="00414040" w:rsidRDefault="00904E1A">
      <w:pPr>
        <w:pStyle w:val="FootnoteText"/>
        <w:rPr>
          <w:rFonts w:ascii="Segoe UI" w:hAnsi="Segoe UI" w:cs="Segoe UI"/>
        </w:rPr>
      </w:pPr>
      <w:r w:rsidRPr="00210421">
        <w:rPr>
          <w:vertAlign w:val="superscript"/>
        </w:rPr>
        <w:footnoteRef/>
      </w:r>
      <w:r w:rsidRPr="00210421">
        <w:rPr>
          <w:vertAlign w:val="superscript"/>
        </w:rPr>
        <w:t xml:space="preserve"> </w:t>
      </w:r>
      <w:r>
        <w:t xml:space="preserve">Las disposiciones del título IV, capítulo VI, de la </w:t>
      </w:r>
      <w:r w:rsidR="004C4A0F">
        <w:t xml:space="preserve">BRRD </w:t>
      </w:r>
      <w:r>
        <w:t xml:space="preserve">prevén la resiliencia </w:t>
      </w:r>
      <w:r w:rsidR="009E371C" w:rsidRPr="00D04CC1">
        <w:t>en</w:t>
      </w:r>
      <w:r>
        <w:t xml:space="preserve"> resoluci</w:t>
      </w:r>
      <w:r w:rsidR="009E371C">
        <w:t>ón</w:t>
      </w:r>
      <w:r>
        <w:t>, en particular en el contexto del ejercicio de las competencias de la autoridad de resolución, excepto para la ejecución de los planes de reorganización de actividades.</w:t>
      </w:r>
    </w:p>
  </w:footnote>
  <w:footnote w:id="29">
    <w:p w14:paraId="7FE1D280" w14:textId="77777777" w:rsidR="00414040" w:rsidRDefault="00904E1A">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Valores representativos de deuda, valores de renta variable y otros valores, repos.</w:t>
      </w:r>
    </w:p>
  </w:footnote>
  <w:footnote w:id="30">
    <w:p w14:paraId="7FE1D281" w14:textId="7D2A7E66" w:rsidR="00414040" w:rsidRDefault="00904E1A">
      <w:pPr>
        <w:pStyle w:val="TableParagraph"/>
        <w:spacing w:before="108"/>
        <w:ind w:left="85"/>
        <w:jc w:val="both"/>
      </w:pPr>
      <w:r>
        <w:rPr>
          <w:rStyle w:val="FootnoteReference"/>
        </w:rPr>
        <w:footnoteRef/>
      </w:r>
      <w:r w:rsidR="466B0B01">
        <w:rPr>
          <w:rStyle w:val="FootnoteReference"/>
        </w:rPr>
        <w:t xml:space="preserve"> </w:t>
      </w:r>
      <w:r w:rsidR="466B0B01" w:rsidRPr="466B0B01">
        <w:rPr>
          <w:rFonts w:ascii="Times New Roman" w:eastAsiaTheme="minorEastAsia" w:hAnsi="Times New Roman" w:cs="Times New Roman"/>
          <w:sz w:val="18"/>
          <w:szCs w:val="18"/>
        </w:rPr>
        <w:t>Sistemas o dispositivos multilateral en los que interactúan los diversos intereses de compra y de venta de instrumentos financieros de múltiples terceros</w:t>
      </w:r>
      <w:r w:rsidR="00602343">
        <w:rPr>
          <w:rFonts w:ascii="Times New Roman" w:eastAsiaTheme="minorEastAsia" w:hAnsi="Times New Roman" w:cs="Times New Roman"/>
          <w:sz w:val="18"/>
          <w:szCs w:val="18"/>
        </w:rPr>
        <w:t>.</w:t>
      </w:r>
      <w:r w:rsidR="466B0B01" w:rsidRPr="466B0B01">
        <w:rPr>
          <w:rFonts w:ascii="Times New Roman" w:eastAsiaTheme="minorEastAsia" w:hAnsi="Times New Roman" w:cs="Times New Roman"/>
          <w:sz w:val="18"/>
          <w:szCs w:val="18"/>
        </w:rPr>
        <w:t xml:space="preserve"> En el caso de los sistemas situados en el EEE, esta definición incluye los mercados regulados,  los sistemas multilaterales de negociación (SMN) y los sistemas organizados de contratación (SOC)  </w:t>
      </w:r>
    </w:p>
    <w:p w14:paraId="489EA207" w14:textId="3B320841" w:rsidR="466B0B01" w:rsidRDefault="466B0B01" w:rsidP="466B0B01">
      <w:pPr>
        <w:pStyle w:val="TableParagraph"/>
        <w:spacing w:before="108"/>
        <w:ind w:left="85"/>
        <w:jc w:val="both"/>
      </w:pPr>
    </w:p>
  </w:footnote>
  <w:footnote w:id="31">
    <w:p w14:paraId="7FE1D282" w14:textId="4DCA11D4" w:rsidR="00414040" w:rsidRDefault="00904E1A">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Véase Glosario de pagos y mercados del BCE: Participante directo: «un participante en un sistema [...] que pueda realizar todas las actividades permitidas en el sistema sin recurrir a un intermediario (incluida, en particular, la introducción directa de órdenes en el sistema y la realización de operaciones de liquidación)</w:t>
      </w:r>
      <w:r>
        <w:rPr>
          <w:rFonts w:ascii="Times New Roman" w:eastAsiaTheme="minorEastAsia" w:hAnsi="Times New Roman" w:cs="Times New Roman"/>
          <w:sz w:val="18"/>
          <w:szCs w:val="18"/>
        </w:rPr>
        <w:t xml:space="preserve">». Participante indirecto: «un participante en un </w:t>
      </w:r>
      <w:r w:rsidR="00B5497E">
        <w:rPr>
          <w:rFonts w:ascii="Times New Roman" w:eastAsiaTheme="minorEastAsia" w:hAnsi="Times New Roman" w:cs="Times New Roman"/>
          <w:sz w:val="18"/>
          <w:szCs w:val="18"/>
        </w:rPr>
        <w:t xml:space="preserve">sistema </w:t>
      </w:r>
      <w:r>
        <w:rPr>
          <w:rFonts w:ascii="Times New Roman" w:eastAsiaTheme="minorEastAsia" w:hAnsi="Times New Roman" w:cs="Times New Roman"/>
          <w:sz w:val="18"/>
          <w:szCs w:val="18"/>
        </w:rPr>
        <w:t>[...]con un acuerdo de diferenciación que usa a un participante directo como intermediario para realizar algunas actividades permitidas en el sistema (particularmente la liquidación)».</w:t>
      </w:r>
    </w:p>
    <w:p w14:paraId="7FE1D283" w14:textId="77777777" w:rsidR="00414040" w:rsidRDefault="00414040">
      <w:pPr>
        <w:pStyle w:val="FootnoteText"/>
      </w:pPr>
    </w:p>
  </w:footnote>
  <w:footnote w:id="32">
    <w:p w14:paraId="7FE1D284" w14:textId="0F90B627" w:rsidR="00414040" w:rsidRDefault="00904E1A">
      <w:pPr>
        <w:pStyle w:val="FootnoteText"/>
      </w:pPr>
      <w:r>
        <w:rPr>
          <w:rStyle w:val="FootnoteReference"/>
        </w:rPr>
        <w:footnoteRef/>
      </w:r>
      <w:r>
        <w:t xml:space="preserve"> Para la definición de «</w:t>
      </w:r>
      <w:r w:rsidRPr="00D44C08">
        <w:t xml:space="preserve">resiliencia </w:t>
      </w:r>
      <w:r w:rsidR="006B56BC" w:rsidRPr="00210421">
        <w:t xml:space="preserve">en </w:t>
      </w:r>
      <w:r w:rsidRPr="00D44C08">
        <w:t xml:space="preserve"> </w:t>
      </w:r>
      <w:r w:rsidR="006B56BC" w:rsidRPr="003F06BD">
        <w:t>resolución</w:t>
      </w:r>
      <w:r>
        <w:t xml:space="preserve">» a efectos </w:t>
      </w:r>
      <w:r w:rsidR="007D0411">
        <w:t xml:space="preserve">de la </w:t>
      </w:r>
      <w:r>
        <w:t xml:space="preserve">presente </w:t>
      </w:r>
      <w:r w:rsidR="007D0411">
        <w:t>plantilla</w:t>
      </w:r>
      <w:r>
        <w:t>, véase la columna</w:t>
      </w:r>
      <w:r w:rsidR="006B56BC">
        <w:t xml:space="preserve"> 150 de Z.</w:t>
      </w:r>
      <w:r>
        <w:t>08.01.</w:t>
      </w:r>
    </w:p>
  </w:footnote>
  <w:footnote w:id="33">
    <w:p w14:paraId="0EB3F770" w14:textId="0179E40A" w:rsidR="00197DB9" w:rsidRPr="00210421" w:rsidRDefault="00197DB9">
      <w:pPr>
        <w:pStyle w:val="FootnoteText"/>
        <w:rPr>
          <w:lang w:val="es-ES"/>
        </w:rPr>
      </w:pPr>
      <w:r>
        <w:rPr>
          <w:rStyle w:val="FootnoteReference"/>
        </w:rPr>
        <w:footnoteRef/>
      </w:r>
      <w:r>
        <w:t xml:space="preserve"> A efectos de las métricas relevantes para </w:t>
      </w:r>
      <w:r w:rsidR="00760705">
        <w:t>la comunicación de información</w:t>
      </w:r>
      <w:r>
        <w:t>, «</w:t>
      </w:r>
      <w:r w:rsidR="00760705">
        <w:t>e</w:t>
      </w:r>
      <w:r>
        <w:t>squemas de tarjetas» se asimila a «</w:t>
      </w:r>
      <w:r w:rsidR="00760705">
        <w:t>s</w:t>
      </w:r>
      <w:r>
        <w:t>ervicios de pago»; «NA» se asimila a «</w:t>
      </w:r>
      <w:r w:rsidR="00760705">
        <w:t>d</w:t>
      </w:r>
      <w:r>
        <w:t>epositarios centrales de valores»</w:t>
      </w:r>
      <w:r w:rsidR="00760705">
        <w:t xml:space="preserve"> si tratan con valores y a «sistemas de pago» si tratan con servicios de caja.</w:t>
      </w:r>
    </w:p>
  </w:footnote>
  <w:footnote w:id="34">
    <w:p w14:paraId="7FE1D286" w14:textId="4543A814" w:rsidR="00414040" w:rsidRDefault="00904E1A">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sidRPr="00210421">
        <w:rPr>
          <w:sz w:val="18"/>
          <w:szCs w:val="18"/>
        </w:rPr>
        <w:t xml:space="preserve">A </w:t>
      </w:r>
      <w:r>
        <w:rPr>
          <w:rFonts w:ascii="Times New Roman" w:eastAsiaTheme="minorEastAsia" w:hAnsi="Times New Roman" w:cs="Times New Roman"/>
          <w:sz w:val="18"/>
          <w:szCs w:val="18"/>
        </w:rPr>
        <w:t xml:space="preserve">efectos </w:t>
      </w:r>
      <w:r w:rsidR="007D0411">
        <w:rPr>
          <w:rFonts w:ascii="Times New Roman" w:eastAsiaTheme="minorEastAsia" w:hAnsi="Times New Roman" w:cs="Times New Roman"/>
          <w:sz w:val="18"/>
          <w:szCs w:val="18"/>
        </w:rPr>
        <w:t xml:space="preserve">de la </w:t>
      </w:r>
      <w:r>
        <w:rPr>
          <w:rFonts w:ascii="Times New Roman" w:eastAsiaTheme="minorEastAsia" w:hAnsi="Times New Roman" w:cs="Times New Roman"/>
          <w:sz w:val="18"/>
          <w:szCs w:val="18"/>
        </w:rPr>
        <w:t xml:space="preserve">presente </w:t>
      </w:r>
      <w:r w:rsidR="007D0411">
        <w:rPr>
          <w:rFonts w:ascii="Times New Roman" w:eastAsiaTheme="minorEastAsia" w:hAnsi="Times New Roman" w:cs="Times New Roman"/>
          <w:sz w:val="18"/>
          <w:szCs w:val="18"/>
        </w:rPr>
        <w:t>plantilla</w:t>
      </w:r>
      <w:r>
        <w:rPr>
          <w:rFonts w:ascii="Times New Roman" w:eastAsiaTheme="minorEastAsia" w:hAnsi="Times New Roman" w:cs="Times New Roman"/>
          <w:sz w:val="18"/>
          <w:szCs w:val="18"/>
        </w:rPr>
        <w:t xml:space="preserve">, el significado de los tipos de cuenta debe interpretarse de conformidad con el artículo 39 (4) y (5) del EMIR. El significado de la posición debe interpretarse de conformidad con </w:t>
      </w:r>
      <w:r w:rsidR="00E14CD2">
        <w:rPr>
          <w:rFonts w:ascii="Times New Roman" w:eastAsiaTheme="minorEastAsia" w:hAnsi="Times New Roman" w:cs="Times New Roman"/>
          <w:sz w:val="18"/>
          <w:szCs w:val="18"/>
        </w:rPr>
        <w:t xml:space="preserve">el </w:t>
      </w:r>
      <w:r>
        <w:rPr>
          <w:rFonts w:ascii="Times New Roman" w:eastAsiaTheme="minorEastAsia" w:hAnsi="Times New Roman" w:cs="Times New Roman"/>
          <w:sz w:val="18"/>
          <w:szCs w:val="18"/>
        </w:rPr>
        <w:t>artículo 2</w:t>
      </w:r>
      <w:r w:rsidR="00E14CD2">
        <w:rPr>
          <w:rFonts w:ascii="Times New Roman" w:eastAsiaTheme="minorEastAsia" w:hAnsi="Times New Roman" w:cs="Times New Roman"/>
          <w:sz w:val="18"/>
          <w:szCs w:val="18"/>
        </w:rPr>
        <w:t>, apartado</w:t>
      </w:r>
      <w:r>
        <w:rPr>
          <w:rFonts w:ascii="Times New Roman" w:eastAsiaTheme="minorEastAsia" w:hAnsi="Times New Roman" w:cs="Times New Roman"/>
          <w:sz w:val="18"/>
          <w:szCs w:val="18"/>
        </w:rPr>
        <w:t xml:space="preserve"> 3</w:t>
      </w:r>
      <w:r w:rsidR="00E14CD2">
        <w:rPr>
          <w:rFonts w:ascii="Times New Roman" w:eastAsiaTheme="minorEastAsia" w:hAnsi="Times New Roman" w:cs="Times New Roman"/>
          <w:sz w:val="18"/>
          <w:szCs w:val="18"/>
        </w:rPr>
        <w:t xml:space="preserve"> y</w:t>
      </w:r>
      <w:r>
        <w:rPr>
          <w:rFonts w:ascii="Times New Roman" w:eastAsiaTheme="minorEastAsia" w:hAnsi="Times New Roman" w:cs="Times New Roman"/>
          <w:sz w:val="18"/>
          <w:szCs w:val="18"/>
        </w:rPr>
        <w:t xml:space="preserve"> </w:t>
      </w:r>
      <w:r w:rsidR="00E14CD2">
        <w:rPr>
          <w:rFonts w:ascii="Times New Roman" w:eastAsiaTheme="minorEastAsia" w:hAnsi="Times New Roman" w:cs="Times New Roman"/>
          <w:sz w:val="18"/>
          <w:szCs w:val="18"/>
        </w:rPr>
        <w:t xml:space="preserve">el artículo </w:t>
      </w:r>
      <w:r>
        <w:rPr>
          <w:rFonts w:ascii="Times New Roman" w:eastAsiaTheme="minorEastAsia" w:hAnsi="Times New Roman" w:cs="Times New Roman"/>
          <w:sz w:val="18"/>
          <w:szCs w:val="18"/>
        </w:rPr>
        <w:t>39</w:t>
      </w:r>
      <w:r w:rsidR="00E14CD2">
        <w:rPr>
          <w:rFonts w:ascii="Times New Roman" w:eastAsiaTheme="minorEastAsia" w:hAnsi="Times New Roman" w:cs="Times New Roman"/>
          <w:sz w:val="18"/>
          <w:szCs w:val="18"/>
        </w:rPr>
        <w:t>, apartados</w:t>
      </w:r>
      <w:r>
        <w:rPr>
          <w:rFonts w:ascii="Times New Roman" w:eastAsiaTheme="minorEastAsia" w:hAnsi="Times New Roman" w:cs="Times New Roman"/>
          <w:sz w:val="18"/>
          <w:szCs w:val="18"/>
        </w:rPr>
        <w:t xml:space="preserve"> 4 </w:t>
      </w:r>
      <w:r w:rsidR="00E14CD2">
        <w:rPr>
          <w:rFonts w:ascii="Times New Roman" w:eastAsiaTheme="minorEastAsia" w:hAnsi="Times New Roman" w:cs="Times New Roman"/>
          <w:sz w:val="18"/>
          <w:szCs w:val="18"/>
        </w:rPr>
        <w:t>y</w:t>
      </w:r>
      <w:r>
        <w:rPr>
          <w:rFonts w:ascii="Times New Roman" w:eastAsiaTheme="minorEastAsia" w:hAnsi="Times New Roman" w:cs="Times New Roman"/>
          <w:sz w:val="18"/>
          <w:szCs w:val="18"/>
        </w:rPr>
        <w:t xml:space="preserve"> 5 del EMIR. Cuentas de clientes: solo cuando </w:t>
      </w:r>
      <w:r w:rsidR="00B107CF">
        <w:rPr>
          <w:rFonts w:ascii="Times New Roman" w:eastAsiaTheme="minorEastAsia" w:hAnsi="Times New Roman" w:cs="Times New Roman"/>
          <w:sz w:val="18"/>
          <w:szCs w:val="18"/>
        </w:rPr>
        <w:t>el ente jurídico</w:t>
      </w:r>
      <w:r>
        <w:rPr>
          <w:rFonts w:ascii="Times New Roman" w:eastAsiaTheme="minorEastAsia" w:hAnsi="Times New Roman" w:cs="Times New Roman"/>
          <w:sz w:val="18"/>
          <w:szCs w:val="18"/>
        </w:rPr>
        <w:t xml:space="preserve"> proporcione acceso indirecto a las IMF.</w:t>
      </w:r>
    </w:p>
  </w:footnote>
  <w:footnote w:id="35">
    <w:p w14:paraId="7FE1D287" w14:textId="21F2F8F9" w:rsidR="00414040" w:rsidRDefault="00904E1A">
      <w:pPr>
        <w:pStyle w:val="FootnoteText"/>
      </w:pPr>
      <w:r>
        <w:rPr>
          <w:rStyle w:val="FootnoteReference"/>
        </w:rPr>
        <w:footnoteRef/>
      </w:r>
      <w:r>
        <w:t xml:space="preserve"> Véase Notas metodológicas del BCE sobre las estadísticas de negociación, compensación y liquidación de valores.</w:t>
      </w:r>
    </w:p>
  </w:footnote>
  <w:footnote w:id="36">
    <w:p w14:paraId="7FE1D289" w14:textId="4F93EF7E" w:rsidR="00414040" w:rsidRDefault="00904E1A">
      <w:pPr>
        <w:pStyle w:val="FootnoteText"/>
      </w:pPr>
      <w:r>
        <w:rPr>
          <w:rStyle w:val="FootnoteReference"/>
        </w:rPr>
        <w:footnoteRef/>
      </w:r>
      <w:r>
        <w:t xml:space="preserve"> Algunos instrumentos de capital, como las participaciones cooperativas, no entran en la definición de valores, pero deben </w:t>
      </w:r>
      <w:r w:rsidR="003D1F4C">
        <w:t>declararse</w:t>
      </w:r>
      <w:r w:rsidR="00583CDD">
        <w:t xml:space="preserve"> </w:t>
      </w:r>
      <w:r>
        <w:t>aquí.</w:t>
      </w:r>
    </w:p>
  </w:footnote>
  <w:footnote w:id="37">
    <w:p w14:paraId="3A80BCF8" w14:textId="11A5733C" w:rsidR="00BF00F4" w:rsidRPr="00A31D3C" w:rsidRDefault="00BF00F4" w:rsidP="00BF00F4">
      <w:pPr>
        <w:pStyle w:val="FootnoteText"/>
        <w:rPr>
          <w:rFonts w:ascii="Verdana" w:hAnsi="Verdana"/>
        </w:rPr>
      </w:pPr>
      <w:r w:rsidRPr="00A31D3C">
        <w:rPr>
          <w:rStyle w:val="FootnoteReference"/>
          <w:rFonts w:ascii="Verdana" w:hAnsi="Verdana"/>
          <w:sz w:val="16"/>
        </w:rPr>
        <w:footnoteRef/>
      </w:r>
      <w:r w:rsidRPr="00A31D3C">
        <w:rPr>
          <w:rFonts w:ascii="Verdana" w:hAnsi="Verdana"/>
          <w:sz w:val="16"/>
        </w:rPr>
        <w:t xml:space="preserve"> </w:t>
      </w:r>
      <w:r w:rsidRPr="00210421">
        <w:rPr>
          <w:rFonts w:ascii="Verdana" w:hAnsi="Verdana"/>
          <w:bCs/>
          <w:sz w:val="16"/>
          <w:lang w:val="es-ES"/>
        </w:rPr>
        <w:t>Euronext Clearing es la n</w:t>
      </w:r>
      <w:r>
        <w:rPr>
          <w:rFonts w:ascii="Verdana" w:hAnsi="Verdana"/>
          <w:bCs/>
          <w:sz w:val="16"/>
          <w:lang w:val="es-ES"/>
        </w:rPr>
        <w:t>ueva denominación comercial de</w:t>
      </w:r>
      <w:r w:rsidRPr="00210421">
        <w:rPr>
          <w:rFonts w:ascii="Verdana" w:hAnsi="Verdana"/>
          <w:bCs/>
          <w:sz w:val="16"/>
          <w:lang w:val="es-ES"/>
        </w:rPr>
        <w:t xml:space="preserve">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414040" w:rsidRDefault="00904E1A">
    <w:pPr>
      <w:pStyle w:val="Header"/>
    </w:pPr>
    <w:r>
      <w:rPr>
        <w:noProof/>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Recuadro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414040" w:rsidRDefault="00904E1A">
                          <w:pPr>
                            <w:pStyle w:val="P68B1DB1-Normal93"/>
                          </w:pPr>
                          <w: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Recuadro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414040" w:rsidRDefault="00904E1A">
                    <w:pPr>
                      <w:pStyle w:val="P68B1DB1-Normal93"/>
                    </w:pPr>
                    <w:r>
                      <w:t>Uso habitual de la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0D19569" w:rsidR="00414040" w:rsidRDefault="00904E1A">
    <w:pPr>
      <w:pStyle w:val="P68B1DB1-Header94"/>
      <w:jc w:val="center"/>
    </w:pPr>
    <w:r>
      <w:rPr>
        <w:noProof/>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Recuadro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414040" w:rsidRDefault="00414040">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Recuadro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414040" w:rsidRDefault="00414040">
                    <w:pPr>
                      <w:rPr>
                        <w:rFonts w:ascii="Calibri" w:eastAsia="Calibri" w:hAnsi="Calibri" w:cs="Calibri"/>
                        <w:color w:val="000000"/>
                        <w:sz w:val="24"/>
                      </w:rPr>
                    </w:pPr>
                  </w:p>
                </w:txbxContent>
              </v:textbox>
              <w10:wrap type="square" anchorx="margin"/>
            </v:shape>
          </w:pict>
        </mc:Fallback>
      </mc:AlternateContent>
    </w:r>
    <w:r w:rsidR="4941412B">
      <w:t>ES</w:t>
    </w:r>
  </w:p>
  <w:p w14:paraId="7FE1D24D" w14:textId="77777777" w:rsidR="00414040" w:rsidRDefault="00904E1A">
    <w:pPr>
      <w:pStyle w:val="P68B1DB1-Header94"/>
      <w:jc w:val="center"/>
    </w:pPr>
    <w:r>
      <w:t>ANEXO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414040" w:rsidRDefault="00904E1A">
    <w:pPr>
      <w:pStyle w:val="Header"/>
    </w:pPr>
    <w:r>
      <w:rPr>
        <w:noProof/>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Recuadro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414040" w:rsidRDefault="00414040">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Recuadro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414040" w:rsidRDefault="00414040">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85C12"/>
    <w:multiLevelType w:val="hybridMultilevel"/>
    <w:tmpl w:val="F81E2E4C"/>
    <w:lvl w:ilvl="0" w:tplc="8F12461A">
      <w:start w:val="1"/>
      <w:numFmt w:val="decimal"/>
      <w:lvlText w:val="%1)"/>
      <w:lvlJc w:val="left"/>
      <w:pPr>
        <w:ind w:left="18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9"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1"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2"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3"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5"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6"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7"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8"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9"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0"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2"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4"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5"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6"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7"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9"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10"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1"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2"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3"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7"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8"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9"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1"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3"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6"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8"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9"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30"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1"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2"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8"/>
  </w:num>
  <w:num w:numId="5" w16cid:durableId="1847790544">
    <w:abstractNumId w:val="83"/>
  </w:num>
  <w:num w:numId="6" w16cid:durableId="1877808404">
    <w:abstractNumId w:val="139"/>
  </w:num>
  <w:num w:numId="7" w16cid:durableId="1912109604">
    <w:abstractNumId w:val="227"/>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1"/>
  </w:num>
  <w:num w:numId="13" w16cid:durableId="256014536">
    <w:abstractNumId w:val="225"/>
  </w:num>
  <w:num w:numId="14" w16cid:durableId="2076660622">
    <w:abstractNumId w:val="95"/>
  </w:num>
  <w:num w:numId="15" w16cid:durableId="289938605">
    <w:abstractNumId w:val="174"/>
  </w:num>
  <w:num w:numId="16" w16cid:durableId="1936287175">
    <w:abstractNumId w:val="206"/>
  </w:num>
  <w:num w:numId="17" w16cid:durableId="1788112967">
    <w:abstractNumId w:val="56"/>
  </w:num>
  <w:num w:numId="18" w16cid:durableId="84351531">
    <w:abstractNumId w:val="188"/>
  </w:num>
  <w:num w:numId="19" w16cid:durableId="253317903">
    <w:abstractNumId w:val="127"/>
  </w:num>
  <w:num w:numId="20" w16cid:durableId="277218497">
    <w:abstractNumId w:val="38"/>
  </w:num>
  <w:num w:numId="21" w16cid:durableId="1887376714">
    <w:abstractNumId w:val="230"/>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9"/>
  </w:num>
  <w:num w:numId="28" w16cid:durableId="972979768">
    <w:abstractNumId w:val="211"/>
  </w:num>
  <w:num w:numId="29" w16cid:durableId="205682563">
    <w:abstractNumId w:val="204"/>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3"/>
  </w:num>
  <w:num w:numId="48" w16cid:durableId="87462">
    <w:abstractNumId w:val="3"/>
  </w:num>
  <w:num w:numId="49" w16cid:durableId="2045594300">
    <w:abstractNumId w:val="199"/>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10"/>
  </w:num>
  <w:num w:numId="55" w16cid:durableId="64689614">
    <w:abstractNumId w:val="106"/>
  </w:num>
  <w:num w:numId="56" w16cid:durableId="592478094">
    <w:abstractNumId w:val="203"/>
  </w:num>
  <w:num w:numId="57" w16cid:durableId="1352609795">
    <w:abstractNumId w:val="199"/>
  </w:num>
  <w:num w:numId="58" w16cid:durableId="1072581428">
    <w:abstractNumId w:val="199"/>
  </w:num>
  <w:num w:numId="59" w16cid:durableId="1358234269">
    <w:abstractNumId w:val="44"/>
  </w:num>
  <w:num w:numId="60" w16cid:durableId="781537126">
    <w:abstractNumId w:val="189"/>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9"/>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8"/>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9"/>
  </w:num>
  <w:num w:numId="83" w16cid:durableId="306472255">
    <w:abstractNumId w:val="199"/>
  </w:num>
  <w:num w:numId="84" w16cid:durableId="1815218691">
    <w:abstractNumId w:val="199"/>
  </w:num>
  <w:num w:numId="85" w16cid:durableId="1972401314">
    <w:abstractNumId w:val="199"/>
  </w:num>
  <w:num w:numId="86" w16cid:durableId="524178791">
    <w:abstractNumId w:val="199"/>
  </w:num>
  <w:num w:numId="87" w16cid:durableId="1394809415">
    <w:abstractNumId w:val="199"/>
  </w:num>
  <w:num w:numId="88" w16cid:durableId="75367050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9"/>
  </w:num>
  <w:num w:numId="92" w16cid:durableId="164445837">
    <w:abstractNumId w:val="199"/>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7"/>
  </w:num>
  <w:num w:numId="102" w16cid:durableId="965963957">
    <w:abstractNumId w:val="79"/>
  </w:num>
  <w:num w:numId="103" w16cid:durableId="1045981385">
    <w:abstractNumId w:val="191"/>
  </w:num>
  <w:num w:numId="104" w16cid:durableId="235239412">
    <w:abstractNumId w:val="208"/>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5"/>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6"/>
  </w:num>
  <w:num w:numId="122" w16cid:durableId="754127533">
    <w:abstractNumId w:val="157"/>
  </w:num>
  <w:num w:numId="123" w16cid:durableId="634141794">
    <w:abstractNumId w:val="88"/>
  </w:num>
  <w:num w:numId="124" w16cid:durableId="280458799">
    <w:abstractNumId w:val="20"/>
  </w:num>
  <w:num w:numId="125" w16cid:durableId="1778941127">
    <w:abstractNumId w:val="197"/>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20"/>
  </w:num>
  <w:num w:numId="155" w16cid:durableId="1823228135">
    <w:abstractNumId w:val="58"/>
  </w:num>
  <w:num w:numId="156" w16cid:durableId="450588583">
    <w:abstractNumId w:val="58"/>
  </w:num>
  <w:num w:numId="157" w16cid:durableId="1237089920">
    <w:abstractNumId w:val="58"/>
  </w:num>
  <w:num w:numId="158" w16cid:durableId="1138035733">
    <w:abstractNumId w:val="199"/>
  </w:num>
  <w:num w:numId="159" w16cid:durableId="1692684714">
    <w:abstractNumId w:val="58"/>
  </w:num>
  <w:num w:numId="160" w16cid:durableId="1392385747">
    <w:abstractNumId w:val="199"/>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2"/>
  </w:num>
  <w:num w:numId="171" w16cid:durableId="1820416327">
    <w:abstractNumId w:val="58"/>
  </w:num>
  <w:num w:numId="172" w16cid:durableId="1412696025">
    <w:abstractNumId w:val="58"/>
  </w:num>
  <w:num w:numId="173" w16cid:durableId="643004259">
    <w:abstractNumId w:val="199"/>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9"/>
  </w:num>
  <w:num w:numId="179" w16cid:durableId="928388474">
    <w:abstractNumId w:val="199"/>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7"/>
  </w:num>
  <w:num w:numId="188" w16cid:durableId="1687245458">
    <w:abstractNumId w:val="50"/>
  </w:num>
  <w:num w:numId="189" w16cid:durableId="818839511">
    <w:abstractNumId w:val="202"/>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1"/>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8"/>
  </w:num>
  <w:num w:numId="211" w16cid:durableId="1431584483">
    <w:abstractNumId w:val="192"/>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9"/>
  </w:num>
  <w:num w:numId="220" w16cid:durableId="53551785">
    <w:abstractNumId w:val="19"/>
  </w:num>
  <w:num w:numId="221" w16cid:durableId="595789817">
    <w:abstractNumId w:val="222"/>
  </w:num>
  <w:num w:numId="222" w16cid:durableId="1862275999">
    <w:abstractNumId w:val="224"/>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200"/>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3"/>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9"/>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9"/>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9"/>
  </w:num>
  <w:num w:numId="261" w16cid:durableId="160638046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6"/>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5"/>
  </w:num>
  <w:num w:numId="274" w16cid:durableId="1930578262">
    <w:abstractNumId w:val="49"/>
  </w:num>
  <w:num w:numId="275" w16cid:durableId="894269104">
    <w:abstractNumId w:val="147"/>
  </w:num>
  <w:num w:numId="276" w16cid:durableId="1284577574">
    <w:abstractNumId w:val="125"/>
  </w:num>
  <w:num w:numId="277" w16cid:durableId="589656717">
    <w:abstractNumId w:val="232"/>
  </w:num>
  <w:num w:numId="278" w16cid:durableId="616373926">
    <w:abstractNumId w:val="51"/>
  </w:num>
  <w:num w:numId="279" w16cid:durableId="436829786">
    <w:abstractNumId w:val="194"/>
  </w:num>
  <w:num w:numId="280" w16cid:durableId="987976900">
    <w:abstractNumId w:val="41"/>
  </w:num>
  <w:num w:numId="281" w16cid:durableId="488133779">
    <w:abstractNumId w:val="8"/>
  </w:num>
  <w:num w:numId="282" w16cid:durableId="540676342">
    <w:abstractNumId w:val="223"/>
  </w:num>
  <w:num w:numId="283" w16cid:durableId="1813522530">
    <w:abstractNumId w:val="214"/>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1"/>
  </w:num>
  <w:num w:numId="293" w16cid:durableId="252319778">
    <w:abstractNumId w:val="185"/>
  </w:num>
  <w:num w:numId="294" w16cid:durableId="1437795604">
    <w:abstractNumId w:val="190"/>
  </w:num>
  <w:num w:numId="295" w16cid:durableId="679085209">
    <w:abstractNumId w:val="71"/>
  </w:num>
  <w:num w:numId="296" w16cid:durableId="2112118546">
    <w:abstractNumId w:val="205"/>
  </w:num>
  <w:num w:numId="297" w16cid:durableId="2036809290">
    <w:abstractNumId w:val="99"/>
  </w:num>
  <w:num w:numId="298" w16cid:durableId="1135216362">
    <w:abstractNumId w:val="196"/>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 w:numId="302" w16cid:durableId="1145897322">
    <w:abstractNumId w:val="199"/>
  </w:num>
  <w:num w:numId="303" w16cid:durableId="266352484">
    <w:abstractNumId w:val="58"/>
  </w:num>
  <w:num w:numId="304" w16cid:durableId="1967618909">
    <w:abstractNumId w:val="187"/>
  </w:num>
  <w:num w:numId="305" w16cid:durableId="998775021">
    <w:abstractNumId w:val="199"/>
  </w:num>
  <w:num w:numId="306" w16cid:durableId="1632906583">
    <w:abstractNumId w:val="58"/>
  </w:num>
  <w:num w:numId="307" w16cid:durableId="2025860994">
    <w:abstractNumId w:val="5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0506"/>
    <w:rsid w:val="000005F4"/>
    <w:rsid w:val="000011CB"/>
    <w:rsid w:val="000017A1"/>
    <w:rsid w:val="00001808"/>
    <w:rsid w:val="00001DFA"/>
    <w:rsid w:val="00001EDF"/>
    <w:rsid w:val="00001FB8"/>
    <w:rsid w:val="00002E32"/>
    <w:rsid w:val="00002E56"/>
    <w:rsid w:val="0000363C"/>
    <w:rsid w:val="00003EA6"/>
    <w:rsid w:val="00004138"/>
    <w:rsid w:val="0000530A"/>
    <w:rsid w:val="000055BF"/>
    <w:rsid w:val="00005784"/>
    <w:rsid w:val="00005E6C"/>
    <w:rsid w:val="00006AD1"/>
    <w:rsid w:val="00006B2B"/>
    <w:rsid w:val="00006FE1"/>
    <w:rsid w:val="000073EF"/>
    <w:rsid w:val="0000771F"/>
    <w:rsid w:val="00007A8A"/>
    <w:rsid w:val="00010E8E"/>
    <w:rsid w:val="00011C8D"/>
    <w:rsid w:val="0001201F"/>
    <w:rsid w:val="00012EF3"/>
    <w:rsid w:val="0001344D"/>
    <w:rsid w:val="00014144"/>
    <w:rsid w:val="000142FE"/>
    <w:rsid w:val="00014A24"/>
    <w:rsid w:val="00014B48"/>
    <w:rsid w:val="00015034"/>
    <w:rsid w:val="00015089"/>
    <w:rsid w:val="000164A9"/>
    <w:rsid w:val="00016F97"/>
    <w:rsid w:val="00017006"/>
    <w:rsid w:val="00017284"/>
    <w:rsid w:val="00017526"/>
    <w:rsid w:val="000207C9"/>
    <w:rsid w:val="00021036"/>
    <w:rsid w:val="0002109C"/>
    <w:rsid w:val="000211E7"/>
    <w:rsid w:val="00021222"/>
    <w:rsid w:val="00021492"/>
    <w:rsid w:val="00021C3C"/>
    <w:rsid w:val="00021FF5"/>
    <w:rsid w:val="00022358"/>
    <w:rsid w:val="00022605"/>
    <w:rsid w:val="00023532"/>
    <w:rsid w:val="00024AF4"/>
    <w:rsid w:val="000251CF"/>
    <w:rsid w:val="00025758"/>
    <w:rsid w:val="00025883"/>
    <w:rsid w:val="00026BB7"/>
    <w:rsid w:val="00026DAB"/>
    <w:rsid w:val="000302A7"/>
    <w:rsid w:val="00030436"/>
    <w:rsid w:val="0003125C"/>
    <w:rsid w:val="000318D9"/>
    <w:rsid w:val="00031CC3"/>
    <w:rsid w:val="000325E7"/>
    <w:rsid w:val="00032653"/>
    <w:rsid w:val="0003338C"/>
    <w:rsid w:val="00033EDD"/>
    <w:rsid w:val="000344FD"/>
    <w:rsid w:val="000371F4"/>
    <w:rsid w:val="000374B2"/>
    <w:rsid w:val="00037925"/>
    <w:rsid w:val="00037C83"/>
    <w:rsid w:val="00037C9E"/>
    <w:rsid w:val="00040614"/>
    <w:rsid w:val="00040E6A"/>
    <w:rsid w:val="00040FD6"/>
    <w:rsid w:val="00041331"/>
    <w:rsid w:val="00041C4A"/>
    <w:rsid w:val="00041F12"/>
    <w:rsid w:val="000420E0"/>
    <w:rsid w:val="000439C8"/>
    <w:rsid w:val="00043F8C"/>
    <w:rsid w:val="0004401E"/>
    <w:rsid w:val="0004473D"/>
    <w:rsid w:val="00044783"/>
    <w:rsid w:val="00044AD2"/>
    <w:rsid w:val="00044BA5"/>
    <w:rsid w:val="00044BAB"/>
    <w:rsid w:val="00046BA2"/>
    <w:rsid w:val="00046F19"/>
    <w:rsid w:val="00047455"/>
    <w:rsid w:val="00047800"/>
    <w:rsid w:val="000502BE"/>
    <w:rsid w:val="00050609"/>
    <w:rsid w:val="00052532"/>
    <w:rsid w:val="0005349C"/>
    <w:rsid w:val="0005463F"/>
    <w:rsid w:val="0005577A"/>
    <w:rsid w:val="00056065"/>
    <w:rsid w:val="0005698C"/>
    <w:rsid w:val="00061438"/>
    <w:rsid w:val="0006167B"/>
    <w:rsid w:val="00061B84"/>
    <w:rsid w:val="000620E2"/>
    <w:rsid w:val="00062861"/>
    <w:rsid w:val="000628C3"/>
    <w:rsid w:val="00062A33"/>
    <w:rsid w:val="00062AB9"/>
    <w:rsid w:val="00062C64"/>
    <w:rsid w:val="00062E2C"/>
    <w:rsid w:val="00063055"/>
    <w:rsid w:val="00063E46"/>
    <w:rsid w:val="000641B0"/>
    <w:rsid w:val="000647BD"/>
    <w:rsid w:val="00064B70"/>
    <w:rsid w:val="00065290"/>
    <w:rsid w:val="000652C7"/>
    <w:rsid w:val="0006581E"/>
    <w:rsid w:val="00065FDF"/>
    <w:rsid w:val="0006660A"/>
    <w:rsid w:val="00067705"/>
    <w:rsid w:val="00067974"/>
    <w:rsid w:val="00067C15"/>
    <w:rsid w:val="00067EB2"/>
    <w:rsid w:val="00070697"/>
    <w:rsid w:val="00071096"/>
    <w:rsid w:val="000713A1"/>
    <w:rsid w:val="00071A1E"/>
    <w:rsid w:val="00072284"/>
    <w:rsid w:val="0007239E"/>
    <w:rsid w:val="000726FC"/>
    <w:rsid w:val="000739A7"/>
    <w:rsid w:val="00073A31"/>
    <w:rsid w:val="00073B64"/>
    <w:rsid w:val="00074263"/>
    <w:rsid w:val="00074521"/>
    <w:rsid w:val="00074543"/>
    <w:rsid w:val="00074CD1"/>
    <w:rsid w:val="00075011"/>
    <w:rsid w:val="0007633A"/>
    <w:rsid w:val="0007729C"/>
    <w:rsid w:val="00077B8D"/>
    <w:rsid w:val="00080851"/>
    <w:rsid w:val="0008094F"/>
    <w:rsid w:val="000810B5"/>
    <w:rsid w:val="00081A0B"/>
    <w:rsid w:val="00081B97"/>
    <w:rsid w:val="00081DDE"/>
    <w:rsid w:val="0008225E"/>
    <w:rsid w:val="000823B1"/>
    <w:rsid w:val="00082ED0"/>
    <w:rsid w:val="00083422"/>
    <w:rsid w:val="000838C9"/>
    <w:rsid w:val="00083D93"/>
    <w:rsid w:val="000840C0"/>
    <w:rsid w:val="0008609F"/>
    <w:rsid w:val="00086131"/>
    <w:rsid w:val="0008654C"/>
    <w:rsid w:val="00086708"/>
    <w:rsid w:val="00086C16"/>
    <w:rsid w:val="00086C74"/>
    <w:rsid w:val="000901C4"/>
    <w:rsid w:val="00090E3D"/>
    <w:rsid w:val="00090FA4"/>
    <w:rsid w:val="00091A0C"/>
    <w:rsid w:val="00091A83"/>
    <w:rsid w:val="00091AAC"/>
    <w:rsid w:val="00092589"/>
    <w:rsid w:val="0009265B"/>
    <w:rsid w:val="000927D5"/>
    <w:rsid w:val="00092913"/>
    <w:rsid w:val="00092B87"/>
    <w:rsid w:val="00093585"/>
    <w:rsid w:val="00093DBA"/>
    <w:rsid w:val="00093E6D"/>
    <w:rsid w:val="00093EFA"/>
    <w:rsid w:val="00093F22"/>
    <w:rsid w:val="00095408"/>
    <w:rsid w:val="000958FA"/>
    <w:rsid w:val="0009639E"/>
    <w:rsid w:val="0009691B"/>
    <w:rsid w:val="00096B30"/>
    <w:rsid w:val="00096E2F"/>
    <w:rsid w:val="00096E79"/>
    <w:rsid w:val="0009736E"/>
    <w:rsid w:val="0009776B"/>
    <w:rsid w:val="00097C5A"/>
    <w:rsid w:val="000A04C4"/>
    <w:rsid w:val="000A05AC"/>
    <w:rsid w:val="000A0EB6"/>
    <w:rsid w:val="000A11CB"/>
    <w:rsid w:val="000A17C2"/>
    <w:rsid w:val="000A1825"/>
    <w:rsid w:val="000A2005"/>
    <w:rsid w:val="000A2AFE"/>
    <w:rsid w:val="000A2BC2"/>
    <w:rsid w:val="000A54D5"/>
    <w:rsid w:val="000A55DD"/>
    <w:rsid w:val="000A5E17"/>
    <w:rsid w:val="000A5E22"/>
    <w:rsid w:val="000A6AF0"/>
    <w:rsid w:val="000A7325"/>
    <w:rsid w:val="000A7FD9"/>
    <w:rsid w:val="000B0077"/>
    <w:rsid w:val="000B0085"/>
    <w:rsid w:val="000B05DF"/>
    <w:rsid w:val="000B08C3"/>
    <w:rsid w:val="000B0EB2"/>
    <w:rsid w:val="000B0FA4"/>
    <w:rsid w:val="000B1778"/>
    <w:rsid w:val="000B18CC"/>
    <w:rsid w:val="000B1E3C"/>
    <w:rsid w:val="000B275A"/>
    <w:rsid w:val="000B2A2B"/>
    <w:rsid w:val="000B2B61"/>
    <w:rsid w:val="000B2D27"/>
    <w:rsid w:val="000B3194"/>
    <w:rsid w:val="000B3BE8"/>
    <w:rsid w:val="000B3ECD"/>
    <w:rsid w:val="000B424E"/>
    <w:rsid w:val="000B4588"/>
    <w:rsid w:val="000B45B0"/>
    <w:rsid w:val="000B45EC"/>
    <w:rsid w:val="000B4B6E"/>
    <w:rsid w:val="000B4F33"/>
    <w:rsid w:val="000B53BC"/>
    <w:rsid w:val="000B5767"/>
    <w:rsid w:val="000B62CB"/>
    <w:rsid w:val="000B6703"/>
    <w:rsid w:val="000B7357"/>
    <w:rsid w:val="000B7FEA"/>
    <w:rsid w:val="000C05F6"/>
    <w:rsid w:val="000C0AEB"/>
    <w:rsid w:val="000C0E67"/>
    <w:rsid w:val="000C1E8B"/>
    <w:rsid w:val="000C2046"/>
    <w:rsid w:val="000C2AD7"/>
    <w:rsid w:val="000C3837"/>
    <w:rsid w:val="000C3AEE"/>
    <w:rsid w:val="000C493B"/>
    <w:rsid w:val="000C51EB"/>
    <w:rsid w:val="000C52E8"/>
    <w:rsid w:val="000C5479"/>
    <w:rsid w:val="000C5D1A"/>
    <w:rsid w:val="000C5D4C"/>
    <w:rsid w:val="000C5E21"/>
    <w:rsid w:val="000C61B4"/>
    <w:rsid w:val="000C6996"/>
    <w:rsid w:val="000C6DE5"/>
    <w:rsid w:val="000C70B8"/>
    <w:rsid w:val="000C79B9"/>
    <w:rsid w:val="000D0A81"/>
    <w:rsid w:val="000D138D"/>
    <w:rsid w:val="000D1662"/>
    <w:rsid w:val="000D1B6C"/>
    <w:rsid w:val="000D2CC5"/>
    <w:rsid w:val="000D2FBC"/>
    <w:rsid w:val="000D2FCF"/>
    <w:rsid w:val="000D47E5"/>
    <w:rsid w:val="000D4880"/>
    <w:rsid w:val="000D5085"/>
    <w:rsid w:val="000D5510"/>
    <w:rsid w:val="000D5BF5"/>
    <w:rsid w:val="000D669D"/>
    <w:rsid w:val="000D6E6C"/>
    <w:rsid w:val="000D7D8D"/>
    <w:rsid w:val="000D7F3A"/>
    <w:rsid w:val="000E0256"/>
    <w:rsid w:val="000E0734"/>
    <w:rsid w:val="000E083F"/>
    <w:rsid w:val="000E13A1"/>
    <w:rsid w:val="000E13FC"/>
    <w:rsid w:val="000E1734"/>
    <w:rsid w:val="000E2062"/>
    <w:rsid w:val="000E25E5"/>
    <w:rsid w:val="000E27B0"/>
    <w:rsid w:val="000E291E"/>
    <w:rsid w:val="000E445A"/>
    <w:rsid w:val="000E4A0C"/>
    <w:rsid w:val="000E50C4"/>
    <w:rsid w:val="000E5242"/>
    <w:rsid w:val="000E554C"/>
    <w:rsid w:val="000E5937"/>
    <w:rsid w:val="000E7792"/>
    <w:rsid w:val="000E7E98"/>
    <w:rsid w:val="000F1D1E"/>
    <w:rsid w:val="000F2016"/>
    <w:rsid w:val="000F21BD"/>
    <w:rsid w:val="000F31E7"/>
    <w:rsid w:val="000F3ED5"/>
    <w:rsid w:val="000F4DBE"/>
    <w:rsid w:val="000F4DC6"/>
    <w:rsid w:val="000F5533"/>
    <w:rsid w:val="000F5EEF"/>
    <w:rsid w:val="000F678F"/>
    <w:rsid w:val="000F6E30"/>
    <w:rsid w:val="000F7227"/>
    <w:rsid w:val="000F7CD4"/>
    <w:rsid w:val="0010024F"/>
    <w:rsid w:val="001014E4"/>
    <w:rsid w:val="00103238"/>
    <w:rsid w:val="001038C1"/>
    <w:rsid w:val="00103B18"/>
    <w:rsid w:val="00103EF4"/>
    <w:rsid w:val="001047EC"/>
    <w:rsid w:val="00104D5B"/>
    <w:rsid w:val="00104FF7"/>
    <w:rsid w:val="0010505D"/>
    <w:rsid w:val="00105AF5"/>
    <w:rsid w:val="001067DF"/>
    <w:rsid w:val="00106852"/>
    <w:rsid w:val="00106896"/>
    <w:rsid w:val="00106A95"/>
    <w:rsid w:val="00106BD9"/>
    <w:rsid w:val="00106ED6"/>
    <w:rsid w:val="0010706B"/>
    <w:rsid w:val="00111AC5"/>
    <w:rsid w:val="00111FB5"/>
    <w:rsid w:val="001126BE"/>
    <w:rsid w:val="00112906"/>
    <w:rsid w:val="00112E9F"/>
    <w:rsid w:val="00114069"/>
    <w:rsid w:val="001146AA"/>
    <w:rsid w:val="00114858"/>
    <w:rsid w:val="00114C65"/>
    <w:rsid w:val="00114D64"/>
    <w:rsid w:val="00115080"/>
    <w:rsid w:val="00115A4A"/>
    <w:rsid w:val="00115A94"/>
    <w:rsid w:val="00116036"/>
    <w:rsid w:val="001168D7"/>
    <w:rsid w:val="00116C33"/>
    <w:rsid w:val="0011719A"/>
    <w:rsid w:val="0011737A"/>
    <w:rsid w:val="00117486"/>
    <w:rsid w:val="00117644"/>
    <w:rsid w:val="00117F93"/>
    <w:rsid w:val="001202E9"/>
    <w:rsid w:val="00120591"/>
    <w:rsid w:val="00120C0A"/>
    <w:rsid w:val="00120CBD"/>
    <w:rsid w:val="00121B49"/>
    <w:rsid w:val="001220D2"/>
    <w:rsid w:val="00122B2E"/>
    <w:rsid w:val="00122D5A"/>
    <w:rsid w:val="00123529"/>
    <w:rsid w:val="00123EEF"/>
    <w:rsid w:val="00124673"/>
    <w:rsid w:val="00124735"/>
    <w:rsid w:val="00124AD4"/>
    <w:rsid w:val="001251D0"/>
    <w:rsid w:val="001259CA"/>
    <w:rsid w:val="00125B18"/>
    <w:rsid w:val="001271A6"/>
    <w:rsid w:val="001273D1"/>
    <w:rsid w:val="00130523"/>
    <w:rsid w:val="001309E5"/>
    <w:rsid w:val="00130EFE"/>
    <w:rsid w:val="001310BC"/>
    <w:rsid w:val="0013165F"/>
    <w:rsid w:val="00131CFA"/>
    <w:rsid w:val="00133850"/>
    <w:rsid w:val="001341BF"/>
    <w:rsid w:val="001360D5"/>
    <w:rsid w:val="00136B8A"/>
    <w:rsid w:val="00136D7B"/>
    <w:rsid w:val="001373F5"/>
    <w:rsid w:val="001376F0"/>
    <w:rsid w:val="00137A1A"/>
    <w:rsid w:val="00140817"/>
    <w:rsid w:val="00141150"/>
    <w:rsid w:val="00141877"/>
    <w:rsid w:val="001425DE"/>
    <w:rsid w:val="00142D77"/>
    <w:rsid w:val="00142F4D"/>
    <w:rsid w:val="00143962"/>
    <w:rsid w:val="00143A41"/>
    <w:rsid w:val="00143B38"/>
    <w:rsid w:val="001446F5"/>
    <w:rsid w:val="00144F4C"/>
    <w:rsid w:val="0014518E"/>
    <w:rsid w:val="001452B7"/>
    <w:rsid w:val="00145CE4"/>
    <w:rsid w:val="00146BB2"/>
    <w:rsid w:val="00146E7F"/>
    <w:rsid w:val="001470D0"/>
    <w:rsid w:val="00147989"/>
    <w:rsid w:val="00151198"/>
    <w:rsid w:val="001515A6"/>
    <w:rsid w:val="00151BE4"/>
    <w:rsid w:val="00152B96"/>
    <w:rsid w:val="00153152"/>
    <w:rsid w:val="001531A0"/>
    <w:rsid w:val="001536F6"/>
    <w:rsid w:val="00153800"/>
    <w:rsid w:val="0015412E"/>
    <w:rsid w:val="001546F1"/>
    <w:rsid w:val="00154801"/>
    <w:rsid w:val="00154DEA"/>
    <w:rsid w:val="00154F89"/>
    <w:rsid w:val="00155296"/>
    <w:rsid w:val="00155A24"/>
    <w:rsid w:val="001566BA"/>
    <w:rsid w:val="0015672D"/>
    <w:rsid w:val="00156B6C"/>
    <w:rsid w:val="0016029A"/>
    <w:rsid w:val="00160A45"/>
    <w:rsid w:val="00161173"/>
    <w:rsid w:val="001612D2"/>
    <w:rsid w:val="00161670"/>
    <w:rsid w:val="00161F93"/>
    <w:rsid w:val="0016295F"/>
    <w:rsid w:val="00162A4A"/>
    <w:rsid w:val="00163593"/>
    <w:rsid w:val="00163AF4"/>
    <w:rsid w:val="00163B3D"/>
    <w:rsid w:val="0016454D"/>
    <w:rsid w:val="00164845"/>
    <w:rsid w:val="00164AB4"/>
    <w:rsid w:val="0016581F"/>
    <w:rsid w:val="00165985"/>
    <w:rsid w:val="00166CF9"/>
    <w:rsid w:val="00166D84"/>
    <w:rsid w:val="00167324"/>
    <w:rsid w:val="001712E9"/>
    <w:rsid w:val="00171A96"/>
    <w:rsid w:val="00171D70"/>
    <w:rsid w:val="001722A1"/>
    <w:rsid w:val="00172841"/>
    <w:rsid w:val="00172BC9"/>
    <w:rsid w:val="00172E00"/>
    <w:rsid w:val="00172F83"/>
    <w:rsid w:val="00173593"/>
    <w:rsid w:val="00173705"/>
    <w:rsid w:val="001737BA"/>
    <w:rsid w:val="00173889"/>
    <w:rsid w:val="0017481C"/>
    <w:rsid w:val="00174AE1"/>
    <w:rsid w:val="00175176"/>
    <w:rsid w:val="00175629"/>
    <w:rsid w:val="001767FA"/>
    <w:rsid w:val="00176C80"/>
    <w:rsid w:val="001771FE"/>
    <w:rsid w:val="00177FAE"/>
    <w:rsid w:val="001800E3"/>
    <w:rsid w:val="0018082C"/>
    <w:rsid w:val="00180945"/>
    <w:rsid w:val="001809CD"/>
    <w:rsid w:val="00180B72"/>
    <w:rsid w:val="00180CDD"/>
    <w:rsid w:val="0018128A"/>
    <w:rsid w:val="00181496"/>
    <w:rsid w:val="00181560"/>
    <w:rsid w:val="001815CE"/>
    <w:rsid w:val="0018175D"/>
    <w:rsid w:val="001818F8"/>
    <w:rsid w:val="00181ABA"/>
    <w:rsid w:val="001834A2"/>
    <w:rsid w:val="00183A06"/>
    <w:rsid w:val="00184589"/>
    <w:rsid w:val="00184F4D"/>
    <w:rsid w:val="00186714"/>
    <w:rsid w:val="001867BE"/>
    <w:rsid w:val="001872F5"/>
    <w:rsid w:val="0018735B"/>
    <w:rsid w:val="0018763C"/>
    <w:rsid w:val="00187882"/>
    <w:rsid w:val="00187BE7"/>
    <w:rsid w:val="00187BFA"/>
    <w:rsid w:val="00190CB7"/>
    <w:rsid w:val="00191356"/>
    <w:rsid w:val="00191358"/>
    <w:rsid w:val="00191A78"/>
    <w:rsid w:val="001926A9"/>
    <w:rsid w:val="0019325F"/>
    <w:rsid w:val="00194765"/>
    <w:rsid w:val="001951E9"/>
    <w:rsid w:val="0019543F"/>
    <w:rsid w:val="0019564E"/>
    <w:rsid w:val="00195715"/>
    <w:rsid w:val="00195F80"/>
    <w:rsid w:val="0019611C"/>
    <w:rsid w:val="00196D35"/>
    <w:rsid w:val="00197DB9"/>
    <w:rsid w:val="001A0C0E"/>
    <w:rsid w:val="001A11C3"/>
    <w:rsid w:val="001A16CD"/>
    <w:rsid w:val="001A1E31"/>
    <w:rsid w:val="001A1FFE"/>
    <w:rsid w:val="001A257E"/>
    <w:rsid w:val="001A2777"/>
    <w:rsid w:val="001A28E7"/>
    <w:rsid w:val="001A2938"/>
    <w:rsid w:val="001A2B48"/>
    <w:rsid w:val="001A2E1B"/>
    <w:rsid w:val="001A3237"/>
    <w:rsid w:val="001A3F00"/>
    <w:rsid w:val="001A5A0C"/>
    <w:rsid w:val="001A5BD4"/>
    <w:rsid w:val="001A5FEB"/>
    <w:rsid w:val="001A60E6"/>
    <w:rsid w:val="001A706E"/>
    <w:rsid w:val="001A72E2"/>
    <w:rsid w:val="001A77B2"/>
    <w:rsid w:val="001A7C9F"/>
    <w:rsid w:val="001A7CCD"/>
    <w:rsid w:val="001B0D4C"/>
    <w:rsid w:val="001B0FD1"/>
    <w:rsid w:val="001B1245"/>
    <w:rsid w:val="001B1715"/>
    <w:rsid w:val="001B26E6"/>
    <w:rsid w:val="001B3F60"/>
    <w:rsid w:val="001B452E"/>
    <w:rsid w:val="001B4B0A"/>
    <w:rsid w:val="001B4D64"/>
    <w:rsid w:val="001B542E"/>
    <w:rsid w:val="001B587C"/>
    <w:rsid w:val="001B60B6"/>
    <w:rsid w:val="001B6586"/>
    <w:rsid w:val="001B6F68"/>
    <w:rsid w:val="001B7638"/>
    <w:rsid w:val="001B7E4F"/>
    <w:rsid w:val="001B7F82"/>
    <w:rsid w:val="001B7FD1"/>
    <w:rsid w:val="001C0689"/>
    <w:rsid w:val="001C0B82"/>
    <w:rsid w:val="001C19F3"/>
    <w:rsid w:val="001C1A14"/>
    <w:rsid w:val="001C2167"/>
    <w:rsid w:val="001C2274"/>
    <w:rsid w:val="001C28D4"/>
    <w:rsid w:val="001C2BE9"/>
    <w:rsid w:val="001C33E8"/>
    <w:rsid w:val="001C3C7F"/>
    <w:rsid w:val="001C4114"/>
    <w:rsid w:val="001C4563"/>
    <w:rsid w:val="001C637B"/>
    <w:rsid w:val="001C66AA"/>
    <w:rsid w:val="001C6F89"/>
    <w:rsid w:val="001C778B"/>
    <w:rsid w:val="001C7E0D"/>
    <w:rsid w:val="001C7FD8"/>
    <w:rsid w:val="001D00B5"/>
    <w:rsid w:val="001D0581"/>
    <w:rsid w:val="001D0A43"/>
    <w:rsid w:val="001D0C78"/>
    <w:rsid w:val="001D0CDC"/>
    <w:rsid w:val="001D1930"/>
    <w:rsid w:val="001D1C8D"/>
    <w:rsid w:val="001D236E"/>
    <w:rsid w:val="001D2759"/>
    <w:rsid w:val="001D2B40"/>
    <w:rsid w:val="001D381A"/>
    <w:rsid w:val="001D45AF"/>
    <w:rsid w:val="001D47E8"/>
    <w:rsid w:val="001D4BBA"/>
    <w:rsid w:val="001D4D25"/>
    <w:rsid w:val="001D4DCE"/>
    <w:rsid w:val="001D62AB"/>
    <w:rsid w:val="001D63B6"/>
    <w:rsid w:val="001D650A"/>
    <w:rsid w:val="001D6B86"/>
    <w:rsid w:val="001D766D"/>
    <w:rsid w:val="001D787C"/>
    <w:rsid w:val="001D7F75"/>
    <w:rsid w:val="001E0F34"/>
    <w:rsid w:val="001E11D9"/>
    <w:rsid w:val="001E1268"/>
    <w:rsid w:val="001E1775"/>
    <w:rsid w:val="001E18BC"/>
    <w:rsid w:val="001E195C"/>
    <w:rsid w:val="001E1C72"/>
    <w:rsid w:val="001E241E"/>
    <w:rsid w:val="001E25C3"/>
    <w:rsid w:val="001E27FE"/>
    <w:rsid w:val="001E3940"/>
    <w:rsid w:val="001E3AF0"/>
    <w:rsid w:val="001E3B5C"/>
    <w:rsid w:val="001E3CA1"/>
    <w:rsid w:val="001E41B5"/>
    <w:rsid w:val="001E42CA"/>
    <w:rsid w:val="001E43E8"/>
    <w:rsid w:val="001E45C0"/>
    <w:rsid w:val="001E4CFC"/>
    <w:rsid w:val="001E4DC9"/>
    <w:rsid w:val="001E4F8F"/>
    <w:rsid w:val="001E51B8"/>
    <w:rsid w:val="001E540B"/>
    <w:rsid w:val="001E5F2D"/>
    <w:rsid w:val="001E5F7F"/>
    <w:rsid w:val="001E6382"/>
    <w:rsid w:val="001E68E2"/>
    <w:rsid w:val="001E6AD3"/>
    <w:rsid w:val="001E6B30"/>
    <w:rsid w:val="001E6B4E"/>
    <w:rsid w:val="001E763B"/>
    <w:rsid w:val="001F0302"/>
    <w:rsid w:val="001F0477"/>
    <w:rsid w:val="001F076B"/>
    <w:rsid w:val="001F0D54"/>
    <w:rsid w:val="001F11A5"/>
    <w:rsid w:val="001F1A1E"/>
    <w:rsid w:val="001F1AF0"/>
    <w:rsid w:val="001F1CB3"/>
    <w:rsid w:val="001F1E5C"/>
    <w:rsid w:val="001F2501"/>
    <w:rsid w:val="001F2797"/>
    <w:rsid w:val="001F417E"/>
    <w:rsid w:val="001F486A"/>
    <w:rsid w:val="001F48DF"/>
    <w:rsid w:val="001F520F"/>
    <w:rsid w:val="001F5402"/>
    <w:rsid w:val="001F58B6"/>
    <w:rsid w:val="001F5DE1"/>
    <w:rsid w:val="001F5EBA"/>
    <w:rsid w:val="001F6511"/>
    <w:rsid w:val="001F67A1"/>
    <w:rsid w:val="001F6B96"/>
    <w:rsid w:val="001F6E51"/>
    <w:rsid w:val="001F783D"/>
    <w:rsid w:val="001F7F3F"/>
    <w:rsid w:val="00200657"/>
    <w:rsid w:val="00200802"/>
    <w:rsid w:val="00200EED"/>
    <w:rsid w:val="00201CDE"/>
    <w:rsid w:val="0020235E"/>
    <w:rsid w:val="00202CD1"/>
    <w:rsid w:val="00202CEF"/>
    <w:rsid w:val="00202F1E"/>
    <w:rsid w:val="002037B6"/>
    <w:rsid w:val="0020496A"/>
    <w:rsid w:val="00204A18"/>
    <w:rsid w:val="00204EE2"/>
    <w:rsid w:val="002054FA"/>
    <w:rsid w:val="002055E5"/>
    <w:rsid w:val="00205AF5"/>
    <w:rsid w:val="00206499"/>
    <w:rsid w:val="00206E35"/>
    <w:rsid w:val="00210062"/>
    <w:rsid w:val="002102C7"/>
    <w:rsid w:val="00210350"/>
    <w:rsid w:val="00210421"/>
    <w:rsid w:val="00210559"/>
    <w:rsid w:val="00210E60"/>
    <w:rsid w:val="00211E8A"/>
    <w:rsid w:val="002126B9"/>
    <w:rsid w:val="00212BD7"/>
    <w:rsid w:val="002130EC"/>
    <w:rsid w:val="0021359D"/>
    <w:rsid w:val="002142EB"/>
    <w:rsid w:val="00214E8C"/>
    <w:rsid w:val="00214ECE"/>
    <w:rsid w:val="002153FB"/>
    <w:rsid w:val="00215B79"/>
    <w:rsid w:val="00216EF0"/>
    <w:rsid w:val="00217669"/>
    <w:rsid w:val="00217704"/>
    <w:rsid w:val="00220817"/>
    <w:rsid w:val="00220DF5"/>
    <w:rsid w:val="00220EC9"/>
    <w:rsid w:val="00221117"/>
    <w:rsid w:val="0022122B"/>
    <w:rsid w:val="0022136D"/>
    <w:rsid w:val="00221527"/>
    <w:rsid w:val="002217A0"/>
    <w:rsid w:val="002217E3"/>
    <w:rsid w:val="00221BE3"/>
    <w:rsid w:val="00221E09"/>
    <w:rsid w:val="00222FD4"/>
    <w:rsid w:val="0022336A"/>
    <w:rsid w:val="00224098"/>
    <w:rsid w:val="0022449F"/>
    <w:rsid w:val="002244F7"/>
    <w:rsid w:val="002254B3"/>
    <w:rsid w:val="00226413"/>
    <w:rsid w:val="00227309"/>
    <w:rsid w:val="0022742A"/>
    <w:rsid w:val="0022761C"/>
    <w:rsid w:val="00227AE5"/>
    <w:rsid w:val="00230723"/>
    <w:rsid w:val="00230D3C"/>
    <w:rsid w:val="00231332"/>
    <w:rsid w:val="00233233"/>
    <w:rsid w:val="00233999"/>
    <w:rsid w:val="0023415C"/>
    <w:rsid w:val="002341BA"/>
    <w:rsid w:val="0023436F"/>
    <w:rsid w:val="0023494F"/>
    <w:rsid w:val="002349F5"/>
    <w:rsid w:val="00234AD2"/>
    <w:rsid w:val="00235437"/>
    <w:rsid w:val="00235542"/>
    <w:rsid w:val="00235E00"/>
    <w:rsid w:val="00235FAB"/>
    <w:rsid w:val="002370AF"/>
    <w:rsid w:val="00237859"/>
    <w:rsid w:val="00237C02"/>
    <w:rsid w:val="00237F20"/>
    <w:rsid w:val="00240032"/>
    <w:rsid w:val="0024003A"/>
    <w:rsid w:val="002400C2"/>
    <w:rsid w:val="002407F3"/>
    <w:rsid w:val="0024083A"/>
    <w:rsid w:val="002413A2"/>
    <w:rsid w:val="002415F5"/>
    <w:rsid w:val="00241891"/>
    <w:rsid w:val="00241B84"/>
    <w:rsid w:val="002421B0"/>
    <w:rsid w:val="0024221F"/>
    <w:rsid w:val="00242402"/>
    <w:rsid w:val="00242751"/>
    <w:rsid w:val="00242837"/>
    <w:rsid w:val="0024391E"/>
    <w:rsid w:val="00243BF0"/>
    <w:rsid w:val="00243E2D"/>
    <w:rsid w:val="00243FE7"/>
    <w:rsid w:val="0024410E"/>
    <w:rsid w:val="002442D2"/>
    <w:rsid w:val="0024447A"/>
    <w:rsid w:val="00244CA1"/>
    <w:rsid w:val="00245742"/>
    <w:rsid w:val="00246876"/>
    <w:rsid w:val="00247699"/>
    <w:rsid w:val="002478C2"/>
    <w:rsid w:val="00247EF6"/>
    <w:rsid w:val="0025008E"/>
    <w:rsid w:val="002503CE"/>
    <w:rsid w:val="00250558"/>
    <w:rsid w:val="00250691"/>
    <w:rsid w:val="00250908"/>
    <w:rsid w:val="0025183C"/>
    <w:rsid w:val="002519F3"/>
    <w:rsid w:val="00251D9A"/>
    <w:rsid w:val="002524DF"/>
    <w:rsid w:val="00252525"/>
    <w:rsid w:val="002528BE"/>
    <w:rsid w:val="00252C47"/>
    <w:rsid w:val="00253083"/>
    <w:rsid w:val="0025310E"/>
    <w:rsid w:val="0025348F"/>
    <w:rsid w:val="002535DF"/>
    <w:rsid w:val="00253794"/>
    <w:rsid w:val="002541E8"/>
    <w:rsid w:val="00254EB9"/>
    <w:rsid w:val="00255085"/>
    <w:rsid w:val="002553F1"/>
    <w:rsid w:val="00256893"/>
    <w:rsid w:val="00256B50"/>
    <w:rsid w:val="0025702A"/>
    <w:rsid w:val="002573CC"/>
    <w:rsid w:val="002577BC"/>
    <w:rsid w:val="00257947"/>
    <w:rsid w:val="00257B20"/>
    <w:rsid w:val="00260011"/>
    <w:rsid w:val="00260729"/>
    <w:rsid w:val="0026161A"/>
    <w:rsid w:val="0026189D"/>
    <w:rsid w:val="00261E09"/>
    <w:rsid w:val="00261E39"/>
    <w:rsid w:val="00262089"/>
    <w:rsid w:val="002621AE"/>
    <w:rsid w:val="002628D7"/>
    <w:rsid w:val="00262B21"/>
    <w:rsid w:val="00263352"/>
    <w:rsid w:val="00263CFA"/>
    <w:rsid w:val="0026419D"/>
    <w:rsid w:val="00266C60"/>
    <w:rsid w:val="00267CF7"/>
    <w:rsid w:val="00267D4E"/>
    <w:rsid w:val="00267D9A"/>
    <w:rsid w:val="002705AA"/>
    <w:rsid w:val="00270D07"/>
    <w:rsid w:val="00271A4F"/>
    <w:rsid w:val="00271B83"/>
    <w:rsid w:val="00271BBA"/>
    <w:rsid w:val="00273284"/>
    <w:rsid w:val="00273505"/>
    <w:rsid w:val="00273962"/>
    <w:rsid w:val="00273E1A"/>
    <w:rsid w:val="00274DEB"/>
    <w:rsid w:val="00277465"/>
    <w:rsid w:val="0027792A"/>
    <w:rsid w:val="00277BD1"/>
    <w:rsid w:val="00277EEC"/>
    <w:rsid w:val="0028040F"/>
    <w:rsid w:val="002807F4"/>
    <w:rsid w:val="00281132"/>
    <w:rsid w:val="00281CB7"/>
    <w:rsid w:val="00282750"/>
    <w:rsid w:val="00282DC3"/>
    <w:rsid w:val="002834E8"/>
    <w:rsid w:val="00283DC8"/>
    <w:rsid w:val="00283ED1"/>
    <w:rsid w:val="0028453E"/>
    <w:rsid w:val="002847BF"/>
    <w:rsid w:val="002857B4"/>
    <w:rsid w:val="002859D9"/>
    <w:rsid w:val="0028662C"/>
    <w:rsid w:val="002874BF"/>
    <w:rsid w:val="00287553"/>
    <w:rsid w:val="002901A2"/>
    <w:rsid w:val="0029035D"/>
    <w:rsid w:val="00290818"/>
    <w:rsid w:val="00290A45"/>
    <w:rsid w:val="00290C38"/>
    <w:rsid w:val="00290E30"/>
    <w:rsid w:val="00291868"/>
    <w:rsid w:val="00291F09"/>
    <w:rsid w:val="00292983"/>
    <w:rsid w:val="00292B33"/>
    <w:rsid w:val="00292CE5"/>
    <w:rsid w:val="002938AF"/>
    <w:rsid w:val="00293A19"/>
    <w:rsid w:val="00294649"/>
    <w:rsid w:val="0029489C"/>
    <w:rsid w:val="00294E06"/>
    <w:rsid w:val="00295091"/>
    <w:rsid w:val="00295497"/>
    <w:rsid w:val="00295C4A"/>
    <w:rsid w:val="00295F59"/>
    <w:rsid w:val="0029659C"/>
    <w:rsid w:val="0029748E"/>
    <w:rsid w:val="0029BCA5"/>
    <w:rsid w:val="002A1DEF"/>
    <w:rsid w:val="002A27DD"/>
    <w:rsid w:val="002A2BCF"/>
    <w:rsid w:val="002A3002"/>
    <w:rsid w:val="002A300A"/>
    <w:rsid w:val="002A4014"/>
    <w:rsid w:val="002A509A"/>
    <w:rsid w:val="002A56C1"/>
    <w:rsid w:val="002A575B"/>
    <w:rsid w:val="002A594C"/>
    <w:rsid w:val="002A5E25"/>
    <w:rsid w:val="002A5F86"/>
    <w:rsid w:val="002A6D88"/>
    <w:rsid w:val="002A71B1"/>
    <w:rsid w:val="002A7759"/>
    <w:rsid w:val="002B02E2"/>
    <w:rsid w:val="002B0617"/>
    <w:rsid w:val="002B0748"/>
    <w:rsid w:val="002B081F"/>
    <w:rsid w:val="002B0DEE"/>
    <w:rsid w:val="002B193E"/>
    <w:rsid w:val="002B1AE7"/>
    <w:rsid w:val="002B225A"/>
    <w:rsid w:val="002B23AC"/>
    <w:rsid w:val="002B261A"/>
    <w:rsid w:val="002B2BA9"/>
    <w:rsid w:val="002B2BAC"/>
    <w:rsid w:val="002B2D76"/>
    <w:rsid w:val="002B3028"/>
    <w:rsid w:val="002B3A04"/>
    <w:rsid w:val="002B3B7C"/>
    <w:rsid w:val="002B4012"/>
    <w:rsid w:val="002B4073"/>
    <w:rsid w:val="002B4A36"/>
    <w:rsid w:val="002B530D"/>
    <w:rsid w:val="002B53DB"/>
    <w:rsid w:val="002B58C1"/>
    <w:rsid w:val="002B6428"/>
    <w:rsid w:val="002B6AA3"/>
    <w:rsid w:val="002B7AF8"/>
    <w:rsid w:val="002C038D"/>
    <w:rsid w:val="002C05A6"/>
    <w:rsid w:val="002C0AC5"/>
    <w:rsid w:val="002C20C1"/>
    <w:rsid w:val="002C22D1"/>
    <w:rsid w:val="002C26E2"/>
    <w:rsid w:val="002C279C"/>
    <w:rsid w:val="002C3345"/>
    <w:rsid w:val="002C351F"/>
    <w:rsid w:val="002C359B"/>
    <w:rsid w:val="002C3ECE"/>
    <w:rsid w:val="002C4331"/>
    <w:rsid w:val="002C5CD1"/>
    <w:rsid w:val="002C605C"/>
    <w:rsid w:val="002C6A20"/>
    <w:rsid w:val="002C6AE5"/>
    <w:rsid w:val="002C7055"/>
    <w:rsid w:val="002C780A"/>
    <w:rsid w:val="002C79C1"/>
    <w:rsid w:val="002C7ABB"/>
    <w:rsid w:val="002D017B"/>
    <w:rsid w:val="002D05CA"/>
    <w:rsid w:val="002D137E"/>
    <w:rsid w:val="002D1799"/>
    <w:rsid w:val="002D1BCC"/>
    <w:rsid w:val="002D1D6C"/>
    <w:rsid w:val="002D27BA"/>
    <w:rsid w:val="002D2FEF"/>
    <w:rsid w:val="002D310B"/>
    <w:rsid w:val="002D34FB"/>
    <w:rsid w:val="002D3ADC"/>
    <w:rsid w:val="002D520C"/>
    <w:rsid w:val="002D5333"/>
    <w:rsid w:val="002D5D6B"/>
    <w:rsid w:val="002D6061"/>
    <w:rsid w:val="002D60BE"/>
    <w:rsid w:val="002D65FE"/>
    <w:rsid w:val="002D6799"/>
    <w:rsid w:val="002D6DCC"/>
    <w:rsid w:val="002D6FF8"/>
    <w:rsid w:val="002D74E7"/>
    <w:rsid w:val="002D7BC4"/>
    <w:rsid w:val="002E00D7"/>
    <w:rsid w:val="002E019C"/>
    <w:rsid w:val="002E0D51"/>
    <w:rsid w:val="002E13AD"/>
    <w:rsid w:val="002E1923"/>
    <w:rsid w:val="002E22C7"/>
    <w:rsid w:val="002E328B"/>
    <w:rsid w:val="002E3BF1"/>
    <w:rsid w:val="002E3FC7"/>
    <w:rsid w:val="002E4673"/>
    <w:rsid w:val="002E4D39"/>
    <w:rsid w:val="002E4E0A"/>
    <w:rsid w:val="002E546F"/>
    <w:rsid w:val="002E548D"/>
    <w:rsid w:val="002E7B27"/>
    <w:rsid w:val="002F06BE"/>
    <w:rsid w:val="002F0F63"/>
    <w:rsid w:val="002F14F5"/>
    <w:rsid w:val="002F17E0"/>
    <w:rsid w:val="002F1A4D"/>
    <w:rsid w:val="002F1A89"/>
    <w:rsid w:val="002F1DD9"/>
    <w:rsid w:val="002F208E"/>
    <w:rsid w:val="002F22BC"/>
    <w:rsid w:val="002F269C"/>
    <w:rsid w:val="002F2A58"/>
    <w:rsid w:val="002F31C1"/>
    <w:rsid w:val="002F351E"/>
    <w:rsid w:val="002F4157"/>
    <w:rsid w:val="002F46B7"/>
    <w:rsid w:val="002F55B1"/>
    <w:rsid w:val="002F55D9"/>
    <w:rsid w:val="002F56D9"/>
    <w:rsid w:val="002F60C2"/>
    <w:rsid w:val="002F61BB"/>
    <w:rsid w:val="002F69AA"/>
    <w:rsid w:val="002F6BC8"/>
    <w:rsid w:val="002F6BEF"/>
    <w:rsid w:val="002F77BF"/>
    <w:rsid w:val="002F7837"/>
    <w:rsid w:val="002F7DB8"/>
    <w:rsid w:val="002F7DD5"/>
    <w:rsid w:val="00300210"/>
    <w:rsid w:val="003019E5"/>
    <w:rsid w:val="00301C2C"/>
    <w:rsid w:val="00301E4E"/>
    <w:rsid w:val="00301F11"/>
    <w:rsid w:val="00302834"/>
    <w:rsid w:val="003029DC"/>
    <w:rsid w:val="003032FE"/>
    <w:rsid w:val="00303411"/>
    <w:rsid w:val="00303A5D"/>
    <w:rsid w:val="00303D14"/>
    <w:rsid w:val="00304471"/>
    <w:rsid w:val="00304701"/>
    <w:rsid w:val="003049A5"/>
    <w:rsid w:val="00304D62"/>
    <w:rsid w:val="00304EFF"/>
    <w:rsid w:val="00305080"/>
    <w:rsid w:val="00305343"/>
    <w:rsid w:val="00305422"/>
    <w:rsid w:val="003056C4"/>
    <w:rsid w:val="003061FF"/>
    <w:rsid w:val="00306F54"/>
    <w:rsid w:val="003075A0"/>
    <w:rsid w:val="003078D5"/>
    <w:rsid w:val="00307A93"/>
    <w:rsid w:val="00307BD7"/>
    <w:rsid w:val="00307FF1"/>
    <w:rsid w:val="003104B6"/>
    <w:rsid w:val="0031097C"/>
    <w:rsid w:val="00310ADA"/>
    <w:rsid w:val="00310DB9"/>
    <w:rsid w:val="00311A46"/>
    <w:rsid w:val="003121DB"/>
    <w:rsid w:val="0031276F"/>
    <w:rsid w:val="00312A28"/>
    <w:rsid w:val="00312D16"/>
    <w:rsid w:val="00312F1C"/>
    <w:rsid w:val="003132DC"/>
    <w:rsid w:val="00313BD1"/>
    <w:rsid w:val="00313DD1"/>
    <w:rsid w:val="00313F4A"/>
    <w:rsid w:val="00314181"/>
    <w:rsid w:val="00314314"/>
    <w:rsid w:val="00315CB0"/>
    <w:rsid w:val="00315DD3"/>
    <w:rsid w:val="00315FB8"/>
    <w:rsid w:val="003164A2"/>
    <w:rsid w:val="003167F8"/>
    <w:rsid w:val="00317143"/>
    <w:rsid w:val="00317573"/>
    <w:rsid w:val="00317BAE"/>
    <w:rsid w:val="00317D73"/>
    <w:rsid w:val="00320280"/>
    <w:rsid w:val="003215B0"/>
    <w:rsid w:val="003218BB"/>
    <w:rsid w:val="003228E8"/>
    <w:rsid w:val="00322C15"/>
    <w:rsid w:val="00322D26"/>
    <w:rsid w:val="00322D3F"/>
    <w:rsid w:val="00322FAC"/>
    <w:rsid w:val="0032366B"/>
    <w:rsid w:val="00323FD3"/>
    <w:rsid w:val="00324802"/>
    <w:rsid w:val="003248DF"/>
    <w:rsid w:val="00324CE6"/>
    <w:rsid w:val="0032589B"/>
    <w:rsid w:val="00325FBD"/>
    <w:rsid w:val="0032784C"/>
    <w:rsid w:val="00327AE0"/>
    <w:rsid w:val="00327BAD"/>
    <w:rsid w:val="00330765"/>
    <w:rsid w:val="00330EAC"/>
    <w:rsid w:val="00331CE3"/>
    <w:rsid w:val="003324A5"/>
    <w:rsid w:val="0033289E"/>
    <w:rsid w:val="00332E07"/>
    <w:rsid w:val="003332AB"/>
    <w:rsid w:val="003334DE"/>
    <w:rsid w:val="00333729"/>
    <w:rsid w:val="0033384D"/>
    <w:rsid w:val="0033392B"/>
    <w:rsid w:val="00333A9F"/>
    <w:rsid w:val="0033453A"/>
    <w:rsid w:val="0033513C"/>
    <w:rsid w:val="00335D5E"/>
    <w:rsid w:val="00336372"/>
    <w:rsid w:val="00337065"/>
    <w:rsid w:val="003405BC"/>
    <w:rsid w:val="003407C9"/>
    <w:rsid w:val="003416EF"/>
    <w:rsid w:val="003425EF"/>
    <w:rsid w:val="00342749"/>
    <w:rsid w:val="00342FFF"/>
    <w:rsid w:val="00343084"/>
    <w:rsid w:val="003434C1"/>
    <w:rsid w:val="00343549"/>
    <w:rsid w:val="00343D18"/>
    <w:rsid w:val="00343FA2"/>
    <w:rsid w:val="0034554A"/>
    <w:rsid w:val="00345563"/>
    <w:rsid w:val="0034557E"/>
    <w:rsid w:val="00345667"/>
    <w:rsid w:val="003456DB"/>
    <w:rsid w:val="00346A22"/>
    <w:rsid w:val="003475D2"/>
    <w:rsid w:val="00347BDD"/>
    <w:rsid w:val="00351037"/>
    <w:rsid w:val="003510E1"/>
    <w:rsid w:val="003517BF"/>
    <w:rsid w:val="003517E9"/>
    <w:rsid w:val="00351977"/>
    <w:rsid w:val="00351D06"/>
    <w:rsid w:val="00351F5C"/>
    <w:rsid w:val="003525AC"/>
    <w:rsid w:val="00352AF2"/>
    <w:rsid w:val="0035308B"/>
    <w:rsid w:val="00353126"/>
    <w:rsid w:val="003534C7"/>
    <w:rsid w:val="00353518"/>
    <w:rsid w:val="0035386D"/>
    <w:rsid w:val="0035459A"/>
    <w:rsid w:val="003548A5"/>
    <w:rsid w:val="00356007"/>
    <w:rsid w:val="00356C76"/>
    <w:rsid w:val="00361420"/>
    <w:rsid w:val="00361F2D"/>
    <w:rsid w:val="00362DCC"/>
    <w:rsid w:val="003651EB"/>
    <w:rsid w:val="00365607"/>
    <w:rsid w:val="00365CF5"/>
    <w:rsid w:val="00366017"/>
    <w:rsid w:val="00366B3B"/>
    <w:rsid w:val="0036700A"/>
    <w:rsid w:val="00367489"/>
    <w:rsid w:val="0037081E"/>
    <w:rsid w:val="00370DE4"/>
    <w:rsid w:val="00371018"/>
    <w:rsid w:val="003718DD"/>
    <w:rsid w:val="00372B69"/>
    <w:rsid w:val="003733A4"/>
    <w:rsid w:val="0037353B"/>
    <w:rsid w:val="00373B1A"/>
    <w:rsid w:val="003741AA"/>
    <w:rsid w:val="003749BE"/>
    <w:rsid w:val="003749C6"/>
    <w:rsid w:val="00374F4A"/>
    <w:rsid w:val="00375138"/>
    <w:rsid w:val="003752D2"/>
    <w:rsid w:val="00375B87"/>
    <w:rsid w:val="00375C00"/>
    <w:rsid w:val="00376C55"/>
    <w:rsid w:val="003801E4"/>
    <w:rsid w:val="003803A2"/>
    <w:rsid w:val="00380CF1"/>
    <w:rsid w:val="00380F59"/>
    <w:rsid w:val="00381399"/>
    <w:rsid w:val="00381578"/>
    <w:rsid w:val="00381BF1"/>
    <w:rsid w:val="00381F95"/>
    <w:rsid w:val="00382520"/>
    <w:rsid w:val="00382B07"/>
    <w:rsid w:val="00382C9E"/>
    <w:rsid w:val="00383835"/>
    <w:rsid w:val="00383B56"/>
    <w:rsid w:val="003841CE"/>
    <w:rsid w:val="00385346"/>
    <w:rsid w:val="003855C5"/>
    <w:rsid w:val="003861BE"/>
    <w:rsid w:val="00386B70"/>
    <w:rsid w:val="0038740C"/>
    <w:rsid w:val="00387ADB"/>
    <w:rsid w:val="00387DE5"/>
    <w:rsid w:val="00387EBF"/>
    <w:rsid w:val="00390409"/>
    <w:rsid w:val="00390965"/>
    <w:rsid w:val="003913C5"/>
    <w:rsid w:val="00391680"/>
    <w:rsid w:val="003932C1"/>
    <w:rsid w:val="003932F8"/>
    <w:rsid w:val="00393AFE"/>
    <w:rsid w:val="00393BB0"/>
    <w:rsid w:val="00393D4C"/>
    <w:rsid w:val="00393D7F"/>
    <w:rsid w:val="00394132"/>
    <w:rsid w:val="00394286"/>
    <w:rsid w:val="00394D2B"/>
    <w:rsid w:val="00395627"/>
    <w:rsid w:val="0039578D"/>
    <w:rsid w:val="0039727C"/>
    <w:rsid w:val="00397298"/>
    <w:rsid w:val="003979D0"/>
    <w:rsid w:val="003A02C5"/>
    <w:rsid w:val="003A1299"/>
    <w:rsid w:val="003A172A"/>
    <w:rsid w:val="003A2081"/>
    <w:rsid w:val="003A2C9C"/>
    <w:rsid w:val="003A2DEB"/>
    <w:rsid w:val="003A32C3"/>
    <w:rsid w:val="003A3C95"/>
    <w:rsid w:val="003A3F92"/>
    <w:rsid w:val="003A41FA"/>
    <w:rsid w:val="003A432D"/>
    <w:rsid w:val="003A4420"/>
    <w:rsid w:val="003A4762"/>
    <w:rsid w:val="003A48BD"/>
    <w:rsid w:val="003A4A25"/>
    <w:rsid w:val="003A534A"/>
    <w:rsid w:val="003A554E"/>
    <w:rsid w:val="003A60F9"/>
    <w:rsid w:val="003A65F0"/>
    <w:rsid w:val="003A6896"/>
    <w:rsid w:val="003A6BB7"/>
    <w:rsid w:val="003A6D19"/>
    <w:rsid w:val="003B0B0E"/>
    <w:rsid w:val="003B0F57"/>
    <w:rsid w:val="003B1A9F"/>
    <w:rsid w:val="003B2F03"/>
    <w:rsid w:val="003B4051"/>
    <w:rsid w:val="003B47DD"/>
    <w:rsid w:val="003B53B3"/>
    <w:rsid w:val="003B5926"/>
    <w:rsid w:val="003B59BC"/>
    <w:rsid w:val="003B5DB9"/>
    <w:rsid w:val="003B61F1"/>
    <w:rsid w:val="003B7819"/>
    <w:rsid w:val="003B7871"/>
    <w:rsid w:val="003B7ADD"/>
    <w:rsid w:val="003C0358"/>
    <w:rsid w:val="003C11B1"/>
    <w:rsid w:val="003C1477"/>
    <w:rsid w:val="003C15B5"/>
    <w:rsid w:val="003C27AF"/>
    <w:rsid w:val="003C2D9C"/>
    <w:rsid w:val="003C354C"/>
    <w:rsid w:val="003C3B2C"/>
    <w:rsid w:val="003C3B69"/>
    <w:rsid w:val="003C5051"/>
    <w:rsid w:val="003C50E2"/>
    <w:rsid w:val="003C51CF"/>
    <w:rsid w:val="003C597C"/>
    <w:rsid w:val="003C5DEF"/>
    <w:rsid w:val="003C60CC"/>
    <w:rsid w:val="003C623D"/>
    <w:rsid w:val="003C699C"/>
    <w:rsid w:val="003C6C34"/>
    <w:rsid w:val="003C759B"/>
    <w:rsid w:val="003D058D"/>
    <w:rsid w:val="003D0A83"/>
    <w:rsid w:val="003D0AE1"/>
    <w:rsid w:val="003D0EDB"/>
    <w:rsid w:val="003D1309"/>
    <w:rsid w:val="003D13A8"/>
    <w:rsid w:val="003D1F4C"/>
    <w:rsid w:val="003D33BD"/>
    <w:rsid w:val="003D4155"/>
    <w:rsid w:val="003D442C"/>
    <w:rsid w:val="003D4D2D"/>
    <w:rsid w:val="003D505A"/>
    <w:rsid w:val="003D5319"/>
    <w:rsid w:val="003D5FA3"/>
    <w:rsid w:val="003D63B9"/>
    <w:rsid w:val="003D726B"/>
    <w:rsid w:val="003D7889"/>
    <w:rsid w:val="003E01A2"/>
    <w:rsid w:val="003E07A1"/>
    <w:rsid w:val="003E0D30"/>
    <w:rsid w:val="003E0F83"/>
    <w:rsid w:val="003E102B"/>
    <w:rsid w:val="003E1B4A"/>
    <w:rsid w:val="003E20DD"/>
    <w:rsid w:val="003E37D8"/>
    <w:rsid w:val="003E46BA"/>
    <w:rsid w:val="003E4C28"/>
    <w:rsid w:val="003E4FD0"/>
    <w:rsid w:val="003E57E3"/>
    <w:rsid w:val="003E5BE0"/>
    <w:rsid w:val="003E5F30"/>
    <w:rsid w:val="003E5FDB"/>
    <w:rsid w:val="003E64B9"/>
    <w:rsid w:val="003E6BA7"/>
    <w:rsid w:val="003E7D4D"/>
    <w:rsid w:val="003F030A"/>
    <w:rsid w:val="003F0312"/>
    <w:rsid w:val="003F0601"/>
    <w:rsid w:val="003F06BD"/>
    <w:rsid w:val="003F0C0C"/>
    <w:rsid w:val="003F1589"/>
    <w:rsid w:val="003F1637"/>
    <w:rsid w:val="003F1E40"/>
    <w:rsid w:val="003F2851"/>
    <w:rsid w:val="003F28C3"/>
    <w:rsid w:val="003F31C2"/>
    <w:rsid w:val="003F3231"/>
    <w:rsid w:val="003F351C"/>
    <w:rsid w:val="003F3DAD"/>
    <w:rsid w:val="003F45B4"/>
    <w:rsid w:val="003F4708"/>
    <w:rsid w:val="003F490B"/>
    <w:rsid w:val="003F4F9B"/>
    <w:rsid w:val="003F5754"/>
    <w:rsid w:val="003F58F7"/>
    <w:rsid w:val="003F5D4F"/>
    <w:rsid w:val="003F5DE5"/>
    <w:rsid w:val="003F6950"/>
    <w:rsid w:val="003F772F"/>
    <w:rsid w:val="003F79E6"/>
    <w:rsid w:val="003F7A4D"/>
    <w:rsid w:val="00400AAA"/>
    <w:rsid w:val="00401187"/>
    <w:rsid w:val="004017BE"/>
    <w:rsid w:val="00401B07"/>
    <w:rsid w:val="00401B9F"/>
    <w:rsid w:val="00402204"/>
    <w:rsid w:val="004023F1"/>
    <w:rsid w:val="004029D8"/>
    <w:rsid w:val="00402A62"/>
    <w:rsid w:val="004031B6"/>
    <w:rsid w:val="004039A3"/>
    <w:rsid w:val="00403F62"/>
    <w:rsid w:val="0040545D"/>
    <w:rsid w:val="004055B7"/>
    <w:rsid w:val="004056A1"/>
    <w:rsid w:val="00405804"/>
    <w:rsid w:val="0040596C"/>
    <w:rsid w:val="00405ADE"/>
    <w:rsid w:val="00405D8F"/>
    <w:rsid w:val="00405E12"/>
    <w:rsid w:val="004064B7"/>
    <w:rsid w:val="00406DD5"/>
    <w:rsid w:val="00406E17"/>
    <w:rsid w:val="00407017"/>
    <w:rsid w:val="00407794"/>
    <w:rsid w:val="00407939"/>
    <w:rsid w:val="00407AF7"/>
    <w:rsid w:val="0041013C"/>
    <w:rsid w:val="00411AFE"/>
    <w:rsid w:val="00411C16"/>
    <w:rsid w:val="0041210B"/>
    <w:rsid w:val="004121F3"/>
    <w:rsid w:val="00412873"/>
    <w:rsid w:val="00412E3F"/>
    <w:rsid w:val="00413105"/>
    <w:rsid w:val="004133FC"/>
    <w:rsid w:val="00413795"/>
    <w:rsid w:val="00414030"/>
    <w:rsid w:val="00414040"/>
    <w:rsid w:val="0041450D"/>
    <w:rsid w:val="0041453F"/>
    <w:rsid w:val="004152ED"/>
    <w:rsid w:val="00416FCC"/>
    <w:rsid w:val="00417791"/>
    <w:rsid w:val="00417CA3"/>
    <w:rsid w:val="00417CAA"/>
    <w:rsid w:val="0042004E"/>
    <w:rsid w:val="004200B6"/>
    <w:rsid w:val="0042011E"/>
    <w:rsid w:val="00421100"/>
    <w:rsid w:val="00421D8F"/>
    <w:rsid w:val="00421DC9"/>
    <w:rsid w:val="004223C8"/>
    <w:rsid w:val="00423B70"/>
    <w:rsid w:val="00423C95"/>
    <w:rsid w:val="004243DD"/>
    <w:rsid w:val="00424898"/>
    <w:rsid w:val="00425EF9"/>
    <w:rsid w:val="0042613C"/>
    <w:rsid w:val="0042636A"/>
    <w:rsid w:val="00427211"/>
    <w:rsid w:val="004272E1"/>
    <w:rsid w:val="0042755E"/>
    <w:rsid w:val="0042768E"/>
    <w:rsid w:val="00427850"/>
    <w:rsid w:val="00427A6B"/>
    <w:rsid w:val="0043002B"/>
    <w:rsid w:val="00430529"/>
    <w:rsid w:val="00430583"/>
    <w:rsid w:val="00430590"/>
    <w:rsid w:val="004307AB"/>
    <w:rsid w:val="00430BB5"/>
    <w:rsid w:val="0043217E"/>
    <w:rsid w:val="004322CC"/>
    <w:rsid w:val="00434280"/>
    <w:rsid w:val="0043436B"/>
    <w:rsid w:val="00434529"/>
    <w:rsid w:val="004345C9"/>
    <w:rsid w:val="004348C0"/>
    <w:rsid w:val="004352BD"/>
    <w:rsid w:val="004352C1"/>
    <w:rsid w:val="00436200"/>
    <w:rsid w:val="0043652A"/>
    <w:rsid w:val="0043703D"/>
    <w:rsid w:val="004378DA"/>
    <w:rsid w:val="00437DC7"/>
    <w:rsid w:val="004408AE"/>
    <w:rsid w:val="00442079"/>
    <w:rsid w:val="00442350"/>
    <w:rsid w:val="00443C9F"/>
    <w:rsid w:val="004440E5"/>
    <w:rsid w:val="004443FF"/>
    <w:rsid w:val="00445044"/>
    <w:rsid w:val="0044556B"/>
    <w:rsid w:val="004469D6"/>
    <w:rsid w:val="004473F7"/>
    <w:rsid w:val="00447984"/>
    <w:rsid w:val="0045010F"/>
    <w:rsid w:val="00450597"/>
    <w:rsid w:val="00450611"/>
    <w:rsid w:val="00450942"/>
    <w:rsid w:val="004511D1"/>
    <w:rsid w:val="004514EA"/>
    <w:rsid w:val="00451C10"/>
    <w:rsid w:val="00452B5D"/>
    <w:rsid w:val="00454A24"/>
    <w:rsid w:val="0045726E"/>
    <w:rsid w:val="004576D0"/>
    <w:rsid w:val="0046145A"/>
    <w:rsid w:val="0046166A"/>
    <w:rsid w:val="00461841"/>
    <w:rsid w:val="00461A79"/>
    <w:rsid w:val="00461BB6"/>
    <w:rsid w:val="00461CDB"/>
    <w:rsid w:val="0046225E"/>
    <w:rsid w:val="00462506"/>
    <w:rsid w:val="00462874"/>
    <w:rsid w:val="004634B7"/>
    <w:rsid w:val="0046354C"/>
    <w:rsid w:val="004637A3"/>
    <w:rsid w:val="0046391B"/>
    <w:rsid w:val="00463E36"/>
    <w:rsid w:val="004643CA"/>
    <w:rsid w:val="00464DEB"/>
    <w:rsid w:val="00465787"/>
    <w:rsid w:val="00465E91"/>
    <w:rsid w:val="004663EA"/>
    <w:rsid w:val="0046640D"/>
    <w:rsid w:val="004676C2"/>
    <w:rsid w:val="004678C0"/>
    <w:rsid w:val="004678C2"/>
    <w:rsid w:val="00470151"/>
    <w:rsid w:val="004701C0"/>
    <w:rsid w:val="00470588"/>
    <w:rsid w:val="00470D70"/>
    <w:rsid w:val="00470F33"/>
    <w:rsid w:val="004714EA"/>
    <w:rsid w:val="00471551"/>
    <w:rsid w:val="00471B4D"/>
    <w:rsid w:val="00471C8B"/>
    <w:rsid w:val="004721F2"/>
    <w:rsid w:val="00472EF7"/>
    <w:rsid w:val="0047318F"/>
    <w:rsid w:val="004738BF"/>
    <w:rsid w:val="00473B61"/>
    <w:rsid w:val="004741A2"/>
    <w:rsid w:val="0047443F"/>
    <w:rsid w:val="004745BD"/>
    <w:rsid w:val="00474B54"/>
    <w:rsid w:val="0047509C"/>
    <w:rsid w:val="00475474"/>
    <w:rsid w:val="004755C5"/>
    <w:rsid w:val="00475F09"/>
    <w:rsid w:val="00476211"/>
    <w:rsid w:val="0047695C"/>
    <w:rsid w:val="00476997"/>
    <w:rsid w:val="00476FA4"/>
    <w:rsid w:val="0047735E"/>
    <w:rsid w:val="004773FD"/>
    <w:rsid w:val="00477653"/>
    <w:rsid w:val="00477F20"/>
    <w:rsid w:val="0048069B"/>
    <w:rsid w:val="00480765"/>
    <w:rsid w:val="004823B3"/>
    <w:rsid w:val="00482663"/>
    <w:rsid w:val="00482F96"/>
    <w:rsid w:val="00483027"/>
    <w:rsid w:val="00483842"/>
    <w:rsid w:val="00483AA9"/>
    <w:rsid w:val="00483D4F"/>
    <w:rsid w:val="0048517D"/>
    <w:rsid w:val="00485A3F"/>
    <w:rsid w:val="0048670F"/>
    <w:rsid w:val="004867D9"/>
    <w:rsid w:val="004868DC"/>
    <w:rsid w:val="004874C0"/>
    <w:rsid w:val="004908C3"/>
    <w:rsid w:val="004927DB"/>
    <w:rsid w:val="0049280A"/>
    <w:rsid w:val="00492E8E"/>
    <w:rsid w:val="0049384A"/>
    <w:rsid w:val="00493926"/>
    <w:rsid w:val="00493CB9"/>
    <w:rsid w:val="004949AC"/>
    <w:rsid w:val="004949B7"/>
    <w:rsid w:val="00494DD7"/>
    <w:rsid w:val="00495910"/>
    <w:rsid w:val="00496068"/>
    <w:rsid w:val="00496433"/>
    <w:rsid w:val="00496767"/>
    <w:rsid w:val="00497073"/>
    <w:rsid w:val="004970CE"/>
    <w:rsid w:val="004972B5"/>
    <w:rsid w:val="004A0170"/>
    <w:rsid w:val="004A097B"/>
    <w:rsid w:val="004A09D5"/>
    <w:rsid w:val="004A0A4C"/>
    <w:rsid w:val="004A0E9A"/>
    <w:rsid w:val="004A1514"/>
    <w:rsid w:val="004A24B6"/>
    <w:rsid w:val="004A372A"/>
    <w:rsid w:val="004A3A36"/>
    <w:rsid w:val="004A475B"/>
    <w:rsid w:val="004A4C2F"/>
    <w:rsid w:val="004A5A80"/>
    <w:rsid w:val="004A6003"/>
    <w:rsid w:val="004A62B3"/>
    <w:rsid w:val="004A62F9"/>
    <w:rsid w:val="004A701A"/>
    <w:rsid w:val="004A7B7E"/>
    <w:rsid w:val="004B02A0"/>
    <w:rsid w:val="004B055A"/>
    <w:rsid w:val="004B1882"/>
    <w:rsid w:val="004B1AB2"/>
    <w:rsid w:val="004B1B73"/>
    <w:rsid w:val="004B2250"/>
    <w:rsid w:val="004B2C2C"/>
    <w:rsid w:val="004B2FAA"/>
    <w:rsid w:val="004B3B43"/>
    <w:rsid w:val="004B4E20"/>
    <w:rsid w:val="004B58EF"/>
    <w:rsid w:val="004B5F95"/>
    <w:rsid w:val="004B68A3"/>
    <w:rsid w:val="004B6F40"/>
    <w:rsid w:val="004B6F81"/>
    <w:rsid w:val="004B6FDC"/>
    <w:rsid w:val="004B735F"/>
    <w:rsid w:val="004B7B22"/>
    <w:rsid w:val="004B7DFE"/>
    <w:rsid w:val="004C02FD"/>
    <w:rsid w:val="004C0931"/>
    <w:rsid w:val="004C0FAE"/>
    <w:rsid w:val="004C162F"/>
    <w:rsid w:val="004C1BFA"/>
    <w:rsid w:val="004C1CF9"/>
    <w:rsid w:val="004C2416"/>
    <w:rsid w:val="004C2D4C"/>
    <w:rsid w:val="004C316D"/>
    <w:rsid w:val="004C392F"/>
    <w:rsid w:val="004C3C09"/>
    <w:rsid w:val="004C4A0F"/>
    <w:rsid w:val="004C4BE8"/>
    <w:rsid w:val="004C4D69"/>
    <w:rsid w:val="004C5A94"/>
    <w:rsid w:val="004C6AFC"/>
    <w:rsid w:val="004C7094"/>
    <w:rsid w:val="004C7DCA"/>
    <w:rsid w:val="004C7EAE"/>
    <w:rsid w:val="004D1C77"/>
    <w:rsid w:val="004D1E7E"/>
    <w:rsid w:val="004D20C6"/>
    <w:rsid w:val="004D38BE"/>
    <w:rsid w:val="004D4838"/>
    <w:rsid w:val="004D49FF"/>
    <w:rsid w:val="004D53BC"/>
    <w:rsid w:val="004D54DF"/>
    <w:rsid w:val="004D6139"/>
    <w:rsid w:val="004D6518"/>
    <w:rsid w:val="004D67ED"/>
    <w:rsid w:val="004D6C0C"/>
    <w:rsid w:val="004D7108"/>
    <w:rsid w:val="004D7509"/>
    <w:rsid w:val="004D7F16"/>
    <w:rsid w:val="004E015F"/>
    <w:rsid w:val="004E078C"/>
    <w:rsid w:val="004E08A3"/>
    <w:rsid w:val="004E0A5D"/>
    <w:rsid w:val="004E0BC5"/>
    <w:rsid w:val="004E15A9"/>
    <w:rsid w:val="004E1A73"/>
    <w:rsid w:val="004E21CE"/>
    <w:rsid w:val="004E2B1A"/>
    <w:rsid w:val="004E372E"/>
    <w:rsid w:val="004E392D"/>
    <w:rsid w:val="004E3F5A"/>
    <w:rsid w:val="004E48FA"/>
    <w:rsid w:val="004E5024"/>
    <w:rsid w:val="004E5108"/>
    <w:rsid w:val="004E5580"/>
    <w:rsid w:val="004E5DD4"/>
    <w:rsid w:val="004E7971"/>
    <w:rsid w:val="004F08A0"/>
    <w:rsid w:val="004F2BA1"/>
    <w:rsid w:val="004F2F11"/>
    <w:rsid w:val="004F32CE"/>
    <w:rsid w:val="004F3ACA"/>
    <w:rsid w:val="004F4186"/>
    <w:rsid w:val="004F45BF"/>
    <w:rsid w:val="004F53DC"/>
    <w:rsid w:val="004F5726"/>
    <w:rsid w:val="004F5BDC"/>
    <w:rsid w:val="004F5CBC"/>
    <w:rsid w:val="004F5E09"/>
    <w:rsid w:val="004F6489"/>
    <w:rsid w:val="004F64E2"/>
    <w:rsid w:val="004F6554"/>
    <w:rsid w:val="004F65D0"/>
    <w:rsid w:val="004F7718"/>
    <w:rsid w:val="005000DB"/>
    <w:rsid w:val="00500104"/>
    <w:rsid w:val="0050119A"/>
    <w:rsid w:val="005015BF"/>
    <w:rsid w:val="00501B09"/>
    <w:rsid w:val="00502012"/>
    <w:rsid w:val="005020C0"/>
    <w:rsid w:val="0050242D"/>
    <w:rsid w:val="005039C9"/>
    <w:rsid w:val="0050409E"/>
    <w:rsid w:val="00504490"/>
    <w:rsid w:val="00504548"/>
    <w:rsid w:val="00505329"/>
    <w:rsid w:val="00506298"/>
    <w:rsid w:val="00506A1B"/>
    <w:rsid w:val="00506D2D"/>
    <w:rsid w:val="00507D42"/>
    <w:rsid w:val="00507D58"/>
    <w:rsid w:val="0051124E"/>
    <w:rsid w:val="00511660"/>
    <w:rsid w:val="00511746"/>
    <w:rsid w:val="00511C8F"/>
    <w:rsid w:val="00511DF4"/>
    <w:rsid w:val="00512DE6"/>
    <w:rsid w:val="00513098"/>
    <w:rsid w:val="00513422"/>
    <w:rsid w:val="0051353A"/>
    <w:rsid w:val="005135F2"/>
    <w:rsid w:val="00513FCB"/>
    <w:rsid w:val="005142C7"/>
    <w:rsid w:val="00514497"/>
    <w:rsid w:val="00514FCE"/>
    <w:rsid w:val="005151F9"/>
    <w:rsid w:val="00515877"/>
    <w:rsid w:val="00515F78"/>
    <w:rsid w:val="00516041"/>
    <w:rsid w:val="005160E6"/>
    <w:rsid w:val="005161AC"/>
    <w:rsid w:val="00516B47"/>
    <w:rsid w:val="00517281"/>
    <w:rsid w:val="005172AD"/>
    <w:rsid w:val="005172C2"/>
    <w:rsid w:val="00517875"/>
    <w:rsid w:val="00517ADF"/>
    <w:rsid w:val="00520A56"/>
    <w:rsid w:val="00520E58"/>
    <w:rsid w:val="00521007"/>
    <w:rsid w:val="00521522"/>
    <w:rsid w:val="00521CFE"/>
    <w:rsid w:val="00521D14"/>
    <w:rsid w:val="00522117"/>
    <w:rsid w:val="00522BD9"/>
    <w:rsid w:val="00522C10"/>
    <w:rsid w:val="00522D2B"/>
    <w:rsid w:val="00523108"/>
    <w:rsid w:val="005236B6"/>
    <w:rsid w:val="00523FC4"/>
    <w:rsid w:val="005249A7"/>
    <w:rsid w:val="005249CF"/>
    <w:rsid w:val="005253D8"/>
    <w:rsid w:val="00525626"/>
    <w:rsid w:val="00525828"/>
    <w:rsid w:val="00525F82"/>
    <w:rsid w:val="005261B2"/>
    <w:rsid w:val="005265FD"/>
    <w:rsid w:val="005268B0"/>
    <w:rsid w:val="00526C03"/>
    <w:rsid w:val="0052722E"/>
    <w:rsid w:val="00527267"/>
    <w:rsid w:val="005274B0"/>
    <w:rsid w:val="005278E2"/>
    <w:rsid w:val="00527A8E"/>
    <w:rsid w:val="00530548"/>
    <w:rsid w:val="00530676"/>
    <w:rsid w:val="005309A9"/>
    <w:rsid w:val="00530BDF"/>
    <w:rsid w:val="00530D4C"/>
    <w:rsid w:val="00530D62"/>
    <w:rsid w:val="005313B8"/>
    <w:rsid w:val="00531F46"/>
    <w:rsid w:val="005320A6"/>
    <w:rsid w:val="005322A0"/>
    <w:rsid w:val="005327AD"/>
    <w:rsid w:val="00533015"/>
    <w:rsid w:val="005336C4"/>
    <w:rsid w:val="0053385B"/>
    <w:rsid w:val="005340CC"/>
    <w:rsid w:val="0053498F"/>
    <w:rsid w:val="00534FC4"/>
    <w:rsid w:val="005350DF"/>
    <w:rsid w:val="0053517C"/>
    <w:rsid w:val="005358CD"/>
    <w:rsid w:val="00536205"/>
    <w:rsid w:val="00536384"/>
    <w:rsid w:val="005363BE"/>
    <w:rsid w:val="00536849"/>
    <w:rsid w:val="005369EB"/>
    <w:rsid w:val="005373FC"/>
    <w:rsid w:val="00537B05"/>
    <w:rsid w:val="0053824F"/>
    <w:rsid w:val="005415EC"/>
    <w:rsid w:val="00541BD5"/>
    <w:rsid w:val="00541DAD"/>
    <w:rsid w:val="005420D0"/>
    <w:rsid w:val="00542A0C"/>
    <w:rsid w:val="00542A24"/>
    <w:rsid w:val="00542D9C"/>
    <w:rsid w:val="0054308F"/>
    <w:rsid w:val="005432C3"/>
    <w:rsid w:val="0054347C"/>
    <w:rsid w:val="0054352D"/>
    <w:rsid w:val="00543568"/>
    <w:rsid w:val="0054391E"/>
    <w:rsid w:val="00545572"/>
    <w:rsid w:val="00545599"/>
    <w:rsid w:val="00545B01"/>
    <w:rsid w:val="0054686B"/>
    <w:rsid w:val="005473F3"/>
    <w:rsid w:val="00550895"/>
    <w:rsid w:val="00551C82"/>
    <w:rsid w:val="005521AC"/>
    <w:rsid w:val="00552358"/>
    <w:rsid w:val="005524CC"/>
    <w:rsid w:val="0055282F"/>
    <w:rsid w:val="005529AC"/>
    <w:rsid w:val="00552AD9"/>
    <w:rsid w:val="00552B40"/>
    <w:rsid w:val="00552B7A"/>
    <w:rsid w:val="0055374F"/>
    <w:rsid w:val="005542A1"/>
    <w:rsid w:val="005547C9"/>
    <w:rsid w:val="00555315"/>
    <w:rsid w:val="00555543"/>
    <w:rsid w:val="00555605"/>
    <w:rsid w:val="0055588A"/>
    <w:rsid w:val="00555FFA"/>
    <w:rsid w:val="0055603E"/>
    <w:rsid w:val="005565DC"/>
    <w:rsid w:val="005568C9"/>
    <w:rsid w:val="00556A74"/>
    <w:rsid w:val="00556CDE"/>
    <w:rsid w:val="00557E1E"/>
    <w:rsid w:val="005607D0"/>
    <w:rsid w:val="00561121"/>
    <w:rsid w:val="0056151C"/>
    <w:rsid w:val="0056237D"/>
    <w:rsid w:val="00562C26"/>
    <w:rsid w:val="0056310A"/>
    <w:rsid w:val="00563394"/>
    <w:rsid w:val="00563630"/>
    <w:rsid w:val="00563BF2"/>
    <w:rsid w:val="005640A8"/>
    <w:rsid w:val="00564214"/>
    <w:rsid w:val="005646A1"/>
    <w:rsid w:val="00564B0B"/>
    <w:rsid w:val="00565102"/>
    <w:rsid w:val="005653AF"/>
    <w:rsid w:val="00565778"/>
    <w:rsid w:val="0056592B"/>
    <w:rsid w:val="005659A3"/>
    <w:rsid w:val="00566873"/>
    <w:rsid w:val="00566FAA"/>
    <w:rsid w:val="005675EB"/>
    <w:rsid w:val="0057042B"/>
    <w:rsid w:val="00570749"/>
    <w:rsid w:val="00570BA1"/>
    <w:rsid w:val="00570DDD"/>
    <w:rsid w:val="00571B3E"/>
    <w:rsid w:val="00571E50"/>
    <w:rsid w:val="00572513"/>
    <w:rsid w:val="005727E5"/>
    <w:rsid w:val="00573699"/>
    <w:rsid w:val="0057455D"/>
    <w:rsid w:val="00574818"/>
    <w:rsid w:val="0057611E"/>
    <w:rsid w:val="005763E5"/>
    <w:rsid w:val="00576515"/>
    <w:rsid w:val="00576A93"/>
    <w:rsid w:val="00577491"/>
    <w:rsid w:val="005778D2"/>
    <w:rsid w:val="005800EC"/>
    <w:rsid w:val="00580DFB"/>
    <w:rsid w:val="00580F9D"/>
    <w:rsid w:val="00581661"/>
    <w:rsid w:val="00581DEA"/>
    <w:rsid w:val="0058263A"/>
    <w:rsid w:val="00582C4D"/>
    <w:rsid w:val="00582D2F"/>
    <w:rsid w:val="00583CDD"/>
    <w:rsid w:val="00584116"/>
    <w:rsid w:val="005848C7"/>
    <w:rsid w:val="00584B46"/>
    <w:rsid w:val="00584BE4"/>
    <w:rsid w:val="00585292"/>
    <w:rsid w:val="005852CD"/>
    <w:rsid w:val="0058583A"/>
    <w:rsid w:val="00586403"/>
    <w:rsid w:val="00587E7C"/>
    <w:rsid w:val="00587FAE"/>
    <w:rsid w:val="005903AB"/>
    <w:rsid w:val="00590968"/>
    <w:rsid w:val="00591328"/>
    <w:rsid w:val="00591558"/>
    <w:rsid w:val="00591C2C"/>
    <w:rsid w:val="005922F5"/>
    <w:rsid w:val="0059283B"/>
    <w:rsid w:val="00592A6D"/>
    <w:rsid w:val="00592B24"/>
    <w:rsid w:val="005931C4"/>
    <w:rsid w:val="00593633"/>
    <w:rsid w:val="005937EF"/>
    <w:rsid w:val="00594DB6"/>
    <w:rsid w:val="005954F6"/>
    <w:rsid w:val="00595528"/>
    <w:rsid w:val="00595E9D"/>
    <w:rsid w:val="005968F0"/>
    <w:rsid w:val="0059693C"/>
    <w:rsid w:val="005970CD"/>
    <w:rsid w:val="00597EB2"/>
    <w:rsid w:val="00597F43"/>
    <w:rsid w:val="005A0225"/>
    <w:rsid w:val="005A05E2"/>
    <w:rsid w:val="005A0900"/>
    <w:rsid w:val="005A126D"/>
    <w:rsid w:val="005A1E74"/>
    <w:rsid w:val="005A2930"/>
    <w:rsid w:val="005A2D02"/>
    <w:rsid w:val="005A2DFC"/>
    <w:rsid w:val="005A3004"/>
    <w:rsid w:val="005A3584"/>
    <w:rsid w:val="005A38BF"/>
    <w:rsid w:val="005A3EB1"/>
    <w:rsid w:val="005A49DD"/>
    <w:rsid w:val="005A4BEF"/>
    <w:rsid w:val="005A4D04"/>
    <w:rsid w:val="005A52BC"/>
    <w:rsid w:val="005A537D"/>
    <w:rsid w:val="005A68FE"/>
    <w:rsid w:val="005A6EC2"/>
    <w:rsid w:val="005A767B"/>
    <w:rsid w:val="005A7B52"/>
    <w:rsid w:val="005A7DFB"/>
    <w:rsid w:val="005A7E61"/>
    <w:rsid w:val="005B05BB"/>
    <w:rsid w:val="005B1BB6"/>
    <w:rsid w:val="005B1C0A"/>
    <w:rsid w:val="005B1D74"/>
    <w:rsid w:val="005B2566"/>
    <w:rsid w:val="005B2F3C"/>
    <w:rsid w:val="005B357B"/>
    <w:rsid w:val="005B3E44"/>
    <w:rsid w:val="005B4038"/>
    <w:rsid w:val="005B4379"/>
    <w:rsid w:val="005B440B"/>
    <w:rsid w:val="005B4584"/>
    <w:rsid w:val="005B498F"/>
    <w:rsid w:val="005B5415"/>
    <w:rsid w:val="005B5D27"/>
    <w:rsid w:val="005B6098"/>
    <w:rsid w:val="005B62A8"/>
    <w:rsid w:val="005B6ACD"/>
    <w:rsid w:val="005B7B42"/>
    <w:rsid w:val="005C0FB8"/>
    <w:rsid w:val="005C1A8C"/>
    <w:rsid w:val="005C1D21"/>
    <w:rsid w:val="005C1DC6"/>
    <w:rsid w:val="005C22DC"/>
    <w:rsid w:val="005C3528"/>
    <w:rsid w:val="005C52B7"/>
    <w:rsid w:val="005C6866"/>
    <w:rsid w:val="005C6D72"/>
    <w:rsid w:val="005C7285"/>
    <w:rsid w:val="005C73B7"/>
    <w:rsid w:val="005C7B41"/>
    <w:rsid w:val="005D166A"/>
    <w:rsid w:val="005D2C01"/>
    <w:rsid w:val="005D3243"/>
    <w:rsid w:val="005D4079"/>
    <w:rsid w:val="005D457B"/>
    <w:rsid w:val="005D4F30"/>
    <w:rsid w:val="005D6276"/>
    <w:rsid w:val="005D6DE4"/>
    <w:rsid w:val="005D77B5"/>
    <w:rsid w:val="005D7E50"/>
    <w:rsid w:val="005E035E"/>
    <w:rsid w:val="005E07C6"/>
    <w:rsid w:val="005E0FDA"/>
    <w:rsid w:val="005E117E"/>
    <w:rsid w:val="005E2D0A"/>
    <w:rsid w:val="005E2EEA"/>
    <w:rsid w:val="005E2EF0"/>
    <w:rsid w:val="005E38DB"/>
    <w:rsid w:val="005E46D1"/>
    <w:rsid w:val="005E4C5E"/>
    <w:rsid w:val="005E50B7"/>
    <w:rsid w:val="005E5C68"/>
    <w:rsid w:val="005E5E43"/>
    <w:rsid w:val="005E6703"/>
    <w:rsid w:val="005E6DB7"/>
    <w:rsid w:val="005E7890"/>
    <w:rsid w:val="005E7A7B"/>
    <w:rsid w:val="005E7CFC"/>
    <w:rsid w:val="005F002B"/>
    <w:rsid w:val="005F060F"/>
    <w:rsid w:val="005F0873"/>
    <w:rsid w:val="005F1753"/>
    <w:rsid w:val="005F19BE"/>
    <w:rsid w:val="005F2866"/>
    <w:rsid w:val="005F2C00"/>
    <w:rsid w:val="005F34E8"/>
    <w:rsid w:val="005F350B"/>
    <w:rsid w:val="005F3523"/>
    <w:rsid w:val="005F3568"/>
    <w:rsid w:val="005F36B2"/>
    <w:rsid w:val="005F5334"/>
    <w:rsid w:val="005F6193"/>
    <w:rsid w:val="005F62B8"/>
    <w:rsid w:val="005F676D"/>
    <w:rsid w:val="005F6FB8"/>
    <w:rsid w:val="005F7477"/>
    <w:rsid w:val="005F7A1D"/>
    <w:rsid w:val="005F7EE4"/>
    <w:rsid w:val="0060016A"/>
    <w:rsid w:val="0060019F"/>
    <w:rsid w:val="006010C6"/>
    <w:rsid w:val="006013F2"/>
    <w:rsid w:val="00601A27"/>
    <w:rsid w:val="00601D27"/>
    <w:rsid w:val="00602343"/>
    <w:rsid w:val="00602CFF"/>
    <w:rsid w:val="00602D65"/>
    <w:rsid w:val="00603AB7"/>
    <w:rsid w:val="00603C11"/>
    <w:rsid w:val="00603C3F"/>
    <w:rsid w:val="0060472B"/>
    <w:rsid w:val="00605615"/>
    <w:rsid w:val="006058B6"/>
    <w:rsid w:val="00605D78"/>
    <w:rsid w:val="00606FAD"/>
    <w:rsid w:val="0060799D"/>
    <w:rsid w:val="0061064C"/>
    <w:rsid w:val="006109A4"/>
    <w:rsid w:val="00610B6F"/>
    <w:rsid w:val="00610CE3"/>
    <w:rsid w:val="00611376"/>
    <w:rsid w:val="00611EDA"/>
    <w:rsid w:val="0061241C"/>
    <w:rsid w:val="00613307"/>
    <w:rsid w:val="00613E1F"/>
    <w:rsid w:val="0061454E"/>
    <w:rsid w:val="00614D17"/>
    <w:rsid w:val="006162DF"/>
    <w:rsid w:val="00616410"/>
    <w:rsid w:val="00617402"/>
    <w:rsid w:val="00617D99"/>
    <w:rsid w:val="006203DF"/>
    <w:rsid w:val="006206E4"/>
    <w:rsid w:val="0062090C"/>
    <w:rsid w:val="00621030"/>
    <w:rsid w:val="00621185"/>
    <w:rsid w:val="00621D50"/>
    <w:rsid w:val="006230A6"/>
    <w:rsid w:val="006232A7"/>
    <w:rsid w:val="00623A45"/>
    <w:rsid w:val="00623B3A"/>
    <w:rsid w:val="0062415C"/>
    <w:rsid w:val="0062464C"/>
    <w:rsid w:val="006246FE"/>
    <w:rsid w:val="00626271"/>
    <w:rsid w:val="006262AE"/>
    <w:rsid w:val="00626A87"/>
    <w:rsid w:val="00626B21"/>
    <w:rsid w:val="006272D6"/>
    <w:rsid w:val="006277CC"/>
    <w:rsid w:val="00630250"/>
    <w:rsid w:val="00630BC5"/>
    <w:rsid w:val="00630E41"/>
    <w:rsid w:val="00630EE7"/>
    <w:rsid w:val="0063116B"/>
    <w:rsid w:val="00631186"/>
    <w:rsid w:val="0063131C"/>
    <w:rsid w:val="00632077"/>
    <w:rsid w:val="0063274B"/>
    <w:rsid w:val="00632EA1"/>
    <w:rsid w:val="006333C6"/>
    <w:rsid w:val="00633F67"/>
    <w:rsid w:val="00634078"/>
    <w:rsid w:val="006343B7"/>
    <w:rsid w:val="00634F06"/>
    <w:rsid w:val="00635429"/>
    <w:rsid w:val="00635A77"/>
    <w:rsid w:val="00635DE5"/>
    <w:rsid w:val="0063717C"/>
    <w:rsid w:val="00637CFC"/>
    <w:rsid w:val="00637DF2"/>
    <w:rsid w:val="006400C7"/>
    <w:rsid w:val="006402B3"/>
    <w:rsid w:val="00640DF0"/>
    <w:rsid w:val="0064133D"/>
    <w:rsid w:val="00641ADC"/>
    <w:rsid w:val="006425BF"/>
    <w:rsid w:val="00642909"/>
    <w:rsid w:val="00642BA7"/>
    <w:rsid w:val="00642CE2"/>
    <w:rsid w:val="00642F88"/>
    <w:rsid w:val="00643170"/>
    <w:rsid w:val="00643A24"/>
    <w:rsid w:val="00643F87"/>
    <w:rsid w:val="00644FB2"/>
    <w:rsid w:val="006451FA"/>
    <w:rsid w:val="00645341"/>
    <w:rsid w:val="00645D94"/>
    <w:rsid w:val="00645F2A"/>
    <w:rsid w:val="00646404"/>
    <w:rsid w:val="006467AF"/>
    <w:rsid w:val="00646E87"/>
    <w:rsid w:val="0064743C"/>
    <w:rsid w:val="0065103B"/>
    <w:rsid w:val="006512A8"/>
    <w:rsid w:val="0065157B"/>
    <w:rsid w:val="00651B94"/>
    <w:rsid w:val="0065248E"/>
    <w:rsid w:val="006526D7"/>
    <w:rsid w:val="00652F9C"/>
    <w:rsid w:val="006541EE"/>
    <w:rsid w:val="00654825"/>
    <w:rsid w:val="00654BA6"/>
    <w:rsid w:val="0065522E"/>
    <w:rsid w:val="0065567C"/>
    <w:rsid w:val="00655C5B"/>
    <w:rsid w:val="00656F68"/>
    <w:rsid w:val="00657D21"/>
    <w:rsid w:val="00660154"/>
    <w:rsid w:val="00660BE8"/>
    <w:rsid w:val="0066165E"/>
    <w:rsid w:val="00661FF4"/>
    <w:rsid w:val="006629C4"/>
    <w:rsid w:val="00663F21"/>
    <w:rsid w:val="006648B5"/>
    <w:rsid w:val="00664F0D"/>
    <w:rsid w:val="006651C0"/>
    <w:rsid w:val="00665A73"/>
    <w:rsid w:val="006669C1"/>
    <w:rsid w:val="00667410"/>
    <w:rsid w:val="006703D9"/>
    <w:rsid w:val="0067106C"/>
    <w:rsid w:val="00671171"/>
    <w:rsid w:val="006711B4"/>
    <w:rsid w:val="006716FC"/>
    <w:rsid w:val="00671D37"/>
    <w:rsid w:val="00671F1C"/>
    <w:rsid w:val="0067205A"/>
    <w:rsid w:val="00672ADA"/>
    <w:rsid w:val="00672E72"/>
    <w:rsid w:val="00672FDB"/>
    <w:rsid w:val="00674395"/>
    <w:rsid w:val="00674B05"/>
    <w:rsid w:val="00674FBA"/>
    <w:rsid w:val="006765F7"/>
    <w:rsid w:val="006768CE"/>
    <w:rsid w:val="006779ED"/>
    <w:rsid w:val="00677E0D"/>
    <w:rsid w:val="00680160"/>
    <w:rsid w:val="00680622"/>
    <w:rsid w:val="00680AB9"/>
    <w:rsid w:val="00680DC8"/>
    <w:rsid w:val="00680EB9"/>
    <w:rsid w:val="0068123D"/>
    <w:rsid w:val="0068151F"/>
    <w:rsid w:val="00681B11"/>
    <w:rsid w:val="006827D4"/>
    <w:rsid w:val="0068286D"/>
    <w:rsid w:val="006836F2"/>
    <w:rsid w:val="006839A1"/>
    <w:rsid w:val="00683F8C"/>
    <w:rsid w:val="006845B3"/>
    <w:rsid w:val="00684793"/>
    <w:rsid w:val="00684B4C"/>
    <w:rsid w:val="00684DC1"/>
    <w:rsid w:val="006853C3"/>
    <w:rsid w:val="00686014"/>
    <w:rsid w:val="006860C1"/>
    <w:rsid w:val="00686922"/>
    <w:rsid w:val="00686A22"/>
    <w:rsid w:val="00686AB5"/>
    <w:rsid w:val="00686BFA"/>
    <w:rsid w:val="00686C67"/>
    <w:rsid w:val="00686C97"/>
    <w:rsid w:val="00687397"/>
    <w:rsid w:val="0068756F"/>
    <w:rsid w:val="00687BB2"/>
    <w:rsid w:val="006905AD"/>
    <w:rsid w:val="006917F3"/>
    <w:rsid w:val="00691F58"/>
    <w:rsid w:val="0069223A"/>
    <w:rsid w:val="006922E9"/>
    <w:rsid w:val="006923B6"/>
    <w:rsid w:val="00692ACE"/>
    <w:rsid w:val="00692CA7"/>
    <w:rsid w:val="00692EB0"/>
    <w:rsid w:val="0069353A"/>
    <w:rsid w:val="0069395F"/>
    <w:rsid w:val="00693A25"/>
    <w:rsid w:val="00693B1B"/>
    <w:rsid w:val="00693D2A"/>
    <w:rsid w:val="006944FE"/>
    <w:rsid w:val="00694516"/>
    <w:rsid w:val="00694D26"/>
    <w:rsid w:val="00695104"/>
    <w:rsid w:val="0069545C"/>
    <w:rsid w:val="006959C1"/>
    <w:rsid w:val="00695A00"/>
    <w:rsid w:val="00695BF7"/>
    <w:rsid w:val="0069687C"/>
    <w:rsid w:val="00696FBB"/>
    <w:rsid w:val="006971A6"/>
    <w:rsid w:val="00697393"/>
    <w:rsid w:val="00697659"/>
    <w:rsid w:val="00697783"/>
    <w:rsid w:val="00697833"/>
    <w:rsid w:val="00697A71"/>
    <w:rsid w:val="00697B8E"/>
    <w:rsid w:val="00697ED4"/>
    <w:rsid w:val="006A1747"/>
    <w:rsid w:val="006A1AE7"/>
    <w:rsid w:val="006A1CC0"/>
    <w:rsid w:val="006A2606"/>
    <w:rsid w:val="006A2808"/>
    <w:rsid w:val="006A2D7C"/>
    <w:rsid w:val="006A31C6"/>
    <w:rsid w:val="006A352F"/>
    <w:rsid w:val="006A3C11"/>
    <w:rsid w:val="006A40CF"/>
    <w:rsid w:val="006A49AE"/>
    <w:rsid w:val="006A6617"/>
    <w:rsid w:val="006A676F"/>
    <w:rsid w:val="006A70BB"/>
    <w:rsid w:val="006A799D"/>
    <w:rsid w:val="006A7A49"/>
    <w:rsid w:val="006A7B60"/>
    <w:rsid w:val="006B01CE"/>
    <w:rsid w:val="006B0555"/>
    <w:rsid w:val="006B0857"/>
    <w:rsid w:val="006B1015"/>
    <w:rsid w:val="006B16D6"/>
    <w:rsid w:val="006B1E39"/>
    <w:rsid w:val="006B20C4"/>
    <w:rsid w:val="006B282C"/>
    <w:rsid w:val="006B320B"/>
    <w:rsid w:val="006B3D2F"/>
    <w:rsid w:val="006B41E1"/>
    <w:rsid w:val="006B4247"/>
    <w:rsid w:val="006B4F6F"/>
    <w:rsid w:val="006B56BC"/>
    <w:rsid w:val="006B57D2"/>
    <w:rsid w:val="006B5F68"/>
    <w:rsid w:val="006B68AC"/>
    <w:rsid w:val="006B738F"/>
    <w:rsid w:val="006B75CB"/>
    <w:rsid w:val="006B7C14"/>
    <w:rsid w:val="006C050A"/>
    <w:rsid w:val="006C0625"/>
    <w:rsid w:val="006C0CA8"/>
    <w:rsid w:val="006C1571"/>
    <w:rsid w:val="006C1DF2"/>
    <w:rsid w:val="006C251F"/>
    <w:rsid w:val="006C2AFF"/>
    <w:rsid w:val="006C3213"/>
    <w:rsid w:val="006C3362"/>
    <w:rsid w:val="006C3EA6"/>
    <w:rsid w:val="006C411D"/>
    <w:rsid w:val="006C44D3"/>
    <w:rsid w:val="006C4AFE"/>
    <w:rsid w:val="006C57D3"/>
    <w:rsid w:val="006C584B"/>
    <w:rsid w:val="006C59BB"/>
    <w:rsid w:val="006C5AA8"/>
    <w:rsid w:val="006C5E0F"/>
    <w:rsid w:val="006C5EF9"/>
    <w:rsid w:val="006C719A"/>
    <w:rsid w:val="006C740E"/>
    <w:rsid w:val="006C78C9"/>
    <w:rsid w:val="006C7CB1"/>
    <w:rsid w:val="006D1B7A"/>
    <w:rsid w:val="006D1E21"/>
    <w:rsid w:val="006D22ED"/>
    <w:rsid w:val="006D2AAC"/>
    <w:rsid w:val="006D3077"/>
    <w:rsid w:val="006D31AF"/>
    <w:rsid w:val="006D4005"/>
    <w:rsid w:val="006D4ACC"/>
    <w:rsid w:val="006D52AE"/>
    <w:rsid w:val="006D554F"/>
    <w:rsid w:val="006D57DE"/>
    <w:rsid w:val="006D5F23"/>
    <w:rsid w:val="006D6045"/>
    <w:rsid w:val="006D7393"/>
    <w:rsid w:val="006D7561"/>
    <w:rsid w:val="006D7986"/>
    <w:rsid w:val="006D7A5E"/>
    <w:rsid w:val="006E0059"/>
    <w:rsid w:val="006E0305"/>
    <w:rsid w:val="006E0635"/>
    <w:rsid w:val="006E065B"/>
    <w:rsid w:val="006E074A"/>
    <w:rsid w:val="006E1646"/>
    <w:rsid w:val="006E2E76"/>
    <w:rsid w:val="006E3C59"/>
    <w:rsid w:val="006E3F38"/>
    <w:rsid w:val="006E3F65"/>
    <w:rsid w:val="006E4181"/>
    <w:rsid w:val="006E4B7C"/>
    <w:rsid w:val="006E53DA"/>
    <w:rsid w:val="006E5CA1"/>
    <w:rsid w:val="006E6566"/>
    <w:rsid w:val="006E6572"/>
    <w:rsid w:val="006E6807"/>
    <w:rsid w:val="006E6BFA"/>
    <w:rsid w:val="006E6CC4"/>
    <w:rsid w:val="006E6CF8"/>
    <w:rsid w:val="006E7301"/>
    <w:rsid w:val="006E75AA"/>
    <w:rsid w:val="006E7708"/>
    <w:rsid w:val="006E7868"/>
    <w:rsid w:val="006E7FFE"/>
    <w:rsid w:val="006F0090"/>
    <w:rsid w:val="006F00E1"/>
    <w:rsid w:val="006F0589"/>
    <w:rsid w:val="006F11D6"/>
    <w:rsid w:val="006F19CE"/>
    <w:rsid w:val="006F2014"/>
    <w:rsid w:val="006F2155"/>
    <w:rsid w:val="006F2221"/>
    <w:rsid w:val="006F2305"/>
    <w:rsid w:val="006F25DD"/>
    <w:rsid w:val="006F35B2"/>
    <w:rsid w:val="006F469C"/>
    <w:rsid w:val="006F491F"/>
    <w:rsid w:val="006F4C69"/>
    <w:rsid w:val="006F506F"/>
    <w:rsid w:val="006F50B5"/>
    <w:rsid w:val="006F5662"/>
    <w:rsid w:val="006F5A04"/>
    <w:rsid w:val="006F5AA3"/>
    <w:rsid w:val="006F5FEB"/>
    <w:rsid w:val="006F61FF"/>
    <w:rsid w:val="006F6419"/>
    <w:rsid w:val="006F6FA4"/>
    <w:rsid w:val="006F7138"/>
    <w:rsid w:val="007002BC"/>
    <w:rsid w:val="007004C7"/>
    <w:rsid w:val="007005FE"/>
    <w:rsid w:val="00700E26"/>
    <w:rsid w:val="00701A99"/>
    <w:rsid w:val="00702427"/>
    <w:rsid w:val="00702A01"/>
    <w:rsid w:val="00702CCD"/>
    <w:rsid w:val="00705302"/>
    <w:rsid w:val="00706638"/>
    <w:rsid w:val="00706FD7"/>
    <w:rsid w:val="00707604"/>
    <w:rsid w:val="007078BE"/>
    <w:rsid w:val="00707D5F"/>
    <w:rsid w:val="00710EB6"/>
    <w:rsid w:val="00711C28"/>
    <w:rsid w:val="007122E4"/>
    <w:rsid w:val="0071242D"/>
    <w:rsid w:val="00712B35"/>
    <w:rsid w:val="00712E94"/>
    <w:rsid w:val="00712F3E"/>
    <w:rsid w:val="007137A5"/>
    <w:rsid w:val="00714B2F"/>
    <w:rsid w:val="00714D49"/>
    <w:rsid w:val="00715233"/>
    <w:rsid w:val="007154B1"/>
    <w:rsid w:val="00715C68"/>
    <w:rsid w:val="00715C8B"/>
    <w:rsid w:val="0071604E"/>
    <w:rsid w:val="007163F7"/>
    <w:rsid w:val="00716B6D"/>
    <w:rsid w:val="00716C0F"/>
    <w:rsid w:val="00716F5E"/>
    <w:rsid w:val="00716FA8"/>
    <w:rsid w:val="007179A0"/>
    <w:rsid w:val="007179D3"/>
    <w:rsid w:val="00717C86"/>
    <w:rsid w:val="00717CFD"/>
    <w:rsid w:val="0072011C"/>
    <w:rsid w:val="00722D88"/>
    <w:rsid w:val="00723476"/>
    <w:rsid w:val="007234CF"/>
    <w:rsid w:val="00723653"/>
    <w:rsid w:val="00723727"/>
    <w:rsid w:val="00723772"/>
    <w:rsid w:val="00723873"/>
    <w:rsid w:val="007239DA"/>
    <w:rsid w:val="00723BA6"/>
    <w:rsid w:val="0072402D"/>
    <w:rsid w:val="00724531"/>
    <w:rsid w:val="007248DF"/>
    <w:rsid w:val="00724BE8"/>
    <w:rsid w:val="00724BF2"/>
    <w:rsid w:val="007252DA"/>
    <w:rsid w:val="007256EE"/>
    <w:rsid w:val="00725BF8"/>
    <w:rsid w:val="00726546"/>
    <w:rsid w:val="00726E22"/>
    <w:rsid w:val="0072738C"/>
    <w:rsid w:val="00727BB8"/>
    <w:rsid w:val="00730160"/>
    <w:rsid w:val="00730383"/>
    <w:rsid w:val="00730DE1"/>
    <w:rsid w:val="0073111A"/>
    <w:rsid w:val="00731364"/>
    <w:rsid w:val="00731A53"/>
    <w:rsid w:val="00731FBF"/>
    <w:rsid w:val="00732423"/>
    <w:rsid w:val="007325E0"/>
    <w:rsid w:val="00732E2D"/>
    <w:rsid w:val="00734EE6"/>
    <w:rsid w:val="00735179"/>
    <w:rsid w:val="00735798"/>
    <w:rsid w:val="007357DC"/>
    <w:rsid w:val="00735F75"/>
    <w:rsid w:val="007368B4"/>
    <w:rsid w:val="007368BB"/>
    <w:rsid w:val="00736FEB"/>
    <w:rsid w:val="00737DF9"/>
    <w:rsid w:val="00740A4B"/>
    <w:rsid w:val="00741147"/>
    <w:rsid w:val="007412B3"/>
    <w:rsid w:val="00741375"/>
    <w:rsid w:val="00741842"/>
    <w:rsid w:val="00741C11"/>
    <w:rsid w:val="00742117"/>
    <w:rsid w:val="00742173"/>
    <w:rsid w:val="00742DE7"/>
    <w:rsid w:val="0074325C"/>
    <w:rsid w:val="0074331A"/>
    <w:rsid w:val="00744D9A"/>
    <w:rsid w:val="00746276"/>
    <w:rsid w:val="0074648E"/>
    <w:rsid w:val="00746937"/>
    <w:rsid w:val="00747382"/>
    <w:rsid w:val="0075052E"/>
    <w:rsid w:val="007506FF"/>
    <w:rsid w:val="007511A0"/>
    <w:rsid w:val="00751659"/>
    <w:rsid w:val="00751E85"/>
    <w:rsid w:val="00752258"/>
    <w:rsid w:val="00752698"/>
    <w:rsid w:val="00752AE4"/>
    <w:rsid w:val="00754354"/>
    <w:rsid w:val="007544FA"/>
    <w:rsid w:val="00754D59"/>
    <w:rsid w:val="00755297"/>
    <w:rsid w:val="00755368"/>
    <w:rsid w:val="00755510"/>
    <w:rsid w:val="007555E9"/>
    <w:rsid w:val="00755EA1"/>
    <w:rsid w:val="00755F29"/>
    <w:rsid w:val="00755F6F"/>
    <w:rsid w:val="00755FDA"/>
    <w:rsid w:val="007575EB"/>
    <w:rsid w:val="00757872"/>
    <w:rsid w:val="00757E18"/>
    <w:rsid w:val="00760705"/>
    <w:rsid w:val="007607C5"/>
    <w:rsid w:val="00760EE5"/>
    <w:rsid w:val="00760FBB"/>
    <w:rsid w:val="00761DE6"/>
    <w:rsid w:val="0076244B"/>
    <w:rsid w:val="007639DF"/>
    <w:rsid w:val="00763D54"/>
    <w:rsid w:val="007646FB"/>
    <w:rsid w:val="00765384"/>
    <w:rsid w:val="00765432"/>
    <w:rsid w:val="00765785"/>
    <w:rsid w:val="007661A7"/>
    <w:rsid w:val="00766213"/>
    <w:rsid w:val="00766268"/>
    <w:rsid w:val="00766A73"/>
    <w:rsid w:val="00766EBD"/>
    <w:rsid w:val="00767796"/>
    <w:rsid w:val="0076779F"/>
    <w:rsid w:val="00767977"/>
    <w:rsid w:val="007700DD"/>
    <w:rsid w:val="00770287"/>
    <w:rsid w:val="00770935"/>
    <w:rsid w:val="007714F6"/>
    <w:rsid w:val="00772382"/>
    <w:rsid w:val="00772473"/>
    <w:rsid w:val="007728C5"/>
    <w:rsid w:val="007728CB"/>
    <w:rsid w:val="00773051"/>
    <w:rsid w:val="007731E7"/>
    <w:rsid w:val="00773765"/>
    <w:rsid w:val="00773D21"/>
    <w:rsid w:val="007748B0"/>
    <w:rsid w:val="007748C0"/>
    <w:rsid w:val="007751BA"/>
    <w:rsid w:val="007755FD"/>
    <w:rsid w:val="00775FA6"/>
    <w:rsid w:val="00776164"/>
    <w:rsid w:val="0077644C"/>
    <w:rsid w:val="007766EB"/>
    <w:rsid w:val="0077687C"/>
    <w:rsid w:val="00776916"/>
    <w:rsid w:val="0077777B"/>
    <w:rsid w:val="007777BE"/>
    <w:rsid w:val="00777B55"/>
    <w:rsid w:val="00777F0E"/>
    <w:rsid w:val="00780132"/>
    <w:rsid w:val="00780426"/>
    <w:rsid w:val="00780B40"/>
    <w:rsid w:val="00781268"/>
    <w:rsid w:val="0078145C"/>
    <w:rsid w:val="00781875"/>
    <w:rsid w:val="00782044"/>
    <w:rsid w:val="007820B2"/>
    <w:rsid w:val="00783054"/>
    <w:rsid w:val="00783B6B"/>
    <w:rsid w:val="00783C45"/>
    <w:rsid w:val="00783D03"/>
    <w:rsid w:val="007844AA"/>
    <w:rsid w:val="00784AB2"/>
    <w:rsid w:val="00785441"/>
    <w:rsid w:val="00785F50"/>
    <w:rsid w:val="007860DA"/>
    <w:rsid w:val="00786FEF"/>
    <w:rsid w:val="007902CF"/>
    <w:rsid w:val="00790B43"/>
    <w:rsid w:val="0079103E"/>
    <w:rsid w:val="007918DA"/>
    <w:rsid w:val="007919AC"/>
    <w:rsid w:val="00791B59"/>
    <w:rsid w:val="00791B9F"/>
    <w:rsid w:val="00792282"/>
    <w:rsid w:val="0079232E"/>
    <w:rsid w:val="007928E5"/>
    <w:rsid w:val="007938AC"/>
    <w:rsid w:val="00793939"/>
    <w:rsid w:val="00793D20"/>
    <w:rsid w:val="00794AA3"/>
    <w:rsid w:val="00794C6C"/>
    <w:rsid w:val="00794E98"/>
    <w:rsid w:val="007956E0"/>
    <w:rsid w:val="00795A91"/>
    <w:rsid w:val="00795B1B"/>
    <w:rsid w:val="007960C2"/>
    <w:rsid w:val="007966FE"/>
    <w:rsid w:val="00796824"/>
    <w:rsid w:val="007968CA"/>
    <w:rsid w:val="00797B6E"/>
    <w:rsid w:val="007A00B4"/>
    <w:rsid w:val="007A00D0"/>
    <w:rsid w:val="007A0B48"/>
    <w:rsid w:val="007A10AE"/>
    <w:rsid w:val="007A11C4"/>
    <w:rsid w:val="007A1235"/>
    <w:rsid w:val="007A17A1"/>
    <w:rsid w:val="007A1AAF"/>
    <w:rsid w:val="007A2292"/>
    <w:rsid w:val="007A25BA"/>
    <w:rsid w:val="007A2953"/>
    <w:rsid w:val="007A316E"/>
    <w:rsid w:val="007A3A4B"/>
    <w:rsid w:val="007A3F6F"/>
    <w:rsid w:val="007A496F"/>
    <w:rsid w:val="007A4C49"/>
    <w:rsid w:val="007A5467"/>
    <w:rsid w:val="007A5836"/>
    <w:rsid w:val="007A5BC2"/>
    <w:rsid w:val="007A646E"/>
    <w:rsid w:val="007A698E"/>
    <w:rsid w:val="007A758E"/>
    <w:rsid w:val="007A7BC0"/>
    <w:rsid w:val="007B0136"/>
    <w:rsid w:val="007B030E"/>
    <w:rsid w:val="007B0565"/>
    <w:rsid w:val="007B101C"/>
    <w:rsid w:val="007B1384"/>
    <w:rsid w:val="007B2164"/>
    <w:rsid w:val="007B2715"/>
    <w:rsid w:val="007B32CA"/>
    <w:rsid w:val="007B3342"/>
    <w:rsid w:val="007B34C7"/>
    <w:rsid w:val="007B3546"/>
    <w:rsid w:val="007B4069"/>
    <w:rsid w:val="007B4EC1"/>
    <w:rsid w:val="007B4EF6"/>
    <w:rsid w:val="007B5996"/>
    <w:rsid w:val="007B5C9C"/>
    <w:rsid w:val="007B6492"/>
    <w:rsid w:val="007B7524"/>
    <w:rsid w:val="007B7EC0"/>
    <w:rsid w:val="007C03B1"/>
    <w:rsid w:val="007C0FAE"/>
    <w:rsid w:val="007C142E"/>
    <w:rsid w:val="007C14CA"/>
    <w:rsid w:val="007C1781"/>
    <w:rsid w:val="007C17EC"/>
    <w:rsid w:val="007C1806"/>
    <w:rsid w:val="007C20AF"/>
    <w:rsid w:val="007C2371"/>
    <w:rsid w:val="007C2439"/>
    <w:rsid w:val="007C2588"/>
    <w:rsid w:val="007C2D10"/>
    <w:rsid w:val="007C2E56"/>
    <w:rsid w:val="007C34B0"/>
    <w:rsid w:val="007C3500"/>
    <w:rsid w:val="007C3744"/>
    <w:rsid w:val="007C3A77"/>
    <w:rsid w:val="007C40EE"/>
    <w:rsid w:val="007C4CC5"/>
    <w:rsid w:val="007C55BD"/>
    <w:rsid w:val="007C5A41"/>
    <w:rsid w:val="007C64F6"/>
    <w:rsid w:val="007C6D04"/>
    <w:rsid w:val="007C73C1"/>
    <w:rsid w:val="007C7825"/>
    <w:rsid w:val="007C7B02"/>
    <w:rsid w:val="007D0411"/>
    <w:rsid w:val="007D1A69"/>
    <w:rsid w:val="007D1CC7"/>
    <w:rsid w:val="007D1ED7"/>
    <w:rsid w:val="007D28AF"/>
    <w:rsid w:val="007D2DAE"/>
    <w:rsid w:val="007D2E9B"/>
    <w:rsid w:val="007D320C"/>
    <w:rsid w:val="007D38F3"/>
    <w:rsid w:val="007D407C"/>
    <w:rsid w:val="007D4832"/>
    <w:rsid w:val="007D581D"/>
    <w:rsid w:val="007D615D"/>
    <w:rsid w:val="007D6727"/>
    <w:rsid w:val="007D675F"/>
    <w:rsid w:val="007D6C9C"/>
    <w:rsid w:val="007D7258"/>
    <w:rsid w:val="007D72F6"/>
    <w:rsid w:val="007D7696"/>
    <w:rsid w:val="007D7BD2"/>
    <w:rsid w:val="007D7C78"/>
    <w:rsid w:val="007E033C"/>
    <w:rsid w:val="007E063D"/>
    <w:rsid w:val="007E0B2D"/>
    <w:rsid w:val="007E0EEC"/>
    <w:rsid w:val="007E1BED"/>
    <w:rsid w:val="007E38F6"/>
    <w:rsid w:val="007E3F7E"/>
    <w:rsid w:val="007E54E7"/>
    <w:rsid w:val="007E5AD0"/>
    <w:rsid w:val="007E5BA3"/>
    <w:rsid w:val="007E61E9"/>
    <w:rsid w:val="007E66FE"/>
    <w:rsid w:val="007E68CF"/>
    <w:rsid w:val="007E73AE"/>
    <w:rsid w:val="007E7440"/>
    <w:rsid w:val="007E769D"/>
    <w:rsid w:val="007E7CCC"/>
    <w:rsid w:val="007F01BF"/>
    <w:rsid w:val="007F034F"/>
    <w:rsid w:val="007F054B"/>
    <w:rsid w:val="007F0824"/>
    <w:rsid w:val="007F143B"/>
    <w:rsid w:val="007F16C0"/>
    <w:rsid w:val="007F265E"/>
    <w:rsid w:val="007F2729"/>
    <w:rsid w:val="007F285C"/>
    <w:rsid w:val="007F2FDF"/>
    <w:rsid w:val="007F3103"/>
    <w:rsid w:val="007F3752"/>
    <w:rsid w:val="007F5516"/>
    <w:rsid w:val="007F5550"/>
    <w:rsid w:val="007F6459"/>
    <w:rsid w:val="007F645E"/>
    <w:rsid w:val="007F68E0"/>
    <w:rsid w:val="007F6D82"/>
    <w:rsid w:val="007F74EB"/>
    <w:rsid w:val="007F7951"/>
    <w:rsid w:val="007F7AE8"/>
    <w:rsid w:val="007F7BB6"/>
    <w:rsid w:val="00800985"/>
    <w:rsid w:val="0080115C"/>
    <w:rsid w:val="0080262E"/>
    <w:rsid w:val="0080283C"/>
    <w:rsid w:val="00802A70"/>
    <w:rsid w:val="00802BDD"/>
    <w:rsid w:val="00802E7B"/>
    <w:rsid w:val="008038AA"/>
    <w:rsid w:val="0080394C"/>
    <w:rsid w:val="00804163"/>
    <w:rsid w:val="008046FC"/>
    <w:rsid w:val="00805675"/>
    <w:rsid w:val="00805C38"/>
    <w:rsid w:val="00806141"/>
    <w:rsid w:val="00806319"/>
    <w:rsid w:val="00806A8E"/>
    <w:rsid w:val="0080728B"/>
    <w:rsid w:val="008074C6"/>
    <w:rsid w:val="0081026F"/>
    <w:rsid w:val="00810ADE"/>
    <w:rsid w:val="00810C81"/>
    <w:rsid w:val="00811048"/>
    <w:rsid w:val="0081124B"/>
    <w:rsid w:val="00812863"/>
    <w:rsid w:val="00812E6A"/>
    <w:rsid w:val="00813B4B"/>
    <w:rsid w:val="00813C2A"/>
    <w:rsid w:val="00813E08"/>
    <w:rsid w:val="00814C62"/>
    <w:rsid w:val="00815718"/>
    <w:rsid w:val="008178DE"/>
    <w:rsid w:val="00817F5D"/>
    <w:rsid w:val="00817FD0"/>
    <w:rsid w:val="0082011B"/>
    <w:rsid w:val="00820453"/>
    <w:rsid w:val="00820F0B"/>
    <w:rsid w:val="008214A7"/>
    <w:rsid w:val="00821879"/>
    <w:rsid w:val="00821944"/>
    <w:rsid w:val="00821FB1"/>
    <w:rsid w:val="008220BB"/>
    <w:rsid w:val="00822826"/>
    <w:rsid w:val="0082301B"/>
    <w:rsid w:val="008231E7"/>
    <w:rsid w:val="0082323C"/>
    <w:rsid w:val="008237F8"/>
    <w:rsid w:val="00823D1A"/>
    <w:rsid w:val="00823E51"/>
    <w:rsid w:val="008256B0"/>
    <w:rsid w:val="00825C17"/>
    <w:rsid w:val="008267AB"/>
    <w:rsid w:val="008275D8"/>
    <w:rsid w:val="00827F43"/>
    <w:rsid w:val="00831B46"/>
    <w:rsid w:val="00831DFA"/>
    <w:rsid w:val="00832625"/>
    <w:rsid w:val="008327D5"/>
    <w:rsid w:val="00832D21"/>
    <w:rsid w:val="00833401"/>
    <w:rsid w:val="008334E6"/>
    <w:rsid w:val="00833C78"/>
    <w:rsid w:val="008340AC"/>
    <w:rsid w:val="00835368"/>
    <w:rsid w:val="00835393"/>
    <w:rsid w:val="008358CF"/>
    <w:rsid w:val="0083603C"/>
    <w:rsid w:val="00836647"/>
    <w:rsid w:val="00836A8F"/>
    <w:rsid w:val="00836B70"/>
    <w:rsid w:val="00837BCF"/>
    <w:rsid w:val="00840F29"/>
    <w:rsid w:val="00841AB7"/>
    <w:rsid w:val="00842AFC"/>
    <w:rsid w:val="008434D1"/>
    <w:rsid w:val="00843A9C"/>
    <w:rsid w:val="00843D97"/>
    <w:rsid w:val="00843EA8"/>
    <w:rsid w:val="00844A73"/>
    <w:rsid w:val="00844EA4"/>
    <w:rsid w:val="008457D5"/>
    <w:rsid w:val="00845A71"/>
    <w:rsid w:val="00845BBB"/>
    <w:rsid w:val="008478A5"/>
    <w:rsid w:val="0085062D"/>
    <w:rsid w:val="0085103B"/>
    <w:rsid w:val="0085113F"/>
    <w:rsid w:val="00851725"/>
    <w:rsid w:val="00852F1A"/>
    <w:rsid w:val="0085348E"/>
    <w:rsid w:val="00853D65"/>
    <w:rsid w:val="00854094"/>
    <w:rsid w:val="0085424E"/>
    <w:rsid w:val="00854C92"/>
    <w:rsid w:val="008552AE"/>
    <w:rsid w:val="008559E6"/>
    <w:rsid w:val="00855C3B"/>
    <w:rsid w:val="008560ED"/>
    <w:rsid w:val="0085661A"/>
    <w:rsid w:val="008567BF"/>
    <w:rsid w:val="00856841"/>
    <w:rsid w:val="00856EB0"/>
    <w:rsid w:val="0085761F"/>
    <w:rsid w:val="00857A87"/>
    <w:rsid w:val="00857E39"/>
    <w:rsid w:val="008599F5"/>
    <w:rsid w:val="0086026C"/>
    <w:rsid w:val="00860650"/>
    <w:rsid w:val="008614FE"/>
    <w:rsid w:val="00861BDC"/>
    <w:rsid w:val="00861E23"/>
    <w:rsid w:val="00861FE4"/>
    <w:rsid w:val="0086210C"/>
    <w:rsid w:val="008629F8"/>
    <w:rsid w:val="00863848"/>
    <w:rsid w:val="008649AC"/>
    <w:rsid w:val="00864A26"/>
    <w:rsid w:val="0086545E"/>
    <w:rsid w:val="008654DC"/>
    <w:rsid w:val="008658EB"/>
    <w:rsid w:val="00866217"/>
    <w:rsid w:val="0086624D"/>
    <w:rsid w:val="008663A5"/>
    <w:rsid w:val="00866AED"/>
    <w:rsid w:val="00866F76"/>
    <w:rsid w:val="008672E1"/>
    <w:rsid w:val="00867B34"/>
    <w:rsid w:val="00867D44"/>
    <w:rsid w:val="00867E1E"/>
    <w:rsid w:val="0087054C"/>
    <w:rsid w:val="0087129B"/>
    <w:rsid w:val="0087142D"/>
    <w:rsid w:val="00871461"/>
    <w:rsid w:val="008716B4"/>
    <w:rsid w:val="0087231B"/>
    <w:rsid w:val="008723E2"/>
    <w:rsid w:val="008730C3"/>
    <w:rsid w:val="00875586"/>
    <w:rsid w:val="00875E09"/>
    <w:rsid w:val="00875EA1"/>
    <w:rsid w:val="00876555"/>
    <w:rsid w:val="00876B6D"/>
    <w:rsid w:val="00877A00"/>
    <w:rsid w:val="00880349"/>
    <w:rsid w:val="008809BF"/>
    <w:rsid w:val="008819BA"/>
    <w:rsid w:val="00882468"/>
    <w:rsid w:val="008827A2"/>
    <w:rsid w:val="008828B9"/>
    <w:rsid w:val="00882A9B"/>
    <w:rsid w:val="00882E4F"/>
    <w:rsid w:val="0088326C"/>
    <w:rsid w:val="008832B5"/>
    <w:rsid w:val="00884A0A"/>
    <w:rsid w:val="00884B47"/>
    <w:rsid w:val="00885568"/>
    <w:rsid w:val="00885F11"/>
    <w:rsid w:val="00887021"/>
    <w:rsid w:val="00887169"/>
    <w:rsid w:val="008874D3"/>
    <w:rsid w:val="00887610"/>
    <w:rsid w:val="00887BF5"/>
    <w:rsid w:val="0089065D"/>
    <w:rsid w:val="00890662"/>
    <w:rsid w:val="0089101E"/>
    <w:rsid w:val="008913A8"/>
    <w:rsid w:val="00891CD2"/>
    <w:rsid w:val="00892891"/>
    <w:rsid w:val="00892B1E"/>
    <w:rsid w:val="00892B45"/>
    <w:rsid w:val="00892E51"/>
    <w:rsid w:val="008938B2"/>
    <w:rsid w:val="00893911"/>
    <w:rsid w:val="00893D39"/>
    <w:rsid w:val="00893F71"/>
    <w:rsid w:val="0089417D"/>
    <w:rsid w:val="00894D31"/>
    <w:rsid w:val="008955B9"/>
    <w:rsid w:val="00895977"/>
    <w:rsid w:val="008959FF"/>
    <w:rsid w:val="0089673C"/>
    <w:rsid w:val="0089712F"/>
    <w:rsid w:val="0089718F"/>
    <w:rsid w:val="00897839"/>
    <w:rsid w:val="008A017A"/>
    <w:rsid w:val="008A0A28"/>
    <w:rsid w:val="008A0CAD"/>
    <w:rsid w:val="008A0CAE"/>
    <w:rsid w:val="008A18F5"/>
    <w:rsid w:val="008A1DD4"/>
    <w:rsid w:val="008A282F"/>
    <w:rsid w:val="008A2DEA"/>
    <w:rsid w:val="008A2EC7"/>
    <w:rsid w:val="008A2ECD"/>
    <w:rsid w:val="008A31C8"/>
    <w:rsid w:val="008A3BB8"/>
    <w:rsid w:val="008A43C3"/>
    <w:rsid w:val="008A4E9A"/>
    <w:rsid w:val="008A55C0"/>
    <w:rsid w:val="008A5A2B"/>
    <w:rsid w:val="008A61CE"/>
    <w:rsid w:val="008A683F"/>
    <w:rsid w:val="008A6AF7"/>
    <w:rsid w:val="008A6BF3"/>
    <w:rsid w:val="008A7135"/>
    <w:rsid w:val="008A7CAE"/>
    <w:rsid w:val="008B010F"/>
    <w:rsid w:val="008B01DD"/>
    <w:rsid w:val="008B0629"/>
    <w:rsid w:val="008B076D"/>
    <w:rsid w:val="008B08BF"/>
    <w:rsid w:val="008B0D63"/>
    <w:rsid w:val="008B0FBE"/>
    <w:rsid w:val="008B1382"/>
    <w:rsid w:val="008B1975"/>
    <w:rsid w:val="008B1C34"/>
    <w:rsid w:val="008B1E39"/>
    <w:rsid w:val="008B25F3"/>
    <w:rsid w:val="008B2927"/>
    <w:rsid w:val="008B2AE7"/>
    <w:rsid w:val="008B3B6C"/>
    <w:rsid w:val="008B41B3"/>
    <w:rsid w:val="008B4771"/>
    <w:rsid w:val="008B495D"/>
    <w:rsid w:val="008B4D65"/>
    <w:rsid w:val="008B5C44"/>
    <w:rsid w:val="008B6EE0"/>
    <w:rsid w:val="008B748E"/>
    <w:rsid w:val="008C01A7"/>
    <w:rsid w:val="008C0F13"/>
    <w:rsid w:val="008C15E7"/>
    <w:rsid w:val="008C202B"/>
    <w:rsid w:val="008C22A3"/>
    <w:rsid w:val="008C27BB"/>
    <w:rsid w:val="008C2AA3"/>
    <w:rsid w:val="008C39BD"/>
    <w:rsid w:val="008C4112"/>
    <w:rsid w:val="008C5409"/>
    <w:rsid w:val="008C56A0"/>
    <w:rsid w:val="008C5735"/>
    <w:rsid w:val="008C5911"/>
    <w:rsid w:val="008C5AE7"/>
    <w:rsid w:val="008C615F"/>
    <w:rsid w:val="008C6287"/>
    <w:rsid w:val="008C62B1"/>
    <w:rsid w:val="008C6A13"/>
    <w:rsid w:val="008C6BCD"/>
    <w:rsid w:val="008C6EAF"/>
    <w:rsid w:val="008C7C49"/>
    <w:rsid w:val="008D10F2"/>
    <w:rsid w:val="008D157C"/>
    <w:rsid w:val="008D18F5"/>
    <w:rsid w:val="008D190C"/>
    <w:rsid w:val="008D271B"/>
    <w:rsid w:val="008D2A6E"/>
    <w:rsid w:val="008D30B2"/>
    <w:rsid w:val="008D37FD"/>
    <w:rsid w:val="008D3C61"/>
    <w:rsid w:val="008D3E8C"/>
    <w:rsid w:val="008D4C7B"/>
    <w:rsid w:val="008D4FCE"/>
    <w:rsid w:val="008D5C6C"/>
    <w:rsid w:val="008D5DF0"/>
    <w:rsid w:val="008D60E2"/>
    <w:rsid w:val="008D625B"/>
    <w:rsid w:val="008D63E3"/>
    <w:rsid w:val="008D7249"/>
    <w:rsid w:val="008D7502"/>
    <w:rsid w:val="008E05CA"/>
    <w:rsid w:val="008E0793"/>
    <w:rsid w:val="008E08D6"/>
    <w:rsid w:val="008E0D75"/>
    <w:rsid w:val="008E0DB8"/>
    <w:rsid w:val="008E17D4"/>
    <w:rsid w:val="008E1A7C"/>
    <w:rsid w:val="008E1EF5"/>
    <w:rsid w:val="008E2AE7"/>
    <w:rsid w:val="008E2B8C"/>
    <w:rsid w:val="008E32B2"/>
    <w:rsid w:val="008E352B"/>
    <w:rsid w:val="008E4367"/>
    <w:rsid w:val="008E4377"/>
    <w:rsid w:val="008E444D"/>
    <w:rsid w:val="008E4A06"/>
    <w:rsid w:val="008E4F70"/>
    <w:rsid w:val="008E53AA"/>
    <w:rsid w:val="008E54B7"/>
    <w:rsid w:val="008E59A9"/>
    <w:rsid w:val="008E635B"/>
    <w:rsid w:val="008E64C2"/>
    <w:rsid w:val="008E65FD"/>
    <w:rsid w:val="008E6C4B"/>
    <w:rsid w:val="008E7360"/>
    <w:rsid w:val="008E7A44"/>
    <w:rsid w:val="008F0128"/>
    <w:rsid w:val="008F0766"/>
    <w:rsid w:val="008F0C0D"/>
    <w:rsid w:val="008F0DF4"/>
    <w:rsid w:val="008F10EB"/>
    <w:rsid w:val="008F1852"/>
    <w:rsid w:val="008F1D3A"/>
    <w:rsid w:val="008F1F22"/>
    <w:rsid w:val="008F29F4"/>
    <w:rsid w:val="008F318D"/>
    <w:rsid w:val="008F4A4E"/>
    <w:rsid w:val="008F4B2F"/>
    <w:rsid w:val="008F5243"/>
    <w:rsid w:val="008F5651"/>
    <w:rsid w:val="008F5BF8"/>
    <w:rsid w:val="008F5F01"/>
    <w:rsid w:val="008F6025"/>
    <w:rsid w:val="008F62F4"/>
    <w:rsid w:val="008F63E3"/>
    <w:rsid w:val="008F65E0"/>
    <w:rsid w:val="008F6BFE"/>
    <w:rsid w:val="008F7F5D"/>
    <w:rsid w:val="009006B3"/>
    <w:rsid w:val="0090074D"/>
    <w:rsid w:val="00900E7D"/>
    <w:rsid w:val="00901148"/>
    <w:rsid w:val="00901500"/>
    <w:rsid w:val="0090157E"/>
    <w:rsid w:val="009018B6"/>
    <w:rsid w:val="00901A7D"/>
    <w:rsid w:val="009020A7"/>
    <w:rsid w:val="009022CD"/>
    <w:rsid w:val="00902A95"/>
    <w:rsid w:val="00902F70"/>
    <w:rsid w:val="0090310B"/>
    <w:rsid w:val="009034F1"/>
    <w:rsid w:val="00903A29"/>
    <w:rsid w:val="00904640"/>
    <w:rsid w:val="00904E1A"/>
    <w:rsid w:val="00904E6F"/>
    <w:rsid w:val="00905068"/>
    <w:rsid w:val="009050B5"/>
    <w:rsid w:val="009051D8"/>
    <w:rsid w:val="009052E4"/>
    <w:rsid w:val="0090582B"/>
    <w:rsid w:val="0090639C"/>
    <w:rsid w:val="009064EB"/>
    <w:rsid w:val="0090724D"/>
    <w:rsid w:val="00907ACD"/>
    <w:rsid w:val="00907B21"/>
    <w:rsid w:val="00910871"/>
    <w:rsid w:val="0091098B"/>
    <w:rsid w:val="00911572"/>
    <w:rsid w:val="00911BEF"/>
    <w:rsid w:val="00911D90"/>
    <w:rsid w:val="00912B1F"/>
    <w:rsid w:val="00912D7C"/>
    <w:rsid w:val="00913159"/>
    <w:rsid w:val="00913464"/>
    <w:rsid w:val="00914007"/>
    <w:rsid w:val="0091463A"/>
    <w:rsid w:val="00914CFA"/>
    <w:rsid w:val="00915267"/>
    <w:rsid w:val="009152A4"/>
    <w:rsid w:val="00915FD3"/>
    <w:rsid w:val="00916EE9"/>
    <w:rsid w:val="00917E20"/>
    <w:rsid w:val="00917E8E"/>
    <w:rsid w:val="009206F0"/>
    <w:rsid w:val="00920CF7"/>
    <w:rsid w:val="00920D00"/>
    <w:rsid w:val="00921588"/>
    <w:rsid w:val="00921B9F"/>
    <w:rsid w:val="0092228F"/>
    <w:rsid w:val="00922462"/>
    <w:rsid w:val="00923792"/>
    <w:rsid w:val="00923CF1"/>
    <w:rsid w:val="009240E0"/>
    <w:rsid w:val="009254C5"/>
    <w:rsid w:val="00926116"/>
    <w:rsid w:val="00926A62"/>
    <w:rsid w:val="0092703F"/>
    <w:rsid w:val="00927697"/>
    <w:rsid w:val="00927BE6"/>
    <w:rsid w:val="00930E39"/>
    <w:rsid w:val="0093195D"/>
    <w:rsid w:val="00931A2F"/>
    <w:rsid w:val="00931B19"/>
    <w:rsid w:val="00931CAE"/>
    <w:rsid w:val="0093267A"/>
    <w:rsid w:val="009326A9"/>
    <w:rsid w:val="0093287E"/>
    <w:rsid w:val="00932BFD"/>
    <w:rsid w:val="009339EF"/>
    <w:rsid w:val="00933DCE"/>
    <w:rsid w:val="00933EFF"/>
    <w:rsid w:val="009345C2"/>
    <w:rsid w:val="00934672"/>
    <w:rsid w:val="00934B5A"/>
    <w:rsid w:val="00934D2D"/>
    <w:rsid w:val="009359F2"/>
    <w:rsid w:val="00935A06"/>
    <w:rsid w:val="00935FA4"/>
    <w:rsid w:val="00936353"/>
    <w:rsid w:val="0093662C"/>
    <w:rsid w:val="00936C3E"/>
    <w:rsid w:val="00936FA9"/>
    <w:rsid w:val="0093735D"/>
    <w:rsid w:val="00937A3F"/>
    <w:rsid w:val="00940675"/>
    <w:rsid w:val="00940B69"/>
    <w:rsid w:val="0094103A"/>
    <w:rsid w:val="0094170A"/>
    <w:rsid w:val="00941F6A"/>
    <w:rsid w:val="00942241"/>
    <w:rsid w:val="00942A8C"/>
    <w:rsid w:val="00942CB0"/>
    <w:rsid w:val="0094308C"/>
    <w:rsid w:val="0094348F"/>
    <w:rsid w:val="00944483"/>
    <w:rsid w:val="00944908"/>
    <w:rsid w:val="00944A3C"/>
    <w:rsid w:val="00945343"/>
    <w:rsid w:val="00945720"/>
    <w:rsid w:val="009469CE"/>
    <w:rsid w:val="00946B13"/>
    <w:rsid w:val="00946C48"/>
    <w:rsid w:val="009479FA"/>
    <w:rsid w:val="00950FA5"/>
    <w:rsid w:val="009510ED"/>
    <w:rsid w:val="009517CB"/>
    <w:rsid w:val="00951916"/>
    <w:rsid w:val="00951D34"/>
    <w:rsid w:val="00953AD1"/>
    <w:rsid w:val="00953FF5"/>
    <w:rsid w:val="00954695"/>
    <w:rsid w:val="00954910"/>
    <w:rsid w:val="009549E4"/>
    <w:rsid w:val="009556C3"/>
    <w:rsid w:val="009558B3"/>
    <w:rsid w:val="00955C32"/>
    <w:rsid w:val="00956AFD"/>
    <w:rsid w:val="0095704D"/>
    <w:rsid w:val="00957770"/>
    <w:rsid w:val="009577F0"/>
    <w:rsid w:val="009579F5"/>
    <w:rsid w:val="00957AF0"/>
    <w:rsid w:val="00957C09"/>
    <w:rsid w:val="00960D65"/>
    <w:rsid w:val="00961787"/>
    <w:rsid w:val="00961BE3"/>
    <w:rsid w:val="00961E9D"/>
    <w:rsid w:val="009622A0"/>
    <w:rsid w:val="0096264F"/>
    <w:rsid w:val="0096269A"/>
    <w:rsid w:val="00962DD8"/>
    <w:rsid w:val="00962F23"/>
    <w:rsid w:val="00963213"/>
    <w:rsid w:val="00963397"/>
    <w:rsid w:val="00963C41"/>
    <w:rsid w:val="0096453F"/>
    <w:rsid w:val="00964808"/>
    <w:rsid w:val="00965087"/>
    <w:rsid w:val="0096679E"/>
    <w:rsid w:val="009673E2"/>
    <w:rsid w:val="0097016E"/>
    <w:rsid w:val="009707DC"/>
    <w:rsid w:val="00972B86"/>
    <w:rsid w:val="009731A1"/>
    <w:rsid w:val="00973218"/>
    <w:rsid w:val="00973F3D"/>
    <w:rsid w:val="009743A3"/>
    <w:rsid w:val="00974AE7"/>
    <w:rsid w:val="009752AA"/>
    <w:rsid w:val="00975591"/>
    <w:rsid w:val="009755CE"/>
    <w:rsid w:val="0097590E"/>
    <w:rsid w:val="00975998"/>
    <w:rsid w:val="00976A2C"/>
    <w:rsid w:val="009775C9"/>
    <w:rsid w:val="00977716"/>
    <w:rsid w:val="00977C2E"/>
    <w:rsid w:val="00977C77"/>
    <w:rsid w:val="00980425"/>
    <w:rsid w:val="00980608"/>
    <w:rsid w:val="009807B0"/>
    <w:rsid w:val="009808F3"/>
    <w:rsid w:val="00980996"/>
    <w:rsid w:val="00980FDF"/>
    <w:rsid w:val="009810EA"/>
    <w:rsid w:val="0098160F"/>
    <w:rsid w:val="00981947"/>
    <w:rsid w:val="00981AE9"/>
    <w:rsid w:val="00981AFD"/>
    <w:rsid w:val="00981FAE"/>
    <w:rsid w:val="0098207C"/>
    <w:rsid w:val="0098228A"/>
    <w:rsid w:val="009825A5"/>
    <w:rsid w:val="009825D6"/>
    <w:rsid w:val="00982601"/>
    <w:rsid w:val="00982906"/>
    <w:rsid w:val="00982937"/>
    <w:rsid w:val="00982BE3"/>
    <w:rsid w:val="00983030"/>
    <w:rsid w:val="00983420"/>
    <w:rsid w:val="0098358E"/>
    <w:rsid w:val="00983B6E"/>
    <w:rsid w:val="00983CE0"/>
    <w:rsid w:val="00983D42"/>
    <w:rsid w:val="0098466F"/>
    <w:rsid w:val="0098467D"/>
    <w:rsid w:val="0098497F"/>
    <w:rsid w:val="0098546C"/>
    <w:rsid w:val="0098721E"/>
    <w:rsid w:val="00987E67"/>
    <w:rsid w:val="00990404"/>
    <w:rsid w:val="009904A5"/>
    <w:rsid w:val="00990C64"/>
    <w:rsid w:val="00991598"/>
    <w:rsid w:val="00991823"/>
    <w:rsid w:val="00991EFD"/>
    <w:rsid w:val="00992023"/>
    <w:rsid w:val="0099238E"/>
    <w:rsid w:val="0099281A"/>
    <w:rsid w:val="00992F96"/>
    <w:rsid w:val="00994999"/>
    <w:rsid w:val="00995862"/>
    <w:rsid w:val="00995C3C"/>
    <w:rsid w:val="00995EBA"/>
    <w:rsid w:val="00996A17"/>
    <w:rsid w:val="00996ADC"/>
    <w:rsid w:val="00997056"/>
    <w:rsid w:val="00997B5F"/>
    <w:rsid w:val="009A00AF"/>
    <w:rsid w:val="009A0224"/>
    <w:rsid w:val="009A024A"/>
    <w:rsid w:val="009A1EF4"/>
    <w:rsid w:val="009A1F66"/>
    <w:rsid w:val="009A21CF"/>
    <w:rsid w:val="009A2F0A"/>
    <w:rsid w:val="009A2F45"/>
    <w:rsid w:val="009A3438"/>
    <w:rsid w:val="009A348E"/>
    <w:rsid w:val="009A3FA3"/>
    <w:rsid w:val="009A43E1"/>
    <w:rsid w:val="009A4B0D"/>
    <w:rsid w:val="009A4CF9"/>
    <w:rsid w:val="009A4E8E"/>
    <w:rsid w:val="009A4EB9"/>
    <w:rsid w:val="009A540C"/>
    <w:rsid w:val="009A5C0C"/>
    <w:rsid w:val="009A5C82"/>
    <w:rsid w:val="009A6369"/>
    <w:rsid w:val="009A6614"/>
    <w:rsid w:val="009A683E"/>
    <w:rsid w:val="009A695A"/>
    <w:rsid w:val="009A7850"/>
    <w:rsid w:val="009B07DA"/>
    <w:rsid w:val="009B0D46"/>
    <w:rsid w:val="009B0EAF"/>
    <w:rsid w:val="009B0F2D"/>
    <w:rsid w:val="009B13C8"/>
    <w:rsid w:val="009B257F"/>
    <w:rsid w:val="009B2C89"/>
    <w:rsid w:val="009B3198"/>
    <w:rsid w:val="009B37B1"/>
    <w:rsid w:val="009B3FE6"/>
    <w:rsid w:val="009B47DF"/>
    <w:rsid w:val="009B4E2A"/>
    <w:rsid w:val="009B5061"/>
    <w:rsid w:val="009B5382"/>
    <w:rsid w:val="009B55B5"/>
    <w:rsid w:val="009B5BE4"/>
    <w:rsid w:val="009B68E5"/>
    <w:rsid w:val="009C0B86"/>
    <w:rsid w:val="009C0E45"/>
    <w:rsid w:val="009C0F62"/>
    <w:rsid w:val="009C1240"/>
    <w:rsid w:val="009C12A6"/>
    <w:rsid w:val="009C1735"/>
    <w:rsid w:val="009C17CA"/>
    <w:rsid w:val="009C17E3"/>
    <w:rsid w:val="009C1CE1"/>
    <w:rsid w:val="009C29FD"/>
    <w:rsid w:val="009C2E8F"/>
    <w:rsid w:val="009C2F06"/>
    <w:rsid w:val="009C2F51"/>
    <w:rsid w:val="009C3B7D"/>
    <w:rsid w:val="009C3F77"/>
    <w:rsid w:val="009C553B"/>
    <w:rsid w:val="009C5586"/>
    <w:rsid w:val="009C64B0"/>
    <w:rsid w:val="009C76BD"/>
    <w:rsid w:val="009C7874"/>
    <w:rsid w:val="009C7BD7"/>
    <w:rsid w:val="009C7E13"/>
    <w:rsid w:val="009D054C"/>
    <w:rsid w:val="009D0F3F"/>
    <w:rsid w:val="009D18CB"/>
    <w:rsid w:val="009D1D41"/>
    <w:rsid w:val="009D2AAE"/>
    <w:rsid w:val="009D3096"/>
    <w:rsid w:val="009D3895"/>
    <w:rsid w:val="009D3DAD"/>
    <w:rsid w:val="009D3F10"/>
    <w:rsid w:val="009D49F2"/>
    <w:rsid w:val="009D4DD9"/>
    <w:rsid w:val="009D4E91"/>
    <w:rsid w:val="009D50C5"/>
    <w:rsid w:val="009D5A24"/>
    <w:rsid w:val="009D5E3C"/>
    <w:rsid w:val="009D6A33"/>
    <w:rsid w:val="009D6CBE"/>
    <w:rsid w:val="009D733E"/>
    <w:rsid w:val="009E06A6"/>
    <w:rsid w:val="009E0874"/>
    <w:rsid w:val="009E1A0F"/>
    <w:rsid w:val="009E1C68"/>
    <w:rsid w:val="009E2503"/>
    <w:rsid w:val="009E2B33"/>
    <w:rsid w:val="009E3185"/>
    <w:rsid w:val="009E3207"/>
    <w:rsid w:val="009E371C"/>
    <w:rsid w:val="009E41C2"/>
    <w:rsid w:val="009E420B"/>
    <w:rsid w:val="009E4602"/>
    <w:rsid w:val="009E4675"/>
    <w:rsid w:val="009E469C"/>
    <w:rsid w:val="009E4AA2"/>
    <w:rsid w:val="009E4E9A"/>
    <w:rsid w:val="009E5123"/>
    <w:rsid w:val="009E574D"/>
    <w:rsid w:val="009E5FCD"/>
    <w:rsid w:val="009E6104"/>
    <w:rsid w:val="009E787D"/>
    <w:rsid w:val="009E7CF8"/>
    <w:rsid w:val="009E7F63"/>
    <w:rsid w:val="009F06C0"/>
    <w:rsid w:val="009F0A50"/>
    <w:rsid w:val="009F0BDE"/>
    <w:rsid w:val="009F1CD6"/>
    <w:rsid w:val="009F280E"/>
    <w:rsid w:val="009F2ABF"/>
    <w:rsid w:val="009F2FD5"/>
    <w:rsid w:val="009F33B6"/>
    <w:rsid w:val="009F3EBB"/>
    <w:rsid w:val="009F4DD0"/>
    <w:rsid w:val="009F4E48"/>
    <w:rsid w:val="009F4F49"/>
    <w:rsid w:val="009F5B93"/>
    <w:rsid w:val="009F5BFF"/>
    <w:rsid w:val="009F6F07"/>
    <w:rsid w:val="009F769A"/>
    <w:rsid w:val="009F7AF8"/>
    <w:rsid w:val="009F7CA0"/>
    <w:rsid w:val="009F7D45"/>
    <w:rsid w:val="00A007B1"/>
    <w:rsid w:val="00A0126C"/>
    <w:rsid w:val="00A0163F"/>
    <w:rsid w:val="00A03205"/>
    <w:rsid w:val="00A03F3E"/>
    <w:rsid w:val="00A050AE"/>
    <w:rsid w:val="00A05D90"/>
    <w:rsid w:val="00A0667B"/>
    <w:rsid w:val="00A0706F"/>
    <w:rsid w:val="00A07289"/>
    <w:rsid w:val="00A0775A"/>
    <w:rsid w:val="00A07919"/>
    <w:rsid w:val="00A07DC9"/>
    <w:rsid w:val="00A10610"/>
    <w:rsid w:val="00A108FD"/>
    <w:rsid w:val="00A1146B"/>
    <w:rsid w:val="00A11976"/>
    <w:rsid w:val="00A119F0"/>
    <w:rsid w:val="00A1234C"/>
    <w:rsid w:val="00A124A5"/>
    <w:rsid w:val="00A1265D"/>
    <w:rsid w:val="00A12D5E"/>
    <w:rsid w:val="00A12FB9"/>
    <w:rsid w:val="00A131C7"/>
    <w:rsid w:val="00A13448"/>
    <w:rsid w:val="00A1356B"/>
    <w:rsid w:val="00A13C28"/>
    <w:rsid w:val="00A13CEE"/>
    <w:rsid w:val="00A144DE"/>
    <w:rsid w:val="00A14695"/>
    <w:rsid w:val="00A1581B"/>
    <w:rsid w:val="00A15EC5"/>
    <w:rsid w:val="00A169D8"/>
    <w:rsid w:val="00A203B6"/>
    <w:rsid w:val="00A20508"/>
    <w:rsid w:val="00A2065D"/>
    <w:rsid w:val="00A209BA"/>
    <w:rsid w:val="00A21CCD"/>
    <w:rsid w:val="00A22012"/>
    <w:rsid w:val="00A22661"/>
    <w:rsid w:val="00A22AB6"/>
    <w:rsid w:val="00A22F1C"/>
    <w:rsid w:val="00A22F71"/>
    <w:rsid w:val="00A23095"/>
    <w:rsid w:val="00A23582"/>
    <w:rsid w:val="00A23AD2"/>
    <w:rsid w:val="00A23F4B"/>
    <w:rsid w:val="00A24901"/>
    <w:rsid w:val="00A24E06"/>
    <w:rsid w:val="00A26229"/>
    <w:rsid w:val="00A26499"/>
    <w:rsid w:val="00A273D7"/>
    <w:rsid w:val="00A27781"/>
    <w:rsid w:val="00A2797C"/>
    <w:rsid w:val="00A304B4"/>
    <w:rsid w:val="00A31621"/>
    <w:rsid w:val="00A324FD"/>
    <w:rsid w:val="00A32ACC"/>
    <w:rsid w:val="00A32ED4"/>
    <w:rsid w:val="00A331A8"/>
    <w:rsid w:val="00A338E7"/>
    <w:rsid w:val="00A33E2C"/>
    <w:rsid w:val="00A345A0"/>
    <w:rsid w:val="00A3464C"/>
    <w:rsid w:val="00A34AA2"/>
    <w:rsid w:val="00A34C85"/>
    <w:rsid w:val="00A34D60"/>
    <w:rsid w:val="00A35B0D"/>
    <w:rsid w:val="00A35BD6"/>
    <w:rsid w:val="00A35F37"/>
    <w:rsid w:val="00A35FB2"/>
    <w:rsid w:val="00A3749A"/>
    <w:rsid w:val="00A40C3D"/>
    <w:rsid w:val="00A41226"/>
    <w:rsid w:val="00A4142A"/>
    <w:rsid w:val="00A41534"/>
    <w:rsid w:val="00A41EAA"/>
    <w:rsid w:val="00A42898"/>
    <w:rsid w:val="00A430DA"/>
    <w:rsid w:val="00A431DB"/>
    <w:rsid w:val="00A43221"/>
    <w:rsid w:val="00A43FC4"/>
    <w:rsid w:val="00A445BE"/>
    <w:rsid w:val="00A44E31"/>
    <w:rsid w:val="00A44F98"/>
    <w:rsid w:val="00A45216"/>
    <w:rsid w:val="00A453EA"/>
    <w:rsid w:val="00A456DE"/>
    <w:rsid w:val="00A45D27"/>
    <w:rsid w:val="00A4685F"/>
    <w:rsid w:val="00A46BCC"/>
    <w:rsid w:val="00A47133"/>
    <w:rsid w:val="00A50956"/>
    <w:rsid w:val="00A516A4"/>
    <w:rsid w:val="00A51985"/>
    <w:rsid w:val="00A51A2B"/>
    <w:rsid w:val="00A52BB9"/>
    <w:rsid w:val="00A52EAE"/>
    <w:rsid w:val="00A5354C"/>
    <w:rsid w:val="00A535B3"/>
    <w:rsid w:val="00A538DE"/>
    <w:rsid w:val="00A540D2"/>
    <w:rsid w:val="00A54C04"/>
    <w:rsid w:val="00A55490"/>
    <w:rsid w:val="00A560C9"/>
    <w:rsid w:val="00A5643D"/>
    <w:rsid w:val="00A5667A"/>
    <w:rsid w:val="00A56EB0"/>
    <w:rsid w:val="00A56F2B"/>
    <w:rsid w:val="00A57550"/>
    <w:rsid w:val="00A57C32"/>
    <w:rsid w:val="00A60022"/>
    <w:rsid w:val="00A60876"/>
    <w:rsid w:val="00A60B7D"/>
    <w:rsid w:val="00A6161E"/>
    <w:rsid w:val="00A61D5C"/>
    <w:rsid w:val="00A621D5"/>
    <w:rsid w:val="00A6257F"/>
    <w:rsid w:val="00A625DA"/>
    <w:rsid w:val="00A63900"/>
    <w:rsid w:val="00A639DE"/>
    <w:rsid w:val="00A63FEF"/>
    <w:rsid w:val="00A6412D"/>
    <w:rsid w:val="00A64668"/>
    <w:rsid w:val="00A656E7"/>
    <w:rsid w:val="00A65749"/>
    <w:rsid w:val="00A662F0"/>
    <w:rsid w:val="00A66826"/>
    <w:rsid w:val="00A67E08"/>
    <w:rsid w:val="00A7063A"/>
    <w:rsid w:val="00A70942"/>
    <w:rsid w:val="00A713B0"/>
    <w:rsid w:val="00A721A5"/>
    <w:rsid w:val="00A7293B"/>
    <w:rsid w:val="00A73091"/>
    <w:rsid w:val="00A730F2"/>
    <w:rsid w:val="00A73313"/>
    <w:rsid w:val="00A73410"/>
    <w:rsid w:val="00A7381E"/>
    <w:rsid w:val="00A743E2"/>
    <w:rsid w:val="00A74D69"/>
    <w:rsid w:val="00A7527C"/>
    <w:rsid w:val="00A75871"/>
    <w:rsid w:val="00A75FD6"/>
    <w:rsid w:val="00A763E9"/>
    <w:rsid w:val="00A774BA"/>
    <w:rsid w:val="00A7770B"/>
    <w:rsid w:val="00A7788D"/>
    <w:rsid w:val="00A77D74"/>
    <w:rsid w:val="00A77E7F"/>
    <w:rsid w:val="00A7D706"/>
    <w:rsid w:val="00A803CB"/>
    <w:rsid w:val="00A8054B"/>
    <w:rsid w:val="00A80A39"/>
    <w:rsid w:val="00A8250D"/>
    <w:rsid w:val="00A82589"/>
    <w:rsid w:val="00A827F8"/>
    <w:rsid w:val="00A82BD3"/>
    <w:rsid w:val="00A82FC7"/>
    <w:rsid w:val="00A83C9C"/>
    <w:rsid w:val="00A83D54"/>
    <w:rsid w:val="00A84499"/>
    <w:rsid w:val="00A84E56"/>
    <w:rsid w:val="00A84F25"/>
    <w:rsid w:val="00A85038"/>
    <w:rsid w:val="00A85187"/>
    <w:rsid w:val="00A85BF3"/>
    <w:rsid w:val="00A86368"/>
    <w:rsid w:val="00A8691E"/>
    <w:rsid w:val="00A86CB5"/>
    <w:rsid w:val="00A87029"/>
    <w:rsid w:val="00A87C85"/>
    <w:rsid w:val="00A87F56"/>
    <w:rsid w:val="00A914EB"/>
    <w:rsid w:val="00A91BDA"/>
    <w:rsid w:val="00A91BF5"/>
    <w:rsid w:val="00A92627"/>
    <w:rsid w:val="00A92AFC"/>
    <w:rsid w:val="00A92B41"/>
    <w:rsid w:val="00A92D00"/>
    <w:rsid w:val="00A934AA"/>
    <w:rsid w:val="00A9412E"/>
    <w:rsid w:val="00A94633"/>
    <w:rsid w:val="00A94B81"/>
    <w:rsid w:val="00A953AC"/>
    <w:rsid w:val="00A95404"/>
    <w:rsid w:val="00A95A8D"/>
    <w:rsid w:val="00A96165"/>
    <w:rsid w:val="00A968A9"/>
    <w:rsid w:val="00A9736C"/>
    <w:rsid w:val="00A9790F"/>
    <w:rsid w:val="00A97FDE"/>
    <w:rsid w:val="00AA0B80"/>
    <w:rsid w:val="00AA1959"/>
    <w:rsid w:val="00AA322E"/>
    <w:rsid w:val="00AA34D1"/>
    <w:rsid w:val="00AA3585"/>
    <w:rsid w:val="00AA4458"/>
    <w:rsid w:val="00AA572A"/>
    <w:rsid w:val="00AA66B7"/>
    <w:rsid w:val="00AA78C5"/>
    <w:rsid w:val="00AB1725"/>
    <w:rsid w:val="00AB1918"/>
    <w:rsid w:val="00AB1A07"/>
    <w:rsid w:val="00AB2220"/>
    <w:rsid w:val="00AB3106"/>
    <w:rsid w:val="00AB3342"/>
    <w:rsid w:val="00AB3A47"/>
    <w:rsid w:val="00AB3B9A"/>
    <w:rsid w:val="00AB5412"/>
    <w:rsid w:val="00AB5D38"/>
    <w:rsid w:val="00AB6297"/>
    <w:rsid w:val="00AB6493"/>
    <w:rsid w:val="00AB6F6D"/>
    <w:rsid w:val="00AB7545"/>
    <w:rsid w:val="00AB7573"/>
    <w:rsid w:val="00AC0E36"/>
    <w:rsid w:val="00AC2161"/>
    <w:rsid w:val="00AC3C56"/>
    <w:rsid w:val="00AC3F5A"/>
    <w:rsid w:val="00AC517A"/>
    <w:rsid w:val="00AC54F4"/>
    <w:rsid w:val="00AC56C3"/>
    <w:rsid w:val="00AC6109"/>
    <w:rsid w:val="00AC656B"/>
    <w:rsid w:val="00AC686F"/>
    <w:rsid w:val="00AC6A1B"/>
    <w:rsid w:val="00AC7E9E"/>
    <w:rsid w:val="00AD0127"/>
    <w:rsid w:val="00AD0DBD"/>
    <w:rsid w:val="00AD1DE1"/>
    <w:rsid w:val="00AD2E14"/>
    <w:rsid w:val="00AD30C9"/>
    <w:rsid w:val="00AD3380"/>
    <w:rsid w:val="00AD4390"/>
    <w:rsid w:val="00AD44FD"/>
    <w:rsid w:val="00AD5277"/>
    <w:rsid w:val="00AD5849"/>
    <w:rsid w:val="00AD608A"/>
    <w:rsid w:val="00AD61CD"/>
    <w:rsid w:val="00AD67F7"/>
    <w:rsid w:val="00AD694F"/>
    <w:rsid w:val="00AD7076"/>
    <w:rsid w:val="00AD7ACA"/>
    <w:rsid w:val="00AD7EC7"/>
    <w:rsid w:val="00AE0A01"/>
    <w:rsid w:val="00AE0A2E"/>
    <w:rsid w:val="00AE1886"/>
    <w:rsid w:val="00AE2456"/>
    <w:rsid w:val="00AE248F"/>
    <w:rsid w:val="00AE280A"/>
    <w:rsid w:val="00AE29CD"/>
    <w:rsid w:val="00AE32C0"/>
    <w:rsid w:val="00AE34D9"/>
    <w:rsid w:val="00AE36B3"/>
    <w:rsid w:val="00AE39BF"/>
    <w:rsid w:val="00AE3B08"/>
    <w:rsid w:val="00AE3BA1"/>
    <w:rsid w:val="00AE4741"/>
    <w:rsid w:val="00AE4831"/>
    <w:rsid w:val="00AE4B32"/>
    <w:rsid w:val="00AE4EE9"/>
    <w:rsid w:val="00AE5241"/>
    <w:rsid w:val="00AE5707"/>
    <w:rsid w:val="00AE5E49"/>
    <w:rsid w:val="00AE62FE"/>
    <w:rsid w:val="00AE6684"/>
    <w:rsid w:val="00AE724C"/>
    <w:rsid w:val="00AE75AC"/>
    <w:rsid w:val="00AE76E4"/>
    <w:rsid w:val="00AE774B"/>
    <w:rsid w:val="00AE7DE3"/>
    <w:rsid w:val="00AE7E8D"/>
    <w:rsid w:val="00AF05A1"/>
    <w:rsid w:val="00AF06DD"/>
    <w:rsid w:val="00AF1866"/>
    <w:rsid w:val="00AF187A"/>
    <w:rsid w:val="00AF1A1C"/>
    <w:rsid w:val="00AF2337"/>
    <w:rsid w:val="00AF23A8"/>
    <w:rsid w:val="00AF31F1"/>
    <w:rsid w:val="00AF3E93"/>
    <w:rsid w:val="00AF4075"/>
    <w:rsid w:val="00AF57BB"/>
    <w:rsid w:val="00AF59EC"/>
    <w:rsid w:val="00AF5E46"/>
    <w:rsid w:val="00AF6EB4"/>
    <w:rsid w:val="00AF7325"/>
    <w:rsid w:val="00AF76A6"/>
    <w:rsid w:val="00B00976"/>
    <w:rsid w:val="00B00DE1"/>
    <w:rsid w:val="00B01E0C"/>
    <w:rsid w:val="00B02251"/>
    <w:rsid w:val="00B025FD"/>
    <w:rsid w:val="00B03411"/>
    <w:rsid w:val="00B03617"/>
    <w:rsid w:val="00B039DD"/>
    <w:rsid w:val="00B03B7D"/>
    <w:rsid w:val="00B04C76"/>
    <w:rsid w:val="00B05109"/>
    <w:rsid w:val="00B05A43"/>
    <w:rsid w:val="00B065F7"/>
    <w:rsid w:val="00B07577"/>
    <w:rsid w:val="00B07608"/>
    <w:rsid w:val="00B07831"/>
    <w:rsid w:val="00B07CF7"/>
    <w:rsid w:val="00B07DB5"/>
    <w:rsid w:val="00B07E3A"/>
    <w:rsid w:val="00B100E0"/>
    <w:rsid w:val="00B107CF"/>
    <w:rsid w:val="00B1092A"/>
    <w:rsid w:val="00B10938"/>
    <w:rsid w:val="00B114B1"/>
    <w:rsid w:val="00B11979"/>
    <w:rsid w:val="00B11C10"/>
    <w:rsid w:val="00B11C4C"/>
    <w:rsid w:val="00B11DF8"/>
    <w:rsid w:val="00B13F47"/>
    <w:rsid w:val="00B14E5A"/>
    <w:rsid w:val="00B1541D"/>
    <w:rsid w:val="00B15515"/>
    <w:rsid w:val="00B15707"/>
    <w:rsid w:val="00B176F2"/>
    <w:rsid w:val="00B17E9B"/>
    <w:rsid w:val="00B203CB"/>
    <w:rsid w:val="00B20492"/>
    <w:rsid w:val="00B213A8"/>
    <w:rsid w:val="00B21E07"/>
    <w:rsid w:val="00B21FD2"/>
    <w:rsid w:val="00B220D3"/>
    <w:rsid w:val="00B22D7B"/>
    <w:rsid w:val="00B22ED5"/>
    <w:rsid w:val="00B22ED9"/>
    <w:rsid w:val="00B23390"/>
    <w:rsid w:val="00B238ED"/>
    <w:rsid w:val="00B23D89"/>
    <w:rsid w:val="00B23D9A"/>
    <w:rsid w:val="00B2465F"/>
    <w:rsid w:val="00B254E4"/>
    <w:rsid w:val="00B25902"/>
    <w:rsid w:val="00B25A00"/>
    <w:rsid w:val="00B25B8A"/>
    <w:rsid w:val="00B25E17"/>
    <w:rsid w:val="00B26429"/>
    <w:rsid w:val="00B306FD"/>
    <w:rsid w:val="00B3113D"/>
    <w:rsid w:val="00B3125A"/>
    <w:rsid w:val="00B31A1F"/>
    <w:rsid w:val="00B31CC7"/>
    <w:rsid w:val="00B32A1B"/>
    <w:rsid w:val="00B33167"/>
    <w:rsid w:val="00B33291"/>
    <w:rsid w:val="00B33E0B"/>
    <w:rsid w:val="00B344CC"/>
    <w:rsid w:val="00B34905"/>
    <w:rsid w:val="00B35C59"/>
    <w:rsid w:val="00B36617"/>
    <w:rsid w:val="00B36F98"/>
    <w:rsid w:val="00B37FA6"/>
    <w:rsid w:val="00B40014"/>
    <w:rsid w:val="00B40389"/>
    <w:rsid w:val="00B40E62"/>
    <w:rsid w:val="00B42AC5"/>
    <w:rsid w:val="00B43567"/>
    <w:rsid w:val="00B461E2"/>
    <w:rsid w:val="00B463DA"/>
    <w:rsid w:val="00B46EE5"/>
    <w:rsid w:val="00B47537"/>
    <w:rsid w:val="00B475FB"/>
    <w:rsid w:val="00B507B7"/>
    <w:rsid w:val="00B507EA"/>
    <w:rsid w:val="00B50D03"/>
    <w:rsid w:val="00B51457"/>
    <w:rsid w:val="00B51BE3"/>
    <w:rsid w:val="00B51EBC"/>
    <w:rsid w:val="00B51FB7"/>
    <w:rsid w:val="00B5351A"/>
    <w:rsid w:val="00B53AB8"/>
    <w:rsid w:val="00B542E4"/>
    <w:rsid w:val="00B54439"/>
    <w:rsid w:val="00B5497E"/>
    <w:rsid w:val="00B549AA"/>
    <w:rsid w:val="00B54B81"/>
    <w:rsid w:val="00B54D75"/>
    <w:rsid w:val="00B5505F"/>
    <w:rsid w:val="00B55DD5"/>
    <w:rsid w:val="00B56683"/>
    <w:rsid w:val="00B57421"/>
    <w:rsid w:val="00B57D3E"/>
    <w:rsid w:val="00B607F7"/>
    <w:rsid w:val="00B6207E"/>
    <w:rsid w:val="00B62DC8"/>
    <w:rsid w:val="00B62FBD"/>
    <w:rsid w:val="00B6318F"/>
    <w:rsid w:val="00B63851"/>
    <w:rsid w:val="00B63C7A"/>
    <w:rsid w:val="00B644CB"/>
    <w:rsid w:val="00B64AFD"/>
    <w:rsid w:val="00B64B47"/>
    <w:rsid w:val="00B65B04"/>
    <w:rsid w:val="00B66462"/>
    <w:rsid w:val="00B665D1"/>
    <w:rsid w:val="00B67168"/>
    <w:rsid w:val="00B67525"/>
    <w:rsid w:val="00B6761E"/>
    <w:rsid w:val="00B67AA9"/>
    <w:rsid w:val="00B67C1C"/>
    <w:rsid w:val="00B701B9"/>
    <w:rsid w:val="00B70670"/>
    <w:rsid w:val="00B70CDB"/>
    <w:rsid w:val="00B70DCD"/>
    <w:rsid w:val="00B72742"/>
    <w:rsid w:val="00B72BE1"/>
    <w:rsid w:val="00B72EA2"/>
    <w:rsid w:val="00B736B6"/>
    <w:rsid w:val="00B737FD"/>
    <w:rsid w:val="00B73843"/>
    <w:rsid w:val="00B74398"/>
    <w:rsid w:val="00B744AC"/>
    <w:rsid w:val="00B7465E"/>
    <w:rsid w:val="00B74A3A"/>
    <w:rsid w:val="00B74E2B"/>
    <w:rsid w:val="00B75508"/>
    <w:rsid w:val="00B757C1"/>
    <w:rsid w:val="00B7581C"/>
    <w:rsid w:val="00B761D1"/>
    <w:rsid w:val="00B76CE1"/>
    <w:rsid w:val="00B7728D"/>
    <w:rsid w:val="00B8014A"/>
    <w:rsid w:val="00B8089F"/>
    <w:rsid w:val="00B81024"/>
    <w:rsid w:val="00B81067"/>
    <w:rsid w:val="00B821B6"/>
    <w:rsid w:val="00B822B0"/>
    <w:rsid w:val="00B8244C"/>
    <w:rsid w:val="00B82609"/>
    <w:rsid w:val="00B82876"/>
    <w:rsid w:val="00B82AED"/>
    <w:rsid w:val="00B82BB7"/>
    <w:rsid w:val="00B83A8A"/>
    <w:rsid w:val="00B83AA9"/>
    <w:rsid w:val="00B83B59"/>
    <w:rsid w:val="00B850BE"/>
    <w:rsid w:val="00B85D1B"/>
    <w:rsid w:val="00B86A9C"/>
    <w:rsid w:val="00B86D42"/>
    <w:rsid w:val="00B86E88"/>
    <w:rsid w:val="00B907B5"/>
    <w:rsid w:val="00B91303"/>
    <w:rsid w:val="00B92338"/>
    <w:rsid w:val="00B9245C"/>
    <w:rsid w:val="00B9253F"/>
    <w:rsid w:val="00B92670"/>
    <w:rsid w:val="00B926B5"/>
    <w:rsid w:val="00B93C4B"/>
    <w:rsid w:val="00B93CFB"/>
    <w:rsid w:val="00B94456"/>
    <w:rsid w:val="00B9467D"/>
    <w:rsid w:val="00B94DD9"/>
    <w:rsid w:val="00B95712"/>
    <w:rsid w:val="00B95EBA"/>
    <w:rsid w:val="00B96216"/>
    <w:rsid w:val="00B9676B"/>
    <w:rsid w:val="00B96B72"/>
    <w:rsid w:val="00B97376"/>
    <w:rsid w:val="00B973E6"/>
    <w:rsid w:val="00B975B9"/>
    <w:rsid w:val="00BA0032"/>
    <w:rsid w:val="00BA1F4D"/>
    <w:rsid w:val="00BA1F98"/>
    <w:rsid w:val="00BA2CF6"/>
    <w:rsid w:val="00BA30D8"/>
    <w:rsid w:val="00BA47EA"/>
    <w:rsid w:val="00BA5337"/>
    <w:rsid w:val="00BA5580"/>
    <w:rsid w:val="00BA577E"/>
    <w:rsid w:val="00BA59C3"/>
    <w:rsid w:val="00BA5EC9"/>
    <w:rsid w:val="00BA6710"/>
    <w:rsid w:val="00BA68BC"/>
    <w:rsid w:val="00BA6AA3"/>
    <w:rsid w:val="00BA7690"/>
    <w:rsid w:val="00BA7708"/>
    <w:rsid w:val="00BA77F8"/>
    <w:rsid w:val="00BA78B6"/>
    <w:rsid w:val="00BA7ED1"/>
    <w:rsid w:val="00BA7FCD"/>
    <w:rsid w:val="00BB0276"/>
    <w:rsid w:val="00BB14C5"/>
    <w:rsid w:val="00BB169C"/>
    <w:rsid w:val="00BB182A"/>
    <w:rsid w:val="00BB24C4"/>
    <w:rsid w:val="00BB2B73"/>
    <w:rsid w:val="00BB2E0E"/>
    <w:rsid w:val="00BB389A"/>
    <w:rsid w:val="00BB39B1"/>
    <w:rsid w:val="00BB47CB"/>
    <w:rsid w:val="00BB589C"/>
    <w:rsid w:val="00BB5F90"/>
    <w:rsid w:val="00BB6933"/>
    <w:rsid w:val="00BB6F72"/>
    <w:rsid w:val="00BB70D8"/>
    <w:rsid w:val="00BB7638"/>
    <w:rsid w:val="00BB76DE"/>
    <w:rsid w:val="00BB77FB"/>
    <w:rsid w:val="00BC1740"/>
    <w:rsid w:val="00BC1CCB"/>
    <w:rsid w:val="00BC1FC5"/>
    <w:rsid w:val="00BC38B3"/>
    <w:rsid w:val="00BC3948"/>
    <w:rsid w:val="00BC3A5E"/>
    <w:rsid w:val="00BC3C41"/>
    <w:rsid w:val="00BC4FE7"/>
    <w:rsid w:val="00BC56B6"/>
    <w:rsid w:val="00BC5E7C"/>
    <w:rsid w:val="00BC6003"/>
    <w:rsid w:val="00BC6413"/>
    <w:rsid w:val="00BC6673"/>
    <w:rsid w:val="00BC6C92"/>
    <w:rsid w:val="00BC72F2"/>
    <w:rsid w:val="00BD03EB"/>
    <w:rsid w:val="00BD0C0C"/>
    <w:rsid w:val="00BD0DE2"/>
    <w:rsid w:val="00BD10ED"/>
    <w:rsid w:val="00BD152F"/>
    <w:rsid w:val="00BD17C7"/>
    <w:rsid w:val="00BD1A47"/>
    <w:rsid w:val="00BD2500"/>
    <w:rsid w:val="00BD30DC"/>
    <w:rsid w:val="00BD39D2"/>
    <w:rsid w:val="00BD410C"/>
    <w:rsid w:val="00BD456E"/>
    <w:rsid w:val="00BD4CB6"/>
    <w:rsid w:val="00BD4D20"/>
    <w:rsid w:val="00BD6421"/>
    <w:rsid w:val="00BD71BE"/>
    <w:rsid w:val="00BD73A5"/>
    <w:rsid w:val="00BD74EB"/>
    <w:rsid w:val="00BD7C9B"/>
    <w:rsid w:val="00BDE510"/>
    <w:rsid w:val="00BE046B"/>
    <w:rsid w:val="00BE0A2E"/>
    <w:rsid w:val="00BE0E7A"/>
    <w:rsid w:val="00BE10E4"/>
    <w:rsid w:val="00BE1226"/>
    <w:rsid w:val="00BE1BDB"/>
    <w:rsid w:val="00BE1FB5"/>
    <w:rsid w:val="00BE2221"/>
    <w:rsid w:val="00BE2306"/>
    <w:rsid w:val="00BE2430"/>
    <w:rsid w:val="00BE25EB"/>
    <w:rsid w:val="00BE3220"/>
    <w:rsid w:val="00BE3D06"/>
    <w:rsid w:val="00BE4463"/>
    <w:rsid w:val="00BE4787"/>
    <w:rsid w:val="00BE499B"/>
    <w:rsid w:val="00BE4D5A"/>
    <w:rsid w:val="00BE4F11"/>
    <w:rsid w:val="00BE52E8"/>
    <w:rsid w:val="00BE5BB0"/>
    <w:rsid w:val="00BE6382"/>
    <w:rsid w:val="00BE72D7"/>
    <w:rsid w:val="00BE7C86"/>
    <w:rsid w:val="00BF00F4"/>
    <w:rsid w:val="00BF0CCF"/>
    <w:rsid w:val="00BF0D34"/>
    <w:rsid w:val="00BF13D2"/>
    <w:rsid w:val="00BF1B8B"/>
    <w:rsid w:val="00BF25B1"/>
    <w:rsid w:val="00BF33D0"/>
    <w:rsid w:val="00BF3BE4"/>
    <w:rsid w:val="00BF557B"/>
    <w:rsid w:val="00BF56A9"/>
    <w:rsid w:val="00BF57E6"/>
    <w:rsid w:val="00BF5A0A"/>
    <w:rsid w:val="00BF5E46"/>
    <w:rsid w:val="00BF6B1C"/>
    <w:rsid w:val="00BF7A78"/>
    <w:rsid w:val="00BF7D3F"/>
    <w:rsid w:val="00BF7E1E"/>
    <w:rsid w:val="00C005D1"/>
    <w:rsid w:val="00C0073C"/>
    <w:rsid w:val="00C0077A"/>
    <w:rsid w:val="00C008CD"/>
    <w:rsid w:val="00C01296"/>
    <w:rsid w:val="00C012DA"/>
    <w:rsid w:val="00C0139C"/>
    <w:rsid w:val="00C01468"/>
    <w:rsid w:val="00C01CF2"/>
    <w:rsid w:val="00C01E5A"/>
    <w:rsid w:val="00C01FAE"/>
    <w:rsid w:val="00C029FF"/>
    <w:rsid w:val="00C0408C"/>
    <w:rsid w:val="00C0531A"/>
    <w:rsid w:val="00C05602"/>
    <w:rsid w:val="00C05EA9"/>
    <w:rsid w:val="00C06129"/>
    <w:rsid w:val="00C06718"/>
    <w:rsid w:val="00C067CF"/>
    <w:rsid w:val="00C068BF"/>
    <w:rsid w:val="00C06AA7"/>
    <w:rsid w:val="00C100A2"/>
    <w:rsid w:val="00C107ED"/>
    <w:rsid w:val="00C10882"/>
    <w:rsid w:val="00C10B1F"/>
    <w:rsid w:val="00C10FFD"/>
    <w:rsid w:val="00C11E9B"/>
    <w:rsid w:val="00C1209D"/>
    <w:rsid w:val="00C12280"/>
    <w:rsid w:val="00C12B43"/>
    <w:rsid w:val="00C12CCC"/>
    <w:rsid w:val="00C131BB"/>
    <w:rsid w:val="00C13297"/>
    <w:rsid w:val="00C16424"/>
    <w:rsid w:val="00C16758"/>
    <w:rsid w:val="00C16DB1"/>
    <w:rsid w:val="00C16E48"/>
    <w:rsid w:val="00C175F1"/>
    <w:rsid w:val="00C17BE6"/>
    <w:rsid w:val="00C17C74"/>
    <w:rsid w:val="00C17D55"/>
    <w:rsid w:val="00C17DE2"/>
    <w:rsid w:val="00C20183"/>
    <w:rsid w:val="00C211A4"/>
    <w:rsid w:val="00C22F1A"/>
    <w:rsid w:val="00C23C36"/>
    <w:rsid w:val="00C240B1"/>
    <w:rsid w:val="00C248AD"/>
    <w:rsid w:val="00C255A0"/>
    <w:rsid w:val="00C26ADC"/>
    <w:rsid w:val="00C26B8A"/>
    <w:rsid w:val="00C270DB"/>
    <w:rsid w:val="00C271B9"/>
    <w:rsid w:val="00C274FB"/>
    <w:rsid w:val="00C27BAD"/>
    <w:rsid w:val="00C30191"/>
    <w:rsid w:val="00C308A7"/>
    <w:rsid w:val="00C3129E"/>
    <w:rsid w:val="00C316F4"/>
    <w:rsid w:val="00C32BFD"/>
    <w:rsid w:val="00C333BD"/>
    <w:rsid w:val="00C33A3F"/>
    <w:rsid w:val="00C3410E"/>
    <w:rsid w:val="00C341F7"/>
    <w:rsid w:val="00C3466F"/>
    <w:rsid w:val="00C34FC2"/>
    <w:rsid w:val="00C35784"/>
    <w:rsid w:val="00C36A6A"/>
    <w:rsid w:val="00C36BB7"/>
    <w:rsid w:val="00C36F2A"/>
    <w:rsid w:val="00C375AB"/>
    <w:rsid w:val="00C37762"/>
    <w:rsid w:val="00C37B09"/>
    <w:rsid w:val="00C37F49"/>
    <w:rsid w:val="00C38226"/>
    <w:rsid w:val="00C40424"/>
    <w:rsid w:val="00C4122A"/>
    <w:rsid w:val="00C4131B"/>
    <w:rsid w:val="00C417D7"/>
    <w:rsid w:val="00C41B92"/>
    <w:rsid w:val="00C42E97"/>
    <w:rsid w:val="00C43461"/>
    <w:rsid w:val="00C43D41"/>
    <w:rsid w:val="00C43F43"/>
    <w:rsid w:val="00C44B51"/>
    <w:rsid w:val="00C44BFA"/>
    <w:rsid w:val="00C450C7"/>
    <w:rsid w:val="00C46264"/>
    <w:rsid w:val="00C46F8B"/>
    <w:rsid w:val="00C473A1"/>
    <w:rsid w:val="00C473C2"/>
    <w:rsid w:val="00C500EB"/>
    <w:rsid w:val="00C508C3"/>
    <w:rsid w:val="00C50DF6"/>
    <w:rsid w:val="00C523B6"/>
    <w:rsid w:val="00C52E1F"/>
    <w:rsid w:val="00C537FE"/>
    <w:rsid w:val="00C53912"/>
    <w:rsid w:val="00C5420B"/>
    <w:rsid w:val="00C5482F"/>
    <w:rsid w:val="00C551CF"/>
    <w:rsid w:val="00C55463"/>
    <w:rsid w:val="00C5574E"/>
    <w:rsid w:val="00C572BC"/>
    <w:rsid w:val="00C57896"/>
    <w:rsid w:val="00C60897"/>
    <w:rsid w:val="00C60961"/>
    <w:rsid w:val="00C61A2D"/>
    <w:rsid w:val="00C6290D"/>
    <w:rsid w:val="00C6327D"/>
    <w:rsid w:val="00C63492"/>
    <w:rsid w:val="00C64A4F"/>
    <w:rsid w:val="00C65A5F"/>
    <w:rsid w:val="00C65E5D"/>
    <w:rsid w:val="00C6655C"/>
    <w:rsid w:val="00C66617"/>
    <w:rsid w:val="00C66EB3"/>
    <w:rsid w:val="00C70F69"/>
    <w:rsid w:val="00C70FF4"/>
    <w:rsid w:val="00C710E0"/>
    <w:rsid w:val="00C71148"/>
    <w:rsid w:val="00C718D3"/>
    <w:rsid w:val="00C71AD8"/>
    <w:rsid w:val="00C71E00"/>
    <w:rsid w:val="00C727CD"/>
    <w:rsid w:val="00C72AA0"/>
    <w:rsid w:val="00C72C32"/>
    <w:rsid w:val="00C72EA4"/>
    <w:rsid w:val="00C73989"/>
    <w:rsid w:val="00C73AB5"/>
    <w:rsid w:val="00C744F7"/>
    <w:rsid w:val="00C74C36"/>
    <w:rsid w:val="00C74D5F"/>
    <w:rsid w:val="00C75245"/>
    <w:rsid w:val="00C752E9"/>
    <w:rsid w:val="00C75CCB"/>
    <w:rsid w:val="00C766EE"/>
    <w:rsid w:val="00C7680B"/>
    <w:rsid w:val="00C77B90"/>
    <w:rsid w:val="00C800A5"/>
    <w:rsid w:val="00C80F07"/>
    <w:rsid w:val="00C812A6"/>
    <w:rsid w:val="00C819FA"/>
    <w:rsid w:val="00C81EA8"/>
    <w:rsid w:val="00C827A2"/>
    <w:rsid w:val="00C82E4E"/>
    <w:rsid w:val="00C834EC"/>
    <w:rsid w:val="00C83C33"/>
    <w:rsid w:val="00C85066"/>
    <w:rsid w:val="00C85279"/>
    <w:rsid w:val="00C8606A"/>
    <w:rsid w:val="00C87495"/>
    <w:rsid w:val="00C876CA"/>
    <w:rsid w:val="00C87A0B"/>
    <w:rsid w:val="00C903DB"/>
    <w:rsid w:val="00C90909"/>
    <w:rsid w:val="00C90B16"/>
    <w:rsid w:val="00C912D1"/>
    <w:rsid w:val="00C9286C"/>
    <w:rsid w:val="00C92E5D"/>
    <w:rsid w:val="00C937F1"/>
    <w:rsid w:val="00C93CE0"/>
    <w:rsid w:val="00C94070"/>
    <w:rsid w:val="00C95142"/>
    <w:rsid w:val="00C955A2"/>
    <w:rsid w:val="00C957BC"/>
    <w:rsid w:val="00C9746E"/>
    <w:rsid w:val="00C97897"/>
    <w:rsid w:val="00CA03F1"/>
    <w:rsid w:val="00CA10D5"/>
    <w:rsid w:val="00CA21DD"/>
    <w:rsid w:val="00CA2279"/>
    <w:rsid w:val="00CA2352"/>
    <w:rsid w:val="00CA32E3"/>
    <w:rsid w:val="00CA411E"/>
    <w:rsid w:val="00CA53C7"/>
    <w:rsid w:val="00CA57CC"/>
    <w:rsid w:val="00CA5820"/>
    <w:rsid w:val="00CA58C1"/>
    <w:rsid w:val="00CA63EF"/>
    <w:rsid w:val="00CA6F89"/>
    <w:rsid w:val="00CA7317"/>
    <w:rsid w:val="00CA744E"/>
    <w:rsid w:val="00CA77FC"/>
    <w:rsid w:val="00CA793E"/>
    <w:rsid w:val="00CADC83"/>
    <w:rsid w:val="00CB01C7"/>
    <w:rsid w:val="00CB04AC"/>
    <w:rsid w:val="00CB06A1"/>
    <w:rsid w:val="00CB088A"/>
    <w:rsid w:val="00CB0B25"/>
    <w:rsid w:val="00CB124B"/>
    <w:rsid w:val="00CB153C"/>
    <w:rsid w:val="00CB16A2"/>
    <w:rsid w:val="00CB1DBC"/>
    <w:rsid w:val="00CB1EBA"/>
    <w:rsid w:val="00CB209B"/>
    <w:rsid w:val="00CB2BE9"/>
    <w:rsid w:val="00CB3638"/>
    <w:rsid w:val="00CB3AD0"/>
    <w:rsid w:val="00CB44B3"/>
    <w:rsid w:val="00CB4DB7"/>
    <w:rsid w:val="00CB500E"/>
    <w:rsid w:val="00CB55AE"/>
    <w:rsid w:val="00CB573D"/>
    <w:rsid w:val="00CB5BEC"/>
    <w:rsid w:val="00CB6C55"/>
    <w:rsid w:val="00CB6E64"/>
    <w:rsid w:val="00CB781C"/>
    <w:rsid w:val="00CB7E23"/>
    <w:rsid w:val="00CC001D"/>
    <w:rsid w:val="00CC0A94"/>
    <w:rsid w:val="00CC0B74"/>
    <w:rsid w:val="00CC1DCF"/>
    <w:rsid w:val="00CC2354"/>
    <w:rsid w:val="00CC23EE"/>
    <w:rsid w:val="00CC3289"/>
    <w:rsid w:val="00CC359C"/>
    <w:rsid w:val="00CC37AE"/>
    <w:rsid w:val="00CC3D81"/>
    <w:rsid w:val="00CC48E2"/>
    <w:rsid w:val="00CC4BC8"/>
    <w:rsid w:val="00CC5069"/>
    <w:rsid w:val="00CC506C"/>
    <w:rsid w:val="00CC5797"/>
    <w:rsid w:val="00CC5826"/>
    <w:rsid w:val="00CC58DA"/>
    <w:rsid w:val="00CC5D39"/>
    <w:rsid w:val="00CC5D88"/>
    <w:rsid w:val="00CC5DD9"/>
    <w:rsid w:val="00CC6464"/>
    <w:rsid w:val="00CC64DC"/>
    <w:rsid w:val="00CC6BED"/>
    <w:rsid w:val="00CC74EB"/>
    <w:rsid w:val="00CD05A1"/>
    <w:rsid w:val="00CD0C88"/>
    <w:rsid w:val="00CD1044"/>
    <w:rsid w:val="00CD12F9"/>
    <w:rsid w:val="00CD1435"/>
    <w:rsid w:val="00CD1543"/>
    <w:rsid w:val="00CD18E2"/>
    <w:rsid w:val="00CD23CE"/>
    <w:rsid w:val="00CD2B76"/>
    <w:rsid w:val="00CD2C6F"/>
    <w:rsid w:val="00CD2C95"/>
    <w:rsid w:val="00CD2CD8"/>
    <w:rsid w:val="00CD2D95"/>
    <w:rsid w:val="00CD3A0F"/>
    <w:rsid w:val="00CD3E04"/>
    <w:rsid w:val="00CD4059"/>
    <w:rsid w:val="00CD4410"/>
    <w:rsid w:val="00CD476C"/>
    <w:rsid w:val="00CD50A8"/>
    <w:rsid w:val="00CD5747"/>
    <w:rsid w:val="00CD57BF"/>
    <w:rsid w:val="00CD5D46"/>
    <w:rsid w:val="00CD6FEB"/>
    <w:rsid w:val="00CD720E"/>
    <w:rsid w:val="00CD791E"/>
    <w:rsid w:val="00CD7B3A"/>
    <w:rsid w:val="00CE06F0"/>
    <w:rsid w:val="00CE0CA6"/>
    <w:rsid w:val="00CE16DA"/>
    <w:rsid w:val="00CE1975"/>
    <w:rsid w:val="00CE1989"/>
    <w:rsid w:val="00CE1A53"/>
    <w:rsid w:val="00CE1E7D"/>
    <w:rsid w:val="00CE2A1C"/>
    <w:rsid w:val="00CE2FC3"/>
    <w:rsid w:val="00CE3147"/>
    <w:rsid w:val="00CE3C84"/>
    <w:rsid w:val="00CE3EB5"/>
    <w:rsid w:val="00CE40FC"/>
    <w:rsid w:val="00CE46DF"/>
    <w:rsid w:val="00CE4ED2"/>
    <w:rsid w:val="00CE5737"/>
    <w:rsid w:val="00CE57B4"/>
    <w:rsid w:val="00CE689B"/>
    <w:rsid w:val="00CE6DC2"/>
    <w:rsid w:val="00CE7459"/>
    <w:rsid w:val="00CE7807"/>
    <w:rsid w:val="00CE7E12"/>
    <w:rsid w:val="00CF08A3"/>
    <w:rsid w:val="00CF0D63"/>
    <w:rsid w:val="00CF1203"/>
    <w:rsid w:val="00CF1761"/>
    <w:rsid w:val="00CF19EE"/>
    <w:rsid w:val="00CF1EF0"/>
    <w:rsid w:val="00CF2A4E"/>
    <w:rsid w:val="00CF320C"/>
    <w:rsid w:val="00CF3292"/>
    <w:rsid w:val="00CF37A7"/>
    <w:rsid w:val="00CF3FFA"/>
    <w:rsid w:val="00CF4693"/>
    <w:rsid w:val="00CF5BF5"/>
    <w:rsid w:val="00CF5F35"/>
    <w:rsid w:val="00CF6ED5"/>
    <w:rsid w:val="00CF774B"/>
    <w:rsid w:val="00CF79BD"/>
    <w:rsid w:val="00CF7F22"/>
    <w:rsid w:val="00D00386"/>
    <w:rsid w:val="00D005B5"/>
    <w:rsid w:val="00D00D40"/>
    <w:rsid w:val="00D01167"/>
    <w:rsid w:val="00D01430"/>
    <w:rsid w:val="00D01C4D"/>
    <w:rsid w:val="00D02CF0"/>
    <w:rsid w:val="00D02FC2"/>
    <w:rsid w:val="00D04177"/>
    <w:rsid w:val="00D0454A"/>
    <w:rsid w:val="00D04764"/>
    <w:rsid w:val="00D04CC1"/>
    <w:rsid w:val="00D04D9D"/>
    <w:rsid w:val="00D06AD3"/>
    <w:rsid w:val="00D06DD5"/>
    <w:rsid w:val="00D07307"/>
    <w:rsid w:val="00D07532"/>
    <w:rsid w:val="00D07FF8"/>
    <w:rsid w:val="00D1071B"/>
    <w:rsid w:val="00D10755"/>
    <w:rsid w:val="00D109E6"/>
    <w:rsid w:val="00D10F05"/>
    <w:rsid w:val="00D10F4B"/>
    <w:rsid w:val="00D1190F"/>
    <w:rsid w:val="00D119E1"/>
    <w:rsid w:val="00D12CB5"/>
    <w:rsid w:val="00D13CEF"/>
    <w:rsid w:val="00D14A04"/>
    <w:rsid w:val="00D15751"/>
    <w:rsid w:val="00D15D12"/>
    <w:rsid w:val="00D16156"/>
    <w:rsid w:val="00D16D7E"/>
    <w:rsid w:val="00D17216"/>
    <w:rsid w:val="00D17709"/>
    <w:rsid w:val="00D17A17"/>
    <w:rsid w:val="00D20374"/>
    <w:rsid w:val="00D2096D"/>
    <w:rsid w:val="00D20BF7"/>
    <w:rsid w:val="00D2154B"/>
    <w:rsid w:val="00D21838"/>
    <w:rsid w:val="00D21C35"/>
    <w:rsid w:val="00D2213F"/>
    <w:rsid w:val="00D2237F"/>
    <w:rsid w:val="00D242E8"/>
    <w:rsid w:val="00D2481E"/>
    <w:rsid w:val="00D24B11"/>
    <w:rsid w:val="00D24C70"/>
    <w:rsid w:val="00D24E31"/>
    <w:rsid w:val="00D25407"/>
    <w:rsid w:val="00D2685E"/>
    <w:rsid w:val="00D27824"/>
    <w:rsid w:val="00D27965"/>
    <w:rsid w:val="00D306B1"/>
    <w:rsid w:val="00D30A4A"/>
    <w:rsid w:val="00D31247"/>
    <w:rsid w:val="00D31F73"/>
    <w:rsid w:val="00D32070"/>
    <w:rsid w:val="00D323D5"/>
    <w:rsid w:val="00D327F4"/>
    <w:rsid w:val="00D32EC5"/>
    <w:rsid w:val="00D33223"/>
    <w:rsid w:val="00D33D19"/>
    <w:rsid w:val="00D34E5E"/>
    <w:rsid w:val="00D34F2F"/>
    <w:rsid w:val="00D353EF"/>
    <w:rsid w:val="00D35737"/>
    <w:rsid w:val="00D35D78"/>
    <w:rsid w:val="00D35DC7"/>
    <w:rsid w:val="00D365BC"/>
    <w:rsid w:val="00D3690E"/>
    <w:rsid w:val="00D369FD"/>
    <w:rsid w:val="00D36F92"/>
    <w:rsid w:val="00D374EE"/>
    <w:rsid w:val="00D3ECB6"/>
    <w:rsid w:val="00D407EE"/>
    <w:rsid w:val="00D4089A"/>
    <w:rsid w:val="00D40D02"/>
    <w:rsid w:val="00D414BB"/>
    <w:rsid w:val="00D4156E"/>
    <w:rsid w:val="00D41D3F"/>
    <w:rsid w:val="00D41D9A"/>
    <w:rsid w:val="00D4240B"/>
    <w:rsid w:val="00D42670"/>
    <w:rsid w:val="00D43150"/>
    <w:rsid w:val="00D431F9"/>
    <w:rsid w:val="00D433EA"/>
    <w:rsid w:val="00D43B56"/>
    <w:rsid w:val="00D442AD"/>
    <w:rsid w:val="00D44C08"/>
    <w:rsid w:val="00D44DFE"/>
    <w:rsid w:val="00D44E3F"/>
    <w:rsid w:val="00D455CC"/>
    <w:rsid w:val="00D4602C"/>
    <w:rsid w:val="00D465FE"/>
    <w:rsid w:val="00D46668"/>
    <w:rsid w:val="00D467A1"/>
    <w:rsid w:val="00D46945"/>
    <w:rsid w:val="00D46CA2"/>
    <w:rsid w:val="00D475A3"/>
    <w:rsid w:val="00D4799B"/>
    <w:rsid w:val="00D502D3"/>
    <w:rsid w:val="00D5041F"/>
    <w:rsid w:val="00D50D8A"/>
    <w:rsid w:val="00D50E78"/>
    <w:rsid w:val="00D5182F"/>
    <w:rsid w:val="00D52033"/>
    <w:rsid w:val="00D52830"/>
    <w:rsid w:val="00D531C2"/>
    <w:rsid w:val="00D53E6F"/>
    <w:rsid w:val="00D55466"/>
    <w:rsid w:val="00D55A6D"/>
    <w:rsid w:val="00D55A6F"/>
    <w:rsid w:val="00D55B89"/>
    <w:rsid w:val="00D56019"/>
    <w:rsid w:val="00D563A6"/>
    <w:rsid w:val="00D565B1"/>
    <w:rsid w:val="00D57324"/>
    <w:rsid w:val="00D5736F"/>
    <w:rsid w:val="00D5737F"/>
    <w:rsid w:val="00D57579"/>
    <w:rsid w:val="00D577E1"/>
    <w:rsid w:val="00D604BD"/>
    <w:rsid w:val="00D6052F"/>
    <w:rsid w:val="00D609F8"/>
    <w:rsid w:val="00D60F8F"/>
    <w:rsid w:val="00D61120"/>
    <w:rsid w:val="00D614E0"/>
    <w:rsid w:val="00D6169B"/>
    <w:rsid w:val="00D61704"/>
    <w:rsid w:val="00D62038"/>
    <w:rsid w:val="00D639D1"/>
    <w:rsid w:val="00D641C3"/>
    <w:rsid w:val="00D64BF9"/>
    <w:rsid w:val="00D64DD2"/>
    <w:rsid w:val="00D652C8"/>
    <w:rsid w:val="00D66713"/>
    <w:rsid w:val="00D66CC0"/>
    <w:rsid w:val="00D66F0F"/>
    <w:rsid w:val="00D671AE"/>
    <w:rsid w:val="00D67400"/>
    <w:rsid w:val="00D67583"/>
    <w:rsid w:val="00D6781E"/>
    <w:rsid w:val="00D67A3A"/>
    <w:rsid w:val="00D67B4D"/>
    <w:rsid w:val="00D70A9F"/>
    <w:rsid w:val="00D70F43"/>
    <w:rsid w:val="00D70FB7"/>
    <w:rsid w:val="00D71234"/>
    <w:rsid w:val="00D7157A"/>
    <w:rsid w:val="00D72309"/>
    <w:rsid w:val="00D725BD"/>
    <w:rsid w:val="00D7390D"/>
    <w:rsid w:val="00D7451E"/>
    <w:rsid w:val="00D74639"/>
    <w:rsid w:val="00D75C4B"/>
    <w:rsid w:val="00D76545"/>
    <w:rsid w:val="00D76685"/>
    <w:rsid w:val="00D76B72"/>
    <w:rsid w:val="00D76F4D"/>
    <w:rsid w:val="00D776F1"/>
    <w:rsid w:val="00D779B6"/>
    <w:rsid w:val="00D77BAF"/>
    <w:rsid w:val="00D77E68"/>
    <w:rsid w:val="00D800F6"/>
    <w:rsid w:val="00D8098E"/>
    <w:rsid w:val="00D80BC0"/>
    <w:rsid w:val="00D82423"/>
    <w:rsid w:val="00D82534"/>
    <w:rsid w:val="00D837E3"/>
    <w:rsid w:val="00D83B21"/>
    <w:rsid w:val="00D84211"/>
    <w:rsid w:val="00D84AA3"/>
    <w:rsid w:val="00D84D01"/>
    <w:rsid w:val="00D8557F"/>
    <w:rsid w:val="00D86272"/>
    <w:rsid w:val="00D8633D"/>
    <w:rsid w:val="00D86629"/>
    <w:rsid w:val="00D86983"/>
    <w:rsid w:val="00D876CD"/>
    <w:rsid w:val="00D87DFB"/>
    <w:rsid w:val="00D90CE1"/>
    <w:rsid w:val="00D9112D"/>
    <w:rsid w:val="00D91C51"/>
    <w:rsid w:val="00D91F8E"/>
    <w:rsid w:val="00D92997"/>
    <w:rsid w:val="00D92C36"/>
    <w:rsid w:val="00D94B95"/>
    <w:rsid w:val="00D94D41"/>
    <w:rsid w:val="00D94F4B"/>
    <w:rsid w:val="00D9591B"/>
    <w:rsid w:val="00D959B8"/>
    <w:rsid w:val="00D95AE4"/>
    <w:rsid w:val="00D969B3"/>
    <w:rsid w:val="00D97081"/>
    <w:rsid w:val="00D9748E"/>
    <w:rsid w:val="00DA040C"/>
    <w:rsid w:val="00DA06BC"/>
    <w:rsid w:val="00DA0762"/>
    <w:rsid w:val="00DA0A73"/>
    <w:rsid w:val="00DA0EC3"/>
    <w:rsid w:val="00DA0FD0"/>
    <w:rsid w:val="00DA1A1B"/>
    <w:rsid w:val="00DA3288"/>
    <w:rsid w:val="00DA3844"/>
    <w:rsid w:val="00DA414A"/>
    <w:rsid w:val="00DA4400"/>
    <w:rsid w:val="00DA44BB"/>
    <w:rsid w:val="00DA46DB"/>
    <w:rsid w:val="00DA48D7"/>
    <w:rsid w:val="00DA4B0A"/>
    <w:rsid w:val="00DA5398"/>
    <w:rsid w:val="00DA5C63"/>
    <w:rsid w:val="00DA5E43"/>
    <w:rsid w:val="00DA6C24"/>
    <w:rsid w:val="00DA6FDD"/>
    <w:rsid w:val="00DA72E3"/>
    <w:rsid w:val="00DA7529"/>
    <w:rsid w:val="00DA7D4A"/>
    <w:rsid w:val="00DB04DE"/>
    <w:rsid w:val="00DB07C0"/>
    <w:rsid w:val="00DB0D1D"/>
    <w:rsid w:val="00DB167B"/>
    <w:rsid w:val="00DB1CDB"/>
    <w:rsid w:val="00DB1FB9"/>
    <w:rsid w:val="00DB2112"/>
    <w:rsid w:val="00DB22AD"/>
    <w:rsid w:val="00DB3B06"/>
    <w:rsid w:val="00DB4671"/>
    <w:rsid w:val="00DB48DB"/>
    <w:rsid w:val="00DB5591"/>
    <w:rsid w:val="00DB5D45"/>
    <w:rsid w:val="00DB67E9"/>
    <w:rsid w:val="00DB6AE7"/>
    <w:rsid w:val="00DB6DA7"/>
    <w:rsid w:val="00DB6F49"/>
    <w:rsid w:val="00DB6FD9"/>
    <w:rsid w:val="00DB750C"/>
    <w:rsid w:val="00DB7519"/>
    <w:rsid w:val="00DB78D4"/>
    <w:rsid w:val="00DC05DD"/>
    <w:rsid w:val="00DC0F5D"/>
    <w:rsid w:val="00DC10C5"/>
    <w:rsid w:val="00DC1300"/>
    <w:rsid w:val="00DC18C9"/>
    <w:rsid w:val="00DC1996"/>
    <w:rsid w:val="00DC240A"/>
    <w:rsid w:val="00DC36D1"/>
    <w:rsid w:val="00DC3801"/>
    <w:rsid w:val="00DC3E4F"/>
    <w:rsid w:val="00DC4089"/>
    <w:rsid w:val="00DC4903"/>
    <w:rsid w:val="00DC4E1D"/>
    <w:rsid w:val="00DC512E"/>
    <w:rsid w:val="00DC5853"/>
    <w:rsid w:val="00DC5AA2"/>
    <w:rsid w:val="00DC6911"/>
    <w:rsid w:val="00DC6ADB"/>
    <w:rsid w:val="00DC7380"/>
    <w:rsid w:val="00DC73B4"/>
    <w:rsid w:val="00DC7C69"/>
    <w:rsid w:val="00DD03D1"/>
    <w:rsid w:val="00DD03DC"/>
    <w:rsid w:val="00DD0B80"/>
    <w:rsid w:val="00DD0F7F"/>
    <w:rsid w:val="00DD3288"/>
    <w:rsid w:val="00DD34EA"/>
    <w:rsid w:val="00DD433E"/>
    <w:rsid w:val="00DD4805"/>
    <w:rsid w:val="00DD4D70"/>
    <w:rsid w:val="00DD657A"/>
    <w:rsid w:val="00DD66D2"/>
    <w:rsid w:val="00DD6B82"/>
    <w:rsid w:val="00DD6D2A"/>
    <w:rsid w:val="00DD7A8E"/>
    <w:rsid w:val="00DE001F"/>
    <w:rsid w:val="00DE0653"/>
    <w:rsid w:val="00DE07B2"/>
    <w:rsid w:val="00DE0D78"/>
    <w:rsid w:val="00DE13EC"/>
    <w:rsid w:val="00DE2875"/>
    <w:rsid w:val="00DE3398"/>
    <w:rsid w:val="00DE3506"/>
    <w:rsid w:val="00DE50FE"/>
    <w:rsid w:val="00DE5509"/>
    <w:rsid w:val="00DE5715"/>
    <w:rsid w:val="00DE6D70"/>
    <w:rsid w:val="00DE6FAA"/>
    <w:rsid w:val="00DE7084"/>
    <w:rsid w:val="00DE75E1"/>
    <w:rsid w:val="00DE7EB8"/>
    <w:rsid w:val="00DF0606"/>
    <w:rsid w:val="00DF1235"/>
    <w:rsid w:val="00DF2517"/>
    <w:rsid w:val="00DF2AF5"/>
    <w:rsid w:val="00DF2CCA"/>
    <w:rsid w:val="00DF324D"/>
    <w:rsid w:val="00DF38A0"/>
    <w:rsid w:val="00DF3A1B"/>
    <w:rsid w:val="00DF3E8D"/>
    <w:rsid w:val="00DF42CE"/>
    <w:rsid w:val="00DF4445"/>
    <w:rsid w:val="00DF454C"/>
    <w:rsid w:val="00DF4834"/>
    <w:rsid w:val="00DF4C11"/>
    <w:rsid w:val="00DF4C37"/>
    <w:rsid w:val="00DF4F8E"/>
    <w:rsid w:val="00DF573F"/>
    <w:rsid w:val="00DF5762"/>
    <w:rsid w:val="00DF685C"/>
    <w:rsid w:val="00DF7330"/>
    <w:rsid w:val="00DF7A4D"/>
    <w:rsid w:val="00DF7B52"/>
    <w:rsid w:val="00DF7DB3"/>
    <w:rsid w:val="00E0034E"/>
    <w:rsid w:val="00E00FFD"/>
    <w:rsid w:val="00E011B8"/>
    <w:rsid w:val="00E0150D"/>
    <w:rsid w:val="00E023C1"/>
    <w:rsid w:val="00E02DDE"/>
    <w:rsid w:val="00E037FA"/>
    <w:rsid w:val="00E03D5C"/>
    <w:rsid w:val="00E03DC5"/>
    <w:rsid w:val="00E0411D"/>
    <w:rsid w:val="00E04CCD"/>
    <w:rsid w:val="00E04E0B"/>
    <w:rsid w:val="00E05528"/>
    <w:rsid w:val="00E056C0"/>
    <w:rsid w:val="00E05ED9"/>
    <w:rsid w:val="00E060F9"/>
    <w:rsid w:val="00E067D3"/>
    <w:rsid w:val="00E06C05"/>
    <w:rsid w:val="00E06CE5"/>
    <w:rsid w:val="00E0727C"/>
    <w:rsid w:val="00E07809"/>
    <w:rsid w:val="00E1038F"/>
    <w:rsid w:val="00E10910"/>
    <w:rsid w:val="00E110EF"/>
    <w:rsid w:val="00E116CC"/>
    <w:rsid w:val="00E11B70"/>
    <w:rsid w:val="00E11C02"/>
    <w:rsid w:val="00E12177"/>
    <w:rsid w:val="00E12486"/>
    <w:rsid w:val="00E12655"/>
    <w:rsid w:val="00E1268F"/>
    <w:rsid w:val="00E12855"/>
    <w:rsid w:val="00E12A97"/>
    <w:rsid w:val="00E12EDF"/>
    <w:rsid w:val="00E13358"/>
    <w:rsid w:val="00E139B2"/>
    <w:rsid w:val="00E146A8"/>
    <w:rsid w:val="00E14CD2"/>
    <w:rsid w:val="00E14D3A"/>
    <w:rsid w:val="00E14F04"/>
    <w:rsid w:val="00E15E6E"/>
    <w:rsid w:val="00E16888"/>
    <w:rsid w:val="00E16C3A"/>
    <w:rsid w:val="00E17BF1"/>
    <w:rsid w:val="00E22C47"/>
    <w:rsid w:val="00E2373D"/>
    <w:rsid w:val="00E238DE"/>
    <w:rsid w:val="00E23DBD"/>
    <w:rsid w:val="00E24277"/>
    <w:rsid w:val="00E24661"/>
    <w:rsid w:val="00E24D8E"/>
    <w:rsid w:val="00E24F40"/>
    <w:rsid w:val="00E2512A"/>
    <w:rsid w:val="00E253BD"/>
    <w:rsid w:val="00E25D0B"/>
    <w:rsid w:val="00E264C0"/>
    <w:rsid w:val="00E27358"/>
    <w:rsid w:val="00E27D23"/>
    <w:rsid w:val="00E3006F"/>
    <w:rsid w:val="00E30560"/>
    <w:rsid w:val="00E30889"/>
    <w:rsid w:val="00E3097C"/>
    <w:rsid w:val="00E30BFE"/>
    <w:rsid w:val="00E31037"/>
    <w:rsid w:val="00E31465"/>
    <w:rsid w:val="00E31477"/>
    <w:rsid w:val="00E31736"/>
    <w:rsid w:val="00E31874"/>
    <w:rsid w:val="00E31C8D"/>
    <w:rsid w:val="00E3284A"/>
    <w:rsid w:val="00E32CDC"/>
    <w:rsid w:val="00E32E56"/>
    <w:rsid w:val="00E32F25"/>
    <w:rsid w:val="00E32F39"/>
    <w:rsid w:val="00E33138"/>
    <w:rsid w:val="00E33E20"/>
    <w:rsid w:val="00E3413B"/>
    <w:rsid w:val="00E34394"/>
    <w:rsid w:val="00E34F46"/>
    <w:rsid w:val="00E351BC"/>
    <w:rsid w:val="00E3556C"/>
    <w:rsid w:val="00E356A9"/>
    <w:rsid w:val="00E3576F"/>
    <w:rsid w:val="00E35893"/>
    <w:rsid w:val="00E3596E"/>
    <w:rsid w:val="00E3626F"/>
    <w:rsid w:val="00E36809"/>
    <w:rsid w:val="00E37207"/>
    <w:rsid w:val="00E376B0"/>
    <w:rsid w:val="00E400DD"/>
    <w:rsid w:val="00E41073"/>
    <w:rsid w:val="00E418EE"/>
    <w:rsid w:val="00E4240E"/>
    <w:rsid w:val="00E426C4"/>
    <w:rsid w:val="00E42CA9"/>
    <w:rsid w:val="00E4312A"/>
    <w:rsid w:val="00E43404"/>
    <w:rsid w:val="00E436B7"/>
    <w:rsid w:val="00E43E96"/>
    <w:rsid w:val="00E4409E"/>
    <w:rsid w:val="00E44221"/>
    <w:rsid w:val="00E4482E"/>
    <w:rsid w:val="00E44B8D"/>
    <w:rsid w:val="00E4543D"/>
    <w:rsid w:val="00E463EA"/>
    <w:rsid w:val="00E46956"/>
    <w:rsid w:val="00E46987"/>
    <w:rsid w:val="00E47A3A"/>
    <w:rsid w:val="00E47D70"/>
    <w:rsid w:val="00E47DC9"/>
    <w:rsid w:val="00E504AD"/>
    <w:rsid w:val="00E508D1"/>
    <w:rsid w:val="00E50B66"/>
    <w:rsid w:val="00E511FA"/>
    <w:rsid w:val="00E519F4"/>
    <w:rsid w:val="00E52703"/>
    <w:rsid w:val="00E5291C"/>
    <w:rsid w:val="00E52AE5"/>
    <w:rsid w:val="00E52BC8"/>
    <w:rsid w:val="00E52E41"/>
    <w:rsid w:val="00E53117"/>
    <w:rsid w:val="00E54F6E"/>
    <w:rsid w:val="00E550EC"/>
    <w:rsid w:val="00E5593B"/>
    <w:rsid w:val="00E55F44"/>
    <w:rsid w:val="00E569A8"/>
    <w:rsid w:val="00E56A6D"/>
    <w:rsid w:val="00E56B4E"/>
    <w:rsid w:val="00E56F6A"/>
    <w:rsid w:val="00E60BAF"/>
    <w:rsid w:val="00E61315"/>
    <w:rsid w:val="00E614AC"/>
    <w:rsid w:val="00E61532"/>
    <w:rsid w:val="00E61A1A"/>
    <w:rsid w:val="00E6227E"/>
    <w:rsid w:val="00E623F9"/>
    <w:rsid w:val="00E62636"/>
    <w:rsid w:val="00E62C09"/>
    <w:rsid w:val="00E639F3"/>
    <w:rsid w:val="00E63AE1"/>
    <w:rsid w:val="00E65778"/>
    <w:rsid w:val="00E65902"/>
    <w:rsid w:val="00E65B18"/>
    <w:rsid w:val="00E66517"/>
    <w:rsid w:val="00E667EE"/>
    <w:rsid w:val="00E67641"/>
    <w:rsid w:val="00E67E96"/>
    <w:rsid w:val="00E70943"/>
    <w:rsid w:val="00E70D4E"/>
    <w:rsid w:val="00E72456"/>
    <w:rsid w:val="00E72B54"/>
    <w:rsid w:val="00E72BFD"/>
    <w:rsid w:val="00E73052"/>
    <w:rsid w:val="00E734AB"/>
    <w:rsid w:val="00E73A7F"/>
    <w:rsid w:val="00E73D9E"/>
    <w:rsid w:val="00E741AD"/>
    <w:rsid w:val="00E74E3B"/>
    <w:rsid w:val="00E75821"/>
    <w:rsid w:val="00E75CC5"/>
    <w:rsid w:val="00E75E1B"/>
    <w:rsid w:val="00E76AF8"/>
    <w:rsid w:val="00E7762D"/>
    <w:rsid w:val="00E80052"/>
    <w:rsid w:val="00E80BFD"/>
    <w:rsid w:val="00E80CBF"/>
    <w:rsid w:val="00E81023"/>
    <w:rsid w:val="00E810B3"/>
    <w:rsid w:val="00E810DD"/>
    <w:rsid w:val="00E829FC"/>
    <w:rsid w:val="00E82A2E"/>
    <w:rsid w:val="00E83172"/>
    <w:rsid w:val="00E83F1C"/>
    <w:rsid w:val="00E83F5A"/>
    <w:rsid w:val="00E843A0"/>
    <w:rsid w:val="00E8475B"/>
    <w:rsid w:val="00E84E26"/>
    <w:rsid w:val="00E85889"/>
    <w:rsid w:val="00E85931"/>
    <w:rsid w:val="00E865DA"/>
    <w:rsid w:val="00E86ED0"/>
    <w:rsid w:val="00E872AB"/>
    <w:rsid w:val="00E875FA"/>
    <w:rsid w:val="00E87721"/>
    <w:rsid w:val="00E87E77"/>
    <w:rsid w:val="00E9054D"/>
    <w:rsid w:val="00E91AE0"/>
    <w:rsid w:val="00E91FAC"/>
    <w:rsid w:val="00E9233C"/>
    <w:rsid w:val="00E92FE1"/>
    <w:rsid w:val="00E93318"/>
    <w:rsid w:val="00E94512"/>
    <w:rsid w:val="00E94A3C"/>
    <w:rsid w:val="00E94AFF"/>
    <w:rsid w:val="00E94EBB"/>
    <w:rsid w:val="00E95187"/>
    <w:rsid w:val="00E9572E"/>
    <w:rsid w:val="00E95B69"/>
    <w:rsid w:val="00E95EF9"/>
    <w:rsid w:val="00E960F7"/>
    <w:rsid w:val="00E966E6"/>
    <w:rsid w:val="00E97027"/>
    <w:rsid w:val="00E97927"/>
    <w:rsid w:val="00E97A2B"/>
    <w:rsid w:val="00EA050A"/>
    <w:rsid w:val="00EA1407"/>
    <w:rsid w:val="00EA14AE"/>
    <w:rsid w:val="00EA17B9"/>
    <w:rsid w:val="00EA2796"/>
    <w:rsid w:val="00EA296F"/>
    <w:rsid w:val="00EA2ECD"/>
    <w:rsid w:val="00EA31AD"/>
    <w:rsid w:val="00EA3559"/>
    <w:rsid w:val="00EA3D98"/>
    <w:rsid w:val="00EA4412"/>
    <w:rsid w:val="00EA57E0"/>
    <w:rsid w:val="00EA59C3"/>
    <w:rsid w:val="00EA6469"/>
    <w:rsid w:val="00EA6837"/>
    <w:rsid w:val="00EA6DE4"/>
    <w:rsid w:val="00EA6E64"/>
    <w:rsid w:val="00EA6F0B"/>
    <w:rsid w:val="00EA722D"/>
    <w:rsid w:val="00EA742A"/>
    <w:rsid w:val="00EA7C70"/>
    <w:rsid w:val="00EB00FF"/>
    <w:rsid w:val="00EB0A99"/>
    <w:rsid w:val="00EB1063"/>
    <w:rsid w:val="00EB1354"/>
    <w:rsid w:val="00EB2987"/>
    <w:rsid w:val="00EB2D27"/>
    <w:rsid w:val="00EB3E86"/>
    <w:rsid w:val="00EB4177"/>
    <w:rsid w:val="00EB4933"/>
    <w:rsid w:val="00EB49D2"/>
    <w:rsid w:val="00EB4CC1"/>
    <w:rsid w:val="00EB5321"/>
    <w:rsid w:val="00EB7B22"/>
    <w:rsid w:val="00EC10EB"/>
    <w:rsid w:val="00EC1893"/>
    <w:rsid w:val="00EC2833"/>
    <w:rsid w:val="00EC2CB6"/>
    <w:rsid w:val="00EC32C3"/>
    <w:rsid w:val="00EC3CC4"/>
    <w:rsid w:val="00EC438C"/>
    <w:rsid w:val="00EC43AC"/>
    <w:rsid w:val="00EC4610"/>
    <w:rsid w:val="00EC53F2"/>
    <w:rsid w:val="00EC59C2"/>
    <w:rsid w:val="00EC59F4"/>
    <w:rsid w:val="00EC6892"/>
    <w:rsid w:val="00EC71B1"/>
    <w:rsid w:val="00EC727A"/>
    <w:rsid w:val="00EC79C7"/>
    <w:rsid w:val="00EC7A8E"/>
    <w:rsid w:val="00ED174F"/>
    <w:rsid w:val="00ED2258"/>
    <w:rsid w:val="00ED29F3"/>
    <w:rsid w:val="00ED2F4B"/>
    <w:rsid w:val="00ED325F"/>
    <w:rsid w:val="00ED3694"/>
    <w:rsid w:val="00ED376F"/>
    <w:rsid w:val="00ED43BD"/>
    <w:rsid w:val="00ED4BAE"/>
    <w:rsid w:val="00ED599D"/>
    <w:rsid w:val="00ED5AD3"/>
    <w:rsid w:val="00ED5F2E"/>
    <w:rsid w:val="00ED6B02"/>
    <w:rsid w:val="00ED6B45"/>
    <w:rsid w:val="00ED77D2"/>
    <w:rsid w:val="00ED7C90"/>
    <w:rsid w:val="00ED7DBB"/>
    <w:rsid w:val="00EE013A"/>
    <w:rsid w:val="00EE0222"/>
    <w:rsid w:val="00EE1070"/>
    <w:rsid w:val="00EE17E6"/>
    <w:rsid w:val="00EE1D02"/>
    <w:rsid w:val="00EE1FBA"/>
    <w:rsid w:val="00EE2AC7"/>
    <w:rsid w:val="00EE30B2"/>
    <w:rsid w:val="00EE34C9"/>
    <w:rsid w:val="00EE3887"/>
    <w:rsid w:val="00EE3C87"/>
    <w:rsid w:val="00EE4299"/>
    <w:rsid w:val="00EE4EA7"/>
    <w:rsid w:val="00EE51FA"/>
    <w:rsid w:val="00EE587D"/>
    <w:rsid w:val="00EE5CF4"/>
    <w:rsid w:val="00EE6092"/>
    <w:rsid w:val="00EE6458"/>
    <w:rsid w:val="00EE6C3C"/>
    <w:rsid w:val="00EE6EB7"/>
    <w:rsid w:val="00EF1404"/>
    <w:rsid w:val="00EF18AB"/>
    <w:rsid w:val="00EF2238"/>
    <w:rsid w:val="00EF2920"/>
    <w:rsid w:val="00EF3687"/>
    <w:rsid w:val="00EF3AD6"/>
    <w:rsid w:val="00EF3DA4"/>
    <w:rsid w:val="00EF414C"/>
    <w:rsid w:val="00EF44B7"/>
    <w:rsid w:val="00EF4EE8"/>
    <w:rsid w:val="00EF4F8A"/>
    <w:rsid w:val="00EF51C2"/>
    <w:rsid w:val="00EF5A3E"/>
    <w:rsid w:val="00EF5B83"/>
    <w:rsid w:val="00EF659F"/>
    <w:rsid w:val="00EF6EA4"/>
    <w:rsid w:val="00EF6FE4"/>
    <w:rsid w:val="00EF7452"/>
    <w:rsid w:val="00EF7B6B"/>
    <w:rsid w:val="00F00025"/>
    <w:rsid w:val="00F00740"/>
    <w:rsid w:val="00F00DEA"/>
    <w:rsid w:val="00F01897"/>
    <w:rsid w:val="00F028AB"/>
    <w:rsid w:val="00F0321C"/>
    <w:rsid w:val="00F03665"/>
    <w:rsid w:val="00F04B8A"/>
    <w:rsid w:val="00F04D9A"/>
    <w:rsid w:val="00F04EB9"/>
    <w:rsid w:val="00F05251"/>
    <w:rsid w:val="00F05271"/>
    <w:rsid w:val="00F05933"/>
    <w:rsid w:val="00F05B7E"/>
    <w:rsid w:val="00F066D9"/>
    <w:rsid w:val="00F0671B"/>
    <w:rsid w:val="00F06FA6"/>
    <w:rsid w:val="00F07B97"/>
    <w:rsid w:val="00F1011B"/>
    <w:rsid w:val="00F107BA"/>
    <w:rsid w:val="00F1091F"/>
    <w:rsid w:val="00F10D8F"/>
    <w:rsid w:val="00F11857"/>
    <w:rsid w:val="00F13072"/>
    <w:rsid w:val="00F137BE"/>
    <w:rsid w:val="00F139A2"/>
    <w:rsid w:val="00F14B44"/>
    <w:rsid w:val="00F14CB8"/>
    <w:rsid w:val="00F15D8D"/>
    <w:rsid w:val="00F1671B"/>
    <w:rsid w:val="00F172C8"/>
    <w:rsid w:val="00F172E0"/>
    <w:rsid w:val="00F17584"/>
    <w:rsid w:val="00F17CD1"/>
    <w:rsid w:val="00F20BC1"/>
    <w:rsid w:val="00F21E0A"/>
    <w:rsid w:val="00F21FBC"/>
    <w:rsid w:val="00F22BAE"/>
    <w:rsid w:val="00F22C33"/>
    <w:rsid w:val="00F23139"/>
    <w:rsid w:val="00F238A6"/>
    <w:rsid w:val="00F23AFA"/>
    <w:rsid w:val="00F24033"/>
    <w:rsid w:val="00F24865"/>
    <w:rsid w:val="00F24D3B"/>
    <w:rsid w:val="00F24EFA"/>
    <w:rsid w:val="00F25A10"/>
    <w:rsid w:val="00F25CA2"/>
    <w:rsid w:val="00F25E5F"/>
    <w:rsid w:val="00F26256"/>
    <w:rsid w:val="00F268DD"/>
    <w:rsid w:val="00F27381"/>
    <w:rsid w:val="00F27757"/>
    <w:rsid w:val="00F30F18"/>
    <w:rsid w:val="00F30FE4"/>
    <w:rsid w:val="00F312C5"/>
    <w:rsid w:val="00F31619"/>
    <w:rsid w:val="00F31A6E"/>
    <w:rsid w:val="00F31DE7"/>
    <w:rsid w:val="00F321F9"/>
    <w:rsid w:val="00F32570"/>
    <w:rsid w:val="00F32A38"/>
    <w:rsid w:val="00F336B4"/>
    <w:rsid w:val="00F3393E"/>
    <w:rsid w:val="00F34C1D"/>
    <w:rsid w:val="00F34C90"/>
    <w:rsid w:val="00F358AA"/>
    <w:rsid w:val="00F35B8C"/>
    <w:rsid w:val="00F366CA"/>
    <w:rsid w:val="00F36A28"/>
    <w:rsid w:val="00F36BA2"/>
    <w:rsid w:val="00F36BA7"/>
    <w:rsid w:val="00F36E43"/>
    <w:rsid w:val="00F36E6A"/>
    <w:rsid w:val="00F36FD6"/>
    <w:rsid w:val="00F370CD"/>
    <w:rsid w:val="00F373DF"/>
    <w:rsid w:val="00F406E1"/>
    <w:rsid w:val="00F414B6"/>
    <w:rsid w:val="00F41E96"/>
    <w:rsid w:val="00F42171"/>
    <w:rsid w:val="00F422FA"/>
    <w:rsid w:val="00F42A5C"/>
    <w:rsid w:val="00F42CD2"/>
    <w:rsid w:val="00F42F9A"/>
    <w:rsid w:val="00F4321F"/>
    <w:rsid w:val="00F446E2"/>
    <w:rsid w:val="00F45583"/>
    <w:rsid w:val="00F456E9"/>
    <w:rsid w:val="00F458E6"/>
    <w:rsid w:val="00F45934"/>
    <w:rsid w:val="00F46532"/>
    <w:rsid w:val="00F4741D"/>
    <w:rsid w:val="00F474DC"/>
    <w:rsid w:val="00F47902"/>
    <w:rsid w:val="00F47A5C"/>
    <w:rsid w:val="00F4B815"/>
    <w:rsid w:val="00F50438"/>
    <w:rsid w:val="00F50B9E"/>
    <w:rsid w:val="00F51C9F"/>
    <w:rsid w:val="00F52851"/>
    <w:rsid w:val="00F52BF3"/>
    <w:rsid w:val="00F535AC"/>
    <w:rsid w:val="00F53684"/>
    <w:rsid w:val="00F54677"/>
    <w:rsid w:val="00F54721"/>
    <w:rsid w:val="00F5513A"/>
    <w:rsid w:val="00F554B4"/>
    <w:rsid w:val="00F55AC4"/>
    <w:rsid w:val="00F55C8F"/>
    <w:rsid w:val="00F5639C"/>
    <w:rsid w:val="00F56454"/>
    <w:rsid w:val="00F612E2"/>
    <w:rsid w:val="00F614E4"/>
    <w:rsid w:val="00F616C0"/>
    <w:rsid w:val="00F61E58"/>
    <w:rsid w:val="00F61ED3"/>
    <w:rsid w:val="00F625CA"/>
    <w:rsid w:val="00F62A0F"/>
    <w:rsid w:val="00F634FA"/>
    <w:rsid w:val="00F63815"/>
    <w:rsid w:val="00F63858"/>
    <w:rsid w:val="00F6402D"/>
    <w:rsid w:val="00F664DF"/>
    <w:rsid w:val="00F70B82"/>
    <w:rsid w:val="00F70BE6"/>
    <w:rsid w:val="00F71000"/>
    <w:rsid w:val="00F715C3"/>
    <w:rsid w:val="00F71AF9"/>
    <w:rsid w:val="00F71C58"/>
    <w:rsid w:val="00F721AB"/>
    <w:rsid w:val="00F72850"/>
    <w:rsid w:val="00F72BFF"/>
    <w:rsid w:val="00F72FDB"/>
    <w:rsid w:val="00F7300B"/>
    <w:rsid w:val="00F7308F"/>
    <w:rsid w:val="00F73749"/>
    <w:rsid w:val="00F7396B"/>
    <w:rsid w:val="00F744D4"/>
    <w:rsid w:val="00F74523"/>
    <w:rsid w:val="00F7457B"/>
    <w:rsid w:val="00F748CF"/>
    <w:rsid w:val="00F74C82"/>
    <w:rsid w:val="00F74EB4"/>
    <w:rsid w:val="00F75251"/>
    <w:rsid w:val="00F7525F"/>
    <w:rsid w:val="00F75414"/>
    <w:rsid w:val="00F75C6A"/>
    <w:rsid w:val="00F76026"/>
    <w:rsid w:val="00F765B2"/>
    <w:rsid w:val="00F76C23"/>
    <w:rsid w:val="00F77BF5"/>
    <w:rsid w:val="00F77ED0"/>
    <w:rsid w:val="00F77FA1"/>
    <w:rsid w:val="00F80809"/>
    <w:rsid w:val="00F80D13"/>
    <w:rsid w:val="00F81159"/>
    <w:rsid w:val="00F811CF"/>
    <w:rsid w:val="00F81DBA"/>
    <w:rsid w:val="00F82317"/>
    <w:rsid w:val="00F82741"/>
    <w:rsid w:val="00F828A7"/>
    <w:rsid w:val="00F82D2A"/>
    <w:rsid w:val="00F842BE"/>
    <w:rsid w:val="00F8466F"/>
    <w:rsid w:val="00F8517B"/>
    <w:rsid w:val="00F85306"/>
    <w:rsid w:val="00F85667"/>
    <w:rsid w:val="00F8598D"/>
    <w:rsid w:val="00F86507"/>
    <w:rsid w:val="00F86B79"/>
    <w:rsid w:val="00F86C07"/>
    <w:rsid w:val="00F86C69"/>
    <w:rsid w:val="00F872EE"/>
    <w:rsid w:val="00F87992"/>
    <w:rsid w:val="00F87AA6"/>
    <w:rsid w:val="00F90343"/>
    <w:rsid w:val="00F90B74"/>
    <w:rsid w:val="00F91105"/>
    <w:rsid w:val="00F914BD"/>
    <w:rsid w:val="00F91DD1"/>
    <w:rsid w:val="00F924AA"/>
    <w:rsid w:val="00F931D0"/>
    <w:rsid w:val="00F93AEE"/>
    <w:rsid w:val="00F93B7A"/>
    <w:rsid w:val="00F9462E"/>
    <w:rsid w:val="00F948F3"/>
    <w:rsid w:val="00F94E7F"/>
    <w:rsid w:val="00F95BDF"/>
    <w:rsid w:val="00F95F19"/>
    <w:rsid w:val="00F96033"/>
    <w:rsid w:val="00F96377"/>
    <w:rsid w:val="00F96537"/>
    <w:rsid w:val="00F9679D"/>
    <w:rsid w:val="00F96B13"/>
    <w:rsid w:val="00F97D86"/>
    <w:rsid w:val="00FA0DEF"/>
    <w:rsid w:val="00FA174F"/>
    <w:rsid w:val="00FA2F17"/>
    <w:rsid w:val="00FA309F"/>
    <w:rsid w:val="00FA3B6C"/>
    <w:rsid w:val="00FA4368"/>
    <w:rsid w:val="00FA5ADD"/>
    <w:rsid w:val="00FA5F47"/>
    <w:rsid w:val="00FA66AB"/>
    <w:rsid w:val="00FA678F"/>
    <w:rsid w:val="00FA709D"/>
    <w:rsid w:val="00FA711C"/>
    <w:rsid w:val="00FB0016"/>
    <w:rsid w:val="00FB01D8"/>
    <w:rsid w:val="00FB06BB"/>
    <w:rsid w:val="00FB088C"/>
    <w:rsid w:val="00FB0A14"/>
    <w:rsid w:val="00FB130C"/>
    <w:rsid w:val="00FB1647"/>
    <w:rsid w:val="00FB16AC"/>
    <w:rsid w:val="00FB1DE9"/>
    <w:rsid w:val="00FB2032"/>
    <w:rsid w:val="00FB2C1F"/>
    <w:rsid w:val="00FB2E75"/>
    <w:rsid w:val="00FB33E6"/>
    <w:rsid w:val="00FB3478"/>
    <w:rsid w:val="00FB3D33"/>
    <w:rsid w:val="00FB425E"/>
    <w:rsid w:val="00FB4414"/>
    <w:rsid w:val="00FB485A"/>
    <w:rsid w:val="00FB49AC"/>
    <w:rsid w:val="00FB4B11"/>
    <w:rsid w:val="00FB6BAE"/>
    <w:rsid w:val="00FB78F1"/>
    <w:rsid w:val="00FB7AF6"/>
    <w:rsid w:val="00FB7C9D"/>
    <w:rsid w:val="00FB7CA4"/>
    <w:rsid w:val="00FC03C4"/>
    <w:rsid w:val="00FC05C1"/>
    <w:rsid w:val="00FC0DD3"/>
    <w:rsid w:val="00FC1272"/>
    <w:rsid w:val="00FC1508"/>
    <w:rsid w:val="00FC23CB"/>
    <w:rsid w:val="00FC2B14"/>
    <w:rsid w:val="00FC2B7C"/>
    <w:rsid w:val="00FC2FC7"/>
    <w:rsid w:val="00FC3D50"/>
    <w:rsid w:val="00FC3D98"/>
    <w:rsid w:val="00FC41DE"/>
    <w:rsid w:val="00FC4A64"/>
    <w:rsid w:val="00FC5602"/>
    <w:rsid w:val="00FC5785"/>
    <w:rsid w:val="00FC58BC"/>
    <w:rsid w:val="00FC5EBA"/>
    <w:rsid w:val="00FC5EDF"/>
    <w:rsid w:val="00FC659D"/>
    <w:rsid w:val="00FD003F"/>
    <w:rsid w:val="00FD00F2"/>
    <w:rsid w:val="00FD0421"/>
    <w:rsid w:val="00FD04C8"/>
    <w:rsid w:val="00FD0ED5"/>
    <w:rsid w:val="00FD243F"/>
    <w:rsid w:val="00FD2D6D"/>
    <w:rsid w:val="00FD2F01"/>
    <w:rsid w:val="00FD3360"/>
    <w:rsid w:val="00FD3430"/>
    <w:rsid w:val="00FD38F9"/>
    <w:rsid w:val="00FD4437"/>
    <w:rsid w:val="00FD4DB4"/>
    <w:rsid w:val="00FD61ED"/>
    <w:rsid w:val="00FD67E1"/>
    <w:rsid w:val="00FD693A"/>
    <w:rsid w:val="00FD6CCE"/>
    <w:rsid w:val="00FD71A7"/>
    <w:rsid w:val="00FD767A"/>
    <w:rsid w:val="00FD76A4"/>
    <w:rsid w:val="00FD79F6"/>
    <w:rsid w:val="00FD7F14"/>
    <w:rsid w:val="00FE0268"/>
    <w:rsid w:val="00FE0516"/>
    <w:rsid w:val="00FE09A6"/>
    <w:rsid w:val="00FE0AF2"/>
    <w:rsid w:val="00FE2E0B"/>
    <w:rsid w:val="00FE33AB"/>
    <w:rsid w:val="00FE376D"/>
    <w:rsid w:val="00FE3BCB"/>
    <w:rsid w:val="00FE3C49"/>
    <w:rsid w:val="00FE45C8"/>
    <w:rsid w:val="00FE48F3"/>
    <w:rsid w:val="00FE4A65"/>
    <w:rsid w:val="00FE4A6F"/>
    <w:rsid w:val="00FE5070"/>
    <w:rsid w:val="00FE514C"/>
    <w:rsid w:val="00FE59D7"/>
    <w:rsid w:val="00FE65D6"/>
    <w:rsid w:val="00FE689F"/>
    <w:rsid w:val="00FE6C53"/>
    <w:rsid w:val="00FE7220"/>
    <w:rsid w:val="00FE72C9"/>
    <w:rsid w:val="00FE7351"/>
    <w:rsid w:val="00FE7D77"/>
    <w:rsid w:val="00FF032D"/>
    <w:rsid w:val="00FF03C8"/>
    <w:rsid w:val="00FF04C5"/>
    <w:rsid w:val="00FF059D"/>
    <w:rsid w:val="00FF079B"/>
    <w:rsid w:val="00FF11C2"/>
    <w:rsid w:val="00FF1AD1"/>
    <w:rsid w:val="00FF1EBF"/>
    <w:rsid w:val="00FF2241"/>
    <w:rsid w:val="00FF25A8"/>
    <w:rsid w:val="00FF2D9E"/>
    <w:rsid w:val="00FF3406"/>
    <w:rsid w:val="00FF36B8"/>
    <w:rsid w:val="00FF3C13"/>
    <w:rsid w:val="00FF3C1A"/>
    <w:rsid w:val="00FF3F38"/>
    <w:rsid w:val="00FF42DF"/>
    <w:rsid w:val="00FF46FB"/>
    <w:rsid w:val="00FF4F11"/>
    <w:rsid w:val="00FF5029"/>
    <w:rsid w:val="00FF50F8"/>
    <w:rsid w:val="00FF56D7"/>
    <w:rsid w:val="00FF67F2"/>
    <w:rsid w:val="00FF6AF0"/>
    <w:rsid w:val="00FF6D25"/>
    <w:rsid w:val="00FF6DD3"/>
    <w:rsid w:val="00FF70E5"/>
    <w:rsid w:val="00FF7A26"/>
    <w:rsid w:val="00FF7C5B"/>
    <w:rsid w:val="0129A557"/>
    <w:rsid w:val="0135833A"/>
    <w:rsid w:val="0137AD92"/>
    <w:rsid w:val="01464C81"/>
    <w:rsid w:val="014B04A8"/>
    <w:rsid w:val="014CE1F3"/>
    <w:rsid w:val="017D231F"/>
    <w:rsid w:val="01A46CFB"/>
    <w:rsid w:val="01A7E9C6"/>
    <w:rsid w:val="01DC8BC0"/>
    <w:rsid w:val="01ED1DCE"/>
    <w:rsid w:val="01F3E916"/>
    <w:rsid w:val="01F520F2"/>
    <w:rsid w:val="01F81C7F"/>
    <w:rsid w:val="0203503D"/>
    <w:rsid w:val="0208A6C9"/>
    <w:rsid w:val="020BC396"/>
    <w:rsid w:val="0212601B"/>
    <w:rsid w:val="0218F67B"/>
    <w:rsid w:val="021F2256"/>
    <w:rsid w:val="021F896B"/>
    <w:rsid w:val="0220489F"/>
    <w:rsid w:val="0237CC9D"/>
    <w:rsid w:val="027CB039"/>
    <w:rsid w:val="0281B0B3"/>
    <w:rsid w:val="029F4E13"/>
    <w:rsid w:val="02BBFD9A"/>
    <w:rsid w:val="02BD79E5"/>
    <w:rsid w:val="02C06F90"/>
    <w:rsid w:val="02CC6502"/>
    <w:rsid w:val="030AAE6B"/>
    <w:rsid w:val="031D1817"/>
    <w:rsid w:val="03359521"/>
    <w:rsid w:val="033C569A"/>
    <w:rsid w:val="033E18C9"/>
    <w:rsid w:val="0344202B"/>
    <w:rsid w:val="035E685C"/>
    <w:rsid w:val="036A16A6"/>
    <w:rsid w:val="038E1595"/>
    <w:rsid w:val="038F6B1D"/>
    <w:rsid w:val="038FC4F0"/>
    <w:rsid w:val="0396C3C3"/>
    <w:rsid w:val="03ACFEEB"/>
    <w:rsid w:val="03B140DF"/>
    <w:rsid w:val="03BC0040"/>
    <w:rsid w:val="03BEC17A"/>
    <w:rsid w:val="040989EA"/>
    <w:rsid w:val="040E0B29"/>
    <w:rsid w:val="0413C48B"/>
    <w:rsid w:val="042579BD"/>
    <w:rsid w:val="042608D1"/>
    <w:rsid w:val="0433F022"/>
    <w:rsid w:val="043979D7"/>
    <w:rsid w:val="043B582D"/>
    <w:rsid w:val="04419935"/>
    <w:rsid w:val="04456E5B"/>
    <w:rsid w:val="044DDBC8"/>
    <w:rsid w:val="0461E2F0"/>
    <w:rsid w:val="0472D557"/>
    <w:rsid w:val="04755DF1"/>
    <w:rsid w:val="048D1772"/>
    <w:rsid w:val="049490EF"/>
    <w:rsid w:val="049C0A0F"/>
    <w:rsid w:val="04B397CF"/>
    <w:rsid w:val="04D6A78B"/>
    <w:rsid w:val="04DA0BAB"/>
    <w:rsid w:val="04E5D7FA"/>
    <w:rsid w:val="04EEB6F9"/>
    <w:rsid w:val="050A451E"/>
    <w:rsid w:val="05253767"/>
    <w:rsid w:val="0527400D"/>
    <w:rsid w:val="052A981B"/>
    <w:rsid w:val="052F1C2E"/>
    <w:rsid w:val="0530FFAA"/>
    <w:rsid w:val="0540A696"/>
    <w:rsid w:val="0564FFA4"/>
    <w:rsid w:val="056E2A99"/>
    <w:rsid w:val="057AF06E"/>
    <w:rsid w:val="057B2729"/>
    <w:rsid w:val="058AB943"/>
    <w:rsid w:val="05B3D9B8"/>
    <w:rsid w:val="05DEE2CD"/>
    <w:rsid w:val="05EF773A"/>
    <w:rsid w:val="06161E9F"/>
    <w:rsid w:val="06289373"/>
    <w:rsid w:val="065165A1"/>
    <w:rsid w:val="065DEAD7"/>
    <w:rsid w:val="0688CB69"/>
    <w:rsid w:val="068D957F"/>
    <w:rsid w:val="06D2FAC6"/>
    <w:rsid w:val="06E1F696"/>
    <w:rsid w:val="06F27792"/>
    <w:rsid w:val="070AFD93"/>
    <w:rsid w:val="070C5884"/>
    <w:rsid w:val="0718AA92"/>
    <w:rsid w:val="07224FE4"/>
    <w:rsid w:val="07255B1E"/>
    <w:rsid w:val="072BA414"/>
    <w:rsid w:val="0731FC8A"/>
    <w:rsid w:val="07370092"/>
    <w:rsid w:val="073C23A3"/>
    <w:rsid w:val="073EC273"/>
    <w:rsid w:val="0749C98F"/>
    <w:rsid w:val="0756CAEF"/>
    <w:rsid w:val="077AB077"/>
    <w:rsid w:val="07871AE7"/>
    <w:rsid w:val="079F09B6"/>
    <w:rsid w:val="07A518E5"/>
    <w:rsid w:val="07B7AFFB"/>
    <w:rsid w:val="07DF0C64"/>
    <w:rsid w:val="07F39819"/>
    <w:rsid w:val="07F5CB59"/>
    <w:rsid w:val="07F71D47"/>
    <w:rsid w:val="07FB6C1E"/>
    <w:rsid w:val="07FC4D91"/>
    <w:rsid w:val="07FFE222"/>
    <w:rsid w:val="0806F9E6"/>
    <w:rsid w:val="080B87EA"/>
    <w:rsid w:val="082777EC"/>
    <w:rsid w:val="083490A9"/>
    <w:rsid w:val="08355395"/>
    <w:rsid w:val="08441F94"/>
    <w:rsid w:val="08518BCA"/>
    <w:rsid w:val="0855D4D8"/>
    <w:rsid w:val="086070DC"/>
    <w:rsid w:val="0878FC6A"/>
    <w:rsid w:val="087B6FD2"/>
    <w:rsid w:val="087DBF38"/>
    <w:rsid w:val="088B0F36"/>
    <w:rsid w:val="0897F65B"/>
    <w:rsid w:val="089AC9F6"/>
    <w:rsid w:val="08AD176A"/>
    <w:rsid w:val="08B5A51A"/>
    <w:rsid w:val="08BA6E2C"/>
    <w:rsid w:val="08D40310"/>
    <w:rsid w:val="09179630"/>
    <w:rsid w:val="0921F1B6"/>
    <w:rsid w:val="0930E9D3"/>
    <w:rsid w:val="095B7A61"/>
    <w:rsid w:val="096B2772"/>
    <w:rsid w:val="09BDB915"/>
    <w:rsid w:val="09EC9C66"/>
    <w:rsid w:val="09F0C88D"/>
    <w:rsid w:val="0A0B4306"/>
    <w:rsid w:val="0A0D63C1"/>
    <w:rsid w:val="0A2EABFF"/>
    <w:rsid w:val="0A33C636"/>
    <w:rsid w:val="0A427CAD"/>
    <w:rsid w:val="0A50A1A4"/>
    <w:rsid w:val="0A56058F"/>
    <w:rsid w:val="0A5F6B69"/>
    <w:rsid w:val="0A6422E9"/>
    <w:rsid w:val="0A90E422"/>
    <w:rsid w:val="0A9A58CB"/>
    <w:rsid w:val="0AA8AB26"/>
    <w:rsid w:val="0AC86F6D"/>
    <w:rsid w:val="0ADE2881"/>
    <w:rsid w:val="0AEAA38C"/>
    <w:rsid w:val="0AF0E629"/>
    <w:rsid w:val="0AF644B6"/>
    <w:rsid w:val="0B005F1E"/>
    <w:rsid w:val="0B0E150E"/>
    <w:rsid w:val="0B222499"/>
    <w:rsid w:val="0B2D3916"/>
    <w:rsid w:val="0B2EEFC8"/>
    <w:rsid w:val="0B318E56"/>
    <w:rsid w:val="0B379086"/>
    <w:rsid w:val="0B458BA1"/>
    <w:rsid w:val="0B5DED75"/>
    <w:rsid w:val="0B88B14B"/>
    <w:rsid w:val="0B947B47"/>
    <w:rsid w:val="0B989583"/>
    <w:rsid w:val="0BAAD7B2"/>
    <w:rsid w:val="0BB048CB"/>
    <w:rsid w:val="0BBDE624"/>
    <w:rsid w:val="0BC77C54"/>
    <w:rsid w:val="0BD83DBB"/>
    <w:rsid w:val="0BDD0BDE"/>
    <w:rsid w:val="0BEA41A3"/>
    <w:rsid w:val="0C0601DB"/>
    <w:rsid w:val="0C0CE912"/>
    <w:rsid w:val="0C11508D"/>
    <w:rsid w:val="0C1BB74B"/>
    <w:rsid w:val="0C1CE443"/>
    <w:rsid w:val="0C288C01"/>
    <w:rsid w:val="0C36A510"/>
    <w:rsid w:val="0C3A85F4"/>
    <w:rsid w:val="0C3B035F"/>
    <w:rsid w:val="0C3CB2DE"/>
    <w:rsid w:val="0C4ABF8F"/>
    <w:rsid w:val="0C571145"/>
    <w:rsid w:val="0C658234"/>
    <w:rsid w:val="0C6D5CEF"/>
    <w:rsid w:val="0C9B0FE5"/>
    <w:rsid w:val="0CA1F55C"/>
    <w:rsid w:val="0CBD7B27"/>
    <w:rsid w:val="0CD4E89D"/>
    <w:rsid w:val="0CEAA1F6"/>
    <w:rsid w:val="0CEDDB08"/>
    <w:rsid w:val="0CFD71F6"/>
    <w:rsid w:val="0D06F31E"/>
    <w:rsid w:val="0D26376F"/>
    <w:rsid w:val="0D380262"/>
    <w:rsid w:val="0D4129D9"/>
    <w:rsid w:val="0D56BE2D"/>
    <w:rsid w:val="0D5C52A4"/>
    <w:rsid w:val="0D6C927D"/>
    <w:rsid w:val="0DACEC9D"/>
    <w:rsid w:val="0DBA28E5"/>
    <w:rsid w:val="0DD1165C"/>
    <w:rsid w:val="0DD63422"/>
    <w:rsid w:val="0DDDE02A"/>
    <w:rsid w:val="0DE439F5"/>
    <w:rsid w:val="0DF365BB"/>
    <w:rsid w:val="0DFF10CF"/>
    <w:rsid w:val="0E098559"/>
    <w:rsid w:val="0E1072E5"/>
    <w:rsid w:val="0E3EB720"/>
    <w:rsid w:val="0E3F816C"/>
    <w:rsid w:val="0E41F53C"/>
    <w:rsid w:val="0E443E68"/>
    <w:rsid w:val="0E591402"/>
    <w:rsid w:val="0E69A428"/>
    <w:rsid w:val="0E9BAC69"/>
    <w:rsid w:val="0EB38628"/>
    <w:rsid w:val="0ED22D59"/>
    <w:rsid w:val="0ED3521D"/>
    <w:rsid w:val="0EDC56EB"/>
    <w:rsid w:val="0EE40A8A"/>
    <w:rsid w:val="0F062BC3"/>
    <w:rsid w:val="0F151B7F"/>
    <w:rsid w:val="0F2A9F81"/>
    <w:rsid w:val="0F39051B"/>
    <w:rsid w:val="0F3FD972"/>
    <w:rsid w:val="0F5FD92C"/>
    <w:rsid w:val="0F7CF461"/>
    <w:rsid w:val="0F9BE4E7"/>
    <w:rsid w:val="0FBAD898"/>
    <w:rsid w:val="0FD2F576"/>
    <w:rsid w:val="0FF14EF7"/>
    <w:rsid w:val="0FF54A6D"/>
    <w:rsid w:val="101F4000"/>
    <w:rsid w:val="10267A14"/>
    <w:rsid w:val="102887A3"/>
    <w:rsid w:val="10592598"/>
    <w:rsid w:val="109E5A57"/>
    <w:rsid w:val="10A5E5BA"/>
    <w:rsid w:val="10A7E4BF"/>
    <w:rsid w:val="10AB9097"/>
    <w:rsid w:val="10C3CF53"/>
    <w:rsid w:val="10CA5500"/>
    <w:rsid w:val="10CA9499"/>
    <w:rsid w:val="1124FE41"/>
    <w:rsid w:val="11336CD8"/>
    <w:rsid w:val="1135525F"/>
    <w:rsid w:val="113AA104"/>
    <w:rsid w:val="114FD8CB"/>
    <w:rsid w:val="11624EC8"/>
    <w:rsid w:val="1187A223"/>
    <w:rsid w:val="118E2072"/>
    <w:rsid w:val="11A44BD7"/>
    <w:rsid w:val="11AAAB29"/>
    <w:rsid w:val="11CC76D7"/>
    <w:rsid w:val="11CD3ED1"/>
    <w:rsid w:val="11D54F3C"/>
    <w:rsid w:val="11FC548A"/>
    <w:rsid w:val="12012D91"/>
    <w:rsid w:val="1212A356"/>
    <w:rsid w:val="121C51DE"/>
    <w:rsid w:val="124470E1"/>
    <w:rsid w:val="127E377D"/>
    <w:rsid w:val="12BEEE3C"/>
    <w:rsid w:val="131E2CA9"/>
    <w:rsid w:val="13217EC3"/>
    <w:rsid w:val="133E7E20"/>
    <w:rsid w:val="1342C09A"/>
    <w:rsid w:val="1364F0FE"/>
    <w:rsid w:val="1366F12B"/>
    <w:rsid w:val="1370F67C"/>
    <w:rsid w:val="13736C19"/>
    <w:rsid w:val="13851665"/>
    <w:rsid w:val="138DD25E"/>
    <w:rsid w:val="13901C4F"/>
    <w:rsid w:val="139EC88A"/>
    <w:rsid w:val="13A13880"/>
    <w:rsid w:val="13ACFBAA"/>
    <w:rsid w:val="13BA1E04"/>
    <w:rsid w:val="13BB1AB6"/>
    <w:rsid w:val="13C71611"/>
    <w:rsid w:val="13D79412"/>
    <w:rsid w:val="141D932F"/>
    <w:rsid w:val="14356966"/>
    <w:rsid w:val="143B15B0"/>
    <w:rsid w:val="143BBF79"/>
    <w:rsid w:val="143F669E"/>
    <w:rsid w:val="144B3802"/>
    <w:rsid w:val="1452937B"/>
    <w:rsid w:val="146306D8"/>
    <w:rsid w:val="14643C17"/>
    <w:rsid w:val="1469E0BA"/>
    <w:rsid w:val="1482301E"/>
    <w:rsid w:val="14A79E7E"/>
    <w:rsid w:val="14BBE08E"/>
    <w:rsid w:val="14C48B89"/>
    <w:rsid w:val="14E14C45"/>
    <w:rsid w:val="14F44483"/>
    <w:rsid w:val="1506FF4F"/>
    <w:rsid w:val="150B0049"/>
    <w:rsid w:val="151D0C64"/>
    <w:rsid w:val="1525CA5E"/>
    <w:rsid w:val="152910E7"/>
    <w:rsid w:val="154DF907"/>
    <w:rsid w:val="15603040"/>
    <w:rsid w:val="157E55EC"/>
    <w:rsid w:val="1593D68C"/>
    <w:rsid w:val="159E39EB"/>
    <w:rsid w:val="15AC51A2"/>
    <w:rsid w:val="15ACBEFC"/>
    <w:rsid w:val="15B6DD06"/>
    <w:rsid w:val="16574714"/>
    <w:rsid w:val="16635ADF"/>
    <w:rsid w:val="16684920"/>
    <w:rsid w:val="166B1D55"/>
    <w:rsid w:val="1670F5E6"/>
    <w:rsid w:val="1673A5B9"/>
    <w:rsid w:val="16771FDE"/>
    <w:rsid w:val="1678BB41"/>
    <w:rsid w:val="16918931"/>
    <w:rsid w:val="1695FCF1"/>
    <w:rsid w:val="16CEB2D4"/>
    <w:rsid w:val="16FF1294"/>
    <w:rsid w:val="17034FA6"/>
    <w:rsid w:val="1712D3C9"/>
    <w:rsid w:val="17194118"/>
    <w:rsid w:val="171C0C32"/>
    <w:rsid w:val="171E9928"/>
    <w:rsid w:val="171F856E"/>
    <w:rsid w:val="172D43D1"/>
    <w:rsid w:val="172EAE3D"/>
    <w:rsid w:val="1744822D"/>
    <w:rsid w:val="174A4EEF"/>
    <w:rsid w:val="1756BD8A"/>
    <w:rsid w:val="17587D99"/>
    <w:rsid w:val="175E773E"/>
    <w:rsid w:val="17782C51"/>
    <w:rsid w:val="17794624"/>
    <w:rsid w:val="1788D054"/>
    <w:rsid w:val="178BDC84"/>
    <w:rsid w:val="17A1C922"/>
    <w:rsid w:val="17B89D65"/>
    <w:rsid w:val="17C12D40"/>
    <w:rsid w:val="17DF2107"/>
    <w:rsid w:val="17F5D58C"/>
    <w:rsid w:val="17F8E6E3"/>
    <w:rsid w:val="180FEF60"/>
    <w:rsid w:val="1824D905"/>
    <w:rsid w:val="1825A2F2"/>
    <w:rsid w:val="182EDB61"/>
    <w:rsid w:val="183068FF"/>
    <w:rsid w:val="183AD4F2"/>
    <w:rsid w:val="183F8FA0"/>
    <w:rsid w:val="1841679C"/>
    <w:rsid w:val="18480576"/>
    <w:rsid w:val="184EE1CD"/>
    <w:rsid w:val="18565E19"/>
    <w:rsid w:val="1865E9A4"/>
    <w:rsid w:val="186D1A9A"/>
    <w:rsid w:val="186D9D5E"/>
    <w:rsid w:val="187436EE"/>
    <w:rsid w:val="187C01DD"/>
    <w:rsid w:val="18B3AAC6"/>
    <w:rsid w:val="18C5BBB8"/>
    <w:rsid w:val="18CE6E5D"/>
    <w:rsid w:val="18CFDA80"/>
    <w:rsid w:val="18DA8B7D"/>
    <w:rsid w:val="18E1B7DF"/>
    <w:rsid w:val="18E946D2"/>
    <w:rsid w:val="18FC2341"/>
    <w:rsid w:val="19161AC8"/>
    <w:rsid w:val="1916793D"/>
    <w:rsid w:val="1926F50F"/>
    <w:rsid w:val="1965C4CB"/>
    <w:rsid w:val="1967C299"/>
    <w:rsid w:val="196F7618"/>
    <w:rsid w:val="19784BAC"/>
    <w:rsid w:val="1978FE2A"/>
    <w:rsid w:val="197F0635"/>
    <w:rsid w:val="19D3688D"/>
    <w:rsid w:val="19FDB8E6"/>
    <w:rsid w:val="1A2CAB8A"/>
    <w:rsid w:val="1A32BF9C"/>
    <w:rsid w:val="1A34546F"/>
    <w:rsid w:val="1A6AD1B9"/>
    <w:rsid w:val="1A8572D0"/>
    <w:rsid w:val="1A8E728A"/>
    <w:rsid w:val="1A8FE0DF"/>
    <w:rsid w:val="1A97E35C"/>
    <w:rsid w:val="1AADAFA0"/>
    <w:rsid w:val="1AE126EE"/>
    <w:rsid w:val="1AF63606"/>
    <w:rsid w:val="1B02DE36"/>
    <w:rsid w:val="1B135EB5"/>
    <w:rsid w:val="1B155A25"/>
    <w:rsid w:val="1B1C63D0"/>
    <w:rsid w:val="1B1ECE98"/>
    <w:rsid w:val="1B35D9E6"/>
    <w:rsid w:val="1B6BEA41"/>
    <w:rsid w:val="1B732CE3"/>
    <w:rsid w:val="1B79F984"/>
    <w:rsid w:val="1B8053FB"/>
    <w:rsid w:val="1B8F59C2"/>
    <w:rsid w:val="1B9E8E75"/>
    <w:rsid w:val="1BB8283D"/>
    <w:rsid w:val="1BD5E7A4"/>
    <w:rsid w:val="1BD79D93"/>
    <w:rsid w:val="1BD7E95E"/>
    <w:rsid w:val="1BE90DE2"/>
    <w:rsid w:val="1BEC82A8"/>
    <w:rsid w:val="1BFDC278"/>
    <w:rsid w:val="1C088A25"/>
    <w:rsid w:val="1C0A1F2F"/>
    <w:rsid w:val="1C113E91"/>
    <w:rsid w:val="1C1846E2"/>
    <w:rsid w:val="1C196B18"/>
    <w:rsid w:val="1C256DAB"/>
    <w:rsid w:val="1C2CF10F"/>
    <w:rsid w:val="1C36D01D"/>
    <w:rsid w:val="1C4F7529"/>
    <w:rsid w:val="1C6BE209"/>
    <w:rsid w:val="1C7F8DED"/>
    <w:rsid w:val="1C88B083"/>
    <w:rsid w:val="1C943DDE"/>
    <w:rsid w:val="1C994559"/>
    <w:rsid w:val="1CAFA84C"/>
    <w:rsid w:val="1CCC6E52"/>
    <w:rsid w:val="1CD41364"/>
    <w:rsid w:val="1CDC9053"/>
    <w:rsid w:val="1CEC1F57"/>
    <w:rsid w:val="1CFAD359"/>
    <w:rsid w:val="1D098D92"/>
    <w:rsid w:val="1D14E94E"/>
    <w:rsid w:val="1D174493"/>
    <w:rsid w:val="1D3D6221"/>
    <w:rsid w:val="1D52A42F"/>
    <w:rsid w:val="1D5F9C02"/>
    <w:rsid w:val="1D65E5DF"/>
    <w:rsid w:val="1D6D0CEB"/>
    <w:rsid w:val="1D8C02FD"/>
    <w:rsid w:val="1DC466EC"/>
    <w:rsid w:val="1DDBA56E"/>
    <w:rsid w:val="1E1AD47C"/>
    <w:rsid w:val="1E1AE299"/>
    <w:rsid w:val="1E1EC822"/>
    <w:rsid w:val="1E23FB71"/>
    <w:rsid w:val="1E23FF2E"/>
    <w:rsid w:val="1E26707C"/>
    <w:rsid w:val="1E35123B"/>
    <w:rsid w:val="1E363DD7"/>
    <w:rsid w:val="1E483CC8"/>
    <w:rsid w:val="1E54DB56"/>
    <w:rsid w:val="1E6DD100"/>
    <w:rsid w:val="1EC8B5D4"/>
    <w:rsid w:val="1ED616E8"/>
    <w:rsid w:val="1F00E86A"/>
    <w:rsid w:val="1F069520"/>
    <w:rsid w:val="1F568E3A"/>
    <w:rsid w:val="1F5EF0D5"/>
    <w:rsid w:val="1F61EF98"/>
    <w:rsid w:val="1F7F8673"/>
    <w:rsid w:val="1FA71111"/>
    <w:rsid w:val="1FA8442D"/>
    <w:rsid w:val="1FC507B3"/>
    <w:rsid w:val="1FC880A7"/>
    <w:rsid w:val="1FDB7C5F"/>
    <w:rsid w:val="1FE18AEE"/>
    <w:rsid w:val="1FF01148"/>
    <w:rsid w:val="1FF73EDE"/>
    <w:rsid w:val="1FF8BE59"/>
    <w:rsid w:val="1FFB4A6C"/>
    <w:rsid w:val="1FFC573C"/>
    <w:rsid w:val="20089BEE"/>
    <w:rsid w:val="20177096"/>
    <w:rsid w:val="202CF9E5"/>
    <w:rsid w:val="20357A0A"/>
    <w:rsid w:val="203AB394"/>
    <w:rsid w:val="2052DA93"/>
    <w:rsid w:val="2060138B"/>
    <w:rsid w:val="207B3E19"/>
    <w:rsid w:val="208BFAA0"/>
    <w:rsid w:val="20DCFA36"/>
    <w:rsid w:val="20EF21C1"/>
    <w:rsid w:val="20F649FD"/>
    <w:rsid w:val="21009ED0"/>
    <w:rsid w:val="210624E9"/>
    <w:rsid w:val="2118AE91"/>
    <w:rsid w:val="2133F407"/>
    <w:rsid w:val="214EEFCA"/>
    <w:rsid w:val="2154A346"/>
    <w:rsid w:val="215640C4"/>
    <w:rsid w:val="215657ED"/>
    <w:rsid w:val="21597838"/>
    <w:rsid w:val="2161D65C"/>
    <w:rsid w:val="216C794F"/>
    <w:rsid w:val="217C716D"/>
    <w:rsid w:val="21823E0C"/>
    <w:rsid w:val="21AA0C86"/>
    <w:rsid w:val="21C90313"/>
    <w:rsid w:val="21D87859"/>
    <w:rsid w:val="21E2FBF5"/>
    <w:rsid w:val="21F94169"/>
    <w:rsid w:val="220D13F3"/>
    <w:rsid w:val="2210B470"/>
    <w:rsid w:val="2225592B"/>
    <w:rsid w:val="222AA09B"/>
    <w:rsid w:val="223B3E40"/>
    <w:rsid w:val="2262C3B6"/>
    <w:rsid w:val="22B19C48"/>
    <w:rsid w:val="22D6D031"/>
    <w:rsid w:val="22E8C1E4"/>
    <w:rsid w:val="22FE3FE4"/>
    <w:rsid w:val="2318B2E5"/>
    <w:rsid w:val="231F17B5"/>
    <w:rsid w:val="232EAC24"/>
    <w:rsid w:val="233B7A82"/>
    <w:rsid w:val="23402500"/>
    <w:rsid w:val="2352ACA8"/>
    <w:rsid w:val="2358E66A"/>
    <w:rsid w:val="235C072F"/>
    <w:rsid w:val="23755764"/>
    <w:rsid w:val="237B6D22"/>
    <w:rsid w:val="23817556"/>
    <w:rsid w:val="23E372EC"/>
    <w:rsid w:val="23E3CE2A"/>
    <w:rsid w:val="23E70530"/>
    <w:rsid w:val="23EA4BFB"/>
    <w:rsid w:val="23F00759"/>
    <w:rsid w:val="23F3BEDB"/>
    <w:rsid w:val="24066236"/>
    <w:rsid w:val="24174495"/>
    <w:rsid w:val="24174E40"/>
    <w:rsid w:val="24517766"/>
    <w:rsid w:val="2459D0B6"/>
    <w:rsid w:val="2463B553"/>
    <w:rsid w:val="2466DABA"/>
    <w:rsid w:val="24680AF2"/>
    <w:rsid w:val="246AB993"/>
    <w:rsid w:val="2476B663"/>
    <w:rsid w:val="247B00DA"/>
    <w:rsid w:val="248D4D30"/>
    <w:rsid w:val="2491F81A"/>
    <w:rsid w:val="24A5FBDE"/>
    <w:rsid w:val="24A9261F"/>
    <w:rsid w:val="24B972F7"/>
    <w:rsid w:val="24C9850D"/>
    <w:rsid w:val="24D93E8A"/>
    <w:rsid w:val="24E00D64"/>
    <w:rsid w:val="25059D65"/>
    <w:rsid w:val="250BDAF6"/>
    <w:rsid w:val="2511498C"/>
    <w:rsid w:val="251BA8CD"/>
    <w:rsid w:val="251F3AB6"/>
    <w:rsid w:val="25240C41"/>
    <w:rsid w:val="253016BD"/>
    <w:rsid w:val="2548513A"/>
    <w:rsid w:val="255C86D6"/>
    <w:rsid w:val="256F546B"/>
    <w:rsid w:val="2573593B"/>
    <w:rsid w:val="25998B2F"/>
    <w:rsid w:val="25AE60F3"/>
    <w:rsid w:val="25B8C33A"/>
    <w:rsid w:val="25B99E98"/>
    <w:rsid w:val="25BA6C99"/>
    <w:rsid w:val="25F34CF5"/>
    <w:rsid w:val="260732DA"/>
    <w:rsid w:val="261466F8"/>
    <w:rsid w:val="26182316"/>
    <w:rsid w:val="262599A4"/>
    <w:rsid w:val="2647857F"/>
    <w:rsid w:val="264A7692"/>
    <w:rsid w:val="266CFF96"/>
    <w:rsid w:val="267C6295"/>
    <w:rsid w:val="269FE4A0"/>
    <w:rsid w:val="26A13771"/>
    <w:rsid w:val="26C8A497"/>
    <w:rsid w:val="26F652F7"/>
    <w:rsid w:val="26FD21C0"/>
    <w:rsid w:val="27006C72"/>
    <w:rsid w:val="270DA803"/>
    <w:rsid w:val="27150144"/>
    <w:rsid w:val="2715831A"/>
    <w:rsid w:val="2716D94B"/>
    <w:rsid w:val="273964A0"/>
    <w:rsid w:val="273BD91A"/>
    <w:rsid w:val="273EA5DC"/>
    <w:rsid w:val="274DCC3A"/>
    <w:rsid w:val="2750B470"/>
    <w:rsid w:val="27597B4C"/>
    <w:rsid w:val="276B7505"/>
    <w:rsid w:val="27A5099A"/>
    <w:rsid w:val="27A88B51"/>
    <w:rsid w:val="27C2C1FD"/>
    <w:rsid w:val="27C8AF77"/>
    <w:rsid w:val="27CF300D"/>
    <w:rsid w:val="27D7D8C6"/>
    <w:rsid w:val="27F30834"/>
    <w:rsid w:val="27F431C1"/>
    <w:rsid w:val="282268A8"/>
    <w:rsid w:val="282DDD9E"/>
    <w:rsid w:val="283F871F"/>
    <w:rsid w:val="2871C050"/>
    <w:rsid w:val="28825C67"/>
    <w:rsid w:val="2892E8D5"/>
    <w:rsid w:val="289A51D7"/>
    <w:rsid w:val="28C61921"/>
    <w:rsid w:val="28CA679E"/>
    <w:rsid w:val="28D19458"/>
    <w:rsid w:val="28D314E9"/>
    <w:rsid w:val="28D649BA"/>
    <w:rsid w:val="28EF62F4"/>
    <w:rsid w:val="28F201CC"/>
    <w:rsid w:val="290D8EC9"/>
    <w:rsid w:val="29193ABB"/>
    <w:rsid w:val="291C2238"/>
    <w:rsid w:val="2924E38F"/>
    <w:rsid w:val="2927B974"/>
    <w:rsid w:val="2931AF3B"/>
    <w:rsid w:val="2935B877"/>
    <w:rsid w:val="2952B11C"/>
    <w:rsid w:val="29729CC9"/>
    <w:rsid w:val="297A2D34"/>
    <w:rsid w:val="2985BADE"/>
    <w:rsid w:val="29AC951E"/>
    <w:rsid w:val="29C2EF7C"/>
    <w:rsid w:val="29CE031D"/>
    <w:rsid w:val="29E6E12B"/>
    <w:rsid w:val="2A0B9079"/>
    <w:rsid w:val="2A0CFE9D"/>
    <w:rsid w:val="2A12963C"/>
    <w:rsid w:val="2A19DD85"/>
    <w:rsid w:val="2A2C6D53"/>
    <w:rsid w:val="2A43CD68"/>
    <w:rsid w:val="2A5B2A8E"/>
    <w:rsid w:val="2A64C51E"/>
    <w:rsid w:val="2A6F7D47"/>
    <w:rsid w:val="2A9469EC"/>
    <w:rsid w:val="2A9D87DA"/>
    <w:rsid w:val="2A9DAF6D"/>
    <w:rsid w:val="2AA872BE"/>
    <w:rsid w:val="2AA904D8"/>
    <w:rsid w:val="2AB2774B"/>
    <w:rsid w:val="2AE12A84"/>
    <w:rsid w:val="2B28D6B1"/>
    <w:rsid w:val="2B2FC3A0"/>
    <w:rsid w:val="2B301388"/>
    <w:rsid w:val="2B34A548"/>
    <w:rsid w:val="2B585315"/>
    <w:rsid w:val="2B6AA3E9"/>
    <w:rsid w:val="2BB07241"/>
    <w:rsid w:val="2BBA0212"/>
    <w:rsid w:val="2BC4F8A1"/>
    <w:rsid w:val="2BCB5C71"/>
    <w:rsid w:val="2C041061"/>
    <w:rsid w:val="2C09DB61"/>
    <w:rsid w:val="2C24D8D2"/>
    <w:rsid w:val="2C49290C"/>
    <w:rsid w:val="2C4F5F75"/>
    <w:rsid w:val="2C50EB94"/>
    <w:rsid w:val="2C57B515"/>
    <w:rsid w:val="2C6D36CC"/>
    <w:rsid w:val="2C6E85C6"/>
    <w:rsid w:val="2C71D629"/>
    <w:rsid w:val="2C94C293"/>
    <w:rsid w:val="2CBFABAC"/>
    <w:rsid w:val="2CCF0472"/>
    <w:rsid w:val="2CD1C560"/>
    <w:rsid w:val="2CF3D8A0"/>
    <w:rsid w:val="2CFABF24"/>
    <w:rsid w:val="2D0EE6FF"/>
    <w:rsid w:val="2D18121D"/>
    <w:rsid w:val="2D1CB5B7"/>
    <w:rsid w:val="2D3EA540"/>
    <w:rsid w:val="2D59FF34"/>
    <w:rsid w:val="2D631245"/>
    <w:rsid w:val="2D6AC008"/>
    <w:rsid w:val="2D6E21BB"/>
    <w:rsid w:val="2D7033EC"/>
    <w:rsid w:val="2DD3883E"/>
    <w:rsid w:val="2DD61E7A"/>
    <w:rsid w:val="2DD77E66"/>
    <w:rsid w:val="2E2E78DB"/>
    <w:rsid w:val="2E3D38F7"/>
    <w:rsid w:val="2E417CBA"/>
    <w:rsid w:val="2E47E372"/>
    <w:rsid w:val="2E488D1C"/>
    <w:rsid w:val="2E4EBD6E"/>
    <w:rsid w:val="2E575BAD"/>
    <w:rsid w:val="2E7A20C5"/>
    <w:rsid w:val="2E7EB61C"/>
    <w:rsid w:val="2E8226F8"/>
    <w:rsid w:val="2E9E53F5"/>
    <w:rsid w:val="2EC8D65A"/>
    <w:rsid w:val="2ED29AA9"/>
    <w:rsid w:val="2EEAC566"/>
    <w:rsid w:val="2EF46947"/>
    <w:rsid w:val="2EF71074"/>
    <w:rsid w:val="2EFD8219"/>
    <w:rsid w:val="2F14C458"/>
    <w:rsid w:val="2F2DD08C"/>
    <w:rsid w:val="2F98C60E"/>
    <w:rsid w:val="2FA6C523"/>
    <w:rsid w:val="2FB4E510"/>
    <w:rsid w:val="2FB96F24"/>
    <w:rsid w:val="2FCD285D"/>
    <w:rsid w:val="2FFF8EDF"/>
    <w:rsid w:val="3018E4D5"/>
    <w:rsid w:val="302D9526"/>
    <w:rsid w:val="3031B78C"/>
    <w:rsid w:val="303F658C"/>
    <w:rsid w:val="30401258"/>
    <w:rsid w:val="30482CF5"/>
    <w:rsid w:val="306584D4"/>
    <w:rsid w:val="306A1D1B"/>
    <w:rsid w:val="3098AC43"/>
    <w:rsid w:val="30A1E188"/>
    <w:rsid w:val="30A36FF3"/>
    <w:rsid w:val="30C52931"/>
    <w:rsid w:val="30C5E735"/>
    <w:rsid w:val="30CCBA9C"/>
    <w:rsid w:val="30FE7280"/>
    <w:rsid w:val="3110D042"/>
    <w:rsid w:val="312B50C3"/>
    <w:rsid w:val="313D655A"/>
    <w:rsid w:val="31496ECA"/>
    <w:rsid w:val="3149D60B"/>
    <w:rsid w:val="314B755D"/>
    <w:rsid w:val="3159D57B"/>
    <w:rsid w:val="316CF684"/>
    <w:rsid w:val="317010AA"/>
    <w:rsid w:val="31760C26"/>
    <w:rsid w:val="319CD789"/>
    <w:rsid w:val="31A998A4"/>
    <w:rsid w:val="31B6A03E"/>
    <w:rsid w:val="31C9124D"/>
    <w:rsid w:val="31D69050"/>
    <w:rsid w:val="31E4D7BD"/>
    <w:rsid w:val="31F7CD6B"/>
    <w:rsid w:val="3204D958"/>
    <w:rsid w:val="32066573"/>
    <w:rsid w:val="320BEAAB"/>
    <w:rsid w:val="3217095C"/>
    <w:rsid w:val="3229B089"/>
    <w:rsid w:val="323A6D7F"/>
    <w:rsid w:val="324F936D"/>
    <w:rsid w:val="32673436"/>
    <w:rsid w:val="32702D0A"/>
    <w:rsid w:val="32714C4F"/>
    <w:rsid w:val="32728A5F"/>
    <w:rsid w:val="3299501C"/>
    <w:rsid w:val="32D04945"/>
    <w:rsid w:val="32D8D68E"/>
    <w:rsid w:val="32DF4F83"/>
    <w:rsid w:val="3300FE07"/>
    <w:rsid w:val="3323544D"/>
    <w:rsid w:val="33293B84"/>
    <w:rsid w:val="332A65A1"/>
    <w:rsid w:val="332D7B7C"/>
    <w:rsid w:val="33423D80"/>
    <w:rsid w:val="334A4CE9"/>
    <w:rsid w:val="3359726C"/>
    <w:rsid w:val="336DEB26"/>
    <w:rsid w:val="3371FA16"/>
    <w:rsid w:val="337AEF05"/>
    <w:rsid w:val="33824BAA"/>
    <w:rsid w:val="33B66C6E"/>
    <w:rsid w:val="33C3BB78"/>
    <w:rsid w:val="33E3AB4E"/>
    <w:rsid w:val="3407EAF2"/>
    <w:rsid w:val="3409838C"/>
    <w:rsid w:val="340BC347"/>
    <w:rsid w:val="344780FE"/>
    <w:rsid w:val="348A30DE"/>
    <w:rsid w:val="34BD100E"/>
    <w:rsid w:val="34C14DC2"/>
    <w:rsid w:val="34CA8144"/>
    <w:rsid w:val="34CE18D6"/>
    <w:rsid w:val="3537A4D4"/>
    <w:rsid w:val="3540A952"/>
    <w:rsid w:val="3542703F"/>
    <w:rsid w:val="354AC325"/>
    <w:rsid w:val="354E3987"/>
    <w:rsid w:val="355DE060"/>
    <w:rsid w:val="35613777"/>
    <w:rsid w:val="356598AB"/>
    <w:rsid w:val="356D460D"/>
    <w:rsid w:val="356EF641"/>
    <w:rsid w:val="358A0B13"/>
    <w:rsid w:val="358C6D5F"/>
    <w:rsid w:val="3595BDC7"/>
    <w:rsid w:val="35AB7707"/>
    <w:rsid w:val="35B22F5F"/>
    <w:rsid w:val="35C1DF9C"/>
    <w:rsid w:val="35D41A1B"/>
    <w:rsid w:val="35EA088A"/>
    <w:rsid w:val="35FE8455"/>
    <w:rsid w:val="360513AB"/>
    <w:rsid w:val="36099CB5"/>
    <w:rsid w:val="361A938E"/>
    <w:rsid w:val="361D7DAB"/>
    <w:rsid w:val="364939BC"/>
    <w:rsid w:val="364FE05D"/>
    <w:rsid w:val="36657311"/>
    <w:rsid w:val="368DAC03"/>
    <w:rsid w:val="369EC9CA"/>
    <w:rsid w:val="36A9BE08"/>
    <w:rsid w:val="36BA8DC4"/>
    <w:rsid w:val="36C1F4CF"/>
    <w:rsid w:val="36E463A9"/>
    <w:rsid w:val="370A0FC3"/>
    <w:rsid w:val="370E7161"/>
    <w:rsid w:val="3716C399"/>
    <w:rsid w:val="37177E8F"/>
    <w:rsid w:val="371CADA7"/>
    <w:rsid w:val="373264E3"/>
    <w:rsid w:val="3732B47A"/>
    <w:rsid w:val="37371A47"/>
    <w:rsid w:val="37578AC3"/>
    <w:rsid w:val="3768E15A"/>
    <w:rsid w:val="37740A9B"/>
    <w:rsid w:val="377875DD"/>
    <w:rsid w:val="377CD54E"/>
    <w:rsid w:val="37877D72"/>
    <w:rsid w:val="37905754"/>
    <w:rsid w:val="37991FA1"/>
    <w:rsid w:val="37A05709"/>
    <w:rsid w:val="37A30D27"/>
    <w:rsid w:val="37AB708C"/>
    <w:rsid w:val="37DEF0F3"/>
    <w:rsid w:val="37EF1D5E"/>
    <w:rsid w:val="37EF9A1A"/>
    <w:rsid w:val="3804F07C"/>
    <w:rsid w:val="380627A7"/>
    <w:rsid w:val="3817863E"/>
    <w:rsid w:val="381ACE15"/>
    <w:rsid w:val="3836D475"/>
    <w:rsid w:val="3837C4CD"/>
    <w:rsid w:val="3864EEF5"/>
    <w:rsid w:val="38671351"/>
    <w:rsid w:val="3869011D"/>
    <w:rsid w:val="3881F4D2"/>
    <w:rsid w:val="388DA972"/>
    <w:rsid w:val="389293F7"/>
    <w:rsid w:val="38984D1E"/>
    <w:rsid w:val="389C6855"/>
    <w:rsid w:val="38AA1283"/>
    <w:rsid w:val="38AC64B5"/>
    <w:rsid w:val="38F6A754"/>
    <w:rsid w:val="3903689E"/>
    <w:rsid w:val="390629B9"/>
    <w:rsid w:val="3935FAEA"/>
    <w:rsid w:val="393FC53E"/>
    <w:rsid w:val="3945F0E6"/>
    <w:rsid w:val="3960AEFE"/>
    <w:rsid w:val="39651105"/>
    <w:rsid w:val="396BA0D6"/>
    <w:rsid w:val="396BACBB"/>
    <w:rsid w:val="3979B403"/>
    <w:rsid w:val="3983E7FF"/>
    <w:rsid w:val="3989B834"/>
    <w:rsid w:val="398D9314"/>
    <w:rsid w:val="399FF000"/>
    <w:rsid w:val="39A544F8"/>
    <w:rsid w:val="39AEA94D"/>
    <w:rsid w:val="39BC94AC"/>
    <w:rsid w:val="39C03B6A"/>
    <w:rsid w:val="39C4DFD8"/>
    <w:rsid w:val="3A0C342C"/>
    <w:rsid w:val="3A11273D"/>
    <w:rsid w:val="3A222973"/>
    <w:rsid w:val="3A3E7973"/>
    <w:rsid w:val="3A500532"/>
    <w:rsid w:val="3A994A95"/>
    <w:rsid w:val="3A9C8A4B"/>
    <w:rsid w:val="3AAD1F03"/>
    <w:rsid w:val="3AC803A5"/>
    <w:rsid w:val="3AE0C5B4"/>
    <w:rsid w:val="3B27A755"/>
    <w:rsid w:val="3B2E1E3F"/>
    <w:rsid w:val="3B498A5E"/>
    <w:rsid w:val="3B57EA96"/>
    <w:rsid w:val="3B631D67"/>
    <w:rsid w:val="3B6BE9EB"/>
    <w:rsid w:val="3B6F3D62"/>
    <w:rsid w:val="3B802A06"/>
    <w:rsid w:val="3BA69AA5"/>
    <w:rsid w:val="3BB71122"/>
    <w:rsid w:val="3BBD5B00"/>
    <w:rsid w:val="3BC4EF2B"/>
    <w:rsid w:val="3BDB5A6D"/>
    <w:rsid w:val="3BE62802"/>
    <w:rsid w:val="3BE65053"/>
    <w:rsid w:val="3BE83DA4"/>
    <w:rsid w:val="3BF46802"/>
    <w:rsid w:val="3BF700AB"/>
    <w:rsid w:val="3BF79DDB"/>
    <w:rsid w:val="3BFF6ACA"/>
    <w:rsid w:val="3BFFF58E"/>
    <w:rsid w:val="3C017810"/>
    <w:rsid w:val="3C03ADDD"/>
    <w:rsid w:val="3C1E07D7"/>
    <w:rsid w:val="3C25933C"/>
    <w:rsid w:val="3C2A112D"/>
    <w:rsid w:val="3C4113BB"/>
    <w:rsid w:val="3C6F9B8C"/>
    <w:rsid w:val="3C7CD4EB"/>
    <w:rsid w:val="3CAAD1AC"/>
    <w:rsid w:val="3CBEA39A"/>
    <w:rsid w:val="3CC00D31"/>
    <w:rsid w:val="3CC496A0"/>
    <w:rsid w:val="3CFC5617"/>
    <w:rsid w:val="3D2B257F"/>
    <w:rsid w:val="3D32C77B"/>
    <w:rsid w:val="3D470759"/>
    <w:rsid w:val="3D58DD48"/>
    <w:rsid w:val="3D5A8291"/>
    <w:rsid w:val="3D8708ED"/>
    <w:rsid w:val="3D9F9BE1"/>
    <w:rsid w:val="3DAA6453"/>
    <w:rsid w:val="3DC8F24F"/>
    <w:rsid w:val="3DE68AE8"/>
    <w:rsid w:val="3DF55D24"/>
    <w:rsid w:val="3E14A455"/>
    <w:rsid w:val="3E14FAED"/>
    <w:rsid w:val="3E23C221"/>
    <w:rsid w:val="3E3B23A5"/>
    <w:rsid w:val="3E4B76C7"/>
    <w:rsid w:val="3E4E0AEA"/>
    <w:rsid w:val="3E52855D"/>
    <w:rsid w:val="3E602D54"/>
    <w:rsid w:val="3E66E4E3"/>
    <w:rsid w:val="3E6881F2"/>
    <w:rsid w:val="3E74D19A"/>
    <w:rsid w:val="3E769634"/>
    <w:rsid w:val="3E7D3E0B"/>
    <w:rsid w:val="3E8891FC"/>
    <w:rsid w:val="3E8C2A20"/>
    <w:rsid w:val="3E972A39"/>
    <w:rsid w:val="3E9CF900"/>
    <w:rsid w:val="3EE12514"/>
    <w:rsid w:val="3EF99FCF"/>
    <w:rsid w:val="3EFE6EDA"/>
    <w:rsid w:val="3F195358"/>
    <w:rsid w:val="3F1DFD9C"/>
    <w:rsid w:val="3F275FBA"/>
    <w:rsid w:val="3F2C6D17"/>
    <w:rsid w:val="3F4021B3"/>
    <w:rsid w:val="3F40F3C3"/>
    <w:rsid w:val="3F4246BB"/>
    <w:rsid w:val="3F582B61"/>
    <w:rsid w:val="3F73CACC"/>
    <w:rsid w:val="3F7C7A62"/>
    <w:rsid w:val="3FC53040"/>
    <w:rsid w:val="3FD59CD7"/>
    <w:rsid w:val="3FD92C2E"/>
    <w:rsid w:val="3FDE2E1B"/>
    <w:rsid w:val="3FDFA6F2"/>
    <w:rsid w:val="3FF9A750"/>
    <w:rsid w:val="400935C2"/>
    <w:rsid w:val="402BF0A9"/>
    <w:rsid w:val="404F131D"/>
    <w:rsid w:val="40507D4F"/>
    <w:rsid w:val="406540B6"/>
    <w:rsid w:val="40704800"/>
    <w:rsid w:val="4082E7D2"/>
    <w:rsid w:val="409677A1"/>
    <w:rsid w:val="409C5186"/>
    <w:rsid w:val="40A1314C"/>
    <w:rsid w:val="40ADB8FB"/>
    <w:rsid w:val="40C54EF4"/>
    <w:rsid w:val="40D9370E"/>
    <w:rsid w:val="40DCED6D"/>
    <w:rsid w:val="40E3AF8C"/>
    <w:rsid w:val="41034AFA"/>
    <w:rsid w:val="4108A4F9"/>
    <w:rsid w:val="4118F40B"/>
    <w:rsid w:val="411D7B1C"/>
    <w:rsid w:val="412BC0EF"/>
    <w:rsid w:val="41346908"/>
    <w:rsid w:val="4138B284"/>
    <w:rsid w:val="413AA3B1"/>
    <w:rsid w:val="415C215D"/>
    <w:rsid w:val="415F2DA4"/>
    <w:rsid w:val="41633CD7"/>
    <w:rsid w:val="4171A645"/>
    <w:rsid w:val="4177ED50"/>
    <w:rsid w:val="417BFCFE"/>
    <w:rsid w:val="418AAA0F"/>
    <w:rsid w:val="4195F5E5"/>
    <w:rsid w:val="41A04560"/>
    <w:rsid w:val="41E78A96"/>
    <w:rsid w:val="41EAE563"/>
    <w:rsid w:val="41F2A30A"/>
    <w:rsid w:val="41FE058E"/>
    <w:rsid w:val="4215C57A"/>
    <w:rsid w:val="423352A0"/>
    <w:rsid w:val="423FA7DA"/>
    <w:rsid w:val="423FC40C"/>
    <w:rsid w:val="4240FD38"/>
    <w:rsid w:val="4242316C"/>
    <w:rsid w:val="4245A3BD"/>
    <w:rsid w:val="42490746"/>
    <w:rsid w:val="4276E8DF"/>
    <w:rsid w:val="42814FD9"/>
    <w:rsid w:val="42865BBE"/>
    <w:rsid w:val="429C7A5E"/>
    <w:rsid w:val="42ABE48D"/>
    <w:rsid w:val="42B339AF"/>
    <w:rsid w:val="42BEACD4"/>
    <w:rsid w:val="42C18779"/>
    <w:rsid w:val="42CBCC2B"/>
    <w:rsid w:val="42E3BB67"/>
    <w:rsid w:val="42E70981"/>
    <w:rsid w:val="42EA079E"/>
    <w:rsid w:val="42FF6B8C"/>
    <w:rsid w:val="43217DBC"/>
    <w:rsid w:val="433358BF"/>
    <w:rsid w:val="43433F92"/>
    <w:rsid w:val="435F24D3"/>
    <w:rsid w:val="438CB765"/>
    <w:rsid w:val="43AE8FA3"/>
    <w:rsid w:val="43B82BFB"/>
    <w:rsid w:val="43B8CE2B"/>
    <w:rsid w:val="43C1A1FF"/>
    <w:rsid w:val="43C49BE3"/>
    <w:rsid w:val="43C97A7C"/>
    <w:rsid w:val="43FD9164"/>
    <w:rsid w:val="4410EB65"/>
    <w:rsid w:val="441684A8"/>
    <w:rsid w:val="441A8785"/>
    <w:rsid w:val="442329B6"/>
    <w:rsid w:val="4428D6DC"/>
    <w:rsid w:val="4449E98F"/>
    <w:rsid w:val="444C4C2B"/>
    <w:rsid w:val="446EB4F0"/>
    <w:rsid w:val="44747D4B"/>
    <w:rsid w:val="448E16FF"/>
    <w:rsid w:val="44ACCB3D"/>
    <w:rsid w:val="44D33E18"/>
    <w:rsid w:val="44DF09DB"/>
    <w:rsid w:val="44E12C59"/>
    <w:rsid w:val="44E29CE9"/>
    <w:rsid w:val="451DF4E0"/>
    <w:rsid w:val="45213F91"/>
    <w:rsid w:val="4531F343"/>
    <w:rsid w:val="453FF7EA"/>
    <w:rsid w:val="4558BA8E"/>
    <w:rsid w:val="455CCC9D"/>
    <w:rsid w:val="455ED013"/>
    <w:rsid w:val="45699909"/>
    <w:rsid w:val="45791C96"/>
    <w:rsid w:val="4586AFEE"/>
    <w:rsid w:val="45AC5D0C"/>
    <w:rsid w:val="45D26FDF"/>
    <w:rsid w:val="45D36D33"/>
    <w:rsid w:val="45D41A7B"/>
    <w:rsid w:val="45DA0756"/>
    <w:rsid w:val="45DA4219"/>
    <w:rsid w:val="45EFE75D"/>
    <w:rsid w:val="45FB0287"/>
    <w:rsid w:val="45FCC96A"/>
    <w:rsid w:val="45FE27E4"/>
    <w:rsid w:val="4608F505"/>
    <w:rsid w:val="4611F179"/>
    <w:rsid w:val="461F3A5C"/>
    <w:rsid w:val="4632DB3D"/>
    <w:rsid w:val="46369B54"/>
    <w:rsid w:val="463A27A4"/>
    <w:rsid w:val="464F7EF5"/>
    <w:rsid w:val="46520E1F"/>
    <w:rsid w:val="465D4ABE"/>
    <w:rsid w:val="4662EB3C"/>
    <w:rsid w:val="466B0B01"/>
    <w:rsid w:val="467EA699"/>
    <w:rsid w:val="4686361D"/>
    <w:rsid w:val="4691E6E8"/>
    <w:rsid w:val="46AFD0E9"/>
    <w:rsid w:val="46CF5497"/>
    <w:rsid w:val="46ECBE0B"/>
    <w:rsid w:val="4703CB41"/>
    <w:rsid w:val="4707A2DB"/>
    <w:rsid w:val="472174C1"/>
    <w:rsid w:val="47367474"/>
    <w:rsid w:val="47462C76"/>
    <w:rsid w:val="47606C34"/>
    <w:rsid w:val="479B7038"/>
    <w:rsid w:val="479FF250"/>
    <w:rsid w:val="47B1E449"/>
    <w:rsid w:val="47C09E96"/>
    <w:rsid w:val="47FA5C80"/>
    <w:rsid w:val="47FD3133"/>
    <w:rsid w:val="480CDE1C"/>
    <w:rsid w:val="48126D1F"/>
    <w:rsid w:val="4813A2F0"/>
    <w:rsid w:val="4815509E"/>
    <w:rsid w:val="482C615A"/>
    <w:rsid w:val="483DFAF7"/>
    <w:rsid w:val="4841F788"/>
    <w:rsid w:val="485602B2"/>
    <w:rsid w:val="4861E10F"/>
    <w:rsid w:val="4879323F"/>
    <w:rsid w:val="488BDC8C"/>
    <w:rsid w:val="488EBA44"/>
    <w:rsid w:val="48B1813A"/>
    <w:rsid w:val="48B39833"/>
    <w:rsid w:val="48B878C6"/>
    <w:rsid w:val="48BB5D3D"/>
    <w:rsid w:val="48C00E8D"/>
    <w:rsid w:val="48DBCB3E"/>
    <w:rsid w:val="48ED3A5C"/>
    <w:rsid w:val="4907BE46"/>
    <w:rsid w:val="49353225"/>
    <w:rsid w:val="4941412B"/>
    <w:rsid w:val="49541199"/>
    <w:rsid w:val="4956C7B7"/>
    <w:rsid w:val="49590220"/>
    <w:rsid w:val="4962032E"/>
    <w:rsid w:val="496AFBFD"/>
    <w:rsid w:val="498D630D"/>
    <w:rsid w:val="4993A627"/>
    <w:rsid w:val="49953923"/>
    <w:rsid w:val="49971F6A"/>
    <w:rsid w:val="49A7CA11"/>
    <w:rsid w:val="49D07DB8"/>
    <w:rsid w:val="49DD960C"/>
    <w:rsid w:val="49F4B520"/>
    <w:rsid w:val="49F56B78"/>
    <w:rsid w:val="49F80DDB"/>
    <w:rsid w:val="4A28D5A6"/>
    <w:rsid w:val="4A2BA65F"/>
    <w:rsid w:val="4A2CC858"/>
    <w:rsid w:val="4A303D6E"/>
    <w:rsid w:val="4A386356"/>
    <w:rsid w:val="4A3DB5AB"/>
    <w:rsid w:val="4A4D932E"/>
    <w:rsid w:val="4A502809"/>
    <w:rsid w:val="4A597883"/>
    <w:rsid w:val="4A74B796"/>
    <w:rsid w:val="4A84024E"/>
    <w:rsid w:val="4AB3CAA8"/>
    <w:rsid w:val="4ABE0A61"/>
    <w:rsid w:val="4ACB4F7D"/>
    <w:rsid w:val="4AEFD0E2"/>
    <w:rsid w:val="4AF72926"/>
    <w:rsid w:val="4AFD8972"/>
    <w:rsid w:val="4B0A5000"/>
    <w:rsid w:val="4B152819"/>
    <w:rsid w:val="4B1E2928"/>
    <w:rsid w:val="4B22B5FC"/>
    <w:rsid w:val="4B258199"/>
    <w:rsid w:val="4B2EA052"/>
    <w:rsid w:val="4B314DF7"/>
    <w:rsid w:val="4B59ACEC"/>
    <w:rsid w:val="4B6537C3"/>
    <w:rsid w:val="4B6F30C2"/>
    <w:rsid w:val="4B76F896"/>
    <w:rsid w:val="4B995CCC"/>
    <w:rsid w:val="4BA0E5B0"/>
    <w:rsid w:val="4BE9421B"/>
    <w:rsid w:val="4BEEBEF0"/>
    <w:rsid w:val="4C01BA89"/>
    <w:rsid w:val="4C1B8EFA"/>
    <w:rsid w:val="4C629AEA"/>
    <w:rsid w:val="4C860A30"/>
    <w:rsid w:val="4CBABCE6"/>
    <w:rsid w:val="4CBE77BC"/>
    <w:rsid w:val="4CC46823"/>
    <w:rsid w:val="4CC50227"/>
    <w:rsid w:val="4CCFCBB5"/>
    <w:rsid w:val="4CFFD02E"/>
    <w:rsid w:val="4D4CF154"/>
    <w:rsid w:val="4D5771B3"/>
    <w:rsid w:val="4D6E3D61"/>
    <w:rsid w:val="4D7A6599"/>
    <w:rsid w:val="4D85D739"/>
    <w:rsid w:val="4D8C417A"/>
    <w:rsid w:val="4D8D7DAA"/>
    <w:rsid w:val="4D8F6C6F"/>
    <w:rsid w:val="4DADEF75"/>
    <w:rsid w:val="4DDFB427"/>
    <w:rsid w:val="4E229DCD"/>
    <w:rsid w:val="4E26C3E1"/>
    <w:rsid w:val="4E71221D"/>
    <w:rsid w:val="4E9DCE44"/>
    <w:rsid w:val="4EA22B4F"/>
    <w:rsid w:val="4EC23582"/>
    <w:rsid w:val="4F0F2524"/>
    <w:rsid w:val="4F14F684"/>
    <w:rsid w:val="4F263DA1"/>
    <w:rsid w:val="4F2E22B7"/>
    <w:rsid w:val="4F3521A0"/>
    <w:rsid w:val="4F63E804"/>
    <w:rsid w:val="4F6852C6"/>
    <w:rsid w:val="4F74104C"/>
    <w:rsid w:val="4F759084"/>
    <w:rsid w:val="4F7B1551"/>
    <w:rsid w:val="4F81ED5D"/>
    <w:rsid w:val="4F89B4DD"/>
    <w:rsid w:val="4F9B3AF1"/>
    <w:rsid w:val="4FF71FAB"/>
    <w:rsid w:val="500BC1DE"/>
    <w:rsid w:val="501068D1"/>
    <w:rsid w:val="501AA6F9"/>
    <w:rsid w:val="50449FC8"/>
    <w:rsid w:val="50598216"/>
    <w:rsid w:val="50750AEF"/>
    <w:rsid w:val="50778C3A"/>
    <w:rsid w:val="508628F2"/>
    <w:rsid w:val="50881399"/>
    <w:rsid w:val="508F0388"/>
    <w:rsid w:val="50B57BD2"/>
    <w:rsid w:val="50CD1EC6"/>
    <w:rsid w:val="50CD2CAA"/>
    <w:rsid w:val="50DCC17D"/>
    <w:rsid w:val="50DF7675"/>
    <w:rsid w:val="50E34EA5"/>
    <w:rsid w:val="510ED18A"/>
    <w:rsid w:val="511E7929"/>
    <w:rsid w:val="5120A2FD"/>
    <w:rsid w:val="513052D0"/>
    <w:rsid w:val="513EFE95"/>
    <w:rsid w:val="515AE241"/>
    <w:rsid w:val="515EF275"/>
    <w:rsid w:val="517CC703"/>
    <w:rsid w:val="517DB5D0"/>
    <w:rsid w:val="517EC586"/>
    <w:rsid w:val="51974AFC"/>
    <w:rsid w:val="51D6E513"/>
    <w:rsid w:val="51FF716B"/>
    <w:rsid w:val="5228A050"/>
    <w:rsid w:val="522C9071"/>
    <w:rsid w:val="524F54BE"/>
    <w:rsid w:val="5264726E"/>
    <w:rsid w:val="5268A7C1"/>
    <w:rsid w:val="52758D51"/>
    <w:rsid w:val="527E3ADF"/>
    <w:rsid w:val="52AA09D1"/>
    <w:rsid w:val="52B4319D"/>
    <w:rsid w:val="52B5BC27"/>
    <w:rsid w:val="52CDF7CF"/>
    <w:rsid w:val="52D666CA"/>
    <w:rsid w:val="52E1C825"/>
    <w:rsid w:val="52EADB7A"/>
    <w:rsid w:val="52F81077"/>
    <w:rsid w:val="52F9D52B"/>
    <w:rsid w:val="52FFDDAB"/>
    <w:rsid w:val="530BA2A8"/>
    <w:rsid w:val="530DF640"/>
    <w:rsid w:val="5326FAD9"/>
    <w:rsid w:val="5329AC70"/>
    <w:rsid w:val="53528A6C"/>
    <w:rsid w:val="535BFD1F"/>
    <w:rsid w:val="536FF486"/>
    <w:rsid w:val="53797C09"/>
    <w:rsid w:val="537AF46B"/>
    <w:rsid w:val="53A202A2"/>
    <w:rsid w:val="53AF5CE4"/>
    <w:rsid w:val="53C89DCB"/>
    <w:rsid w:val="53E96539"/>
    <w:rsid w:val="53F28EAB"/>
    <w:rsid w:val="53F35F96"/>
    <w:rsid w:val="5429E576"/>
    <w:rsid w:val="542EA277"/>
    <w:rsid w:val="5453CF2C"/>
    <w:rsid w:val="5456C3A6"/>
    <w:rsid w:val="545C631A"/>
    <w:rsid w:val="547FB999"/>
    <w:rsid w:val="5489F565"/>
    <w:rsid w:val="548C56B7"/>
    <w:rsid w:val="54A65BB0"/>
    <w:rsid w:val="54ABE2D6"/>
    <w:rsid w:val="54AE0E2B"/>
    <w:rsid w:val="54D72385"/>
    <w:rsid w:val="54F02719"/>
    <w:rsid w:val="54F1587A"/>
    <w:rsid w:val="54FE0849"/>
    <w:rsid w:val="5552C035"/>
    <w:rsid w:val="559041F5"/>
    <w:rsid w:val="55A8475F"/>
    <w:rsid w:val="55B26541"/>
    <w:rsid w:val="55BFF7E6"/>
    <w:rsid w:val="55DF4AD5"/>
    <w:rsid w:val="55F01250"/>
    <w:rsid w:val="55FEC5F2"/>
    <w:rsid w:val="56469EAB"/>
    <w:rsid w:val="56471253"/>
    <w:rsid w:val="565E3B55"/>
    <w:rsid w:val="56763880"/>
    <w:rsid w:val="567FA3D6"/>
    <w:rsid w:val="5684424E"/>
    <w:rsid w:val="56929425"/>
    <w:rsid w:val="569B895A"/>
    <w:rsid w:val="56A33160"/>
    <w:rsid w:val="56ADFFF4"/>
    <w:rsid w:val="56B4A3A1"/>
    <w:rsid w:val="56C9F70E"/>
    <w:rsid w:val="56E0627F"/>
    <w:rsid w:val="56FC9794"/>
    <w:rsid w:val="57003927"/>
    <w:rsid w:val="5703BCCD"/>
    <w:rsid w:val="571C2896"/>
    <w:rsid w:val="571F9001"/>
    <w:rsid w:val="57243E04"/>
    <w:rsid w:val="5739B594"/>
    <w:rsid w:val="573AC876"/>
    <w:rsid w:val="57486386"/>
    <w:rsid w:val="575B4BD6"/>
    <w:rsid w:val="576EBE6D"/>
    <w:rsid w:val="57715B04"/>
    <w:rsid w:val="5771FD0E"/>
    <w:rsid w:val="578FF1BE"/>
    <w:rsid w:val="57AA34E4"/>
    <w:rsid w:val="57D84BD5"/>
    <w:rsid w:val="57F2DB05"/>
    <w:rsid w:val="57FE290D"/>
    <w:rsid w:val="58088E81"/>
    <w:rsid w:val="5809DDF0"/>
    <w:rsid w:val="583A2D28"/>
    <w:rsid w:val="5845AF20"/>
    <w:rsid w:val="5847DEC3"/>
    <w:rsid w:val="58534293"/>
    <w:rsid w:val="587F2E54"/>
    <w:rsid w:val="58B21539"/>
    <w:rsid w:val="58CD5F40"/>
    <w:rsid w:val="591E0542"/>
    <w:rsid w:val="5929DEFF"/>
    <w:rsid w:val="593F9BCB"/>
    <w:rsid w:val="5946C20A"/>
    <w:rsid w:val="594D1267"/>
    <w:rsid w:val="59578706"/>
    <w:rsid w:val="5961B1B2"/>
    <w:rsid w:val="5968AC07"/>
    <w:rsid w:val="59691216"/>
    <w:rsid w:val="596E7FF2"/>
    <w:rsid w:val="599E7F4B"/>
    <w:rsid w:val="59B7B240"/>
    <w:rsid w:val="59DB7070"/>
    <w:rsid w:val="59DC2E04"/>
    <w:rsid w:val="59DF1CAB"/>
    <w:rsid w:val="59F0206B"/>
    <w:rsid w:val="59F12910"/>
    <w:rsid w:val="5A1E2136"/>
    <w:rsid w:val="5A2355EB"/>
    <w:rsid w:val="5A2D307A"/>
    <w:rsid w:val="5A2F2579"/>
    <w:rsid w:val="5A3398EC"/>
    <w:rsid w:val="5A4BE2EC"/>
    <w:rsid w:val="5A5B04F5"/>
    <w:rsid w:val="5A5E07E1"/>
    <w:rsid w:val="5A755CFA"/>
    <w:rsid w:val="5A91E907"/>
    <w:rsid w:val="5AA416EA"/>
    <w:rsid w:val="5AA7CC5F"/>
    <w:rsid w:val="5AB97CD3"/>
    <w:rsid w:val="5ABE5F17"/>
    <w:rsid w:val="5AC995EA"/>
    <w:rsid w:val="5AD492D9"/>
    <w:rsid w:val="5ADCADBD"/>
    <w:rsid w:val="5B07F993"/>
    <w:rsid w:val="5B1A3546"/>
    <w:rsid w:val="5B1B81DD"/>
    <w:rsid w:val="5B1E43E9"/>
    <w:rsid w:val="5B3068B4"/>
    <w:rsid w:val="5B3AE008"/>
    <w:rsid w:val="5B750DA7"/>
    <w:rsid w:val="5B780DA6"/>
    <w:rsid w:val="5B7C2934"/>
    <w:rsid w:val="5B866302"/>
    <w:rsid w:val="5B8EC040"/>
    <w:rsid w:val="5B9CA223"/>
    <w:rsid w:val="5BA015CE"/>
    <w:rsid w:val="5BA39298"/>
    <w:rsid w:val="5BAD6602"/>
    <w:rsid w:val="5BB2B4B2"/>
    <w:rsid w:val="5BBA8A67"/>
    <w:rsid w:val="5BCD499E"/>
    <w:rsid w:val="5BFCD0A0"/>
    <w:rsid w:val="5C0165EB"/>
    <w:rsid w:val="5C0379A0"/>
    <w:rsid w:val="5C5AB84E"/>
    <w:rsid w:val="5C5E58B1"/>
    <w:rsid w:val="5C64AE55"/>
    <w:rsid w:val="5C69C1FA"/>
    <w:rsid w:val="5C7F6D19"/>
    <w:rsid w:val="5CACFB97"/>
    <w:rsid w:val="5CB591F1"/>
    <w:rsid w:val="5CBE46B0"/>
    <w:rsid w:val="5CC55648"/>
    <w:rsid w:val="5CD47BF6"/>
    <w:rsid w:val="5CD8F8F0"/>
    <w:rsid w:val="5D01702A"/>
    <w:rsid w:val="5D3A869A"/>
    <w:rsid w:val="5D572DEB"/>
    <w:rsid w:val="5D61E2CD"/>
    <w:rsid w:val="5D9B392D"/>
    <w:rsid w:val="5DB987AC"/>
    <w:rsid w:val="5DD0472A"/>
    <w:rsid w:val="5DD55DB0"/>
    <w:rsid w:val="5DE70259"/>
    <w:rsid w:val="5E0CDAA7"/>
    <w:rsid w:val="5E1514B3"/>
    <w:rsid w:val="5E243C6A"/>
    <w:rsid w:val="5E28DCFF"/>
    <w:rsid w:val="5E3113E0"/>
    <w:rsid w:val="5E3C27BF"/>
    <w:rsid w:val="5E6D092E"/>
    <w:rsid w:val="5E7FE708"/>
    <w:rsid w:val="5E8743F9"/>
    <w:rsid w:val="5E881A8B"/>
    <w:rsid w:val="5E914953"/>
    <w:rsid w:val="5E9560A8"/>
    <w:rsid w:val="5E9F2BF6"/>
    <w:rsid w:val="5EAFA774"/>
    <w:rsid w:val="5EB325E8"/>
    <w:rsid w:val="5EB39C6F"/>
    <w:rsid w:val="5EB50E01"/>
    <w:rsid w:val="5EBC66A0"/>
    <w:rsid w:val="5EC4445B"/>
    <w:rsid w:val="5ECAC825"/>
    <w:rsid w:val="5F03AEA0"/>
    <w:rsid w:val="5F1B7BE0"/>
    <w:rsid w:val="5F2A3BA1"/>
    <w:rsid w:val="5F37983F"/>
    <w:rsid w:val="5F37F854"/>
    <w:rsid w:val="5F51C68B"/>
    <w:rsid w:val="5F52A5D1"/>
    <w:rsid w:val="5F5EE904"/>
    <w:rsid w:val="5F7C646F"/>
    <w:rsid w:val="5F8B1A50"/>
    <w:rsid w:val="5F9D7F13"/>
    <w:rsid w:val="5F9DBF77"/>
    <w:rsid w:val="5FAB187A"/>
    <w:rsid w:val="5FB3274B"/>
    <w:rsid w:val="5FDBD9AB"/>
    <w:rsid w:val="5FE7739D"/>
    <w:rsid w:val="6002088F"/>
    <w:rsid w:val="60024783"/>
    <w:rsid w:val="603599AE"/>
    <w:rsid w:val="6036248B"/>
    <w:rsid w:val="60473840"/>
    <w:rsid w:val="60688621"/>
    <w:rsid w:val="607DC903"/>
    <w:rsid w:val="60831EA5"/>
    <w:rsid w:val="6089386A"/>
    <w:rsid w:val="6089F762"/>
    <w:rsid w:val="608F535B"/>
    <w:rsid w:val="6093C961"/>
    <w:rsid w:val="609C6BB7"/>
    <w:rsid w:val="60A2C745"/>
    <w:rsid w:val="60A838E1"/>
    <w:rsid w:val="60B38950"/>
    <w:rsid w:val="60B7BC96"/>
    <w:rsid w:val="60B8B1A5"/>
    <w:rsid w:val="60BFBBE8"/>
    <w:rsid w:val="60D3912C"/>
    <w:rsid w:val="60D6C1B0"/>
    <w:rsid w:val="60E14089"/>
    <w:rsid w:val="611CD269"/>
    <w:rsid w:val="613F1508"/>
    <w:rsid w:val="61430ECF"/>
    <w:rsid w:val="61448693"/>
    <w:rsid w:val="614CA264"/>
    <w:rsid w:val="615CDA3B"/>
    <w:rsid w:val="6163A835"/>
    <w:rsid w:val="616811FA"/>
    <w:rsid w:val="618604ED"/>
    <w:rsid w:val="61C013A8"/>
    <w:rsid w:val="61C19C41"/>
    <w:rsid w:val="61C93525"/>
    <w:rsid w:val="61E51F38"/>
    <w:rsid w:val="6229C30E"/>
    <w:rsid w:val="6236833D"/>
    <w:rsid w:val="623E5F4B"/>
    <w:rsid w:val="625C7E0B"/>
    <w:rsid w:val="625CD87A"/>
    <w:rsid w:val="6271CED6"/>
    <w:rsid w:val="62738D87"/>
    <w:rsid w:val="62A6E081"/>
    <w:rsid w:val="62B0FEEC"/>
    <w:rsid w:val="62B269F7"/>
    <w:rsid w:val="62DEA5E8"/>
    <w:rsid w:val="62FA0B65"/>
    <w:rsid w:val="63354B98"/>
    <w:rsid w:val="63439247"/>
    <w:rsid w:val="63445787"/>
    <w:rsid w:val="6358BDBA"/>
    <w:rsid w:val="636724F6"/>
    <w:rsid w:val="636F7506"/>
    <w:rsid w:val="6370DCD0"/>
    <w:rsid w:val="637BC57D"/>
    <w:rsid w:val="6383A55B"/>
    <w:rsid w:val="6384345A"/>
    <w:rsid w:val="6385F1F5"/>
    <w:rsid w:val="6390FA3F"/>
    <w:rsid w:val="63961D9F"/>
    <w:rsid w:val="63A3437C"/>
    <w:rsid w:val="63B2DF11"/>
    <w:rsid w:val="63B54A49"/>
    <w:rsid w:val="63CD33FA"/>
    <w:rsid w:val="63D81F41"/>
    <w:rsid w:val="63E5F913"/>
    <w:rsid w:val="6400DE52"/>
    <w:rsid w:val="640427CF"/>
    <w:rsid w:val="640A0A1B"/>
    <w:rsid w:val="642BBAB9"/>
    <w:rsid w:val="642F755E"/>
    <w:rsid w:val="6433039A"/>
    <w:rsid w:val="644E4C1A"/>
    <w:rsid w:val="647E0417"/>
    <w:rsid w:val="649E23CF"/>
    <w:rsid w:val="64AFE4B4"/>
    <w:rsid w:val="64C34C49"/>
    <w:rsid w:val="64CF5C20"/>
    <w:rsid w:val="64E4A6D9"/>
    <w:rsid w:val="64E99756"/>
    <w:rsid w:val="65195805"/>
    <w:rsid w:val="651BF4AD"/>
    <w:rsid w:val="6525F955"/>
    <w:rsid w:val="6558ACE0"/>
    <w:rsid w:val="659DBF51"/>
    <w:rsid w:val="65A2BD53"/>
    <w:rsid w:val="65B68C35"/>
    <w:rsid w:val="65BCDFEF"/>
    <w:rsid w:val="65CB83EE"/>
    <w:rsid w:val="65D4264D"/>
    <w:rsid w:val="65D5A800"/>
    <w:rsid w:val="65E33681"/>
    <w:rsid w:val="65F1D84B"/>
    <w:rsid w:val="65FA45EE"/>
    <w:rsid w:val="65FA8C0F"/>
    <w:rsid w:val="661BA823"/>
    <w:rsid w:val="661D6DE7"/>
    <w:rsid w:val="662E6E9B"/>
    <w:rsid w:val="66378C83"/>
    <w:rsid w:val="663C4637"/>
    <w:rsid w:val="663DA61E"/>
    <w:rsid w:val="6640C18F"/>
    <w:rsid w:val="66530AE8"/>
    <w:rsid w:val="6655D4C4"/>
    <w:rsid w:val="665A2B50"/>
    <w:rsid w:val="665DD507"/>
    <w:rsid w:val="6671AC68"/>
    <w:rsid w:val="6672F58D"/>
    <w:rsid w:val="6696FA9E"/>
    <w:rsid w:val="669EF05A"/>
    <w:rsid w:val="66D53FE1"/>
    <w:rsid w:val="66D881EF"/>
    <w:rsid w:val="66E5AF53"/>
    <w:rsid w:val="6705FB08"/>
    <w:rsid w:val="670BEC05"/>
    <w:rsid w:val="670EFED0"/>
    <w:rsid w:val="6722FA37"/>
    <w:rsid w:val="672EE3A9"/>
    <w:rsid w:val="6741A908"/>
    <w:rsid w:val="6746A063"/>
    <w:rsid w:val="67598BCE"/>
    <w:rsid w:val="6769055A"/>
    <w:rsid w:val="677266AC"/>
    <w:rsid w:val="677B7A1B"/>
    <w:rsid w:val="67A205A0"/>
    <w:rsid w:val="67A280EA"/>
    <w:rsid w:val="67A40010"/>
    <w:rsid w:val="67AF3858"/>
    <w:rsid w:val="67AF4AAE"/>
    <w:rsid w:val="67BF93CB"/>
    <w:rsid w:val="67DB8694"/>
    <w:rsid w:val="67E71E6E"/>
    <w:rsid w:val="67F2855C"/>
    <w:rsid w:val="68121A22"/>
    <w:rsid w:val="681BE76A"/>
    <w:rsid w:val="68448CC1"/>
    <w:rsid w:val="68E841FA"/>
    <w:rsid w:val="691955E5"/>
    <w:rsid w:val="69200B1F"/>
    <w:rsid w:val="692C8757"/>
    <w:rsid w:val="696A97FD"/>
    <w:rsid w:val="6975DA1A"/>
    <w:rsid w:val="697ECA4E"/>
    <w:rsid w:val="69B414BD"/>
    <w:rsid w:val="69BA2D32"/>
    <w:rsid w:val="69DB3274"/>
    <w:rsid w:val="69E604A3"/>
    <w:rsid w:val="69EC6F82"/>
    <w:rsid w:val="69ED223D"/>
    <w:rsid w:val="6A079B7E"/>
    <w:rsid w:val="6A153457"/>
    <w:rsid w:val="6A176ABD"/>
    <w:rsid w:val="6A6C7817"/>
    <w:rsid w:val="6A805B6D"/>
    <w:rsid w:val="6A887391"/>
    <w:rsid w:val="6A93D69E"/>
    <w:rsid w:val="6AA9290C"/>
    <w:rsid w:val="6AC7C5C8"/>
    <w:rsid w:val="6AC8FDE6"/>
    <w:rsid w:val="6AD4AEA9"/>
    <w:rsid w:val="6B28F483"/>
    <w:rsid w:val="6B2FE2C5"/>
    <w:rsid w:val="6B312676"/>
    <w:rsid w:val="6B348E5F"/>
    <w:rsid w:val="6B7F97A0"/>
    <w:rsid w:val="6B8A1DEF"/>
    <w:rsid w:val="6B8F3928"/>
    <w:rsid w:val="6B94E3E9"/>
    <w:rsid w:val="6B9C3DE8"/>
    <w:rsid w:val="6BC4E585"/>
    <w:rsid w:val="6BCEA8F2"/>
    <w:rsid w:val="6BD58134"/>
    <w:rsid w:val="6BE5BDBC"/>
    <w:rsid w:val="6BEE00EC"/>
    <w:rsid w:val="6C20D7A0"/>
    <w:rsid w:val="6C3EBA0F"/>
    <w:rsid w:val="6C4B2203"/>
    <w:rsid w:val="6C4B914D"/>
    <w:rsid w:val="6C5841C6"/>
    <w:rsid w:val="6C607135"/>
    <w:rsid w:val="6C73AFE6"/>
    <w:rsid w:val="6C8373AB"/>
    <w:rsid w:val="6C953106"/>
    <w:rsid w:val="6C982524"/>
    <w:rsid w:val="6C9B0123"/>
    <w:rsid w:val="6C9D7736"/>
    <w:rsid w:val="6CACDA40"/>
    <w:rsid w:val="6CB3E030"/>
    <w:rsid w:val="6CB83516"/>
    <w:rsid w:val="6CC21823"/>
    <w:rsid w:val="6CCDE3AF"/>
    <w:rsid w:val="6CD469DE"/>
    <w:rsid w:val="6D122CB6"/>
    <w:rsid w:val="6D1D29E6"/>
    <w:rsid w:val="6D20393D"/>
    <w:rsid w:val="6D285776"/>
    <w:rsid w:val="6D2F7995"/>
    <w:rsid w:val="6D4768F5"/>
    <w:rsid w:val="6D701861"/>
    <w:rsid w:val="6D806306"/>
    <w:rsid w:val="6D9741B7"/>
    <w:rsid w:val="6DA075D0"/>
    <w:rsid w:val="6DA49145"/>
    <w:rsid w:val="6DA9B3C1"/>
    <w:rsid w:val="6DBA8552"/>
    <w:rsid w:val="6DC8E194"/>
    <w:rsid w:val="6DE2014B"/>
    <w:rsid w:val="6DE29BA4"/>
    <w:rsid w:val="6DE953F0"/>
    <w:rsid w:val="6DF71B0C"/>
    <w:rsid w:val="6DF91B5A"/>
    <w:rsid w:val="6E065123"/>
    <w:rsid w:val="6E067E92"/>
    <w:rsid w:val="6E11A195"/>
    <w:rsid w:val="6E92C110"/>
    <w:rsid w:val="6E96AFBE"/>
    <w:rsid w:val="6EA59C05"/>
    <w:rsid w:val="6EAB079B"/>
    <w:rsid w:val="6EAB6EFA"/>
    <w:rsid w:val="6EB206AE"/>
    <w:rsid w:val="6EB2D0BB"/>
    <w:rsid w:val="6EB5EFA8"/>
    <w:rsid w:val="6EE80E97"/>
    <w:rsid w:val="6EFA2CC0"/>
    <w:rsid w:val="6F022D55"/>
    <w:rsid w:val="6F02A6EB"/>
    <w:rsid w:val="6F08E959"/>
    <w:rsid w:val="6F23030A"/>
    <w:rsid w:val="6F3D9330"/>
    <w:rsid w:val="6F3DAE65"/>
    <w:rsid w:val="6F5BB590"/>
    <w:rsid w:val="6F6E735A"/>
    <w:rsid w:val="6F739CAC"/>
    <w:rsid w:val="6F76ED97"/>
    <w:rsid w:val="6F9F8157"/>
    <w:rsid w:val="6FE655E9"/>
    <w:rsid w:val="6FF47F76"/>
    <w:rsid w:val="6FF5060F"/>
    <w:rsid w:val="70077DC9"/>
    <w:rsid w:val="702C56C4"/>
    <w:rsid w:val="703E8235"/>
    <w:rsid w:val="7062E534"/>
    <w:rsid w:val="7067D5FA"/>
    <w:rsid w:val="70842CB3"/>
    <w:rsid w:val="708A1096"/>
    <w:rsid w:val="70942E58"/>
    <w:rsid w:val="70A0A2A6"/>
    <w:rsid w:val="70DEDDF7"/>
    <w:rsid w:val="70EE9546"/>
    <w:rsid w:val="70FE02F5"/>
    <w:rsid w:val="71018B05"/>
    <w:rsid w:val="71024E2B"/>
    <w:rsid w:val="710DEE58"/>
    <w:rsid w:val="71137DC1"/>
    <w:rsid w:val="71329C5D"/>
    <w:rsid w:val="7138FEFB"/>
    <w:rsid w:val="714FB7B4"/>
    <w:rsid w:val="715024A4"/>
    <w:rsid w:val="715AD3AC"/>
    <w:rsid w:val="71B354F3"/>
    <w:rsid w:val="71D579C9"/>
    <w:rsid w:val="71E04D9D"/>
    <w:rsid w:val="71E2257D"/>
    <w:rsid w:val="71E6A3F5"/>
    <w:rsid w:val="71ECBFF5"/>
    <w:rsid w:val="71F8491F"/>
    <w:rsid w:val="720541E3"/>
    <w:rsid w:val="7205CCEF"/>
    <w:rsid w:val="721224F5"/>
    <w:rsid w:val="721AA17D"/>
    <w:rsid w:val="726437D2"/>
    <w:rsid w:val="72664D65"/>
    <w:rsid w:val="7295E343"/>
    <w:rsid w:val="72B551F3"/>
    <w:rsid w:val="72DE8861"/>
    <w:rsid w:val="7310047E"/>
    <w:rsid w:val="7310DC4D"/>
    <w:rsid w:val="731C1651"/>
    <w:rsid w:val="73261003"/>
    <w:rsid w:val="7338DC8C"/>
    <w:rsid w:val="7339347D"/>
    <w:rsid w:val="735E4C79"/>
    <w:rsid w:val="736C212E"/>
    <w:rsid w:val="7391F175"/>
    <w:rsid w:val="73A77A29"/>
    <w:rsid w:val="73B94AD9"/>
    <w:rsid w:val="73BD374E"/>
    <w:rsid w:val="73C4863D"/>
    <w:rsid w:val="73CC33CB"/>
    <w:rsid w:val="73D60B02"/>
    <w:rsid w:val="73DD02DC"/>
    <w:rsid w:val="73E3DE5D"/>
    <w:rsid w:val="73FE9164"/>
    <w:rsid w:val="740812CD"/>
    <w:rsid w:val="7419BA1B"/>
    <w:rsid w:val="74278AF8"/>
    <w:rsid w:val="742F49A4"/>
    <w:rsid w:val="7432536E"/>
    <w:rsid w:val="743728C1"/>
    <w:rsid w:val="749A1FC3"/>
    <w:rsid w:val="74A68A93"/>
    <w:rsid w:val="74BFAF3C"/>
    <w:rsid w:val="74C48A30"/>
    <w:rsid w:val="74C97B31"/>
    <w:rsid w:val="74CB774A"/>
    <w:rsid w:val="74D9E6CD"/>
    <w:rsid w:val="74DA2E94"/>
    <w:rsid w:val="74E579C7"/>
    <w:rsid w:val="74E8D08D"/>
    <w:rsid w:val="74F1B0C1"/>
    <w:rsid w:val="74F1BA65"/>
    <w:rsid w:val="750AD6F9"/>
    <w:rsid w:val="7513C2E8"/>
    <w:rsid w:val="7517D0C1"/>
    <w:rsid w:val="75382520"/>
    <w:rsid w:val="753E4FE1"/>
    <w:rsid w:val="7545653C"/>
    <w:rsid w:val="7552BA42"/>
    <w:rsid w:val="757852A3"/>
    <w:rsid w:val="757E4237"/>
    <w:rsid w:val="75D74D89"/>
    <w:rsid w:val="75DC6F2A"/>
    <w:rsid w:val="75DE65D8"/>
    <w:rsid w:val="75E7D869"/>
    <w:rsid w:val="75EB68AF"/>
    <w:rsid w:val="75F0A2F4"/>
    <w:rsid w:val="76076D3F"/>
    <w:rsid w:val="7613ADE8"/>
    <w:rsid w:val="764E87DA"/>
    <w:rsid w:val="7652A574"/>
    <w:rsid w:val="7686D5CA"/>
    <w:rsid w:val="769A1801"/>
    <w:rsid w:val="76B0A94D"/>
    <w:rsid w:val="76EA501A"/>
    <w:rsid w:val="772C69F1"/>
    <w:rsid w:val="7754B7B8"/>
    <w:rsid w:val="7755FDC5"/>
    <w:rsid w:val="7764B82B"/>
    <w:rsid w:val="7769BE8D"/>
    <w:rsid w:val="77AE65AE"/>
    <w:rsid w:val="77AFEA43"/>
    <w:rsid w:val="77BBECB1"/>
    <w:rsid w:val="77C27A07"/>
    <w:rsid w:val="77CB6E75"/>
    <w:rsid w:val="77D16AE7"/>
    <w:rsid w:val="77F6E428"/>
    <w:rsid w:val="77FF23DA"/>
    <w:rsid w:val="78103358"/>
    <w:rsid w:val="7813B7F7"/>
    <w:rsid w:val="782BC3D8"/>
    <w:rsid w:val="786055DE"/>
    <w:rsid w:val="78637193"/>
    <w:rsid w:val="786F63B9"/>
    <w:rsid w:val="787932DA"/>
    <w:rsid w:val="787BE5F8"/>
    <w:rsid w:val="78AEEC9E"/>
    <w:rsid w:val="78AF55CE"/>
    <w:rsid w:val="78B38A9F"/>
    <w:rsid w:val="78B90385"/>
    <w:rsid w:val="78BEBA1D"/>
    <w:rsid w:val="78CAC743"/>
    <w:rsid w:val="78E116E7"/>
    <w:rsid w:val="78E600D9"/>
    <w:rsid w:val="78E9CC56"/>
    <w:rsid w:val="791138A0"/>
    <w:rsid w:val="791570E3"/>
    <w:rsid w:val="791B30D0"/>
    <w:rsid w:val="792F2078"/>
    <w:rsid w:val="7942C184"/>
    <w:rsid w:val="7946FDD3"/>
    <w:rsid w:val="799DA3F1"/>
    <w:rsid w:val="79A2AF84"/>
    <w:rsid w:val="79AF2A52"/>
    <w:rsid w:val="79CB4300"/>
    <w:rsid w:val="79CC1230"/>
    <w:rsid w:val="79D6FE87"/>
    <w:rsid w:val="79D90320"/>
    <w:rsid w:val="79DFA9EC"/>
    <w:rsid w:val="79E5B3F3"/>
    <w:rsid w:val="79F748BF"/>
    <w:rsid w:val="7A0DA860"/>
    <w:rsid w:val="7A1B0B7D"/>
    <w:rsid w:val="7A271946"/>
    <w:rsid w:val="7A2C4327"/>
    <w:rsid w:val="7A392126"/>
    <w:rsid w:val="7A4AA5B8"/>
    <w:rsid w:val="7A52C711"/>
    <w:rsid w:val="7A71A85A"/>
    <w:rsid w:val="7A7ED7C1"/>
    <w:rsid w:val="7A8057FA"/>
    <w:rsid w:val="7A83C96A"/>
    <w:rsid w:val="7A89426F"/>
    <w:rsid w:val="7A8B0F2E"/>
    <w:rsid w:val="7A955849"/>
    <w:rsid w:val="7A962B38"/>
    <w:rsid w:val="7A97BAC5"/>
    <w:rsid w:val="7AA6F9C2"/>
    <w:rsid w:val="7AA7F0A4"/>
    <w:rsid w:val="7AA931BC"/>
    <w:rsid w:val="7AB0A379"/>
    <w:rsid w:val="7AB328DF"/>
    <w:rsid w:val="7ACE38D3"/>
    <w:rsid w:val="7AD9097A"/>
    <w:rsid w:val="7AFBF163"/>
    <w:rsid w:val="7AFE2829"/>
    <w:rsid w:val="7B09EDF8"/>
    <w:rsid w:val="7B11F667"/>
    <w:rsid w:val="7B147810"/>
    <w:rsid w:val="7B432177"/>
    <w:rsid w:val="7B4895B1"/>
    <w:rsid w:val="7B4FFD8A"/>
    <w:rsid w:val="7B50582F"/>
    <w:rsid w:val="7B5A63A0"/>
    <w:rsid w:val="7B73BF16"/>
    <w:rsid w:val="7B81B285"/>
    <w:rsid w:val="7BBB194C"/>
    <w:rsid w:val="7BD7C2BE"/>
    <w:rsid w:val="7BD89E82"/>
    <w:rsid w:val="7C06B413"/>
    <w:rsid w:val="7C186366"/>
    <w:rsid w:val="7C25BE78"/>
    <w:rsid w:val="7C2AE5E1"/>
    <w:rsid w:val="7C3A943B"/>
    <w:rsid w:val="7C495A7F"/>
    <w:rsid w:val="7C4E82BA"/>
    <w:rsid w:val="7C581194"/>
    <w:rsid w:val="7C5D5D18"/>
    <w:rsid w:val="7C638ECE"/>
    <w:rsid w:val="7C80BA9A"/>
    <w:rsid w:val="7C99AC0E"/>
    <w:rsid w:val="7CA6A241"/>
    <w:rsid w:val="7CADF006"/>
    <w:rsid w:val="7CC016D4"/>
    <w:rsid w:val="7CCBB398"/>
    <w:rsid w:val="7CD20A3E"/>
    <w:rsid w:val="7CD317F4"/>
    <w:rsid w:val="7CFFEC22"/>
    <w:rsid w:val="7D027068"/>
    <w:rsid w:val="7D1129B8"/>
    <w:rsid w:val="7D488C14"/>
    <w:rsid w:val="7D64884F"/>
    <w:rsid w:val="7D65B9F3"/>
    <w:rsid w:val="7D67EB4F"/>
    <w:rsid w:val="7D89383E"/>
    <w:rsid w:val="7D90B6FF"/>
    <w:rsid w:val="7DDE498E"/>
    <w:rsid w:val="7DE1D2FC"/>
    <w:rsid w:val="7DF5955A"/>
    <w:rsid w:val="7DFCF367"/>
    <w:rsid w:val="7E09F562"/>
    <w:rsid w:val="7E0D70B7"/>
    <w:rsid w:val="7E10D2B7"/>
    <w:rsid w:val="7E14AF6A"/>
    <w:rsid w:val="7E1C7463"/>
    <w:rsid w:val="7E1EB999"/>
    <w:rsid w:val="7E51A602"/>
    <w:rsid w:val="7E8445F3"/>
    <w:rsid w:val="7EBEC294"/>
    <w:rsid w:val="7ECEFEF2"/>
    <w:rsid w:val="7ECF1279"/>
    <w:rsid w:val="7ED7C1CF"/>
    <w:rsid w:val="7EE1175C"/>
    <w:rsid w:val="7EE5828C"/>
    <w:rsid w:val="7EE8D527"/>
    <w:rsid w:val="7EE937DC"/>
    <w:rsid w:val="7EE955FF"/>
    <w:rsid w:val="7EF0517D"/>
    <w:rsid w:val="7F07252A"/>
    <w:rsid w:val="7F1E3601"/>
    <w:rsid w:val="7F3646B9"/>
    <w:rsid w:val="7F4C5235"/>
    <w:rsid w:val="7F69FB96"/>
    <w:rsid w:val="7F8D3462"/>
    <w:rsid w:val="7F9E2059"/>
    <w:rsid w:val="7FEF38A8"/>
    <w:rsid w:val="7FFB65E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048ACC4C-C5A4-454E-81A9-F71FA080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eastAsia="es-ES_tradnl"/>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 w:type="character" w:styleId="Mention">
    <w:name w:val="Mention"/>
    <w:basedOn w:val="DefaultParagraphFont"/>
    <w:uiPriority w:val="99"/>
    <w:unhideWhenUsed/>
    <w:rsid w:val="00677E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33244626">
          <w:marLeft w:val="0"/>
          <w:marRight w:val="0"/>
          <w:marTop w:val="0"/>
          <w:marBottom w:val="0"/>
          <w:divBdr>
            <w:top w:val="none" w:sz="0" w:space="0" w:color="auto"/>
            <w:left w:val="none" w:sz="0" w:space="0" w:color="auto"/>
            <w:bottom w:val="none" w:sz="0" w:space="0" w:color="auto"/>
            <w:right w:val="none" w:sz="0" w:space="0" w:color="auto"/>
          </w:divBdr>
        </w:div>
        <w:div w:id="2133983776">
          <w:marLeft w:val="0"/>
          <w:marRight w:val="0"/>
          <w:marTop w:val="12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3.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4.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111</Pages>
  <Words>43104</Words>
  <Characters>234917</Characters>
  <Application>Microsoft Office Word</Application>
  <DocSecurity>0</DocSecurity>
  <Lines>5593</Lines>
  <Paragraphs>3915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RUEDA</dc:creator>
  <cp:keywords/>
  <cp:lastModifiedBy>Kornelia Wilinska</cp:lastModifiedBy>
  <cp:revision>2</cp:revision>
  <cp:lastPrinted>2025-10-09T18:19:00Z</cp:lastPrinted>
  <dcterms:created xsi:type="dcterms:W3CDTF">2025-10-21T07:25:00Z</dcterms:created>
  <dcterms:modified xsi:type="dcterms:W3CDTF">2025-10-21T07:25:00Z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