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EL</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ΠΑΡΑΡΤΗΜΑ II</w:t>
      </w:r>
    </w:p>
    <w:p w14:paraId="7B92C63B" w14:textId="03F8AC67" w:rsidR="00C61CB8" w:rsidRPr="00037E7B" w:rsidRDefault="00C61CB8" w:rsidP="00C61CB8">
      <w:pPr>
        <w:jc w:val="center"/>
        <w:rPr>
          <w:rFonts w:ascii="Times New Roman" w:hAnsi="Times New Roman"/>
          <w:sz w:val="24"/>
        </w:rPr>
      </w:pPr>
      <w:r>
        <w:rPr>
          <w:rFonts w:ascii="Times New Roman" w:hAnsi="Times New Roman"/>
          <w:sz w:val="24"/>
        </w:rPr>
        <w:t>«ΠΑΡΑΡΤΗΜΑ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ΦΕΡΕΓΓΥΟΤΗΤΑ ΟΜΙΛΟΥ: ΠΛΗΡΟΦΟΡΙΕΣ ΣΧΕΤΙΚΑ ΜΕ ΣΥΝΔΕΔΕΜΕΝΕΣ ΕΠΙΧΕΙΡΗΣΕΙΣ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tab/>
      </w:r>
      <w:r>
        <w:rPr>
          <w:rFonts w:ascii="Times New Roman" w:hAnsi="Times New Roman"/>
          <w:sz w:val="24"/>
        </w:rPr>
        <w:t>Γενικές παρατηρήσεις</w:t>
      </w:r>
      <w:bookmarkEnd w:id="0"/>
      <w:bookmarkEnd w:id="1"/>
      <w:bookmarkEnd w:id="2"/>
      <w:bookmarkEnd w:id="3"/>
      <w:bookmarkEnd w:id="4"/>
      <w:bookmarkEnd w:id="5"/>
      <w:bookmarkEnd w:id="6"/>
    </w:p>
    <w:p w14:paraId="02D50DC7"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27</w:t>
      </w:r>
      <w:r>
        <w:fldChar w:fldCharType="end"/>
      </w:r>
      <w:r>
        <w:t>.</w:t>
      </w:r>
      <w:r>
        <w:tab/>
        <w:t>Τα υποδείγματα C 06.01 και C 06.02 αναφέρονται εάν οι απαιτήσεις ιδίων κεφαλαίων υπολογίζονται σε ενοποιημένη βάση. Το υπόδειγμα C 06.02 αποτελείται από τέσσερα μέρη για τη συλλογή διαφόρων πληροφοριών για όλες τις επιμέρους οντότητες (συμπεριλαμβανομένου του αναφέροντος ιδρύματος) που περιλαμβάνονται στο πεδίο εφαρμογής της ενοποίησης.</w:t>
      </w:r>
    </w:p>
    <w:p w14:paraId="427E4E34" w14:textId="77777777" w:rsidR="00173F08" w:rsidRPr="002A677E" w:rsidRDefault="00173F08" w:rsidP="00D40ABE">
      <w:pPr>
        <w:pStyle w:val="InstructionsText2"/>
        <w:numPr>
          <w:ilvl w:val="0"/>
          <w:numId w:val="0"/>
        </w:numPr>
        <w:ind w:left="1080"/>
      </w:pPr>
      <w:r>
        <w:t>α)</w:t>
      </w:r>
      <w:r>
        <w:tab/>
        <w:t>οντότητες εντός του πεδίου εφαρμογής της ενοποίησης·</w:t>
      </w:r>
    </w:p>
    <w:p w14:paraId="028B029B" w14:textId="77777777" w:rsidR="00173F08" w:rsidRPr="002A677E" w:rsidRDefault="00173F08" w:rsidP="00D40ABE">
      <w:pPr>
        <w:pStyle w:val="InstructionsText2"/>
        <w:numPr>
          <w:ilvl w:val="0"/>
          <w:numId w:val="0"/>
        </w:numPr>
        <w:ind w:left="720" w:firstLine="360"/>
      </w:pPr>
      <w:r>
        <w:t>β)</w:t>
      </w:r>
      <w:r>
        <w:tab/>
        <w:t>λεπτομερείς πληροφορίες για τη φερεγγυότητα του ομίλου·</w:t>
      </w:r>
    </w:p>
    <w:p w14:paraId="29EF9308" w14:textId="77777777" w:rsidR="00173F08" w:rsidRPr="002A677E" w:rsidRDefault="00173F08" w:rsidP="00D40ABE">
      <w:pPr>
        <w:pStyle w:val="InstructionsText2"/>
        <w:numPr>
          <w:ilvl w:val="0"/>
          <w:numId w:val="0"/>
        </w:numPr>
        <w:ind w:left="993"/>
      </w:pPr>
      <w:r>
        <w:t>γ)</w:t>
      </w:r>
      <w:r>
        <w:tab/>
        <w:t>πληροφορίες σχετικά με τη συνεισφορά μεμονωμένων οντοτήτων στη φερεγγυότητα του ομίλου·</w:t>
      </w:r>
    </w:p>
    <w:p w14:paraId="66E85F84" w14:textId="77777777" w:rsidR="00173F08" w:rsidRPr="002A677E" w:rsidRDefault="00173F08" w:rsidP="00D40ABE">
      <w:pPr>
        <w:pStyle w:val="InstructionsText2"/>
        <w:numPr>
          <w:ilvl w:val="0"/>
          <w:numId w:val="0"/>
        </w:numPr>
        <w:ind w:left="993"/>
      </w:pPr>
      <w:r>
        <w:t>δ)</w:t>
      </w:r>
      <w:r>
        <w:tab/>
        <w:t>πληροφορίες σχετικά με κεφαλαιακά αποθέματα ασφαλείας·</w:t>
      </w:r>
    </w:p>
    <w:p w14:paraId="7BA531FA" w14:textId="701A6BC9" w:rsidR="00173F08" w:rsidRPr="002A677E" w:rsidRDefault="00173F08" w:rsidP="00D40ABE">
      <w:pPr>
        <w:pStyle w:val="InstructionsText2"/>
        <w:numPr>
          <w:ilvl w:val="0"/>
          <w:numId w:val="0"/>
        </w:numPr>
        <w:ind w:left="360"/>
      </w:pPr>
      <w:r>
        <w:fldChar w:fldCharType="begin"/>
      </w:r>
      <w:r>
        <w:instrText>seq paragraphs</w:instrText>
      </w:r>
      <w:r>
        <w:fldChar w:fldCharType="separate"/>
      </w:r>
      <w:r>
        <w:t>28</w:t>
      </w:r>
      <w:r>
        <w:fldChar w:fldCharType="end"/>
      </w:r>
      <w:r>
        <w:t>.</w:t>
      </w:r>
      <w:r>
        <w:tab/>
        <w:t>Τα ιδρύματα που έχουν λάβει απαλλαγή σύμφωνα με το άρθρο 7 του κανονισμού (ΕΕ) αριθ. 575/2013 αναφέρουν μόνο τις στήλες 0010 έως 0065 και 0250 έως 0400.</w:t>
      </w:r>
    </w:p>
    <w:p w14:paraId="0B7B3AA9"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29</w:t>
      </w:r>
      <w:r>
        <w:fldChar w:fldCharType="end"/>
      </w:r>
      <w:r>
        <w:t>.</w:t>
      </w:r>
      <w:r>
        <w:tab/>
        <w:t>Τα αναφερόμενα στοιχεία λαμβάνουν υπόψη όλες τις εφαρμοστέες μεταβατικές διατάξεις του κανονισμού (ΕΕ) αριθ. 575/2013, οι οποίες ισχύουν κατά την αντίστοιχη ημερομηνία αναφοράς.</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tab/>
      </w:r>
      <w:r>
        <w:rPr>
          <w:rFonts w:ascii="Times New Roman" w:hAnsi="Times New Roman"/>
          <w:sz w:val="24"/>
        </w:rPr>
        <w:t>Λεπτομερείς πληροφορίες για τη φερεγγυότητα του ομίλου·</w:t>
      </w:r>
      <w:bookmarkEnd w:id="7"/>
      <w:bookmarkEnd w:id="8"/>
      <w:bookmarkEnd w:id="9"/>
    </w:p>
    <w:p w14:paraId="60F36EFE" w14:textId="40A5EBCA" w:rsidR="00173F08" w:rsidRPr="002A677E" w:rsidRDefault="00173F08" w:rsidP="00D40ABE">
      <w:pPr>
        <w:pStyle w:val="InstructionsText2"/>
        <w:numPr>
          <w:ilvl w:val="0"/>
          <w:numId w:val="0"/>
        </w:numPr>
        <w:ind w:left="360"/>
      </w:pPr>
      <w:r>
        <w:fldChar w:fldCharType="begin"/>
      </w:r>
      <w:r>
        <w:instrText>seq paragraphs</w:instrText>
      </w:r>
      <w:r>
        <w:fldChar w:fldCharType="separate"/>
      </w:r>
      <w:r>
        <w:t>30</w:t>
      </w:r>
      <w:r>
        <w:fldChar w:fldCharType="end"/>
      </w:r>
      <w:r>
        <w:t>.</w:t>
      </w:r>
      <w:r>
        <w:tab/>
        <w:t xml:space="preserve">Το δεύτερο μέρος του υποδείγματος C 06.02 (λεπτομερείς πληροφορίες για τη φερεγγυότητα του ομίλου) στις στήλες 0070 έως 0240 αποσκοπεί στη συλλογή πληροφοριών για πιστωτικά και άλλα ρυθμιζόμενα χρηματοδοτικά ιδρύματα που υπόκεινται πραγματικά σε συγκεκριμένες απαιτήσεις φερεγγυότητας σε ατομική βάση. Προβλέπει, για καθεμία από τις οντότητες αυτές που περιλαμβάνονται στο πεδίο εφαρμογής της υποβολής αναφοράς, τις απαιτήσεις ιδίων κεφαλαίων για κάθε κατηγορία κινδύνου και τα ίδια κεφάλαια για σκοπούς φερεγγυότητας. </w:t>
      </w:r>
    </w:p>
    <w:p w14:paraId="75F5EA26" w14:textId="77777777" w:rsidR="00173F08" w:rsidRPr="002A677E" w:rsidRDefault="00173F08" w:rsidP="00D40ABE">
      <w:pPr>
        <w:pStyle w:val="InstructionsText2"/>
        <w:numPr>
          <w:ilvl w:val="0"/>
          <w:numId w:val="0"/>
        </w:numPr>
        <w:ind w:left="360"/>
      </w:pPr>
      <w:r>
        <w:lastRenderedPageBreak/>
        <w:fldChar w:fldCharType="begin"/>
      </w:r>
      <w:r>
        <w:instrText>seq paragraphs</w:instrText>
      </w:r>
      <w:r>
        <w:fldChar w:fldCharType="separate"/>
      </w:r>
      <w:r>
        <w:t>31</w:t>
      </w:r>
      <w:r>
        <w:fldChar w:fldCharType="end"/>
      </w:r>
      <w:r>
        <w:t>.</w:t>
      </w:r>
      <w:r>
        <w:tab/>
        <w:t>Στην περίπτωση αναλογικής ενοποίησης συμμετοχών, τα αριθμητικά στοιχεία σχετικά με τις απαιτήσεις ιδίων κεφαλαίων και τα ίδια κεφάλαια αντανακλούν τα αντίστοιχα αναλογικά ποσά.</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t>2.3.</w:t>
      </w:r>
      <w:r>
        <w:tab/>
      </w:r>
      <w:r>
        <w:rPr>
          <w:rFonts w:ascii="Times New Roman" w:hAnsi="Times New Roman"/>
          <w:sz w:val="24"/>
        </w:rPr>
        <w:t>Πληροφορίες σχετικά με τη συνεισφορά μεμονωμένων οντοτήτων στη φερεγγυότητα του ομίλου</w:t>
      </w:r>
      <w:bookmarkEnd w:id="10"/>
      <w:bookmarkEnd w:id="11"/>
      <w:bookmarkEnd w:id="12"/>
    </w:p>
    <w:p w14:paraId="79D559FD"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32</w:t>
      </w:r>
      <w:r>
        <w:fldChar w:fldCharType="end"/>
      </w:r>
      <w:r>
        <w:t>.</w:t>
      </w:r>
      <w:r>
        <w:tab/>
        <w:t xml:space="preserve">Στόχος του τρίτου μέρους του υποδείγματος C 06.02 και του υποδείγματος C 06.01 [πληροφορίες σχετικά με τις συνεισφορές στη φερεγγυότητα του ομίλου όλων των οντοτήτων που εμπίπτουν στο πεδίο εφαρμογής της ενοποίησης σύμφωνα με τον κανονισμό (ΕΕ) αριθ. 575/2013], συμπεριλαμβανομένων όσων δεν υπόκεινται σε συγκεκριμένες απαιτήσεις φερεγγυότητας σε ατομική βάση, στις στήλες 0250 έως 0400, είναι να προσδιοριστούν οι οντότητες εντός του ομίλου που παράγουν τους κινδύνους και αντλούν ίδια κεφάλαια από την αγορά, βάσει δεδομένων που είναι άμεσα διαθέσιμα ή δύναται να τύχουν εύκολα επεξεργασίας, χωρίς να απαιτείται να ανασυγκροτηθεί ο δείκτης κεφαλαίου σε ατομική ή υποενοποιημένη βάση. Σε επίπεδο οντότητας, αμφότερα τα αριθμητικά στοιχεία για τους κινδύνους και τα ίδια κεφάλαια συνεισφέρουν στα αριθμητικά στοιχεία του ομίλου και δεν αποτελούν στοιχεία δείκτη φερεγγυότητας σε ατομική βάση και, επομένως, δεν πρέπει να συγκρίνονται μεταξύ τους. </w:t>
      </w:r>
    </w:p>
    <w:p w14:paraId="08EA3F6A"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33</w:t>
      </w:r>
      <w:r>
        <w:fldChar w:fldCharType="end"/>
      </w:r>
      <w:r>
        <w:t>.</w:t>
      </w:r>
      <w:r>
        <w:tab/>
        <w:t>Το τρίτο μέρος περιλαμβάνει επίσης τα ποσά των δικαιωμάτων μειοψηφίας, του αποδεκτού κεφαλαίου ΑΤ1 και του αποδεκτού κεφαλαίου Τ2 που είναι επιλέξιμα στα ενοποιημένα ίδια κεφάλαια.</w:t>
      </w:r>
    </w:p>
    <w:p w14:paraId="1D8F8CC4"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34</w:t>
      </w:r>
      <w:r>
        <w:fldChar w:fldCharType="end"/>
      </w:r>
      <w:r>
        <w:t>.</w:t>
      </w:r>
      <w:r>
        <w:tab/>
        <w:t>Δεδομένου ότι αυτό το τρίτο μέρος του υποδείγματος αναφέρεται σε “συνεισφορές”, τα προς αναφορά αριθμητικά στοιχεία διαφέρουν, κατά περίπτωση, από τα αριθμητικά στοιχεία που αναφέρονται στις στήλες σχετικά με τις λεπτομερείς πληροφορίες για τη φερεγγυότητα του ομίλου.</w:t>
      </w:r>
    </w:p>
    <w:p w14:paraId="27180B14"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35</w:t>
      </w:r>
      <w:r>
        <w:fldChar w:fldCharType="end"/>
      </w:r>
      <w:r>
        <w:t>.</w:t>
      </w:r>
      <w:r>
        <w:tab/>
        <w:t>Η αρχή είναι να διαγράφονται τα αμοιβαία ανοίγματα εντός των ίδιων ομίλων κατά τρόπο ομοιογενή, τόσο σε όρους κινδύνων όσο και σε όρους ιδίων κεφαλαίων, ώστε να καλύπτονται τα ποσά που αναφέρονται στο ενοποιημένο υπόδειγμα CA του ομίλου προσθέτοντας τα ποσά που αναφέρονται για κάθε οντότητα στο υπόδειγμα “Φερεγγυότητα ομίλου”. Δεν είναι δυνατή άμεση σύνδεση με το υπόδειγμα CA στις περιπτώσεις όπου δεν πραγματοποιείται υπέρβαση του κατώτατου ορίου 1 %.</w:t>
      </w:r>
    </w:p>
    <w:p w14:paraId="606DC9DE"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36</w:t>
      </w:r>
      <w:r>
        <w:fldChar w:fldCharType="end"/>
      </w:r>
      <w:r>
        <w:t>.</w:t>
      </w:r>
      <w:r>
        <w:tab/>
        <w:t>Τα ιδρύματα καθορίζουν την καταλληλότερη μέθοδο ανάλυσης μεταξύ των οντοτήτων, ώστε να λαμβάνουν υπόψη τις πιθανές επιπτώσεις της διαφοροποίησης του κινδύνου αγοράς και του λειτουργικού κινδύνου.</w:t>
      </w:r>
    </w:p>
    <w:p w14:paraId="6EE62E0D"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37</w:t>
      </w:r>
      <w:r>
        <w:fldChar w:fldCharType="end"/>
      </w:r>
      <w:r>
        <w:t>.</w:t>
      </w:r>
      <w:r>
        <w:tab/>
        <w:t xml:space="preserve">Είναι δυνατόν ένας ενοποιημένος όμιλος να περιλαμβάνεται εντός ενός άλλου ενοποιημένου ομίλου. Αυτό σημαίνει ότι οι οντότητες εντός υποομίλου αναφέρονται για κάθε οντότητα χωριστά στη “Φερεγγυότητα ομίλου” (GS) ολόκληρου του ομίλου, ακόμη και αν ο ίδιος ο υποόμιλος υπόκειται σε απαιτήσεις αναφοράς. Οι υποόμιλοι που υπόκεινται σε απαιτήσεις αναφοράς αναφέρουν επίσης το υπόδειγμα GS για κάθε οντότητα χωριστά, μολονότι τα στοιχεία αυτά περιλαμβάνονται σε υπόδειγμα GS ανώτερου ενοποιημένου ομίλου. </w:t>
      </w:r>
    </w:p>
    <w:p w14:paraId="0F8191DA" w14:textId="77777777" w:rsidR="00173F08" w:rsidRPr="002A677E" w:rsidRDefault="00173F08" w:rsidP="00D40ABE">
      <w:pPr>
        <w:pStyle w:val="InstructionsText2"/>
        <w:numPr>
          <w:ilvl w:val="0"/>
          <w:numId w:val="0"/>
        </w:numPr>
        <w:ind w:left="360"/>
      </w:pPr>
      <w:r>
        <w:fldChar w:fldCharType="begin"/>
      </w:r>
      <w:r>
        <w:instrText>seq paragraphs</w:instrText>
      </w:r>
      <w:r>
        <w:fldChar w:fldCharType="separate"/>
      </w:r>
      <w:r>
        <w:t>38</w:t>
      </w:r>
      <w:r>
        <w:fldChar w:fldCharType="end"/>
      </w:r>
      <w:r>
        <w:t>.</w:t>
      </w:r>
      <w:r>
        <w:tab/>
        <w:t xml:space="preserve">Ένα ίδρυμα παρέχει στοιχεία της συνεισφοράς μιας οντότητας, όταν η συνεισφορά της στο συνολικό ποσό ανοίγματος στον κίνδυνο υπερβαίνει το 1 % του συνολικού ποσού ανοίγματος στον κίνδυνο του ομίλου ή όταν η συνεισφορά της στα συνολικά ίδια κεφάλαια </w:t>
      </w:r>
      <w:r>
        <w:lastRenderedPageBreak/>
        <w:t>υπερβαίνει το 1 % των συνολικών ιδίων κεφαλαίων του ομίλου. Αυτό το κατώτατο όριο δεν ισχύει στην περίπτωση θυγατρικών ή υποομίλων που παρέχουν ίδια κεφάλαια (υπό μορφή δικαιωμάτων μειοψηφίας ή αποδεκτών μέσων ΑΤ1 ή Τ2 που περιλαμβάνονται στα ίδια κεφάλαια) στον όμιλο.</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tab/>
      </w:r>
      <w:r>
        <w:rPr>
          <w:rFonts w:ascii="Times New Roman" w:hAnsi="Times New Roman"/>
          <w:sz w:val="24"/>
        </w:rPr>
        <w:t>C 06.01 – ΦΕΡΕΓΓΥΟΤΗΤΑ ΟΜΙΛΟΥ: ΠΛΗΡΟΦΟΡΙΕΣ ΣΧΕΤΙΚΑ ΜΕ ΣΥΝΔΕΔΕΜΕΝΕΣ ΕΠΙΧΕΙΡΗΣΕΙΣ – Σύνολο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Οδηγίες</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Βλέπε οδηγίες για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Βλέπε οδηγίες για C 06.02</w:t>
            </w:r>
          </w:p>
        </w:tc>
      </w:tr>
    </w:tbl>
    <w:p w14:paraId="20B2DE5D" w14:textId="77777777" w:rsidR="00173F08" w:rsidRPr="002A677E" w:rsidRDefault="00173F08" w:rsidP="00D40ABE">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Γραμμές</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Οδηγίες</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ΣΥΝΟΛΟ</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Το σύνολο αντιπροσωπεύει το άθροισμα των τιμών που αναφέρονται σε όλες τις γραμμές του υποδείγματος C 06.02.</w:t>
            </w:r>
          </w:p>
        </w:tc>
      </w:tr>
    </w:tbl>
    <w:p w14:paraId="6ED4F138" w14:textId="77777777" w:rsidR="00173F08" w:rsidRPr="002A677E" w:rsidRDefault="00173F08" w:rsidP="00D40ABE">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tab/>
      </w:r>
      <w:r>
        <w:rPr>
          <w:rFonts w:ascii="Times New Roman" w:hAnsi="Times New Roman"/>
          <w:sz w:val="24"/>
        </w:rPr>
        <w:t>C 06.02 – ΦΕΡΕΓΓΥΟΤΗΤΑ ΟΜΙΛΟΥ: ΠΛΗΡΟΦΟΡΙΕΣ ΣΧΕΤΙΚΑ ΜΕ ΣΥΝΔΕΔΕΜΕΝΕΣ ΕΠΙΧΕΙΡΗΣΕΙΣ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Οδηγίες</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 xml:space="preserve">Το παρόν υπόδειγμα έχει σχεδιαστεί για τη συλλογή πληροφοριών για όλες τις οντότητες μεμονωμένα οι οποίες εμπίπτουν στο πεδίο εφαρμογής της ενοποίησης, σύμφωνα με το </w:t>
            </w:r>
            <w:r>
              <w:rPr>
                <w:rFonts w:ascii="Times New Roman" w:hAnsi="Times New Roman"/>
                <w:sz w:val="24"/>
              </w:rPr>
              <w:t>πρώτο μέρος τίτλος II κεφάλαιο 2 του κανονισμού (ΕΕ) αριθ.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ΟΝΟΜΑΣΙΑ</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Ονομασία της οντότητας εντός του πεδίου εφαρμογής της ενοποίησης.</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ΚΩΔΙΚΟΣ</w:t>
            </w:r>
          </w:p>
          <w:p w14:paraId="099B8601" w14:textId="77777777" w:rsidR="00173F08" w:rsidRPr="002A677E" w:rsidRDefault="00173F08" w:rsidP="00D40ABE">
            <w:pPr>
              <w:pStyle w:val="InstructionsText"/>
              <w:rPr>
                <w:rStyle w:val="InstructionsTabelleText"/>
              </w:rPr>
            </w:pPr>
            <w:r>
              <w:rPr>
                <w:rStyle w:val="InstructionsTabelleText"/>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ΕΙΔΟΣ ΚΩΔΙΚΟΥ</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Τα ιδρύματα προσδιορίζουν το είδος του κωδικού που αναφέρεται στη</w:t>
            </w:r>
            <w:r>
              <w:rPr>
                <w:rStyle w:val="FormatvorlageInstructionsTabelleText"/>
                <w:rFonts w:ascii="Times New Roman" w:hAnsi="Times New Roman"/>
                <w:sz w:val="24"/>
              </w:rPr>
              <w:t xml:space="preserve"> στήλη 0021 ως “Κωδικό LEI” ή “Κωδικό μη LEI”. Το είδος του κωδικού αναφέρεται πάντοτε.</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ΕΘΝΙΚΟΣ ΚΩΔΙΚΟΣ</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Τα ιδρύματα μπορούν επιπλέον να αναφέρουν τον εθνικό κωδικό όταν αναφέρουν τον κωδικό LEI ως αναγνωριστικό στη στήλη “Κωδικός”.</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ΙΔΡΥΜΑ Ή ΙΣΟΔΥΝΑΜΟ (ΝΑΙ / ΟΧΙ)</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“ΝΑΙ” αναφέρεται στην περίπτωση που η οντότητα υπόκειται σε απαιτήσεις ιδίων κεφαλαίων σύμφωνα με τον </w:t>
            </w:r>
            <w:r>
              <w:rPr>
                <w:rFonts w:ascii="Times New Roman" w:hAnsi="Times New Roman"/>
                <w:sz w:val="24"/>
              </w:rPr>
              <w:t xml:space="preserve">κανονισμό (ΕΕ) αριθ. 575/2013 </w:t>
            </w:r>
            <w:r>
              <w:rPr>
                <w:rStyle w:val="InstructionsTabelleText"/>
                <w:rFonts w:ascii="Times New Roman" w:hAnsi="Times New Roman"/>
                <w:sz w:val="24"/>
              </w:rPr>
              <w:t>και την</w:t>
            </w:r>
            <w:r>
              <w:rPr>
                <w:rFonts w:ascii="Times New Roman" w:hAnsi="Times New Roman"/>
                <w:sz w:val="24"/>
              </w:rPr>
              <w:t xml:space="preserve"> οδηγία 2013/36/ΕΕ</w:t>
            </w:r>
            <w:r>
              <w:rPr>
                <w:rStyle w:val="InstructionsTabelleText"/>
                <w:rFonts w:ascii="Times New Roman" w:hAnsi="Times New Roman"/>
                <w:sz w:val="24"/>
              </w:rPr>
              <w:t xml:space="preserve"> ή σε διατάξεις τουλάχιστον ισοδύναμες των διατάξεων της Βασιλείας.</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“ΟΧΙ” αναφέρεται σε κάθε άλλη περίπτωση.</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Δικαιώματα μειοψηφίας:</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Άρθρο 81 παράγραφος 1 στοιχείο α) σημείο ii) και άρθρο 82 παράγραφος 1 στοιχείο α) σημείο ii) του κανονισμού (ΕΕ) αριθ.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Για τους σκοπούς των δικαιωμάτων μειοψηφίας και των μέσων ΑΤ1 και Τ2 που εκδίδονται από θυγατρικές, οι θυγατρικές των οποίων τα μέσα μπορούν να είναι επιλέξιμα είναι ιδρύματα ή επιχειρήσεις που υπόκεινται στις απαιτήσεις του κανονισμού (ΕΕ) αριθ. 575/2013 δυνάμει του εφαρμοστέου εθνικού δικαίου.</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ΕΙΔΟΣ ΟΝΤΟΤΗΤΑΣ</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Το είδος οντότητας αναφέρεται βάσει των ακόλουθων κατηγοριών:</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α)</w:t>
            </w:r>
            <w:r>
              <w:tab/>
            </w:r>
            <w:r>
              <w:rPr>
                <w:rStyle w:val="InstructionsTabelleText"/>
                <w:rFonts w:ascii="Times New Roman" w:hAnsi="Times New Roman"/>
                <w:sz w:val="24"/>
              </w:rPr>
              <w:t>πιστωτικό ίδρυμα</w:t>
            </w:r>
          </w:p>
          <w:p w14:paraId="665499B6" w14:textId="77777777" w:rsidR="00173F08" w:rsidRPr="002A677E" w:rsidRDefault="00173F08" w:rsidP="00822842">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άρθρο 4 παράγραφος 1 σημείο 1) </w:t>
            </w:r>
            <w:r>
              <w:rPr>
                <w:rFonts w:ascii="Times New Roman" w:hAnsi="Times New Roman"/>
                <w:sz w:val="24"/>
              </w:rPr>
              <w:t>του κανονισμού (ΕΕ) αριθ. 575/2013</w:t>
            </w:r>
            <w:r>
              <w:rPr>
                <w:rStyle w:val="InstructionsTabelleText"/>
                <w:rFonts w:ascii="Times New Roman" w:hAnsi="Times New Roman"/>
                <w:sz w:val="24"/>
              </w:rPr>
              <w:t>·</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β)</w:t>
            </w:r>
            <w:r>
              <w:tab/>
            </w:r>
            <w:r>
              <w:rPr>
                <w:rStyle w:val="InstructionsTabelleText"/>
                <w:rFonts w:ascii="Times New Roman" w:hAnsi="Times New Roman"/>
                <w:sz w:val="24"/>
              </w:rPr>
              <w:t>επιχείρηση επενδύσεων</w:t>
            </w:r>
          </w:p>
          <w:p w14:paraId="63975777"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σημείο 2) </w:t>
            </w:r>
            <w:r>
              <w:rPr>
                <w:rFonts w:ascii="Times New Roman" w:hAnsi="Times New Roman"/>
                <w:sz w:val="24"/>
              </w:rPr>
              <w:t>του κανονισμού (ΕΕ) αριθ. 575/2013</w:t>
            </w:r>
            <w:r>
              <w:rPr>
                <w:rStyle w:val="InstructionsTabelleText"/>
                <w:rFonts w:ascii="Times New Roman" w:hAnsi="Times New Roman"/>
                <w:sz w:val="24"/>
              </w:rPr>
              <w:t>·</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γ)</w:t>
            </w:r>
            <w:r>
              <w:tab/>
            </w:r>
            <w:r>
              <w:rPr>
                <w:rStyle w:val="InstructionsTabelleText"/>
                <w:rFonts w:ascii="Times New Roman" w:hAnsi="Times New Roman"/>
                <w:sz w:val="24"/>
              </w:rPr>
              <w:t>χρηματοπιστωτικό ίδρυμα (άλλο)</w:t>
            </w:r>
          </w:p>
          <w:p w14:paraId="5B5F8DA3"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σημεία 20), 21) και 26) </w:t>
            </w:r>
            <w:r>
              <w:rPr>
                <w:rFonts w:ascii="Times New Roman" w:hAnsi="Times New Roman"/>
                <w:sz w:val="24"/>
              </w:rPr>
              <w:t>του κανονισμού (ΕΕ) αριθ.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Χρηματοπιστωτικά ιδρύματα κατά την έννοια του άρθρου 4 παράγραφος 1 σημείο 26) </w:t>
            </w:r>
            <w:r>
              <w:rPr>
                <w:rFonts w:ascii="Times New Roman" w:hAnsi="Times New Roman"/>
                <w:sz w:val="24"/>
              </w:rPr>
              <w:t xml:space="preserve">του κανονισμού (ΕΕ) αριθ. 575/2013 </w:t>
            </w:r>
            <w:r>
              <w:rPr>
                <w:rStyle w:val="InstructionsTabelleText"/>
                <w:rFonts w:ascii="Times New Roman" w:hAnsi="Times New Roman"/>
                <w:sz w:val="24"/>
              </w:rPr>
              <w:t>τα οποία δεν συμπεριλαμβάνονται σε μία από τις κατηγορίες δ), ε) ή ζ)·</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δ)</w:t>
            </w:r>
            <w:r>
              <w:tab/>
            </w:r>
            <w:r>
              <w:rPr>
                <w:rStyle w:val="InstructionsTabelleText"/>
                <w:rFonts w:ascii="Times New Roman" w:hAnsi="Times New Roman"/>
                <w:sz w:val="24"/>
              </w:rPr>
              <w:t>(μεικτή) χρηματοοικονομική εταιρεία συμμετοχών</w:t>
            </w:r>
          </w:p>
          <w:p w14:paraId="1C70DDA8"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σημεία 20) και 21) </w:t>
            </w:r>
            <w:r>
              <w:rPr>
                <w:rFonts w:ascii="Times New Roman" w:hAnsi="Times New Roman"/>
                <w:sz w:val="24"/>
              </w:rPr>
              <w:t>του κανονισμού (ΕΕ) αριθ. 575/2013</w:t>
            </w:r>
            <w:r>
              <w:rPr>
                <w:rStyle w:val="InstructionsTabelleText"/>
                <w:rFonts w:ascii="Times New Roman" w:hAnsi="Times New Roman"/>
                <w:sz w:val="24"/>
              </w:rPr>
              <w:t>·</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ε)</w:t>
            </w:r>
            <w:r>
              <w:tab/>
            </w:r>
            <w:r>
              <w:rPr>
                <w:rStyle w:val="InstructionsTabelleText"/>
                <w:rFonts w:ascii="Times New Roman" w:hAnsi="Times New Roman"/>
                <w:sz w:val="24"/>
              </w:rPr>
              <w:t>επιχείρηση παροχής επικουρικών υπηρεσιών</w:t>
            </w:r>
          </w:p>
          <w:p w14:paraId="21A43501"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σημείο 18) </w:t>
            </w:r>
            <w:r>
              <w:rPr>
                <w:rFonts w:ascii="Times New Roman" w:hAnsi="Times New Roman"/>
                <w:sz w:val="24"/>
              </w:rPr>
              <w:t>του κανονισμού (ΕΕ) αριθ. 575/2013</w:t>
            </w:r>
            <w:r>
              <w:rPr>
                <w:rStyle w:val="InstructionsTabelleText"/>
                <w:rFonts w:ascii="Times New Roman" w:hAnsi="Times New Roman"/>
                <w:sz w:val="24"/>
              </w:rPr>
              <w:t>·</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στ)</w:t>
            </w:r>
            <w:r>
              <w:tab/>
            </w:r>
            <w:r>
              <w:rPr>
                <w:rStyle w:val="InstructionsTabelleText"/>
                <w:rFonts w:ascii="Times New Roman" w:hAnsi="Times New Roman"/>
                <w:sz w:val="24"/>
              </w:rPr>
              <w:t>οντότητα ειδικού σκοπού για τιτλοποίηση (ΟΕΣΤ),</w:t>
            </w:r>
          </w:p>
          <w:p w14:paraId="0A5E1647"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άρθρο 4 παράγραφος 1 σημείο 66) </w:t>
            </w:r>
            <w:r>
              <w:rPr>
                <w:rFonts w:ascii="Times New Roman" w:hAnsi="Times New Roman"/>
                <w:sz w:val="24"/>
              </w:rPr>
              <w:t>του κανονισμού (ΕΕ) αριθ. 575/2013</w:t>
            </w:r>
            <w:r>
              <w:rPr>
                <w:rStyle w:val="InstructionsTabelleText"/>
                <w:rFonts w:ascii="Times New Roman" w:hAnsi="Times New Roman"/>
                <w:sz w:val="24"/>
              </w:rPr>
              <w:t>·</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ζ)</w:t>
            </w:r>
            <w:r>
              <w:tab/>
            </w:r>
            <w:r>
              <w:rPr>
                <w:rStyle w:val="InstructionsTabelleText"/>
                <w:rFonts w:ascii="Times New Roman" w:hAnsi="Times New Roman"/>
                <w:sz w:val="24"/>
              </w:rPr>
              <w:t>εταιρεία καλυμμένων ομολόγων</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lastRenderedPageBreak/>
              <w:t>Οντότητα που έχει συσταθεί για να εκδίδει καλυμμένα ομόλογα ή να κατέχει τις εξασφαλίσεις που καλύπτουν ένα καλυμμένο ομόλογο, εάν δεν συμπεριλαμβάνεται σε μια από τις κατηγορίες α), β) ή δ) έως στ) ανωτέρω·</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η)</w:t>
            </w:r>
            <w:r>
              <w:tab/>
            </w:r>
            <w:r>
              <w:rPr>
                <w:rStyle w:val="InstructionsTabelleText"/>
                <w:rFonts w:ascii="Times New Roman" w:hAnsi="Times New Roman"/>
                <w:sz w:val="24"/>
              </w:rPr>
              <w:t>άλλο είδος οντότητας</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Οντότητα άλλη από εκείνες που αναφέρονται στα στοιχεία α) έως ζ).</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 xml:space="preserve">Σε περίπτωση που μια οντότητα δεν υπόκειται στον </w:t>
            </w:r>
            <w:r>
              <w:rPr>
                <w:rFonts w:ascii="Times New Roman" w:hAnsi="Times New Roman"/>
                <w:sz w:val="24"/>
              </w:rPr>
              <w:t xml:space="preserve">κανονισμό (ΕΕ) αριθ. 575/2013 </w:t>
            </w:r>
            <w:r>
              <w:rPr>
                <w:rStyle w:val="InstructionsTabelleberschrift"/>
                <w:rFonts w:ascii="Times New Roman" w:hAnsi="Times New Roman"/>
                <w:sz w:val="24"/>
              </w:rPr>
              <w:t xml:space="preserve">και στην </w:t>
            </w:r>
            <w:r>
              <w:rPr>
                <w:rFonts w:ascii="Times New Roman" w:hAnsi="Times New Roman"/>
                <w:sz w:val="24"/>
              </w:rPr>
              <w:t>οδηγία 2013/36/ΕΕ</w:t>
            </w:r>
            <w:r>
              <w:rPr>
                <w:rStyle w:val="InstructionsTabelleberschrift"/>
                <w:rFonts w:ascii="Times New Roman" w:hAnsi="Times New Roman"/>
                <w:sz w:val="24"/>
              </w:rPr>
              <w:t>, αλλά υπόκειται σε διατάξεις τουλάχιστον ισοδύναμες με τις διατάξεις της Βασιλείας, η σχετική κατηγορία προσδιορίζεται με τη μέγιστη δυνατή επιμέλεια.</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ΠΕΔΙΟ ΕΦΑΡΜΟΓΗΣ ΔΕΔΟΜΕΝΩΝ: </w:t>
            </w:r>
            <w:r>
              <w:rPr>
                <w:rFonts w:ascii="Times New Roman" w:hAnsi="Times New Roman"/>
                <w:b/>
                <w:caps/>
                <w:sz w:val="24"/>
                <w:u w:val="single"/>
              </w:rPr>
              <w:t>ατομικό πλήρως ενοποιημένο (SF) Ή ατομικό μερικώς ενοποιημένο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“SF”</w:t>
            </w:r>
            <w:r>
              <w:rPr>
                <w:rFonts w:ascii="Times New Roman" w:hAnsi="Times New Roman"/>
                <w:sz w:val="24"/>
              </w:rPr>
              <w:t xml:space="preserve"> αναφέρεται στην περίπτωση πλήρως ενοποιημένων μεμονωμένων θυγατρικών.</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αναφέρεται στην περίπτωση μερικώς ενοποιημένων μεμονωμένων θυγατρικών.</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ΚΩΔΙΚΟΣ ΧΩΡΑΣ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τον διψήφιο κωδικό χώρας σύμφωνα με το πρότυπο ISO 3166-1 alpha-2.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ΜΕΡΙΔΙΟ ΣΥΜΜΕΤΟΧΗΣ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Το ποσοστό αυτό αφορά το πραγματικό μερίδιο κεφαλαίου που κατέχει η μητρική επιχείρηση στις θυγατρικές. Σε περίπτωση πλήρους ενοποίησης μιας άμεσης θυγατρικής, το πραγματικό μερίδιο είναι π.χ. 70 %. Σύμφωνα με το άρθρο 4 παράγραφος 1 σημείο 16) </w:t>
            </w:r>
            <w:r>
              <w:rPr>
                <w:rFonts w:ascii="Times New Roman" w:hAnsi="Times New Roman"/>
                <w:sz w:val="24"/>
              </w:rPr>
              <w:t>του κανονισμού (ΕΕ) αριθ. 575/2013</w:t>
            </w:r>
            <w:r>
              <w:rPr>
                <w:rStyle w:val="InstructionsTabelleText"/>
                <w:rFonts w:ascii="Times New Roman" w:hAnsi="Times New Roman"/>
                <w:sz w:val="24"/>
              </w:rPr>
              <w:t>, το μερίδιο συμμετοχής σε θυγατρική που πρέπει να αναφέρεται προκύπτει από τον πολλαπλασιασμό των μεριδίων μεταξύ των εμπλεκόμενων θυγατρικών.</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ΟΜΑΔΑ ΣΥΜΨΗΦΙΣΜΟΥ</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Ως “ομάδα συμψηφισμού” νοείται:</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ομάδα οντοτήτων στην οποία η αρμόδια αρχή έχει χορηγήσει την άδεια να χρησιμοποιεί θέσεις σε ίδρυμα ή επιχείρηση της εν λόγω ομάδας για τον συμψηφισμό θέσεων σε άλλο ίδρυμα ή επιχείρηση της ίδιας ομάδας σύμφωνα με το άρθρο 325β του κανονισμού (ΕΕ) αριθ.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κάθε μεμονωμένη οντότητα της οποίας οι θέσεις δεν μπορούν να συμψηφιστούν με τις θέσεις οποιασδήποτε άλλης οντότητας της ίδιας ομάδας που υπόκειται σε ενοποιημένη εποπτεία σύμφωνα με την οδηγία 2013/36/ΕΕ, διότι η αρμόδια αρχή δεν έχει χορηγήσει την άδεια σύμφωνα με το άρθρο 325β του εν λόγω κανονισμού.</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Τα ιδρύματα αναφέρουν την ομάδα συμψηφισμού στην οποία ανήκει κάθε οντότητα που περιλαμβάνεται στο υπόδειγμα, εάν πληρούν τις ακόλουθες δύο προϋποθέσεις:</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α) Υπολογίζουν τις απαιτήσεις ιδίων κεφαλαίων για τις δραστηριότητές τους που υπόκεινται σε κίνδυνο αγοράς σύμφωνα με τον κανονισμό (ΕΕ) αριθ. 575/2013 τρίτο μέρος τίτλος IV κεφάλαιο 1α ή κεφάλαιο 1β ή και τα δύο ή υπόκεινται στην υποχρέωση αναφοράς πληροφοριών σχετικά με τις εν λόγω απαιτήσεις ιδίων κεφαλαίων σύμφωνα με το άρθρο 430 παράγραφος 2α ή 2β του εν λόγω κανονισμού·</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β) Η ομάδα που υπόκειται σε ενοποιημένη εποπτεία σύμφωνα με την οδηγία 2013/36/ΕΕ περιλαμβάνει τουλάχιστον δύο ομάδες συμψηφισμού.</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Οι τιμές που αναφέρονται σε αυτή τη στήλη είναι “Ομάδα συμψηφισμού 1”, “Ομάδα συμψηφισμού 2”, κ.λπ. Η παρεχόμενη χαρτογράφηση μεταξύ των νομικών οντοτήτων και των ομάδων συμψηφισμού είναι συνεπής σε βάθος χρόνου, συνεπής μεταξύ αναφορών της ίδιας ομάδας που υπόκειται σε ενοποιημένη εποπτεία και συνεπής με τον προσδιορισμό των ομάδων συμψηφισμού στα υποδείγματα που περιλαμβάνονται στο </w:t>
            </w:r>
            <w:r>
              <w:rPr>
                <w:rStyle w:val="InstructionsTabelleText"/>
                <w:rFonts w:ascii="Times New Roman" w:hAnsi="Times New Roman"/>
                <w:sz w:val="24"/>
                <w:highlight w:val="yellow"/>
              </w:rPr>
              <w:t>[παράρτημα I του κανονισμού (ΕΕ)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Όταν το ίδρυμα πληροί την προϋπόθεση α) που ορίζεται ανωτέρω, αλλά η ομάδα που υπόκειται σε ενοποιημένη εποπτεία σύμφωνα με την οδηγία 2013/36/ΕΕ περιλαμβάνει μόνο μία ομάδα συμψηφισμού, τα ιδρύματα αναφέρουν “μία μόνο ομάδα συμψηφισμού” στη γραμμή που αντιστοιχεί στη μητρική εταιρεία της ομάδας που αναφέρεται στο παρόν υπόδειγμα.</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ΟΝΤΟΤΗΤΕΣ ΠΟΥ ΥΠΟΚΕΙΝΤΑΙ ΣΕ ΑΠΑΙΤΗΣΕΙΣ ΙΔΙΩΝ ΚΕΦΑΛΑΙΩΝ</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Στην ενότητα των λεπτομερών πληροφοριών (δηλαδή στήλες 0070 έως 0240) συλλέγονται πληροφορίες μόνο για τις οντότητες και τους υποομίλους που, όντας στο πεδίο εφαρμογής της ενοποίησης [</w:t>
            </w:r>
            <w:r>
              <w:rPr>
                <w:rFonts w:ascii="Times New Roman" w:hAnsi="Times New Roman"/>
                <w:sz w:val="24"/>
              </w:rPr>
              <w:t>πρώτο μέρος τίτλος II κεφάλαιο 2 του κανονισμού (ΕΕ) αριθ. 575/2013</w:t>
            </w:r>
            <w:r>
              <w:rPr>
                <w:rStyle w:val="InstructionsTabelleText"/>
                <w:rFonts w:ascii="Times New Roman" w:hAnsi="Times New Roman"/>
                <w:sz w:val="24"/>
              </w:rPr>
              <w:t xml:space="preserve">], υπόκεινται πραγματικά σε απαιτήσεις φερεγγυότητας που προβλέπονται στον </w:t>
            </w:r>
            <w:r>
              <w:rPr>
                <w:rFonts w:ascii="Times New Roman" w:hAnsi="Times New Roman"/>
                <w:sz w:val="24"/>
              </w:rPr>
              <w:t xml:space="preserve">κανονισμό (ΕΕ) αριθ. 575/2013 </w:t>
            </w:r>
            <w:r>
              <w:rPr>
                <w:rStyle w:val="InstructionsTabelleText"/>
                <w:rFonts w:ascii="Times New Roman" w:hAnsi="Times New Roman"/>
                <w:sz w:val="24"/>
              </w:rPr>
              <w:t xml:space="preserve">ή σε διατάξεις που είναι τουλάχιστον ισοδύναμες των διατάξεων της Βασιλείας (δηλαδή έχει δηλωθεί ΝΑΙ στη στήλη 0030).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Περιλαμβάνονται πληροφορίες για όλα τα επιμέρους ιδρύματα ενός ενοποιημένου ομίλου που υπόκεινται σε απαιτήσεις ιδίων κεφαλαίων, ανεξαρτήτως της τοποθεσίας τους. </w:t>
            </w:r>
          </w:p>
          <w:p w14:paraId="44903571" w14:textId="77777777" w:rsidR="00173F08" w:rsidRPr="002A677E" w:rsidRDefault="00173F08" w:rsidP="00822842">
            <w:pPr>
              <w:rPr>
                <w:rFonts w:ascii="Times New Roman" w:hAnsi="Times New Roman"/>
                <w:sz w:val="24"/>
              </w:rPr>
            </w:pPr>
            <w:r>
              <w:rPr>
                <w:rFonts w:ascii="Times New Roman" w:hAnsi="Times New Roman"/>
                <w:sz w:val="24"/>
              </w:rPr>
              <w:t>Οι πληροφορίες που αναφέρονται στο παρόν μέρος συνάδουν με τους τοπικούς κανόνες περί φερεγγυότητας της δικαιοδοσίας στον τόπο λειτουργίας του ιδρύματος (επομένως, για το συγκεκριμένο υπόδειγμα, δεν απαιτείται διπλός υπολογισμός σε ατομική βάση σύμφωνα με τους κανόνες του μητρικού ιδρύματος). Όταν οι τοπικοί κανόνες περί φερεγγυότητας διαφέρουν από τον κανονισμό (ΕΕ) αριθ. 575/2013 και δεν παρέχεται συγκρίσιμη ανάλυση, οι πληροφορίες συμπληρώνονται στην περίπτωση που υπάρχουν διαθέσιμα δεδομένα με αντίστοιχο επίπεδο ανάλυσης. Επομένως, το παρόν μέρος αποτελεί ένα τεκμηριωμένο υπόδειγμα που συνοψίζει τους υπολογισμούς που διενεργούν τα επιμέρους ιδρύματα ενός ομίλου, έχοντας υπόψη ότι ορισμένα από τα ιδρύματα αυτά δύναται να υπόκεινται σε διαφορετικούς κανόνες περί φερεγγυότητας.</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Αναφορά παγίων εξόδων επιχειρήσεων επενδύσεων:</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Οι επιχειρήσεις επενδύσεων περιλαμβάνουν απαιτήσεις ιδίων κεφαλαίων σχετικά με τα πάγια έξοδα στον υπολογισμό του δείκτη κεφαλαίου, σύμφωνα με τα άρθρα 95, 96, 97 και 98 </w:t>
            </w:r>
            <w:r>
              <w:rPr>
                <w:rFonts w:ascii="Times New Roman" w:hAnsi="Times New Roman"/>
                <w:sz w:val="24"/>
              </w:rPr>
              <w:t>του κανονισμού (ΕΕ) αριθ. 575/2013</w:t>
            </w:r>
            <w:r>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Το μέρος του συνολικού ποσού ανοίγματος σε κίνδυνο που αφορά τα πάγια έξοδα αναφέρεται στη στήλη 0100 του παρόντος υποδείγματος.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ΣΥΝΟΛΙΚΟ ΠΟΣΟ ΑΝΟΙΓΜΑΤΟΣ ΣΕ ΚΙΝΔΥΝΟ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0080 έως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ΠΡΟΣΑΡΜΟΓΗ ΚΑΤΩΤΑΤΟΥ ΟΡΙΟΥ (ΚΑΤΩΤΑΤΟ ΟΡΙΟ ΚΕΦΑΛΑΙΑΚΩΝ ΑΠΑΙΤΗΣΕΩΝ TREA)</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Οι οντότητες αναφέρουν την προσαρμογή κατώτατου ορίου υπολογισμένη σε ατομική βάση.</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ΠΙΣΤΩΤΙΚΟΣ ΚΙΝΔΥΝΟΣ, ΠΙΣΤΩΤΙΚΟΣ ΚΙΝΔΥΝΟΣ ΑΝΤΙΣΥΜΒΑΛΛΟΜΕΝΟΥ, ΚΙΝΔΥΝΟΣ ΑΠΟΜΕΙΩΣΗΣ ΑΞΙΑΣ ΕΙΣΠΡΑΚΤΕΩΝ, ΑΤΕΛΕΙΣ ΣΥΝΑΛΛΑΓΕΣ ΚΑΙ ΚΙΝΔΥΝΟΣ ΔΙΑΚΑΝΟΝΙΣΜΟΥ/ΠΑΡΑΔΟΣΗΣ</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άθροισμα των σταθμισμένων ως προς τον κίνδυνο ποσών ανοιγμάτων που ισούνται ή είναι ισοδύναμα των ποσών που πρέπει να αναφέρονται στη γραμμή 0040 “</w:t>
            </w:r>
            <w:r>
              <w:rPr>
                <w:rStyle w:val="InstructionsTabelleberschrift"/>
                <w:rFonts w:ascii="Times New Roman" w:hAnsi="Times New Roman"/>
                <w:sz w:val="24"/>
              </w:rPr>
              <w:t>ΠΟΣΑ ΑΝΟΙΓΜΑΤΟΣ ΣΤΑΘΜΙΣΜΕΝΑ ΩΣ ΠΡΟΣ ΤΟΝ ΚΙΝΔΥΝΟ</w:t>
            </w:r>
            <w:r>
              <w:rPr>
                <w:rStyle w:val="InstructionsTabelleText"/>
                <w:rFonts w:ascii="Times New Roman" w:hAnsi="Times New Roman"/>
                <w:sz w:val="24"/>
              </w:rPr>
              <w:t xml:space="preserve"> ΟΣΟΝ ΑΦΟΡΑ ΤΟΝ ΠΙΣΤΩΤΙΚΟ ΚΙΝΔΥΝΟ, ΤΟΝ ΠΙΣΤΩΤΙΚΟ ΚΙΝΔΥΝΟ ΑΝΤΙΣΥΜΒΑΛΛΟΜΕΝΟΥ ΚΑΙ ΤΟΝ ΚΙΝΔΥΝΟ ΑΠΟΜΕΙΩΣΗΣ ΤΗΣ ΑΞΙΑΣ ΕΙΣΠΡΑΚΤΕΩΝ ΚΑΙ ΤΙΣ ΑΤΕΛΕΙΣ ΣΥΝΑΛΛΑΓΕΣ” και των ποσών των απαιτήσεων ιδίων κεφαλαίων που ισούνται ή είναι ισοδύναμα με τα ποσά που πρέπει να αναφέρονται στη γραμμή 0490 “ΣΥΝΟΛΙΚΟ ΠΟΣΟ ΑΝΟΙΓΜΑΤΟΣ ΣΕ ΚΙΝΔΥΝΟ ΔΙΑΚΑΝΟΝΙΣΜΟΥ/ΠΑΡΑΔΟΣΗΣ” του υποδείγματος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ΚΙΝΔΥΝΟΙ ΑΓΟΡΑΣ</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των απαιτήσεων ιδίων κεφαλαίων που ισούνται ή είναι ισοδύναμες των απαιτήσεων που πρέπει να αναφέρονται στη γραμμή 0520 “ΣΥΝΟΛΙΚO ΠΟΣO ΑΝΟIΓΜΑΤΟΣ ΣΕ ΚIΝΔΥΝΟ ΓΙΑ ΤΙΣ ΔΡΑΣΤΗΡΙΟΤΗΤΕΣ ΠΟΥ ΥΠΟΚΕΙΝΤΑΙ ΣΤΟΝ ΚΙΝΔΥΝΟ ΑΓΟΡΑΣ” του υποδείγματος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ισούται ή είναι ισοδύναμο του ποσού που αναφέρεται στη γραμμή 0590 “ΣΥΝΟΛΙΚΟ ΠΟΣΟ ΑΝΟΙΓΜΑΤΟΣ ΣΕ ΛΕΙΤΟΥΡΓΙΚΟ ΚΙΝΔΥΝΟ (OpR)” του υποδείγματος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Τα πάγια έξοδα περιλαμβάνονται στη συγκεκριμένη στήλη, συμπεριλαμβανομένης της γραμμής 0630 “ΠΡΟΣΘΕΤΟ ΠΟΣΟ ΑΝΟΙΓΜΑΤΟΣ ΣΕ ΚΙΝΔΥΝΟ ΛΟΓΩ ΠΑΓΙΩΝ ΕΞΟΔΩΝ” του υποδείγματος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δεν αναφέρεται συγκεκριμένα ανωτέρω. Πρόκειται για το άθροισμα των ποσών των γραμμών 0640, 0680 και 0690 του υποδείγματος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ΛΕΠΤΟΜΕΡΕΙΣ ΠΛΗΡΟΦΟΡΙΕΣ ΓΙΑ ΤΑ ΙΔΙΑ ΚΕΦΑΛΑΙΑ ΦΕΡΕΓΓΥΟΤΗΤΑΣ ΟΜΙΛΟΥ</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Οι πληροφορίες που αναφέρονται στις ακόλουθες στήλες συνάδουν με τους κανόνες περί φερεγγυότητας του κράτους μέλους στο οποίο λειτουργεί το ίδρυμα ή ο υποόμιλος.</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ΙΔΙΑ ΚΕΦΑΛΑΙΑ</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Το προς αναφορά στη συγκεκριμένη στήλη ποσό αντιστοιχεί στο ποσό των ιδίων κεφαλαίων που ισούνται ή είναι ισοδύναμα των ποσών που πρέπει να αναφέρονται στη γραμμή 0010 “ΙΔΙΑ ΚΕΦΑΛΑΙΑ” του υποδείγματος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ΟΠΟΙΩΝ: ΑΠΟΔΕΚΤΑ ΙΔΙΑ ΚΕΦΑΛΑΙΑ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82</w:t>
            </w:r>
            <w:r>
              <w:rPr>
                <w:rFonts w:ascii="Times New Roman" w:hAnsi="Times New Roman"/>
                <w:sz w:val="24"/>
              </w:rPr>
              <w:t xml:space="preserve"> του κανονισμού (ΕΕ) αριθ.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Η στήλη υποβάλλεται μόνο για πλήρως ενοποιημένες θυγατρικές, για τις οποίες υποβάλλονται αναφορές σε ατομική βάση και οι οποίες είναι ιδρύματα. </w:t>
            </w:r>
          </w:p>
          <w:p w14:paraId="1DFAED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Αποδεκτές συμμετοχές είναι, για τις προαναφερθείσες θυγατρικές, τα μέσα (καθώς και τα σχετικά κέρδη εις νέον, οι λογαριασμοί διαφοράς από την έκδοση μετοχών υπέρ το άρτιο και τα άλλα αποθεματικά) που ανήκουν σε πρόσωπα εκτός των επιχειρήσεων και περιλαμβάνονται στην </w:t>
            </w:r>
            <w:r>
              <w:rPr>
                <w:rFonts w:ascii="Times New Roman" w:hAnsi="Times New Roman"/>
                <w:sz w:val="24"/>
              </w:rPr>
              <w:t xml:space="preserve">ενοποίηση </w:t>
            </w:r>
            <w:r>
              <w:rPr>
                <w:rStyle w:val="InstructionsTabelleText"/>
                <w:rFonts w:ascii="Times New Roman" w:hAnsi="Times New Roman"/>
                <w:sz w:val="24"/>
              </w:rPr>
              <w:t>βάσει του κανονισμού (ΕΕ) αριθ. 575/2013</w:t>
            </w:r>
            <w:r>
              <w:rPr>
                <w:rFonts w:ascii="Times New Roman" w:hAnsi="Times New Roman"/>
                <w:sz w:val="24"/>
              </w:rPr>
              <w:t>.</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ΛΟΓΑΡΙΑΣΜΟΙ ΔΙΑΦΟΡΑΣ ΑΠΟ ΤΗΝ ΕΚΔΟΣΗ ΜΕΤΟΧΩΝ ΥΠΕΡ ΤΟ ΑΡΤΙΟ ΚΑΙ ΛΟΙΠΑ ΑΠΟΘΕΜΑΤΙΚΑ</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Άρθρο 87 παράγραφος 1 στοιχείο β)</w:t>
            </w:r>
            <w:r>
              <w:rPr>
                <w:rFonts w:ascii="Times New Roman" w:hAnsi="Times New Roman"/>
                <w:sz w:val="24"/>
              </w:rPr>
              <w:t xml:space="preserve"> του κανονισμού (ΕΕ) αριθ.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ΣΥΝΟΛΙΚΟ ΚΕΦΑΛΑΙΟ ΚΑΤΗΓΟΡΙΑΣ 1</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Άρθρο 25</w:t>
            </w:r>
            <w:r>
              <w:rPr>
                <w:rFonts w:ascii="Times New Roman" w:hAnsi="Times New Roman"/>
                <w:sz w:val="24"/>
              </w:rPr>
              <w:t xml:space="preserve"> του κανονισμού (ΕΕ) αριθ.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1</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82</w:t>
            </w:r>
            <w:r>
              <w:rPr>
                <w:rFonts w:ascii="Times New Roman" w:hAnsi="Times New Roman"/>
                <w:sz w:val="24"/>
              </w:rPr>
              <w:t xml:space="preserve"> του κανονισμού (ΕΕ) αριθ.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Η στήλη υποβάλλεται μόνο για πλήρως ενοποιημένες θυγατρικές, για τις οποίες υποβάλλονται αναφορές σε ατομική βάση και οι οποίες είναι ιδρύματα.</w:t>
            </w:r>
          </w:p>
          <w:p w14:paraId="0AF355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Αποδεκτές συμμετοχές είναι, για τις προαναφερθείσες θυγατρικές, τα μέσα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w:t>
            </w:r>
            <w:r>
              <w:rPr>
                <w:rFonts w:ascii="Times New Roman" w:hAnsi="Times New Roman"/>
                <w:sz w:val="24"/>
              </w:rPr>
              <w:t xml:space="preserve">ενοποίηση </w:t>
            </w:r>
            <w:r>
              <w:rPr>
                <w:rStyle w:val="InstructionsTabelleText"/>
                <w:rFonts w:ascii="Times New Roman" w:hAnsi="Times New Roman"/>
                <w:sz w:val="24"/>
              </w:rPr>
              <w:t>βάσει του κανονισμού (ΕΕ) αριθ.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διάταξης. Είναι το επιλέξιμο ποσό κατά την ημερομηνία υποβολής αναφοράς.</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ΣΧΕΤΙΚΑ ΜΕΣΑ T1, ΣΧΕΤΙΚΑ ΚΕΡΔΗ ΕΙΣ ΝΕΟΝ, ΚΑΙ ΛΟΓΑΡΙΑΣΜΟΙ ΔΙΑΦΟΡΑΣ ΑΠΟ ΤΗΝ ΕΚΔΟΣΗ ΜΕΤΟΧΩΝ ΥΠΕΡ ΤΟ ΑΡΤΙΟ</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του άρθρου 85 παράγραφος 1 στοιχείο β)</w:t>
            </w:r>
            <w:r>
              <w:rPr>
                <w:rFonts w:ascii="Times New Roman" w:hAnsi="Times New Roman"/>
                <w:sz w:val="24"/>
              </w:rPr>
              <w:t xml:space="preserve"> του κανονισμού (ΕΕ) αριθ.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ΚΕΦΑΛΑΙΟ ΚΟΙΝΩΝ ΜΕΤΟΧΩΝ ΤΗΣ ΚΑΤΗΓΟΡΙΑΣ 1</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Άρθρο 50</w:t>
            </w:r>
            <w:r>
              <w:rPr>
                <w:rFonts w:ascii="Times New Roman" w:hAnsi="Times New Roman"/>
                <w:sz w:val="24"/>
              </w:rPr>
              <w:t xml:space="preserve"> του κανονισμού (ΕΕ) αριθ.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ΔΙΚΑΙΩΜΑΤΑ ΜΕΙΟΨΗΦΙΑΣ</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81</w:t>
            </w:r>
            <w:r>
              <w:rPr>
                <w:rFonts w:ascii="Times New Roman" w:hAnsi="Times New Roman"/>
                <w:sz w:val="24"/>
              </w:rPr>
              <w:t xml:space="preserve"> του κανονισμού (ΕΕ) αριθ. 575/2013</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Η στήλη αυτή υποβάλλεται μόνο για πλήρως ενοποιημένες θυγατρικές, οι οποίες είναι ιδρύματα, εκτός των θυγατρικών που αναφέρονται στο άρθρο 84 παράγραφος 3 </w:t>
            </w:r>
            <w:r>
              <w:rPr>
                <w:rFonts w:ascii="Times New Roman" w:hAnsi="Times New Roman"/>
                <w:sz w:val="24"/>
              </w:rPr>
              <w:t xml:space="preserve">του </w:t>
            </w:r>
            <w:r>
              <w:rPr>
                <w:rFonts w:ascii="Times New Roman" w:hAnsi="Times New Roman"/>
                <w:sz w:val="24"/>
              </w:rPr>
              <w:lastRenderedPageBreak/>
              <w:t>κανονισμού (ΕΕ) αριθ. 575/2013</w:t>
            </w:r>
            <w:r>
              <w:rPr>
                <w:rStyle w:val="InstructionsTabelleText"/>
                <w:rFonts w:ascii="Times New Roman" w:hAnsi="Times New Roman"/>
                <w:sz w:val="24"/>
              </w:rPr>
              <w:t xml:space="preserve">. Κάθε θυγατρική εξετάζεται σε υποενοποιημένη βάση για όλους τους υπολογισμούς που απαιτούνται από το άρθρο 84 </w:t>
            </w:r>
            <w:r>
              <w:rPr>
                <w:rFonts w:ascii="Times New Roman" w:hAnsi="Times New Roman"/>
                <w:sz w:val="24"/>
              </w:rPr>
              <w:t>του κανονισμού (ΕΕ) αριθ. 575/2013</w:t>
            </w:r>
            <w:r>
              <w:rPr>
                <w:rStyle w:val="InstructionsTabelleText"/>
                <w:rFonts w:ascii="Times New Roman" w:hAnsi="Times New Roman"/>
                <w:sz w:val="24"/>
              </w:rPr>
              <w:t>, κατά περίπτωση, σύμφωνα με το άρθρο 84 παράγραφος 2. Σε αντίθετη περίπτωση, κάθε θυγατρική εξετάζεται σε ατομική βάση.</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CET1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κανονισμού (ΕΕ) αριθ.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ΛΟΓΑΡΙΑΣΜΟΙ ΔΙΑΦΟΡΑΣ ΑΠΟ ΤΗΝ ΕΚΔΟΣΗ ΜΕΤΟΧΩΝ ΥΠΕΡ ΤΟ ΑΡΤΙΟ ΚΑΙ ΛΟΙΠΑ ΑΠΟΘΕΜΑΤΙΚΑ</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Άρθρο 84 παράγραφος 1 στοιχείο β)</w:t>
            </w:r>
            <w:r>
              <w:rPr>
                <w:rFonts w:ascii="Times New Roman" w:hAnsi="Times New Roman"/>
                <w:sz w:val="24"/>
              </w:rPr>
              <w:t xml:space="preserve"> του κανονισμού (ΕΕ) αριθ.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ΠΡΟΣΘΕΤΟ ΚΕΦΑΛΑΙΟ ΤΗΣ ΚΑΤΗΓΟΡΙΑΣ 1</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Άρθρο 61</w:t>
            </w:r>
            <w:r>
              <w:rPr>
                <w:rFonts w:ascii="Times New Roman" w:hAnsi="Times New Roman"/>
                <w:sz w:val="24"/>
              </w:rPr>
              <w:t xml:space="preserve"> του κανονισμού (ΕΕ) αριθ.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ΠΡΟΣΘΕΤΟ ΚΕΦΑΛΑΙΟ ΤΗΣ ΚΑΤΗΓΟΡΙΑΣ 1</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Άρθρα 82 και 83</w:t>
            </w:r>
            <w:r>
              <w:rPr>
                <w:rFonts w:ascii="Times New Roman" w:hAnsi="Times New Roman"/>
                <w:sz w:val="24"/>
              </w:rPr>
              <w:t xml:space="preserve"> του κανονισμού (ΕΕ) αριθ. 575/2013</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οι οποίες είναι ιδρύματα, εκτός των θυγατρικών που αναφέρονται στο άρθρο 85 παράγραφος 2 </w:t>
            </w:r>
            <w:r>
              <w:rPr>
                <w:rFonts w:ascii="Times New Roman" w:hAnsi="Times New Roman"/>
                <w:sz w:val="24"/>
              </w:rPr>
              <w:t>του κανονισμού (ΕΕ) αριθ. 575/2013</w:t>
            </w:r>
            <w:r>
              <w:rPr>
                <w:rStyle w:val="InstructionsTabelleText"/>
                <w:rFonts w:ascii="Times New Roman" w:hAnsi="Times New Roman"/>
                <w:sz w:val="24"/>
              </w:rPr>
              <w:t xml:space="preserve">. Κάθε θυγατρική εξετάζεται σε υποενοποιημένη βάση για όλους τους υπολογισμούς που απαιτούνται στο άρθρο 85 </w:t>
            </w:r>
            <w:r>
              <w:rPr>
                <w:rFonts w:ascii="Times New Roman" w:hAnsi="Times New Roman"/>
                <w:sz w:val="24"/>
              </w:rPr>
              <w:t>του κανονισμού (ΕΕ) αριθ. 575/2013</w:t>
            </w:r>
            <w:r>
              <w:rPr>
                <w:rStyle w:val="InstructionsTabelleText"/>
                <w:rFonts w:ascii="Times New Roman" w:hAnsi="Times New Roman"/>
                <w:sz w:val="24"/>
              </w:rPr>
              <w:t>, κατά περίπτωση, σύμφωνα με το άρθρο 85 παράγραφος 2. Σε αντίθετη περίπτωση, κάθε θυγατρική εξετάζεται σε ατομική βάση.</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AT1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κανονισμού (ΕΕ) αριθ.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ΚΕΦΑΛΑΙΟ ΚΑΤΗΓΟΡΙΑΣ 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Άρθρο 71</w:t>
            </w:r>
            <w:r>
              <w:rPr>
                <w:rFonts w:ascii="Times New Roman" w:hAnsi="Times New Roman"/>
                <w:sz w:val="24"/>
              </w:rPr>
              <w:t xml:space="preserve"> του κανονισμού (ΕΕ) αριθ.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2</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Άρθρα 82 και 83</w:t>
            </w:r>
            <w:r>
              <w:rPr>
                <w:rFonts w:ascii="Times New Roman" w:hAnsi="Times New Roman"/>
                <w:sz w:val="24"/>
              </w:rPr>
              <w:t xml:space="preserve"> του κανονισμού (ΕΕ) αριθ. 575/2013</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οι οποίες είναι ιδρύματα, εκτός των θυγατρικών που αναφέρονται στο άρθρο 87 παράγραφος 2 </w:t>
            </w:r>
            <w:r>
              <w:rPr>
                <w:rFonts w:ascii="Times New Roman" w:hAnsi="Times New Roman"/>
                <w:sz w:val="24"/>
              </w:rPr>
              <w:t>του κανονισμού (ΕΕ) αριθ. 575/2013</w:t>
            </w:r>
            <w:r>
              <w:rPr>
                <w:rStyle w:val="InstructionsTabelleText"/>
                <w:rFonts w:ascii="Times New Roman" w:hAnsi="Times New Roman"/>
                <w:sz w:val="24"/>
              </w:rPr>
              <w:t xml:space="preserve">. Κάθε θυγατρική εξετάζεται σε υποενοποιημένη βάση για όλους τους υπολογισμούς που απαιτούνται στο άρθρο 87 </w:t>
            </w:r>
            <w:r>
              <w:rPr>
                <w:rFonts w:ascii="Times New Roman" w:hAnsi="Times New Roman"/>
                <w:sz w:val="24"/>
              </w:rPr>
              <w:t xml:space="preserve">του κανονισμού (ΕΕ) </w:t>
            </w:r>
            <w:r>
              <w:rPr>
                <w:rFonts w:ascii="Times New Roman" w:hAnsi="Times New Roman"/>
                <w:sz w:val="24"/>
              </w:rPr>
              <w:lastRenderedPageBreak/>
              <w:t>αριθ. 575/2013</w:t>
            </w:r>
            <w:r>
              <w:rPr>
                <w:rStyle w:val="InstructionsTabelleText"/>
                <w:rFonts w:ascii="Times New Roman" w:hAnsi="Times New Roman"/>
                <w:sz w:val="24"/>
              </w:rPr>
              <w:t xml:space="preserve">, κατά περίπτωση, σύμφωνα με το άρθρο 87 παράγραφος 2 </w:t>
            </w:r>
            <w:r>
              <w:rPr>
                <w:rFonts w:ascii="Times New Roman" w:hAnsi="Times New Roman"/>
                <w:sz w:val="24"/>
              </w:rPr>
              <w:t>του εν λόγω κανονισμού</w:t>
            </w:r>
            <w:r>
              <w:rPr>
                <w:rStyle w:val="InstructionsTabelleText"/>
                <w:rFonts w:ascii="Times New Roman" w:hAnsi="Times New Roman"/>
                <w:sz w:val="24"/>
              </w:rPr>
              <w:t xml:space="preserve">. Σε αντίθετη περίπτωση, κάθε θυγατρική εξετάζεται σε ατομική βάση.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T2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κανονισμού (ΕΕ) αριθ.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αναφοράς.</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ΤΗ ΣΥΝΕΙΣΦΟΡΑ ΟΝΤΟΤΗΤΩΝ ΣΤΗ ΦΕΡΕΓΓΥΟΤΗΤΑ ΤΟΥ ΟΜΙΛΟΥ</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ΣΥΝΕΙΣΦΟΡΑ ΣΤΟΥΣ ΚΙΝΔΥΝΟΥΣ</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0260 έως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ΠΙΣΤΩΤΙΚΟΣ ΚΙΝΔΥΝΟΣ, ΠΙΣΤΩΤΙΚΟΣ ΚΙΝΔΥΝΟΣ ΑΝΤΙΣΥΜΒΑΛΛΟΜΕΝΟΥ, ΚΙΝΔΥΝΟΣ ΑΠΟΜΕΙΩΣΗΣ ΑΞΙΑΣ ΕΙΣΠΡΑΚΤΕΩΝ, ΑΤΕΛΕΙΣ ΣΥΝΑΛΛΑΓΕΣ ΚΑΙ ΚΙΝΔΥΝΟΣ ΔΙΑΚΑΝΟΝΙΣΜΟΥ/ΠΑΡΑΔΟΣΗΣ</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τα σταθμισμένα ως προς τον κίνδυνο ποσά ανοίγματος όσον αφορά τον πιστωτικό κίνδυνο και τις απαιτήσεις ιδίων κεφαλαίων για τον κίνδυνο διακανονισμού/παράδοσης σύμφωνα με τον </w:t>
            </w:r>
            <w:r>
              <w:rPr>
                <w:rFonts w:ascii="Times New Roman" w:hAnsi="Times New Roman"/>
                <w:sz w:val="24"/>
              </w:rPr>
              <w:t>κανονισμό (ΕΕ) αριθ. 575/2013</w:t>
            </w:r>
            <w:r>
              <w:rPr>
                <w:rStyle w:val="InstructionsTabelleText"/>
                <w:rFonts w:ascii="Times New Roman" w:hAnsi="Times New Roman"/>
                <w:sz w:val="24"/>
              </w:rPr>
              <w:t>, εξαιρουμένου κάθε ποσού που αφορά συναλλαγές με άλλες οντότητες που περιλαμβάνονται στον υπολογισμό του ενοποιημένου συντελεστή φερεγγυότητας του ομίλου.</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ΚΙΝΔΥΝΟΙ ΑΓΟΡΑΣ</w:t>
            </w:r>
          </w:p>
          <w:p w14:paraId="49127EF1" w14:textId="157C9035"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Τα ποσά ανοίγματος σε κινδύνους αγοράς υπολογίζονται σε επίπεδο οντότητας σύμφωνα με τον </w:t>
            </w:r>
            <w:r>
              <w:rPr>
                <w:rFonts w:ascii="Times New Roman" w:hAnsi="Times New Roman"/>
                <w:sz w:val="24"/>
              </w:rPr>
              <w:t>κανονισμό (ΕΕ) αριθ. 575/2013</w:t>
            </w:r>
            <w:r>
              <w:rPr>
                <w:rStyle w:val="InstructionsTabelleText"/>
                <w:rFonts w:ascii="Times New Roman" w:hAnsi="Times New Roman"/>
                <w:sz w:val="24"/>
              </w:rPr>
              <w:t>. Οι οντότητες αναφέρουν τη συνεισφορά στα συνολικά ποσά ανοίγματος σε κίνδυνο αγοράς του ομίλου. Το άθροισμα των ποσών που αναφέρονται στο συγκεκριμένο σημείο αντιστοιχεί στο ποσό που αναφέρεται στη γραμμή 0520 “ΣΥΝΟΛΙΚΟ ΠΟΣΟ ΑΝΟΙΓΜΑΤΟΣ ΣΕ ΚΙΝΔΥΝΟ ΓΙΑ ΤΙΣ ΔΡΑΣΤΗΡΙΟΤΗΤΕΣ ΠΟΥ ΥΠΟΚΕΙΝΤΑΙ ΣΤΟΝ ΚΙΝΔΥΝΟ ΑΓΟΡΑΣ” της</w:t>
            </w:r>
            <w:r>
              <w:t xml:space="preserve"> ενοποιημένης </w:t>
            </w:r>
            <w:r>
              <w:rPr>
                <w:rStyle w:val="InstructionsTabelleText"/>
                <w:rFonts w:ascii="Times New Roman" w:hAnsi="Times New Roman"/>
                <w:sz w:val="24"/>
              </w:rPr>
              <w:t>αναφοράς.</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58C1AE53" w14:textId="2055313A" w:rsidR="00702B2E" w:rsidRPr="00702B2E" w:rsidRDefault="00702B2E" w:rsidP="00822842">
            <w:pPr>
              <w:rPr>
                <w:rFonts w:ascii="Times New Roman" w:hAnsi="Times New Roman"/>
                <w:sz w:val="24"/>
              </w:rPr>
            </w:pPr>
            <w:r>
              <w:rPr>
                <w:rFonts w:ascii="Times New Roman" w:hAnsi="Times New Roman"/>
                <w:sz w:val="24"/>
              </w:rPr>
              <w:t>Το προς αναφορά στη συγκεκριμένη στήλη ποσό αντιστοιχεί στο ποσό ανοίγματος σε λειτουργικό κίνδυνο.</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Η συγκεκριμένη στήλη περιλαμβάνει πάγια έξοδα.</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Το προς αναφορά στη συγκεκριμένη στήλη ποσό αντιστοιχεί στο ποσό ανοίγματος σε κίνδυνο για κινδύνους που δεν αναφέρονται ανωτέρω.</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ΣΥΝΕΙΣΦΟΡΑ ΣΤΑ ΙΔΙΑ ΚΕΦΑΛΑΙΑ</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Το συγκεκριμένο μέρος του υποδείγματος δεν στοχεύει στην επιβολή της υποχρέωσης στα ιδρύματα να υπολογίζουν πλήρως τον συνολικό δείκτη κεφαλαίου στο επίπεδο της κάθε οντότητας.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Οι στήλες 0300 έως 0350 αναφέρονται για τις ενοποιημένες οντότητες που συνεισφέρουν στα ίδια κεφάλαια με δικαιώματα μειοψηφίας,</w:t>
            </w:r>
            <w:r>
              <w:t xml:space="preserve"> </w:t>
            </w:r>
            <w:r>
              <w:rPr>
                <w:rFonts w:ascii="Times New Roman" w:hAnsi="Times New Roman"/>
                <w:sz w:val="24"/>
              </w:rPr>
              <w:t>αποδεκτό κεφάλαιο της κατηγορίας 1 και / ή αποδεκτά ίδια κεφάλαια. Με την επιφύλαξη του κατώτατου ορίου που προβλέπεται στην τελευταία παράγραφο του μέρους II κεφάλαιο 2.3 ανωτέρω, οι στήλες 0360 έως 0400 αναφέρονται για όλες τις ενοποιημένες οντότητες που συνεισφέρουν στα ενοποιημένα ίδια κεφάλαια.</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Δεν λαμβάνονται υπόψη τα ίδια κεφάλαια τα οποία εισφέρουν σε μια οντότητα οι υπόλοιπες οντότητες οι οποίες περιλαμβάνονται στο πεδίο εφαρμογής της αναφέρουσας οντότητας. Μόνο η καθαρή συνεισφορά στα ίδια κεφάλαια του ομίλου αναφέρεται στη συγκεκριμένη στήλη (κυρίως τα ίδια κεφάλαια που έχουν αντληθεί από τρίτα μέρη και συσσωρευμένα αποθεματικά).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ΕΝΟΠΟΙΗΜΕΝΑ ΙΔΙΑ ΚΕΦΑΛΑΙΑ</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Το προς αναφορά ποσό ως “ΑΠΟΔΕΚΤΑ ΙΔΙΑ ΚΕΦΑΛΑΙΑ ΠΟΥ ΠΕΡΙΛΑΜΒΑΝΟΝΤΑΙ ΣΤΑ ΕΝΟΠΟΙΗΜΕΝΑ ΙΔΙΑ ΚΕΦΑΛΑΙΑ” είναι το ποσό που λαμβάνεται από το δεύτερο μέρος τίτλος II </w:t>
            </w:r>
            <w:r>
              <w:rPr>
                <w:rFonts w:ascii="Times New Roman" w:hAnsi="Times New Roman"/>
                <w:sz w:val="24"/>
              </w:rPr>
              <w:t>του κανονισμού (ΕΕ) αριθ. 575/2013</w:t>
            </w:r>
            <w:r>
              <w:rPr>
                <w:rStyle w:val="InstructionsTabelleText"/>
                <w:rFonts w:ascii="Times New Roman" w:hAnsi="Times New Roman"/>
                <w:sz w:val="24"/>
              </w:rPr>
              <w:t>, με την εξαίρεση τυχόν κεφαλαίου που εισφέρουν άλλες οντότητες του ομίλου.</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ΕΝΟΠΟΙΗΜΕΝΑ ΙΔΙΑ ΚΕΦΑΛΑΙΑ</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87</w:t>
            </w:r>
            <w:r>
              <w:rPr>
                <w:rFonts w:ascii="Times New Roman" w:hAnsi="Times New Roman"/>
                <w:sz w:val="24"/>
              </w:rPr>
              <w:t xml:space="preserve"> του κανονισμού (ΕΕ) αριθ.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ΚΕΦΑΛΑΙΟ ΤΗΣ ΚΑΤΗΓΟΡΙΑΣ 1</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85</w:t>
            </w:r>
            <w:r>
              <w:rPr>
                <w:rFonts w:ascii="Times New Roman" w:hAnsi="Times New Roman"/>
                <w:sz w:val="24"/>
              </w:rPr>
              <w:t xml:space="preserve"> του κανονισμού (ΕΕ) αριθ.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ΔΙΚΑΙΩΜΑΤΑ ΜΕΙΟΨΗΦΙΑΣ ΠΟΥ ΠΕΡΙΛΑΜΒΑΝΟΝΤΑΙ ΣΤΟ ΕΝΟΠΟΙΗΜΕΝΟ ΚΕΦΑΛΑΙΟ</w:t>
            </w:r>
            <w:r>
              <w:t xml:space="preserve"> </w:t>
            </w:r>
            <w:r>
              <w:br/>
            </w:r>
            <w:r>
              <w:rPr>
                <w:rStyle w:val="InstructionsTabelleberschrift"/>
                <w:rFonts w:ascii="Times New Roman" w:hAnsi="Times New Roman"/>
                <w:sz w:val="24"/>
              </w:rPr>
              <w:t>ΚΟΙΝΩΝ ΜΕΤΟΧΩΝ ΤΗΣ ΚΑΤΗΓΟΡΙΑΣ 1</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84</w:t>
            </w:r>
            <w:r>
              <w:rPr>
                <w:rFonts w:ascii="Times New Roman" w:hAnsi="Times New Roman"/>
                <w:sz w:val="24"/>
              </w:rPr>
              <w:t xml:space="preserve"> του κανονισμού (ΕΕ) αριθ. 575/2013</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ποσό είναι το ποσό των δικαιωμάτων μειοψηφίας μιας θυγατρικής που συμπεριλαμβάνεται στο ενοποιημένο κεφάλαιο CET1 σύμφωνα με τον</w:t>
            </w:r>
            <w:r>
              <w:rPr>
                <w:rFonts w:ascii="Times New Roman" w:hAnsi="Times New Roman"/>
                <w:sz w:val="24"/>
              </w:rPr>
              <w:t xml:space="preserve"> κανονισμό (ΕΕ) αριθ.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ΠΡΟΣΘΕΤΟ ΚΕΦΑΛΑΙΟ ΤΗΣ ΚΑΤΗΓΟΡΙΑΣ 1</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Άρθρο 86</w:t>
            </w:r>
            <w:r>
              <w:rPr>
                <w:rFonts w:ascii="Times New Roman" w:hAnsi="Times New Roman"/>
                <w:sz w:val="24"/>
              </w:rPr>
              <w:t xml:space="preserve"> του κανονισμού (ΕΕ) αριθ. 575/2013</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του αποδεκτού κεφαλαίου Τ1 μιας θυγατρικής που συμπεριλαμβάνεται στο ενοποιημένο κεφάλαιο ΑΤ1 σύμφωνα με τον </w:t>
            </w:r>
            <w:r>
              <w:rPr>
                <w:rFonts w:ascii="Times New Roman" w:hAnsi="Times New Roman"/>
                <w:sz w:val="24"/>
              </w:rPr>
              <w:t>κανονισμό (ΕΕ) αριθ.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ΑΠΟΔΕΚΤΑ ΜΕΣΑ ΙΔΙΩΝ ΚΕΦΑΛΑΙΩΝ ΠΟΥ ΠΕΡΙΛΑΜΒΑΝΟΝΤΑΙ ΣΤΟ</w:t>
            </w:r>
            <w:r>
              <w:t xml:space="preserve"> </w:t>
            </w:r>
            <w:r>
              <w:br/>
            </w:r>
            <w:r>
              <w:rPr>
                <w:rStyle w:val="InstructionsTabelleberschrift"/>
                <w:rFonts w:ascii="Times New Roman" w:hAnsi="Times New Roman"/>
                <w:sz w:val="24"/>
              </w:rPr>
              <w:t>ΕΝΟΠΟΙΗΜΕΝΟ ΚΕΦΑΛΑΙΟ ΤΗΣ ΚΑΤΗΓΟΡΙΑΣ 2</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88</w:t>
            </w:r>
            <w:r>
              <w:rPr>
                <w:rFonts w:ascii="Times New Roman" w:hAnsi="Times New Roman"/>
                <w:sz w:val="24"/>
              </w:rPr>
              <w:t xml:space="preserve"> του κανονισμού (ΕΕ) αριθ. 575/2013</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των αποδεκτών ιδίων κεφαλαίων μιας θυγατρικής που συμπεριλαμβάνεται στο ενοποιημένο κεφάλαιο T2 σύμφωνα με τον </w:t>
            </w:r>
            <w:r>
              <w:rPr>
                <w:rFonts w:ascii="Times New Roman" w:hAnsi="Times New Roman"/>
                <w:sz w:val="24"/>
              </w:rPr>
              <w:t>κανονισμό (ΕΕ) αριθ.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ΥΠΟΜΝΗΜΑΤΙΚΟ ΣΤΟΙΧΕΙΟ: ΥΠΕΡΑΞΙΑ (-) / (+) ΑΡΝΗΤΙΚΗ ΥΠΕΡΑΞΙΑ</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18</w:t>
            </w:r>
            <w:r>
              <w:rPr>
                <w:rFonts w:ascii="Times New Roman" w:hAnsi="Times New Roman"/>
                <w:sz w:val="24"/>
              </w:rPr>
              <w:t xml:space="preserve"> του κανονισμού (ΕΕ) αριθ.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Το προς αναφορά ποσό ως “ΕΝΟΠΟΙΗΜΕΝΑ ΙΔΙΑ ΚΕΦΑΛΑΙΑ” είναι το ποσό που λαμβάνεται από τον ισολογισμό, εξαιρουμένου οποιουδήποτε κεφαλαίου που εισφέρουν άλλες οντότητες του ομίλου.</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ΚΕΦΑΛΑΙΟ ΚΟΙΝΩΝ ΜΕΤΟΧΩΝ ΤΗΣ ΚΑΤΗΓΟΡΙΑΣ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ΠΡΟΣΘΕΤΑ ΜΕΣΑ ΤΗΣ ΚΑΤΗΓΟΡΙΑΣ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ΕΚ ΤΩΝ ΟΠΟΙΩΝ: ΣΥΝΕΙΣΦΟΡΕΣ ΣΤΟ ΕΝΟΠΟΙΗΜΕΝΟ ΑΠΟΤΕΛΕΣΜΑ</w:t>
            </w:r>
          </w:p>
          <w:p w14:paraId="0077C050" w14:textId="7F5EC6CC"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Αναφέρεται η συνεισφορά κάθε οντότητας στο ενοποιημένο αποτέλεσμα </w:t>
            </w:r>
            <w:r w:rsidR="00361280" w:rsidRPr="00361280">
              <w:rPr>
                <w:rStyle w:val="InstructionsTabelleText"/>
                <w:rFonts w:ascii="Times New Roman" w:hAnsi="Times New Roman"/>
                <w:sz w:val="24"/>
              </w:rPr>
              <w:t>[</w:t>
            </w:r>
            <w:r>
              <w:rPr>
                <w:rStyle w:val="InstructionsTabelleText"/>
                <w:rFonts w:ascii="Times New Roman" w:hAnsi="Times New Roman"/>
                <w:sz w:val="24"/>
              </w:rPr>
              <w:t>κέρδη ή ζημίες (-)</w:t>
            </w:r>
            <w:r w:rsidR="00361280" w:rsidRPr="00361280">
              <w:rPr>
                <w:rStyle w:val="InstructionsTabelleText"/>
                <w:rFonts w:ascii="Times New Roman" w:hAnsi="Times New Roman"/>
                <w:sz w:val="24"/>
              </w:rPr>
              <w:t>]</w:t>
            </w:r>
            <w:r>
              <w:rPr>
                <w:rStyle w:val="InstructionsTabelleText"/>
                <w:rFonts w:ascii="Times New Roman" w:hAnsi="Times New Roman"/>
                <w:sz w:val="24"/>
              </w:rPr>
              <w:t>. Περιλαμβάνονται και τα αποτελέσματα που αναλογούν σε δικαιώματα μειοψηφίας.</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ΕΚ ΤΩΝ ΟΠΟΙΩΝ: (-) ΥΠΕΡΑΞΙΑ / (+) ΑΡΝΗΤΙΚΗ ΥΠΕΡΑΞΙΑ</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Στο συγκεκριμένο σημείο αναφέρεται η υπεραξία ή η αρνητική υπεραξία την οποία αποφέρει η αναφέρουσα οντότητα στη θυγατρική.</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Η δομή αναφοράς των κεφαλαιακών αποθεμάτων ασφαλείας για το υπόδειγμα GS συμφωνεί με τη γενική δομή του υποδείγματος CA4, με τη χρήση των ίδιων εννοιών αναφοράς. Κατά την αναφορά των κεφαλαιακών αποθεμάτων ασφαλείας για το υπόδειγμα GS, τα σχετικά ποσά αναφέρονται σύμφωνα με τις διατάξεις που εφαρμόζονται για τον προσδιορισμό της απαίτησης αποθέματος ασφαλείας για την ενοποιημένη κατάσταση του ομίλου. Ως εκ τούτου, τα αναφερόμενα ποσά των κεφαλαιακών αποθεμάτων ασφαλείας αντιπροσωπεύουν τις εισφορές κάθε οντότητας στα κεφαλαιακά αποθέματα ασφαλείας του ομίλου. Τα αναφερόμενα ποσά βασίζονται στις εθνικές διατάξεις μεταφοράς της </w:t>
            </w:r>
            <w:r>
              <w:rPr>
                <w:rFonts w:ascii="Times New Roman" w:hAnsi="Times New Roman"/>
                <w:sz w:val="24"/>
              </w:rPr>
              <w:t>οδηγίας 2013/36/ΕΕ</w:t>
            </w:r>
            <w:r>
              <w:rPr>
                <w:rStyle w:val="InstructionsTabelleberschrift"/>
                <w:rFonts w:ascii="Times New Roman" w:hAnsi="Times New Roman"/>
                <w:sz w:val="24"/>
              </w:rPr>
              <w:t xml:space="preserve"> και στον</w:t>
            </w:r>
            <w:r>
              <w:rPr>
                <w:rFonts w:ascii="Times New Roman" w:hAnsi="Times New Roman"/>
                <w:sz w:val="24"/>
              </w:rPr>
              <w:t xml:space="preserve"> κανονισμό (ΕΕ) αριθ. 575/2013</w:t>
            </w:r>
            <w:r>
              <w:rPr>
                <w:rStyle w:val="InstructionsTabelleberschrift"/>
                <w:rFonts w:ascii="Times New Roman" w:hAnsi="Times New Roman"/>
                <w:sz w:val="24"/>
              </w:rPr>
              <w:t>, συμπεριλαμβανομένων τυχόν μεταβατικών διατάξεων που προβλέπονται στις ανωτέρω πράξεις.</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ΣΥΝΔΥΑΣΜΕΝΗ ΑΠΑΙΤΗΣΗ ΑΠΟΘΕΜΑΤΟΣ ΑΣΦΑΛΕΙΑΣ</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t>Άρθρο 128 σημείο 6)</w:t>
            </w:r>
            <w:r>
              <w:rPr>
                <w:rFonts w:ascii="Times New Roman" w:hAnsi="Times New Roman"/>
                <w:sz w:val="24"/>
              </w:rPr>
              <w:t xml:space="preserve"> της οδηγίας 2013/36/ΕΕ</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128 σημείο 1) και άρθρο 129</w:t>
            </w:r>
            <w:r>
              <w:rPr>
                <w:rFonts w:ascii="Times New Roman" w:hAnsi="Times New Roman"/>
                <w:sz w:val="24"/>
              </w:rPr>
              <w:t xml:space="preserve"> της οδηγίας 2013/36/ΕΕ</w:t>
            </w:r>
          </w:p>
          <w:p w14:paraId="7013CF4E" w14:textId="77777777" w:rsidR="00173F08" w:rsidRPr="002A677E" w:rsidRDefault="00173F08" w:rsidP="00D40ABE">
            <w:pPr>
              <w:pStyle w:val="InstructionsText"/>
              <w:rPr>
                <w:rStyle w:val="InstructionsTabelleText"/>
              </w:rPr>
            </w:pPr>
            <w:r>
              <w:t>Σύμφωνα με το άρθρο 129 παράγραφος 1 της οδηγίας 2013/36/ΕΕ,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στο συγκεκριμένο κελί αναφέρεται ένα ποσό.</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ΑΝΤΙΚΥΚΛΙΚΟ ΚΕΦΑΛΑΙΑΚΟ ΑΠΟΘΕΜΑ ΑΣΦΑΛΕΙΑΣ ΕΙΔΙΚΑ ΓΙΑ ΤΟ ΚΑΘΕ ΙΔΡΥΜΑ</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Άρθρο 128 σημείο 2), άρθρο 130 και άρθρα 135 έως 140</w:t>
            </w:r>
            <w:r>
              <w:rPr>
                <w:rFonts w:ascii="Times New Roman" w:hAnsi="Times New Roman"/>
                <w:sz w:val="24"/>
              </w:rPr>
              <w:t xml:space="preserve"> της οδηγίας 2013/36/ΕΕ</w:t>
            </w:r>
          </w:p>
          <w:p w14:paraId="169D829F" w14:textId="77777777" w:rsidR="00173F08" w:rsidRPr="002A677E" w:rsidRDefault="00173F08" w:rsidP="00D40ABE">
            <w:pPr>
              <w:pStyle w:val="InstructionsText"/>
              <w:rPr>
                <w:rStyle w:val="InstructionsTabelleText"/>
              </w:rPr>
            </w:pPr>
            <w:r>
              <w:t>Στο κελί αυτό αναφέρεται το συγκεκριμένο ποσό του αντικυκλικού κεφαλαιακού αποθέματος ασφαλείας.</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 ΛΟΓΩ ΜΑΚΡΟΠΡΟΛΗΠΤΙΚΟΥ Η ΣΥΣΤΗΜΙΚΟΥ ΚΙΝΔΥΝΟΥ ΠΟΥ ΕΝΤΟΠΙΖΕΤΑΙ ΣΕ ΕΠΙΠΕΔΟ ΚΡΑΤΟΥΣ ΜΕΛΟΥΣ</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Άρθρο 458 παράγραφος 2 στοιχείο δ) σημείο iv)</w:t>
            </w:r>
            <w:r>
              <w:rPr>
                <w:rFonts w:ascii="Times New Roman" w:hAnsi="Times New Roman"/>
                <w:sz w:val="24"/>
              </w:rPr>
              <w:t xml:space="preserve"> του κανονισμού (ΕΕ) αριθ. 575/2013</w:t>
            </w:r>
          </w:p>
          <w:p w14:paraId="2C6BA8FE" w14:textId="77777777" w:rsidR="00173F08" w:rsidRPr="002A677E" w:rsidRDefault="00173F08" w:rsidP="00D40ABE">
            <w:pPr>
              <w:pStyle w:val="InstructionsText"/>
              <w:rPr>
                <w:rStyle w:val="InstructionsTabelleberschrift"/>
              </w:rPr>
            </w:pPr>
            <w:r>
              <w:t>Στο κελί αυτό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κανονισμού (ΕΕ) αριθ. 575/2013, επιπροσθέτως του αποθέματος ασφαλείας διατήρησης κεφαλαίου.</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ΣΥΣΤΗΜΙΚΟΥ ΚΙΝΔΥΝΟΥ</w:t>
            </w:r>
          </w:p>
          <w:p w14:paraId="409112BD" w14:textId="77777777" w:rsidR="00173F08" w:rsidRPr="002A677E" w:rsidRDefault="00173F08" w:rsidP="00D40ABE">
            <w:pPr>
              <w:pStyle w:val="InstructionsText"/>
            </w:pPr>
            <w:r>
              <w:t xml:space="preserve">Άρθρο 128 σημείο 5), άρθρα 133 και 134 της οδηγίας 2013/36/ΕΕ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Στο συγκεκριμένο κελί αναφέρεται το ποσό του αποθέματος ασφαλείας συστημικού κινδύνου.</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ΤΑ ΠΑΓΚΟΣΜΙΑ ΣΥΣΤΗΜΙΚΩΣ ΣΗΜΑΝΤΙΚΑ ΙΔΡΥΜΑΤΑ</w:t>
            </w:r>
            <w:r>
              <w:tab/>
            </w:r>
          </w:p>
          <w:p w14:paraId="530093DF" w14:textId="77777777" w:rsidR="00173F08" w:rsidRPr="00D40ABE" w:rsidRDefault="00173F08" w:rsidP="00D40ABE">
            <w:pPr>
              <w:pStyle w:val="InstructionsText"/>
              <w:rPr>
                <w:rStyle w:val="InstructionsTabelleberschrift"/>
                <w:rFonts w:ascii="Times New Roman" w:hAnsi="Times New Roman"/>
                <w:b w:val="0"/>
                <w:sz w:val="24"/>
              </w:rPr>
            </w:pPr>
            <w:r w:rsidRPr="00D40ABE">
              <w:rPr>
                <w:rStyle w:val="InstructionsTabelleberschrift"/>
                <w:rFonts w:ascii="Times New Roman" w:hAnsi="Times New Roman"/>
                <w:sz w:val="24"/>
              </w:rPr>
              <w:t>Άρθρο 128 σημείο 3) και άρθρο 131</w:t>
            </w:r>
            <w:r w:rsidRPr="00D40ABE">
              <w:t xml:space="preserve"> της οδηγίας 2013/36/ΕΕ</w:t>
            </w:r>
          </w:p>
          <w:p w14:paraId="5835A3FB" w14:textId="77777777" w:rsidR="00173F08" w:rsidRPr="002A677E" w:rsidRDefault="00173F08" w:rsidP="00D40ABE">
            <w:pPr>
              <w:pStyle w:val="InstructionsText"/>
              <w:rPr>
                <w:rStyle w:val="InstructionsTabelleberschrift"/>
              </w:rPr>
            </w:pPr>
            <w:r>
              <w:t>Στο συγκεκριμένο κελί αναφέρεται το ποσό του αποθέματος ασφαλείας για τα παγκόσμια συστημικώς σημαντικά ιδρύματα.</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ΑΛΛΑ ΣΥΣΤΗΜΙΚΩΣ ΣΗΜΑΝΤΙΚΑ ΙΔΡΥΜΑΤΑ</w:t>
            </w:r>
            <w:r>
              <w:tab/>
            </w:r>
          </w:p>
          <w:p w14:paraId="5C91FC01" w14:textId="77777777" w:rsidR="00173F08" w:rsidRPr="002A677E" w:rsidRDefault="00173F08" w:rsidP="00D40ABE">
            <w:pPr>
              <w:pStyle w:val="InstructionsText"/>
            </w:pPr>
            <w:r>
              <w:t>Άρθρο 128 σημείο 4) και άρθρο 131 της οδηγίας 2013/36/ΕΕ</w:t>
            </w:r>
          </w:p>
          <w:p w14:paraId="677D9498" w14:textId="77777777" w:rsidR="00173F08" w:rsidRPr="002A677E" w:rsidRDefault="00173F08" w:rsidP="00D40ABE">
            <w:pPr>
              <w:pStyle w:val="InstructionsText"/>
              <w:rPr>
                <w:rStyle w:val="InstructionsTabelleberschrift"/>
              </w:rPr>
            </w:pPr>
            <w:r>
              <w:t>Στο συγκεκριμένο κελί αναφέρεται το ποσό του αποθέματος ασφαλείας για άλλα συστημικώς σημαντικά ιδρύματα.</w:t>
            </w:r>
          </w:p>
        </w:tc>
      </w:tr>
    </w:tbl>
    <w:p w14:paraId="12D86B4B" w14:textId="724FA888" w:rsidR="00BF2D9E" w:rsidRDefault="004F08E3" w:rsidP="00D40ABE">
      <w:pPr>
        <w:pStyle w:val="InstructionsText"/>
      </w:pPr>
      <w:r>
        <w:t>»</w:t>
      </w:r>
    </w:p>
    <w:sectPr w:rsidR="00BF2D9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5FB8" w14:textId="77777777" w:rsidR="004F08E3" w:rsidRDefault="004F08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1D79" w14:textId="77777777" w:rsidR="004F08E3" w:rsidRDefault="004F08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833D" w14:textId="77777777" w:rsidR="004F08E3" w:rsidRDefault="004F08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2B12C9EC" w:rsidR="00E26A90" w:rsidRPr="00E26A90" w:rsidRDefault="004F08E3"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2B12C9EC" w:rsidR="00E26A90" w:rsidRPr="00E26A90" w:rsidRDefault="004F08E3"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361280"/>
    <w:rsid w:val="004F08E3"/>
    <w:rsid w:val="00601EA3"/>
    <w:rsid w:val="00631623"/>
    <w:rsid w:val="00694862"/>
    <w:rsid w:val="00702B2E"/>
    <w:rsid w:val="00780E9B"/>
    <w:rsid w:val="009871DF"/>
    <w:rsid w:val="00A6002C"/>
    <w:rsid w:val="00A70706"/>
    <w:rsid w:val="00B44A0E"/>
    <w:rsid w:val="00B71F25"/>
    <w:rsid w:val="00BF2D9E"/>
    <w:rsid w:val="00C61CB8"/>
    <w:rsid w:val="00D40ABE"/>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D40ABE"/>
    <w:pPr>
      <w:spacing w:before="0"/>
      <w:ind w:left="360"/>
    </w:pPr>
    <w:rPr>
      <w:rFonts w:ascii="Times New Roman" w:hAnsi="Times New Roman" w:cs="Calibri"/>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D40ABE"/>
    <w:rPr>
      <w:rFonts w:ascii="Times New Roman" w:eastAsia="Times New Roman" w:hAnsi="Times New Roman" w:cs="Calibri"/>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 w:type="paragraph" w:styleId="Footer">
    <w:name w:val="footer"/>
    <w:basedOn w:val="Normal"/>
    <w:link w:val="FooterChar"/>
    <w:uiPriority w:val="99"/>
    <w:unhideWhenUsed/>
    <w:rsid w:val="004F08E3"/>
    <w:pPr>
      <w:tabs>
        <w:tab w:val="center" w:pos="4513"/>
        <w:tab w:val="right" w:pos="9026"/>
      </w:tabs>
      <w:spacing w:before="0" w:after="0"/>
    </w:pPr>
  </w:style>
  <w:style w:type="character" w:customStyle="1" w:styleId="FooterChar">
    <w:name w:val="Footer Char"/>
    <w:basedOn w:val="DefaultParagraphFont"/>
    <w:link w:val="Footer"/>
    <w:uiPriority w:val="99"/>
    <w:rsid w:val="004F08E3"/>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DD7FD480-13A9-4DF0-98F7-EC422D42610E}"/>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4744</Words>
  <Characters>25337</Characters>
  <Application>Microsoft Office Word</Application>
  <DocSecurity>0</DocSecurity>
  <Lines>589</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2025-01-13T10:22:49Z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d5ce9dde-d211-42e4-8632-78dd9d276868</vt:lpwstr>
  </property>
  <property fmtid="{D5CDD505-2E9C-101B-9397-08002B2CF9AE}" pid="10" name="MSIP_Label_6bd9ddd1-4d20-43f6-abfa-fc3c07406f94_ContentBits">
    <vt:lpwstr>0</vt:lpwstr>
  </property>
</Properties>
</file>