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C06E54" w:rsidRDefault="001B7C2B" w:rsidP="001B7C2B">
      <w:pPr>
        <w:jc w:val="center"/>
        <w:rPr>
          <w:rFonts w:ascii="Times New Roman" w:hAnsi="Times New Roman"/>
          <w:b/>
          <w:sz w:val="24"/>
        </w:rPr>
      </w:pPr>
      <w:r w:rsidRPr="00C06E54">
        <w:rPr>
          <w:rFonts w:ascii="Times New Roman" w:hAnsi="Times New Roman"/>
          <w:b/>
          <w:sz w:val="24"/>
        </w:rPr>
        <w:t>SV</w:t>
      </w:r>
      <w:r w:rsidRPr="00C06E54">
        <w:rPr>
          <w:rFonts w:ascii="Times New Roman" w:hAnsi="Times New Roman"/>
          <w:b/>
          <w:sz w:val="24"/>
        </w:rPr>
        <w:br/>
        <w:t>BILAGA VI</w:t>
      </w:r>
    </w:p>
    <w:p w14:paraId="72104D4D" w14:textId="77777777" w:rsidR="006339CC" w:rsidRPr="00C06E54" w:rsidRDefault="006339CC" w:rsidP="001B7C2B">
      <w:pPr>
        <w:jc w:val="center"/>
        <w:rPr>
          <w:rFonts w:ascii="Times New Roman" w:hAnsi="Times New Roman"/>
          <w:b/>
          <w:sz w:val="24"/>
        </w:rPr>
      </w:pPr>
    </w:p>
    <w:p w14:paraId="01904AEC" w14:textId="353A69A5" w:rsidR="007F5684" w:rsidRPr="00C06E54" w:rsidRDefault="008E1DE8" w:rsidP="001B7C2B">
      <w:pPr>
        <w:jc w:val="center"/>
        <w:rPr>
          <w:b/>
          <w:szCs w:val="20"/>
          <w:u w:val="single"/>
        </w:rPr>
      </w:pPr>
      <w:r w:rsidRPr="00C06E54">
        <w:rPr>
          <w:b/>
          <w:u w:val="single"/>
        </w:rPr>
        <w:t>”BILAGA XIX</w:t>
      </w:r>
    </w:p>
    <w:p w14:paraId="1796FE74" w14:textId="29CC78AB" w:rsidR="007F5684" w:rsidRPr="00C06E54" w:rsidRDefault="007F5684" w:rsidP="00F30436">
      <w:pPr>
        <w:jc w:val="center"/>
        <w:rPr>
          <w:b/>
          <w:szCs w:val="20"/>
        </w:rPr>
      </w:pPr>
      <w:r w:rsidRPr="00C06E54">
        <w:rPr>
          <w:b/>
        </w:rPr>
        <w:t>INSTRUKTIONER FÖR ATT FYLLA I MALLEN FÖR DE YTTERLIGARE ÖVERVAKNINGSVERKTYGEN I BILAGA XVIII</w:t>
      </w:r>
    </w:p>
    <w:p w14:paraId="16AC5CE5" w14:textId="77777777" w:rsidR="00D02FE4" w:rsidRPr="00C06E54" w:rsidRDefault="00181260" w:rsidP="00432D9F">
      <w:pPr>
        <w:pStyle w:val="Instructionsberschrift2"/>
        <w:numPr>
          <w:ilvl w:val="0"/>
          <w:numId w:val="2"/>
        </w:numPr>
        <w:rPr>
          <w:rFonts w:ascii="Times New Roman" w:hAnsi="Times New Roman" w:cs="Times New Roman"/>
          <w:szCs w:val="20"/>
        </w:rPr>
      </w:pPr>
      <w:r w:rsidRPr="00C06E54">
        <w:rPr>
          <w:rFonts w:ascii="Times New Roman" w:hAnsi="Times New Roman"/>
        </w:rPr>
        <w:t>Ytterligare övervakningsverktyg</w:t>
      </w:r>
    </w:p>
    <w:p w14:paraId="6D74775F" w14:textId="243E01B4" w:rsidR="00D02FE4" w:rsidRPr="00C06E5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C06E54">
        <w:rPr>
          <w:rFonts w:ascii="Times New Roman" w:hAnsi="Times New Roman"/>
        </w:rPr>
        <w:t xml:space="preserve">Allmänt </w:t>
      </w:r>
      <w:bookmarkEnd w:id="0"/>
      <w:bookmarkEnd w:id="1"/>
    </w:p>
    <w:p w14:paraId="28146638" w14:textId="572CEF49" w:rsidR="00A344AA" w:rsidRPr="00C06E54" w:rsidRDefault="00F9747D" w:rsidP="00CC3091">
      <w:pPr>
        <w:pStyle w:val="InstructionsText2"/>
        <w:numPr>
          <w:ilvl w:val="0"/>
          <w:numId w:val="4"/>
        </w:numPr>
        <w:rPr>
          <w:u w:val="none"/>
        </w:rPr>
      </w:pPr>
      <w:r w:rsidRPr="00C06E54">
        <w:rPr>
          <w:u w:val="none"/>
        </w:rPr>
        <w:t xml:space="preserve">[tom] </w:t>
      </w:r>
    </w:p>
    <w:p w14:paraId="39998106" w14:textId="1169C0B2" w:rsidR="00A344AA" w:rsidRPr="00C06E54" w:rsidRDefault="00A344AA" w:rsidP="00CC3091">
      <w:pPr>
        <w:pStyle w:val="InstructionsText2"/>
        <w:numPr>
          <w:ilvl w:val="0"/>
          <w:numId w:val="4"/>
        </w:numPr>
        <w:rPr>
          <w:u w:val="none"/>
        </w:rPr>
      </w:pPr>
      <w:r w:rsidRPr="00C06E54">
        <w:rPr>
          <w:u w:val="none"/>
        </w:rPr>
        <w:t>Total finansiering omfattar alla finansiella skulder utom derivat och korta positioner.</w:t>
      </w:r>
    </w:p>
    <w:p w14:paraId="50F797C6" w14:textId="18A1D5E6" w:rsidR="00A344AA" w:rsidRPr="00C06E54" w:rsidRDefault="00A344AA" w:rsidP="00927DCB">
      <w:pPr>
        <w:pStyle w:val="InstructionsText2"/>
        <w:numPr>
          <w:ilvl w:val="0"/>
          <w:numId w:val="4"/>
        </w:numPr>
        <w:rPr>
          <w:u w:val="none"/>
        </w:rPr>
      </w:pPr>
      <w:r w:rsidRPr="00C06E54">
        <w:rPr>
          <w:u w:val="none"/>
        </w:rPr>
        <w:t xml:space="preserve">Alla typer av finansiering med obestämd löptid, inklusive avistainlåning, ska betraktas som finansiering med en dags löptid. </w:t>
      </w:r>
    </w:p>
    <w:p w14:paraId="4586638B" w14:textId="7C96029D" w:rsidR="00A344AA" w:rsidRPr="00C06E54" w:rsidRDefault="00A344AA" w:rsidP="00927DCB">
      <w:pPr>
        <w:pStyle w:val="InstructionsText2"/>
        <w:numPr>
          <w:ilvl w:val="0"/>
          <w:numId w:val="4"/>
        </w:numPr>
        <w:rPr>
          <w:u w:val="none"/>
        </w:rPr>
      </w:pPr>
      <w:r w:rsidRPr="00C06E54">
        <w:rPr>
          <w:u w:val="none"/>
        </w:rPr>
        <w:t xml:space="preserve">Den ursprungliga löptiden ska utgöra tiden mellan upplåningens originering och förfallodag. Upplåningens förfallodag ska fastställas i enlighet med punkt 12 i bilaga XXIII. Det betyder att om det finns sådan optionalitet som avses i punkt 12 i bilaga XXIII kan den ursprungliga löptiden för en upplåningspost vara kortare än den tid som har förflutit sedan upplåningen originerades. </w:t>
      </w:r>
    </w:p>
    <w:p w14:paraId="4FA59274" w14:textId="21EF3C98" w:rsidR="00A344AA" w:rsidRPr="00C06E54" w:rsidRDefault="00A344AA" w:rsidP="00927DCB">
      <w:pPr>
        <w:pStyle w:val="InstructionsText2"/>
        <w:numPr>
          <w:ilvl w:val="0"/>
          <w:numId w:val="4"/>
        </w:numPr>
        <w:rPr>
          <w:u w:val="none"/>
        </w:rPr>
      </w:pPr>
      <w:r w:rsidRPr="00C06E54">
        <w:rPr>
          <w:u w:val="none"/>
        </w:rPr>
        <w:t>Den återstående löptiden är tiden mellan rapporteringsperiodens utgång och upplåningens förfallodag. Upplåningens förfallodag ska fastställas i enlighet med punkt 12 i bilaga XXIII.</w:t>
      </w:r>
    </w:p>
    <w:p w14:paraId="1DF04682" w14:textId="743926F7" w:rsidR="007462FE" w:rsidRPr="00C06E54" w:rsidRDefault="007462FE" w:rsidP="00927DCB">
      <w:pPr>
        <w:pStyle w:val="InstructionsText2"/>
        <w:numPr>
          <w:ilvl w:val="0"/>
          <w:numId w:val="4"/>
        </w:numPr>
        <w:rPr>
          <w:u w:val="none"/>
        </w:rPr>
      </w:pPr>
      <w:r w:rsidRPr="00C06E54">
        <w:rPr>
          <w:u w:val="none"/>
        </w:rPr>
        <w:t>Vid beräkning av ursprunglig eller återstående viktad genomsnittlig löptid ska inlåning över natten och alla typer av finansiering med obestämd löptid anses ha en dags löptid.</w:t>
      </w:r>
    </w:p>
    <w:p w14:paraId="25CD9EF4" w14:textId="173EC59C" w:rsidR="007462FE" w:rsidRPr="00C06E54" w:rsidRDefault="007462FE" w:rsidP="00927DCB">
      <w:pPr>
        <w:pStyle w:val="InstructionsText2"/>
        <w:numPr>
          <w:ilvl w:val="0"/>
          <w:numId w:val="4"/>
        </w:numPr>
        <w:rPr>
          <w:u w:val="none"/>
        </w:rPr>
      </w:pPr>
      <w:r w:rsidRPr="00C06E54">
        <w:rPr>
          <w:u w:val="none"/>
        </w:rPr>
        <w:t>Beräkningen av ursprunglig och återstående löptid ska, om det handlar om upplåning med en uppsägningstid för båda parter eller klausul om förtida uttag för institutets motpart, utgå från uttag vid tidigast möjliga datum.</w:t>
      </w:r>
    </w:p>
    <w:p w14:paraId="2B81E2EC" w14:textId="4651096B" w:rsidR="00A344AA" w:rsidRPr="00C06E54" w:rsidRDefault="00A344AA" w:rsidP="00927DCB">
      <w:pPr>
        <w:pStyle w:val="InstructionsText2"/>
        <w:numPr>
          <w:ilvl w:val="0"/>
          <w:numId w:val="4"/>
        </w:numPr>
        <w:rPr>
          <w:u w:val="none"/>
        </w:rPr>
      </w:pPr>
      <w:r w:rsidRPr="00C06E54">
        <w:rPr>
          <w:u w:val="none"/>
        </w:rPr>
        <w:t>För skulder med obegränsad löptid ska, utom om det finns sådan optionalitet som avses i punkt 12 i bilaga XXIII, en fast ursprunglig och återstående löptid på 20 år antas.</w:t>
      </w:r>
    </w:p>
    <w:p w14:paraId="30EB5133" w14:textId="05E31F69" w:rsidR="00A344AA" w:rsidRPr="00C06E54" w:rsidRDefault="00A344AA" w:rsidP="00927DCB">
      <w:pPr>
        <w:pStyle w:val="InstructionsText2"/>
        <w:numPr>
          <w:ilvl w:val="0"/>
          <w:numId w:val="4"/>
        </w:numPr>
        <w:rPr>
          <w:u w:val="none"/>
        </w:rPr>
      </w:pPr>
      <w:r w:rsidRPr="00C06E54">
        <w:rPr>
          <w:u w:val="none"/>
        </w:rPr>
        <w:t>För att beräkna det procentuella tröskelvärde som avses i rapporteringsmall C 67.00 fördelat på väsentlig valuta ska institut använda ett tröskelvärde på 1 % av de totala skulderna i alla valutor.</w:t>
      </w:r>
    </w:p>
    <w:p w14:paraId="0E1E0ED8" w14:textId="77777777" w:rsidR="00A344AA" w:rsidRPr="00C06E54" w:rsidRDefault="00A344AA" w:rsidP="00A344AA">
      <w:pPr>
        <w:pStyle w:val="Instructionsberschrift2"/>
        <w:numPr>
          <w:ilvl w:val="1"/>
          <w:numId w:val="2"/>
        </w:numPr>
        <w:spacing w:before="0"/>
        <w:rPr>
          <w:rFonts w:ascii="Times New Roman" w:hAnsi="Times New Roman" w:cs="Times New Roman"/>
          <w:szCs w:val="20"/>
        </w:rPr>
      </w:pPr>
      <w:r w:rsidRPr="00C06E54">
        <w:rPr>
          <w:rFonts w:ascii="Times New Roman" w:hAnsi="Times New Roman"/>
        </w:rPr>
        <w:t>Koncentration av finansiering per motpart (C 67.00)</w:t>
      </w:r>
    </w:p>
    <w:p w14:paraId="322C1A75" w14:textId="2DE3271D" w:rsidR="00A344AA" w:rsidRPr="00C06E54" w:rsidRDefault="00490B62" w:rsidP="00CC3091">
      <w:pPr>
        <w:pStyle w:val="InstructionsText2"/>
        <w:numPr>
          <w:ilvl w:val="0"/>
          <w:numId w:val="6"/>
        </w:numPr>
        <w:rPr>
          <w:u w:val="none"/>
        </w:rPr>
      </w:pPr>
      <w:r w:rsidRPr="00C06E54">
        <w:rPr>
          <w:u w:val="none"/>
        </w:rPr>
        <w:t>För att göra det möjligt att samla in information om koncentrationen i de rapporterande institutens finansiering, fördelat på motpart, i mall C 67.00 ska instituten följa instruktionerna i detta avsnitt.</w:t>
      </w:r>
    </w:p>
    <w:p w14:paraId="52091F90" w14:textId="0B7A17FD" w:rsidR="00A344AA" w:rsidRPr="00C06E54" w:rsidRDefault="00A344AA" w:rsidP="00CC3091">
      <w:pPr>
        <w:pStyle w:val="InstructionsText2"/>
        <w:numPr>
          <w:ilvl w:val="0"/>
          <w:numId w:val="6"/>
        </w:numPr>
        <w:rPr>
          <w:u w:val="none"/>
        </w:rPr>
      </w:pPr>
      <w:r w:rsidRPr="00C06E54">
        <w:rPr>
          <w:u w:val="none"/>
        </w:rPr>
        <w:t>Institut ska rapportera de tio största motparterna eller en grupp av kunder med inbördes anknytning enligt definitionen i artikel 4.1.39 i förordning (EU) nr 575/2013, om finansieringen från varje motpart eller grupp av kunder med inbördes anknytning överstiger ett tröskelvärde på 1 % av de totala skulderna i raderna 020–110 i avsnitt 1 i mallen. Den motpart som rapporteras i post 1.01 ska vara den som svarar för det största finansieringsbelopp som på rapporteringsdatumet mottagits från en motpart eller grupp av kunder med inbördes anknytning över tröskelvärdet på 1 %. Post 1.02 ska vara den näst största över tröskelvärdet på 1 % osv. för återstående poster.</w:t>
      </w:r>
    </w:p>
    <w:p w14:paraId="430CAED4" w14:textId="505B6732" w:rsidR="00A344AA" w:rsidRPr="00C06E54" w:rsidRDefault="00A344AA" w:rsidP="00CC3091">
      <w:pPr>
        <w:pStyle w:val="InstructionsText2"/>
        <w:numPr>
          <w:ilvl w:val="0"/>
          <w:numId w:val="6"/>
        </w:numPr>
        <w:rPr>
          <w:u w:val="none"/>
        </w:rPr>
      </w:pPr>
      <w:r w:rsidRPr="00C06E54">
        <w:rPr>
          <w:u w:val="none"/>
        </w:rPr>
        <w:lastRenderedPageBreak/>
        <w:t xml:space="preserve">Om en motpart tillhör flera grupper av kunder med inbördes anknytning ska den bara rapporteras en gång i den grupp som svarar för det största finansieringsbeloppet. </w:t>
      </w:r>
    </w:p>
    <w:p w14:paraId="589BDAD9" w14:textId="65F70951" w:rsidR="00A344AA" w:rsidRPr="00C06E54" w:rsidRDefault="00A344AA" w:rsidP="00381AA0">
      <w:pPr>
        <w:pStyle w:val="InstructionsText2"/>
        <w:numPr>
          <w:ilvl w:val="0"/>
          <w:numId w:val="6"/>
        </w:numPr>
        <w:rPr>
          <w:u w:val="none"/>
        </w:rPr>
      </w:pPr>
      <w:r w:rsidRPr="00C06E54">
        <w:rPr>
          <w:u w:val="none"/>
        </w:rPr>
        <w:t>Institut ska rapportera summan av all återstående finansiering i avsnitt 2.</w:t>
      </w:r>
    </w:p>
    <w:p w14:paraId="6E279CE2" w14:textId="1CC30DEB" w:rsidR="00A344AA" w:rsidRPr="00C06E54" w:rsidRDefault="00A344AA" w:rsidP="00927DCB">
      <w:pPr>
        <w:pStyle w:val="InstructionsText2"/>
        <w:numPr>
          <w:ilvl w:val="0"/>
          <w:numId w:val="6"/>
        </w:numPr>
        <w:rPr>
          <w:u w:val="none"/>
        </w:rPr>
      </w:pPr>
      <w:r w:rsidRPr="00C06E54">
        <w:rPr>
          <w:u w:val="none"/>
        </w:rPr>
        <w:t>Summan av avsnitt 1 (de tio största motparterna) och 2 (all övrig finansiering) ska motsvara ett instituts totala finansiering enligt balansräkningen som rapporteras enligt det tillämpliga regelverket för finansiell rapportering (Finrep – motsvarande finansiella skulder justerade för avdrag för derivat och korta positioner, enligt punkt 2 i avsnitt 1.1) för de rapporteringsperioder i vilka båda rapporterna är tillgängliga (t.ex. Finrep Q1 och C 67.00 March/Q1).</w:t>
      </w:r>
    </w:p>
    <w:p w14:paraId="00BA7315" w14:textId="5EBAC99F" w:rsidR="00A344AA" w:rsidRPr="00C06E54" w:rsidRDefault="00A344AA" w:rsidP="00927DCB">
      <w:pPr>
        <w:pStyle w:val="InstructionsText2"/>
        <w:numPr>
          <w:ilvl w:val="0"/>
          <w:numId w:val="6"/>
        </w:numPr>
        <w:rPr>
          <w:u w:val="none"/>
        </w:rPr>
      </w:pPr>
      <w:r w:rsidRPr="00C06E54">
        <w:rPr>
          <w:u w:val="none"/>
        </w:rPr>
        <w:t>För varje motpart ska instituten rapportera alla kolumnerna 0010–0080.</w:t>
      </w:r>
    </w:p>
    <w:p w14:paraId="3425ECF0" w14:textId="65ED6564" w:rsidR="00A344AA" w:rsidRPr="00C06E54" w:rsidRDefault="00A344AA" w:rsidP="00927DCB">
      <w:pPr>
        <w:pStyle w:val="InstructionsText2"/>
        <w:numPr>
          <w:ilvl w:val="0"/>
          <w:numId w:val="6"/>
        </w:numPr>
        <w:rPr>
          <w:u w:val="none"/>
        </w:rPr>
      </w:pPr>
      <w:r w:rsidRPr="00C06E54">
        <w:rPr>
          <w:u w:val="none"/>
        </w:rPr>
        <w:t>Om finansiering har erhållits genom fler än en produkttyp ska den rapporterade produkten vara den där den största delen av finansieringen erhölls. Identifiering av innehavare av värdepapper får ske enligt bästa förmåga. Om institutet har uppgifter om värdepappersinnehavaren i egenskap av depåbank ska det beakta detta belopp vid rapporteringen av motpartskoncentration. Om det inte finns tillgängliga uppgifter om värdepappersinnehavaren behöver motsvarande belopp inte rapporteras.</w:t>
      </w:r>
    </w:p>
    <w:p w14:paraId="2DFF75CD" w14:textId="77777777" w:rsidR="00A344AA" w:rsidRPr="00C06E54" w:rsidRDefault="00A344AA" w:rsidP="00927DCB">
      <w:pPr>
        <w:pStyle w:val="InstructionsText2"/>
        <w:numPr>
          <w:ilvl w:val="0"/>
          <w:numId w:val="6"/>
        </w:numPr>
        <w:rPr>
          <w:u w:val="none"/>
        </w:rPr>
      </w:pPr>
      <w:r w:rsidRPr="00C06E54">
        <w:rPr>
          <w:u w:val="none"/>
        </w:rPr>
        <w:t>Instruktioner för särskilda kolumner: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C06E54" w14:paraId="74B455E0" w14:textId="77777777" w:rsidTr="003F0706">
        <w:trPr>
          <w:trHeight w:val="548"/>
        </w:trPr>
        <w:tc>
          <w:tcPr>
            <w:tcW w:w="729" w:type="pct"/>
            <w:shd w:val="clear" w:color="auto" w:fill="D9D9D9"/>
            <w:noWrap/>
            <w:vAlign w:val="center"/>
          </w:tcPr>
          <w:p w14:paraId="3C56FF4E" w14:textId="77777777" w:rsidR="00A344AA" w:rsidRPr="00C06E54" w:rsidRDefault="00A344AA" w:rsidP="000B288B">
            <w:pPr>
              <w:spacing w:before="0" w:after="0"/>
              <w:jc w:val="left"/>
              <w:rPr>
                <w:color w:val="000000"/>
              </w:rPr>
            </w:pPr>
            <w:r w:rsidRPr="00C06E54">
              <w:rPr>
                <w:rStyle w:val="InstructionsTabelleText"/>
                <w:rFonts w:ascii="Times New Roman" w:hAnsi="Times New Roman"/>
                <w:color w:val="000000"/>
              </w:rPr>
              <w:t>Kolumn</w:t>
            </w:r>
          </w:p>
        </w:tc>
        <w:tc>
          <w:tcPr>
            <w:tcW w:w="4271" w:type="pct"/>
            <w:gridSpan w:val="2"/>
            <w:shd w:val="clear" w:color="auto" w:fill="D9D9D9"/>
            <w:vAlign w:val="center"/>
          </w:tcPr>
          <w:p w14:paraId="708D3843" w14:textId="77777777" w:rsidR="00A344AA" w:rsidRPr="00C06E54" w:rsidRDefault="00A344AA" w:rsidP="000B288B">
            <w:pPr>
              <w:spacing w:before="0" w:after="0"/>
              <w:jc w:val="left"/>
            </w:pPr>
            <w:r w:rsidRPr="00C06E54">
              <w:rPr>
                <w:rStyle w:val="InstructionsTabelleText"/>
                <w:rFonts w:ascii="Times New Roman" w:hAnsi="Times New Roman"/>
              </w:rPr>
              <w:t>Rättsliga hänvisningar och instruktioner</w:t>
            </w:r>
          </w:p>
        </w:tc>
      </w:tr>
      <w:tr w:rsidR="00A344AA" w:rsidRPr="00C06E54" w14:paraId="03B6122B" w14:textId="77777777" w:rsidTr="003F0706">
        <w:trPr>
          <w:trHeight w:val="765"/>
        </w:trPr>
        <w:tc>
          <w:tcPr>
            <w:tcW w:w="729" w:type="pct"/>
            <w:shd w:val="clear" w:color="auto" w:fill="auto"/>
            <w:noWrap/>
          </w:tcPr>
          <w:p w14:paraId="454F7606" w14:textId="1AFD63D2" w:rsidR="00A344AA" w:rsidRPr="00C06E54" w:rsidRDefault="00A344AA">
            <w:pPr>
              <w:spacing w:before="0" w:after="0"/>
              <w:jc w:val="left"/>
              <w:rPr>
                <w:rFonts w:ascii="Times New Roman" w:hAnsi="Times New Roman"/>
                <w:color w:val="000000"/>
                <w:szCs w:val="20"/>
              </w:rPr>
            </w:pPr>
            <w:r w:rsidRPr="00C06E54">
              <w:rPr>
                <w:rFonts w:ascii="Times New Roman" w:hAnsi="Times New Roman"/>
                <w:color w:val="000000"/>
              </w:rPr>
              <w:t>0010</w:t>
            </w:r>
          </w:p>
        </w:tc>
        <w:tc>
          <w:tcPr>
            <w:tcW w:w="4271" w:type="pct"/>
            <w:gridSpan w:val="2"/>
            <w:shd w:val="clear" w:color="auto" w:fill="auto"/>
          </w:tcPr>
          <w:p w14:paraId="146FA391" w14:textId="77777777" w:rsidR="00A344AA" w:rsidRPr="00C06E54" w:rsidRDefault="00A344AA" w:rsidP="003A2647">
            <w:pPr>
              <w:spacing w:before="0" w:after="0"/>
              <w:rPr>
                <w:rFonts w:ascii="Times New Roman" w:hAnsi="Times New Roman"/>
                <w:b/>
                <w:szCs w:val="20"/>
                <w:u w:val="single"/>
              </w:rPr>
            </w:pPr>
            <w:r w:rsidRPr="00C06E54">
              <w:rPr>
                <w:rFonts w:ascii="Times New Roman" w:hAnsi="Times New Roman"/>
                <w:b/>
                <w:u w:val="single"/>
              </w:rPr>
              <w:t>Motpartens namn</w:t>
            </w:r>
          </w:p>
          <w:p w14:paraId="19E2ADEC" w14:textId="77777777" w:rsidR="00A344AA" w:rsidRPr="00C06E54" w:rsidRDefault="00A344AA" w:rsidP="003A2647">
            <w:pPr>
              <w:spacing w:before="0" w:after="0"/>
              <w:rPr>
                <w:rFonts w:ascii="Times New Roman" w:hAnsi="Times New Roman"/>
                <w:b/>
                <w:szCs w:val="20"/>
                <w:u w:val="single"/>
                <w:lang w:eastAsia="en-GB"/>
              </w:rPr>
            </w:pPr>
          </w:p>
          <w:p w14:paraId="2836EBB6" w14:textId="24533A37" w:rsidR="00A344AA" w:rsidRPr="00C06E54" w:rsidRDefault="00A344AA" w:rsidP="00763448">
            <w:pPr>
              <w:spacing w:before="0" w:after="0"/>
              <w:rPr>
                <w:rFonts w:ascii="Times New Roman" w:hAnsi="Times New Roman"/>
                <w:szCs w:val="20"/>
              </w:rPr>
            </w:pPr>
            <w:r w:rsidRPr="00C06E54">
              <w:rPr>
                <w:rFonts w:ascii="Times New Roman" w:hAnsi="Times New Roman"/>
              </w:rPr>
              <w:t>Namnen på alla motparter som har bidragit med minst 1 % av den totala finansieringen ska anges i kolumn 0010 i fallande ordning, dvs. efter finansieringens omfattning.</w:t>
            </w:r>
          </w:p>
          <w:p w14:paraId="5DFD68B3" w14:textId="77777777" w:rsidR="00A344AA" w:rsidRPr="00C06E54" w:rsidRDefault="00A344AA" w:rsidP="00490B62">
            <w:pPr>
              <w:spacing w:before="0" w:after="0"/>
              <w:rPr>
                <w:rFonts w:ascii="Times New Roman" w:hAnsi="Times New Roman"/>
                <w:szCs w:val="20"/>
                <w:lang w:eastAsia="en-GB"/>
              </w:rPr>
            </w:pPr>
          </w:p>
          <w:p w14:paraId="5DA69516" w14:textId="6C8B79FB" w:rsidR="00A344AA" w:rsidRPr="00C06E54" w:rsidRDefault="00C663BC" w:rsidP="00490B62">
            <w:pPr>
              <w:spacing w:before="0" w:after="0"/>
              <w:rPr>
                <w:rFonts w:ascii="Times New Roman" w:hAnsi="Times New Roman"/>
                <w:szCs w:val="20"/>
              </w:rPr>
            </w:pPr>
            <w:r w:rsidRPr="00C06E54">
              <w:rPr>
                <w:rFonts w:ascii="Times New Roman" w:hAnsi="Times New Roman"/>
              </w:rPr>
              <w:t xml:space="preserve">Motpartens namn ska rapporteras både för juridiska personer och fysiska personer. Om motparten är en juridisk person ska motpartens namn vara det fullständiga namnet på den juridiska person som finansieringen kommer ifrån, inbegripet eventuella hänvisningar till företagsform i enlighet med nationell bolagsrätt. </w:t>
            </w:r>
          </w:p>
          <w:p w14:paraId="3DD390D0" w14:textId="388FAF35" w:rsidR="00E8757D" w:rsidRPr="00C06E54" w:rsidRDefault="00E8757D" w:rsidP="00490B62">
            <w:pPr>
              <w:spacing w:before="0" w:after="0"/>
              <w:rPr>
                <w:rFonts w:ascii="Times New Roman" w:hAnsi="Times New Roman"/>
                <w:szCs w:val="20"/>
                <w:lang w:eastAsia="en-GB"/>
              </w:rPr>
            </w:pPr>
          </w:p>
          <w:p w14:paraId="7B415BEB" w14:textId="432F1876" w:rsidR="00E8757D" w:rsidRPr="00C06E54" w:rsidRDefault="00E8757D" w:rsidP="00490B62">
            <w:pPr>
              <w:spacing w:before="0" w:after="0"/>
              <w:rPr>
                <w:rFonts w:ascii="Times New Roman" w:hAnsi="Times New Roman"/>
                <w:szCs w:val="20"/>
              </w:rPr>
            </w:pPr>
            <w:r w:rsidRPr="00C06E54">
              <w:rPr>
                <w:rFonts w:ascii="Times New Roman" w:hAnsi="Times New Roman"/>
              </w:rPr>
              <w:t xml:space="preserve">Om gruppen av kunder med inbördes anknytning inte har något moderföretag, ska den motpart som rapporteras vara den enskilda enhet som institutet bedömer vara mest betydande inom gruppen av kunder med inbördes anknytning. I alla övriga fall ska den motsvara den enskilda motparten. </w:t>
            </w:r>
          </w:p>
          <w:p w14:paraId="5AB242B5" w14:textId="77777777" w:rsidR="00A344AA" w:rsidRPr="00C06E54" w:rsidRDefault="00A344AA" w:rsidP="003A2647">
            <w:pPr>
              <w:spacing w:before="0" w:after="0"/>
              <w:rPr>
                <w:rFonts w:ascii="Times New Roman" w:hAnsi="Times New Roman"/>
                <w:szCs w:val="20"/>
                <w:lang w:eastAsia="en-GB"/>
              </w:rPr>
            </w:pPr>
          </w:p>
        </w:tc>
      </w:tr>
      <w:tr w:rsidR="00CC3091" w:rsidRPr="00C06E54" w14:paraId="383DA9E1" w14:textId="77777777" w:rsidTr="003F0706">
        <w:trPr>
          <w:trHeight w:val="765"/>
        </w:trPr>
        <w:tc>
          <w:tcPr>
            <w:tcW w:w="729" w:type="pct"/>
            <w:shd w:val="clear" w:color="auto" w:fill="auto"/>
            <w:noWrap/>
          </w:tcPr>
          <w:p w14:paraId="0369CC55" w14:textId="72873E1C" w:rsidR="00CC3091" w:rsidRPr="00C06E54" w:rsidRDefault="00CC3091">
            <w:pPr>
              <w:spacing w:before="0" w:after="0"/>
              <w:jc w:val="left"/>
              <w:rPr>
                <w:rFonts w:ascii="Times New Roman" w:hAnsi="Times New Roman"/>
                <w:color w:val="000000"/>
                <w:szCs w:val="20"/>
              </w:rPr>
            </w:pPr>
            <w:r w:rsidRPr="00C06E54">
              <w:rPr>
                <w:rFonts w:ascii="Times New Roman" w:hAnsi="Times New Roman"/>
                <w:color w:val="000000"/>
              </w:rPr>
              <w:t>0015</w:t>
            </w:r>
          </w:p>
        </w:tc>
        <w:tc>
          <w:tcPr>
            <w:tcW w:w="4271" w:type="pct"/>
            <w:gridSpan w:val="2"/>
            <w:shd w:val="clear" w:color="auto" w:fill="auto"/>
          </w:tcPr>
          <w:p w14:paraId="12EA79C0" w14:textId="1CB26A4E" w:rsidR="00CC3091" w:rsidRPr="00C06E54" w:rsidRDefault="00CC3091" w:rsidP="00CC3091">
            <w:pPr>
              <w:pStyle w:val="InstructionsText"/>
              <w:rPr>
                <w:rStyle w:val="InstructionsTabelleberschrift"/>
                <w:rFonts w:ascii="Times New Roman" w:hAnsi="Times New Roman"/>
                <w:szCs w:val="20"/>
              </w:rPr>
            </w:pPr>
            <w:r w:rsidRPr="00C06E54">
              <w:rPr>
                <w:rStyle w:val="InstructionsTabelleberschrift"/>
                <w:rFonts w:ascii="Times New Roman" w:hAnsi="Times New Roman"/>
              </w:rPr>
              <w:t>Kod</w:t>
            </w:r>
          </w:p>
          <w:p w14:paraId="484D7006" w14:textId="77777777" w:rsidR="00CC3091" w:rsidRPr="00C06E54" w:rsidRDefault="00CC3091" w:rsidP="00CC3091">
            <w:pPr>
              <w:pStyle w:val="InstructionsText"/>
              <w:rPr>
                <w:rStyle w:val="InstructionsTabelleberschrift"/>
                <w:rFonts w:ascii="Times New Roman" w:hAnsi="Times New Roman"/>
                <w:szCs w:val="20"/>
              </w:rPr>
            </w:pPr>
          </w:p>
          <w:p w14:paraId="384FB2AC" w14:textId="180414B4" w:rsidR="00CC3091" w:rsidRPr="00C06E54" w:rsidRDefault="00CC3091" w:rsidP="00CC3091">
            <w:pPr>
              <w:pStyle w:val="InstructionsText"/>
              <w:rPr>
                <w:rStyle w:val="FormatvorlageInstructionsTabelleText"/>
                <w:rFonts w:ascii="Times New Roman" w:hAnsi="Times New Roman"/>
                <w:szCs w:val="20"/>
              </w:rPr>
            </w:pPr>
            <w:r w:rsidRPr="00C06E54">
              <w:rPr>
                <w:rStyle w:val="FormatvorlageInstructionsTabelleText"/>
                <w:rFonts w:ascii="Times New Roman" w:hAnsi="Times New Roman"/>
              </w:rPr>
              <w:t>Denna kod är en radidentifierare och ska vara unik för varje motpart. För institut och försäkringsföretag ska koden vara LEI-koden (identifieringskod för juridiska personer). För andra enheter ska koden vara LEI-koden eller, om sådan kod inte finns, en nationell kod. Koden ska vara unik och användas konsekvent i mallarna och över tiden. Koden ska alltid ha ett värde.</w:t>
            </w:r>
          </w:p>
          <w:p w14:paraId="0CD09054" w14:textId="77777777" w:rsidR="00CC3091" w:rsidRPr="00C06E54" w:rsidRDefault="00CC3091" w:rsidP="008A2179">
            <w:pPr>
              <w:pStyle w:val="InstructionsText"/>
              <w:rPr>
                <w:b/>
                <w:szCs w:val="20"/>
                <w:lang w:eastAsia="en-GB"/>
              </w:rPr>
            </w:pPr>
          </w:p>
        </w:tc>
      </w:tr>
      <w:tr w:rsidR="00652C73" w:rsidRPr="00C06E54" w14:paraId="5D4BEF90" w14:textId="77777777" w:rsidTr="003F0706">
        <w:trPr>
          <w:trHeight w:val="765"/>
        </w:trPr>
        <w:tc>
          <w:tcPr>
            <w:tcW w:w="729" w:type="pct"/>
            <w:shd w:val="clear" w:color="auto" w:fill="auto"/>
            <w:noWrap/>
          </w:tcPr>
          <w:p w14:paraId="54B95D38" w14:textId="1EE66AD6" w:rsidR="00652C73" w:rsidRPr="00C06E54" w:rsidRDefault="00652C73">
            <w:pPr>
              <w:spacing w:before="0" w:after="0"/>
              <w:jc w:val="left"/>
              <w:rPr>
                <w:rFonts w:ascii="Times New Roman" w:hAnsi="Times New Roman"/>
                <w:color w:val="000000"/>
                <w:szCs w:val="20"/>
              </w:rPr>
            </w:pPr>
            <w:r w:rsidRPr="00C06E54">
              <w:rPr>
                <w:rFonts w:ascii="Times New Roman" w:hAnsi="Times New Roman"/>
                <w:color w:val="000000"/>
              </w:rPr>
              <w:t>0016</w:t>
            </w:r>
          </w:p>
        </w:tc>
        <w:tc>
          <w:tcPr>
            <w:tcW w:w="4271" w:type="pct"/>
            <w:gridSpan w:val="2"/>
            <w:shd w:val="clear" w:color="auto" w:fill="auto"/>
          </w:tcPr>
          <w:p w14:paraId="23D103A1" w14:textId="5556A6CB" w:rsidR="00652C73" w:rsidRPr="00C06E54" w:rsidRDefault="00652C73" w:rsidP="00652C73">
            <w:pPr>
              <w:pStyle w:val="InstructionsText"/>
              <w:rPr>
                <w:rStyle w:val="InstructionsTabelleberschrift"/>
                <w:rFonts w:ascii="Times New Roman" w:hAnsi="Times New Roman"/>
                <w:szCs w:val="20"/>
              </w:rPr>
            </w:pPr>
            <w:r w:rsidRPr="00C06E54">
              <w:rPr>
                <w:rStyle w:val="InstructionsTabelleberschrift"/>
                <w:rFonts w:ascii="Times New Roman" w:hAnsi="Times New Roman"/>
              </w:rPr>
              <w:t>Typ av kod</w:t>
            </w:r>
          </w:p>
          <w:p w14:paraId="24850EC8" w14:textId="77777777" w:rsidR="00652C73" w:rsidRPr="00C06E54" w:rsidRDefault="00652C73" w:rsidP="00652C73">
            <w:pPr>
              <w:pStyle w:val="InstructionsText"/>
              <w:rPr>
                <w:rStyle w:val="InstructionsTabelleberschrift"/>
                <w:rFonts w:ascii="Times New Roman" w:hAnsi="Times New Roman"/>
                <w:szCs w:val="20"/>
              </w:rPr>
            </w:pPr>
          </w:p>
          <w:p w14:paraId="0DA412A4" w14:textId="7B7B1168" w:rsidR="00AF49BE" w:rsidRPr="00C06E54" w:rsidRDefault="00652C73" w:rsidP="00AF49BE">
            <w:pPr>
              <w:pStyle w:val="InstructionsText"/>
              <w:rPr>
                <w:rStyle w:val="FormatvorlageInstructionsTabelleText"/>
                <w:rFonts w:ascii="Times New Roman" w:hAnsi="Times New Roman"/>
                <w:szCs w:val="20"/>
              </w:rPr>
            </w:pPr>
            <w:r w:rsidRPr="00C06E54">
              <w:rPr>
                <w:rStyle w:val="FormatvorlageInstructionsTabelleText"/>
                <w:rFonts w:ascii="Times New Roman" w:hAnsi="Times New Roman"/>
              </w:rPr>
              <w:t>Instituten ska ange om typen av kod som rapporteras i kolumn 0015 är ”LEI-kod” eller ”Ej LEI-kod”.</w:t>
            </w:r>
          </w:p>
          <w:p w14:paraId="47AC406F" w14:textId="20E7AC43" w:rsidR="00652C73" w:rsidRPr="00C06E54" w:rsidRDefault="00AF49BE" w:rsidP="00AF49BE">
            <w:pPr>
              <w:pStyle w:val="InstructionsText"/>
              <w:rPr>
                <w:rStyle w:val="FormatvorlageInstructionsTabelleText"/>
                <w:rFonts w:ascii="Times New Roman" w:hAnsi="Times New Roman"/>
                <w:szCs w:val="20"/>
              </w:rPr>
            </w:pPr>
            <w:r w:rsidRPr="00C06E54">
              <w:rPr>
                <w:rStyle w:val="FormatvorlageInstructionsTabelleText"/>
                <w:rFonts w:ascii="Times New Roman" w:hAnsi="Times New Roman"/>
              </w:rPr>
              <w:t>Typen av kod ska alltid rapporteras.</w:t>
            </w:r>
          </w:p>
          <w:p w14:paraId="663A1531" w14:textId="52CE1945" w:rsidR="00652C73" w:rsidRPr="00C06E54" w:rsidRDefault="00652C73" w:rsidP="00CC3091">
            <w:pPr>
              <w:pStyle w:val="InstructionsText"/>
              <w:rPr>
                <w:rStyle w:val="InstructionsTabelleberschrift"/>
                <w:rFonts w:ascii="Times New Roman" w:hAnsi="Times New Roman"/>
                <w:szCs w:val="20"/>
              </w:rPr>
            </w:pPr>
          </w:p>
        </w:tc>
      </w:tr>
      <w:tr w:rsidR="00652C73" w:rsidRPr="00C06E54" w14:paraId="3A285D76" w14:textId="77777777" w:rsidTr="003F0706">
        <w:trPr>
          <w:trHeight w:val="765"/>
        </w:trPr>
        <w:tc>
          <w:tcPr>
            <w:tcW w:w="729" w:type="pct"/>
            <w:shd w:val="clear" w:color="auto" w:fill="auto"/>
            <w:noWrap/>
          </w:tcPr>
          <w:p w14:paraId="073F98AC" w14:textId="0D1B2370" w:rsidR="00652C73" w:rsidRPr="00C06E54" w:rsidRDefault="00652C73">
            <w:pPr>
              <w:spacing w:before="0" w:after="0"/>
              <w:jc w:val="left"/>
              <w:rPr>
                <w:rFonts w:ascii="Times New Roman" w:hAnsi="Times New Roman"/>
                <w:color w:val="000000"/>
                <w:szCs w:val="20"/>
              </w:rPr>
            </w:pPr>
            <w:r w:rsidRPr="00C06E54">
              <w:rPr>
                <w:rFonts w:ascii="Times New Roman" w:hAnsi="Times New Roman"/>
                <w:color w:val="000000"/>
              </w:rPr>
              <w:t>0017</w:t>
            </w:r>
          </w:p>
        </w:tc>
        <w:tc>
          <w:tcPr>
            <w:tcW w:w="4271" w:type="pct"/>
            <w:gridSpan w:val="2"/>
            <w:shd w:val="clear" w:color="auto" w:fill="auto"/>
          </w:tcPr>
          <w:p w14:paraId="24714CD1" w14:textId="28F9B92F" w:rsidR="00652C73" w:rsidRPr="00C06E54" w:rsidRDefault="00652C73" w:rsidP="00652C73">
            <w:pPr>
              <w:pStyle w:val="InstructionsText"/>
              <w:rPr>
                <w:rStyle w:val="InstructionsTabelleberschrift"/>
                <w:rFonts w:ascii="Times New Roman" w:hAnsi="Times New Roman"/>
                <w:szCs w:val="20"/>
              </w:rPr>
            </w:pPr>
            <w:r w:rsidRPr="00C06E54">
              <w:rPr>
                <w:rStyle w:val="InstructionsTabelleberschrift"/>
                <w:rFonts w:ascii="Times New Roman" w:hAnsi="Times New Roman"/>
              </w:rPr>
              <w:t>Nationell kod</w:t>
            </w:r>
          </w:p>
          <w:p w14:paraId="299CAD77" w14:textId="77777777" w:rsidR="00652C73" w:rsidRPr="00C06E54" w:rsidRDefault="00652C73" w:rsidP="00652C73">
            <w:pPr>
              <w:pStyle w:val="InstructionsText"/>
              <w:rPr>
                <w:rStyle w:val="InstructionsTabelleberschrift"/>
                <w:rFonts w:ascii="Times New Roman" w:hAnsi="Times New Roman"/>
                <w:szCs w:val="20"/>
              </w:rPr>
            </w:pPr>
          </w:p>
          <w:p w14:paraId="3D894992" w14:textId="77777777" w:rsidR="00652C73" w:rsidRPr="00C06E54" w:rsidRDefault="00652C73" w:rsidP="00CC3091">
            <w:pPr>
              <w:pStyle w:val="InstructionsText"/>
              <w:rPr>
                <w:rStyle w:val="FormatvorlageInstructionsTabelleText"/>
                <w:rFonts w:ascii="Times New Roman" w:hAnsi="Times New Roman"/>
                <w:szCs w:val="20"/>
              </w:rPr>
            </w:pPr>
            <w:r w:rsidRPr="00C06E54">
              <w:rPr>
                <w:rStyle w:val="FormatvorlageInstructionsTabelleText"/>
                <w:rFonts w:ascii="Times New Roman" w:hAnsi="Times New Roman"/>
              </w:rPr>
              <w:t>Instituten får även rapportera den nationella koden när de rapporterar LEI-kod som identifieringskod i kolumnen ”Kod”.</w:t>
            </w:r>
          </w:p>
          <w:p w14:paraId="2DD0B123" w14:textId="59AC2EB9" w:rsidR="00652C73" w:rsidRPr="00C06E54" w:rsidRDefault="00652C73" w:rsidP="00CC3091">
            <w:pPr>
              <w:pStyle w:val="InstructionsText"/>
              <w:rPr>
                <w:rStyle w:val="InstructionsTabelleberschrift"/>
                <w:rFonts w:ascii="Times New Roman" w:hAnsi="Times New Roman"/>
                <w:szCs w:val="20"/>
              </w:rPr>
            </w:pPr>
          </w:p>
        </w:tc>
      </w:tr>
      <w:tr w:rsidR="00A344AA" w:rsidRPr="00C06E54"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C06E54" w:rsidRDefault="00A344AA" w:rsidP="000B288B">
            <w:pPr>
              <w:spacing w:before="0" w:after="0"/>
              <w:jc w:val="left"/>
              <w:rPr>
                <w:rFonts w:ascii="Times New Roman" w:hAnsi="Times New Roman"/>
                <w:color w:val="000000"/>
                <w:szCs w:val="20"/>
              </w:rPr>
            </w:pPr>
            <w:r w:rsidRPr="00C06E54">
              <w:rPr>
                <w:rFonts w:ascii="Times New Roman" w:hAnsi="Times New Roman"/>
                <w:color w:val="000000"/>
              </w:rPr>
              <w:lastRenderedPageBreak/>
              <w:t>0030</w:t>
            </w:r>
          </w:p>
        </w:tc>
        <w:tc>
          <w:tcPr>
            <w:tcW w:w="4271" w:type="pct"/>
            <w:gridSpan w:val="2"/>
            <w:tcBorders>
              <w:bottom w:val="single" w:sz="4" w:space="0" w:color="auto"/>
            </w:tcBorders>
            <w:shd w:val="clear" w:color="auto" w:fill="auto"/>
          </w:tcPr>
          <w:p w14:paraId="6B942154" w14:textId="77777777" w:rsidR="00A344AA" w:rsidRPr="00C06E54" w:rsidRDefault="00A344AA" w:rsidP="003A2647">
            <w:pPr>
              <w:spacing w:before="0" w:after="0"/>
              <w:rPr>
                <w:rFonts w:ascii="Times New Roman" w:hAnsi="Times New Roman"/>
                <w:b/>
                <w:szCs w:val="20"/>
                <w:u w:val="single"/>
              </w:rPr>
            </w:pPr>
            <w:r w:rsidRPr="00C06E54">
              <w:rPr>
                <w:rFonts w:ascii="Times New Roman" w:hAnsi="Times New Roman"/>
                <w:b/>
                <w:u w:val="single"/>
              </w:rPr>
              <w:t>Motpartssektor</w:t>
            </w:r>
          </w:p>
          <w:p w14:paraId="2CCF7839" w14:textId="77777777" w:rsidR="00A344AA" w:rsidRPr="00C06E54" w:rsidRDefault="00A344AA" w:rsidP="003A2647">
            <w:pPr>
              <w:spacing w:before="0" w:after="0"/>
              <w:rPr>
                <w:rFonts w:ascii="Times New Roman" w:hAnsi="Times New Roman"/>
                <w:b/>
                <w:szCs w:val="20"/>
                <w:u w:val="single"/>
                <w:lang w:eastAsia="en-GB"/>
              </w:rPr>
            </w:pPr>
          </w:p>
          <w:p w14:paraId="2E43DAFB" w14:textId="2CD514E0" w:rsidR="00A344AA" w:rsidRPr="00C06E54" w:rsidRDefault="00A344AA" w:rsidP="00CC3091">
            <w:pPr>
              <w:pStyle w:val="InstructionsText"/>
              <w:rPr>
                <w:rStyle w:val="FormatvorlageInstructionsTabelleText"/>
                <w:rFonts w:ascii="Times New Roman" w:hAnsi="Times New Roman"/>
                <w:szCs w:val="20"/>
              </w:rPr>
            </w:pPr>
            <w:r w:rsidRPr="00C06E54">
              <w:rPr>
                <w:rStyle w:val="FormatvorlageInstructionsTabelleText"/>
                <w:rFonts w:ascii="Times New Roman" w:hAnsi="Times New Roman"/>
              </w:rPr>
              <w:t>En sektor ska fördelas på varje motpart på grundval av följande kategorier av ekonomiska sektorer enligt Finrep (del 1 i bilaga V till denna genomförandeförordning):</w:t>
            </w:r>
          </w:p>
          <w:p w14:paraId="7C349277" w14:textId="77777777" w:rsidR="00A344AA" w:rsidRPr="00C06E54" w:rsidRDefault="00A344AA" w:rsidP="00CC3091">
            <w:pPr>
              <w:pStyle w:val="InstructionsText"/>
              <w:rPr>
                <w:rStyle w:val="FormatvorlageInstructionsTabelleText"/>
                <w:rFonts w:ascii="Times New Roman" w:hAnsi="Times New Roman"/>
                <w:szCs w:val="20"/>
              </w:rPr>
            </w:pPr>
          </w:p>
          <w:p w14:paraId="07E3E3C8" w14:textId="068EC55B" w:rsidR="00A344AA" w:rsidRPr="00C06E54" w:rsidRDefault="00A344AA" w:rsidP="00CC3091">
            <w:pPr>
              <w:pStyle w:val="InstructionsText"/>
              <w:rPr>
                <w:rStyle w:val="FormatvorlageInstructionsTabelleText"/>
                <w:rFonts w:ascii="Times New Roman" w:hAnsi="Times New Roman"/>
                <w:szCs w:val="20"/>
              </w:rPr>
            </w:pPr>
            <w:r w:rsidRPr="00C06E54">
              <w:rPr>
                <w:rStyle w:val="FormatvorlageInstructionsTabelleText"/>
                <w:rFonts w:ascii="Times New Roman" w:hAnsi="Times New Roman"/>
              </w:rPr>
              <w:t xml:space="preserve">(i) Centralbanker. (ii) Offentlig sektor. (iii) Kreditinstitut. (iv) Övriga finansiella företag. (v) Icke-finansiella företag. (vi) Hushåll. </w:t>
            </w:r>
          </w:p>
          <w:p w14:paraId="4CA62F92" w14:textId="77777777" w:rsidR="00A344AA" w:rsidRPr="00C06E54"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C06E54" w:rsidRDefault="00A344AA" w:rsidP="00CC3091">
            <w:pPr>
              <w:pStyle w:val="InstructionsText"/>
              <w:rPr>
                <w:rStyle w:val="FormatvorlageInstructionsTabelleText"/>
                <w:rFonts w:ascii="Times New Roman" w:hAnsi="Times New Roman"/>
                <w:szCs w:val="20"/>
              </w:rPr>
            </w:pPr>
            <w:r w:rsidRPr="00C06E54">
              <w:rPr>
                <w:rStyle w:val="FormatvorlageInstructionsTabelleText"/>
                <w:rFonts w:ascii="Times New Roman" w:hAnsi="Times New Roman"/>
              </w:rPr>
              <w:t>För grupper av kunder med inbördes anknytning ska ingen sektor rapporteras.</w:t>
            </w:r>
          </w:p>
          <w:p w14:paraId="0E3CE66C" w14:textId="77777777" w:rsidR="00A344AA" w:rsidRPr="00C06E54" w:rsidRDefault="00A344AA" w:rsidP="00927DCB">
            <w:pPr>
              <w:pStyle w:val="InstructionsText2"/>
              <w:numPr>
                <w:ilvl w:val="0"/>
                <w:numId w:val="0"/>
              </w:numPr>
              <w:spacing w:after="0"/>
              <w:ind w:left="714"/>
            </w:pPr>
          </w:p>
        </w:tc>
      </w:tr>
      <w:tr w:rsidR="00A344AA" w:rsidRPr="00C06E54" w14:paraId="159CB0CE" w14:textId="77777777" w:rsidTr="003D0976">
        <w:trPr>
          <w:trHeight w:val="510"/>
        </w:trPr>
        <w:tc>
          <w:tcPr>
            <w:tcW w:w="729" w:type="pct"/>
            <w:tcBorders>
              <w:bottom w:val="nil"/>
            </w:tcBorders>
            <w:shd w:val="clear" w:color="auto" w:fill="auto"/>
            <w:noWrap/>
          </w:tcPr>
          <w:p w14:paraId="7DA552B5" w14:textId="50E8979D" w:rsidR="00A344AA" w:rsidRPr="00C06E54" w:rsidRDefault="00A344AA" w:rsidP="000B288B">
            <w:pPr>
              <w:spacing w:before="0" w:after="0"/>
              <w:jc w:val="left"/>
              <w:rPr>
                <w:rFonts w:ascii="Times New Roman" w:hAnsi="Times New Roman"/>
                <w:color w:val="000000"/>
                <w:szCs w:val="20"/>
              </w:rPr>
            </w:pPr>
            <w:r w:rsidRPr="00C06E54">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C06E54" w:rsidRDefault="00A344AA" w:rsidP="003A2647">
            <w:pPr>
              <w:spacing w:before="0" w:after="0"/>
              <w:rPr>
                <w:rFonts w:ascii="Times New Roman" w:hAnsi="Times New Roman"/>
                <w:b/>
                <w:szCs w:val="20"/>
                <w:u w:val="single"/>
              </w:rPr>
            </w:pPr>
            <w:r w:rsidRPr="00C06E54">
              <w:rPr>
                <w:rFonts w:ascii="Times New Roman" w:hAnsi="Times New Roman"/>
                <w:b/>
                <w:u w:val="single"/>
              </w:rPr>
              <w:t xml:space="preserve">Motpartens hemvist </w:t>
            </w:r>
          </w:p>
          <w:p w14:paraId="4CB6B035" w14:textId="77777777" w:rsidR="00A344AA" w:rsidRPr="00C06E54" w:rsidRDefault="00A344AA" w:rsidP="00CC3091">
            <w:pPr>
              <w:pStyle w:val="InstructionsText"/>
              <w:rPr>
                <w:rStyle w:val="FormatvorlageInstructionsTabelleText"/>
                <w:rFonts w:ascii="Times New Roman" w:hAnsi="Times New Roman"/>
                <w:b/>
                <w:szCs w:val="20"/>
              </w:rPr>
            </w:pPr>
          </w:p>
          <w:p w14:paraId="1792AE6F" w14:textId="2E35E73C" w:rsidR="00A344AA" w:rsidRPr="00C06E54" w:rsidRDefault="00A344AA" w:rsidP="00CC3091">
            <w:pPr>
              <w:pStyle w:val="InstructionsText"/>
              <w:rPr>
                <w:rStyle w:val="FormatvorlageInstructionsTabelleText"/>
                <w:rFonts w:ascii="Times New Roman" w:hAnsi="Times New Roman"/>
                <w:szCs w:val="20"/>
              </w:rPr>
            </w:pPr>
            <w:r w:rsidRPr="00C06E54">
              <w:rPr>
                <w:rStyle w:val="FormatvorlageInstructionsTabelleText"/>
                <w:rFonts w:ascii="Times New Roman" w:hAnsi="Times New Roman"/>
              </w:rPr>
              <w:t>Alfa-2-landskoden enligt ISO 3166-1 för det land där motparten är registrerad ska anges, inklusive pseudo-ISO-koder för internationella organisationer</w:t>
            </w:r>
            <w:r w:rsidRPr="00C06E54">
              <w:t>, som finns i den senaste utgåvan av Eurostats anvisningar för uppgifter om betalningsbalansen (</w:t>
            </w:r>
            <w:r w:rsidRPr="00C06E54">
              <w:rPr>
                <w:i/>
              </w:rPr>
              <w:t>Balance of Payments Vademecum</w:t>
            </w:r>
            <w:r w:rsidRPr="00C06E54">
              <w:t>)</w:t>
            </w:r>
            <w:r w:rsidRPr="00C06E54">
              <w:rPr>
                <w:u w:val="none"/>
              </w:rPr>
              <w:t>.</w:t>
            </w:r>
            <w:r w:rsidRPr="00C06E54">
              <w:rPr>
                <w:rStyle w:val="FormatvorlageInstructionsTabelleText"/>
                <w:rFonts w:ascii="Times New Roman" w:hAnsi="Times New Roman"/>
              </w:rPr>
              <w:t xml:space="preserve"> </w:t>
            </w:r>
          </w:p>
          <w:p w14:paraId="713A8F3E" w14:textId="77777777" w:rsidR="00A344AA" w:rsidRPr="00C06E54" w:rsidRDefault="00A344AA" w:rsidP="00CC3091">
            <w:pPr>
              <w:pStyle w:val="InstructionsText"/>
              <w:rPr>
                <w:rStyle w:val="FormatvorlageInstructionsTabelleText"/>
                <w:rFonts w:ascii="Times New Roman" w:hAnsi="Times New Roman"/>
                <w:szCs w:val="20"/>
              </w:rPr>
            </w:pPr>
          </w:p>
          <w:p w14:paraId="6E964331" w14:textId="180A6696" w:rsidR="00A344AA" w:rsidRPr="00C06E54" w:rsidRDefault="00A344AA" w:rsidP="003A2647">
            <w:pPr>
              <w:spacing w:before="0" w:after="0"/>
              <w:rPr>
                <w:rFonts w:ascii="Times New Roman" w:hAnsi="Times New Roman"/>
                <w:b/>
                <w:szCs w:val="20"/>
                <w:u w:val="single"/>
              </w:rPr>
            </w:pPr>
            <w:r w:rsidRPr="00C06E54">
              <w:rPr>
                <w:rStyle w:val="FormatvorlageInstructionsTabelleText"/>
                <w:rFonts w:ascii="Times New Roman" w:hAnsi="Times New Roman"/>
              </w:rPr>
              <w:t>Inget land ska anges för grupper av kunder med inbördes anknytning.</w:t>
            </w:r>
          </w:p>
        </w:tc>
      </w:tr>
      <w:tr w:rsidR="00A344AA" w:rsidRPr="00C06E54"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C06E54"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C06E54"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C06E54" w:rsidRDefault="00A344AA" w:rsidP="003A2647">
            <w:pPr>
              <w:spacing w:before="0" w:after="0"/>
              <w:rPr>
                <w:rFonts w:ascii="Times New Roman" w:hAnsi="Times New Roman"/>
                <w:b/>
                <w:szCs w:val="20"/>
                <w:u w:val="single"/>
                <w:lang w:eastAsia="en-GB"/>
              </w:rPr>
            </w:pPr>
          </w:p>
        </w:tc>
      </w:tr>
      <w:tr w:rsidR="00A344AA" w:rsidRPr="00C06E5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C06E54" w:rsidRDefault="00A344AA" w:rsidP="000B288B">
            <w:pPr>
              <w:spacing w:before="0" w:after="0"/>
              <w:jc w:val="left"/>
              <w:rPr>
                <w:rFonts w:ascii="Times New Roman" w:hAnsi="Times New Roman"/>
                <w:color w:val="000000"/>
                <w:szCs w:val="20"/>
              </w:rPr>
            </w:pPr>
            <w:r w:rsidRPr="00C06E54">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C06E54" w:rsidRDefault="00A344AA" w:rsidP="003A2647">
            <w:pPr>
              <w:spacing w:before="0" w:after="0"/>
              <w:rPr>
                <w:rFonts w:ascii="Times New Roman" w:hAnsi="Times New Roman"/>
                <w:b/>
                <w:szCs w:val="20"/>
                <w:u w:val="single"/>
              </w:rPr>
            </w:pPr>
            <w:r w:rsidRPr="00C06E54">
              <w:rPr>
                <w:rFonts w:ascii="Times New Roman" w:hAnsi="Times New Roman"/>
                <w:b/>
                <w:u w:val="single"/>
              </w:rPr>
              <w:t>Produkttyp</w:t>
            </w:r>
          </w:p>
          <w:p w14:paraId="27D8CDCC" w14:textId="77777777" w:rsidR="00A344AA" w:rsidRPr="00C06E54" w:rsidRDefault="00A344AA" w:rsidP="003A2647">
            <w:pPr>
              <w:spacing w:before="0" w:after="0"/>
              <w:rPr>
                <w:rFonts w:ascii="Times New Roman" w:hAnsi="Times New Roman"/>
                <w:b/>
                <w:szCs w:val="20"/>
                <w:u w:val="single"/>
                <w:lang w:eastAsia="en-GB"/>
              </w:rPr>
            </w:pPr>
          </w:p>
          <w:p w14:paraId="435BE420" w14:textId="48F7C1CB" w:rsidR="00A344AA" w:rsidRPr="00C06E54" w:rsidRDefault="00A344AA" w:rsidP="00763448">
            <w:pPr>
              <w:spacing w:before="0" w:after="0"/>
              <w:rPr>
                <w:rFonts w:ascii="Times New Roman" w:hAnsi="Times New Roman"/>
                <w:szCs w:val="20"/>
              </w:rPr>
            </w:pPr>
            <w:r w:rsidRPr="00C06E54">
              <w:rPr>
                <w:rFonts w:ascii="Times New Roman" w:hAnsi="Times New Roman"/>
              </w:rPr>
              <w:t>De motparter som rapporteras i kolumn 0010 ska åsättas produkttyper som motsvarar den produkt som finansieringen erhölls genom eller genom vilken den största delen av finansieringen erhölls när det gäller blandade produkttyper, med hjälp av följande koder (med fetstil):</w:t>
            </w:r>
          </w:p>
          <w:p w14:paraId="374B715F" w14:textId="77777777" w:rsidR="00A344AA" w:rsidRPr="00C06E54" w:rsidRDefault="00A344AA" w:rsidP="003A2647">
            <w:pPr>
              <w:spacing w:before="0" w:after="0"/>
              <w:ind w:left="108"/>
              <w:rPr>
                <w:rFonts w:ascii="Times New Roman" w:hAnsi="Times New Roman"/>
                <w:color w:val="000000"/>
                <w:szCs w:val="20"/>
                <w:lang w:eastAsia="en-GB"/>
              </w:rPr>
            </w:pPr>
          </w:p>
          <w:p w14:paraId="644929DE" w14:textId="77777777" w:rsidR="00A344AA" w:rsidRPr="00C06E54" w:rsidRDefault="00A344AA" w:rsidP="003A2647">
            <w:pPr>
              <w:spacing w:before="0" w:after="0"/>
              <w:ind w:left="108"/>
              <w:rPr>
                <w:rFonts w:ascii="Times New Roman" w:hAnsi="Times New Roman"/>
                <w:color w:val="000000"/>
                <w:szCs w:val="20"/>
              </w:rPr>
            </w:pPr>
            <w:r w:rsidRPr="00C06E54">
              <w:rPr>
                <w:rFonts w:ascii="Times New Roman" w:hAnsi="Times New Roman"/>
                <w:b/>
                <w:color w:val="000000"/>
              </w:rPr>
              <w:t>UWF</w:t>
            </w:r>
            <w:r w:rsidRPr="00C06E54">
              <w:rPr>
                <w:rFonts w:ascii="Times New Roman" w:hAnsi="Times New Roman"/>
                <w:color w:val="000000"/>
              </w:rPr>
              <w:t xml:space="preserve"> (kapitalmarknadsfinansiering utan säkerhet från finansiella kunder inklusive interbanklån)</w:t>
            </w:r>
          </w:p>
          <w:p w14:paraId="65D81A1D" w14:textId="77777777" w:rsidR="00A344AA" w:rsidRPr="00C06E54" w:rsidRDefault="00A344AA" w:rsidP="003A2647">
            <w:pPr>
              <w:spacing w:before="0" w:after="0"/>
              <w:ind w:left="108"/>
              <w:rPr>
                <w:rFonts w:ascii="Times New Roman" w:hAnsi="Times New Roman"/>
                <w:color w:val="000000"/>
                <w:szCs w:val="20"/>
                <w:lang w:eastAsia="en-GB"/>
              </w:rPr>
            </w:pPr>
          </w:p>
          <w:p w14:paraId="2E6EBD07" w14:textId="77777777" w:rsidR="00A344AA" w:rsidRPr="00C06E54" w:rsidRDefault="00A344AA" w:rsidP="003A2647">
            <w:pPr>
              <w:spacing w:before="0" w:after="0"/>
              <w:ind w:left="108"/>
              <w:rPr>
                <w:rFonts w:ascii="Times New Roman" w:hAnsi="Times New Roman"/>
                <w:color w:val="000000"/>
                <w:szCs w:val="20"/>
              </w:rPr>
            </w:pPr>
            <w:r w:rsidRPr="00C06E54">
              <w:rPr>
                <w:rFonts w:ascii="Times New Roman" w:hAnsi="Times New Roman"/>
                <w:b/>
                <w:color w:val="000000"/>
              </w:rPr>
              <w:t>UWNF</w:t>
            </w:r>
            <w:r w:rsidRPr="00C06E54">
              <w:rPr>
                <w:rFonts w:ascii="Times New Roman" w:hAnsi="Times New Roman"/>
                <w:color w:val="000000"/>
              </w:rPr>
              <w:t xml:space="preserve"> (kapitalmarknadsfinansiering utan säkerhet från icke-finansiella kunder)</w:t>
            </w:r>
          </w:p>
          <w:p w14:paraId="69567DFF" w14:textId="77777777" w:rsidR="00A344AA" w:rsidRPr="00C06E54" w:rsidRDefault="00A344AA" w:rsidP="003A2647">
            <w:pPr>
              <w:spacing w:before="0" w:after="0"/>
              <w:ind w:left="108"/>
              <w:rPr>
                <w:rFonts w:ascii="Times New Roman" w:hAnsi="Times New Roman"/>
                <w:color w:val="000000"/>
                <w:szCs w:val="20"/>
                <w:lang w:eastAsia="en-GB"/>
              </w:rPr>
            </w:pPr>
          </w:p>
          <w:p w14:paraId="362C9247" w14:textId="62825CD2" w:rsidR="00A344AA" w:rsidRPr="00C06E54" w:rsidRDefault="00792E65" w:rsidP="003A2647">
            <w:pPr>
              <w:spacing w:before="0" w:after="0"/>
              <w:ind w:left="108"/>
              <w:rPr>
                <w:rFonts w:ascii="Times New Roman" w:hAnsi="Times New Roman"/>
                <w:color w:val="000000"/>
                <w:szCs w:val="20"/>
              </w:rPr>
            </w:pPr>
            <w:r w:rsidRPr="00C06E54">
              <w:rPr>
                <w:rFonts w:ascii="Times New Roman" w:hAnsi="Times New Roman"/>
                <w:b/>
                <w:color w:val="000000"/>
              </w:rPr>
              <w:t>SFT</w:t>
            </w:r>
            <w:r w:rsidRPr="00C06E54">
              <w:rPr>
                <w:rFonts w:ascii="Times New Roman" w:hAnsi="Times New Roman"/>
                <w:color w:val="000000"/>
              </w:rPr>
              <w:t xml:space="preserve"> (finansiering genom återköpsavtal enligt definitionen i artikel 4.1.82 i förordning (EU nr 575/2013)</w:t>
            </w:r>
          </w:p>
          <w:p w14:paraId="66F4842F" w14:textId="77777777" w:rsidR="00A344AA" w:rsidRPr="00C06E54" w:rsidRDefault="00A344AA" w:rsidP="003A2647">
            <w:pPr>
              <w:spacing w:before="0" w:after="0"/>
              <w:ind w:left="108"/>
              <w:rPr>
                <w:rFonts w:ascii="Times New Roman" w:hAnsi="Times New Roman"/>
                <w:color w:val="000000"/>
                <w:szCs w:val="20"/>
                <w:lang w:eastAsia="en-GB"/>
              </w:rPr>
            </w:pPr>
          </w:p>
          <w:p w14:paraId="4D7FE979" w14:textId="33AD0392" w:rsidR="00A344AA" w:rsidRPr="00C06E54" w:rsidRDefault="00A344AA" w:rsidP="003A2647">
            <w:pPr>
              <w:spacing w:before="0" w:after="0"/>
              <w:ind w:left="108"/>
              <w:rPr>
                <w:rFonts w:ascii="Times New Roman" w:hAnsi="Times New Roman"/>
                <w:color w:val="000000"/>
                <w:szCs w:val="20"/>
              </w:rPr>
            </w:pPr>
            <w:r w:rsidRPr="00C06E54">
              <w:rPr>
                <w:rFonts w:ascii="Times New Roman" w:hAnsi="Times New Roman"/>
                <w:b/>
                <w:color w:val="000000"/>
              </w:rPr>
              <w:t>CB</w:t>
            </w:r>
            <w:r w:rsidRPr="00C06E54">
              <w:rPr>
                <w:rFonts w:ascii="Times New Roman" w:hAnsi="Times New Roman"/>
                <w:color w:val="000000"/>
              </w:rPr>
              <w:t xml:space="preserve"> (finansiering genom emission av säkerställda obligationer enligt definitionen i artikel 129.4 eller 129.5 i förordning (EU) nr 575/2013 eller artikel 52.4 i direktiv 2009/65/EG)</w:t>
            </w:r>
          </w:p>
          <w:p w14:paraId="3F2C9E19" w14:textId="77777777" w:rsidR="00A344AA" w:rsidRPr="00C06E54" w:rsidRDefault="00A344AA" w:rsidP="003A2647">
            <w:pPr>
              <w:spacing w:before="0" w:after="0"/>
              <w:ind w:left="108"/>
              <w:rPr>
                <w:rFonts w:ascii="Times New Roman" w:hAnsi="Times New Roman"/>
                <w:color w:val="000000"/>
                <w:szCs w:val="20"/>
                <w:lang w:eastAsia="en-GB"/>
              </w:rPr>
            </w:pPr>
          </w:p>
          <w:p w14:paraId="2DBA0870" w14:textId="3C775A9F" w:rsidR="00A344AA" w:rsidRPr="00C06E54" w:rsidRDefault="00A344AA" w:rsidP="003A2647">
            <w:pPr>
              <w:spacing w:before="0" w:after="0"/>
              <w:ind w:left="108"/>
              <w:rPr>
                <w:rFonts w:ascii="Times New Roman" w:hAnsi="Times New Roman"/>
                <w:color w:val="000000"/>
                <w:szCs w:val="20"/>
              </w:rPr>
            </w:pPr>
            <w:r w:rsidRPr="00C06E54">
              <w:rPr>
                <w:rFonts w:ascii="Times New Roman" w:hAnsi="Times New Roman"/>
                <w:b/>
                <w:color w:val="000000"/>
              </w:rPr>
              <w:t>ABS</w:t>
            </w:r>
            <w:r w:rsidRPr="00C06E54">
              <w:rPr>
                <w:rFonts w:ascii="Times New Roman" w:hAnsi="Times New Roman"/>
                <w:color w:val="000000"/>
              </w:rPr>
              <w:t xml:space="preserve"> (finansiering genom emission av tillgångssäkrade värdepapper inklusive tillgångsbaserade certifikat)</w:t>
            </w:r>
          </w:p>
          <w:p w14:paraId="49DC5CAE" w14:textId="46B6D398" w:rsidR="00E272B2" w:rsidRPr="00C06E54" w:rsidRDefault="00E272B2" w:rsidP="003A2647">
            <w:pPr>
              <w:spacing w:before="0" w:after="0"/>
              <w:ind w:left="108"/>
              <w:rPr>
                <w:rFonts w:ascii="Times New Roman" w:hAnsi="Times New Roman"/>
                <w:color w:val="000000"/>
                <w:szCs w:val="20"/>
                <w:lang w:eastAsia="en-GB"/>
              </w:rPr>
            </w:pPr>
          </w:p>
          <w:p w14:paraId="6EE0437C" w14:textId="5F02752C" w:rsidR="00E272B2" w:rsidRPr="00C06E54" w:rsidRDefault="00E272B2" w:rsidP="003A2647">
            <w:pPr>
              <w:spacing w:before="0" w:after="0"/>
              <w:ind w:left="108"/>
              <w:rPr>
                <w:rFonts w:ascii="Times New Roman" w:hAnsi="Times New Roman"/>
                <w:color w:val="000000"/>
                <w:szCs w:val="20"/>
              </w:rPr>
            </w:pPr>
            <w:r w:rsidRPr="00C06E54">
              <w:rPr>
                <w:rFonts w:ascii="Times New Roman" w:hAnsi="Times New Roman"/>
                <w:b/>
                <w:color w:val="000000"/>
              </w:rPr>
              <w:t>CBM</w:t>
            </w:r>
            <w:r w:rsidRPr="00C06E54">
              <w:rPr>
                <w:rFonts w:ascii="Times New Roman" w:hAnsi="Times New Roman"/>
                <w:color w:val="000000"/>
              </w:rPr>
              <w:t xml:space="preserve"> (centralbanksfinansiering i samband med penningpolitiska transaktioner)</w:t>
            </w:r>
          </w:p>
          <w:p w14:paraId="54E284FB" w14:textId="77777777" w:rsidR="00A344AA" w:rsidRPr="00C06E54" w:rsidRDefault="00A344AA" w:rsidP="003A2647">
            <w:pPr>
              <w:spacing w:before="0" w:after="0"/>
              <w:ind w:left="108"/>
              <w:rPr>
                <w:rFonts w:ascii="Times New Roman" w:hAnsi="Times New Roman"/>
                <w:color w:val="000000"/>
                <w:szCs w:val="20"/>
                <w:lang w:eastAsia="en-GB"/>
              </w:rPr>
            </w:pPr>
          </w:p>
          <w:p w14:paraId="195FF68E" w14:textId="3A3310CC" w:rsidR="00F7385A" w:rsidRPr="00C06E54" w:rsidRDefault="00F7385A" w:rsidP="003A2647">
            <w:pPr>
              <w:spacing w:before="0" w:after="0"/>
              <w:ind w:left="108"/>
              <w:rPr>
                <w:rFonts w:ascii="Times New Roman" w:hAnsi="Times New Roman"/>
                <w:b/>
                <w:color w:val="000000"/>
                <w:szCs w:val="20"/>
              </w:rPr>
            </w:pPr>
            <w:r w:rsidRPr="00C06E54">
              <w:rPr>
                <w:rFonts w:ascii="Times New Roman" w:hAnsi="Times New Roman"/>
                <w:b/>
                <w:color w:val="000000"/>
              </w:rPr>
              <w:t>IGUWF</w:t>
            </w:r>
            <w:r w:rsidRPr="00C06E54">
              <w:rPr>
                <w:rFonts w:ascii="Times New Roman" w:hAnsi="Times New Roman"/>
                <w:color w:val="000000"/>
              </w:rPr>
              <w:t xml:space="preserve"> (kapitalmarknadsfinansiering utan säkerhet från motparter inom samma företagsgrupp)</w:t>
            </w:r>
          </w:p>
          <w:p w14:paraId="5C6BB4C4" w14:textId="4AEDC99B" w:rsidR="00F7385A" w:rsidRPr="00C06E54" w:rsidRDefault="00F7385A" w:rsidP="003A2647">
            <w:pPr>
              <w:spacing w:before="0" w:after="0"/>
              <w:ind w:left="108"/>
              <w:rPr>
                <w:rFonts w:ascii="Times New Roman" w:hAnsi="Times New Roman"/>
                <w:b/>
                <w:color w:val="000000"/>
                <w:szCs w:val="20"/>
                <w:lang w:eastAsia="en-GB"/>
              </w:rPr>
            </w:pPr>
          </w:p>
          <w:p w14:paraId="1F5C23B7" w14:textId="1E252C58" w:rsidR="00F7385A" w:rsidRPr="00C06E54" w:rsidRDefault="00F7385A" w:rsidP="003A2647">
            <w:pPr>
              <w:spacing w:before="0" w:after="0"/>
              <w:ind w:left="108"/>
              <w:rPr>
                <w:rFonts w:ascii="Times New Roman" w:hAnsi="Times New Roman"/>
                <w:b/>
                <w:color w:val="000000"/>
                <w:szCs w:val="20"/>
              </w:rPr>
            </w:pPr>
            <w:r w:rsidRPr="00C06E54">
              <w:rPr>
                <w:rFonts w:ascii="Times New Roman" w:hAnsi="Times New Roman"/>
                <w:b/>
                <w:color w:val="000000"/>
              </w:rPr>
              <w:t>IGSWF</w:t>
            </w:r>
            <w:r w:rsidRPr="00C06E54">
              <w:rPr>
                <w:rFonts w:ascii="Times New Roman" w:hAnsi="Times New Roman"/>
                <w:color w:val="000000"/>
              </w:rPr>
              <w:t xml:space="preserve"> (kapitalmarknadsfinansiering mot säkerhet från motparter inom samma företagsgrupp)</w:t>
            </w:r>
          </w:p>
          <w:p w14:paraId="5F469B51" w14:textId="77777777" w:rsidR="00F7385A" w:rsidRPr="00C06E54" w:rsidRDefault="00F7385A" w:rsidP="003A2647">
            <w:pPr>
              <w:spacing w:before="0" w:after="0"/>
              <w:ind w:left="108"/>
              <w:rPr>
                <w:rFonts w:ascii="Times New Roman" w:hAnsi="Times New Roman"/>
                <w:b/>
                <w:color w:val="000000"/>
                <w:szCs w:val="20"/>
                <w:lang w:eastAsia="en-GB"/>
              </w:rPr>
            </w:pPr>
          </w:p>
          <w:p w14:paraId="59575FF6" w14:textId="77777777" w:rsidR="00A344AA" w:rsidRPr="00C06E54" w:rsidRDefault="00A344AA" w:rsidP="003A2647">
            <w:pPr>
              <w:spacing w:before="0" w:after="0"/>
              <w:ind w:left="108"/>
              <w:rPr>
                <w:rFonts w:ascii="Times New Roman" w:hAnsi="Times New Roman"/>
                <w:color w:val="000000"/>
                <w:szCs w:val="20"/>
                <w:lang w:eastAsia="en-GB"/>
              </w:rPr>
            </w:pPr>
          </w:p>
          <w:p w14:paraId="0809393C" w14:textId="77777777" w:rsidR="00A344AA" w:rsidRPr="00C06E54" w:rsidRDefault="00A344AA" w:rsidP="003A2647">
            <w:pPr>
              <w:spacing w:before="0" w:after="0"/>
              <w:ind w:left="108"/>
              <w:rPr>
                <w:rFonts w:ascii="Times New Roman" w:hAnsi="Times New Roman"/>
                <w:color w:val="000000"/>
                <w:szCs w:val="20"/>
              </w:rPr>
            </w:pPr>
            <w:r w:rsidRPr="00C06E54">
              <w:rPr>
                <w:rFonts w:ascii="Times New Roman" w:hAnsi="Times New Roman"/>
                <w:b/>
                <w:color w:val="000000"/>
              </w:rPr>
              <w:t>OSWF</w:t>
            </w:r>
            <w:r w:rsidRPr="00C06E54">
              <w:rPr>
                <w:rFonts w:ascii="Times New Roman" w:hAnsi="Times New Roman"/>
                <w:color w:val="000000"/>
              </w:rPr>
              <w:t xml:space="preserve"> (annan kapitalmarknadsfinansiering mot säkerhet)</w:t>
            </w:r>
          </w:p>
          <w:p w14:paraId="64E5769B" w14:textId="77777777" w:rsidR="00A344AA" w:rsidRPr="00C06E54" w:rsidRDefault="00A344AA" w:rsidP="003A2647">
            <w:pPr>
              <w:spacing w:before="0" w:after="0"/>
              <w:ind w:left="108"/>
              <w:rPr>
                <w:rFonts w:ascii="Times New Roman" w:hAnsi="Times New Roman"/>
                <w:color w:val="000000"/>
                <w:szCs w:val="20"/>
                <w:lang w:eastAsia="en-GB"/>
              </w:rPr>
            </w:pPr>
          </w:p>
          <w:p w14:paraId="520400E8" w14:textId="5F92E2CE" w:rsidR="00A344AA" w:rsidRPr="00C06E54" w:rsidRDefault="00A344AA" w:rsidP="003A2647">
            <w:pPr>
              <w:spacing w:before="0" w:after="0"/>
              <w:ind w:left="108"/>
              <w:rPr>
                <w:rFonts w:ascii="Times New Roman" w:hAnsi="Times New Roman"/>
                <w:color w:val="000000"/>
                <w:szCs w:val="20"/>
              </w:rPr>
            </w:pPr>
            <w:r w:rsidRPr="00C06E54">
              <w:rPr>
                <w:rFonts w:ascii="Times New Roman" w:hAnsi="Times New Roman"/>
                <w:b/>
                <w:color w:val="000000"/>
              </w:rPr>
              <w:t>OFP</w:t>
            </w:r>
            <w:r w:rsidRPr="00C06E54">
              <w:rPr>
                <w:rFonts w:ascii="Times New Roman" w:hAnsi="Times New Roman"/>
                <w:color w:val="000000"/>
              </w:rPr>
              <w:t xml:space="preserve"> (andra finansieringsprodukter, t.ex. inlåning från allmänheten)</w:t>
            </w:r>
          </w:p>
          <w:p w14:paraId="7EA3B3FF" w14:textId="77777777" w:rsidR="00A344AA" w:rsidRPr="00C06E54" w:rsidRDefault="00A344AA" w:rsidP="008E720B">
            <w:pPr>
              <w:spacing w:before="0" w:after="0"/>
              <w:rPr>
                <w:rFonts w:ascii="Times New Roman" w:hAnsi="Times New Roman"/>
                <w:b/>
                <w:szCs w:val="20"/>
                <w:u w:val="single"/>
                <w:lang w:eastAsia="en-GB"/>
              </w:rPr>
            </w:pPr>
          </w:p>
        </w:tc>
      </w:tr>
      <w:tr w:rsidR="00A344AA" w:rsidRPr="00C06E54" w14:paraId="5F88F47E" w14:textId="77777777" w:rsidTr="003D0976">
        <w:trPr>
          <w:trHeight w:val="510"/>
        </w:trPr>
        <w:tc>
          <w:tcPr>
            <w:tcW w:w="729" w:type="pct"/>
            <w:shd w:val="clear" w:color="auto" w:fill="auto"/>
            <w:noWrap/>
          </w:tcPr>
          <w:p w14:paraId="6C7A5E49" w14:textId="77705D92" w:rsidR="00A344AA" w:rsidRPr="00C06E54" w:rsidRDefault="00A344AA" w:rsidP="000B288B">
            <w:pPr>
              <w:spacing w:before="0" w:after="0"/>
              <w:jc w:val="left"/>
              <w:rPr>
                <w:rFonts w:ascii="Times New Roman" w:hAnsi="Times New Roman"/>
                <w:color w:val="000000"/>
                <w:szCs w:val="20"/>
              </w:rPr>
            </w:pPr>
            <w:r w:rsidRPr="00C06E54">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C06E54" w:rsidRDefault="00A344AA" w:rsidP="003A2647">
            <w:pPr>
              <w:spacing w:before="0" w:after="0"/>
              <w:rPr>
                <w:rFonts w:ascii="Times New Roman" w:hAnsi="Times New Roman"/>
                <w:b/>
                <w:szCs w:val="20"/>
                <w:u w:val="single"/>
              </w:rPr>
            </w:pPr>
            <w:r w:rsidRPr="00C06E54">
              <w:rPr>
                <w:rFonts w:ascii="Times New Roman" w:hAnsi="Times New Roman"/>
                <w:b/>
                <w:u w:val="single"/>
              </w:rPr>
              <w:t>Erhållet belopp</w:t>
            </w:r>
          </w:p>
          <w:p w14:paraId="235C86C1" w14:textId="77777777" w:rsidR="00A344AA" w:rsidRPr="00C06E54" w:rsidRDefault="00A344AA" w:rsidP="003A2647">
            <w:pPr>
              <w:spacing w:before="0" w:after="0"/>
              <w:rPr>
                <w:rFonts w:ascii="Times New Roman" w:hAnsi="Times New Roman"/>
                <w:b/>
                <w:szCs w:val="20"/>
                <w:u w:val="single"/>
                <w:lang w:eastAsia="en-GB"/>
              </w:rPr>
            </w:pPr>
          </w:p>
          <w:p w14:paraId="2FAA6C63" w14:textId="26C0DDDB" w:rsidR="00A344AA" w:rsidRPr="00C06E54" w:rsidRDefault="00A344AA" w:rsidP="00763448">
            <w:pPr>
              <w:spacing w:before="0" w:after="0"/>
              <w:rPr>
                <w:rFonts w:ascii="Times New Roman" w:hAnsi="Times New Roman"/>
                <w:szCs w:val="20"/>
              </w:rPr>
            </w:pPr>
            <w:r w:rsidRPr="00C06E54">
              <w:rPr>
                <w:rFonts w:ascii="Times New Roman" w:hAnsi="Times New Roman"/>
              </w:rPr>
              <w:t xml:space="preserve">Den totala finansiering från motparter som rapporteras i kolumn 0010 ska anges i kolumn 0060 och instituten ska där rapportera bokförda belopp. </w:t>
            </w:r>
          </w:p>
          <w:p w14:paraId="380CD660" w14:textId="77777777" w:rsidR="00A344AA" w:rsidRPr="00C06E54" w:rsidRDefault="00A344AA" w:rsidP="00831507">
            <w:pPr>
              <w:spacing w:before="0" w:after="0"/>
              <w:jc w:val="center"/>
              <w:rPr>
                <w:rFonts w:ascii="Times New Roman" w:hAnsi="Times New Roman"/>
                <w:b/>
                <w:szCs w:val="20"/>
                <w:u w:val="single"/>
                <w:lang w:eastAsia="en-GB"/>
              </w:rPr>
            </w:pPr>
          </w:p>
        </w:tc>
      </w:tr>
      <w:tr w:rsidR="00A344AA" w:rsidRPr="00C06E54" w14:paraId="12BAF631" w14:textId="77777777" w:rsidTr="005B086D">
        <w:trPr>
          <w:trHeight w:val="2537"/>
        </w:trPr>
        <w:tc>
          <w:tcPr>
            <w:tcW w:w="729" w:type="pct"/>
            <w:shd w:val="clear" w:color="auto" w:fill="auto"/>
            <w:noWrap/>
          </w:tcPr>
          <w:p w14:paraId="24187AE3" w14:textId="56CE1847" w:rsidR="00A344AA" w:rsidRPr="00C06E54" w:rsidRDefault="00A344AA" w:rsidP="000B288B">
            <w:pPr>
              <w:spacing w:before="0" w:after="0"/>
              <w:jc w:val="left"/>
              <w:rPr>
                <w:rFonts w:ascii="Times New Roman" w:hAnsi="Times New Roman"/>
                <w:color w:val="000000"/>
                <w:szCs w:val="20"/>
              </w:rPr>
            </w:pPr>
            <w:r w:rsidRPr="00C06E54">
              <w:rPr>
                <w:rFonts w:ascii="Times New Roman" w:hAnsi="Times New Roman"/>
                <w:color w:val="000000"/>
              </w:rPr>
              <w:lastRenderedPageBreak/>
              <w:t>0070</w:t>
            </w:r>
          </w:p>
        </w:tc>
        <w:tc>
          <w:tcPr>
            <w:tcW w:w="4271" w:type="pct"/>
            <w:gridSpan w:val="2"/>
            <w:shd w:val="clear" w:color="auto" w:fill="auto"/>
          </w:tcPr>
          <w:p w14:paraId="5A2F2CA2" w14:textId="7DA0BFAE" w:rsidR="00A344AA" w:rsidRPr="00C06E54" w:rsidRDefault="00A344AA" w:rsidP="003A2647">
            <w:pPr>
              <w:spacing w:before="0" w:after="0"/>
              <w:rPr>
                <w:rFonts w:ascii="Times New Roman" w:hAnsi="Times New Roman"/>
                <w:b/>
                <w:szCs w:val="20"/>
                <w:u w:val="single"/>
              </w:rPr>
            </w:pPr>
            <w:r w:rsidRPr="00C06E54">
              <w:rPr>
                <w:rFonts w:ascii="Times New Roman" w:hAnsi="Times New Roman"/>
                <w:b/>
                <w:u w:val="single"/>
              </w:rPr>
              <w:t>Viktad genomsnittlig ursprunglig löptid</w:t>
            </w:r>
          </w:p>
          <w:p w14:paraId="5ED01858" w14:textId="77777777" w:rsidR="00A344AA" w:rsidRPr="00C06E54" w:rsidRDefault="00A344AA" w:rsidP="003A2647">
            <w:pPr>
              <w:spacing w:before="0" w:after="0"/>
              <w:rPr>
                <w:rFonts w:ascii="Times New Roman" w:hAnsi="Times New Roman"/>
                <w:b/>
                <w:szCs w:val="20"/>
                <w:u w:val="single"/>
                <w:lang w:eastAsia="en-GB"/>
              </w:rPr>
            </w:pPr>
          </w:p>
          <w:p w14:paraId="7042CB79" w14:textId="55006F03" w:rsidR="00A344AA" w:rsidRPr="00C06E54" w:rsidRDefault="00A344AA" w:rsidP="003A2647">
            <w:pPr>
              <w:spacing w:before="0" w:after="0"/>
              <w:rPr>
                <w:rFonts w:ascii="Times New Roman" w:hAnsi="Times New Roman"/>
                <w:szCs w:val="20"/>
              </w:rPr>
            </w:pPr>
            <w:r w:rsidRPr="00C06E54">
              <w:rPr>
                <w:rFonts w:ascii="Times New Roman" w:hAnsi="Times New Roman"/>
              </w:rPr>
              <w:t>En viktad genomsnittlig ursprunglig löptid (i dagar) för den finansiering som rapporteras i kolumn 0060 från motparten i kolumn 0010 ska anges i kolumn 0070.</w:t>
            </w:r>
          </w:p>
          <w:p w14:paraId="4D84C330" w14:textId="77777777" w:rsidR="00A344AA" w:rsidRPr="00C06E54" w:rsidRDefault="00A344AA" w:rsidP="003A2647">
            <w:pPr>
              <w:spacing w:before="0" w:after="0"/>
              <w:rPr>
                <w:rFonts w:ascii="Times New Roman" w:hAnsi="Times New Roman"/>
                <w:szCs w:val="20"/>
                <w:lang w:eastAsia="en-GB"/>
              </w:rPr>
            </w:pPr>
          </w:p>
          <w:p w14:paraId="61704F47" w14:textId="77777777" w:rsidR="005B086D" w:rsidRPr="00C06E54" w:rsidRDefault="008563C0" w:rsidP="005B086D">
            <w:pPr>
              <w:spacing w:before="0" w:after="0"/>
              <w:rPr>
                <w:rFonts w:ascii="Times New Roman" w:hAnsi="Times New Roman"/>
                <w:szCs w:val="20"/>
              </w:rPr>
            </w:pPr>
            <w:r w:rsidRPr="00C06E54">
              <w:rPr>
                <w:rFonts w:ascii="Times New Roman" w:hAnsi="Times New Roman"/>
              </w:rPr>
              <w:t>Den viktade genomsnittliga ursprungliga löptiden ska beräknas som den genomsnittliga ursprungliga löptiden (i dagar) för finansieringen från den motparten. Genomsnittet ska vara storleksvägt, baserat på storleken på de olika finansieringsbelopp som erhållits i proportion till den totala finansiering som erhållits från den motparten.</w:t>
            </w:r>
          </w:p>
          <w:p w14:paraId="1DDE8E57" w14:textId="77777777" w:rsidR="00381AA0" w:rsidRPr="00C06E54" w:rsidRDefault="00381AA0" w:rsidP="005B086D">
            <w:pPr>
              <w:spacing w:before="0" w:after="0"/>
              <w:rPr>
                <w:rFonts w:ascii="Times New Roman" w:hAnsi="Times New Roman"/>
                <w:szCs w:val="20"/>
                <w:lang w:eastAsia="en-GB"/>
              </w:rPr>
            </w:pPr>
          </w:p>
          <w:p w14:paraId="33D52360" w14:textId="6179C5E4" w:rsidR="00381AA0" w:rsidRPr="00C06E54" w:rsidRDefault="00381AA0" w:rsidP="009C2EFD">
            <w:pPr>
              <w:spacing w:before="0" w:after="0"/>
              <w:rPr>
                <w:rFonts w:ascii="Times New Roman" w:hAnsi="Times New Roman"/>
                <w:szCs w:val="20"/>
              </w:rPr>
            </w:pPr>
            <w:r w:rsidRPr="00C06E54">
              <w:rPr>
                <w:rFonts w:ascii="Times New Roman" w:hAnsi="Times New Roman"/>
              </w:rPr>
              <w:t>För skulder med obegränsad löptid ska instituten anta en fast löptid på 20 år och för avistainlåning ska löptiden antas vara en dag.</w:t>
            </w:r>
          </w:p>
        </w:tc>
      </w:tr>
      <w:tr w:rsidR="00A344AA" w:rsidRPr="00C06E54"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C06E54" w:rsidRDefault="00A344AA" w:rsidP="000B288B">
            <w:pPr>
              <w:spacing w:before="0" w:after="0"/>
              <w:jc w:val="left"/>
              <w:rPr>
                <w:rFonts w:ascii="Times New Roman" w:hAnsi="Times New Roman"/>
                <w:color w:val="000000"/>
                <w:szCs w:val="20"/>
              </w:rPr>
            </w:pPr>
            <w:r w:rsidRPr="00C06E54">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C06E54" w:rsidRDefault="00A344AA" w:rsidP="003A2647">
            <w:pPr>
              <w:spacing w:before="0" w:after="0"/>
              <w:rPr>
                <w:rFonts w:ascii="Times New Roman" w:hAnsi="Times New Roman"/>
                <w:b/>
                <w:szCs w:val="20"/>
                <w:u w:val="single"/>
              </w:rPr>
            </w:pPr>
            <w:r w:rsidRPr="00C06E54">
              <w:rPr>
                <w:rFonts w:ascii="Times New Roman" w:hAnsi="Times New Roman"/>
                <w:b/>
                <w:u w:val="single"/>
              </w:rPr>
              <w:t>Viktad genomsnittlig återstående löptid</w:t>
            </w:r>
          </w:p>
          <w:p w14:paraId="22E64CDE" w14:textId="77777777" w:rsidR="00A344AA" w:rsidRPr="00C06E54" w:rsidRDefault="00A344AA" w:rsidP="003A2647">
            <w:pPr>
              <w:spacing w:before="0" w:after="0"/>
              <w:rPr>
                <w:rFonts w:ascii="Times New Roman" w:hAnsi="Times New Roman"/>
                <w:b/>
                <w:szCs w:val="20"/>
                <w:u w:val="single"/>
                <w:lang w:eastAsia="en-GB"/>
              </w:rPr>
            </w:pPr>
          </w:p>
          <w:p w14:paraId="781FAB46" w14:textId="0F662298" w:rsidR="00A344AA" w:rsidRPr="00C06E54" w:rsidRDefault="00A344AA" w:rsidP="003A2647">
            <w:pPr>
              <w:spacing w:before="0" w:after="0"/>
              <w:rPr>
                <w:rFonts w:ascii="Times New Roman" w:hAnsi="Times New Roman"/>
                <w:szCs w:val="20"/>
              </w:rPr>
            </w:pPr>
            <w:r w:rsidRPr="00C06E54">
              <w:rPr>
                <w:rFonts w:ascii="Times New Roman" w:hAnsi="Times New Roman"/>
              </w:rPr>
              <w:t>En viktad genomsnittlig återstående löptid (i dagar) för den finansiering som rapporteras i kolumn 0060 från motparten i kolumn 0010 ska anges i kolumn 0080.</w:t>
            </w:r>
          </w:p>
          <w:p w14:paraId="71FA9955" w14:textId="77777777" w:rsidR="00A344AA" w:rsidRPr="00C06E54" w:rsidRDefault="00A344AA" w:rsidP="003A2647">
            <w:pPr>
              <w:spacing w:before="0" w:after="0"/>
              <w:rPr>
                <w:rFonts w:ascii="Times New Roman" w:hAnsi="Times New Roman"/>
                <w:szCs w:val="20"/>
                <w:lang w:eastAsia="en-GB"/>
              </w:rPr>
            </w:pPr>
          </w:p>
          <w:p w14:paraId="5C2654B2" w14:textId="77777777" w:rsidR="00A344AA" w:rsidRPr="00C06E54" w:rsidRDefault="009C059B" w:rsidP="003A2647">
            <w:pPr>
              <w:spacing w:before="0" w:after="0"/>
              <w:rPr>
                <w:rFonts w:ascii="Times New Roman" w:hAnsi="Times New Roman"/>
                <w:szCs w:val="20"/>
              </w:rPr>
            </w:pPr>
            <w:r w:rsidRPr="00C06E54">
              <w:rPr>
                <w:rFonts w:ascii="Times New Roman" w:hAnsi="Times New Roman"/>
              </w:rPr>
              <w:t>Den viktade genomsnittliga återstående löptiden ska beräknas som den genomsnittliga löptiden (i dagar) för finansieringen från den motparten. Genomsnittet ska vara storleksvägt, baserat på storleken på de olika finansieringsbelopp som erhållits i proportion till den totala finansiering som erhållits från den motparten.</w:t>
            </w:r>
          </w:p>
          <w:p w14:paraId="0A2CCAEF" w14:textId="77777777" w:rsidR="00381AA0" w:rsidRPr="00C06E54" w:rsidRDefault="00381AA0" w:rsidP="003A2647">
            <w:pPr>
              <w:spacing w:before="0" w:after="0"/>
              <w:rPr>
                <w:rFonts w:ascii="Times New Roman" w:hAnsi="Times New Roman"/>
                <w:szCs w:val="20"/>
                <w:lang w:eastAsia="en-GB"/>
              </w:rPr>
            </w:pPr>
          </w:p>
          <w:p w14:paraId="4CB0B549" w14:textId="17A9B058" w:rsidR="00381AA0" w:rsidRPr="00C06E54" w:rsidRDefault="00381AA0" w:rsidP="009C2EFD">
            <w:pPr>
              <w:spacing w:before="0" w:after="0"/>
              <w:rPr>
                <w:rFonts w:ascii="Times New Roman" w:hAnsi="Times New Roman"/>
                <w:szCs w:val="20"/>
              </w:rPr>
            </w:pPr>
            <w:r w:rsidRPr="00C06E54">
              <w:rPr>
                <w:rFonts w:ascii="Times New Roman" w:hAnsi="Times New Roman"/>
              </w:rPr>
              <w:t>För skulder med obegränsad löptid ska instituten anta en fast löptid på 20 år och för avistainlåning ska löptiden antas vara en dag.</w:t>
            </w:r>
          </w:p>
        </w:tc>
      </w:tr>
    </w:tbl>
    <w:p w14:paraId="0520EE98" w14:textId="77777777" w:rsidR="00A344AA" w:rsidRPr="00C06E54" w:rsidRDefault="00A344AA" w:rsidP="00A344AA">
      <w:pPr>
        <w:pStyle w:val="Instructionsberschrift2"/>
        <w:numPr>
          <w:ilvl w:val="1"/>
          <w:numId w:val="2"/>
        </w:numPr>
        <w:spacing w:before="0"/>
        <w:rPr>
          <w:rFonts w:ascii="Times New Roman" w:hAnsi="Times New Roman" w:cs="Times New Roman"/>
          <w:szCs w:val="20"/>
        </w:rPr>
      </w:pPr>
      <w:r w:rsidRPr="00C06E54">
        <w:rPr>
          <w:rFonts w:ascii="Times New Roman" w:hAnsi="Times New Roman"/>
        </w:rPr>
        <w:t>Koncentration av finansiering per produkttyp (C 68.00)</w:t>
      </w:r>
    </w:p>
    <w:p w14:paraId="5B6DFC15" w14:textId="3E2FC327" w:rsidR="00A344AA" w:rsidRPr="00C06E54" w:rsidRDefault="00A344AA" w:rsidP="00CC3091">
      <w:pPr>
        <w:pStyle w:val="InstructionsText2"/>
        <w:numPr>
          <w:ilvl w:val="0"/>
          <w:numId w:val="13"/>
        </w:numPr>
        <w:rPr>
          <w:u w:val="none"/>
        </w:rPr>
      </w:pPr>
      <w:r w:rsidRPr="00C06E54">
        <w:rPr>
          <w:u w:val="none"/>
        </w:rPr>
        <w:t>Den här mallen används för insamling av uppgifter om det rapporterande institutets koncentration av finansiering per produkttyp, fördelat på de typer av finansiering som anges i följande instruktioner om olika rader: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C06E5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C06E54" w:rsidRDefault="003439C5" w:rsidP="00D75947">
            <w:pPr>
              <w:spacing w:before="0" w:after="0"/>
              <w:jc w:val="left"/>
              <w:rPr>
                <w:rStyle w:val="InstructionsTabelleText"/>
                <w:rFonts w:ascii="Times New Roman" w:hAnsi="Times New Roman"/>
                <w:szCs w:val="20"/>
              </w:rPr>
            </w:pPr>
            <w:r w:rsidRPr="00C06E54">
              <w:rPr>
                <w:rStyle w:val="InstructionsTabelleText"/>
                <w:rFonts w:ascii="Times New Roman" w:hAnsi="Times New Roman"/>
              </w:rPr>
              <w:t>Rad</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C06E54" w:rsidRDefault="003439C5" w:rsidP="00D75947">
            <w:pPr>
              <w:spacing w:before="0" w:after="0"/>
              <w:jc w:val="left"/>
              <w:rPr>
                <w:rStyle w:val="InstructionsTabelleText"/>
                <w:rFonts w:ascii="Times New Roman" w:hAnsi="Times New Roman"/>
                <w:szCs w:val="20"/>
              </w:rPr>
            </w:pPr>
            <w:r w:rsidRPr="00C06E54">
              <w:rPr>
                <w:rStyle w:val="InstructionsTabelleText"/>
                <w:rFonts w:ascii="Times New Roman" w:hAnsi="Times New Roman"/>
              </w:rPr>
              <w:t>Rättsliga hänvisningar och instruktioner</w:t>
            </w:r>
          </w:p>
        </w:tc>
      </w:tr>
      <w:tr w:rsidR="003439C5" w:rsidRPr="00C06E5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C06E54" w:rsidRDefault="003439C5" w:rsidP="00D75947">
            <w:pPr>
              <w:spacing w:before="0" w:after="0"/>
              <w:jc w:val="left"/>
              <w:rPr>
                <w:rFonts w:ascii="Times New Roman" w:hAnsi="Times New Roman"/>
                <w:color w:val="000000"/>
                <w:szCs w:val="20"/>
              </w:rPr>
            </w:pPr>
            <w:r w:rsidRPr="00C06E54">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C06E54" w:rsidRDefault="003439C5" w:rsidP="00D75947">
            <w:pPr>
              <w:spacing w:before="0" w:after="0"/>
              <w:rPr>
                <w:rFonts w:ascii="Times New Roman" w:hAnsi="Times New Roman"/>
                <w:b/>
                <w:szCs w:val="20"/>
                <w:u w:val="single"/>
              </w:rPr>
            </w:pPr>
            <w:r w:rsidRPr="00C06E54">
              <w:rPr>
                <w:rFonts w:ascii="Times New Roman" w:hAnsi="Times New Roman"/>
                <w:b/>
                <w:u w:val="single"/>
              </w:rPr>
              <w:t>1.</w:t>
            </w:r>
            <w:r w:rsidRPr="00C06E54">
              <w:rPr>
                <w:rFonts w:ascii="Times New Roman" w:hAnsi="Times New Roman"/>
                <w:b/>
                <w:u w:val="single"/>
              </w:rPr>
              <w:tab/>
              <w:t>Inlåning från allmänheten</w:t>
            </w:r>
          </w:p>
          <w:p w14:paraId="7762E5FB" w14:textId="77777777" w:rsidR="003439C5" w:rsidRPr="00C06E54" w:rsidRDefault="003439C5" w:rsidP="00D75947">
            <w:pPr>
              <w:spacing w:before="0" w:after="0"/>
              <w:rPr>
                <w:rFonts w:ascii="Times New Roman" w:hAnsi="Times New Roman"/>
                <w:b/>
                <w:szCs w:val="20"/>
                <w:u w:val="single"/>
                <w:lang w:eastAsia="en-GB"/>
              </w:rPr>
            </w:pPr>
          </w:p>
          <w:p w14:paraId="281DC3E6" w14:textId="495E77FF" w:rsidR="003439C5" w:rsidRPr="00C06E54" w:rsidRDefault="00E87A50" w:rsidP="00D75947">
            <w:pPr>
              <w:spacing w:before="0" w:after="0"/>
              <w:rPr>
                <w:szCs w:val="20"/>
              </w:rPr>
            </w:pPr>
            <w:r w:rsidRPr="00C06E54">
              <w:rPr>
                <w:rFonts w:ascii="Times New Roman" w:hAnsi="Times New Roman"/>
              </w:rPr>
              <w:t>Inlåning från allmänheten enligt definitionen i artikel 411.2 i förordning (EU) nr 575/2013, och obligationer som säljs på detaljmarknaden enligt artikel 28.6 i kommissionens delegerade förordning (EU) 2015/61.</w:t>
            </w:r>
          </w:p>
          <w:p w14:paraId="18F10FD2" w14:textId="77777777" w:rsidR="003439C5" w:rsidRPr="00C06E54" w:rsidRDefault="003439C5" w:rsidP="00D75947">
            <w:pPr>
              <w:spacing w:before="0" w:after="0"/>
              <w:rPr>
                <w:rFonts w:ascii="Times New Roman" w:hAnsi="Times New Roman"/>
                <w:b/>
                <w:szCs w:val="20"/>
                <w:u w:val="single"/>
                <w:lang w:eastAsia="en-GB"/>
              </w:rPr>
            </w:pPr>
          </w:p>
        </w:tc>
      </w:tr>
      <w:tr w:rsidR="003439C5" w:rsidRPr="00C06E5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C06E54" w:rsidRDefault="003439C5" w:rsidP="00D75947">
            <w:pPr>
              <w:spacing w:before="0" w:after="0"/>
              <w:jc w:val="left"/>
              <w:rPr>
                <w:rFonts w:ascii="Times New Roman" w:hAnsi="Times New Roman"/>
                <w:color w:val="000000"/>
                <w:szCs w:val="20"/>
              </w:rPr>
            </w:pPr>
            <w:r w:rsidRPr="00C06E54">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C06E54" w:rsidRDefault="00F40FD4" w:rsidP="003439C5">
            <w:pPr>
              <w:spacing w:before="0" w:after="0"/>
              <w:rPr>
                <w:rFonts w:ascii="Times New Roman" w:hAnsi="Times New Roman"/>
                <w:b/>
                <w:szCs w:val="20"/>
                <w:u w:val="single"/>
              </w:rPr>
            </w:pPr>
            <w:r w:rsidRPr="00C06E54">
              <w:rPr>
                <w:rFonts w:ascii="Times New Roman" w:hAnsi="Times New Roman"/>
                <w:b/>
                <w:u w:val="single"/>
              </w:rPr>
              <w:t>1.1</w:t>
            </w:r>
            <w:r w:rsidRPr="00C06E54">
              <w:rPr>
                <w:rFonts w:ascii="Times New Roman" w:hAnsi="Times New Roman"/>
                <w:b/>
                <w:u w:val="single"/>
              </w:rPr>
              <w:tab/>
              <w:t>varav avistainlåning</w:t>
            </w:r>
          </w:p>
          <w:p w14:paraId="3D85DAFF" w14:textId="77777777" w:rsidR="003439C5" w:rsidRPr="00C06E54" w:rsidRDefault="003439C5" w:rsidP="00D75947">
            <w:pPr>
              <w:spacing w:before="0" w:after="0"/>
              <w:rPr>
                <w:rFonts w:ascii="Times New Roman" w:hAnsi="Times New Roman"/>
                <w:b/>
                <w:szCs w:val="20"/>
                <w:u w:val="single"/>
                <w:lang w:eastAsia="en-GB"/>
              </w:rPr>
            </w:pPr>
          </w:p>
          <w:p w14:paraId="6F473929" w14:textId="3F7D9220" w:rsidR="003439C5" w:rsidRPr="00C06E54" w:rsidRDefault="003439C5" w:rsidP="00E87A50">
            <w:pPr>
              <w:spacing w:before="0" w:after="0"/>
              <w:rPr>
                <w:rFonts w:ascii="Times New Roman" w:hAnsi="Times New Roman"/>
                <w:b/>
                <w:szCs w:val="20"/>
                <w:u w:val="single"/>
              </w:rPr>
            </w:pPr>
            <w:r w:rsidRPr="00C06E54">
              <w:rPr>
                <w:rFonts w:ascii="Times New Roman" w:hAnsi="Times New Roman"/>
              </w:rPr>
              <w:t>Den del av inlåning från allmänheten i rad 0010 som utgör avistainlåning</w:t>
            </w:r>
          </w:p>
        </w:tc>
      </w:tr>
      <w:tr w:rsidR="003439C5" w:rsidRPr="00C06E5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C06E54" w:rsidRDefault="003439C5" w:rsidP="00D75947">
            <w:pPr>
              <w:spacing w:before="0" w:after="0"/>
              <w:jc w:val="left"/>
              <w:rPr>
                <w:rFonts w:ascii="Times New Roman" w:hAnsi="Times New Roman"/>
                <w:color w:val="000000"/>
                <w:szCs w:val="20"/>
              </w:rPr>
            </w:pPr>
            <w:r w:rsidRPr="00C06E54">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C06E54" w:rsidRDefault="00F40FD4" w:rsidP="003439C5">
            <w:pPr>
              <w:spacing w:before="0" w:after="0"/>
              <w:rPr>
                <w:rFonts w:ascii="Times New Roman" w:hAnsi="Times New Roman"/>
                <w:b/>
                <w:szCs w:val="20"/>
                <w:u w:val="single"/>
              </w:rPr>
            </w:pPr>
            <w:r w:rsidRPr="00C06E54">
              <w:rPr>
                <w:rFonts w:ascii="Times New Roman" w:hAnsi="Times New Roman"/>
                <w:b/>
                <w:u w:val="single"/>
              </w:rPr>
              <w:t>1.2</w:t>
            </w:r>
            <w:r w:rsidRPr="00C06E54">
              <w:rPr>
                <w:rFonts w:ascii="Times New Roman" w:hAnsi="Times New Roman"/>
                <w:b/>
                <w:u w:val="single"/>
              </w:rPr>
              <w:tab/>
              <w:t>varav tidsbunden inlåning som inte kan tas ut inom de närmast följande 30 dagarna</w:t>
            </w:r>
          </w:p>
          <w:p w14:paraId="664C04FE" w14:textId="77777777" w:rsidR="003439C5" w:rsidRPr="00C06E54" w:rsidRDefault="003439C5" w:rsidP="00D75947">
            <w:pPr>
              <w:spacing w:before="0" w:after="0"/>
              <w:rPr>
                <w:rFonts w:ascii="Times New Roman" w:hAnsi="Times New Roman"/>
                <w:b/>
                <w:szCs w:val="20"/>
                <w:u w:val="single"/>
                <w:lang w:eastAsia="en-GB"/>
              </w:rPr>
            </w:pPr>
          </w:p>
          <w:p w14:paraId="3F7154EA" w14:textId="0EDEDAA3" w:rsidR="003439C5" w:rsidRPr="00C06E54" w:rsidRDefault="003439C5" w:rsidP="00F40FD4">
            <w:pPr>
              <w:spacing w:before="0" w:after="0"/>
              <w:rPr>
                <w:rFonts w:ascii="Times New Roman" w:hAnsi="Times New Roman"/>
                <w:b/>
                <w:szCs w:val="20"/>
                <w:u w:val="single"/>
              </w:rPr>
            </w:pPr>
            <w:r w:rsidRPr="00C06E54">
              <w:rPr>
                <w:rFonts w:ascii="Times New Roman" w:hAnsi="Times New Roman"/>
              </w:rPr>
              <w:t>Den del av inlåning från allmänheten i rad 0010 som utgör tidsbunden inlåning utan möjlighet till uttag inom de närmast 30 dagarna</w:t>
            </w:r>
          </w:p>
        </w:tc>
      </w:tr>
      <w:tr w:rsidR="003439C5" w:rsidRPr="00C06E54" w14:paraId="69E1811C" w14:textId="77777777" w:rsidTr="00D75947">
        <w:trPr>
          <w:trHeight w:val="1020"/>
        </w:trPr>
        <w:tc>
          <w:tcPr>
            <w:tcW w:w="729" w:type="pct"/>
            <w:shd w:val="clear" w:color="auto" w:fill="auto"/>
            <w:noWrap/>
          </w:tcPr>
          <w:p w14:paraId="3DFA3BE5" w14:textId="66C47E24" w:rsidR="003439C5" w:rsidRPr="00C06E54" w:rsidRDefault="003439C5" w:rsidP="00D75947">
            <w:pPr>
              <w:spacing w:before="0" w:after="0"/>
              <w:jc w:val="left"/>
              <w:rPr>
                <w:rFonts w:ascii="Times New Roman" w:hAnsi="Times New Roman"/>
                <w:color w:val="000000"/>
                <w:szCs w:val="20"/>
              </w:rPr>
            </w:pPr>
            <w:r w:rsidRPr="00C06E54">
              <w:rPr>
                <w:rFonts w:ascii="Times New Roman" w:hAnsi="Times New Roman"/>
                <w:color w:val="000000"/>
              </w:rPr>
              <w:t>0041</w:t>
            </w:r>
          </w:p>
        </w:tc>
        <w:tc>
          <w:tcPr>
            <w:tcW w:w="4271" w:type="pct"/>
            <w:shd w:val="clear" w:color="auto" w:fill="auto"/>
          </w:tcPr>
          <w:p w14:paraId="155ED8D2" w14:textId="349C1C2A" w:rsidR="003439C5" w:rsidRPr="00C06E54" w:rsidRDefault="00F40FD4" w:rsidP="003439C5">
            <w:pPr>
              <w:spacing w:before="0" w:after="0"/>
              <w:rPr>
                <w:rFonts w:ascii="Times New Roman" w:hAnsi="Times New Roman"/>
                <w:b/>
                <w:szCs w:val="20"/>
                <w:u w:val="single"/>
              </w:rPr>
            </w:pPr>
            <w:r w:rsidRPr="00C06E54">
              <w:rPr>
                <w:rFonts w:ascii="Times New Roman" w:hAnsi="Times New Roman"/>
                <w:b/>
                <w:u w:val="single"/>
              </w:rPr>
              <w:t>1.3</w:t>
            </w:r>
            <w:r w:rsidRPr="00C06E54">
              <w:rPr>
                <w:rFonts w:ascii="Times New Roman" w:hAnsi="Times New Roman"/>
                <w:b/>
                <w:u w:val="single"/>
              </w:rPr>
              <w:tab/>
              <w:t>varav tidsbunden inlåning som kan tas ut inom de närmast följande 30 dagarna</w:t>
            </w:r>
          </w:p>
          <w:p w14:paraId="16BCACF7" w14:textId="77777777" w:rsidR="003439C5" w:rsidRPr="00C06E54" w:rsidRDefault="003439C5" w:rsidP="003439C5">
            <w:pPr>
              <w:spacing w:before="0" w:after="0"/>
              <w:rPr>
                <w:rFonts w:ascii="Times New Roman" w:hAnsi="Times New Roman"/>
                <w:b/>
                <w:szCs w:val="20"/>
                <w:u w:val="single"/>
                <w:lang w:eastAsia="en-GB"/>
              </w:rPr>
            </w:pPr>
          </w:p>
          <w:p w14:paraId="291A1D44" w14:textId="1026C40C" w:rsidR="003439C5" w:rsidRPr="00C06E54" w:rsidRDefault="00F40FD4" w:rsidP="00F40FD4">
            <w:pPr>
              <w:spacing w:before="0" w:after="0"/>
              <w:rPr>
                <w:rFonts w:ascii="Times New Roman" w:hAnsi="Times New Roman"/>
                <w:szCs w:val="20"/>
              </w:rPr>
            </w:pPr>
            <w:r w:rsidRPr="00C06E54">
              <w:rPr>
                <w:rFonts w:ascii="Times New Roman" w:hAnsi="Times New Roman"/>
              </w:rPr>
              <w:t>Den del av inlåning från allmänheten i rad 0010 som utgör tidsbunden inlåning med möjlighet till uttag inom de närmast 30 dagarna</w:t>
            </w:r>
          </w:p>
        </w:tc>
      </w:tr>
      <w:tr w:rsidR="003439C5" w:rsidRPr="00C06E54" w14:paraId="10740494" w14:textId="77777777" w:rsidTr="00D75947">
        <w:trPr>
          <w:trHeight w:val="1020"/>
        </w:trPr>
        <w:tc>
          <w:tcPr>
            <w:tcW w:w="729" w:type="pct"/>
            <w:shd w:val="clear" w:color="auto" w:fill="auto"/>
            <w:noWrap/>
          </w:tcPr>
          <w:p w14:paraId="0B22ECFC" w14:textId="2FEC79EB" w:rsidR="003439C5" w:rsidRPr="00C06E54" w:rsidRDefault="003439C5" w:rsidP="00DD136C">
            <w:pPr>
              <w:spacing w:before="0" w:after="0"/>
              <w:jc w:val="left"/>
              <w:rPr>
                <w:rFonts w:ascii="Times New Roman" w:hAnsi="Times New Roman"/>
                <w:color w:val="000000"/>
                <w:szCs w:val="20"/>
              </w:rPr>
            </w:pPr>
            <w:r w:rsidRPr="00C06E54">
              <w:rPr>
                <w:rFonts w:ascii="Times New Roman" w:hAnsi="Times New Roman"/>
                <w:color w:val="000000"/>
              </w:rPr>
              <w:t>0070</w:t>
            </w:r>
          </w:p>
        </w:tc>
        <w:tc>
          <w:tcPr>
            <w:tcW w:w="4271" w:type="pct"/>
            <w:shd w:val="clear" w:color="auto" w:fill="auto"/>
          </w:tcPr>
          <w:p w14:paraId="7A9B7AD4" w14:textId="22B42302" w:rsidR="003439C5" w:rsidRPr="00C06E54" w:rsidRDefault="00F40FD4" w:rsidP="003439C5">
            <w:pPr>
              <w:spacing w:before="0" w:after="0"/>
              <w:rPr>
                <w:rFonts w:ascii="Times New Roman" w:hAnsi="Times New Roman"/>
                <w:b/>
                <w:szCs w:val="20"/>
                <w:u w:val="single"/>
              </w:rPr>
            </w:pPr>
            <w:r w:rsidRPr="00C06E54">
              <w:rPr>
                <w:rFonts w:ascii="Times New Roman" w:hAnsi="Times New Roman"/>
                <w:b/>
                <w:u w:val="single"/>
              </w:rPr>
              <w:t>1.4</w:t>
            </w:r>
            <w:r w:rsidRPr="00C06E54">
              <w:rPr>
                <w:rFonts w:ascii="Times New Roman" w:hAnsi="Times New Roman"/>
                <w:b/>
                <w:u w:val="single"/>
              </w:rPr>
              <w:tab/>
              <w:t>Sparkonton</w:t>
            </w:r>
          </w:p>
          <w:p w14:paraId="1715A370" w14:textId="77777777" w:rsidR="003439C5" w:rsidRPr="00C06E54" w:rsidRDefault="003439C5" w:rsidP="00D75947">
            <w:pPr>
              <w:spacing w:before="0" w:after="0"/>
              <w:rPr>
                <w:rFonts w:ascii="Times New Roman" w:hAnsi="Times New Roman"/>
                <w:b/>
                <w:szCs w:val="20"/>
                <w:u w:val="single"/>
                <w:lang w:eastAsia="en-GB"/>
              </w:rPr>
            </w:pPr>
          </w:p>
          <w:p w14:paraId="1F5A77EE" w14:textId="0967C6DB" w:rsidR="00F40FD4" w:rsidRPr="00C06E54" w:rsidRDefault="00F40FD4" w:rsidP="00E87A50">
            <w:pPr>
              <w:spacing w:before="0" w:after="0"/>
              <w:rPr>
                <w:rFonts w:ascii="Times New Roman" w:hAnsi="Times New Roman"/>
                <w:szCs w:val="20"/>
              </w:rPr>
            </w:pPr>
            <w:r w:rsidRPr="00C06E54">
              <w:rPr>
                <w:rFonts w:ascii="Times New Roman" w:hAnsi="Times New Roman"/>
              </w:rPr>
              <w:t>Den del av inlåning från allmänheten i rad 0010 som utgör sparkonton med något av följande kännetecken:</w:t>
            </w:r>
          </w:p>
          <w:p w14:paraId="7001BAD2" w14:textId="2A97E8F3" w:rsidR="003439C5" w:rsidRPr="00C06E54" w:rsidRDefault="00F40FD4" w:rsidP="00E87A50">
            <w:pPr>
              <w:spacing w:before="0" w:after="0"/>
              <w:rPr>
                <w:rFonts w:ascii="Times New Roman" w:hAnsi="Times New Roman"/>
                <w:szCs w:val="20"/>
              </w:rPr>
            </w:pPr>
            <w:r w:rsidRPr="00C06E54">
              <w:rPr>
                <w:rFonts w:ascii="Times New Roman" w:hAnsi="Times New Roman"/>
              </w:rPr>
              <w:t>– uttag måste meddelas mer än 30 dagar i förväg</w:t>
            </w:r>
          </w:p>
          <w:p w14:paraId="471376E8" w14:textId="6B5CE87D" w:rsidR="00F40FD4" w:rsidRPr="00C06E54" w:rsidRDefault="00F40FD4" w:rsidP="00E87A50">
            <w:pPr>
              <w:spacing w:before="0" w:after="0"/>
              <w:rPr>
                <w:rFonts w:ascii="Times New Roman" w:hAnsi="Times New Roman"/>
                <w:szCs w:val="20"/>
              </w:rPr>
            </w:pPr>
            <w:r w:rsidRPr="00C06E54">
              <w:rPr>
                <w:rFonts w:ascii="Times New Roman" w:hAnsi="Times New Roman"/>
              </w:rPr>
              <w:t xml:space="preserve">– uttag måste inte meddelas mer än 30 dagar i förväg </w:t>
            </w:r>
          </w:p>
          <w:p w14:paraId="73B00647" w14:textId="77777777" w:rsidR="00B96DDB" w:rsidRPr="00C06E54" w:rsidRDefault="00B96DDB" w:rsidP="00E87A50">
            <w:pPr>
              <w:spacing w:before="0" w:after="0"/>
              <w:rPr>
                <w:rFonts w:ascii="Times New Roman" w:hAnsi="Times New Roman"/>
                <w:szCs w:val="20"/>
                <w:lang w:eastAsia="en-GB"/>
              </w:rPr>
            </w:pPr>
          </w:p>
          <w:p w14:paraId="393C0E32" w14:textId="77777777" w:rsidR="00B96DDB" w:rsidRPr="00C06E54" w:rsidRDefault="00B96DDB" w:rsidP="00B96DDB">
            <w:pPr>
              <w:spacing w:before="0" w:after="0"/>
              <w:rPr>
                <w:szCs w:val="20"/>
              </w:rPr>
            </w:pPr>
            <w:r w:rsidRPr="00C06E54">
              <w:rPr>
                <w:rFonts w:ascii="Times New Roman" w:hAnsi="Times New Roman"/>
              </w:rPr>
              <w:t>Denna rad ska inte rapporteras.</w:t>
            </w:r>
          </w:p>
          <w:p w14:paraId="0D6901BA" w14:textId="77777777" w:rsidR="003439C5" w:rsidRPr="00C06E54" w:rsidRDefault="003439C5" w:rsidP="00D75947">
            <w:pPr>
              <w:spacing w:before="0" w:after="0"/>
              <w:rPr>
                <w:rFonts w:ascii="Times New Roman" w:hAnsi="Times New Roman"/>
                <w:b/>
                <w:szCs w:val="20"/>
                <w:u w:val="single"/>
                <w:lang w:eastAsia="en-GB"/>
              </w:rPr>
            </w:pPr>
          </w:p>
        </w:tc>
      </w:tr>
      <w:tr w:rsidR="003439C5" w:rsidRPr="00C06E54" w14:paraId="36C0FB22" w14:textId="77777777" w:rsidTr="00D75947">
        <w:trPr>
          <w:trHeight w:val="1020"/>
        </w:trPr>
        <w:tc>
          <w:tcPr>
            <w:tcW w:w="729" w:type="pct"/>
            <w:shd w:val="clear" w:color="auto" w:fill="auto"/>
            <w:noWrap/>
          </w:tcPr>
          <w:p w14:paraId="167C152B" w14:textId="69E87A8C" w:rsidR="003439C5" w:rsidRPr="00C06E54" w:rsidRDefault="003439C5" w:rsidP="00DD136C">
            <w:pPr>
              <w:spacing w:before="0" w:after="0"/>
              <w:jc w:val="left"/>
              <w:rPr>
                <w:rFonts w:ascii="Times New Roman" w:hAnsi="Times New Roman"/>
                <w:color w:val="000000"/>
                <w:szCs w:val="20"/>
              </w:rPr>
            </w:pPr>
            <w:r w:rsidRPr="00C06E54">
              <w:rPr>
                <w:rFonts w:ascii="Times New Roman" w:hAnsi="Times New Roman"/>
                <w:color w:val="000000"/>
              </w:rPr>
              <w:lastRenderedPageBreak/>
              <w:t>0080</w:t>
            </w:r>
          </w:p>
        </w:tc>
        <w:tc>
          <w:tcPr>
            <w:tcW w:w="4271" w:type="pct"/>
            <w:shd w:val="clear" w:color="auto" w:fill="auto"/>
          </w:tcPr>
          <w:p w14:paraId="208924A1" w14:textId="4E469B33" w:rsidR="003439C5" w:rsidRPr="00C06E54" w:rsidRDefault="00F40FD4" w:rsidP="003439C5">
            <w:pPr>
              <w:spacing w:before="0" w:after="0"/>
              <w:rPr>
                <w:rFonts w:ascii="Times New Roman" w:hAnsi="Times New Roman"/>
                <w:b/>
                <w:szCs w:val="20"/>
                <w:u w:val="single"/>
              </w:rPr>
            </w:pPr>
            <w:r w:rsidRPr="00C06E54">
              <w:rPr>
                <w:rFonts w:ascii="Times New Roman" w:hAnsi="Times New Roman"/>
                <w:b/>
                <w:u w:val="single"/>
              </w:rPr>
              <w:t xml:space="preserve">1.4.1 </w:t>
            </w:r>
            <w:r w:rsidRPr="00C06E54">
              <w:rPr>
                <w:rFonts w:ascii="Times New Roman" w:hAnsi="Times New Roman"/>
                <w:b/>
                <w:u w:val="single"/>
              </w:rPr>
              <w:tab/>
              <w:t>uttag måste meddelas mer än 30 dagar i förväg</w:t>
            </w:r>
          </w:p>
          <w:p w14:paraId="2CB5668A" w14:textId="5D7B919C" w:rsidR="00F40FD4" w:rsidRPr="00C06E54" w:rsidRDefault="00F40FD4" w:rsidP="00F40FD4">
            <w:pPr>
              <w:spacing w:before="0" w:after="0"/>
              <w:rPr>
                <w:rFonts w:ascii="Times New Roman" w:hAnsi="Times New Roman"/>
                <w:szCs w:val="20"/>
              </w:rPr>
            </w:pPr>
            <w:r w:rsidRPr="00C06E54">
              <w:rPr>
                <w:rFonts w:ascii="Times New Roman" w:hAnsi="Times New Roman"/>
              </w:rPr>
              <w:t>Den del av inlåning från allmänheten i rad 0010 som utgör sparkonton där uttag måste meddelas mer än 30 dagar i förväg</w:t>
            </w:r>
          </w:p>
          <w:p w14:paraId="3144C832" w14:textId="3416971B" w:rsidR="003439C5" w:rsidRPr="00C06E54" w:rsidRDefault="003439C5" w:rsidP="00E87A50">
            <w:pPr>
              <w:spacing w:before="0" w:after="0"/>
              <w:rPr>
                <w:rFonts w:ascii="Times New Roman" w:hAnsi="Times New Roman"/>
                <w:b/>
                <w:szCs w:val="20"/>
                <w:u w:val="single"/>
                <w:lang w:eastAsia="en-GB"/>
              </w:rPr>
            </w:pPr>
          </w:p>
        </w:tc>
      </w:tr>
      <w:tr w:rsidR="003439C5" w:rsidRPr="00C06E54" w14:paraId="29C0B503" w14:textId="77777777" w:rsidTr="00D75947">
        <w:trPr>
          <w:trHeight w:val="1020"/>
        </w:trPr>
        <w:tc>
          <w:tcPr>
            <w:tcW w:w="729" w:type="pct"/>
            <w:shd w:val="clear" w:color="auto" w:fill="auto"/>
            <w:noWrap/>
          </w:tcPr>
          <w:p w14:paraId="6665A670" w14:textId="25FC6790" w:rsidR="003439C5" w:rsidRPr="00C06E54" w:rsidRDefault="003439C5" w:rsidP="00DD136C">
            <w:pPr>
              <w:spacing w:before="0" w:after="0"/>
              <w:jc w:val="left"/>
              <w:rPr>
                <w:rFonts w:ascii="Times New Roman" w:hAnsi="Times New Roman"/>
                <w:color w:val="000000"/>
                <w:szCs w:val="20"/>
              </w:rPr>
            </w:pPr>
            <w:r w:rsidRPr="00C06E54">
              <w:rPr>
                <w:rFonts w:ascii="Times New Roman" w:hAnsi="Times New Roman"/>
                <w:color w:val="000000"/>
              </w:rPr>
              <w:t>0090</w:t>
            </w:r>
          </w:p>
        </w:tc>
        <w:tc>
          <w:tcPr>
            <w:tcW w:w="4271" w:type="pct"/>
            <w:shd w:val="clear" w:color="auto" w:fill="auto"/>
          </w:tcPr>
          <w:p w14:paraId="41FDDED5" w14:textId="0D19B3DF" w:rsidR="003439C5" w:rsidRPr="00C06E54" w:rsidRDefault="00F40FD4" w:rsidP="003439C5">
            <w:pPr>
              <w:spacing w:before="0" w:after="0"/>
              <w:rPr>
                <w:rFonts w:ascii="Times New Roman" w:hAnsi="Times New Roman"/>
                <w:b/>
                <w:szCs w:val="20"/>
                <w:u w:val="single"/>
              </w:rPr>
            </w:pPr>
            <w:r w:rsidRPr="00C06E54">
              <w:rPr>
                <w:rFonts w:ascii="Times New Roman" w:hAnsi="Times New Roman"/>
                <w:b/>
                <w:u w:val="single"/>
              </w:rPr>
              <w:t xml:space="preserve">1.4.2 </w:t>
            </w:r>
            <w:r w:rsidRPr="00C06E54">
              <w:rPr>
                <w:rFonts w:ascii="Times New Roman" w:hAnsi="Times New Roman"/>
                <w:b/>
                <w:u w:val="single"/>
              </w:rPr>
              <w:tab/>
              <w:t>uttag måste inte meddelas mer än 30 dagar i förväg</w:t>
            </w:r>
          </w:p>
          <w:p w14:paraId="435A673F" w14:textId="77777777" w:rsidR="003439C5" w:rsidRPr="00C06E54" w:rsidRDefault="003439C5" w:rsidP="003439C5">
            <w:pPr>
              <w:spacing w:before="0" w:after="0"/>
              <w:rPr>
                <w:rFonts w:ascii="Times New Roman" w:hAnsi="Times New Roman"/>
                <w:b/>
                <w:szCs w:val="20"/>
                <w:u w:val="single"/>
                <w:lang w:eastAsia="en-GB"/>
              </w:rPr>
            </w:pPr>
          </w:p>
          <w:p w14:paraId="1B1078F3" w14:textId="5329E65F" w:rsidR="003439C5" w:rsidRPr="00C06E54" w:rsidRDefault="00F40FD4" w:rsidP="00E87A50">
            <w:pPr>
              <w:spacing w:before="0" w:after="0"/>
              <w:rPr>
                <w:rFonts w:ascii="Times New Roman" w:hAnsi="Times New Roman"/>
                <w:szCs w:val="20"/>
              </w:rPr>
            </w:pPr>
            <w:r w:rsidRPr="00C06E54">
              <w:rPr>
                <w:rFonts w:ascii="Times New Roman" w:hAnsi="Times New Roman"/>
              </w:rPr>
              <w:t>Den del av inlåning från allmänheten i rad 0010 som utgör sparkonton där uttag inte måste meddelas mer än 30 dagar i förväg</w:t>
            </w:r>
          </w:p>
          <w:p w14:paraId="64AF0787" w14:textId="77777777" w:rsidR="003439C5" w:rsidRPr="00C06E54" w:rsidRDefault="003439C5" w:rsidP="003439C5">
            <w:pPr>
              <w:spacing w:before="0" w:after="0"/>
              <w:rPr>
                <w:rFonts w:ascii="Times New Roman" w:hAnsi="Times New Roman"/>
                <w:b/>
                <w:szCs w:val="20"/>
                <w:u w:val="single"/>
                <w:lang w:eastAsia="en-GB"/>
              </w:rPr>
            </w:pPr>
          </w:p>
        </w:tc>
      </w:tr>
      <w:tr w:rsidR="003439C5" w:rsidRPr="00C06E54" w14:paraId="3EAE3ABC" w14:textId="77777777" w:rsidTr="00D75947">
        <w:trPr>
          <w:trHeight w:val="1020"/>
        </w:trPr>
        <w:tc>
          <w:tcPr>
            <w:tcW w:w="729" w:type="pct"/>
            <w:shd w:val="clear" w:color="auto" w:fill="auto"/>
            <w:noWrap/>
          </w:tcPr>
          <w:p w14:paraId="45013687" w14:textId="492AA72C" w:rsidR="003439C5" w:rsidRPr="00C06E54" w:rsidRDefault="00C90DF5" w:rsidP="003439C5">
            <w:pPr>
              <w:spacing w:before="0" w:after="0"/>
              <w:jc w:val="left"/>
              <w:rPr>
                <w:rFonts w:ascii="Times New Roman" w:hAnsi="Times New Roman"/>
                <w:color w:val="000000"/>
                <w:szCs w:val="20"/>
              </w:rPr>
            </w:pPr>
            <w:r w:rsidRPr="00C06E54">
              <w:rPr>
                <w:rFonts w:ascii="Times New Roman" w:hAnsi="Times New Roman"/>
                <w:color w:val="000000"/>
              </w:rPr>
              <w:t>0100</w:t>
            </w:r>
          </w:p>
        </w:tc>
        <w:tc>
          <w:tcPr>
            <w:tcW w:w="4271" w:type="pct"/>
            <w:shd w:val="clear" w:color="auto" w:fill="auto"/>
          </w:tcPr>
          <w:p w14:paraId="25CD6A22" w14:textId="3A5B71CD" w:rsidR="00F900C8" w:rsidRPr="00C06E54" w:rsidRDefault="00E87A50" w:rsidP="00F900C8">
            <w:pPr>
              <w:pStyle w:val="ListParagraph"/>
              <w:numPr>
                <w:ilvl w:val="0"/>
                <w:numId w:val="13"/>
              </w:numPr>
              <w:spacing w:before="0" w:after="0"/>
              <w:rPr>
                <w:rFonts w:ascii="Times New Roman" w:hAnsi="Times New Roman"/>
                <w:b/>
                <w:szCs w:val="20"/>
                <w:u w:val="single"/>
              </w:rPr>
            </w:pPr>
            <w:r w:rsidRPr="00C06E54">
              <w:rPr>
                <w:rFonts w:ascii="Times New Roman" w:hAnsi="Times New Roman"/>
                <w:b/>
                <w:u w:val="single"/>
              </w:rPr>
              <w:t xml:space="preserve">Kapitalmarknadsfinansiering </w:t>
            </w:r>
          </w:p>
          <w:p w14:paraId="2A1113B0" w14:textId="18165B15" w:rsidR="006624FA" w:rsidRPr="00C06E54" w:rsidRDefault="006624FA" w:rsidP="006624FA">
            <w:pPr>
              <w:spacing w:before="0" w:after="0"/>
              <w:rPr>
                <w:rFonts w:ascii="Times New Roman" w:hAnsi="Times New Roman"/>
                <w:szCs w:val="20"/>
              </w:rPr>
            </w:pPr>
            <w:r w:rsidRPr="00C06E54">
              <w:rPr>
                <w:rFonts w:ascii="Times New Roman" w:hAnsi="Times New Roman"/>
              </w:rPr>
              <w:t xml:space="preserve">Alla motparter utom motparter i inlåning från allmänheten enligt definitionen i artikel 411.2 i förordning nr (EU) 575/2013 </w:t>
            </w:r>
          </w:p>
          <w:p w14:paraId="70E19694" w14:textId="77777777" w:rsidR="00D75947" w:rsidRPr="00C06E54" w:rsidRDefault="00D75947" w:rsidP="006624FA">
            <w:pPr>
              <w:spacing w:before="0" w:after="0"/>
              <w:rPr>
                <w:rFonts w:ascii="Times New Roman" w:hAnsi="Times New Roman"/>
                <w:szCs w:val="20"/>
                <w:lang w:eastAsia="en-GB"/>
              </w:rPr>
            </w:pPr>
          </w:p>
          <w:p w14:paraId="195A99EA" w14:textId="4C20BC3D" w:rsidR="00D75947" w:rsidRPr="00C06E54" w:rsidRDefault="00D75947" w:rsidP="006624FA">
            <w:pPr>
              <w:spacing w:before="0" w:after="0"/>
              <w:rPr>
                <w:szCs w:val="20"/>
              </w:rPr>
            </w:pPr>
            <w:r w:rsidRPr="00C06E54">
              <w:rPr>
                <w:rFonts w:ascii="Times New Roman" w:hAnsi="Times New Roman"/>
              </w:rPr>
              <w:t>Denna rad ska inte rapporteras.</w:t>
            </w:r>
          </w:p>
          <w:p w14:paraId="5A95C4DD" w14:textId="50C842AE" w:rsidR="003439C5" w:rsidRPr="00C06E54" w:rsidRDefault="003439C5" w:rsidP="003439C5">
            <w:pPr>
              <w:spacing w:before="0" w:after="0"/>
              <w:rPr>
                <w:rFonts w:ascii="Times New Roman" w:hAnsi="Times New Roman"/>
                <w:b/>
                <w:szCs w:val="20"/>
                <w:u w:val="single"/>
                <w:lang w:eastAsia="en-GB"/>
              </w:rPr>
            </w:pPr>
          </w:p>
        </w:tc>
      </w:tr>
      <w:tr w:rsidR="003439C5" w:rsidRPr="00C06E54" w14:paraId="0F613C49" w14:textId="77777777" w:rsidTr="00D75947">
        <w:trPr>
          <w:trHeight w:val="1020"/>
        </w:trPr>
        <w:tc>
          <w:tcPr>
            <w:tcW w:w="729" w:type="pct"/>
            <w:shd w:val="clear" w:color="auto" w:fill="auto"/>
            <w:noWrap/>
          </w:tcPr>
          <w:p w14:paraId="4517EFDE" w14:textId="2E66E8FE" w:rsidR="003439C5" w:rsidRPr="00C06E54" w:rsidRDefault="00C90DF5" w:rsidP="003439C5">
            <w:pPr>
              <w:spacing w:before="0" w:after="0"/>
              <w:jc w:val="left"/>
              <w:rPr>
                <w:rFonts w:ascii="Times New Roman" w:hAnsi="Times New Roman"/>
                <w:color w:val="000000"/>
                <w:szCs w:val="20"/>
              </w:rPr>
            </w:pPr>
            <w:r w:rsidRPr="00C06E54">
              <w:rPr>
                <w:rFonts w:ascii="Times New Roman" w:hAnsi="Times New Roman"/>
                <w:color w:val="000000"/>
              </w:rPr>
              <w:t>0110</w:t>
            </w:r>
          </w:p>
        </w:tc>
        <w:tc>
          <w:tcPr>
            <w:tcW w:w="4271" w:type="pct"/>
            <w:shd w:val="clear" w:color="auto" w:fill="auto"/>
          </w:tcPr>
          <w:p w14:paraId="123E76B1" w14:textId="5627B13B" w:rsidR="003439C5" w:rsidRPr="00C06E54" w:rsidRDefault="00F40FD4" w:rsidP="00D75947">
            <w:pPr>
              <w:spacing w:before="0" w:after="0"/>
              <w:rPr>
                <w:rFonts w:ascii="Times New Roman" w:hAnsi="Times New Roman"/>
                <w:b/>
                <w:szCs w:val="20"/>
                <w:u w:val="single"/>
              </w:rPr>
            </w:pPr>
            <w:r w:rsidRPr="00C06E54">
              <w:rPr>
                <w:rFonts w:ascii="Times New Roman" w:hAnsi="Times New Roman"/>
                <w:b/>
                <w:u w:val="single"/>
              </w:rPr>
              <w:t>2.1</w:t>
            </w:r>
            <w:r w:rsidRPr="00C06E54">
              <w:rPr>
                <w:rFonts w:ascii="Times New Roman" w:hAnsi="Times New Roman"/>
                <w:b/>
                <w:u w:val="single"/>
              </w:rPr>
              <w:tab/>
              <w:t>kapitalmarknadsfinansiering utan säkerhet</w:t>
            </w:r>
          </w:p>
          <w:p w14:paraId="08EF0039" w14:textId="77777777" w:rsidR="00E87A50" w:rsidRPr="00C06E54" w:rsidRDefault="00E87A50" w:rsidP="00D75947">
            <w:pPr>
              <w:spacing w:before="0" w:after="0"/>
              <w:rPr>
                <w:rFonts w:ascii="Times New Roman" w:hAnsi="Times New Roman"/>
                <w:b/>
                <w:szCs w:val="20"/>
                <w:u w:val="single"/>
                <w:lang w:eastAsia="en-GB"/>
              </w:rPr>
            </w:pPr>
          </w:p>
          <w:p w14:paraId="765487C0" w14:textId="3279BC8A" w:rsidR="00AD3ACF" w:rsidRPr="00C06E54" w:rsidRDefault="00AD3ACF" w:rsidP="00AD3ACF">
            <w:pPr>
              <w:spacing w:before="0" w:after="0"/>
              <w:rPr>
                <w:szCs w:val="20"/>
              </w:rPr>
            </w:pPr>
            <w:r w:rsidRPr="00C06E54">
              <w:rPr>
                <w:rFonts w:ascii="Times New Roman" w:hAnsi="Times New Roman"/>
              </w:rPr>
              <w:t>Alla motparter utom motparter i inlåning från allmänheten enligt definitionen i artikel 411.2 i förordning (EU) nr 575/2013 om det handlar om finansiering utan säkerhet</w:t>
            </w:r>
          </w:p>
          <w:p w14:paraId="4259F037" w14:textId="77777777" w:rsidR="003439C5" w:rsidRPr="00C06E54" w:rsidRDefault="003439C5" w:rsidP="003439C5">
            <w:pPr>
              <w:spacing w:before="0" w:after="0"/>
              <w:rPr>
                <w:rFonts w:ascii="Times New Roman" w:hAnsi="Times New Roman"/>
                <w:b/>
                <w:szCs w:val="20"/>
                <w:u w:val="single"/>
                <w:lang w:eastAsia="en-GB"/>
              </w:rPr>
            </w:pPr>
          </w:p>
        </w:tc>
      </w:tr>
      <w:tr w:rsidR="003439C5" w:rsidRPr="00C06E54" w14:paraId="53E051F8" w14:textId="77777777" w:rsidTr="00D75947">
        <w:trPr>
          <w:trHeight w:val="1020"/>
        </w:trPr>
        <w:tc>
          <w:tcPr>
            <w:tcW w:w="729" w:type="pct"/>
            <w:shd w:val="clear" w:color="auto" w:fill="auto"/>
            <w:noWrap/>
          </w:tcPr>
          <w:p w14:paraId="6B94D89A" w14:textId="260867F6" w:rsidR="003439C5" w:rsidRPr="00C06E54" w:rsidRDefault="00C90DF5" w:rsidP="003439C5">
            <w:pPr>
              <w:spacing w:before="0" w:after="0"/>
              <w:jc w:val="left"/>
              <w:rPr>
                <w:rFonts w:ascii="Times New Roman" w:hAnsi="Times New Roman"/>
                <w:color w:val="000000"/>
                <w:szCs w:val="20"/>
              </w:rPr>
            </w:pPr>
            <w:r w:rsidRPr="00C06E54">
              <w:rPr>
                <w:rFonts w:ascii="Times New Roman" w:hAnsi="Times New Roman"/>
                <w:color w:val="000000"/>
              </w:rPr>
              <w:t>0120</w:t>
            </w:r>
          </w:p>
        </w:tc>
        <w:tc>
          <w:tcPr>
            <w:tcW w:w="4271" w:type="pct"/>
            <w:shd w:val="clear" w:color="auto" w:fill="auto"/>
          </w:tcPr>
          <w:p w14:paraId="6C6FDC97" w14:textId="596DF847" w:rsidR="003439C5" w:rsidRPr="00C06E54" w:rsidRDefault="00F40FD4" w:rsidP="00D75947">
            <w:pPr>
              <w:spacing w:before="0" w:after="0"/>
              <w:rPr>
                <w:rFonts w:ascii="Times New Roman" w:hAnsi="Times New Roman"/>
                <w:b/>
                <w:szCs w:val="20"/>
                <w:u w:val="single"/>
              </w:rPr>
            </w:pPr>
            <w:r w:rsidRPr="00C06E54">
              <w:rPr>
                <w:rFonts w:ascii="Times New Roman" w:hAnsi="Times New Roman"/>
                <w:b/>
                <w:u w:val="single"/>
              </w:rPr>
              <w:t>2.1.1</w:t>
            </w:r>
            <w:r w:rsidRPr="00C06E54">
              <w:rPr>
                <w:rFonts w:ascii="Times New Roman" w:hAnsi="Times New Roman"/>
                <w:b/>
                <w:u w:val="single"/>
              </w:rPr>
              <w:tab/>
              <w:t>varav lån och inlåning från finansiella kunder</w:t>
            </w:r>
          </w:p>
          <w:p w14:paraId="3BB695C9" w14:textId="77777777" w:rsidR="003439C5" w:rsidRPr="00C06E54" w:rsidRDefault="003439C5" w:rsidP="00D75947">
            <w:pPr>
              <w:spacing w:before="0" w:after="0"/>
              <w:rPr>
                <w:rFonts w:ascii="Times New Roman" w:hAnsi="Times New Roman"/>
                <w:b/>
                <w:szCs w:val="20"/>
                <w:u w:val="single"/>
                <w:lang w:eastAsia="en-GB"/>
              </w:rPr>
            </w:pPr>
          </w:p>
          <w:p w14:paraId="0788F5FB" w14:textId="69FDCBBC" w:rsidR="00AD3ACF" w:rsidRPr="00C06E54" w:rsidRDefault="00AD3ACF" w:rsidP="00AD3ACF">
            <w:pPr>
              <w:spacing w:before="0" w:after="0"/>
              <w:rPr>
                <w:rFonts w:ascii="Times New Roman" w:hAnsi="Times New Roman"/>
                <w:szCs w:val="20"/>
              </w:rPr>
            </w:pPr>
            <w:r w:rsidRPr="00C06E54">
              <w:rPr>
                <w:rFonts w:ascii="Times New Roman" w:hAnsi="Times New Roman"/>
              </w:rPr>
              <w:t>Den del av finansieringen i rad 0110 som utgör ut- och inlåning från finansiella kunder.</w:t>
            </w:r>
          </w:p>
          <w:p w14:paraId="1EBF28E1" w14:textId="77777777" w:rsidR="00D75947" w:rsidRPr="00C06E54" w:rsidRDefault="00D75947" w:rsidP="00AD3ACF">
            <w:pPr>
              <w:spacing w:before="0" w:after="0"/>
              <w:rPr>
                <w:rFonts w:ascii="Times New Roman" w:hAnsi="Times New Roman"/>
                <w:szCs w:val="20"/>
                <w:lang w:eastAsia="en-GB"/>
              </w:rPr>
            </w:pPr>
          </w:p>
          <w:p w14:paraId="268FF204" w14:textId="60AA5C50" w:rsidR="00D75947" w:rsidRPr="00C06E54" w:rsidRDefault="00D75947" w:rsidP="00AD3ACF">
            <w:pPr>
              <w:spacing w:before="0" w:after="0"/>
              <w:rPr>
                <w:rFonts w:ascii="Times New Roman" w:hAnsi="Times New Roman"/>
                <w:szCs w:val="20"/>
              </w:rPr>
            </w:pPr>
            <w:r w:rsidRPr="00C06E54">
              <w:rPr>
                <w:rFonts w:ascii="Times New Roman" w:hAnsi="Times New Roman"/>
              </w:rPr>
              <w:t xml:space="preserve">Finansiering från centralbanker ska inte ingå i denna rad. </w:t>
            </w:r>
          </w:p>
          <w:p w14:paraId="4846816F" w14:textId="4CB99B55" w:rsidR="003439C5" w:rsidRPr="00C06E54" w:rsidRDefault="003439C5" w:rsidP="003439C5">
            <w:pPr>
              <w:spacing w:before="0" w:after="0"/>
              <w:rPr>
                <w:rFonts w:ascii="Times New Roman" w:hAnsi="Times New Roman"/>
                <w:b/>
                <w:szCs w:val="20"/>
                <w:u w:val="single"/>
                <w:lang w:eastAsia="en-GB"/>
              </w:rPr>
            </w:pPr>
          </w:p>
        </w:tc>
      </w:tr>
      <w:tr w:rsidR="003439C5" w:rsidRPr="00C06E54" w14:paraId="63BC41F1" w14:textId="77777777" w:rsidTr="00D75947">
        <w:trPr>
          <w:trHeight w:val="1020"/>
        </w:trPr>
        <w:tc>
          <w:tcPr>
            <w:tcW w:w="729" w:type="pct"/>
            <w:shd w:val="clear" w:color="auto" w:fill="auto"/>
            <w:noWrap/>
          </w:tcPr>
          <w:p w14:paraId="7837B5F4" w14:textId="14167C7E" w:rsidR="003439C5" w:rsidRPr="00C06E54" w:rsidRDefault="00C90DF5" w:rsidP="00DD136C">
            <w:pPr>
              <w:spacing w:before="0" w:after="0"/>
              <w:jc w:val="left"/>
              <w:rPr>
                <w:rFonts w:ascii="Times New Roman" w:hAnsi="Times New Roman"/>
                <w:color w:val="000000"/>
                <w:szCs w:val="20"/>
              </w:rPr>
            </w:pPr>
            <w:r w:rsidRPr="00C06E54">
              <w:rPr>
                <w:rFonts w:ascii="Times New Roman" w:hAnsi="Times New Roman"/>
                <w:color w:val="000000"/>
              </w:rPr>
              <w:t>0130</w:t>
            </w:r>
          </w:p>
        </w:tc>
        <w:tc>
          <w:tcPr>
            <w:tcW w:w="4271" w:type="pct"/>
            <w:shd w:val="clear" w:color="auto" w:fill="auto"/>
          </w:tcPr>
          <w:p w14:paraId="06A755FB" w14:textId="502C771C" w:rsidR="003439C5" w:rsidRPr="00C06E54" w:rsidRDefault="00F40FD4" w:rsidP="00D75947">
            <w:pPr>
              <w:spacing w:before="0" w:after="0"/>
              <w:rPr>
                <w:rFonts w:ascii="Times New Roman" w:hAnsi="Times New Roman"/>
                <w:b/>
                <w:szCs w:val="20"/>
                <w:u w:val="single"/>
              </w:rPr>
            </w:pPr>
            <w:r w:rsidRPr="00C06E54">
              <w:rPr>
                <w:rFonts w:ascii="Times New Roman" w:hAnsi="Times New Roman"/>
                <w:b/>
                <w:u w:val="single"/>
              </w:rPr>
              <w:t>2.1.2</w:t>
            </w:r>
            <w:r w:rsidRPr="00C06E54">
              <w:rPr>
                <w:rFonts w:ascii="Times New Roman" w:hAnsi="Times New Roman"/>
                <w:b/>
                <w:u w:val="single"/>
              </w:rPr>
              <w:tab/>
              <w:t>varav ut- och inlåning från icke-finansiella kunder</w:t>
            </w:r>
          </w:p>
          <w:p w14:paraId="02E65316" w14:textId="77777777" w:rsidR="003439C5" w:rsidRPr="00C06E54" w:rsidRDefault="003439C5" w:rsidP="00D75947">
            <w:pPr>
              <w:spacing w:before="0" w:after="0"/>
              <w:rPr>
                <w:rFonts w:ascii="Times New Roman" w:hAnsi="Times New Roman"/>
                <w:b/>
                <w:szCs w:val="20"/>
                <w:u w:val="single"/>
                <w:lang w:eastAsia="en-GB"/>
              </w:rPr>
            </w:pPr>
          </w:p>
          <w:p w14:paraId="6E637B97" w14:textId="5E5B493F" w:rsidR="00AD3ACF" w:rsidRPr="00C06E54" w:rsidRDefault="00AD3ACF" w:rsidP="00AD3ACF">
            <w:pPr>
              <w:spacing w:before="0" w:after="0"/>
              <w:rPr>
                <w:rFonts w:ascii="Times New Roman" w:hAnsi="Times New Roman"/>
                <w:szCs w:val="20"/>
              </w:rPr>
            </w:pPr>
            <w:r w:rsidRPr="00C06E54">
              <w:rPr>
                <w:rFonts w:ascii="Times New Roman" w:hAnsi="Times New Roman"/>
              </w:rPr>
              <w:t>Den del av finansieringen i rad 0110 som utgör ut- och inlåning från icke-finansiella kunder.</w:t>
            </w:r>
          </w:p>
          <w:p w14:paraId="4A6E9ABD" w14:textId="77777777" w:rsidR="00D75947" w:rsidRPr="00C06E54" w:rsidRDefault="00D75947" w:rsidP="00AD3ACF">
            <w:pPr>
              <w:spacing w:before="0" w:after="0"/>
              <w:rPr>
                <w:rFonts w:ascii="Times New Roman" w:hAnsi="Times New Roman"/>
                <w:szCs w:val="20"/>
                <w:lang w:eastAsia="en-GB"/>
              </w:rPr>
            </w:pPr>
          </w:p>
          <w:p w14:paraId="1033118A" w14:textId="655EE402" w:rsidR="00D75947" w:rsidRPr="00C06E54" w:rsidRDefault="00D75947" w:rsidP="00AD3ACF">
            <w:pPr>
              <w:spacing w:before="0" w:after="0"/>
              <w:rPr>
                <w:rFonts w:ascii="Times New Roman" w:hAnsi="Times New Roman"/>
                <w:szCs w:val="20"/>
              </w:rPr>
            </w:pPr>
            <w:r w:rsidRPr="00C06E54">
              <w:rPr>
                <w:rFonts w:ascii="Times New Roman" w:hAnsi="Times New Roman"/>
              </w:rPr>
              <w:t>Finansiering från centralbanker ska inte ingå i denna rad.</w:t>
            </w:r>
          </w:p>
          <w:p w14:paraId="0C4C3C91" w14:textId="4533C6EE" w:rsidR="003439C5" w:rsidRPr="00C06E54" w:rsidRDefault="003439C5" w:rsidP="003439C5">
            <w:pPr>
              <w:spacing w:before="0" w:after="0"/>
              <w:rPr>
                <w:rFonts w:ascii="Times New Roman" w:hAnsi="Times New Roman"/>
                <w:b/>
                <w:szCs w:val="20"/>
                <w:u w:val="single"/>
                <w:lang w:eastAsia="en-GB"/>
              </w:rPr>
            </w:pPr>
          </w:p>
        </w:tc>
      </w:tr>
      <w:tr w:rsidR="003439C5" w:rsidRPr="00C06E54" w14:paraId="445F9D74" w14:textId="77777777" w:rsidTr="00D75947">
        <w:trPr>
          <w:trHeight w:val="1020"/>
        </w:trPr>
        <w:tc>
          <w:tcPr>
            <w:tcW w:w="729" w:type="pct"/>
            <w:shd w:val="clear" w:color="auto" w:fill="auto"/>
            <w:noWrap/>
          </w:tcPr>
          <w:p w14:paraId="6F6E6B72" w14:textId="4656ED36" w:rsidR="003439C5" w:rsidRPr="00C06E54" w:rsidRDefault="00C90DF5" w:rsidP="003439C5">
            <w:pPr>
              <w:spacing w:before="0" w:after="0"/>
              <w:jc w:val="left"/>
              <w:rPr>
                <w:rFonts w:ascii="Times New Roman" w:hAnsi="Times New Roman"/>
                <w:color w:val="000000"/>
                <w:szCs w:val="20"/>
              </w:rPr>
            </w:pPr>
            <w:r w:rsidRPr="00C06E54">
              <w:rPr>
                <w:rFonts w:ascii="Times New Roman" w:hAnsi="Times New Roman"/>
                <w:color w:val="000000"/>
              </w:rPr>
              <w:t>0140</w:t>
            </w:r>
          </w:p>
        </w:tc>
        <w:tc>
          <w:tcPr>
            <w:tcW w:w="4271" w:type="pct"/>
            <w:shd w:val="clear" w:color="auto" w:fill="auto"/>
          </w:tcPr>
          <w:p w14:paraId="08468F41" w14:textId="34A0F0BB" w:rsidR="003439C5" w:rsidRPr="00C06E54" w:rsidRDefault="00F40FD4" w:rsidP="00D75947">
            <w:pPr>
              <w:spacing w:before="0" w:after="0"/>
              <w:rPr>
                <w:rFonts w:ascii="Times New Roman" w:hAnsi="Times New Roman"/>
                <w:b/>
                <w:szCs w:val="20"/>
                <w:u w:val="single"/>
              </w:rPr>
            </w:pPr>
            <w:r w:rsidRPr="00C06E54">
              <w:rPr>
                <w:rFonts w:ascii="Times New Roman" w:hAnsi="Times New Roman"/>
                <w:b/>
                <w:u w:val="single"/>
              </w:rPr>
              <w:t>2.1.3</w:t>
            </w:r>
            <w:r w:rsidRPr="00C06E54">
              <w:rPr>
                <w:rFonts w:ascii="Times New Roman" w:hAnsi="Times New Roman"/>
                <w:b/>
                <w:u w:val="single"/>
              </w:rPr>
              <w:tab/>
              <w:t>varav lån och inlåning från enheter inom samma företagsgrupp</w:t>
            </w:r>
          </w:p>
          <w:p w14:paraId="19D87853" w14:textId="77777777" w:rsidR="00AD3ACF" w:rsidRPr="00C06E54" w:rsidRDefault="00AD3ACF" w:rsidP="00AD3ACF">
            <w:pPr>
              <w:spacing w:before="0" w:after="0"/>
              <w:rPr>
                <w:rFonts w:ascii="Times New Roman" w:hAnsi="Times New Roman"/>
                <w:szCs w:val="20"/>
                <w:lang w:eastAsia="en-GB"/>
              </w:rPr>
            </w:pPr>
          </w:p>
          <w:p w14:paraId="1FDA6EC6" w14:textId="7B0E2912" w:rsidR="00AD3ACF" w:rsidRPr="00C06E54" w:rsidRDefault="00AD3ACF" w:rsidP="008E720B">
            <w:pPr>
              <w:spacing w:before="0" w:after="0"/>
              <w:rPr>
                <w:rFonts w:ascii="Times New Roman" w:hAnsi="Times New Roman"/>
                <w:szCs w:val="20"/>
              </w:rPr>
            </w:pPr>
            <w:r w:rsidRPr="00C06E54">
              <w:rPr>
                <w:rFonts w:ascii="Times New Roman" w:hAnsi="Times New Roman"/>
              </w:rPr>
              <w:t>Den del av finansieringen på rad 0110 som utgör lån och inlåning från enheter inom samma företagsgrupp, där motparten är ett moder- eller dotterinstitut till institutet, ett annat dotterinstitut till samma moderinstitut eller har anknytning till institutet i den mening som avses i artikel 22.7 i direktiv 2013/34/EU.</w:t>
            </w:r>
          </w:p>
          <w:p w14:paraId="2FC0AC9F" w14:textId="77777777" w:rsidR="00274EE9" w:rsidRPr="00C06E54" w:rsidRDefault="00274EE9" w:rsidP="00AD3ACF">
            <w:pPr>
              <w:spacing w:before="0" w:after="0"/>
              <w:rPr>
                <w:rFonts w:ascii="Times New Roman" w:hAnsi="Times New Roman"/>
                <w:szCs w:val="20"/>
                <w:lang w:eastAsia="en-GB"/>
              </w:rPr>
            </w:pPr>
          </w:p>
          <w:p w14:paraId="7A1CF7E9" w14:textId="13D494D6" w:rsidR="003439C5" w:rsidRPr="00C06E54" w:rsidRDefault="00274EE9" w:rsidP="00274EE9">
            <w:pPr>
              <w:spacing w:before="0" w:after="0"/>
              <w:rPr>
                <w:rFonts w:ascii="Times New Roman" w:hAnsi="Times New Roman"/>
                <w:b/>
                <w:szCs w:val="20"/>
                <w:u w:val="single"/>
              </w:rPr>
            </w:pPr>
            <w:r w:rsidRPr="00C06E54">
              <w:rPr>
                <w:rFonts w:ascii="Times New Roman" w:hAnsi="Times New Roman"/>
              </w:rPr>
              <w:t>Kapitalmarknadsfinansiering från företag inom samma företagsgrupp ska bara rapporteras på individuell nivå eller undergruppsnivå.</w:t>
            </w:r>
          </w:p>
        </w:tc>
      </w:tr>
      <w:tr w:rsidR="003439C5" w:rsidRPr="00C06E54" w14:paraId="658E2622" w14:textId="77777777" w:rsidTr="00D75947">
        <w:trPr>
          <w:trHeight w:val="1020"/>
        </w:trPr>
        <w:tc>
          <w:tcPr>
            <w:tcW w:w="729" w:type="pct"/>
            <w:shd w:val="clear" w:color="auto" w:fill="auto"/>
            <w:noWrap/>
          </w:tcPr>
          <w:p w14:paraId="1089A569" w14:textId="0B1D3526" w:rsidR="003439C5" w:rsidRPr="00C06E54" w:rsidRDefault="00C90DF5" w:rsidP="003439C5">
            <w:pPr>
              <w:spacing w:before="0" w:after="0"/>
              <w:jc w:val="left"/>
              <w:rPr>
                <w:rFonts w:ascii="Times New Roman" w:hAnsi="Times New Roman"/>
                <w:color w:val="000000"/>
                <w:szCs w:val="20"/>
              </w:rPr>
            </w:pPr>
            <w:r w:rsidRPr="00C06E54">
              <w:rPr>
                <w:rFonts w:ascii="Times New Roman" w:hAnsi="Times New Roman"/>
                <w:color w:val="000000"/>
              </w:rPr>
              <w:t>0150</w:t>
            </w:r>
          </w:p>
        </w:tc>
        <w:tc>
          <w:tcPr>
            <w:tcW w:w="4271" w:type="pct"/>
            <w:shd w:val="clear" w:color="auto" w:fill="auto"/>
          </w:tcPr>
          <w:p w14:paraId="46EF8EC5" w14:textId="56C23DBB" w:rsidR="003439C5" w:rsidRPr="00C06E54" w:rsidRDefault="00F40FD4" w:rsidP="003439C5">
            <w:pPr>
              <w:spacing w:before="0" w:after="0"/>
              <w:rPr>
                <w:rFonts w:ascii="Times New Roman" w:hAnsi="Times New Roman"/>
                <w:b/>
                <w:szCs w:val="20"/>
                <w:u w:val="single"/>
              </w:rPr>
            </w:pPr>
            <w:r w:rsidRPr="00C06E54">
              <w:rPr>
                <w:rFonts w:ascii="Times New Roman" w:hAnsi="Times New Roman"/>
                <w:b/>
                <w:u w:val="single"/>
              </w:rPr>
              <w:t>2.2</w:t>
            </w:r>
            <w:r w:rsidRPr="00C06E54">
              <w:rPr>
                <w:rFonts w:ascii="Times New Roman" w:hAnsi="Times New Roman"/>
                <w:b/>
                <w:u w:val="single"/>
              </w:rPr>
              <w:tab/>
              <w:t xml:space="preserve">Kapitalmarknadsfinansiering mot säkerhet </w:t>
            </w:r>
          </w:p>
          <w:p w14:paraId="4AE66107" w14:textId="77777777" w:rsidR="00274EE9" w:rsidRPr="00C06E54" w:rsidRDefault="00274EE9" w:rsidP="00274EE9">
            <w:pPr>
              <w:spacing w:before="0" w:after="0"/>
              <w:rPr>
                <w:rFonts w:ascii="Times New Roman" w:hAnsi="Times New Roman"/>
                <w:szCs w:val="20"/>
                <w:lang w:eastAsia="en-GB"/>
              </w:rPr>
            </w:pPr>
          </w:p>
          <w:p w14:paraId="235C9947" w14:textId="0342D746" w:rsidR="00274EE9" w:rsidRPr="00C06E54" w:rsidRDefault="00274EE9" w:rsidP="00274EE9">
            <w:pPr>
              <w:spacing w:before="0" w:after="0"/>
              <w:rPr>
                <w:szCs w:val="20"/>
              </w:rPr>
            </w:pPr>
            <w:r w:rsidRPr="00C06E54">
              <w:rPr>
                <w:rFonts w:ascii="Times New Roman" w:hAnsi="Times New Roman"/>
              </w:rPr>
              <w:t>Alla motparter utom motparter i inlåning från allmänheten enligt definitionen i artikel 411.2 i förordning (EU) nr 575/2013 om det handlar om finansiering mot säkerhet</w:t>
            </w:r>
          </w:p>
          <w:p w14:paraId="0B9B72C2" w14:textId="273E7D60" w:rsidR="003439C5" w:rsidRPr="00C06E54" w:rsidRDefault="003439C5" w:rsidP="003439C5">
            <w:pPr>
              <w:spacing w:before="0" w:after="0"/>
              <w:rPr>
                <w:rFonts w:ascii="Times New Roman" w:hAnsi="Times New Roman"/>
                <w:b/>
                <w:szCs w:val="20"/>
                <w:u w:val="single"/>
                <w:lang w:eastAsia="en-GB"/>
              </w:rPr>
            </w:pPr>
          </w:p>
        </w:tc>
      </w:tr>
      <w:tr w:rsidR="003439C5" w:rsidRPr="00C06E54" w14:paraId="2EB68234" w14:textId="77777777" w:rsidTr="00D75947">
        <w:trPr>
          <w:trHeight w:val="1020"/>
        </w:trPr>
        <w:tc>
          <w:tcPr>
            <w:tcW w:w="729" w:type="pct"/>
            <w:shd w:val="clear" w:color="auto" w:fill="auto"/>
            <w:noWrap/>
          </w:tcPr>
          <w:p w14:paraId="62D3C328" w14:textId="25E885A9" w:rsidR="003439C5" w:rsidRPr="00C06E54" w:rsidRDefault="00C90DF5" w:rsidP="003439C5">
            <w:pPr>
              <w:spacing w:before="0" w:after="0"/>
              <w:jc w:val="left"/>
              <w:rPr>
                <w:rFonts w:ascii="Times New Roman" w:hAnsi="Times New Roman"/>
                <w:color w:val="000000"/>
                <w:szCs w:val="20"/>
              </w:rPr>
            </w:pPr>
            <w:r w:rsidRPr="00C06E54">
              <w:rPr>
                <w:rFonts w:ascii="Times New Roman" w:hAnsi="Times New Roman"/>
                <w:color w:val="000000"/>
              </w:rPr>
              <w:t>0160</w:t>
            </w:r>
          </w:p>
        </w:tc>
        <w:tc>
          <w:tcPr>
            <w:tcW w:w="4271" w:type="pct"/>
            <w:shd w:val="clear" w:color="auto" w:fill="auto"/>
          </w:tcPr>
          <w:p w14:paraId="26450696" w14:textId="61B5533B" w:rsidR="003439C5" w:rsidRPr="00C06E54" w:rsidRDefault="00F40FD4" w:rsidP="003439C5">
            <w:pPr>
              <w:spacing w:before="0" w:after="0"/>
              <w:rPr>
                <w:rFonts w:ascii="Times New Roman" w:hAnsi="Times New Roman"/>
                <w:b/>
                <w:szCs w:val="20"/>
                <w:u w:val="single"/>
              </w:rPr>
            </w:pPr>
            <w:r w:rsidRPr="00C06E54">
              <w:rPr>
                <w:rFonts w:ascii="Times New Roman" w:hAnsi="Times New Roman"/>
                <w:b/>
                <w:u w:val="single"/>
              </w:rPr>
              <w:t>2.2.1</w:t>
            </w:r>
            <w:r w:rsidRPr="00C06E54">
              <w:rPr>
                <w:rFonts w:ascii="Times New Roman" w:hAnsi="Times New Roman"/>
                <w:b/>
                <w:u w:val="single"/>
              </w:rPr>
              <w:tab/>
              <w:t>varav transaktioner för värdepappersfinansiering</w:t>
            </w:r>
          </w:p>
          <w:p w14:paraId="07691F9D" w14:textId="77777777" w:rsidR="00274EE9" w:rsidRPr="00C06E54" w:rsidRDefault="00274EE9" w:rsidP="00274EE9">
            <w:pPr>
              <w:spacing w:before="0" w:after="0"/>
              <w:rPr>
                <w:rFonts w:ascii="Times New Roman" w:hAnsi="Times New Roman"/>
                <w:szCs w:val="20"/>
                <w:lang w:eastAsia="en-GB"/>
              </w:rPr>
            </w:pPr>
          </w:p>
          <w:p w14:paraId="56E76DB8" w14:textId="0042FE93" w:rsidR="00274EE9" w:rsidRPr="00C06E54" w:rsidRDefault="00274EE9" w:rsidP="00274EE9">
            <w:pPr>
              <w:spacing w:before="0" w:after="0"/>
              <w:rPr>
                <w:szCs w:val="20"/>
              </w:rPr>
            </w:pPr>
            <w:r w:rsidRPr="00C06E54">
              <w:rPr>
                <w:rFonts w:ascii="Times New Roman" w:hAnsi="Times New Roman"/>
              </w:rPr>
              <w:t>Den del av finansieringen i rad 0150 som utgör finansiering genom återköpsavtal enligt definitionen i artikel 4.1.82 i förordning (EU) nr 575/2013</w:t>
            </w:r>
          </w:p>
          <w:p w14:paraId="70F2D3DC" w14:textId="6524FC14" w:rsidR="003439C5" w:rsidRPr="00C06E54" w:rsidRDefault="003439C5" w:rsidP="003439C5">
            <w:pPr>
              <w:spacing w:before="0" w:after="0"/>
              <w:rPr>
                <w:rFonts w:ascii="Times New Roman" w:hAnsi="Times New Roman"/>
                <w:b/>
                <w:szCs w:val="20"/>
                <w:u w:val="single"/>
                <w:lang w:eastAsia="en-GB"/>
              </w:rPr>
            </w:pPr>
          </w:p>
        </w:tc>
      </w:tr>
      <w:tr w:rsidR="003439C5" w:rsidRPr="00C06E54" w14:paraId="1B268195" w14:textId="77777777" w:rsidTr="00D75947">
        <w:trPr>
          <w:trHeight w:val="1020"/>
        </w:trPr>
        <w:tc>
          <w:tcPr>
            <w:tcW w:w="729" w:type="pct"/>
            <w:shd w:val="clear" w:color="auto" w:fill="auto"/>
            <w:noWrap/>
          </w:tcPr>
          <w:p w14:paraId="636EECA5" w14:textId="6E8B1E7F" w:rsidR="003439C5" w:rsidRPr="00C06E54" w:rsidRDefault="00C90DF5" w:rsidP="003439C5">
            <w:pPr>
              <w:spacing w:before="0" w:after="0"/>
              <w:jc w:val="left"/>
              <w:rPr>
                <w:rFonts w:ascii="Times New Roman" w:hAnsi="Times New Roman"/>
                <w:color w:val="000000"/>
                <w:szCs w:val="20"/>
              </w:rPr>
            </w:pPr>
            <w:r w:rsidRPr="00C06E54">
              <w:rPr>
                <w:rFonts w:ascii="Times New Roman" w:hAnsi="Times New Roman"/>
                <w:color w:val="000000"/>
              </w:rPr>
              <w:lastRenderedPageBreak/>
              <w:t>0170</w:t>
            </w:r>
          </w:p>
        </w:tc>
        <w:tc>
          <w:tcPr>
            <w:tcW w:w="4271" w:type="pct"/>
            <w:shd w:val="clear" w:color="auto" w:fill="auto"/>
          </w:tcPr>
          <w:p w14:paraId="3FE9A1CB" w14:textId="355DF6A4" w:rsidR="003439C5" w:rsidRPr="00C06E54" w:rsidRDefault="00F40FD4" w:rsidP="00D75947">
            <w:pPr>
              <w:spacing w:before="0" w:after="0"/>
              <w:rPr>
                <w:rFonts w:ascii="Times New Roman" w:hAnsi="Times New Roman"/>
                <w:b/>
                <w:szCs w:val="20"/>
                <w:u w:val="single"/>
              </w:rPr>
            </w:pPr>
            <w:r w:rsidRPr="00C06E54">
              <w:rPr>
                <w:rFonts w:ascii="Times New Roman" w:hAnsi="Times New Roman"/>
                <w:b/>
                <w:u w:val="single"/>
              </w:rPr>
              <w:t>2.2.2</w:t>
            </w:r>
            <w:r w:rsidRPr="00C06E54">
              <w:rPr>
                <w:rFonts w:ascii="Times New Roman" w:hAnsi="Times New Roman"/>
                <w:b/>
                <w:u w:val="single"/>
              </w:rPr>
              <w:tab/>
              <w:t>varav emissioner av säkerställda obligationer</w:t>
            </w:r>
          </w:p>
          <w:p w14:paraId="00F0B9AC" w14:textId="77777777" w:rsidR="003439C5" w:rsidRPr="00C06E54" w:rsidRDefault="003439C5" w:rsidP="00D75947">
            <w:pPr>
              <w:spacing w:before="0" w:after="0"/>
              <w:rPr>
                <w:rFonts w:ascii="Times New Roman" w:hAnsi="Times New Roman"/>
                <w:b/>
                <w:szCs w:val="20"/>
                <w:u w:val="single"/>
                <w:lang w:eastAsia="en-GB"/>
              </w:rPr>
            </w:pPr>
          </w:p>
          <w:p w14:paraId="31797266" w14:textId="36494370" w:rsidR="003439C5" w:rsidRPr="00C06E54" w:rsidRDefault="00274EE9">
            <w:pPr>
              <w:spacing w:before="0" w:after="0"/>
              <w:rPr>
                <w:rFonts w:ascii="Times New Roman" w:hAnsi="Times New Roman"/>
                <w:b/>
                <w:szCs w:val="20"/>
                <w:u w:val="single"/>
              </w:rPr>
            </w:pPr>
            <w:r w:rsidRPr="00C06E54">
              <w:rPr>
                <w:rFonts w:ascii="Times New Roman" w:hAnsi="Times New Roman"/>
              </w:rPr>
              <w:t>Den del av finansieringen i rad 0150 som utgör finansiering genom emissioner av säkerställda obligationer enligt definitionen i artikel 129.4 eller 129.5 i förordning (EU) nr 575/2013 eller enligt artikel 52.4 i direktiv 2009/65/EG</w:t>
            </w:r>
          </w:p>
        </w:tc>
      </w:tr>
      <w:tr w:rsidR="003439C5" w:rsidRPr="00C06E54" w14:paraId="03D91A24" w14:textId="77777777" w:rsidTr="00D75947">
        <w:trPr>
          <w:trHeight w:val="1020"/>
        </w:trPr>
        <w:tc>
          <w:tcPr>
            <w:tcW w:w="729" w:type="pct"/>
            <w:shd w:val="clear" w:color="auto" w:fill="auto"/>
            <w:noWrap/>
          </w:tcPr>
          <w:p w14:paraId="66BC9574" w14:textId="42D0EA61" w:rsidR="003439C5" w:rsidRPr="00C06E54" w:rsidRDefault="00C90DF5" w:rsidP="003439C5">
            <w:pPr>
              <w:spacing w:before="0" w:after="0"/>
              <w:jc w:val="left"/>
              <w:rPr>
                <w:rFonts w:ascii="Times New Roman" w:hAnsi="Times New Roman"/>
                <w:color w:val="000000"/>
                <w:szCs w:val="20"/>
              </w:rPr>
            </w:pPr>
            <w:r w:rsidRPr="00C06E54">
              <w:rPr>
                <w:rFonts w:ascii="Times New Roman" w:hAnsi="Times New Roman"/>
                <w:color w:val="000000"/>
              </w:rPr>
              <w:t>0180</w:t>
            </w:r>
          </w:p>
        </w:tc>
        <w:tc>
          <w:tcPr>
            <w:tcW w:w="4271" w:type="pct"/>
            <w:shd w:val="clear" w:color="auto" w:fill="auto"/>
          </w:tcPr>
          <w:p w14:paraId="6F3DFEBC" w14:textId="161D0230" w:rsidR="003439C5" w:rsidRPr="00C06E54" w:rsidRDefault="00F40FD4" w:rsidP="00D75947">
            <w:pPr>
              <w:spacing w:before="0" w:after="0"/>
              <w:rPr>
                <w:rFonts w:ascii="Times New Roman" w:hAnsi="Times New Roman"/>
                <w:b/>
                <w:szCs w:val="20"/>
                <w:u w:val="single"/>
              </w:rPr>
            </w:pPr>
            <w:r w:rsidRPr="00C06E54">
              <w:rPr>
                <w:rFonts w:ascii="Times New Roman" w:hAnsi="Times New Roman"/>
                <w:b/>
                <w:u w:val="single"/>
              </w:rPr>
              <w:t>2.2.3</w:t>
            </w:r>
            <w:r w:rsidRPr="00C06E54">
              <w:rPr>
                <w:rFonts w:ascii="Times New Roman" w:hAnsi="Times New Roman"/>
                <w:b/>
                <w:u w:val="single"/>
              </w:rPr>
              <w:tab/>
              <w:t>varav emissioner av tillgångssäkrade värdepapper</w:t>
            </w:r>
          </w:p>
          <w:p w14:paraId="38626DC8" w14:textId="77777777" w:rsidR="003439C5" w:rsidRPr="00C06E54" w:rsidRDefault="003439C5" w:rsidP="00D75947">
            <w:pPr>
              <w:spacing w:before="0" w:after="0"/>
              <w:rPr>
                <w:rFonts w:ascii="Times New Roman" w:hAnsi="Times New Roman"/>
                <w:b/>
                <w:szCs w:val="20"/>
                <w:u w:val="single"/>
                <w:lang w:eastAsia="en-GB"/>
              </w:rPr>
            </w:pPr>
          </w:p>
          <w:p w14:paraId="6BBE6FEF" w14:textId="75DEF1CA" w:rsidR="003439C5" w:rsidRPr="00C06E54" w:rsidRDefault="00274EE9" w:rsidP="00A84FD7">
            <w:pPr>
              <w:spacing w:before="0" w:after="0"/>
              <w:rPr>
                <w:rFonts w:ascii="Times New Roman" w:hAnsi="Times New Roman"/>
                <w:b/>
                <w:szCs w:val="20"/>
                <w:u w:val="single"/>
              </w:rPr>
            </w:pPr>
            <w:r w:rsidRPr="00C06E54">
              <w:rPr>
                <w:rFonts w:ascii="Times New Roman" w:hAnsi="Times New Roman"/>
              </w:rPr>
              <w:t>Den del av finansieringen i rad 0150 som utgör finansiering genom emissioner av tillgångssäkrade värdepapper, inklusive tillgångsbaserade certifikat.</w:t>
            </w:r>
          </w:p>
        </w:tc>
      </w:tr>
      <w:tr w:rsidR="003439C5" w:rsidRPr="00C06E54" w14:paraId="597FCB34" w14:textId="77777777" w:rsidTr="00D75947">
        <w:trPr>
          <w:trHeight w:val="1020"/>
        </w:trPr>
        <w:tc>
          <w:tcPr>
            <w:tcW w:w="729" w:type="pct"/>
            <w:shd w:val="clear" w:color="auto" w:fill="auto"/>
            <w:noWrap/>
          </w:tcPr>
          <w:p w14:paraId="4E4276DD" w14:textId="58DC3FC3" w:rsidR="003439C5" w:rsidRPr="00C06E54" w:rsidRDefault="00C90DF5" w:rsidP="003439C5">
            <w:pPr>
              <w:spacing w:before="0" w:after="0"/>
              <w:jc w:val="left"/>
              <w:rPr>
                <w:rFonts w:ascii="Times New Roman" w:hAnsi="Times New Roman"/>
                <w:color w:val="000000"/>
                <w:szCs w:val="20"/>
              </w:rPr>
            </w:pPr>
            <w:r w:rsidRPr="00C06E54">
              <w:rPr>
                <w:rFonts w:ascii="Times New Roman" w:hAnsi="Times New Roman"/>
                <w:color w:val="000000"/>
              </w:rPr>
              <w:t>0190</w:t>
            </w:r>
          </w:p>
        </w:tc>
        <w:tc>
          <w:tcPr>
            <w:tcW w:w="4271" w:type="pct"/>
            <w:shd w:val="clear" w:color="auto" w:fill="auto"/>
          </w:tcPr>
          <w:p w14:paraId="4610D9F3" w14:textId="19EBD19F" w:rsidR="003439C5" w:rsidRPr="00C06E54" w:rsidRDefault="00F40FD4" w:rsidP="00D75947">
            <w:pPr>
              <w:spacing w:before="0" w:after="0"/>
              <w:rPr>
                <w:rFonts w:ascii="Times New Roman" w:hAnsi="Times New Roman"/>
                <w:b/>
                <w:szCs w:val="20"/>
                <w:u w:val="single"/>
              </w:rPr>
            </w:pPr>
            <w:r w:rsidRPr="00C06E54">
              <w:rPr>
                <w:rFonts w:ascii="Times New Roman" w:hAnsi="Times New Roman"/>
                <w:b/>
                <w:u w:val="single"/>
              </w:rPr>
              <w:t>2.2.4</w:t>
            </w:r>
            <w:r w:rsidRPr="00C06E54">
              <w:rPr>
                <w:rFonts w:ascii="Times New Roman" w:hAnsi="Times New Roman"/>
                <w:b/>
                <w:u w:val="single"/>
              </w:rPr>
              <w:tab/>
              <w:t>varav finansiella skulder utom derivat och korta positioner från enheter inom samma företagsgrupp</w:t>
            </w:r>
          </w:p>
          <w:p w14:paraId="39B4FABF" w14:textId="77777777" w:rsidR="003439C5" w:rsidRPr="00C06E54" w:rsidRDefault="003439C5" w:rsidP="00D75947">
            <w:pPr>
              <w:spacing w:before="0" w:after="0"/>
              <w:rPr>
                <w:rFonts w:ascii="Times New Roman" w:hAnsi="Times New Roman"/>
                <w:b/>
                <w:szCs w:val="20"/>
                <w:u w:val="single"/>
                <w:lang w:eastAsia="en-GB"/>
              </w:rPr>
            </w:pPr>
          </w:p>
          <w:p w14:paraId="10DC82D6" w14:textId="221F85BE" w:rsidR="003439C5" w:rsidRPr="00C06E54" w:rsidRDefault="00274EE9" w:rsidP="003439C5">
            <w:pPr>
              <w:spacing w:before="0" w:after="0"/>
              <w:rPr>
                <w:rFonts w:ascii="Times New Roman" w:hAnsi="Times New Roman"/>
                <w:szCs w:val="20"/>
              </w:rPr>
            </w:pPr>
            <w:r w:rsidRPr="00C06E54">
              <w:rPr>
                <w:rFonts w:ascii="Times New Roman" w:hAnsi="Times New Roman"/>
              </w:rPr>
              <w:t xml:space="preserve">Den del av finansieringen på rad 0150 som utgör finansiering från enheter inom samma företagsgrupp, där motparten är ett moder- eller dotterinstitut till institutet, ett annat dotterinstitut till samma moderinstitut eller har anknytning till institutet i den mening som avses i artikel 22.7 i direktiv 2013/34/EU. </w:t>
            </w:r>
          </w:p>
          <w:p w14:paraId="7693FB65" w14:textId="77777777" w:rsidR="00274EE9" w:rsidRPr="00C06E54" w:rsidRDefault="00274EE9" w:rsidP="003439C5">
            <w:pPr>
              <w:spacing w:before="0" w:after="0"/>
              <w:rPr>
                <w:rFonts w:ascii="Times New Roman" w:hAnsi="Times New Roman"/>
                <w:szCs w:val="20"/>
                <w:lang w:eastAsia="en-GB"/>
              </w:rPr>
            </w:pPr>
          </w:p>
          <w:p w14:paraId="2A9F2247" w14:textId="77777777" w:rsidR="00274EE9" w:rsidRPr="00C06E54" w:rsidRDefault="00274EE9" w:rsidP="003439C5">
            <w:pPr>
              <w:spacing w:before="0" w:after="0"/>
              <w:rPr>
                <w:rFonts w:ascii="Times New Roman" w:hAnsi="Times New Roman"/>
                <w:szCs w:val="20"/>
              </w:rPr>
            </w:pPr>
            <w:r w:rsidRPr="00C06E54">
              <w:rPr>
                <w:rFonts w:ascii="Times New Roman" w:hAnsi="Times New Roman"/>
              </w:rPr>
              <w:t>Kapitalmarknadsfinansiering från företag inom samma företagsgrupp ska bara rapporteras på individuell nivå eller undergruppsnivå.</w:t>
            </w:r>
          </w:p>
          <w:p w14:paraId="66D6CCE8" w14:textId="326011FF" w:rsidR="00274EE9" w:rsidRPr="00C06E54" w:rsidRDefault="00274EE9" w:rsidP="003439C5">
            <w:pPr>
              <w:spacing w:before="0" w:after="0"/>
              <w:rPr>
                <w:rFonts w:ascii="Times New Roman" w:hAnsi="Times New Roman"/>
                <w:b/>
                <w:szCs w:val="20"/>
                <w:u w:val="single"/>
                <w:lang w:eastAsia="en-GB"/>
              </w:rPr>
            </w:pPr>
          </w:p>
        </w:tc>
      </w:tr>
    </w:tbl>
    <w:p w14:paraId="7D6D2F2B" w14:textId="77777777" w:rsidR="003439C5" w:rsidRPr="00C06E54" w:rsidRDefault="003439C5" w:rsidP="00927DCB">
      <w:pPr>
        <w:pStyle w:val="InstructionsText2"/>
        <w:numPr>
          <w:ilvl w:val="0"/>
          <w:numId w:val="0"/>
        </w:numPr>
        <w:ind w:left="714"/>
      </w:pPr>
    </w:p>
    <w:p w14:paraId="4C97EC73" w14:textId="0F43F4E9" w:rsidR="00A344AA" w:rsidRPr="00C06E54" w:rsidRDefault="00A344AA" w:rsidP="00927DCB">
      <w:pPr>
        <w:pStyle w:val="InstructionsText2"/>
        <w:numPr>
          <w:ilvl w:val="0"/>
          <w:numId w:val="13"/>
        </w:numPr>
        <w:rPr>
          <w:u w:val="none"/>
        </w:rPr>
      </w:pPr>
      <w:r w:rsidRPr="00C06E54">
        <w:rPr>
          <w:u w:val="none"/>
        </w:rPr>
        <w:t>För varje produkttyp ska instituten rapportera alla kolumnerna 0010–0050.</w:t>
      </w:r>
    </w:p>
    <w:p w14:paraId="2935E76B" w14:textId="502C6FE3" w:rsidR="00792E65" w:rsidRPr="00C06E54" w:rsidRDefault="00792E65" w:rsidP="00927DCB">
      <w:pPr>
        <w:pStyle w:val="InstructionsText2"/>
        <w:numPr>
          <w:ilvl w:val="0"/>
          <w:numId w:val="13"/>
        </w:numPr>
        <w:rPr>
          <w:u w:val="none"/>
        </w:rPr>
      </w:pPr>
      <w:r w:rsidRPr="00C06E54">
        <w:rPr>
          <w:u w:val="none"/>
        </w:rPr>
        <w:t xml:space="preserve">Siffrorna som rapporteras i raderna 1. ”Inlåning från allmänheten”, 2.1 ”Kapitalmarknadsfinansiering utan säkerhet”, 2.2 ”Kapitalmarknadsfinansiering mot säkerhet” kan inkludera mer övergripande produkttyper än ”varav”-posterna. </w:t>
      </w:r>
    </w:p>
    <w:p w14:paraId="5C94FB4A" w14:textId="649B48DC" w:rsidR="008E720B" w:rsidRPr="00C06E54" w:rsidRDefault="008E720B" w:rsidP="008E720B">
      <w:pPr>
        <w:pStyle w:val="InstructionsText2"/>
        <w:numPr>
          <w:ilvl w:val="0"/>
          <w:numId w:val="13"/>
        </w:numPr>
        <w:rPr>
          <w:u w:val="none"/>
        </w:rPr>
      </w:pPr>
      <w:r w:rsidRPr="00C06E54">
        <w:rPr>
          <w:u w:val="none"/>
        </w:rPr>
        <w:t>Aktier ska inte rapporteras i den här mallen.</w:t>
      </w:r>
    </w:p>
    <w:p w14:paraId="2FED639D" w14:textId="77777777" w:rsidR="00A344AA" w:rsidRPr="00C06E54" w:rsidRDefault="00A344AA" w:rsidP="00927DCB">
      <w:pPr>
        <w:pStyle w:val="InstructionsText2"/>
        <w:numPr>
          <w:ilvl w:val="0"/>
          <w:numId w:val="13"/>
        </w:numPr>
        <w:rPr>
          <w:u w:val="none"/>
        </w:rPr>
      </w:pPr>
      <w:r w:rsidRPr="00C06E54">
        <w:rPr>
          <w:u w:val="none"/>
        </w:rPr>
        <w:t>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C06E5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C06E54" w:rsidRDefault="00A344AA" w:rsidP="00ED2EE2">
            <w:pPr>
              <w:spacing w:before="0" w:after="0"/>
              <w:jc w:val="left"/>
              <w:rPr>
                <w:rStyle w:val="InstructionsTabelleText"/>
                <w:rFonts w:ascii="Times New Roman" w:hAnsi="Times New Roman"/>
                <w:szCs w:val="20"/>
              </w:rPr>
            </w:pPr>
            <w:r w:rsidRPr="00C06E54">
              <w:rPr>
                <w:rStyle w:val="InstructionsTabelleText"/>
                <w:rFonts w:ascii="Times New Roman" w:hAnsi="Times New Roman"/>
              </w:rPr>
              <w:t>Kolumn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C06E54" w:rsidRDefault="00A344AA" w:rsidP="00ED2EE2">
            <w:pPr>
              <w:spacing w:before="0" w:after="0"/>
              <w:jc w:val="left"/>
              <w:rPr>
                <w:rStyle w:val="InstructionsTabelleText"/>
                <w:rFonts w:ascii="Times New Roman" w:hAnsi="Times New Roman"/>
                <w:szCs w:val="20"/>
              </w:rPr>
            </w:pPr>
            <w:r w:rsidRPr="00C06E54">
              <w:rPr>
                <w:rStyle w:val="InstructionsTabelleText"/>
                <w:rFonts w:ascii="Times New Roman" w:hAnsi="Times New Roman"/>
              </w:rPr>
              <w:t>Rättsliga hänvisningar och instruktioner</w:t>
            </w:r>
          </w:p>
        </w:tc>
      </w:tr>
      <w:tr w:rsidR="00A344AA" w:rsidRPr="00C06E5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C06E54" w:rsidRDefault="00C90DF5">
            <w:pPr>
              <w:spacing w:before="0" w:after="0"/>
              <w:jc w:val="left"/>
              <w:rPr>
                <w:rFonts w:ascii="Times New Roman" w:hAnsi="Times New Roman"/>
                <w:color w:val="000000"/>
                <w:szCs w:val="20"/>
              </w:rPr>
            </w:pPr>
            <w:r w:rsidRPr="00C06E54">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C06E54" w:rsidRDefault="00A344AA" w:rsidP="00476C32">
            <w:pPr>
              <w:spacing w:before="0" w:after="0"/>
              <w:rPr>
                <w:rFonts w:ascii="Times New Roman" w:hAnsi="Times New Roman"/>
                <w:b/>
                <w:szCs w:val="20"/>
                <w:u w:val="single"/>
              </w:rPr>
            </w:pPr>
            <w:r w:rsidRPr="00C06E54">
              <w:rPr>
                <w:rFonts w:ascii="Times New Roman" w:hAnsi="Times New Roman"/>
                <w:b/>
                <w:u w:val="single"/>
              </w:rPr>
              <w:t>Erhållet bokfört belopp</w:t>
            </w:r>
          </w:p>
          <w:p w14:paraId="08CE1037" w14:textId="77777777" w:rsidR="00A344AA" w:rsidRPr="00C06E54" w:rsidRDefault="00A344AA" w:rsidP="00476C32">
            <w:pPr>
              <w:spacing w:before="0" w:after="0"/>
              <w:rPr>
                <w:rFonts w:ascii="Times New Roman" w:hAnsi="Times New Roman"/>
                <w:b/>
                <w:szCs w:val="20"/>
                <w:u w:val="single"/>
                <w:lang w:eastAsia="en-GB"/>
              </w:rPr>
            </w:pPr>
          </w:p>
          <w:p w14:paraId="3436EC68" w14:textId="1D822E5D" w:rsidR="00A344AA" w:rsidRPr="00C06E54" w:rsidRDefault="00A344AA" w:rsidP="00476C32">
            <w:pPr>
              <w:spacing w:before="0" w:after="0"/>
              <w:rPr>
                <w:szCs w:val="20"/>
              </w:rPr>
            </w:pPr>
            <w:r w:rsidRPr="00C06E54">
              <w:rPr>
                <w:rFonts w:ascii="Times New Roman" w:hAnsi="Times New Roman"/>
              </w:rPr>
              <w:t xml:space="preserve">Det bokförda finansieringsbelopp som erhållits för var och en av de produkttyper som anges i kolumnen ”Produktnamn” ska rapporteras i kolumn 0010 i mallen. </w:t>
            </w:r>
          </w:p>
          <w:p w14:paraId="6450D0D1" w14:textId="583458BA" w:rsidR="00FC506E" w:rsidRPr="00C06E54" w:rsidRDefault="00FC506E" w:rsidP="00476C32">
            <w:pPr>
              <w:spacing w:before="0" w:after="0"/>
              <w:rPr>
                <w:rFonts w:ascii="Times New Roman" w:hAnsi="Times New Roman"/>
                <w:b/>
                <w:szCs w:val="20"/>
                <w:u w:val="single"/>
                <w:lang w:eastAsia="en-GB"/>
              </w:rPr>
            </w:pPr>
          </w:p>
        </w:tc>
      </w:tr>
      <w:tr w:rsidR="00A344AA" w:rsidRPr="00C06E5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C06E54" w:rsidRDefault="00C90DF5">
            <w:pPr>
              <w:spacing w:before="0" w:after="0"/>
              <w:jc w:val="left"/>
              <w:rPr>
                <w:rFonts w:ascii="Times New Roman" w:hAnsi="Times New Roman"/>
                <w:color w:val="000000"/>
                <w:szCs w:val="20"/>
              </w:rPr>
            </w:pPr>
            <w:r w:rsidRPr="00C06E54">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C06E54" w:rsidRDefault="00A344AA" w:rsidP="00476C32">
            <w:pPr>
              <w:spacing w:before="0" w:after="0"/>
              <w:rPr>
                <w:rFonts w:ascii="Times New Roman" w:hAnsi="Times New Roman"/>
                <w:b/>
                <w:szCs w:val="20"/>
                <w:u w:val="single"/>
              </w:rPr>
            </w:pPr>
            <w:r w:rsidRPr="00C06E54">
              <w:rPr>
                <w:rFonts w:ascii="Times New Roman" w:hAnsi="Times New Roman"/>
                <w:b/>
                <w:u w:val="single"/>
              </w:rPr>
              <w:t>Belopp som omfattas av ett insättningsgarantisystem i enlighet med direktiv 2014/49/EU eller av ett likvärdigt insättningsgarantisystem i ett tredjeland</w:t>
            </w:r>
          </w:p>
          <w:p w14:paraId="3404C8DD" w14:textId="77777777" w:rsidR="00A344AA" w:rsidRPr="00C06E54" w:rsidRDefault="00A344AA" w:rsidP="00763448">
            <w:pPr>
              <w:spacing w:before="0" w:after="0"/>
              <w:rPr>
                <w:rFonts w:ascii="Times New Roman" w:hAnsi="Times New Roman"/>
                <w:b/>
                <w:szCs w:val="20"/>
                <w:u w:val="single"/>
                <w:lang w:eastAsia="en-GB"/>
              </w:rPr>
            </w:pPr>
          </w:p>
          <w:p w14:paraId="369A8E24" w14:textId="352C207D" w:rsidR="00A344AA" w:rsidRPr="00C06E54" w:rsidRDefault="00A344AA" w:rsidP="00490B62">
            <w:pPr>
              <w:spacing w:before="0" w:after="0"/>
              <w:rPr>
                <w:rFonts w:ascii="Times New Roman" w:hAnsi="Times New Roman"/>
                <w:szCs w:val="20"/>
              </w:rPr>
            </w:pPr>
            <w:r w:rsidRPr="00C06E54">
              <w:rPr>
                <w:rFonts w:ascii="Times New Roman" w:hAnsi="Times New Roman"/>
              </w:rPr>
              <w:t xml:space="preserve">Den del av det totala finansieringsbeloppet för var och en av de produkttyper som anges i kolumnen ”Produktnamn” som rapporteras i kolumn 0010 som omfattas av ett insättningsgarantisystem enligt direktiv 2014/49/EU eller av ett likvärdigt insättningsgarantisystem i ett tredjeland. </w:t>
            </w:r>
          </w:p>
          <w:p w14:paraId="624BDC55" w14:textId="77777777" w:rsidR="00A344AA" w:rsidRPr="00C06E54" w:rsidRDefault="00A344AA" w:rsidP="00490B62">
            <w:pPr>
              <w:spacing w:before="0" w:after="0"/>
              <w:rPr>
                <w:rFonts w:ascii="Times New Roman" w:hAnsi="Times New Roman"/>
                <w:szCs w:val="20"/>
                <w:lang w:eastAsia="en-GB"/>
              </w:rPr>
            </w:pPr>
          </w:p>
          <w:p w14:paraId="1350A03E" w14:textId="7A0A8921" w:rsidR="00A344AA" w:rsidRPr="00C06E54" w:rsidRDefault="00A344AA" w:rsidP="00FA63BD">
            <w:pPr>
              <w:spacing w:before="0" w:after="0"/>
              <w:rPr>
                <w:rFonts w:ascii="Times New Roman" w:hAnsi="Times New Roman"/>
                <w:szCs w:val="20"/>
              </w:rPr>
            </w:pPr>
            <w:r w:rsidRPr="00C06E54">
              <w:rPr>
                <w:rFonts w:ascii="Times New Roman" w:hAnsi="Times New Roman"/>
              </w:rPr>
              <w:t>Anm. De belopp som rapporteras i kolumnerna 0020 och 0030 för var och en av de produktkategorier som anges i kolumnen ”Produktnamn” ska vara lika med det totala erhållna belopp som rapporteras i kolumn 0010.</w:t>
            </w:r>
          </w:p>
          <w:p w14:paraId="17202B90" w14:textId="77777777" w:rsidR="00A344AA" w:rsidRPr="00C06E54" w:rsidRDefault="00A344AA" w:rsidP="00476C32">
            <w:pPr>
              <w:spacing w:before="0" w:after="0"/>
              <w:rPr>
                <w:rFonts w:ascii="Times New Roman" w:hAnsi="Times New Roman"/>
                <w:b/>
                <w:szCs w:val="20"/>
                <w:u w:val="single"/>
                <w:lang w:eastAsia="en-GB"/>
              </w:rPr>
            </w:pPr>
          </w:p>
        </w:tc>
      </w:tr>
      <w:tr w:rsidR="00A344AA" w:rsidRPr="00C06E5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C06E54" w:rsidRDefault="00A344AA">
            <w:pPr>
              <w:spacing w:before="0" w:after="0"/>
              <w:jc w:val="left"/>
              <w:rPr>
                <w:rFonts w:ascii="Times New Roman" w:hAnsi="Times New Roman"/>
                <w:color w:val="000000"/>
                <w:szCs w:val="20"/>
              </w:rPr>
            </w:pPr>
            <w:r w:rsidRPr="00C06E54">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C06E54" w:rsidRDefault="00A344AA" w:rsidP="00476C32">
            <w:pPr>
              <w:spacing w:before="0" w:after="0"/>
              <w:rPr>
                <w:rFonts w:ascii="Times New Roman" w:hAnsi="Times New Roman"/>
                <w:b/>
                <w:szCs w:val="20"/>
                <w:u w:val="single"/>
              </w:rPr>
            </w:pPr>
            <w:r w:rsidRPr="00C06E54">
              <w:rPr>
                <w:rFonts w:ascii="Times New Roman" w:hAnsi="Times New Roman"/>
                <w:b/>
                <w:u w:val="single"/>
              </w:rPr>
              <w:t>Belopp som inte omfattas av ett insättningsgarantisystem i enlighet med direktiv 2014/49/EU eller av ett likvärdigt insättningsgarantisystem i ett tredjeland</w:t>
            </w:r>
          </w:p>
          <w:p w14:paraId="5D57127C" w14:textId="77777777" w:rsidR="00A344AA" w:rsidRPr="00C06E54" w:rsidRDefault="00A344AA" w:rsidP="00476C32">
            <w:pPr>
              <w:spacing w:before="0" w:after="0"/>
              <w:rPr>
                <w:rFonts w:ascii="Times New Roman" w:hAnsi="Times New Roman"/>
                <w:b/>
                <w:szCs w:val="20"/>
                <w:u w:val="single"/>
                <w:lang w:eastAsia="en-GB"/>
              </w:rPr>
            </w:pPr>
          </w:p>
          <w:p w14:paraId="706D0911" w14:textId="78E734DF" w:rsidR="00A344AA" w:rsidRPr="00C06E54" w:rsidRDefault="00A344AA" w:rsidP="00763448">
            <w:pPr>
              <w:spacing w:before="0" w:after="0"/>
              <w:rPr>
                <w:rFonts w:ascii="Times New Roman" w:hAnsi="Times New Roman"/>
                <w:szCs w:val="20"/>
              </w:rPr>
            </w:pPr>
            <w:r w:rsidRPr="00C06E54">
              <w:rPr>
                <w:rFonts w:ascii="Times New Roman" w:hAnsi="Times New Roman"/>
              </w:rPr>
              <w:t xml:space="preserve">Den del av det totala finansieringsbeloppet för var och en av de produkttyper som anges i kolumnen ”Produktnamn” som rapporteras i kolumn 0010 som </w:t>
            </w:r>
            <w:r w:rsidRPr="00C06E54">
              <w:rPr>
                <w:rFonts w:ascii="Times New Roman" w:hAnsi="Times New Roman"/>
                <w:u w:val="single"/>
              </w:rPr>
              <w:t>inte</w:t>
            </w:r>
            <w:r w:rsidRPr="00C06E54">
              <w:rPr>
                <w:rFonts w:ascii="Times New Roman" w:hAnsi="Times New Roman"/>
              </w:rPr>
              <w:t xml:space="preserve"> omfattas av ett insättningsgarantisystem enligt direktiv 2014/49/EU eller av ett likvärdigt insättningsgarantisystem i ett tredjeland. </w:t>
            </w:r>
          </w:p>
          <w:p w14:paraId="2201D234" w14:textId="77777777" w:rsidR="00A344AA" w:rsidRPr="00C06E54" w:rsidRDefault="00A344AA" w:rsidP="00490B62">
            <w:pPr>
              <w:spacing w:before="0" w:after="0"/>
              <w:rPr>
                <w:rFonts w:ascii="Times New Roman" w:hAnsi="Times New Roman"/>
                <w:szCs w:val="20"/>
                <w:lang w:eastAsia="en-GB"/>
              </w:rPr>
            </w:pPr>
          </w:p>
          <w:p w14:paraId="3AE9E67D" w14:textId="58E44A91" w:rsidR="00A344AA" w:rsidRPr="00C06E54" w:rsidRDefault="00A344AA" w:rsidP="00490B62">
            <w:pPr>
              <w:spacing w:before="0" w:after="0"/>
              <w:rPr>
                <w:rFonts w:ascii="Times New Roman" w:hAnsi="Times New Roman"/>
                <w:szCs w:val="20"/>
              </w:rPr>
            </w:pPr>
            <w:r w:rsidRPr="00C06E54">
              <w:rPr>
                <w:rFonts w:ascii="Times New Roman" w:hAnsi="Times New Roman"/>
              </w:rPr>
              <w:lastRenderedPageBreak/>
              <w:t>Anm. De belopp som rapporteras i kolumnerna 0020 och 0030 för var och en av de produkttyper som anges i kolumnen ”Produktnamn” ska vara lika med det totala erhållna belopp som rapporteras i kolumn 0010.</w:t>
            </w:r>
          </w:p>
          <w:p w14:paraId="3A3C1BD5" w14:textId="77777777" w:rsidR="00A344AA" w:rsidRPr="00C06E54" w:rsidRDefault="00A344AA" w:rsidP="00476C32">
            <w:pPr>
              <w:spacing w:before="0" w:after="0"/>
              <w:rPr>
                <w:rFonts w:ascii="Times New Roman" w:hAnsi="Times New Roman"/>
                <w:b/>
                <w:szCs w:val="20"/>
                <w:u w:val="single"/>
                <w:lang w:eastAsia="en-GB"/>
              </w:rPr>
            </w:pPr>
          </w:p>
        </w:tc>
      </w:tr>
      <w:tr w:rsidR="00A344AA" w:rsidRPr="00C06E54" w14:paraId="451E213E" w14:textId="77777777" w:rsidTr="005B086D">
        <w:trPr>
          <w:trHeight w:val="459"/>
        </w:trPr>
        <w:tc>
          <w:tcPr>
            <w:tcW w:w="729" w:type="pct"/>
            <w:shd w:val="clear" w:color="auto" w:fill="auto"/>
            <w:noWrap/>
          </w:tcPr>
          <w:p w14:paraId="5C9786F2" w14:textId="69D66EDF" w:rsidR="00A344AA" w:rsidRPr="00C06E54" w:rsidRDefault="00C90DF5" w:rsidP="00ED2EE2">
            <w:pPr>
              <w:spacing w:before="0" w:after="0"/>
              <w:jc w:val="left"/>
              <w:rPr>
                <w:rFonts w:ascii="Times New Roman" w:hAnsi="Times New Roman"/>
                <w:color w:val="000000"/>
                <w:szCs w:val="20"/>
              </w:rPr>
            </w:pPr>
            <w:r w:rsidRPr="00C06E54">
              <w:rPr>
                <w:rFonts w:ascii="Times New Roman" w:hAnsi="Times New Roman"/>
                <w:color w:val="000000"/>
              </w:rPr>
              <w:lastRenderedPageBreak/>
              <w:t>0040</w:t>
            </w:r>
          </w:p>
        </w:tc>
        <w:tc>
          <w:tcPr>
            <w:tcW w:w="4271" w:type="pct"/>
            <w:shd w:val="clear" w:color="auto" w:fill="auto"/>
          </w:tcPr>
          <w:p w14:paraId="3C20E7C7" w14:textId="1D00688B" w:rsidR="00A344AA" w:rsidRPr="00C06E54" w:rsidRDefault="00A344AA" w:rsidP="00476C32">
            <w:pPr>
              <w:spacing w:before="0" w:after="0"/>
              <w:rPr>
                <w:rFonts w:ascii="Times New Roman" w:hAnsi="Times New Roman"/>
                <w:b/>
                <w:szCs w:val="20"/>
                <w:u w:val="single"/>
              </w:rPr>
            </w:pPr>
            <w:r w:rsidRPr="00C06E54">
              <w:rPr>
                <w:rFonts w:ascii="Times New Roman" w:hAnsi="Times New Roman"/>
                <w:b/>
                <w:u w:val="single"/>
              </w:rPr>
              <w:t>Viktad genomsnittlig ursprunglig löptid</w:t>
            </w:r>
          </w:p>
          <w:p w14:paraId="55688C6B" w14:textId="77777777" w:rsidR="00A344AA" w:rsidRPr="00C06E54" w:rsidRDefault="00A344AA" w:rsidP="00476C32">
            <w:pPr>
              <w:spacing w:before="0" w:after="0"/>
              <w:rPr>
                <w:rFonts w:ascii="Times New Roman" w:hAnsi="Times New Roman"/>
                <w:b/>
                <w:szCs w:val="20"/>
                <w:u w:val="single"/>
                <w:lang w:eastAsia="en-GB"/>
              </w:rPr>
            </w:pPr>
          </w:p>
          <w:p w14:paraId="26DFB785" w14:textId="490D8ABF" w:rsidR="00A344AA" w:rsidRPr="00C06E54" w:rsidRDefault="00A344AA" w:rsidP="00763448">
            <w:pPr>
              <w:spacing w:before="0" w:after="0"/>
              <w:rPr>
                <w:rFonts w:ascii="Times New Roman" w:hAnsi="Times New Roman"/>
                <w:szCs w:val="20"/>
              </w:rPr>
            </w:pPr>
            <w:r w:rsidRPr="00C06E54">
              <w:rPr>
                <w:rFonts w:ascii="Times New Roman" w:hAnsi="Times New Roman"/>
              </w:rPr>
              <w:t>En viktad genomsnittlig ursprunglig löptid (i dagar) för den finansiering som rapporteras i kolumn 0010 från de produkttyper som anges i kolumnen ”Produktnamn” ska anges i kolumn 0040.</w:t>
            </w:r>
          </w:p>
          <w:p w14:paraId="6F902A34" w14:textId="77777777" w:rsidR="00A344AA" w:rsidRPr="00C06E54" w:rsidRDefault="00A344AA" w:rsidP="00490B62">
            <w:pPr>
              <w:spacing w:before="0" w:after="0"/>
              <w:rPr>
                <w:rFonts w:ascii="Times New Roman" w:hAnsi="Times New Roman"/>
                <w:szCs w:val="20"/>
                <w:lang w:eastAsia="en-GB"/>
              </w:rPr>
            </w:pPr>
          </w:p>
          <w:p w14:paraId="4993C5F5" w14:textId="1018E08A" w:rsidR="00A344AA" w:rsidRPr="00C06E54" w:rsidRDefault="00B06740" w:rsidP="00476C32">
            <w:pPr>
              <w:spacing w:before="0" w:after="0"/>
              <w:rPr>
                <w:rFonts w:ascii="Times New Roman" w:hAnsi="Times New Roman"/>
                <w:szCs w:val="20"/>
              </w:rPr>
            </w:pPr>
            <w:r w:rsidRPr="00C06E54">
              <w:rPr>
                <w:rFonts w:ascii="Times New Roman" w:hAnsi="Times New Roman"/>
              </w:rPr>
              <w:t>Den viktade genomsnittliga ursprungliga löptiden ska beräknas som den genomsnittliga ursprungliga löptiden (i dagar) för finansieringen för den produkttypen. Genomsnittet ska vara storleksviktat, baserat på storleken på de olika finansieringsbelopp som erhållits i proportion till den totala finansiering som erhållits från alla emissioner av den produkttypen.</w:t>
            </w:r>
          </w:p>
        </w:tc>
      </w:tr>
      <w:tr w:rsidR="00A344AA" w:rsidRPr="00C06E54" w14:paraId="42EE78BF" w14:textId="77777777" w:rsidTr="00ED2EE2">
        <w:trPr>
          <w:trHeight w:val="1020"/>
        </w:trPr>
        <w:tc>
          <w:tcPr>
            <w:tcW w:w="729" w:type="pct"/>
            <w:shd w:val="clear" w:color="auto" w:fill="auto"/>
            <w:noWrap/>
          </w:tcPr>
          <w:p w14:paraId="2FEE2E2D" w14:textId="0191775C" w:rsidR="00A344AA" w:rsidRPr="00C06E54" w:rsidRDefault="00A344AA" w:rsidP="00ED2EE2">
            <w:pPr>
              <w:spacing w:before="0" w:after="0"/>
              <w:jc w:val="left"/>
              <w:rPr>
                <w:rFonts w:ascii="Times New Roman" w:hAnsi="Times New Roman"/>
                <w:color w:val="000000"/>
                <w:szCs w:val="20"/>
              </w:rPr>
            </w:pPr>
            <w:r w:rsidRPr="00C06E54">
              <w:rPr>
                <w:rFonts w:ascii="Times New Roman" w:hAnsi="Times New Roman"/>
                <w:color w:val="000000"/>
              </w:rPr>
              <w:t>0050</w:t>
            </w:r>
          </w:p>
        </w:tc>
        <w:tc>
          <w:tcPr>
            <w:tcW w:w="4271" w:type="pct"/>
            <w:shd w:val="clear" w:color="auto" w:fill="auto"/>
          </w:tcPr>
          <w:p w14:paraId="5F6E4857" w14:textId="77777777" w:rsidR="00A344AA" w:rsidRPr="00C06E54" w:rsidRDefault="00A344AA" w:rsidP="00476C32">
            <w:pPr>
              <w:spacing w:before="0" w:after="0"/>
              <w:rPr>
                <w:rFonts w:ascii="Times New Roman" w:hAnsi="Times New Roman"/>
                <w:b/>
                <w:szCs w:val="20"/>
                <w:u w:val="single"/>
              </w:rPr>
            </w:pPr>
            <w:r w:rsidRPr="00C06E54">
              <w:rPr>
                <w:rFonts w:ascii="Times New Roman" w:hAnsi="Times New Roman"/>
                <w:b/>
                <w:u w:val="single"/>
              </w:rPr>
              <w:t>Viktad genomsnittlig återstående löptid</w:t>
            </w:r>
          </w:p>
          <w:p w14:paraId="24DA2333" w14:textId="77777777" w:rsidR="00A344AA" w:rsidRPr="00C06E54" w:rsidRDefault="00A344AA" w:rsidP="00476C32">
            <w:pPr>
              <w:spacing w:before="0" w:after="0"/>
              <w:rPr>
                <w:rFonts w:ascii="Times New Roman" w:hAnsi="Times New Roman"/>
                <w:b/>
                <w:szCs w:val="20"/>
                <w:u w:val="single"/>
                <w:lang w:eastAsia="en-GB"/>
              </w:rPr>
            </w:pPr>
          </w:p>
          <w:p w14:paraId="5F851D17" w14:textId="279094B5" w:rsidR="00A344AA" w:rsidRPr="00C06E54" w:rsidRDefault="00A344AA" w:rsidP="00763448">
            <w:pPr>
              <w:spacing w:before="0" w:after="0"/>
              <w:rPr>
                <w:rFonts w:ascii="Times New Roman" w:hAnsi="Times New Roman"/>
                <w:szCs w:val="20"/>
              </w:rPr>
            </w:pPr>
            <w:r w:rsidRPr="00C06E54">
              <w:rPr>
                <w:rFonts w:ascii="Times New Roman" w:hAnsi="Times New Roman"/>
              </w:rPr>
              <w:t>En viktad genomsnittlig återstående löptid (i dagar) för den erhållna finansiering som rapporteras i kolumn 0010 från de produkttyper som anges i kolumnen ”Produktnamn” ska anges i kolumn 0050.</w:t>
            </w:r>
          </w:p>
          <w:p w14:paraId="10B9D2BA" w14:textId="77777777" w:rsidR="00A344AA" w:rsidRPr="00C06E54" w:rsidRDefault="00A344AA" w:rsidP="00490B62">
            <w:pPr>
              <w:spacing w:before="0" w:after="0"/>
              <w:rPr>
                <w:rFonts w:ascii="Times New Roman" w:hAnsi="Times New Roman"/>
                <w:szCs w:val="20"/>
                <w:lang w:eastAsia="en-GB"/>
              </w:rPr>
            </w:pPr>
          </w:p>
          <w:p w14:paraId="7D5D34BD" w14:textId="7C13E3AC" w:rsidR="00A344AA" w:rsidRPr="00C06E54" w:rsidRDefault="00B06740" w:rsidP="00476C32">
            <w:pPr>
              <w:spacing w:before="0" w:after="0"/>
              <w:rPr>
                <w:rFonts w:ascii="Times New Roman" w:hAnsi="Times New Roman"/>
                <w:szCs w:val="20"/>
              </w:rPr>
            </w:pPr>
            <w:r w:rsidRPr="00C06E54">
              <w:rPr>
                <w:rFonts w:ascii="Times New Roman" w:hAnsi="Times New Roman"/>
              </w:rPr>
              <w:t>Den viktade genomsnittliga återstående löptiden ska beräknas som den genomsnittliga löptiden (i dagar) för finansieringen för den produkttypen. Genomsnittet ska vara storleksviktat, baserat på storleken på de olika finansieringsbelopp som erhållits i proportion till den totala finansiering som erhållits från alla emissioner av den produkttypen.</w:t>
            </w:r>
          </w:p>
          <w:p w14:paraId="7FC1A546" w14:textId="77777777" w:rsidR="00A344AA" w:rsidRPr="00C06E54" w:rsidRDefault="00A344AA" w:rsidP="00476C32">
            <w:pPr>
              <w:spacing w:before="0" w:after="0"/>
              <w:rPr>
                <w:rFonts w:ascii="Times New Roman" w:hAnsi="Times New Roman"/>
                <w:b/>
                <w:szCs w:val="20"/>
                <w:u w:val="single"/>
                <w:lang w:eastAsia="en-GB"/>
              </w:rPr>
            </w:pPr>
          </w:p>
        </w:tc>
      </w:tr>
    </w:tbl>
    <w:p w14:paraId="46B6DB4F" w14:textId="77777777" w:rsidR="00A344AA" w:rsidRPr="00C06E54" w:rsidRDefault="00A344AA"/>
    <w:p w14:paraId="079161C6" w14:textId="77777777" w:rsidR="00D02FE4" w:rsidRPr="00C06E54" w:rsidRDefault="00181260" w:rsidP="00DD5897">
      <w:pPr>
        <w:pStyle w:val="Instructionsberschrift2"/>
        <w:numPr>
          <w:ilvl w:val="1"/>
          <w:numId w:val="2"/>
        </w:numPr>
        <w:spacing w:before="0"/>
        <w:rPr>
          <w:rFonts w:ascii="Times New Roman" w:hAnsi="Times New Roman" w:cs="Times New Roman"/>
          <w:szCs w:val="20"/>
        </w:rPr>
      </w:pPr>
      <w:r w:rsidRPr="00C06E54">
        <w:rPr>
          <w:rFonts w:ascii="Times New Roman" w:hAnsi="Times New Roman"/>
        </w:rPr>
        <w:t>Priser för olika finansieringstider (C 69.00)</w:t>
      </w:r>
    </w:p>
    <w:p w14:paraId="691ACAEA" w14:textId="381B9664" w:rsidR="002C154A" w:rsidRPr="00C06E54" w:rsidRDefault="00DD76F0" w:rsidP="00927DCB">
      <w:pPr>
        <w:pStyle w:val="InstructionsText2"/>
        <w:numPr>
          <w:ilvl w:val="0"/>
          <w:numId w:val="7"/>
        </w:numPr>
        <w:rPr>
          <w:u w:val="none"/>
        </w:rPr>
      </w:pPr>
      <w:r w:rsidRPr="00C06E54">
        <w:rPr>
          <w:u w:val="none"/>
        </w:rPr>
        <w:t>Institut ska rapportera informationen om transaktionsvolym och priser som de betalat för finansiering under rapporteringsperioden och som kvarstår efter rapporteringsperiodens slut i mall C 69.00 i följande ursprungliga löptider:</w:t>
      </w:r>
    </w:p>
    <w:p w14:paraId="43E76F50" w14:textId="4AC64B2B" w:rsidR="0019013A" w:rsidRPr="00C06E54" w:rsidRDefault="00C13077" w:rsidP="00927DCB">
      <w:pPr>
        <w:pStyle w:val="InstructionsText2"/>
        <w:numPr>
          <w:ilvl w:val="1"/>
          <w:numId w:val="13"/>
        </w:numPr>
        <w:ind w:left="993" w:hanging="284"/>
        <w:rPr>
          <w:u w:val="none"/>
        </w:rPr>
      </w:pPr>
      <w:r w:rsidRPr="00C06E54">
        <w:rPr>
          <w:u w:val="none"/>
        </w:rPr>
        <w:tab/>
        <w:t>1 dag i kolumnerna 0010 och 0020.</w:t>
      </w:r>
    </w:p>
    <w:p w14:paraId="20A63704" w14:textId="215042ED" w:rsidR="0019013A" w:rsidRPr="00C06E54" w:rsidRDefault="00325582" w:rsidP="00927DCB">
      <w:pPr>
        <w:pStyle w:val="InstructionsText2"/>
        <w:numPr>
          <w:ilvl w:val="0"/>
          <w:numId w:val="0"/>
        </w:numPr>
        <w:ind w:left="714"/>
        <w:rPr>
          <w:u w:val="none"/>
        </w:rPr>
      </w:pPr>
      <w:r w:rsidRPr="00C06E54">
        <w:rPr>
          <w:u w:val="none"/>
        </w:rPr>
        <w:t>(b)</w:t>
      </w:r>
      <w:r w:rsidRPr="00C06E54">
        <w:rPr>
          <w:u w:val="none"/>
        </w:rPr>
        <w:tab/>
        <w:t>Mer än 1 dag och mindre eller lika med 1 vecka (kolumnerna 0030 och 0040).</w:t>
      </w:r>
    </w:p>
    <w:p w14:paraId="23995DF6" w14:textId="5ED92FC7" w:rsidR="0019013A" w:rsidRPr="00C06E54" w:rsidRDefault="00325582" w:rsidP="00927DCB">
      <w:pPr>
        <w:pStyle w:val="InstructionsText2"/>
        <w:numPr>
          <w:ilvl w:val="0"/>
          <w:numId w:val="0"/>
        </w:numPr>
        <w:ind w:left="714"/>
        <w:rPr>
          <w:u w:val="none"/>
        </w:rPr>
      </w:pPr>
      <w:r w:rsidRPr="00C06E54">
        <w:rPr>
          <w:u w:val="none"/>
        </w:rPr>
        <w:t>(c)</w:t>
      </w:r>
      <w:r w:rsidRPr="00C06E54">
        <w:rPr>
          <w:u w:val="none"/>
        </w:rPr>
        <w:tab/>
        <w:t>Mer än 1 vecka och mindre eller lika med 1 månad (kolumnerna 0050 och 0060).</w:t>
      </w:r>
    </w:p>
    <w:p w14:paraId="4DB6611C" w14:textId="459C7F5D" w:rsidR="0019013A" w:rsidRPr="00C06E54" w:rsidRDefault="00325582" w:rsidP="00927DCB">
      <w:pPr>
        <w:pStyle w:val="InstructionsText2"/>
        <w:numPr>
          <w:ilvl w:val="0"/>
          <w:numId w:val="0"/>
        </w:numPr>
        <w:ind w:left="714"/>
        <w:rPr>
          <w:u w:val="none"/>
        </w:rPr>
      </w:pPr>
      <w:r w:rsidRPr="00C06E54">
        <w:rPr>
          <w:u w:val="none"/>
        </w:rPr>
        <w:t>(d)</w:t>
      </w:r>
      <w:r w:rsidRPr="00C06E54">
        <w:rPr>
          <w:u w:val="none"/>
        </w:rPr>
        <w:tab/>
        <w:t>Mer än 1 månad och mindre eller lika med 3 månader (kolumnerna 0070 och 0080).</w:t>
      </w:r>
    </w:p>
    <w:p w14:paraId="68B85898" w14:textId="7209A964" w:rsidR="0019013A" w:rsidRPr="00C06E54" w:rsidRDefault="00325582" w:rsidP="00927DCB">
      <w:pPr>
        <w:pStyle w:val="InstructionsText2"/>
        <w:numPr>
          <w:ilvl w:val="0"/>
          <w:numId w:val="0"/>
        </w:numPr>
        <w:ind w:left="714"/>
        <w:rPr>
          <w:u w:val="none"/>
        </w:rPr>
      </w:pPr>
      <w:r w:rsidRPr="00C06E54">
        <w:rPr>
          <w:u w:val="none"/>
        </w:rPr>
        <w:t>(e)</w:t>
      </w:r>
      <w:r w:rsidRPr="00C06E54">
        <w:rPr>
          <w:u w:val="none"/>
        </w:rPr>
        <w:tab/>
        <w:t>Mer än 3 månader och mindre eller lika med 6 månader (kolumnerna 0090 och 0100).</w:t>
      </w:r>
    </w:p>
    <w:p w14:paraId="032BAEDE" w14:textId="28ACEB9C" w:rsidR="00172727" w:rsidRPr="00C06E54" w:rsidRDefault="00325582" w:rsidP="00927DCB">
      <w:pPr>
        <w:pStyle w:val="InstructionsText2"/>
        <w:numPr>
          <w:ilvl w:val="0"/>
          <w:numId w:val="0"/>
        </w:numPr>
        <w:ind w:left="714"/>
        <w:rPr>
          <w:u w:val="none"/>
        </w:rPr>
      </w:pPr>
      <w:r w:rsidRPr="00C06E54">
        <w:rPr>
          <w:u w:val="none"/>
        </w:rPr>
        <w:t>(f)</w:t>
      </w:r>
      <w:r w:rsidRPr="00C06E54">
        <w:rPr>
          <w:u w:val="none"/>
        </w:rPr>
        <w:tab/>
        <w:t>Mer än 6 månader och mindre eller lika med 1 år (kolumnerna 0110 och 0120).</w:t>
      </w:r>
    </w:p>
    <w:p w14:paraId="3DE0207D" w14:textId="4293226F" w:rsidR="0019013A" w:rsidRPr="00C06E54" w:rsidRDefault="00325582" w:rsidP="00927DCB">
      <w:pPr>
        <w:pStyle w:val="InstructionsText2"/>
        <w:numPr>
          <w:ilvl w:val="0"/>
          <w:numId w:val="0"/>
        </w:numPr>
        <w:ind w:left="714"/>
        <w:rPr>
          <w:u w:val="none"/>
        </w:rPr>
      </w:pPr>
      <w:r w:rsidRPr="00C06E54">
        <w:rPr>
          <w:u w:val="none"/>
        </w:rPr>
        <w:t>(g)</w:t>
      </w:r>
      <w:r w:rsidRPr="00C06E54">
        <w:rPr>
          <w:u w:val="none"/>
        </w:rPr>
        <w:tab/>
        <w:t>Mer än 1 år och mindre eller lika med 2 år (kolumnerna 0130 och 0140).</w:t>
      </w:r>
    </w:p>
    <w:p w14:paraId="5A4B2AD6" w14:textId="735BD35C" w:rsidR="0019013A" w:rsidRPr="00C06E54" w:rsidRDefault="00325582" w:rsidP="00927DCB">
      <w:pPr>
        <w:pStyle w:val="InstructionsText2"/>
        <w:numPr>
          <w:ilvl w:val="0"/>
          <w:numId w:val="0"/>
        </w:numPr>
        <w:ind w:left="714"/>
        <w:rPr>
          <w:u w:val="none"/>
        </w:rPr>
      </w:pPr>
      <w:r w:rsidRPr="00C06E54">
        <w:rPr>
          <w:u w:val="none"/>
        </w:rPr>
        <w:t>(h)</w:t>
      </w:r>
      <w:r w:rsidRPr="00C06E54">
        <w:rPr>
          <w:u w:val="none"/>
        </w:rPr>
        <w:tab/>
        <w:t>Mer än 2 år och mindre eller lika med 5 år (kolumnerna 0150 och 0160).</w:t>
      </w:r>
    </w:p>
    <w:p w14:paraId="10B732E8" w14:textId="28F9DAA4" w:rsidR="0019013A" w:rsidRPr="00C06E54" w:rsidRDefault="00325582" w:rsidP="00927DCB">
      <w:pPr>
        <w:pStyle w:val="InstructionsText2"/>
        <w:numPr>
          <w:ilvl w:val="0"/>
          <w:numId w:val="0"/>
        </w:numPr>
        <w:ind w:left="714"/>
        <w:rPr>
          <w:u w:val="none"/>
        </w:rPr>
      </w:pPr>
      <w:r w:rsidRPr="00C06E54">
        <w:rPr>
          <w:u w:val="none"/>
        </w:rPr>
        <w:t>(i)</w:t>
      </w:r>
      <w:r w:rsidRPr="00C06E54">
        <w:rPr>
          <w:u w:val="none"/>
        </w:rPr>
        <w:tab/>
        <w:t>Mer än 5 år och mindre eller lika med 10 år (kolumnerna 0170 och 0180).</w:t>
      </w:r>
    </w:p>
    <w:p w14:paraId="6F09AB94" w14:textId="32C85D80" w:rsidR="003B2555" w:rsidRPr="00C06E54" w:rsidRDefault="003B2555" w:rsidP="00927DCB">
      <w:pPr>
        <w:pStyle w:val="InstructionsText2"/>
        <w:numPr>
          <w:ilvl w:val="0"/>
          <w:numId w:val="0"/>
        </w:numPr>
        <w:ind w:left="714"/>
        <w:rPr>
          <w:u w:val="none"/>
        </w:rPr>
      </w:pPr>
      <w:r w:rsidRPr="00C06E54">
        <w:rPr>
          <w:u w:val="none"/>
        </w:rPr>
        <w:t>Vid valutaomvärderingar erhålls ingen ny finansiering i den ursprungliga valutan och det rapporterande institutet betalar ingenting utöver det ursprungliga priset vid den första insättningen av medlen. Positiva ökningar som orsakas av valutaomvärdering ska därför inte rapporteras i denna mall.</w:t>
      </w:r>
    </w:p>
    <w:p w14:paraId="4BB7D4B6" w14:textId="0E2FDCDB" w:rsidR="00A156BF" w:rsidRPr="00C06E54" w:rsidRDefault="00A156BF" w:rsidP="00927DCB">
      <w:pPr>
        <w:pStyle w:val="InstructionsText2"/>
        <w:numPr>
          <w:ilvl w:val="0"/>
          <w:numId w:val="0"/>
        </w:numPr>
        <w:ind w:left="714"/>
        <w:rPr>
          <w:u w:val="none"/>
        </w:rPr>
      </w:pPr>
      <w:r w:rsidRPr="00C06E54">
        <w:rPr>
          <w:u w:val="none"/>
        </w:rPr>
        <w:t>Finansieringskällor med en ursprunglig löptid på mer än tio år ska inte rapporteras.</w:t>
      </w:r>
    </w:p>
    <w:p w14:paraId="5F28959E" w14:textId="0A765413" w:rsidR="0019013A" w:rsidRPr="00C06E54" w:rsidRDefault="0019013A" w:rsidP="00927DCB">
      <w:pPr>
        <w:pStyle w:val="InstructionsText2"/>
        <w:numPr>
          <w:ilvl w:val="0"/>
          <w:numId w:val="20"/>
        </w:numPr>
        <w:rPr>
          <w:u w:val="none"/>
        </w:rPr>
      </w:pPr>
      <w:r w:rsidRPr="00C06E54">
        <w:rPr>
          <w:u w:val="none"/>
        </w:rPr>
        <w:lastRenderedPageBreak/>
        <w:t>Vid fastställandet av den erhållna finansieringens löptider ska instituten bortse ifrån perioden mellan affärsdag och likviddag, vilket innebär att en tremånadersskuld som ska regleras om två veckor ska rapporteras som en skuld med tre månaders löptid (kolumnerna 0070 och 0080).</w:t>
      </w:r>
    </w:p>
    <w:p w14:paraId="3300B61A" w14:textId="6083998F" w:rsidR="00A211F3" w:rsidRPr="00C06E54" w:rsidRDefault="002C154A" w:rsidP="009077D3">
      <w:pPr>
        <w:pStyle w:val="InstructionsText2"/>
        <w:numPr>
          <w:ilvl w:val="0"/>
          <w:numId w:val="20"/>
        </w:numPr>
        <w:rPr>
          <w:u w:val="none"/>
        </w:rPr>
      </w:pPr>
      <w:r w:rsidRPr="00C06E54">
        <w:rPr>
          <w:u w:val="none"/>
        </w:rPr>
        <w:t>Den spread som rapporteras i den vänstra kolumnen för varje tidsintervall ska vara någon av följande:</w:t>
      </w:r>
    </w:p>
    <w:p w14:paraId="3D56C5E8" w14:textId="20EB86DD" w:rsidR="0050708F" w:rsidRPr="00C06E54" w:rsidRDefault="0050708F" w:rsidP="00AE6A00">
      <w:pPr>
        <w:pStyle w:val="InstructionsText2"/>
        <w:numPr>
          <w:ilvl w:val="0"/>
          <w:numId w:val="20"/>
        </w:numPr>
        <w:rPr>
          <w:u w:val="none"/>
        </w:rPr>
      </w:pPr>
      <w:r w:rsidRPr="00C06E54">
        <w:rPr>
          <w:u w:val="none"/>
        </w:rPr>
        <w:t xml:space="preserve">den spread som institutet skulle betala för skulder med kortare löptid än ett år om det hade övergått till jämförelseindexet för dagslån för valutan i fråga senast vid stängning på transaktionsdagen, </w:t>
      </w:r>
    </w:p>
    <w:p w14:paraId="44F3338B" w14:textId="6511E8C7" w:rsidR="0050708F" w:rsidRPr="00C06E54" w:rsidRDefault="0050708F" w:rsidP="00AE6A00">
      <w:pPr>
        <w:pStyle w:val="InstructionsText2"/>
        <w:numPr>
          <w:ilvl w:val="0"/>
          <w:numId w:val="20"/>
        </w:numPr>
        <w:rPr>
          <w:u w:val="none"/>
        </w:rPr>
      </w:pPr>
      <w:r w:rsidRPr="00C06E54">
        <w:rPr>
          <w:u w:val="none"/>
        </w:rPr>
        <w:t>den spread som företaget skulle betala vid emitteringen för skulder med längre ursprunglig löptid än ett år om det hade övergått till relevant tremånaders jämförelseindex för valutan i fråga (t.ex. tremånaders Euribor för EUR) senast vid stängning på transaktionsdagen.</w:t>
      </w:r>
    </w:p>
    <w:p w14:paraId="0C9A9801" w14:textId="00966EBC" w:rsidR="006661EC" w:rsidRPr="00C06E54" w:rsidRDefault="006661EC" w:rsidP="00AE6A00">
      <w:pPr>
        <w:pStyle w:val="InstructionsText2"/>
        <w:numPr>
          <w:ilvl w:val="0"/>
          <w:numId w:val="20"/>
        </w:numPr>
        <w:rPr>
          <w:u w:val="none"/>
        </w:rPr>
      </w:pPr>
      <w:r w:rsidRPr="00C06E54">
        <w:rPr>
          <w:u w:val="none"/>
        </w:rPr>
        <w:t>Institutet får, endast för att beräkna spreaden i led a och b ovan fastställa den ursprungliga löptiden på grundval av de historiska erfarenheterna med eller utan hänsyn till optionalitet, beroende på vad som är tillämpligt.</w:t>
      </w:r>
    </w:p>
    <w:p w14:paraId="5EBCC42F" w14:textId="5EFA09B4" w:rsidR="00A211F3" w:rsidRPr="00C06E54" w:rsidRDefault="0019013A" w:rsidP="006000AE">
      <w:pPr>
        <w:pStyle w:val="InstructionsText2"/>
        <w:numPr>
          <w:ilvl w:val="0"/>
          <w:numId w:val="20"/>
        </w:numPr>
        <w:rPr>
          <w:u w:val="none"/>
        </w:rPr>
      </w:pPr>
      <w:r w:rsidRPr="00C06E54">
        <w:rPr>
          <w:u w:val="none"/>
        </w:rPr>
        <w:t xml:space="preserve">Spreadar ska rapporteras i punkter med ett negativt tecken om den nya finansieringen är billigare än enligt relevant referensränta. De ska beräknas på viktad genomsnittsbasis. </w:t>
      </w:r>
    </w:p>
    <w:p w14:paraId="0ABF1B64" w14:textId="48812B4E" w:rsidR="0050708F" w:rsidRPr="00C06E54" w:rsidRDefault="0050708F" w:rsidP="00927DCB">
      <w:pPr>
        <w:pStyle w:val="InstructionsText2"/>
        <w:numPr>
          <w:ilvl w:val="0"/>
          <w:numId w:val="20"/>
        </w:numPr>
        <w:rPr>
          <w:u w:val="none"/>
        </w:rPr>
      </w:pPr>
      <w:r w:rsidRPr="00C06E54">
        <w:rPr>
          <w:u w:val="none"/>
        </w:rPr>
        <w:t>Vid beräkningen av genomsnittlig spread att betala för flera emissioner/inlåning/utlåning ska instituten beräkna den totala kostnaden i emissionsvalutan utan hänsyn till eventuella valutaswappar, men ta med eventuella över- eller underkurser och avgifter som ska betalas eller erhållas, så att löptiden för en teoretisk eller faktisk ränteswapp motsvarar skuldens löptid. Spreaden ska vara skuldräntan minus swappräntan.</w:t>
      </w:r>
    </w:p>
    <w:p w14:paraId="608A7669" w14:textId="7761DC23" w:rsidR="00DD5897" w:rsidRPr="00C06E54" w:rsidRDefault="0019013A" w:rsidP="00927DCB">
      <w:pPr>
        <w:pStyle w:val="InstructionsText2"/>
        <w:numPr>
          <w:ilvl w:val="0"/>
          <w:numId w:val="20"/>
        </w:numPr>
        <w:rPr>
          <w:u w:val="none"/>
        </w:rPr>
      </w:pPr>
      <w:r w:rsidRPr="00C06E54">
        <w:rPr>
          <w:u w:val="none"/>
        </w:rPr>
        <w:t xml:space="preserve">Den erhållna finansieringen för de finansieringskategorier som anges i kolumnen ”Post” ska rapporteras i kolumnen ”Volym” för tillämpligt tidsintervall. </w:t>
      </w:r>
    </w:p>
    <w:p w14:paraId="3AED84FE" w14:textId="5EE87A4E" w:rsidR="004B3AC2" w:rsidRPr="00C06E54" w:rsidRDefault="004B3AC2" w:rsidP="00927DCB">
      <w:pPr>
        <w:pStyle w:val="InstructionsText2"/>
        <w:numPr>
          <w:ilvl w:val="0"/>
          <w:numId w:val="20"/>
        </w:numPr>
        <w:rPr>
          <w:u w:val="none"/>
        </w:rPr>
      </w:pPr>
      <w:r w:rsidRPr="00C06E54">
        <w:rPr>
          <w:u w:val="none"/>
        </w:rPr>
        <w:t>I kolumnen ”Volym” ska institut ange det bokförda beloppet av den nya finansiering som har erhållits i tillämpligt tidsintervall utifrån den ursprungliga löptiden.</w:t>
      </w:r>
    </w:p>
    <w:p w14:paraId="4513DEDD" w14:textId="0E5B70C9" w:rsidR="004B3AC2" w:rsidRPr="00C06E54" w:rsidRDefault="00144FB8" w:rsidP="00927DCB">
      <w:pPr>
        <w:pStyle w:val="InstructionsText2"/>
        <w:numPr>
          <w:ilvl w:val="0"/>
          <w:numId w:val="20"/>
        </w:numPr>
        <w:rPr>
          <w:u w:val="none"/>
        </w:rPr>
      </w:pPr>
      <w:r w:rsidRPr="00C06E54">
        <w:rPr>
          <w:u w:val="none"/>
        </w:rPr>
        <w:t xml:space="preserve">I likhet med alla poster, även för åtaganden utanför balansräkningen, ska institut bara rapportera de berörda belopp som återspeglas i balansräkningen. Ett åtagande utanför balansräkningen gentemot institutet ska bara rapporteras i C 69.00 när det har utnyttjats. I samband med utnyttjande ska den volym och spread som ska rapporteras vara det utnyttjade beloppet och gällande spread i slutet av rapporteringsperioden. Om institutet inte kan välja att förlänga utnyttjandet ska den faktiska löptiden för utnyttjandet rapporteras. Om institutet redan har utnyttjat faciliteten i slutet av föregående rapporteringsperiod och det därefter ökar utnyttjandet av faciliteten ska bara det ytterligare belopp som har utnyttjats rapporteras. </w:t>
      </w:r>
    </w:p>
    <w:p w14:paraId="26598EEA" w14:textId="2CB5C3FB" w:rsidR="00473407" w:rsidRPr="00C06E54" w:rsidRDefault="00473407" w:rsidP="00927DCB">
      <w:pPr>
        <w:pStyle w:val="InstructionsText2"/>
        <w:numPr>
          <w:ilvl w:val="0"/>
          <w:numId w:val="20"/>
        </w:numPr>
        <w:rPr>
          <w:u w:val="none"/>
        </w:rPr>
      </w:pPr>
      <w:r w:rsidRPr="00C06E54">
        <w:rPr>
          <w:u w:val="none"/>
        </w:rPr>
        <w:t>Inlåning från allmänheten ska utgöra inlåning enligt definitionen i artikel 411.2 i förordning (EU) nr 575/2013.</w:t>
      </w:r>
    </w:p>
    <w:p w14:paraId="54CC7D8D" w14:textId="0023FC80" w:rsidR="00B96CA8" w:rsidRPr="00C06E54" w:rsidRDefault="00287BD7" w:rsidP="00927DCB">
      <w:pPr>
        <w:pStyle w:val="InstructionsText2"/>
        <w:numPr>
          <w:ilvl w:val="0"/>
          <w:numId w:val="20"/>
        </w:numPr>
        <w:rPr>
          <w:u w:val="none"/>
        </w:rPr>
      </w:pPr>
      <w:r w:rsidRPr="00C06E54">
        <w:rPr>
          <w:u w:val="none"/>
        </w:rPr>
        <w:t>För finansiering som har förlängts under rapporteringsperioden och ännu är utestående vid rapporteringsperiodens slut ska genomsnittet av spreadar vid denna tidpunkt (dvs. vid rapporteringsperiodens slut) rapporteras. När det gäller C 69.00 ska finansiering som har förlängts och finns kvar vid rapporteringsperiodens slut betraktas som ny finansiering.</w:t>
      </w:r>
    </w:p>
    <w:p w14:paraId="43F95C32" w14:textId="71E535F8" w:rsidR="00BB3757" w:rsidRPr="00C06E54" w:rsidRDefault="00CD20D9" w:rsidP="00927DCB">
      <w:pPr>
        <w:pStyle w:val="InstructionsText2"/>
        <w:numPr>
          <w:ilvl w:val="0"/>
          <w:numId w:val="20"/>
        </w:numPr>
        <w:rPr>
          <w:u w:val="none"/>
        </w:rPr>
      </w:pPr>
      <w:r w:rsidRPr="00C06E54">
        <w:rPr>
          <w:u w:val="none"/>
        </w:rPr>
        <w:t xml:space="preserve">Till skillnad från resten av avsnitt 1.4 ska volym och spread avseende avistainlåning bara rapporteras om insättaren inte hade avistainlåning under föregående rapporteringsperiod eller inlåningsbeloppet har ökat jämfört med föregående referensdatum, i vilket fall ökningen ska behandlas som ny finansiering. Med spread avses spreaden vid rapporteringsperiodens slut. </w:t>
      </w:r>
    </w:p>
    <w:p w14:paraId="10927EEB" w14:textId="01546635" w:rsidR="00270986" w:rsidRPr="00C06E54" w:rsidRDefault="00270986" w:rsidP="00927DCB">
      <w:pPr>
        <w:pStyle w:val="InstructionsText2"/>
        <w:numPr>
          <w:ilvl w:val="0"/>
          <w:numId w:val="20"/>
        </w:numPr>
        <w:rPr>
          <w:u w:val="none"/>
        </w:rPr>
      </w:pPr>
      <w:r w:rsidRPr="00C06E54">
        <w:rPr>
          <w:u w:val="none"/>
        </w:rPr>
        <w:t>Om det inte finns något att rapportera, ska celler som avser spreadar lämnas tomma.</w:t>
      </w:r>
    </w:p>
    <w:p w14:paraId="5031E50C" w14:textId="2A8C8C44" w:rsidR="00A156BF" w:rsidRPr="00C06E54" w:rsidRDefault="00A156BF" w:rsidP="00A156BF">
      <w:pPr>
        <w:pStyle w:val="InstructionsText2"/>
        <w:numPr>
          <w:ilvl w:val="0"/>
          <w:numId w:val="20"/>
        </w:numPr>
        <w:rPr>
          <w:u w:val="none"/>
        </w:rPr>
      </w:pPr>
      <w:r w:rsidRPr="00C06E54">
        <w:rPr>
          <w:u w:val="none"/>
        </w:rPr>
        <w:t xml:space="preserve">Aktier ska inte rapporteras i den här mallen. </w:t>
      </w:r>
    </w:p>
    <w:p w14:paraId="5F1BCA9F" w14:textId="77777777" w:rsidR="002C154A" w:rsidRPr="00C06E54" w:rsidRDefault="002C154A" w:rsidP="00927DCB">
      <w:pPr>
        <w:pStyle w:val="InstructionsText2"/>
        <w:numPr>
          <w:ilvl w:val="0"/>
          <w:numId w:val="20"/>
        </w:numPr>
        <w:rPr>
          <w:u w:val="none"/>
        </w:rPr>
      </w:pPr>
      <w:r w:rsidRPr="00C06E54">
        <w:rPr>
          <w:u w:val="none"/>
        </w:rPr>
        <w:lastRenderedPageBreak/>
        <w:t>Instruktioner för särskilda rader:</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C06E54" w14:paraId="3147FD97" w14:textId="77777777" w:rsidTr="00A37629">
        <w:trPr>
          <w:trHeight w:val="567"/>
        </w:trPr>
        <w:tc>
          <w:tcPr>
            <w:tcW w:w="817" w:type="dxa"/>
            <w:shd w:val="clear" w:color="auto" w:fill="E0E0E0"/>
            <w:noWrap/>
            <w:vAlign w:val="center"/>
          </w:tcPr>
          <w:p w14:paraId="48391A04" w14:textId="77777777" w:rsidR="002C154A" w:rsidRPr="00C06E54" w:rsidRDefault="002C154A" w:rsidP="00ED41A4">
            <w:pPr>
              <w:spacing w:before="0" w:after="0"/>
              <w:jc w:val="left"/>
              <w:rPr>
                <w:rFonts w:ascii="Times New Roman" w:hAnsi="Times New Roman"/>
                <w:szCs w:val="20"/>
              </w:rPr>
            </w:pPr>
            <w:r w:rsidRPr="00C06E54">
              <w:rPr>
                <w:rStyle w:val="InstructionsTabelleText"/>
                <w:rFonts w:ascii="Times New Roman" w:hAnsi="Times New Roman"/>
              </w:rPr>
              <w:t>Rad</w:t>
            </w:r>
          </w:p>
        </w:tc>
        <w:tc>
          <w:tcPr>
            <w:tcW w:w="7705" w:type="dxa"/>
            <w:shd w:val="clear" w:color="auto" w:fill="E0E0E0"/>
            <w:noWrap/>
            <w:vAlign w:val="center"/>
          </w:tcPr>
          <w:p w14:paraId="51A7E6A4" w14:textId="77777777" w:rsidR="002C154A" w:rsidRPr="00C06E54" w:rsidRDefault="002C154A" w:rsidP="00ED41A4">
            <w:pPr>
              <w:spacing w:before="0" w:after="0"/>
              <w:jc w:val="left"/>
              <w:rPr>
                <w:rFonts w:ascii="Times New Roman" w:hAnsi="Times New Roman"/>
                <w:szCs w:val="20"/>
              </w:rPr>
            </w:pPr>
            <w:r w:rsidRPr="00C06E54">
              <w:rPr>
                <w:rStyle w:val="InstructionsTabelleText"/>
                <w:rFonts w:ascii="Times New Roman" w:hAnsi="Times New Roman"/>
              </w:rPr>
              <w:t>Rättsliga hänvisningar och instruktioner</w:t>
            </w:r>
          </w:p>
        </w:tc>
      </w:tr>
      <w:tr w:rsidR="00E332B3" w:rsidRPr="00C06E54" w14:paraId="5B055368" w14:textId="77777777" w:rsidTr="00A37629">
        <w:trPr>
          <w:trHeight w:val="255"/>
        </w:trPr>
        <w:tc>
          <w:tcPr>
            <w:tcW w:w="817" w:type="dxa"/>
            <w:shd w:val="clear" w:color="auto" w:fill="auto"/>
            <w:noWrap/>
          </w:tcPr>
          <w:p w14:paraId="31D865CB" w14:textId="4D326AD6" w:rsidR="002C154A" w:rsidRPr="00C06E54" w:rsidRDefault="00C90DF5" w:rsidP="00ED41A4">
            <w:pPr>
              <w:spacing w:before="0" w:after="0"/>
              <w:jc w:val="left"/>
              <w:rPr>
                <w:rFonts w:ascii="Times New Roman" w:hAnsi="Times New Roman"/>
                <w:szCs w:val="20"/>
              </w:rPr>
            </w:pPr>
            <w:r w:rsidRPr="00C06E54">
              <w:rPr>
                <w:rFonts w:ascii="Times New Roman" w:hAnsi="Times New Roman"/>
              </w:rPr>
              <w:t>0010</w:t>
            </w:r>
          </w:p>
        </w:tc>
        <w:tc>
          <w:tcPr>
            <w:tcW w:w="7705" w:type="dxa"/>
            <w:shd w:val="clear" w:color="auto" w:fill="auto"/>
            <w:noWrap/>
          </w:tcPr>
          <w:p w14:paraId="55C5F1B7" w14:textId="77777777" w:rsidR="002C154A" w:rsidRPr="00C06E54" w:rsidRDefault="002C154A" w:rsidP="008E1558">
            <w:pPr>
              <w:rPr>
                <w:rFonts w:ascii="Times New Roman" w:hAnsi="Times New Roman"/>
                <w:b/>
                <w:szCs w:val="20"/>
                <w:u w:val="single"/>
              </w:rPr>
            </w:pPr>
            <w:r w:rsidRPr="00C06E54">
              <w:rPr>
                <w:rFonts w:ascii="Times New Roman" w:hAnsi="Times New Roman"/>
                <w:b/>
                <w:u w:val="single"/>
              </w:rPr>
              <w:t>1 Total finansiering</w:t>
            </w:r>
          </w:p>
          <w:p w14:paraId="25D6D292" w14:textId="1DE19D27" w:rsidR="002C154A" w:rsidRPr="00C06E54" w:rsidRDefault="00E42487" w:rsidP="008E1558">
            <w:pPr>
              <w:rPr>
                <w:rFonts w:ascii="Times New Roman" w:hAnsi="Times New Roman"/>
                <w:szCs w:val="20"/>
              </w:rPr>
            </w:pPr>
            <w:r w:rsidRPr="00C06E54">
              <w:rPr>
                <w:rFonts w:ascii="Times New Roman" w:hAnsi="Times New Roman"/>
              </w:rPr>
              <w:t>Total volym och viktad genomsnittlig spread för all erhållen finansiering med följande löptider:</w:t>
            </w:r>
          </w:p>
          <w:p w14:paraId="3D5903C1" w14:textId="71E515AA" w:rsidR="007778A0" w:rsidRPr="00C06E54" w:rsidRDefault="00CD20D9" w:rsidP="00CC3091">
            <w:pPr>
              <w:pStyle w:val="InstructionsText2"/>
              <w:numPr>
                <w:ilvl w:val="1"/>
                <w:numId w:val="12"/>
              </w:numPr>
              <w:rPr>
                <w:u w:val="none"/>
              </w:rPr>
            </w:pPr>
            <w:r w:rsidRPr="00C06E54">
              <w:rPr>
                <w:u w:val="none"/>
              </w:rPr>
              <w:t>1 dag i kolumnerna 0010 och 0020.</w:t>
            </w:r>
          </w:p>
          <w:p w14:paraId="1AF1DF5A" w14:textId="197B262D" w:rsidR="007778A0" w:rsidRPr="00C06E54" w:rsidRDefault="00CD20D9" w:rsidP="00927DCB">
            <w:pPr>
              <w:pStyle w:val="InstructionsText2"/>
              <w:numPr>
                <w:ilvl w:val="1"/>
                <w:numId w:val="12"/>
              </w:numPr>
              <w:rPr>
                <w:u w:val="none"/>
              </w:rPr>
            </w:pPr>
            <w:r w:rsidRPr="00C06E54">
              <w:rPr>
                <w:u w:val="none"/>
              </w:rPr>
              <w:t>Mer än 1 dag och mindre eller lika med 1 vecka (kolumnerna 0030 och 0040).</w:t>
            </w:r>
          </w:p>
          <w:p w14:paraId="4C124A2C" w14:textId="40AAE739" w:rsidR="007778A0" w:rsidRPr="00C06E54" w:rsidRDefault="00CD20D9" w:rsidP="00CC3091">
            <w:pPr>
              <w:pStyle w:val="InstructionsText2"/>
              <w:numPr>
                <w:ilvl w:val="1"/>
                <w:numId w:val="12"/>
              </w:numPr>
              <w:rPr>
                <w:u w:val="none"/>
              </w:rPr>
            </w:pPr>
            <w:r w:rsidRPr="00C06E54">
              <w:rPr>
                <w:u w:val="none"/>
              </w:rPr>
              <w:t>Mer än 1 vecka och mindre eller lika med 1 månad (kolumnerna 0050 och 0060).</w:t>
            </w:r>
          </w:p>
          <w:p w14:paraId="74B468F3" w14:textId="3C21BB5E" w:rsidR="007778A0" w:rsidRPr="00C06E54" w:rsidRDefault="00CD20D9" w:rsidP="00927DCB">
            <w:pPr>
              <w:pStyle w:val="InstructionsText2"/>
              <w:numPr>
                <w:ilvl w:val="1"/>
                <w:numId w:val="12"/>
              </w:numPr>
              <w:rPr>
                <w:u w:val="none"/>
              </w:rPr>
            </w:pPr>
            <w:r w:rsidRPr="00C06E54">
              <w:rPr>
                <w:u w:val="none"/>
              </w:rPr>
              <w:t>Mer än 1 månad och mindre eller lika med 3 månader (kolumnerna 0070 och 0080).</w:t>
            </w:r>
          </w:p>
          <w:p w14:paraId="482B32DB" w14:textId="0BE23448" w:rsidR="007778A0" w:rsidRPr="00C06E54" w:rsidRDefault="00CD20D9" w:rsidP="00927DCB">
            <w:pPr>
              <w:pStyle w:val="InstructionsText2"/>
              <w:numPr>
                <w:ilvl w:val="1"/>
                <w:numId w:val="12"/>
              </w:numPr>
              <w:rPr>
                <w:u w:val="none"/>
              </w:rPr>
            </w:pPr>
            <w:r w:rsidRPr="00C06E54">
              <w:rPr>
                <w:u w:val="none"/>
              </w:rPr>
              <w:t>Mer än 3 månader och mindre eller lika med 6 månader (kolumnerna 0090 och 0100).</w:t>
            </w:r>
          </w:p>
          <w:p w14:paraId="3C4AC9B6" w14:textId="7E09F360" w:rsidR="007778A0" w:rsidRPr="00C06E54" w:rsidRDefault="00CD20D9" w:rsidP="00927DCB">
            <w:pPr>
              <w:pStyle w:val="InstructionsText2"/>
              <w:numPr>
                <w:ilvl w:val="1"/>
                <w:numId w:val="12"/>
              </w:numPr>
              <w:rPr>
                <w:u w:val="none"/>
              </w:rPr>
            </w:pPr>
            <w:r w:rsidRPr="00C06E54">
              <w:rPr>
                <w:u w:val="none"/>
              </w:rPr>
              <w:t>Mer än 6 månader och mindre eller lika med 1 år (kolumnerna 0110 och 0120).</w:t>
            </w:r>
          </w:p>
          <w:p w14:paraId="1C290FE7" w14:textId="4E5B0810" w:rsidR="007778A0" w:rsidRPr="00C06E54" w:rsidRDefault="00CD20D9" w:rsidP="00927DCB">
            <w:pPr>
              <w:pStyle w:val="InstructionsText2"/>
              <w:numPr>
                <w:ilvl w:val="1"/>
                <w:numId w:val="12"/>
              </w:numPr>
              <w:rPr>
                <w:u w:val="none"/>
              </w:rPr>
            </w:pPr>
            <w:r w:rsidRPr="00C06E54">
              <w:rPr>
                <w:u w:val="none"/>
              </w:rPr>
              <w:t>Mer än 1 år och mindre eller lika med 2 år (kolumnerna 0130 och 0140).</w:t>
            </w:r>
          </w:p>
          <w:p w14:paraId="6E53E104" w14:textId="03252B84" w:rsidR="007778A0" w:rsidRPr="00C06E54" w:rsidRDefault="00CD20D9" w:rsidP="00927DCB">
            <w:pPr>
              <w:pStyle w:val="InstructionsText2"/>
              <w:numPr>
                <w:ilvl w:val="1"/>
                <w:numId w:val="12"/>
              </w:numPr>
              <w:rPr>
                <w:u w:val="none"/>
              </w:rPr>
            </w:pPr>
            <w:r w:rsidRPr="00C06E54">
              <w:rPr>
                <w:u w:val="none"/>
              </w:rPr>
              <w:t>Mer än 2 år och mindre eller lika med 5 år (kolumnerna 0150 och 0160).</w:t>
            </w:r>
          </w:p>
          <w:p w14:paraId="22EC36F6" w14:textId="5EE6B232" w:rsidR="00CE333E" w:rsidRPr="00C06E54" w:rsidRDefault="00CD20D9" w:rsidP="00927DCB">
            <w:pPr>
              <w:pStyle w:val="InstructionsText2"/>
              <w:numPr>
                <w:ilvl w:val="1"/>
                <w:numId w:val="12"/>
              </w:numPr>
            </w:pPr>
            <w:r w:rsidRPr="00C06E54">
              <w:rPr>
                <w:u w:val="none"/>
              </w:rPr>
              <w:t>Mer än 5 år och mindre eller lika med 10 år (kolumnerna 0170 och 0180).</w:t>
            </w:r>
          </w:p>
        </w:tc>
      </w:tr>
      <w:tr w:rsidR="00E332B3" w:rsidRPr="00C06E54" w14:paraId="2F05E0FC" w14:textId="77777777" w:rsidTr="00A37629">
        <w:trPr>
          <w:trHeight w:val="255"/>
        </w:trPr>
        <w:tc>
          <w:tcPr>
            <w:tcW w:w="817" w:type="dxa"/>
            <w:shd w:val="clear" w:color="auto" w:fill="auto"/>
            <w:noWrap/>
          </w:tcPr>
          <w:p w14:paraId="765DA707" w14:textId="3CB74DD0" w:rsidR="002C154A" w:rsidRPr="00C06E54" w:rsidRDefault="00AF1439">
            <w:pPr>
              <w:spacing w:before="0" w:after="0"/>
              <w:jc w:val="left"/>
              <w:rPr>
                <w:rFonts w:ascii="Times New Roman" w:hAnsi="Times New Roman"/>
                <w:szCs w:val="20"/>
              </w:rPr>
            </w:pPr>
            <w:r w:rsidRPr="00C06E54">
              <w:rPr>
                <w:rFonts w:ascii="Times New Roman" w:hAnsi="Times New Roman"/>
              </w:rPr>
              <w:t>0020</w:t>
            </w:r>
          </w:p>
        </w:tc>
        <w:tc>
          <w:tcPr>
            <w:tcW w:w="7705" w:type="dxa"/>
            <w:shd w:val="clear" w:color="auto" w:fill="auto"/>
            <w:noWrap/>
          </w:tcPr>
          <w:p w14:paraId="01DDA71E" w14:textId="357AA4E4" w:rsidR="002C154A" w:rsidRPr="00C06E54" w:rsidRDefault="002C154A" w:rsidP="008E1558">
            <w:pPr>
              <w:rPr>
                <w:rFonts w:ascii="Times New Roman" w:hAnsi="Times New Roman"/>
                <w:b/>
                <w:szCs w:val="20"/>
                <w:u w:val="single"/>
              </w:rPr>
            </w:pPr>
            <w:r w:rsidRPr="00C06E54">
              <w:rPr>
                <w:rFonts w:ascii="Times New Roman" w:hAnsi="Times New Roman"/>
                <w:b/>
                <w:u w:val="single"/>
              </w:rPr>
              <w:t>1.1 Inlåning från allmänheten</w:t>
            </w:r>
          </w:p>
          <w:p w14:paraId="2F60C8D8" w14:textId="1F37D31E" w:rsidR="002C154A" w:rsidRPr="00C06E54" w:rsidRDefault="00CE333E" w:rsidP="005E4F4B">
            <w:pPr>
              <w:rPr>
                <w:rFonts w:ascii="Times New Roman" w:hAnsi="Times New Roman"/>
                <w:szCs w:val="20"/>
              </w:rPr>
            </w:pPr>
            <w:r w:rsidRPr="00C06E54">
              <w:rPr>
                <w:rFonts w:ascii="Times New Roman" w:hAnsi="Times New Roman"/>
              </w:rPr>
              <w:t>Av den totala finansiering som rapporteras i post 1, total volym och viktad genomsnittlig spread för inlåning från allmänheten.</w:t>
            </w:r>
          </w:p>
        </w:tc>
      </w:tr>
      <w:tr w:rsidR="00AF1439" w:rsidRPr="00C06E54" w14:paraId="2AEBF8C4" w14:textId="77777777" w:rsidTr="00A37629">
        <w:trPr>
          <w:trHeight w:val="255"/>
        </w:trPr>
        <w:tc>
          <w:tcPr>
            <w:tcW w:w="817" w:type="dxa"/>
            <w:shd w:val="clear" w:color="auto" w:fill="auto"/>
            <w:noWrap/>
          </w:tcPr>
          <w:p w14:paraId="0F94FE37" w14:textId="2769A710" w:rsidR="00AF1439" w:rsidRPr="00C06E54" w:rsidRDefault="00AF1439" w:rsidP="00ED41A4">
            <w:pPr>
              <w:spacing w:before="0" w:after="0"/>
              <w:jc w:val="left"/>
              <w:rPr>
                <w:rFonts w:ascii="Times New Roman" w:hAnsi="Times New Roman"/>
                <w:szCs w:val="20"/>
              </w:rPr>
            </w:pPr>
            <w:r w:rsidRPr="00C06E54">
              <w:rPr>
                <w:rFonts w:ascii="Times New Roman" w:hAnsi="Times New Roman"/>
              </w:rPr>
              <w:t>0030</w:t>
            </w:r>
          </w:p>
        </w:tc>
        <w:tc>
          <w:tcPr>
            <w:tcW w:w="7705" w:type="dxa"/>
            <w:shd w:val="clear" w:color="auto" w:fill="auto"/>
            <w:noWrap/>
          </w:tcPr>
          <w:p w14:paraId="61E92F36" w14:textId="3D1490F3" w:rsidR="00AF1439" w:rsidRPr="00C06E54" w:rsidRDefault="00AF1439" w:rsidP="008E1558">
            <w:pPr>
              <w:rPr>
                <w:rFonts w:ascii="Times New Roman" w:hAnsi="Times New Roman"/>
                <w:b/>
                <w:szCs w:val="20"/>
                <w:u w:val="single"/>
              </w:rPr>
            </w:pPr>
            <w:r w:rsidRPr="00C06E54">
              <w:rPr>
                <w:rFonts w:ascii="Times New Roman" w:hAnsi="Times New Roman"/>
                <w:b/>
                <w:u w:val="single"/>
              </w:rPr>
              <w:t>1.2 Kapitalmarknadsfinansiering utan säkerhet</w:t>
            </w:r>
          </w:p>
          <w:p w14:paraId="49C52367" w14:textId="3BAAFA1E" w:rsidR="00AF1439" w:rsidRPr="00C06E54" w:rsidRDefault="00AF1439" w:rsidP="001C1BA1">
            <w:pPr>
              <w:rPr>
                <w:rFonts w:ascii="Times New Roman" w:hAnsi="Times New Roman"/>
                <w:szCs w:val="20"/>
              </w:rPr>
            </w:pPr>
            <w:r w:rsidRPr="00C06E54">
              <w:rPr>
                <w:rFonts w:ascii="Times New Roman" w:hAnsi="Times New Roman"/>
              </w:rPr>
              <w:t>Av den totala finansiering som rapporteras i post 1, total volym och viktad genomsnittlig spread för kapitalmarknadsfinansiering utan säkerhet.</w:t>
            </w:r>
          </w:p>
        </w:tc>
      </w:tr>
      <w:tr w:rsidR="00F7385A" w:rsidRPr="00C06E54" w14:paraId="75B65C2C" w14:textId="77777777" w:rsidTr="004963F1">
        <w:trPr>
          <w:trHeight w:val="255"/>
        </w:trPr>
        <w:tc>
          <w:tcPr>
            <w:tcW w:w="817" w:type="dxa"/>
            <w:shd w:val="clear" w:color="auto" w:fill="auto"/>
            <w:noWrap/>
          </w:tcPr>
          <w:p w14:paraId="0B985CB4" w14:textId="5FF70F65" w:rsidR="00F7385A" w:rsidRPr="00C06E54" w:rsidRDefault="00F7385A" w:rsidP="00576AAA">
            <w:pPr>
              <w:spacing w:before="0" w:after="0"/>
              <w:jc w:val="left"/>
              <w:rPr>
                <w:rFonts w:ascii="Times New Roman" w:hAnsi="Times New Roman"/>
                <w:szCs w:val="20"/>
              </w:rPr>
            </w:pPr>
            <w:r w:rsidRPr="00C06E54">
              <w:rPr>
                <w:rFonts w:ascii="Times New Roman" w:hAnsi="Times New Roman"/>
              </w:rPr>
              <w:t>0035</w:t>
            </w:r>
          </w:p>
        </w:tc>
        <w:tc>
          <w:tcPr>
            <w:tcW w:w="7705" w:type="dxa"/>
            <w:shd w:val="clear" w:color="auto" w:fill="auto"/>
            <w:noWrap/>
          </w:tcPr>
          <w:p w14:paraId="6F29157E" w14:textId="24168A0F" w:rsidR="00F7385A" w:rsidRPr="00C06E54" w:rsidRDefault="00F7385A" w:rsidP="004963F1">
            <w:pPr>
              <w:rPr>
                <w:rFonts w:ascii="Times New Roman" w:hAnsi="Times New Roman"/>
                <w:b/>
                <w:szCs w:val="20"/>
                <w:u w:val="single"/>
              </w:rPr>
            </w:pPr>
            <w:r w:rsidRPr="00C06E54">
              <w:rPr>
                <w:rFonts w:ascii="Times New Roman" w:hAnsi="Times New Roman"/>
                <w:b/>
                <w:u w:val="single"/>
              </w:rPr>
              <w:t>1.2.1 varav: icke efterställda värdepapper utan säkerhet</w:t>
            </w:r>
          </w:p>
          <w:p w14:paraId="162A7425" w14:textId="179FF3F4" w:rsidR="00F7385A" w:rsidRPr="00C06E54" w:rsidRDefault="00F7385A" w:rsidP="004963F1">
            <w:pPr>
              <w:rPr>
                <w:rFonts w:ascii="Times New Roman" w:hAnsi="Times New Roman"/>
                <w:b/>
                <w:szCs w:val="20"/>
                <w:u w:val="single"/>
              </w:rPr>
            </w:pPr>
            <w:r w:rsidRPr="00C06E54">
              <w:rPr>
                <w:rFonts w:ascii="Times New Roman" w:hAnsi="Times New Roman"/>
              </w:rPr>
              <w:t>Av den totala kapitalmarknadsfinansiering utan säkerhet som rapporteras i post 1.2, total volym och viktad genomsnittlig spread för icke efterställda värdepapper utan säkerhet.</w:t>
            </w:r>
          </w:p>
        </w:tc>
      </w:tr>
      <w:tr w:rsidR="00DD5897" w:rsidRPr="00C06E54" w14:paraId="6186F1AE" w14:textId="77777777" w:rsidTr="00A37629">
        <w:trPr>
          <w:trHeight w:val="255"/>
        </w:trPr>
        <w:tc>
          <w:tcPr>
            <w:tcW w:w="817" w:type="dxa"/>
            <w:shd w:val="clear" w:color="auto" w:fill="auto"/>
            <w:noWrap/>
          </w:tcPr>
          <w:p w14:paraId="39B34295" w14:textId="0225D43C" w:rsidR="00DD5897" w:rsidRPr="00C06E54" w:rsidRDefault="00391D31" w:rsidP="00576AAA">
            <w:pPr>
              <w:spacing w:before="0" w:after="0"/>
              <w:jc w:val="left"/>
              <w:rPr>
                <w:rFonts w:ascii="Times New Roman" w:hAnsi="Times New Roman"/>
                <w:szCs w:val="20"/>
              </w:rPr>
            </w:pPr>
            <w:r w:rsidRPr="00C06E54">
              <w:rPr>
                <w:rFonts w:ascii="Times New Roman" w:hAnsi="Times New Roman"/>
              </w:rPr>
              <w:t>0045</w:t>
            </w:r>
          </w:p>
        </w:tc>
        <w:tc>
          <w:tcPr>
            <w:tcW w:w="7705" w:type="dxa"/>
            <w:shd w:val="clear" w:color="auto" w:fill="auto"/>
            <w:noWrap/>
          </w:tcPr>
          <w:p w14:paraId="2D0E1DA1" w14:textId="004BBDAB" w:rsidR="00DD5897" w:rsidRPr="00C06E54" w:rsidRDefault="00DD5897" w:rsidP="00193B6D">
            <w:pPr>
              <w:rPr>
                <w:rFonts w:ascii="Times New Roman" w:hAnsi="Times New Roman"/>
                <w:b/>
                <w:szCs w:val="20"/>
                <w:u w:val="single"/>
              </w:rPr>
            </w:pPr>
            <w:r w:rsidRPr="00C06E54">
              <w:rPr>
                <w:rFonts w:ascii="Times New Roman" w:hAnsi="Times New Roman"/>
                <w:b/>
                <w:u w:val="single"/>
              </w:rPr>
              <w:t>1.3 Finansiering mot säkerhet (annan bank än centralbank)</w:t>
            </w:r>
          </w:p>
          <w:p w14:paraId="1193789E" w14:textId="74B8019E" w:rsidR="00DD5897" w:rsidRPr="00C06E54" w:rsidRDefault="00CE333E" w:rsidP="008914E0">
            <w:pPr>
              <w:rPr>
                <w:rFonts w:ascii="Times New Roman" w:hAnsi="Times New Roman"/>
                <w:b/>
                <w:szCs w:val="20"/>
                <w:u w:val="single"/>
              </w:rPr>
            </w:pPr>
            <w:r w:rsidRPr="00C06E54">
              <w:rPr>
                <w:rFonts w:ascii="Times New Roman" w:hAnsi="Times New Roman"/>
              </w:rPr>
              <w:t xml:space="preserve">Av den totala finansiering som rapporteras i post 1, total volym och viktad genomsnittlig spread för finansiering mot säkerhet från en motpart som inte är en centralbank. </w:t>
            </w:r>
          </w:p>
        </w:tc>
      </w:tr>
      <w:tr w:rsidR="00A37629" w:rsidRPr="00C06E54" w14:paraId="28F41CB6" w14:textId="77777777" w:rsidTr="00A37629">
        <w:trPr>
          <w:trHeight w:val="255"/>
        </w:trPr>
        <w:tc>
          <w:tcPr>
            <w:tcW w:w="817" w:type="dxa"/>
            <w:shd w:val="clear" w:color="auto" w:fill="auto"/>
            <w:noWrap/>
          </w:tcPr>
          <w:p w14:paraId="27FBC55D" w14:textId="5222F996" w:rsidR="00A37629" w:rsidRPr="00C06E54" w:rsidRDefault="00A37629" w:rsidP="00A37629">
            <w:pPr>
              <w:spacing w:before="0" w:after="0"/>
              <w:jc w:val="left"/>
              <w:rPr>
                <w:rFonts w:ascii="Times New Roman" w:hAnsi="Times New Roman"/>
                <w:szCs w:val="20"/>
              </w:rPr>
            </w:pPr>
            <w:r w:rsidRPr="00C06E54">
              <w:rPr>
                <w:rFonts w:ascii="Times New Roman" w:hAnsi="Times New Roman"/>
              </w:rPr>
              <w:t>0065</w:t>
            </w:r>
          </w:p>
        </w:tc>
        <w:tc>
          <w:tcPr>
            <w:tcW w:w="7705" w:type="dxa"/>
            <w:shd w:val="clear" w:color="auto" w:fill="auto"/>
            <w:noWrap/>
          </w:tcPr>
          <w:p w14:paraId="00CF474C" w14:textId="22CDCE6E" w:rsidR="00A37629" w:rsidRPr="00C06E54" w:rsidRDefault="00A37629" w:rsidP="00A37629">
            <w:pPr>
              <w:rPr>
                <w:rFonts w:ascii="Times New Roman" w:hAnsi="Times New Roman"/>
                <w:b/>
                <w:szCs w:val="20"/>
                <w:u w:val="single"/>
              </w:rPr>
            </w:pPr>
            <w:r w:rsidRPr="00C06E54">
              <w:rPr>
                <w:rFonts w:ascii="Times New Roman" w:hAnsi="Times New Roman"/>
                <w:b/>
                <w:u w:val="single"/>
              </w:rPr>
              <w:t>1.3.1 varav: säkerställda obligationer</w:t>
            </w:r>
          </w:p>
          <w:p w14:paraId="2AEEDF2A" w14:textId="4C750AC2" w:rsidR="00A37629" w:rsidRPr="00C06E54" w:rsidRDefault="00A37629" w:rsidP="00F7385A">
            <w:pPr>
              <w:rPr>
                <w:rFonts w:ascii="Times New Roman" w:hAnsi="Times New Roman"/>
                <w:b/>
                <w:szCs w:val="20"/>
                <w:u w:val="single"/>
              </w:rPr>
            </w:pPr>
            <w:r w:rsidRPr="00C06E54">
              <w:rPr>
                <w:rFonts w:ascii="Times New Roman" w:hAnsi="Times New Roman"/>
              </w:rPr>
              <w:t>Av den finansiering mot säkerhet som rapporteras i post 1.3, total volym och viktad genomsnittlig spread för säkerställda obligationer som belastar institutets egna tillgångar.</w:t>
            </w:r>
          </w:p>
        </w:tc>
      </w:tr>
      <w:tr w:rsidR="00A37629" w:rsidRPr="00C06E54" w14:paraId="7E2EC114" w14:textId="77777777" w:rsidTr="00A37629">
        <w:trPr>
          <w:trHeight w:val="255"/>
        </w:trPr>
        <w:tc>
          <w:tcPr>
            <w:tcW w:w="817" w:type="dxa"/>
            <w:shd w:val="clear" w:color="auto" w:fill="auto"/>
            <w:noWrap/>
          </w:tcPr>
          <w:p w14:paraId="37FE37EA" w14:textId="412A822D" w:rsidR="00A37629" w:rsidRPr="00C06E54" w:rsidRDefault="00A37629" w:rsidP="00A37629">
            <w:pPr>
              <w:spacing w:before="0" w:after="0"/>
              <w:jc w:val="left"/>
              <w:rPr>
                <w:rFonts w:ascii="Times New Roman" w:hAnsi="Times New Roman"/>
                <w:szCs w:val="20"/>
              </w:rPr>
            </w:pPr>
            <w:r w:rsidRPr="00C06E54">
              <w:rPr>
                <w:rFonts w:ascii="Times New Roman" w:hAnsi="Times New Roman"/>
              </w:rPr>
              <w:t>0075</w:t>
            </w:r>
          </w:p>
        </w:tc>
        <w:tc>
          <w:tcPr>
            <w:tcW w:w="7705" w:type="dxa"/>
            <w:shd w:val="clear" w:color="auto" w:fill="auto"/>
            <w:noWrap/>
          </w:tcPr>
          <w:p w14:paraId="2EB3DA46" w14:textId="16D0E00D" w:rsidR="00A37629" w:rsidRPr="00C06E54" w:rsidRDefault="00A37629" w:rsidP="00A37629">
            <w:pPr>
              <w:rPr>
                <w:rFonts w:ascii="Times New Roman" w:hAnsi="Times New Roman"/>
                <w:b/>
                <w:szCs w:val="20"/>
                <w:u w:val="single"/>
              </w:rPr>
            </w:pPr>
            <w:r w:rsidRPr="00C06E54">
              <w:rPr>
                <w:rFonts w:ascii="Times New Roman" w:hAnsi="Times New Roman"/>
                <w:b/>
                <w:u w:val="single"/>
              </w:rPr>
              <w:t>1.3.2 varav: tillgångssäkrade värdepapper inklusive tillgångsbaserade certifikat</w:t>
            </w:r>
          </w:p>
          <w:p w14:paraId="44C96B86" w14:textId="6630152F" w:rsidR="00A37629" w:rsidRPr="00C06E54" w:rsidRDefault="00A37629" w:rsidP="00F7385A">
            <w:pPr>
              <w:rPr>
                <w:rFonts w:ascii="Times New Roman" w:hAnsi="Times New Roman"/>
                <w:b/>
                <w:szCs w:val="20"/>
                <w:u w:val="single"/>
              </w:rPr>
            </w:pPr>
            <w:r w:rsidRPr="00C06E54">
              <w:rPr>
                <w:rFonts w:ascii="Times New Roman" w:hAnsi="Times New Roman"/>
              </w:rPr>
              <w:t>Av den totala finansiering mot säkerhet som rapporteras i post 1.3, total volym och viktad genomsnittlig spread för utgivna tillgångssäkrade värdepapper inklusive tillgångsbaserade certifikat.</w:t>
            </w:r>
          </w:p>
        </w:tc>
      </w:tr>
      <w:tr w:rsidR="00A37629" w:rsidRPr="00C06E54" w14:paraId="5B114A6D" w14:textId="77777777" w:rsidTr="00A37629">
        <w:trPr>
          <w:trHeight w:val="255"/>
        </w:trPr>
        <w:tc>
          <w:tcPr>
            <w:tcW w:w="817" w:type="dxa"/>
            <w:shd w:val="clear" w:color="auto" w:fill="auto"/>
            <w:noWrap/>
          </w:tcPr>
          <w:p w14:paraId="39524A45" w14:textId="1D264C45" w:rsidR="00A37629" w:rsidRPr="00C06E54" w:rsidRDefault="00A37629" w:rsidP="00A37629">
            <w:pPr>
              <w:spacing w:before="0" w:after="0"/>
              <w:jc w:val="left"/>
              <w:rPr>
                <w:rFonts w:ascii="Times New Roman" w:hAnsi="Times New Roman"/>
                <w:szCs w:val="20"/>
              </w:rPr>
            </w:pPr>
            <w:r w:rsidRPr="00C06E54">
              <w:rPr>
                <w:rFonts w:ascii="Times New Roman" w:hAnsi="Times New Roman"/>
              </w:rPr>
              <w:t>0080</w:t>
            </w:r>
          </w:p>
        </w:tc>
        <w:tc>
          <w:tcPr>
            <w:tcW w:w="7705" w:type="dxa"/>
            <w:shd w:val="clear" w:color="auto" w:fill="auto"/>
            <w:noWrap/>
          </w:tcPr>
          <w:p w14:paraId="09FACF40" w14:textId="5DA98A55" w:rsidR="00A37629" w:rsidRPr="00C06E54" w:rsidRDefault="00A37629" w:rsidP="00A37629">
            <w:pPr>
              <w:rPr>
                <w:rFonts w:ascii="Times New Roman" w:hAnsi="Times New Roman"/>
                <w:b/>
                <w:szCs w:val="20"/>
                <w:u w:val="single"/>
              </w:rPr>
            </w:pPr>
            <w:r w:rsidRPr="00C06E54">
              <w:rPr>
                <w:rFonts w:ascii="Times New Roman" w:hAnsi="Times New Roman"/>
                <w:b/>
                <w:u w:val="single"/>
              </w:rPr>
              <w:t>1.4 Annan finansiering</w:t>
            </w:r>
          </w:p>
          <w:p w14:paraId="24F80CD7" w14:textId="6D9CDB26" w:rsidR="00A37629" w:rsidRPr="00C06E54" w:rsidRDefault="00A37629" w:rsidP="00A37629">
            <w:pPr>
              <w:rPr>
                <w:rFonts w:ascii="Times New Roman" w:hAnsi="Times New Roman"/>
                <w:b/>
                <w:szCs w:val="20"/>
                <w:u w:val="single"/>
              </w:rPr>
            </w:pPr>
            <w:r w:rsidRPr="00C06E54">
              <w:rPr>
                <w:rFonts w:ascii="Times New Roman" w:hAnsi="Times New Roman"/>
              </w:rPr>
              <w:lastRenderedPageBreak/>
              <w:t>Av den totala finansiering som rapporteras i post 1, total volym och viktad genomsnittlig spread för finansiering som inte omfattas av posterna 1.1–1.3, inbegripet finansiering mot säkerhet från centralbanker.</w:t>
            </w:r>
          </w:p>
        </w:tc>
      </w:tr>
    </w:tbl>
    <w:p w14:paraId="5029EEE5" w14:textId="77777777" w:rsidR="00953ED6" w:rsidRPr="00C06E54" w:rsidRDefault="00953ED6" w:rsidP="00CC3091">
      <w:pPr>
        <w:pStyle w:val="InstructionsText"/>
        <w:rPr>
          <w:rStyle w:val="InstructionsTabelleText"/>
          <w:rFonts w:ascii="Times New Roman" w:hAnsi="Times New Roman"/>
          <w:u w:val="none"/>
        </w:rPr>
      </w:pPr>
    </w:p>
    <w:p w14:paraId="63E17173" w14:textId="77777777" w:rsidR="00181260" w:rsidRPr="00C06E54" w:rsidRDefault="006000DF" w:rsidP="00DD5897">
      <w:pPr>
        <w:pStyle w:val="Instructionsberschrift2"/>
        <w:numPr>
          <w:ilvl w:val="1"/>
          <w:numId w:val="2"/>
        </w:numPr>
        <w:spacing w:before="0"/>
        <w:rPr>
          <w:rFonts w:ascii="Times New Roman" w:hAnsi="Times New Roman" w:cs="Times New Roman"/>
          <w:szCs w:val="20"/>
        </w:rPr>
      </w:pPr>
      <w:r w:rsidRPr="00C06E54">
        <w:rPr>
          <w:rFonts w:ascii="Times New Roman" w:hAnsi="Times New Roman"/>
        </w:rPr>
        <w:t>Förlängning av finansiering (C 70.00)</w:t>
      </w:r>
    </w:p>
    <w:p w14:paraId="5ACA258A" w14:textId="2E5A9D32" w:rsidR="00DD5897" w:rsidRPr="00C06E54" w:rsidRDefault="00DD5897" w:rsidP="00CC3091">
      <w:pPr>
        <w:pStyle w:val="InstructionsText2"/>
        <w:numPr>
          <w:ilvl w:val="0"/>
          <w:numId w:val="8"/>
        </w:numPr>
        <w:rPr>
          <w:u w:val="none"/>
        </w:rPr>
      </w:pPr>
      <w:bookmarkStart w:id="2" w:name="_Toc308175821"/>
      <w:bookmarkStart w:id="3" w:name="_Toc310414968"/>
      <w:r w:rsidRPr="00C06E54">
        <w:rPr>
          <w:u w:val="none"/>
        </w:rPr>
        <w:t>Den här mallen används för insamling av uppgifter om finansieringsvolymer som löper ut och ny finansiering som erhålls, dvs. ”förlängning av finansiering” på dagsbasis under den månad som föregår rapporteringsdatumet.</w:t>
      </w:r>
    </w:p>
    <w:p w14:paraId="180EF408" w14:textId="4710199E" w:rsidR="00DB3C37" w:rsidRPr="00C06E54" w:rsidRDefault="00DB3C37" w:rsidP="00927DCB">
      <w:pPr>
        <w:pStyle w:val="InstructionsText2"/>
        <w:numPr>
          <w:ilvl w:val="0"/>
          <w:numId w:val="8"/>
        </w:numPr>
        <w:rPr>
          <w:u w:val="none"/>
        </w:rPr>
      </w:pPr>
      <w:r w:rsidRPr="00C06E54">
        <w:rPr>
          <w:u w:val="none"/>
        </w:rPr>
        <w:t>Institut ska rapportera i kalenderdagar sin finansiering som förfaller i alla följande tidsintervall i enlighet med ursprunglig löptid:</w:t>
      </w:r>
    </w:p>
    <w:p w14:paraId="10B482AB" w14:textId="35902522" w:rsidR="00DB3C37" w:rsidRPr="00C06E54" w:rsidRDefault="00237D15" w:rsidP="00927DCB">
      <w:pPr>
        <w:pStyle w:val="InstructionsText2"/>
        <w:numPr>
          <w:ilvl w:val="1"/>
          <w:numId w:val="5"/>
        </w:numPr>
        <w:ind w:left="1276" w:hanging="283"/>
        <w:rPr>
          <w:u w:val="none"/>
        </w:rPr>
      </w:pPr>
      <w:r w:rsidRPr="00C06E54">
        <w:rPr>
          <w:u w:val="none"/>
        </w:rPr>
        <w:t>1 dag i kolumnerna 0010–0040.</w:t>
      </w:r>
    </w:p>
    <w:p w14:paraId="78059097" w14:textId="75ED6B94" w:rsidR="00DB3C37" w:rsidRPr="00C06E54" w:rsidRDefault="00237D15" w:rsidP="00927DCB">
      <w:pPr>
        <w:pStyle w:val="InstructionsText2"/>
        <w:numPr>
          <w:ilvl w:val="1"/>
          <w:numId w:val="5"/>
        </w:numPr>
        <w:ind w:left="1276" w:hanging="283"/>
        <w:rPr>
          <w:u w:val="none"/>
        </w:rPr>
      </w:pPr>
      <w:r w:rsidRPr="00C06E54">
        <w:rPr>
          <w:u w:val="none"/>
        </w:rPr>
        <w:t>mellan 1 dag och 7 dagar i kolumnerna 0050–0080.</w:t>
      </w:r>
    </w:p>
    <w:p w14:paraId="0888F316" w14:textId="304511FD" w:rsidR="00DB3C37" w:rsidRPr="00C06E54" w:rsidRDefault="00237D15" w:rsidP="00927DCB">
      <w:pPr>
        <w:pStyle w:val="InstructionsText2"/>
        <w:numPr>
          <w:ilvl w:val="1"/>
          <w:numId w:val="5"/>
        </w:numPr>
        <w:ind w:left="1276" w:hanging="283"/>
        <w:rPr>
          <w:u w:val="none"/>
        </w:rPr>
      </w:pPr>
      <w:r w:rsidRPr="00C06E54">
        <w:rPr>
          <w:u w:val="none"/>
        </w:rPr>
        <w:t>mellan 7 dag och 14 dagar i kolumnerna 0090–0120.</w:t>
      </w:r>
    </w:p>
    <w:p w14:paraId="08E23AA2" w14:textId="64CFEF40" w:rsidR="00DB3C37" w:rsidRPr="00C06E54" w:rsidRDefault="00237D15" w:rsidP="00927DCB">
      <w:pPr>
        <w:pStyle w:val="InstructionsText2"/>
        <w:numPr>
          <w:ilvl w:val="1"/>
          <w:numId w:val="5"/>
        </w:numPr>
        <w:ind w:left="1276" w:hanging="283"/>
        <w:rPr>
          <w:u w:val="none"/>
        </w:rPr>
      </w:pPr>
      <w:r w:rsidRPr="00C06E54">
        <w:rPr>
          <w:u w:val="none"/>
        </w:rPr>
        <w:t>mellan 14 dagar och 1 månad i kolumnerna 0130–0160.</w:t>
      </w:r>
    </w:p>
    <w:p w14:paraId="69F00FB2" w14:textId="181A4A03" w:rsidR="00DB3C37" w:rsidRPr="00C06E54" w:rsidRDefault="00237D15" w:rsidP="00927DCB">
      <w:pPr>
        <w:pStyle w:val="InstructionsText2"/>
        <w:numPr>
          <w:ilvl w:val="1"/>
          <w:numId w:val="5"/>
        </w:numPr>
        <w:ind w:left="1276" w:hanging="283"/>
        <w:rPr>
          <w:u w:val="none"/>
        </w:rPr>
      </w:pPr>
      <w:r w:rsidRPr="00C06E54">
        <w:rPr>
          <w:u w:val="none"/>
        </w:rPr>
        <w:t>mellan 1 månad och 3 månader i kolumnerna 0170–0200.</w:t>
      </w:r>
    </w:p>
    <w:p w14:paraId="39971E5E" w14:textId="43960DD0" w:rsidR="00DB3C37" w:rsidRPr="00C06E54" w:rsidRDefault="00237D15" w:rsidP="00927DCB">
      <w:pPr>
        <w:pStyle w:val="InstructionsText2"/>
        <w:numPr>
          <w:ilvl w:val="1"/>
          <w:numId w:val="5"/>
        </w:numPr>
        <w:ind w:left="1276" w:hanging="283"/>
        <w:rPr>
          <w:u w:val="none"/>
        </w:rPr>
      </w:pPr>
      <w:r w:rsidRPr="00C06E54">
        <w:rPr>
          <w:u w:val="none"/>
        </w:rPr>
        <w:t>mellan 3 månad och 6 månader i kolumnerna 0210–0240.</w:t>
      </w:r>
    </w:p>
    <w:p w14:paraId="7574DBE7" w14:textId="6E9CAB4B" w:rsidR="009A329A" w:rsidRPr="00C06E54" w:rsidRDefault="00144FB8" w:rsidP="00927DCB">
      <w:pPr>
        <w:pStyle w:val="InstructionsText2"/>
        <w:numPr>
          <w:ilvl w:val="1"/>
          <w:numId w:val="5"/>
        </w:numPr>
        <w:ind w:left="1276" w:hanging="283"/>
        <w:rPr>
          <w:u w:val="none"/>
        </w:rPr>
      </w:pPr>
      <w:r w:rsidRPr="00C06E54">
        <w:rPr>
          <w:u w:val="none"/>
        </w:rPr>
        <w:t>mer än 6 månader i kolumnerna 0250–0280.</w:t>
      </w:r>
    </w:p>
    <w:p w14:paraId="1F25325E" w14:textId="62618E1F" w:rsidR="00DB3C37" w:rsidRPr="00C06E54" w:rsidRDefault="00DB3C37" w:rsidP="00927DCB">
      <w:pPr>
        <w:pStyle w:val="InstructionsText2"/>
        <w:numPr>
          <w:ilvl w:val="0"/>
          <w:numId w:val="8"/>
        </w:numPr>
        <w:rPr>
          <w:u w:val="none"/>
        </w:rPr>
      </w:pPr>
      <w:r w:rsidRPr="00C06E54">
        <w:rPr>
          <w:u w:val="none"/>
        </w:rPr>
        <w:t>För varje tidsintervall som anges i punkt 2 ska det belopp som förfaller rapporteras i den vänstra kolumnen, de belopp som förlängs rapporteras i kolumnen ”Förlängning”, ny finansiering rapporteras i kolumnen ”Nya medel” och nettoskillnaden mellan dels ny finansiering, dels förlängd finansiering minus finansiering som förfaller ska rapporteras i den högra kolumnen.</w:t>
      </w:r>
      <w:r w:rsidRPr="00C06E54">
        <w:rPr>
          <w:rFonts w:ascii="Verdana" w:hAnsi="Verdana"/>
          <w:u w:val="none"/>
        </w:rPr>
        <w:t xml:space="preserve"> </w:t>
      </w:r>
    </w:p>
    <w:p w14:paraId="710A06F4" w14:textId="240473AE" w:rsidR="00DB3C37" w:rsidRPr="00C06E54" w:rsidRDefault="00DB3C37" w:rsidP="00927DCB">
      <w:pPr>
        <w:pStyle w:val="InstructionsText2"/>
        <w:numPr>
          <w:ilvl w:val="0"/>
          <w:numId w:val="8"/>
        </w:numPr>
        <w:rPr>
          <w:u w:val="none"/>
        </w:rPr>
      </w:pPr>
      <w:r w:rsidRPr="00C06E54">
        <w:rPr>
          <w:u w:val="none"/>
        </w:rPr>
        <w:t>De totala nettokassaflödena ska rapporteras i kolumn 290 och vara lika med summan av alla ”nettokolumner”, dvs. 0040, 0080, 0120, 0160, 0200, 0240 och 0280).</w:t>
      </w:r>
    </w:p>
    <w:p w14:paraId="28B9B16F" w14:textId="7EEE4811" w:rsidR="00BD24C1" w:rsidRPr="00C06E54" w:rsidRDefault="00DB3C37" w:rsidP="00927DCB">
      <w:pPr>
        <w:pStyle w:val="InstructionsText2"/>
        <w:numPr>
          <w:ilvl w:val="0"/>
          <w:numId w:val="8"/>
        </w:numPr>
        <w:rPr>
          <w:u w:val="none"/>
        </w:rPr>
      </w:pPr>
      <w:r w:rsidRPr="00C06E54">
        <w:rPr>
          <w:u w:val="none"/>
        </w:rPr>
        <w:t>Den genomsnittliga löptiden (i dagar) för finansiering som förfaller ska rapporteras i kolumn 0300.</w:t>
      </w:r>
    </w:p>
    <w:p w14:paraId="76D8AD49" w14:textId="73AC67C3" w:rsidR="003E371A" w:rsidRPr="00C06E54" w:rsidRDefault="003E371A" w:rsidP="00927DCB">
      <w:pPr>
        <w:pStyle w:val="InstructionsText2"/>
        <w:numPr>
          <w:ilvl w:val="0"/>
          <w:numId w:val="8"/>
        </w:numPr>
        <w:rPr>
          <w:u w:val="none"/>
        </w:rPr>
      </w:pPr>
      <w:r w:rsidRPr="00C06E54">
        <w:rPr>
          <w:u w:val="none"/>
        </w:rPr>
        <w:t>Den genomsnittliga löptiden (i dagar) för finansiering som förlängts ska rapporteras i kolumn 0310.</w:t>
      </w:r>
    </w:p>
    <w:p w14:paraId="717CD209" w14:textId="41C8DEE3" w:rsidR="00BD24C1" w:rsidRPr="00C06E54" w:rsidRDefault="00DB3C37" w:rsidP="00927DCB">
      <w:pPr>
        <w:pStyle w:val="InstructionsText2"/>
        <w:numPr>
          <w:ilvl w:val="0"/>
          <w:numId w:val="8"/>
        </w:numPr>
        <w:rPr>
          <w:u w:val="none"/>
        </w:rPr>
      </w:pPr>
      <w:r w:rsidRPr="00C06E54">
        <w:rPr>
          <w:u w:val="none"/>
        </w:rPr>
        <w:t xml:space="preserve"> Den genomsnittliga löptiden (i dagar) för ny finansiering ska rapporteras i kolumn 0320.</w:t>
      </w:r>
    </w:p>
    <w:p w14:paraId="5C92A186" w14:textId="6F4BC0FE" w:rsidR="00A7751A" w:rsidRPr="00C06E54" w:rsidRDefault="00A7751A" w:rsidP="00927DCB">
      <w:pPr>
        <w:pStyle w:val="InstructionsText2"/>
        <w:numPr>
          <w:ilvl w:val="0"/>
          <w:numId w:val="8"/>
        </w:numPr>
        <w:rPr>
          <w:u w:val="none"/>
        </w:rPr>
      </w:pPr>
      <w:r w:rsidRPr="00C06E54">
        <w:rPr>
          <w:u w:val="none"/>
        </w:rPr>
        <w:t>Beloppet under ”Förfall till betalning” ska omfatta alla skulder som långivaren enligt avtal hade rätt att ta ut eller som förföll den relevanta dagen i rapporteringsperioden. Det ska alltid rapporteras med positivt tecken.</w:t>
      </w:r>
    </w:p>
    <w:p w14:paraId="004B6E12" w14:textId="539634DF" w:rsidR="00A7751A" w:rsidRPr="00C06E54" w:rsidRDefault="00A7751A" w:rsidP="00927DCB">
      <w:pPr>
        <w:pStyle w:val="InstructionsText2"/>
        <w:numPr>
          <w:ilvl w:val="0"/>
          <w:numId w:val="8"/>
        </w:numPr>
        <w:rPr>
          <w:u w:val="none"/>
        </w:rPr>
      </w:pPr>
      <w:r w:rsidRPr="00C06E54">
        <w:rPr>
          <w:u w:val="none"/>
        </w:rPr>
        <w:t>Beloppet under ”Förlängning” ska omfatta det belopp som förfaller enligt definitionen i punkterna 2 och 3 som finns kvar hos institutet den relevanta dagen i rapporteringsperioden. Det ska alltid rapporteras med ett positivt tecken. Om finansieringens löptid har förändrats till följd av förlängningen ska det belopp som har förlängts rapporteras i ett tidsintervall i enlighet med den nya löptiden.</w:t>
      </w:r>
    </w:p>
    <w:p w14:paraId="68CA5A97" w14:textId="694BA31F" w:rsidR="00A7751A" w:rsidRPr="00C06E54" w:rsidRDefault="00A7751A" w:rsidP="00927DCB">
      <w:pPr>
        <w:pStyle w:val="InstructionsText2"/>
        <w:numPr>
          <w:ilvl w:val="0"/>
          <w:numId w:val="8"/>
        </w:numPr>
        <w:rPr>
          <w:u w:val="none"/>
        </w:rPr>
      </w:pPr>
      <w:r w:rsidRPr="00C06E54">
        <w:rPr>
          <w:u w:val="none"/>
        </w:rPr>
        <w:t>Beloppet under ”Nya medel” ska omfatta faktiska inflöden eller finansiering på den relevanta dagen i rapporteringsperioden. Det ska alltid rapporteras med positivt tecken.</w:t>
      </w:r>
    </w:p>
    <w:p w14:paraId="36023996" w14:textId="11556421" w:rsidR="00A7751A" w:rsidRPr="00C06E54" w:rsidRDefault="00A7751A" w:rsidP="00927DCB">
      <w:pPr>
        <w:pStyle w:val="InstructionsText2"/>
        <w:numPr>
          <w:ilvl w:val="0"/>
          <w:numId w:val="8"/>
        </w:numPr>
        <w:rPr>
          <w:u w:val="none"/>
        </w:rPr>
      </w:pPr>
      <w:r w:rsidRPr="00C06E54">
        <w:rPr>
          <w:u w:val="none"/>
        </w:rPr>
        <w:t xml:space="preserve">Nettobeloppet ska betraktas som en förändring i finansieringen inom ett visst ”ursprunglig löptids”-intervall på den relevanta dagen i rapporteringsperioden och beräknas genom att </w:t>
      </w:r>
      <w:r w:rsidRPr="00C06E54">
        <w:rPr>
          <w:u w:val="none"/>
        </w:rPr>
        <w:lastRenderedPageBreak/>
        <w:t xml:space="preserve">kolumnen ”Netto” fylls i med ny finansiering plus förlängd finansiering minus finansiering som förfaller. </w:t>
      </w:r>
    </w:p>
    <w:bookmarkEnd w:id="2"/>
    <w:bookmarkEnd w:id="3"/>
    <w:p w14:paraId="0E67F27B" w14:textId="64F4C758" w:rsidR="00ED41A4" w:rsidRPr="00C06E54" w:rsidRDefault="00ED41A4" w:rsidP="00CC3091">
      <w:pPr>
        <w:pStyle w:val="InstructionsText2"/>
        <w:numPr>
          <w:ilvl w:val="0"/>
          <w:numId w:val="8"/>
        </w:numPr>
        <w:rPr>
          <w:u w:val="none"/>
        </w:rPr>
      </w:pPr>
      <w:r w:rsidRPr="00C06E54">
        <w:rPr>
          <w:u w:val="none"/>
        </w:rPr>
        <w:t>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C06E54" w14:paraId="24A3446B" w14:textId="77777777" w:rsidTr="005F4FE0">
        <w:trPr>
          <w:trHeight w:val="548"/>
        </w:trPr>
        <w:tc>
          <w:tcPr>
            <w:tcW w:w="729" w:type="pct"/>
            <w:shd w:val="clear" w:color="auto" w:fill="D9D9D9"/>
            <w:noWrap/>
            <w:vAlign w:val="center"/>
          </w:tcPr>
          <w:p w14:paraId="44CE1AFF" w14:textId="77777777" w:rsidR="00ED41A4" w:rsidRPr="00C06E54" w:rsidRDefault="00ED41A4" w:rsidP="005F4FE0">
            <w:pPr>
              <w:spacing w:before="0" w:after="0"/>
              <w:jc w:val="left"/>
              <w:rPr>
                <w:rFonts w:ascii="Times New Roman" w:hAnsi="Times New Roman"/>
                <w:color w:val="000000"/>
                <w:szCs w:val="20"/>
              </w:rPr>
            </w:pPr>
            <w:r w:rsidRPr="00C06E54">
              <w:rPr>
                <w:rStyle w:val="InstructionsTabelleText"/>
                <w:rFonts w:ascii="Times New Roman" w:hAnsi="Times New Roman"/>
                <w:color w:val="000000"/>
              </w:rPr>
              <w:t>Kolumn</w:t>
            </w:r>
          </w:p>
        </w:tc>
        <w:tc>
          <w:tcPr>
            <w:tcW w:w="4271" w:type="pct"/>
            <w:shd w:val="clear" w:color="auto" w:fill="D9D9D9"/>
            <w:vAlign w:val="center"/>
          </w:tcPr>
          <w:p w14:paraId="31EE78F6" w14:textId="77777777" w:rsidR="00ED41A4" w:rsidRPr="00C06E54" w:rsidRDefault="00ED41A4" w:rsidP="005F4FE0">
            <w:pPr>
              <w:spacing w:before="0" w:after="0"/>
              <w:jc w:val="left"/>
              <w:rPr>
                <w:rFonts w:ascii="Times New Roman" w:hAnsi="Times New Roman"/>
                <w:szCs w:val="20"/>
              </w:rPr>
            </w:pPr>
            <w:r w:rsidRPr="00C06E54">
              <w:rPr>
                <w:rStyle w:val="InstructionsTabelleText"/>
                <w:rFonts w:ascii="Times New Roman" w:hAnsi="Times New Roman"/>
              </w:rPr>
              <w:t>Rättsliga hänvisningar och instruktioner</w:t>
            </w:r>
          </w:p>
        </w:tc>
      </w:tr>
      <w:tr w:rsidR="00ED41A4" w:rsidRPr="00C06E54" w14:paraId="1F75C2D4" w14:textId="77777777" w:rsidTr="00ED41A4">
        <w:trPr>
          <w:trHeight w:val="765"/>
        </w:trPr>
        <w:tc>
          <w:tcPr>
            <w:tcW w:w="729" w:type="pct"/>
            <w:shd w:val="clear" w:color="auto" w:fill="auto"/>
            <w:noWrap/>
          </w:tcPr>
          <w:p w14:paraId="2684888D" w14:textId="6887441F" w:rsidR="00ED41A4" w:rsidRPr="00C06E54" w:rsidRDefault="00BD24C1" w:rsidP="00BD24C1">
            <w:pPr>
              <w:spacing w:before="0" w:after="0"/>
              <w:jc w:val="left"/>
              <w:rPr>
                <w:rFonts w:ascii="Times New Roman" w:hAnsi="Times New Roman"/>
                <w:color w:val="000000"/>
                <w:szCs w:val="20"/>
              </w:rPr>
            </w:pPr>
            <w:r w:rsidRPr="00C06E54">
              <w:rPr>
                <w:rFonts w:ascii="Times New Roman" w:hAnsi="Times New Roman"/>
                <w:color w:val="000000"/>
              </w:rPr>
              <w:t>0010–0040</w:t>
            </w:r>
          </w:p>
        </w:tc>
        <w:tc>
          <w:tcPr>
            <w:tcW w:w="4271" w:type="pct"/>
            <w:shd w:val="clear" w:color="auto" w:fill="auto"/>
          </w:tcPr>
          <w:p w14:paraId="45774E3B" w14:textId="77777777" w:rsidR="00ED41A4" w:rsidRPr="00C06E54" w:rsidRDefault="00BD24C1" w:rsidP="00193B6D">
            <w:pPr>
              <w:rPr>
                <w:rFonts w:ascii="Times New Roman" w:hAnsi="Times New Roman"/>
                <w:b/>
                <w:szCs w:val="20"/>
                <w:u w:val="single"/>
              </w:rPr>
            </w:pPr>
            <w:r w:rsidRPr="00C06E54">
              <w:rPr>
                <w:rFonts w:ascii="Times New Roman" w:hAnsi="Times New Roman"/>
                <w:b/>
                <w:u w:val="single"/>
              </w:rPr>
              <w:t>1 dag</w:t>
            </w:r>
          </w:p>
          <w:p w14:paraId="0D011271" w14:textId="46252F0C" w:rsidR="00B83BF9" w:rsidRPr="00C06E54" w:rsidRDefault="00ED41A4" w:rsidP="00193B6D">
            <w:pPr>
              <w:rPr>
                <w:rFonts w:ascii="Times New Roman" w:hAnsi="Times New Roman"/>
                <w:szCs w:val="20"/>
              </w:rPr>
            </w:pPr>
            <w:r w:rsidRPr="00C06E54">
              <w:rPr>
                <w:rFonts w:ascii="Times New Roman" w:hAnsi="Times New Roman"/>
              </w:rPr>
              <w:t>Total finansiering som förfaller den relevanta dagen i rapporteringsperioden med en ursprunglig löptid på 1 dag ska rapporteras i kolumn 0010 för post 1.1–1.31. För månader som består av färre än 31 dagar, liksom för veckoslut, ska rader som inte är relevanta lämnas tomma.</w:t>
            </w:r>
          </w:p>
          <w:p w14:paraId="7D2D26D4" w14:textId="79E1BEFF" w:rsidR="003E371A" w:rsidRPr="00C06E54" w:rsidRDefault="003E371A" w:rsidP="00193B6D">
            <w:pPr>
              <w:rPr>
                <w:rFonts w:ascii="Times New Roman" w:hAnsi="Times New Roman"/>
                <w:szCs w:val="20"/>
              </w:rPr>
            </w:pPr>
            <w:r w:rsidRPr="00C06E54">
              <w:rPr>
                <w:rFonts w:ascii="Times New Roman" w:hAnsi="Times New Roman"/>
              </w:rPr>
              <w:t>Total finansiering som förlängts den relevanta dagen i rapporteringsperioden med en ursprunglig löptid på 1 dag ska rapporteras i kolumn 0020 för post 1.1–1.31.</w:t>
            </w:r>
          </w:p>
          <w:p w14:paraId="4837928B" w14:textId="6B449134" w:rsidR="00ED41A4" w:rsidRPr="00C06E54" w:rsidRDefault="00ED41A4" w:rsidP="00193B6D">
            <w:pPr>
              <w:rPr>
                <w:rFonts w:ascii="Times New Roman" w:hAnsi="Times New Roman"/>
                <w:szCs w:val="20"/>
              </w:rPr>
            </w:pPr>
            <w:r w:rsidRPr="00C06E54">
              <w:rPr>
                <w:rFonts w:ascii="Times New Roman" w:hAnsi="Times New Roman"/>
              </w:rPr>
              <w:t>Total ny finansiering som erhållits den relevanta dagen i rapporteringsperioden med en ursprunglig löptid på 1 dag ska rapporteras i kolumn 0030 för post 1.1–1.31.</w:t>
            </w:r>
          </w:p>
          <w:p w14:paraId="16FDBE2F" w14:textId="01510436" w:rsidR="00ED41A4" w:rsidRPr="00C06E54" w:rsidRDefault="00ED41A4" w:rsidP="00193B6D">
            <w:pPr>
              <w:rPr>
                <w:rFonts w:ascii="Times New Roman" w:hAnsi="Times New Roman"/>
                <w:szCs w:val="20"/>
              </w:rPr>
            </w:pPr>
            <w:r w:rsidRPr="00C06E54">
              <w:rPr>
                <w:rFonts w:ascii="Times New Roman" w:hAnsi="Times New Roman"/>
              </w:rPr>
              <w:t>Nettoskillnaden mellan å ena sidan dagslån som förfaller och å andra sida förlängda plus nya dagslån ska rapporteras i kolumn 0040 för post 1.1–1.31.</w:t>
            </w:r>
          </w:p>
        </w:tc>
      </w:tr>
      <w:tr w:rsidR="00ED41A4" w:rsidRPr="00C06E54" w14:paraId="66A496F1" w14:textId="77777777" w:rsidTr="00ED41A4">
        <w:trPr>
          <w:trHeight w:val="765"/>
        </w:trPr>
        <w:tc>
          <w:tcPr>
            <w:tcW w:w="729" w:type="pct"/>
            <w:shd w:val="clear" w:color="auto" w:fill="auto"/>
            <w:noWrap/>
          </w:tcPr>
          <w:p w14:paraId="03C009DF" w14:textId="4976C613" w:rsidR="00ED41A4" w:rsidRPr="00C06E54" w:rsidRDefault="00BD24C1" w:rsidP="00BD24C1">
            <w:pPr>
              <w:spacing w:before="0" w:after="0"/>
              <w:jc w:val="left"/>
              <w:rPr>
                <w:rFonts w:ascii="Times New Roman" w:hAnsi="Times New Roman"/>
                <w:color w:val="000000"/>
                <w:szCs w:val="20"/>
              </w:rPr>
            </w:pPr>
            <w:r w:rsidRPr="00C06E54">
              <w:rPr>
                <w:rFonts w:ascii="Times New Roman" w:hAnsi="Times New Roman"/>
                <w:color w:val="000000"/>
              </w:rPr>
              <w:t>0050–0080</w:t>
            </w:r>
          </w:p>
        </w:tc>
        <w:tc>
          <w:tcPr>
            <w:tcW w:w="4271" w:type="pct"/>
            <w:shd w:val="clear" w:color="auto" w:fill="auto"/>
          </w:tcPr>
          <w:p w14:paraId="79477518" w14:textId="77777777" w:rsidR="00ED41A4" w:rsidRPr="00C06E54" w:rsidRDefault="00ED41A4" w:rsidP="00193B6D">
            <w:pPr>
              <w:rPr>
                <w:rFonts w:ascii="Times New Roman" w:hAnsi="Times New Roman"/>
                <w:b/>
                <w:szCs w:val="20"/>
                <w:u w:val="single"/>
              </w:rPr>
            </w:pPr>
            <w:r w:rsidRPr="00C06E54">
              <w:rPr>
                <w:rFonts w:ascii="Times New Roman" w:hAnsi="Times New Roman"/>
                <w:b/>
                <w:u w:val="single"/>
              </w:rPr>
              <w:t>&gt; 1 dag ≤ 7 dagar</w:t>
            </w:r>
          </w:p>
          <w:p w14:paraId="456405B1" w14:textId="7B9BDFAD" w:rsidR="00ED41A4" w:rsidRPr="00C06E54" w:rsidRDefault="00ED41A4" w:rsidP="00193B6D">
            <w:pPr>
              <w:rPr>
                <w:rFonts w:ascii="Times New Roman" w:hAnsi="Times New Roman"/>
                <w:szCs w:val="20"/>
              </w:rPr>
            </w:pPr>
            <w:r w:rsidRPr="00C06E54">
              <w:rPr>
                <w:rFonts w:ascii="Times New Roman" w:hAnsi="Times New Roman"/>
              </w:rPr>
              <w:t>Total finansiering som förfaller den relevanta dagen i rapporteringsperioden med en ursprunglig löptid på mellan 1 dag och 1 vecka ska rapporteras i kolumn 0050 för post 1.1–1.31. För månader som består av färre än 31 dagar, liksom för veckoslut, ska rader som inte är relevanta lämnas tomma.</w:t>
            </w:r>
          </w:p>
          <w:p w14:paraId="293B2767" w14:textId="378670DE" w:rsidR="003E371A" w:rsidRPr="00C06E54" w:rsidRDefault="003E371A" w:rsidP="00193B6D">
            <w:pPr>
              <w:rPr>
                <w:rFonts w:ascii="Times New Roman" w:hAnsi="Times New Roman"/>
                <w:szCs w:val="20"/>
              </w:rPr>
            </w:pPr>
            <w:r w:rsidRPr="00C06E54">
              <w:rPr>
                <w:rFonts w:ascii="Times New Roman" w:hAnsi="Times New Roman"/>
              </w:rPr>
              <w:t>Total finansiering som förlängts den relevanta dagen i rapporteringsperioden med en ursprunglig löptid på mellan 1 dag och 1 vecka ska rapporteras i kolumn 0060 för post 1.1–1.31.</w:t>
            </w:r>
          </w:p>
          <w:p w14:paraId="5D635490" w14:textId="2D826550" w:rsidR="00ED41A4" w:rsidRPr="00C06E54" w:rsidRDefault="00ED41A4" w:rsidP="00193B6D">
            <w:pPr>
              <w:rPr>
                <w:rFonts w:ascii="Times New Roman" w:hAnsi="Times New Roman"/>
                <w:szCs w:val="20"/>
              </w:rPr>
            </w:pPr>
            <w:r w:rsidRPr="00C06E54">
              <w:rPr>
                <w:rFonts w:ascii="Times New Roman" w:hAnsi="Times New Roman"/>
              </w:rPr>
              <w:t>Total ny finansiering som erhållits den relevanta dagen i rapporteringsperioden med en ursprunglig löptid på mellan 1 dag och 1 vecka ska rapporteras i kolumn 0070 för post 1.1–1.31.</w:t>
            </w:r>
          </w:p>
          <w:p w14:paraId="46AFF05A" w14:textId="7B5C9634" w:rsidR="00ED41A4" w:rsidRPr="00C06E54" w:rsidRDefault="00ED41A4" w:rsidP="00193B6D">
            <w:pPr>
              <w:rPr>
                <w:rFonts w:ascii="Times New Roman" w:hAnsi="Times New Roman"/>
                <w:b/>
                <w:szCs w:val="20"/>
                <w:u w:val="single"/>
              </w:rPr>
            </w:pPr>
            <w:r w:rsidRPr="00C06E54">
              <w:rPr>
                <w:rFonts w:ascii="Times New Roman" w:hAnsi="Times New Roman"/>
              </w:rPr>
              <w:t>Nettoskillnaden mellan å ena sidan finansiering som förfaller och å andra sidan förlängd plus ny finansiering ska rapporteras i kolumn 0080 för post 1.1–1.31.</w:t>
            </w:r>
          </w:p>
        </w:tc>
      </w:tr>
      <w:tr w:rsidR="00ED41A4" w:rsidRPr="00C06E54" w14:paraId="7A4EE419" w14:textId="77777777" w:rsidTr="00ED41A4">
        <w:trPr>
          <w:trHeight w:val="765"/>
        </w:trPr>
        <w:tc>
          <w:tcPr>
            <w:tcW w:w="729" w:type="pct"/>
            <w:shd w:val="clear" w:color="auto" w:fill="auto"/>
            <w:noWrap/>
          </w:tcPr>
          <w:p w14:paraId="533F8B1E" w14:textId="1FBD812A" w:rsidR="00ED41A4" w:rsidRPr="00C06E54" w:rsidRDefault="00C90DF5" w:rsidP="00BD24C1">
            <w:pPr>
              <w:spacing w:before="0" w:after="0"/>
              <w:jc w:val="left"/>
              <w:rPr>
                <w:rFonts w:ascii="Times New Roman" w:hAnsi="Times New Roman"/>
                <w:color w:val="000000"/>
                <w:szCs w:val="20"/>
              </w:rPr>
            </w:pPr>
            <w:r w:rsidRPr="00C06E54">
              <w:rPr>
                <w:rFonts w:ascii="Times New Roman" w:hAnsi="Times New Roman"/>
                <w:color w:val="000000"/>
              </w:rPr>
              <w:t>0090–0120</w:t>
            </w:r>
          </w:p>
        </w:tc>
        <w:tc>
          <w:tcPr>
            <w:tcW w:w="4271" w:type="pct"/>
            <w:shd w:val="clear" w:color="auto" w:fill="auto"/>
          </w:tcPr>
          <w:p w14:paraId="47C8E97F" w14:textId="77777777" w:rsidR="00ED41A4" w:rsidRPr="00C06E54" w:rsidRDefault="00ED41A4" w:rsidP="00193B6D">
            <w:pPr>
              <w:rPr>
                <w:rFonts w:ascii="Times New Roman" w:hAnsi="Times New Roman"/>
                <w:b/>
                <w:szCs w:val="20"/>
                <w:u w:val="single"/>
              </w:rPr>
            </w:pPr>
            <w:r w:rsidRPr="00C06E54">
              <w:rPr>
                <w:rFonts w:ascii="Times New Roman" w:hAnsi="Times New Roman"/>
                <w:b/>
                <w:u w:val="single"/>
              </w:rPr>
              <w:t>&gt; 7 dagar ≤ 14 dagar</w:t>
            </w:r>
          </w:p>
          <w:p w14:paraId="01B280B0" w14:textId="5023F473" w:rsidR="007C6B89" w:rsidRPr="00C06E54" w:rsidRDefault="007C6B89" w:rsidP="00193B6D">
            <w:pPr>
              <w:rPr>
                <w:rFonts w:ascii="Times New Roman" w:hAnsi="Times New Roman"/>
                <w:szCs w:val="20"/>
              </w:rPr>
            </w:pPr>
            <w:r w:rsidRPr="00C06E54">
              <w:rPr>
                <w:rFonts w:ascii="Times New Roman" w:hAnsi="Times New Roman"/>
              </w:rPr>
              <w:t>Total finansiering som förfaller den relevanta dagen i rapporteringsperioden med en ursprunglig löptid på mellan 1 vecka och 14 dagar ska rapporteras i kolumn 0090 för post 1.1–1.31. För månader som består av färre än 31 dagar, liksom för veckoslut, ska rader som inte är relevanta lämnas tomma.</w:t>
            </w:r>
          </w:p>
          <w:p w14:paraId="37FF815B" w14:textId="5B38CB82" w:rsidR="003E371A" w:rsidRPr="00C06E54" w:rsidRDefault="003E371A" w:rsidP="00193B6D">
            <w:pPr>
              <w:rPr>
                <w:rFonts w:ascii="Times New Roman" w:hAnsi="Times New Roman"/>
                <w:szCs w:val="20"/>
              </w:rPr>
            </w:pPr>
            <w:r w:rsidRPr="00C06E54">
              <w:rPr>
                <w:rFonts w:ascii="Times New Roman" w:hAnsi="Times New Roman"/>
              </w:rPr>
              <w:t>Total finansiering som förlängts den relevanta dagen i rapporteringsperioden med en ursprunglig löptid på mellan 1 vecka och 14 dagar ska rapporteras i kolumn 0100 för post 1.1–1.31.</w:t>
            </w:r>
          </w:p>
          <w:p w14:paraId="60125A59" w14:textId="19085EB9" w:rsidR="007C6B89" w:rsidRPr="00C06E54" w:rsidRDefault="007C6B89" w:rsidP="00193B6D">
            <w:pPr>
              <w:rPr>
                <w:rFonts w:ascii="Times New Roman" w:hAnsi="Times New Roman"/>
                <w:szCs w:val="20"/>
              </w:rPr>
            </w:pPr>
            <w:r w:rsidRPr="00C06E54">
              <w:rPr>
                <w:rFonts w:ascii="Times New Roman" w:hAnsi="Times New Roman"/>
              </w:rPr>
              <w:t>Total ny finansiering som erhållits den relevanta dagen i rapporteringsperioden med en ursprunglig löptid på mellan 1 vecka och 14 dagar ska rapporteras i kolumn 0110 för post 1.1–1.31.</w:t>
            </w:r>
          </w:p>
          <w:p w14:paraId="3B20F474" w14:textId="19889FBD" w:rsidR="00ED41A4" w:rsidRPr="00C06E54" w:rsidRDefault="007C6B89" w:rsidP="00193B6D">
            <w:pPr>
              <w:rPr>
                <w:rFonts w:ascii="Times New Roman" w:hAnsi="Times New Roman"/>
                <w:b/>
                <w:szCs w:val="20"/>
                <w:u w:val="single"/>
              </w:rPr>
            </w:pPr>
            <w:r w:rsidRPr="00C06E54">
              <w:rPr>
                <w:rFonts w:ascii="Times New Roman" w:hAnsi="Times New Roman"/>
              </w:rPr>
              <w:t>Nettoskillnaden mellan å ena sidan finansiering som förfaller och å andra sidan förlängd plus ny finansiering ska rapporteras i kolumn 0120 för post 1.1–1.31.</w:t>
            </w:r>
          </w:p>
        </w:tc>
      </w:tr>
      <w:tr w:rsidR="00ED41A4" w:rsidRPr="00C06E54" w14:paraId="4111D590" w14:textId="77777777" w:rsidTr="00ED41A4">
        <w:trPr>
          <w:trHeight w:val="765"/>
        </w:trPr>
        <w:tc>
          <w:tcPr>
            <w:tcW w:w="729" w:type="pct"/>
            <w:shd w:val="clear" w:color="auto" w:fill="auto"/>
            <w:noWrap/>
          </w:tcPr>
          <w:p w14:paraId="3F918ABE" w14:textId="486D4A1E" w:rsidR="00ED41A4" w:rsidRPr="00C06E54" w:rsidRDefault="00C90DF5" w:rsidP="00BD24C1">
            <w:pPr>
              <w:spacing w:before="0" w:after="0"/>
              <w:jc w:val="left"/>
              <w:rPr>
                <w:rFonts w:ascii="Times New Roman" w:hAnsi="Times New Roman"/>
                <w:color w:val="000000"/>
                <w:szCs w:val="20"/>
              </w:rPr>
            </w:pPr>
            <w:r w:rsidRPr="00C06E54">
              <w:rPr>
                <w:rFonts w:ascii="Times New Roman" w:hAnsi="Times New Roman"/>
                <w:color w:val="000000"/>
              </w:rPr>
              <w:t>0130–0160</w:t>
            </w:r>
          </w:p>
        </w:tc>
        <w:tc>
          <w:tcPr>
            <w:tcW w:w="4271" w:type="pct"/>
            <w:shd w:val="clear" w:color="auto" w:fill="auto"/>
          </w:tcPr>
          <w:p w14:paraId="4D847802" w14:textId="77777777" w:rsidR="00ED41A4" w:rsidRPr="00C06E54" w:rsidRDefault="00ED41A4" w:rsidP="00193B6D">
            <w:pPr>
              <w:rPr>
                <w:rFonts w:ascii="Times New Roman" w:hAnsi="Times New Roman"/>
                <w:b/>
                <w:szCs w:val="20"/>
                <w:u w:val="single"/>
              </w:rPr>
            </w:pPr>
            <w:r w:rsidRPr="00C06E54">
              <w:rPr>
                <w:rFonts w:ascii="Times New Roman" w:hAnsi="Times New Roman"/>
                <w:b/>
                <w:u w:val="single"/>
              </w:rPr>
              <w:t>&gt; 14 dagar ≤ 1 månad</w:t>
            </w:r>
          </w:p>
          <w:p w14:paraId="6DFCCE86" w14:textId="3B483DEE" w:rsidR="007C6B89" w:rsidRPr="00C06E54" w:rsidRDefault="007C6B89" w:rsidP="00193B6D">
            <w:pPr>
              <w:rPr>
                <w:rFonts w:ascii="Times New Roman" w:hAnsi="Times New Roman"/>
                <w:szCs w:val="20"/>
              </w:rPr>
            </w:pPr>
            <w:r w:rsidRPr="00C06E54">
              <w:rPr>
                <w:rFonts w:ascii="Times New Roman" w:hAnsi="Times New Roman"/>
              </w:rPr>
              <w:t>Total finansiering som förfaller den relevanta dagen i rapporteringsperioden med en ursprunglig löptid på mellan 14 dagar och 1 månad ska rapporteras i kolumn 0130 för post 1.1–1.31. För månader som består av färre än 31 dagar, liksom för veckoslut, ska rader som inte är relevanta lämnas tomma.</w:t>
            </w:r>
          </w:p>
          <w:p w14:paraId="168BD6CE" w14:textId="7007C9B1" w:rsidR="003E371A" w:rsidRPr="00C06E54" w:rsidRDefault="003E371A" w:rsidP="00193B6D">
            <w:pPr>
              <w:rPr>
                <w:rFonts w:ascii="Times New Roman" w:hAnsi="Times New Roman"/>
                <w:szCs w:val="20"/>
              </w:rPr>
            </w:pPr>
            <w:r w:rsidRPr="00C06E54">
              <w:rPr>
                <w:rFonts w:ascii="Times New Roman" w:hAnsi="Times New Roman"/>
              </w:rPr>
              <w:lastRenderedPageBreak/>
              <w:t>Total finansiering som förlängts den relevanta dagen i rapporteringsperioden med en ursprunglig löptid på mellan 14 dagar och 1 månad ska rapporteras i kolumn 0140 för post 1.1–1.31.</w:t>
            </w:r>
          </w:p>
          <w:p w14:paraId="0DBC5483" w14:textId="6B45A083" w:rsidR="007C6B89" w:rsidRPr="00C06E54" w:rsidRDefault="007C6B89" w:rsidP="00193B6D">
            <w:pPr>
              <w:rPr>
                <w:rFonts w:ascii="Times New Roman" w:hAnsi="Times New Roman"/>
                <w:szCs w:val="20"/>
              </w:rPr>
            </w:pPr>
            <w:r w:rsidRPr="00C06E54">
              <w:rPr>
                <w:rFonts w:ascii="Times New Roman" w:hAnsi="Times New Roman"/>
              </w:rPr>
              <w:t>Total ny finansiering som erhållits den relevanta dagen i rapporteringsperioden med en ursprunglig löptid på mellan 14 dagar och 1 månad ska rapporteras i kolumn 0150 för post 1.1–1.31.</w:t>
            </w:r>
          </w:p>
          <w:p w14:paraId="0D02D77F" w14:textId="442746A6" w:rsidR="00ED41A4" w:rsidRPr="00C06E54" w:rsidRDefault="007C6B89" w:rsidP="00193B6D">
            <w:pPr>
              <w:rPr>
                <w:rFonts w:ascii="Times New Roman" w:hAnsi="Times New Roman"/>
                <w:b/>
                <w:szCs w:val="20"/>
                <w:u w:val="single"/>
              </w:rPr>
            </w:pPr>
            <w:r w:rsidRPr="00C06E54">
              <w:rPr>
                <w:rFonts w:ascii="Times New Roman" w:hAnsi="Times New Roman"/>
              </w:rPr>
              <w:t>Nettoskillnaden mellan å ena sidan finansiering som förfaller och å andra sidan förlängd plus ny finansiering ska rapporteras i kolumn 0160 för post 1.1–1.31.</w:t>
            </w:r>
          </w:p>
        </w:tc>
      </w:tr>
      <w:tr w:rsidR="00ED41A4" w:rsidRPr="00C06E54" w14:paraId="0A45C671" w14:textId="77777777" w:rsidTr="00ED41A4">
        <w:trPr>
          <w:trHeight w:val="765"/>
        </w:trPr>
        <w:tc>
          <w:tcPr>
            <w:tcW w:w="729" w:type="pct"/>
            <w:shd w:val="clear" w:color="auto" w:fill="auto"/>
            <w:noWrap/>
          </w:tcPr>
          <w:p w14:paraId="643AD884" w14:textId="68945A73" w:rsidR="00ED41A4" w:rsidRPr="00C06E54" w:rsidRDefault="00C90DF5" w:rsidP="00BD24C1">
            <w:pPr>
              <w:spacing w:before="0" w:after="0"/>
              <w:jc w:val="left"/>
              <w:rPr>
                <w:rFonts w:ascii="Times New Roman" w:hAnsi="Times New Roman"/>
                <w:color w:val="000000"/>
                <w:szCs w:val="20"/>
              </w:rPr>
            </w:pPr>
            <w:r w:rsidRPr="00C06E54">
              <w:rPr>
                <w:rFonts w:ascii="Times New Roman" w:hAnsi="Times New Roman"/>
                <w:color w:val="000000"/>
              </w:rPr>
              <w:lastRenderedPageBreak/>
              <w:t>0170–0200</w:t>
            </w:r>
          </w:p>
        </w:tc>
        <w:tc>
          <w:tcPr>
            <w:tcW w:w="4271" w:type="pct"/>
            <w:shd w:val="clear" w:color="auto" w:fill="auto"/>
          </w:tcPr>
          <w:p w14:paraId="40912CAD" w14:textId="77777777" w:rsidR="00ED41A4" w:rsidRPr="00C06E54" w:rsidRDefault="00ED41A4" w:rsidP="00193B6D">
            <w:pPr>
              <w:rPr>
                <w:rFonts w:ascii="Times New Roman" w:hAnsi="Times New Roman"/>
                <w:b/>
                <w:szCs w:val="20"/>
                <w:u w:val="single"/>
              </w:rPr>
            </w:pPr>
            <w:r w:rsidRPr="00C06E54">
              <w:rPr>
                <w:rFonts w:ascii="Times New Roman" w:hAnsi="Times New Roman"/>
                <w:b/>
                <w:u w:val="single"/>
              </w:rPr>
              <w:t>&gt; 1 månad ≤ 3 månader</w:t>
            </w:r>
          </w:p>
          <w:p w14:paraId="1C6BB1D5" w14:textId="757F683B" w:rsidR="007C6B89" w:rsidRPr="00C06E54" w:rsidRDefault="007C6B89" w:rsidP="00193B6D">
            <w:pPr>
              <w:rPr>
                <w:rFonts w:ascii="Times New Roman" w:hAnsi="Times New Roman"/>
                <w:szCs w:val="20"/>
              </w:rPr>
            </w:pPr>
            <w:r w:rsidRPr="00C06E54">
              <w:rPr>
                <w:rFonts w:ascii="Times New Roman" w:hAnsi="Times New Roman"/>
              </w:rPr>
              <w:t>Total finansiering som förfaller den relevanta dagen i rapporteringsperioden med en ursprunglig löptid på mellan 1 månad och 3 månader ska rapporteras i kolumn 0170 för post 1.1–1.31. För månader som består av färre än 31 dagar, liksom för veckoslut, ska rader som inte är relevanta lämnas tomma.</w:t>
            </w:r>
          </w:p>
          <w:p w14:paraId="6A91E8B5" w14:textId="5A7B6811" w:rsidR="003E371A" w:rsidRPr="00C06E54" w:rsidRDefault="003E371A" w:rsidP="00193B6D">
            <w:pPr>
              <w:rPr>
                <w:rFonts w:ascii="Times New Roman" w:hAnsi="Times New Roman"/>
                <w:szCs w:val="20"/>
              </w:rPr>
            </w:pPr>
            <w:r w:rsidRPr="00C06E54">
              <w:rPr>
                <w:rFonts w:ascii="Times New Roman" w:hAnsi="Times New Roman"/>
              </w:rPr>
              <w:t>Total finansiering som förlängts den relevanta dagen i rapporteringsperioden med en ursprunglig löptid på mellan 1 månad och 3 månader ska rapporteras i kolumn 0180 för post 1.1–1.31.</w:t>
            </w:r>
          </w:p>
          <w:p w14:paraId="7A9947A9" w14:textId="1B33C53B" w:rsidR="007C6B89" w:rsidRPr="00C06E54" w:rsidRDefault="007C6B89" w:rsidP="00193B6D">
            <w:pPr>
              <w:rPr>
                <w:rFonts w:ascii="Times New Roman" w:hAnsi="Times New Roman"/>
                <w:szCs w:val="20"/>
              </w:rPr>
            </w:pPr>
            <w:r w:rsidRPr="00C06E54">
              <w:rPr>
                <w:rFonts w:ascii="Times New Roman" w:hAnsi="Times New Roman"/>
              </w:rPr>
              <w:t>Total ny finansiering som erhållits den relevanta dagen i rapporteringsperioden med en ursprunglig löptid på mellan 1 månad och 3 månader ska rapporteras i kolumn 0190 för post 1.1–1.31.</w:t>
            </w:r>
          </w:p>
          <w:p w14:paraId="655F0B6A" w14:textId="572310E6" w:rsidR="00ED41A4" w:rsidRPr="00C06E54" w:rsidRDefault="007C6B89" w:rsidP="00193B6D">
            <w:pPr>
              <w:rPr>
                <w:rFonts w:ascii="Times New Roman" w:hAnsi="Times New Roman"/>
                <w:b/>
                <w:szCs w:val="20"/>
                <w:u w:val="single"/>
              </w:rPr>
            </w:pPr>
            <w:r w:rsidRPr="00C06E54">
              <w:rPr>
                <w:rFonts w:ascii="Times New Roman" w:hAnsi="Times New Roman"/>
              </w:rPr>
              <w:t>Nettoskillnaden mellan å ena sidan finansiering som förfaller och å andra sidan förlängd plus ny finansiering ska rapporteras i kolumn 0200 för post 1.1–1.31.</w:t>
            </w:r>
          </w:p>
        </w:tc>
      </w:tr>
      <w:tr w:rsidR="00ED41A4" w:rsidRPr="00C06E54" w14:paraId="0C7B73A0" w14:textId="77777777" w:rsidTr="00ED41A4">
        <w:trPr>
          <w:trHeight w:val="765"/>
        </w:trPr>
        <w:tc>
          <w:tcPr>
            <w:tcW w:w="729" w:type="pct"/>
            <w:shd w:val="clear" w:color="auto" w:fill="auto"/>
            <w:noWrap/>
          </w:tcPr>
          <w:p w14:paraId="31DA83DD" w14:textId="68560FBD" w:rsidR="00ED41A4" w:rsidRPr="00C06E54" w:rsidRDefault="00C90DF5" w:rsidP="00BD24C1">
            <w:pPr>
              <w:spacing w:before="0" w:after="0"/>
              <w:jc w:val="left"/>
              <w:rPr>
                <w:rFonts w:ascii="Times New Roman" w:hAnsi="Times New Roman"/>
                <w:color w:val="000000"/>
                <w:szCs w:val="20"/>
              </w:rPr>
            </w:pPr>
            <w:r w:rsidRPr="00C06E54">
              <w:rPr>
                <w:rFonts w:ascii="Times New Roman" w:hAnsi="Times New Roman"/>
                <w:color w:val="000000"/>
              </w:rPr>
              <w:t>0210–0240</w:t>
            </w:r>
          </w:p>
        </w:tc>
        <w:tc>
          <w:tcPr>
            <w:tcW w:w="4271" w:type="pct"/>
            <w:shd w:val="clear" w:color="auto" w:fill="auto"/>
          </w:tcPr>
          <w:p w14:paraId="27019293" w14:textId="77777777" w:rsidR="005A40BE" w:rsidRPr="00C06E54" w:rsidRDefault="005A40BE" w:rsidP="00193B6D">
            <w:pPr>
              <w:rPr>
                <w:rFonts w:ascii="Times New Roman" w:hAnsi="Times New Roman"/>
                <w:b/>
                <w:szCs w:val="20"/>
                <w:u w:val="single"/>
              </w:rPr>
            </w:pPr>
            <w:r w:rsidRPr="00C06E54">
              <w:rPr>
                <w:rFonts w:ascii="Times New Roman" w:hAnsi="Times New Roman"/>
                <w:b/>
                <w:u w:val="single"/>
              </w:rPr>
              <w:t>&gt; 3 månader ≤ 6 månader</w:t>
            </w:r>
          </w:p>
          <w:p w14:paraId="0260CA5A" w14:textId="01087905" w:rsidR="006044FF" w:rsidRPr="00C06E54" w:rsidRDefault="005A40BE" w:rsidP="00193B6D">
            <w:pPr>
              <w:rPr>
                <w:rFonts w:ascii="Times New Roman" w:hAnsi="Times New Roman"/>
                <w:szCs w:val="20"/>
              </w:rPr>
            </w:pPr>
            <w:r w:rsidRPr="00C06E54">
              <w:rPr>
                <w:rFonts w:ascii="Times New Roman" w:hAnsi="Times New Roman"/>
              </w:rPr>
              <w:t>Total finansiering som förfaller den relevanta dagen i rapporteringsperioden med en ursprunglig löptid på mellan 3 och 6 månader ska rapporteras i kolumn 0210 för post 1.1–1.31. För månader som består av färre än 31 dagar, liksom för veckoslut, ska rader som inte är relevanta lämnas tomma.</w:t>
            </w:r>
          </w:p>
          <w:p w14:paraId="563F93F8" w14:textId="263DC9E2" w:rsidR="003E371A" w:rsidRPr="00C06E54" w:rsidRDefault="003E371A" w:rsidP="00193B6D">
            <w:pPr>
              <w:rPr>
                <w:rFonts w:ascii="Times New Roman" w:hAnsi="Times New Roman"/>
                <w:szCs w:val="20"/>
              </w:rPr>
            </w:pPr>
            <w:r w:rsidRPr="00C06E54">
              <w:rPr>
                <w:rFonts w:ascii="Times New Roman" w:hAnsi="Times New Roman"/>
              </w:rPr>
              <w:t>Total finansiering som förlängts den relevanta dagen i rapporteringsperioden med en ursprunglig löptid på mellan 3 och 6 månader ska rapporteras i kolumn 0220 för post 1.1–1.31.</w:t>
            </w:r>
          </w:p>
          <w:p w14:paraId="601C708E" w14:textId="48140626" w:rsidR="005A40BE" w:rsidRPr="00C06E54" w:rsidRDefault="005A40BE" w:rsidP="00193B6D">
            <w:pPr>
              <w:rPr>
                <w:rFonts w:ascii="Times New Roman" w:hAnsi="Times New Roman"/>
                <w:szCs w:val="20"/>
              </w:rPr>
            </w:pPr>
            <w:r w:rsidRPr="00C06E54">
              <w:rPr>
                <w:rFonts w:ascii="Times New Roman" w:hAnsi="Times New Roman"/>
              </w:rPr>
              <w:t>Total ny finansiering som erhållits den relevanta dagen i rapporteringsperioden med en ursprunglig löptid på mellan 3 och 6 månader ska rapporteras i kolumn 0230 för post 1.1–1.31.</w:t>
            </w:r>
          </w:p>
          <w:p w14:paraId="3E16D1CD" w14:textId="0E6E50F6" w:rsidR="00ED41A4" w:rsidRPr="00C06E54" w:rsidRDefault="005A40BE" w:rsidP="00193B6D">
            <w:pPr>
              <w:rPr>
                <w:rFonts w:ascii="Times New Roman" w:hAnsi="Times New Roman"/>
                <w:b/>
                <w:szCs w:val="20"/>
                <w:u w:val="single"/>
              </w:rPr>
            </w:pPr>
            <w:r w:rsidRPr="00C06E54">
              <w:rPr>
                <w:rFonts w:ascii="Times New Roman" w:hAnsi="Times New Roman"/>
              </w:rPr>
              <w:t>Nettoskillnaden mellan å ena sidan finansiering som förfaller och å andra sidan förlängd plus ny finansiering ska rapporteras i kolumn 0240 för post 1.1–1.31.</w:t>
            </w:r>
          </w:p>
        </w:tc>
      </w:tr>
      <w:tr w:rsidR="00ED41A4" w:rsidRPr="00C06E54" w14:paraId="3D6EC655" w14:textId="77777777" w:rsidTr="00ED41A4">
        <w:trPr>
          <w:trHeight w:val="765"/>
        </w:trPr>
        <w:tc>
          <w:tcPr>
            <w:tcW w:w="729" w:type="pct"/>
            <w:shd w:val="clear" w:color="auto" w:fill="auto"/>
            <w:noWrap/>
          </w:tcPr>
          <w:p w14:paraId="770F85E8" w14:textId="68C86721" w:rsidR="00ED41A4" w:rsidRPr="00C06E54" w:rsidRDefault="00C90DF5" w:rsidP="00BD24C1">
            <w:pPr>
              <w:spacing w:before="0" w:after="0"/>
              <w:jc w:val="left"/>
              <w:rPr>
                <w:rFonts w:ascii="Times New Roman" w:hAnsi="Times New Roman"/>
                <w:color w:val="000000"/>
                <w:szCs w:val="20"/>
              </w:rPr>
            </w:pPr>
            <w:r w:rsidRPr="00C06E54">
              <w:rPr>
                <w:rFonts w:ascii="Times New Roman" w:hAnsi="Times New Roman"/>
                <w:color w:val="000000"/>
              </w:rPr>
              <w:t>0250–0280</w:t>
            </w:r>
          </w:p>
        </w:tc>
        <w:tc>
          <w:tcPr>
            <w:tcW w:w="4271" w:type="pct"/>
            <w:shd w:val="clear" w:color="auto" w:fill="auto"/>
          </w:tcPr>
          <w:p w14:paraId="29910BBF" w14:textId="77777777" w:rsidR="00ED41A4" w:rsidRPr="00C06E54" w:rsidRDefault="005A40BE" w:rsidP="00193B6D">
            <w:pPr>
              <w:rPr>
                <w:rFonts w:ascii="Times New Roman" w:hAnsi="Times New Roman"/>
                <w:b/>
                <w:szCs w:val="20"/>
                <w:u w:val="single"/>
              </w:rPr>
            </w:pPr>
            <w:r w:rsidRPr="00C06E54">
              <w:rPr>
                <w:rFonts w:ascii="Times New Roman" w:hAnsi="Times New Roman"/>
                <w:b/>
                <w:u w:val="single"/>
              </w:rPr>
              <w:t>&gt; 6 månader</w:t>
            </w:r>
          </w:p>
          <w:p w14:paraId="3C7C589B" w14:textId="433DBEBB" w:rsidR="007C6B89" w:rsidRPr="00C06E54" w:rsidRDefault="007C6B89" w:rsidP="00193B6D">
            <w:pPr>
              <w:rPr>
                <w:rFonts w:ascii="Times New Roman" w:hAnsi="Times New Roman"/>
                <w:szCs w:val="20"/>
              </w:rPr>
            </w:pPr>
            <w:r w:rsidRPr="00C06E54">
              <w:rPr>
                <w:rFonts w:ascii="Times New Roman" w:hAnsi="Times New Roman"/>
              </w:rPr>
              <w:t>Total finansiering som förfaller den relevanta dagen i rapporteringsperioden med en ursprunglig löptid på mer än 6 månader ska rapporteras i kolumn 0250 för post 1.1–1.31. För månader som består av färre än 31 dagar, liksom för veckoslut, ska rader som inte är relevanta lämnas tomma.</w:t>
            </w:r>
          </w:p>
          <w:p w14:paraId="09601152" w14:textId="25476A9D" w:rsidR="003E371A" w:rsidRPr="00C06E54" w:rsidRDefault="003E371A" w:rsidP="00193B6D">
            <w:pPr>
              <w:rPr>
                <w:rFonts w:ascii="Times New Roman" w:hAnsi="Times New Roman"/>
                <w:szCs w:val="20"/>
              </w:rPr>
            </w:pPr>
            <w:r w:rsidRPr="00C06E54">
              <w:rPr>
                <w:rFonts w:ascii="Times New Roman" w:hAnsi="Times New Roman"/>
              </w:rPr>
              <w:t>Total finansiering som förlängts den relevanta dagen i rapporteringsperioden med en ursprunglig löptid på mer än 6 månader ska rapporteras i kolumn 0260 för post 1.1–1.31.</w:t>
            </w:r>
          </w:p>
          <w:p w14:paraId="4585368E" w14:textId="58DDCB2B" w:rsidR="007C6B89" w:rsidRPr="00C06E54" w:rsidRDefault="007C6B89" w:rsidP="00193B6D">
            <w:pPr>
              <w:rPr>
                <w:rFonts w:ascii="Times New Roman" w:hAnsi="Times New Roman"/>
                <w:szCs w:val="20"/>
              </w:rPr>
            </w:pPr>
            <w:r w:rsidRPr="00C06E54">
              <w:rPr>
                <w:rFonts w:ascii="Times New Roman" w:hAnsi="Times New Roman"/>
              </w:rPr>
              <w:t>Total ny finansiering som erhållits den relevanta dagen i rapporteringsperioden med en ursprunglig löptid på mer än 6 månader ska rapporteras i kolumn 0270 för post 1.1–1.31.</w:t>
            </w:r>
          </w:p>
          <w:p w14:paraId="228AAF2B" w14:textId="3C1E7152" w:rsidR="00ED41A4" w:rsidRPr="00C06E54" w:rsidRDefault="007C6B89" w:rsidP="00193B6D">
            <w:pPr>
              <w:rPr>
                <w:rFonts w:ascii="Times New Roman" w:hAnsi="Times New Roman"/>
                <w:b/>
                <w:szCs w:val="20"/>
                <w:u w:val="single"/>
              </w:rPr>
            </w:pPr>
            <w:r w:rsidRPr="00C06E54">
              <w:rPr>
                <w:rFonts w:ascii="Times New Roman" w:hAnsi="Times New Roman"/>
              </w:rPr>
              <w:t>Nettoskillnaden mellan å ena sidan finansiering som förfaller och å andra sidan förlängd plus ny finansiering ska rapporteras i kolumn 0280 för post 1.1–1.31.</w:t>
            </w:r>
          </w:p>
        </w:tc>
      </w:tr>
      <w:tr w:rsidR="00ED41A4" w:rsidRPr="00C06E54" w14:paraId="26CA8238" w14:textId="77777777" w:rsidTr="00ED41A4">
        <w:trPr>
          <w:trHeight w:val="765"/>
        </w:trPr>
        <w:tc>
          <w:tcPr>
            <w:tcW w:w="729" w:type="pct"/>
            <w:shd w:val="clear" w:color="auto" w:fill="auto"/>
            <w:noWrap/>
          </w:tcPr>
          <w:p w14:paraId="5DBB902E" w14:textId="2A70BAFE" w:rsidR="00ED41A4" w:rsidRPr="00C06E54" w:rsidRDefault="00C90DF5" w:rsidP="00BD24C1">
            <w:pPr>
              <w:spacing w:before="0" w:after="0"/>
              <w:jc w:val="left"/>
              <w:rPr>
                <w:rFonts w:ascii="Times New Roman" w:hAnsi="Times New Roman"/>
                <w:color w:val="000000"/>
                <w:szCs w:val="20"/>
              </w:rPr>
            </w:pPr>
            <w:r w:rsidRPr="00C06E54">
              <w:rPr>
                <w:rFonts w:ascii="Times New Roman" w:hAnsi="Times New Roman"/>
                <w:color w:val="000000"/>
              </w:rPr>
              <w:lastRenderedPageBreak/>
              <w:t>0290</w:t>
            </w:r>
          </w:p>
        </w:tc>
        <w:tc>
          <w:tcPr>
            <w:tcW w:w="4271" w:type="pct"/>
            <w:shd w:val="clear" w:color="auto" w:fill="auto"/>
          </w:tcPr>
          <w:p w14:paraId="7F9724BA" w14:textId="77777777" w:rsidR="00ED41A4" w:rsidRPr="00C06E54" w:rsidRDefault="00ED41A4" w:rsidP="00193B6D">
            <w:pPr>
              <w:rPr>
                <w:rFonts w:ascii="Times New Roman" w:hAnsi="Times New Roman"/>
                <w:b/>
                <w:szCs w:val="20"/>
                <w:u w:val="single"/>
              </w:rPr>
            </w:pPr>
            <w:r w:rsidRPr="00C06E54">
              <w:rPr>
                <w:rFonts w:ascii="Times New Roman" w:hAnsi="Times New Roman"/>
                <w:b/>
                <w:u w:val="single"/>
              </w:rPr>
              <w:t>Totalt nettokassaflöde</w:t>
            </w:r>
          </w:p>
          <w:p w14:paraId="6468E29D" w14:textId="4F8BA686" w:rsidR="007C6B89" w:rsidRPr="00C06E54" w:rsidRDefault="007C6B89" w:rsidP="001861B7">
            <w:pPr>
              <w:rPr>
                <w:rFonts w:ascii="Times New Roman" w:hAnsi="Times New Roman"/>
                <w:b/>
                <w:szCs w:val="20"/>
                <w:u w:val="single"/>
              </w:rPr>
            </w:pPr>
            <w:r w:rsidRPr="00C06E54">
              <w:rPr>
                <w:rFonts w:ascii="Times New Roman" w:hAnsi="Times New Roman"/>
              </w:rPr>
              <w:t>De totala nettokassaflödena ska vara lika med summan av alla ”nettokolumner”, dvs. 0040, 0080, 0120, 0160, 0200, 0240 och 0280) ska rapporteras i kolumn 0290.</w:t>
            </w:r>
          </w:p>
        </w:tc>
      </w:tr>
      <w:tr w:rsidR="00ED41A4" w:rsidRPr="00C06E54" w14:paraId="18A531BD" w14:textId="77777777" w:rsidTr="00ED41A4">
        <w:trPr>
          <w:trHeight w:val="765"/>
        </w:trPr>
        <w:tc>
          <w:tcPr>
            <w:tcW w:w="729" w:type="pct"/>
            <w:shd w:val="clear" w:color="auto" w:fill="auto"/>
            <w:noWrap/>
          </w:tcPr>
          <w:p w14:paraId="41F26860" w14:textId="63406B78" w:rsidR="00ED41A4" w:rsidRPr="00C06E54" w:rsidRDefault="00C90DF5" w:rsidP="002C0AF3">
            <w:pPr>
              <w:spacing w:before="0" w:after="0"/>
              <w:jc w:val="left"/>
              <w:rPr>
                <w:rFonts w:ascii="Times New Roman" w:hAnsi="Times New Roman"/>
                <w:color w:val="000000"/>
                <w:szCs w:val="20"/>
              </w:rPr>
            </w:pPr>
            <w:r w:rsidRPr="00C06E54">
              <w:rPr>
                <w:rFonts w:ascii="Times New Roman" w:hAnsi="Times New Roman"/>
                <w:color w:val="000000"/>
              </w:rPr>
              <w:t>0300–0320</w:t>
            </w:r>
          </w:p>
        </w:tc>
        <w:tc>
          <w:tcPr>
            <w:tcW w:w="4271" w:type="pct"/>
            <w:shd w:val="clear" w:color="auto" w:fill="auto"/>
          </w:tcPr>
          <w:p w14:paraId="0B9AF00A" w14:textId="77777777" w:rsidR="00ED41A4" w:rsidRPr="00C06E54" w:rsidRDefault="00ED41A4" w:rsidP="00193B6D">
            <w:pPr>
              <w:rPr>
                <w:rFonts w:ascii="Times New Roman" w:hAnsi="Times New Roman"/>
                <w:b/>
                <w:szCs w:val="20"/>
                <w:u w:val="single"/>
              </w:rPr>
            </w:pPr>
            <w:r w:rsidRPr="00C06E54">
              <w:rPr>
                <w:rFonts w:ascii="Times New Roman" w:hAnsi="Times New Roman"/>
                <w:b/>
                <w:u w:val="single"/>
              </w:rPr>
              <w:t>Genomsnittlig avtalstid (dagar)</w:t>
            </w:r>
          </w:p>
          <w:p w14:paraId="51F755D8" w14:textId="5AE9998A" w:rsidR="007C6B89" w:rsidRPr="00C06E54" w:rsidRDefault="007C6B89" w:rsidP="00193B6D">
            <w:pPr>
              <w:rPr>
                <w:rFonts w:ascii="Times New Roman" w:hAnsi="Times New Roman"/>
                <w:b/>
                <w:szCs w:val="20"/>
                <w:u w:val="single"/>
              </w:rPr>
            </w:pPr>
            <w:r w:rsidRPr="00C06E54">
              <w:rPr>
                <w:rFonts w:ascii="Times New Roman" w:hAnsi="Times New Roman"/>
              </w:rPr>
              <w:t>Den viktade genomsnittliga löptiden (i dagar) för finansiering som förfaller ska rapporteras i kolumn 0300. Den viktade genomsnittliga löptiden, i dagar, för all finansiering som förlängts ska rapporteras i kolumn 0310, den viktade genomsnittliga löptiden, i dagar, för all ny finansiering ska rapporteras i kolumn 0320.</w:t>
            </w:r>
          </w:p>
        </w:tc>
      </w:tr>
    </w:tbl>
    <w:p w14:paraId="1471D337" w14:textId="02B89222" w:rsidR="00ED41A4" w:rsidRPr="00C06E54" w:rsidRDefault="008E1DE8" w:rsidP="004E79EF">
      <w:pPr>
        <w:pStyle w:val="InstructionsText2"/>
        <w:numPr>
          <w:ilvl w:val="0"/>
          <w:numId w:val="0"/>
        </w:numPr>
        <w:ind w:left="720"/>
        <w:rPr>
          <w:u w:val="none"/>
        </w:rPr>
      </w:pPr>
      <w:r w:rsidRPr="00C06E54">
        <w:rPr>
          <w:u w:val="none"/>
        </w:rPr>
        <w:t>”</w:t>
      </w:r>
    </w:p>
    <w:sectPr w:rsidR="00ED41A4" w:rsidRPr="00C06E54"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047415822">
    <w:abstractNumId w:val="31"/>
  </w:num>
  <w:num w:numId="2" w16cid:durableId="1096251427">
    <w:abstractNumId w:val="30"/>
  </w:num>
  <w:num w:numId="3" w16cid:durableId="1938325338">
    <w:abstractNumId w:val="23"/>
  </w:num>
  <w:num w:numId="4" w16cid:durableId="98717900">
    <w:abstractNumId w:val="39"/>
  </w:num>
  <w:num w:numId="5" w16cid:durableId="970787413">
    <w:abstractNumId w:val="37"/>
  </w:num>
  <w:num w:numId="6" w16cid:durableId="1754474958">
    <w:abstractNumId w:val="26"/>
  </w:num>
  <w:num w:numId="7" w16cid:durableId="1212232389">
    <w:abstractNumId w:val="13"/>
  </w:num>
  <w:num w:numId="8" w16cid:durableId="35392474">
    <w:abstractNumId w:val="24"/>
  </w:num>
  <w:num w:numId="9" w16cid:durableId="486823432">
    <w:abstractNumId w:val="20"/>
  </w:num>
  <w:num w:numId="10" w16cid:durableId="1399550346">
    <w:abstractNumId w:val="35"/>
  </w:num>
  <w:num w:numId="11" w16cid:durableId="1798327390">
    <w:abstractNumId w:val="27"/>
  </w:num>
  <w:num w:numId="12" w16cid:durableId="809246257">
    <w:abstractNumId w:val="18"/>
  </w:num>
  <w:num w:numId="13" w16cid:durableId="1464232294">
    <w:abstractNumId w:val="21"/>
  </w:num>
  <w:num w:numId="14" w16cid:durableId="1483813967">
    <w:abstractNumId w:val="34"/>
  </w:num>
  <w:num w:numId="15" w16cid:durableId="1959600231">
    <w:abstractNumId w:val="12"/>
  </w:num>
  <w:num w:numId="16" w16cid:durableId="1497108480">
    <w:abstractNumId w:val="17"/>
  </w:num>
  <w:num w:numId="17" w16cid:durableId="183902412">
    <w:abstractNumId w:val="29"/>
  </w:num>
  <w:num w:numId="18" w16cid:durableId="627474318">
    <w:abstractNumId w:val="36"/>
  </w:num>
  <w:num w:numId="19" w16cid:durableId="129717374">
    <w:abstractNumId w:val="38"/>
  </w:num>
  <w:num w:numId="20" w16cid:durableId="2043939544">
    <w:abstractNumId w:val="32"/>
  </w:num>
  <w:num w:numId="21" w16cid:durableId="2120643338">
    <w:abstractNumId w:val="33"/>
  </w:num>
  <w:num w:numId="22" w16cid:durableId="412700445">
    <w:abstractNumId w:val="14"/>
  </w:num>
  <w:num w:numId="23" w16cid:durableId="872688629">
    <w:abstractNumId w:val="22"/>
  </w:num>
  <w:num w:numId="24" w16cid:durableId="922879535">
    <w:abstractNumId w:val="25"/>
  </w:num>
  <w:num w:numId="25" w16cid:durableId="1686247773">
    <w:abstractNumId w:val="23"/>
  </w:num>
  <w:num w:numId="26" w16cid:durableId="1719283393">
    <w:abstractNumId w:val="23"/>
  </w:num>
  <w:num w:numId="27" w16cid:durableId="719330763">
    <w:abstractNumId w:val="23"/>
  </w:num>
  <w:num w:numId="28" w16cid:durableId="1196961902">
    <w:abstractNumId w:val="19"/>
  </w:num>
  <w:num w:numId="29" w16cid:durableId="1910267101">
    <w:abstractNumId w:val="28"/>
  </w:num>
  <w:num w:numId="30" w16cid:durableId="1105074405">
    <w:abstractNumId w:val="23"/>
  </w:num>
  <w:num w:numId="31" w16cid:durableId="1594240778">
    <w:abstractNumId w:val="11"/>
  </w:num>
  <w:num w:numId="32" w16cid:durableId="1482506012">
    <w:abstractNumId w:val="10"/>
  </w:num>
  <w:num w:numId="33" w16cid:durableId="2013339853">
    <w:abstractNumId w:val="16"/>
  </w:num>
  <w:num w:numId="34" w16cid:durableId="827791936">
    <w:abstractNumId w:val="15"/>
  </w:num>
  <w:num w:numId="35" w16cid:durableId="1111681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4890586">
    <w:abstractNumId w:val="9"/>
  </w:num>
  <w:num w:numId="37" w16cid:durableId="955409740">
    <w:abstractNumId w:val="7"/>
  </w:num>
  <w:num w:numId="38" w16cid:durableId="1818767039">
    <w:abstractNumId w:val="6"/>
  </w:num>
  <w:num w:numId="39" w16cid:durableId="645669868">
    <w:abstractNumId w:val="5"/>
  </w:num>
  <w:num w:numId="40" w16cid:durableId="15158470">
    <w:abstractNumId w:val="4"/>
  </w:num>
  <w:num w:numId="41" w16cid:durableId="563413513">
    <w:abstractNumId w:val="8"/>
  </w:num>
  <w:num w:numId="42" w16cid:durableId="1084836442">
    <w:abstractNumId w:val="3"/>
  </w:num>
  <w:num w:numId="43" w16cid:durableId="793867156">
    <w:abstractNumId w:val="2"/>
  </w:num>
  <w:num w:numId="44" w16cid:durableId="682438130">
    <w:abstractNumId w:val="1"/>
  </w:num>
  <w:num w:numId="45" w16cid:durableId="476261752">
    <w:abstractNumId w:val="0"/>
  </w:num>
  <w:num w:numId="46" w16cid:durableId="64003896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6E54"/>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v-S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v-S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sv-S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v-SE" w:eastAsia="en-US" w:bidi="ar-SA"/>
    </w:rPr>
  </w:style>
  <w:style w:type="character" w:customStyle="1" w:styleId="FunoteChar">
    <w:name w:val="Fußnote Char"/>
    <w:aliases w:val=" Char Char Char"/>
    <w:semiHidden/>
    <w:rsid w:val="009D253B"/>
    <w:rPr>
      <w:rFonts w:ascii="Arial" w:hAnsi="Arial"/>
      <w:sz w:val="18"/>
      <w:lang w:val="sv-S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v-S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v-S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v-S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v-S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sv-SE" w:eastAsia="de-AT"/>
    </w:rPr>
  </w:style>
  <w:style w:type="character" w:customStyle="1" w:styleId="BalloonTextChar">
    <w:name w:val="Balloon Text Char"/>
    <w:link w:val="BalloonText"/>
    <w:semiHidden/>
    <w:rsid w:val="00167536"/>
    <w:rPr>
      <w:rFonts w:ascii="Tahoma" w:hAnsi="Tahoma" w:cs="Tahoma"/>
      <w:sz w:val="16"/>
      <w:szCs w:val="16"/>
      <w:lang w:val="sv-SE" w:eastAsia="en-US"/>
    </w:rPr>
  </w:style>
  <w:style w:type="character" w:customStyle="1" w:styleId="PlainTextChar">
    <w:name w:val="Plain Text Char"/>
    <w:link w:val="PlainText"/>
    <w:semiHidden/>
    <w:rsid w:val="00167536"/>
    <w:rPr>
      <w:rFonts w:ascii="Consolas" w:hAnsi="Consolas"/>
      <w:sz w:val="21"/>
      <w:szCs w:val="21"/>
      <w:lang w:val="sv-S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v-SE" w:eastAsia="en-US"/>
    </w:rPr>
  </w:style>
  <w:style w:type="character" w:customStyle="1" w:styleId="FooterCoverPageChar">
    <w:name w:val="Footer Cover Page Char"/>
    <w:link w:val="FooterCoverPage"/>
    <w:rsid w:val="00167536"/>
    <w:rPr>
      <w:color w:val="4F81BD"/>
      <w:sz w:val="24"/>
      <w:szCs w:val="24"/>
      <w:lang w:val="sv-S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v-S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E5DB5BF8-2AD9-4653-9842-C8B250EF98F2}"/>
</file>

<file path=customXml/itemProps3.xml><?xml version="1.0" encoding="utf-8"?>
<ds:datastoreItem xmlns:ds="http://schemas.openxmlformats.org/officeDocument/2006/customXml" ds:itemID="{1894E46B-CBD4-41B7-AFE5-9AC28604038C}"/>
</file>

<file path=customXml/itemProps4.xml><?xml version="1.0" encoding="utf-8"?>
<ds:datastoreItem xmlns:ds="http://schemas.openxmlformats.org/officeDocument/2006/customXml" ds:itemID="{101AE61B-BB22-4214-BC95-BC55C622ED09}"/>
</file>

<file path=docProps/app.xml><?xml version="1.0" encoding="utf-8"?>
<Properties xmlns="http://schemas.openxmlformats.org/officeDocument/2006/extended-properties" xmlns:vt="http://schemas.openxmlformats.org/officeDocument/2006/docPropsVTypes">
  <Template>Normal.dotm</Template>
  <TotalTime>0</TotalTime>
  <Pages>13</Pages>
  <Words>4971</Words>
  <Characters>28288</Characters>
  <Application>Microsoft Office Word</Application>
  <DocSecurity>0</DocSecurity>
  <Lines>642</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2025-01-16T10:30:00Z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2025-01-16T10:30:11Z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35067143-9b4e-4831-9f8f-55a24e22660f</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