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FI</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LIITE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”LIITE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RAPORTOINTIOHJEET G-SII-LAITOSTEN JA NIIDEN PUSKURIKANNAN MÄÄRITTÄMISEKSI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Sisällysluettelo</w:t>
      </w:r>
    </w:p>
    <w:p w14:paraId="6C5DD51B" w14:textId="38C1BD30" w:rsidR="00EF1798"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8543311" w:history="1">
        <w:r w:rsidR="00EF1798" w:rsidRPr="00CC6BE8">
          <w:rPr>
            <w:rStyle w:val="Hyperlink"/>
          </w:rPr>
          <w:t>I OSA: YLEISET OHJEET</w:t>
        </w:r>
        <w:r w:rsidR="00EF1798">
          <w:rPr>
            <w:webHidden/>
          </w:rPr>
          <w:tab/>
        </w:r>
        <w:r w:rsidR="00EF1798">
          <w:rPr>
            <w:webHidden/>
          </w:rPr>
          <w:fldChar w:fldCharType="begin"/>
        </w:r>
        <w:r w:rsidR="00EF1798">
          <w:rPr>
            <w:webHidden/>
          </w:rPr>
          <w:instrText xml:space="preserve"> PAGEREF _Toc188543311 \h </w:instrText>
        </w:r>
        <w:r w:rsidR="00EF1798">
          <w:rPr>
            <w:webHidden/>
          </w:rPr>
        </w:r>
        <w:r w:rsidR="00EF1798">
          <w:rPr>
            <w:webHidden/>
          </w:rPr>
          <w:fldChar w:fldCharType="separate"/>
        </w:r>
        <w:r w:rsidR="00EF1798">
          <w:rPr>
            <w:webHidden/>
          </w:rPr>
          <w:t>2</w:t>
        </w:r>
        <w:r w:rsidR="00EF1798">
          <w:rPr>
            <w:webHidden/>
          </w:rPr>
          <w:fldChar w:fldCharType="end"/>
        </w:r>
      </w:hyperlink>
    </w:p>
    <w:p w14:paraId="66C55FD2" w14:textId="534AB262"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2" w:history="1">
        <w:r w:rsidRPr="00CC6BE8">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CC6BE8">
          <w:rPr>
            <w:rStyle w:val="Hyperlink"/>
          </w:rPr>
          <w:t>Rakenne ja käytännöt</w:t>
        </w:r>
        <w:r>
          <w:rPr>
            <w:webHidden/>
          </w:rPr>
          <w:tab/>
        </w:r>
        <w:r>
          <w:rPr>
            <w:webHidden/>
          </w:rPr>
          <w:fldChar w:fldCharType="begin"/>
        </w:r>
        <w:r>
          <w:rPr>
            <w:webHidden/>
          </w:rPr>
          <w:instrText xml:space="preserve"> PAGEREF _Toc188543312 \h </w:instrText>
        </w:r>
        <w:r>
          <w:rPr>
            <w:webHidden/>
          </w:rPr>
        </w:r>
        <w:r>
          <w:rPr>
            <w:webHidden/>
          </w:rPr>
          <w:fldChar w:fldCharType="separate"/>
        </w:r>
        <w:r>
          <w:rPr>
            <w:webHidden/>
          </w:rPr>
          <w:t>2</w:t>
        </w:r>
        <w:r>
          <w:rPr>
            <w:webHidden/>
          </w:rPr>
          <w:fldChar w:fldCharType="end"/>
        </w:r>
      </w:hyperlink>
    </w:p>
    <w:p w14:paraId="3CF9F499" w14:textId="54AF7169"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3" w:history="1">
        <w:r w:rsidRPr="00CC6BE8">
          <w:rPr>
            <w:rStyle w:val="Hyperlink"/>
          </w:rPr>
          <w:t>1.1.</w:t>
        </w:r>
        <w:r>
          <w:rPr>
            <w:rFonts w:asciiTheme="minorHAnsi" w:eastAsiaTheme="minorEastAsia" w:hAnsiTheme="minorHAnsi" w:cstheme="minorBidi"/>
            <w:b w:val="0"/>
            <w:smallCaps w:val="0"/>
            <w:kern w:val="2"/>
            <w:sz w:val="22"/>
            <w:lang w:val="en-IE" w:eastAsia="en-IE"/>
            <w14:ligatures w14:val="standardContextual"/>
          </w:rPr>
          <w:tab/>
        </w:r>
        <w:r w:rsidRPr="00CC6BE8">
          <w:rPr>
            <w:rStyle w:val="Hyperlink"/>
          </w:rPr>
          <w:t>Rakenne</w:t>
        </w:r>
        <w:r>
          <w:rPr>
            <w:webHidden/>
          </w:rPr>
          <w:tab/>
        </w:r>
        <w:r>
          <w:rPr>
            <w:webHidden/>
          </w:rPr>
          <w:fldChar w:fldCharType="begin"/>
        </w:r>
        <w:r>
          <w:rPr>
            <w:webHidden/>
          </w:rPr>
          <w:instrText xml:space="preserve"> PAGEREF _Toc188543313 \h </w:instrText>
        </w:r>
        <w:r>
          <w:rPr>
            <w:webHidden/>
          </w:rPr>
        </w:r>
        <w:r>
          <w:rPr>
            <w:webHidden/>
          </w:rPr>
          <w:fldChar w:fldCharType="separate"/>
        </w:r>
        <w:r>
          <w:rPr>
            <w:webHidden/>
          </w:rPr>
          <w:t>2</w:t>
        </w:r>
        <w:r>
          <w:rPr>
            <w:webHidden/>
          </w:rPr>
          <w:fldChar w:fldCharType="end"/>
        </w:r>
      </w:hyperlink>
    </w:p>
    <w:p w14:paraId="5C296E58" w14:textId="55848632"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4" w:history="1">
        <w:r w:rsidRPr="00CC6BE8">
          <w:rPr>
            <w:rStyle w:val="Hyperlink"/>
          </w:rPr>
          <w:t>1.2.</w:t>
        </w:r>
        <w:r>
          <w:rPr>
            <w:rFonts w:asciiTheme="minorHAnsi" w:eastAsiaTheme="minorEastAsia" w:hAnsiTheme="minorHAnsi" w:cstheme="minorBidi"/>
            <w:b w:val="0"/>
            <w:smallCaps w:val="0"/>
            <w:kern w:val="2"/>
            <w:sz w:val="22"/>
            <w:lang w:val="en-IE" w:eastAsia="en-IE"/>
            <w14:ligatures w14:val="standardContextual"/>
          </w:rPr>
          <w:tab/>
        </w:r>
        <w:r w:rsidRPr="00CC6BE8">
          <w:rPr>
            <w:rStyle w:val="Hyperlink"/>
          </w:rPr>
          <w:t>Numerointikäytäntö</w:t>
        </w:r>
        <w:r>
          <w:rPr>
            <w:webHidden/>
          </w:rPr>
          <w:tab/>
        </w:r>
        <w:r>
          <w:rPr>
            <w:webHidden/>
          </w:rPr>
          <w:fldChar w:fldCharType="begin"/>
        </w:r>
        <w:r>
          <w:rPr>
            <w:webHidden/>
          </w:rPr>
          <w:instrText xml:space="preserve"> PAGEREF _Toc188543314 \h </w:instrText>
        </w:r>
        <w:r>
          <w:rPr>
            <w:webHidden/>
          </w:rPr>
        </w:r>
        <w:r>
          <w:rPr>
            <w:webHidden/>
          </w:rPr>
          <w:fldChar w:fldCharType="separate"/>
        </w:r>
        <w:r>
          <w:rPr>
            <w:webHidden/>
          </w:rPr>
          <w:t>2</w:t>
        </w:r>
        <w:r>
          <w:rPr>
            <w:webHidden/>
          </w:rPr>
          <w:fldChar w:fldCharType="end"/>
        </w:r>
      </w:hyperlink>
    </w:p>
    <w:p w14:paraId="3C7AFADD" w14:textId="38741EE2"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5" w:history="1">
        <w:r w:rsidRPr="00CC6BE8">
          <w:rPr>
            <w:rStyle w:val="Hyperlink"/>
          </w:rPr>
          <w:t>1.3.</w:t>
        </w:r>
        <w:r>
          <w:rPr>
            <w:rFonts w:asciiTheme="minorHAnsi" w:eastAsiaTheme="minorEastAsia" w:hAnsiTheme="minorHAnsi" w:cstheme="minorBidi"/>
            <w:b w:val="0"/>
            <w:smallCaps w:val="0"/>
            <w:kern w:val="2"/>
            <w:sz w:val="22"/>
            <w:lang w:val="en-IE" w:eastAsia="en-IE"/>
            <w14:ligatures w14:val="standardContextual"/>
          </w:rPr>
          <w:tab/>
        </w:r>
        <w:r w:rsidRPr="00CC6BE8">
          <w:rPr>
            <w:rStyle w:val="Hyperlink"/>
          </w:rPr>
          <w:t>Merkkikäytäntö</w:t>
        </w:r>
        <w:r>
          <w:rPr>
            <w:webHidden/>
          </w:rPr>
          <w:tab/>
        </w:r>
        <w:r>
          <w:rPr>
            <w:webHidden/>
          </w:rPr>
          <w:fldChar w:fldCharType="begin"/>
        </w:r>
        <w:r>
          <w:rPr>
            <w:webHidden/>
          </w:rPr>
          <w:instrText xml:space="preserve"> PAGEREF _Toc188543315 \h </w:instrText>
        </w:r>
        <w:r>
          <w:rPr>
            <w:webHidden/>
          </w:rPr>
        </w:r>
        <w:r>
          <w:rPr>
            <w:webHidden/>
          </w:rPr>
          <w:fldChar w:fldCharType="separate"/>
        </w:r>
        <w:r>
          <w:rPr>
            <w:webHidden/>
          </w:rPr>
          <w:t>2</w:t>
        </w:r>
        <w:r>
          <w:rPr>
            <w:webHidden/>
          </w:rPr>
          <w:fldChar w:fldCharType="end"/>
        </w:r>
      </w:hyperlink>
    </w:p>
    <w:p w14:paraId="54F6C268" w14:textId="26EC9809"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6" w:history="1">
        <w:r w:rsidRPr="00CC6BE8">
          <w:rPr>
            <w:rStyle w:val="Hyperlink"/>
          </w:rPr>
          <w:t>II OSA: LOMAKKEISIIN LIITTYVÄT OHJEET</w:t>
        </w:r>
        <w:r>
          <w:rPr>
            <w:webHidden/>
          </w:rPr>
          <w:tab/>
        </w:r>
        <w:r>
          <w:rPr>
            <w:webHidden/>
          </w:rPr>
          <w:fldChar w:fldCharType="begin"/>
        </w:r>
        <w:r>
          <w:rPr>
            <w:webHidden/>
          </w:rPr>
          <w:instrText xml:space="preserve"> PAGEREF _Toc188543316 \h </w:instrText>
        </w:r>
        <w:r>
          <w:rPr>
            <w:webHidden/>
          </w:rPr>
        </w:r>
        <w:r>
          <w:rPr>
            <w:webHidden/>
          </w:rPr>
          <w:fldChar w:fldCharType="separate"/>
        </w:r>
        <w:r>
          <w:rPr>
            <w:webHidden/>
          </w:rPr>
          <w:t>3</w:t>
        </w:r>
        <w:r>
          <w:rPr>
            <w:webHidden/>
          </w:rPr>
          <w:fldChar w:fldCharType="end"/>
        </w:r>
      </w:hyperlink>
    </w:p>
    <w:p w14:paraId="198CEC9F" w14:textId="50D4C07C"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7" w:history="1">
        <w:r w:rsidRPr="00CC6BE8">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CC6BE8">
          <w:rPr>
            <w:rStyle w:val="Hyperlink"/>
          </w:rPr>
          <w:t>Yleiset huomautukset</w:t>
        </w:r>
        <w:r>
          <w:rPr>
            <w:webHidden/>
          </w:rPr>
          <w:tab/>
        </w:r>
        <w:r>
          <w:rPr>
            <w:webHidden/>
          </w:rPr>
          <w:fldChar w:fldCharType="begin"/>
        </w:r>
        <w:r>
          <w:rPr>
            <w:webHidden/>
          </w:rPr>
          <w:instrText xml:space="preserve"> PAGEREF _Toc188543317 \h </w:instrText>
        </w:r>
        <w:r>
          <w:rPr>
            <w:webHidden/>
          </w:rPr>
        </w:r>
        <w:r>
          <w:rPr>
            <w:webHidden/>
          </w:rPr>
          <w:fldChar w:fldCharType="separate"/>
        </w:r>
        <w:r>
          <w:rPr>
            <w:webHidden/>
          </w:rPr>
          <w:t>3</w:t>
        </w:r>
        <w:r>
          <w:rPr>
            <w:webHidden/>
          </w:rPr>
          <w:fldChar w:fldCharType="end"/>
        </w:r>
      </w:hyperlink>
    </w:p>
    <w:p w14:paraId="4E5E4543" w14:textId="72DB2044" w:rsidR="00EF1798" w:rsidRDefault="00EF1798">
      <w:pPr>
        <w:pStyle w:val="TOC2"/>
        <w:rPr>
          <w:rFonts w:asciiTheme="minorHAnsi" w:eastAsiaTheme="minorEastAsia" w:hAnsiTheme="minorHAnsi" w:cstheme="minorBidi"/>
          <w:b w:val="0"/>
          <w:smallCaps w:val="0"/>
          <w:kern w:val="2"/>
          <w:sz w:val="22"/>
          <w:lang w:val="en-IE" w:eastAsia="en-IE"/>
          <w14:ligatures w14:val="standardContextual"/>
        </w:rPr>
      </w:pPr>
      <w:hyperlink w:anchor="_Toc188543318" w:history="1">
        <w:r w:rsidRPr="00CC6BE8">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CC6BE8">
          <w:rPr>
            <w:rStyle w:val="Hyperlink"/>
          </w:rPr>
          <w:t>Tiettyjä positioita koskevat ohjeet</w:t>
        </w:r>
        <w:r>
          <w:rPr>
            <w:webHidden/>
          </w:rPr>
          <w:tab/>
        </w:r>
        <w:r>
          <w:rPr>
            <w:webHidden/>
          </w:rPr>
          <w:fldChar w:fldCharType="begin"/>
        </w:r>
        <w:r>
          <w:rPr>
            <w:webHidden/>
          </w:rPr>
          <w:instrText xml:space="preserve"> PAGEREF _Toc188543318 \h </w:instrText>
        </w:r>
        <w:r>
          <w:rPr>
            <w:webHidden/>
          </w:rPr>
        </w:r>
        <w:r>
          <w:rPr>
            <w:webHidden/>
          </w:rPr>
          <w:fldChar w:fldCharType="separate"/>
        </w:r>
        <w:r>
          <w:rPr>
            <w:webHidden/>
          </w:rPr>
          <w:t>3</w:t>
        </w:r>
        <w:r>
          <w:rPr>
            <w:webHidden/>
          </w:rPr>
          <w:fldChar w:fldCharType="end"/>
        </w:r>
      </w:hyperlink>
    </w:p>
    <w:p w14:paraId="7AC7042C" w14:textId="1193E958"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543311"/>
      <w:r>
        <w:lastRenderedPageBreak/>
        <w:t>I OSA:</w:t>
      </w:r>
      <w:bookmarkEnd w:id="2"/>
      <w:r>
        <w:t xml:space="preserve"> YLEISET OHJEET</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543312"/>
      <w:r>
        <w:rPr>
          <w:sz w:val="24"/>
        </w:rPr>
        <w:t>1.</w:t>
      </w:r>
      <w:r>
        <w:rPr>
          <w:sz w:val="24"/>
        </w:rPr>
        <w:tab/>
        <w:t>Rakenne ja käytännöt</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543313"/>
      <w:r>
        <w:rPr>
          <w:sz w:val="24"/>
        </w:rPr>
        <w:t>1.1.</w:t>
      </w:r>
      <w:r>
        <w:rPr>
          <w:sz w:val="24"/>
        </w:rPr>
        <w:tab/>
        <w:t>Rakenne</w:t>
      </w:r>
      <w:bookmarkEnd w:id="9"/>
      <w:bookmarkEnd w:id="10"/>
      <w:bookmarkEnd w:id="13"/>
    </w:p>
    <w:p w14:paraId="6C67B776" w14:textId="4E28F620" w:rsidR="005643EA" w:rsidRPr="00B74E74" w:rsidRDefault="00125707" w:rsidP="00B26332">
      <w:pPr>
        <w:pStyle w:val="InstructionsText2"/>
        <w:ind w:left="993"/>
      </w:pPr>
      <w:r>
        <w:t>1.</w:t>
      </w:r>
      <w:r>
        <w:tab/>
        <w:t>Nämä raportointivaatimukset maailmanlaajuisten järjestelmän kannalta merkittävien laitosten (G-SII-laitokset) yksilöimiseksi ja vastaavien G-SII-puskurikantojen määrittämiseksi koostuvat yhdestä lomakkeesta, joka sisältää tiedot indikaattoreista, joilla mitataan maailmanlaajuista merkittävyyttä järjestelmän kannalta, ja eristä, joita tarvitaan sovellettaessa unionin menetelmiä G-SII-laitosten yksilöimiseksi ja vastaavien G-SII-puskurikantojen määrittämiseksi.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543314"/>
      <w:r>
        <w:rPr>
          <w:sz w:val="24"/>
        </w:rPr>
        <w:t>1.2.</w:t>
      </w:r>
      <w:r>
        <w:rPr>
          <w:sz w:val="24"/>
        </w:rPr>
        <w:tab/>
        <w:t>Numerointikäytäntö</w:t>
      </w:r>
      <w:bookmarkEnd w:id="14"/>
      <w:bookmarkEnd w:id="15"/>
      <w:bookmarkEnd w:id="16"/>
    </w:p>
    <w:p w14:paraId="3C0F0268" w14:textId="5212C39C" w:rsidR="002648B0" w:rsidRPr="00B74E74" w:rsidRDefault="006137FD" w:rsidP="00AB7C07">
      <w:pPr>
        <w:pStyle w:val="InstructionsText2"/>
        <w:ind w:left="993"/>
      </w:pPr>
      <w:r>
        <w:t>2.</w:t>
      </w:r>
      <w:r>
        <w:tab/>
        <w:t>Tässä asiakirjassa noudatetaan 3–5 kohdassa esitettyä merkintäkäytäntöä, kun viitataan lomakkeiden sarakkeisiin, riveihin ja soluihin. Kyseisiä numerokoodeja käytetään laajasti validointisäännöissä.</w:t>
      </w:r>
    </w:p>
    <w:p w14:paraId="26DC2799" w14:textId="2C43513E" w:rsidR="005643EA" w:rsidRPr="00B74E74" w:rsidRDefault="006137FD" w:rsidP="00AB7C07">
      <w:pPr>
        <w:pStyle w:val="InstructionsText2"/>
        <w:ind w:left="993"/>
      </w:pPr>
      <w:r>
        <w:t>3.</w:t>
      </w:r>
      <w:r>
        <w:tab/>
        <w:t>Ohjeissa noudatetaan seuraavaa yleistä merkintätapaa: {lomake; rivi; sarake}.</w:t>
      </w:r>
    </w:p>
    <w:p w14:paraId="6A9F72AA" w14:textId="632C824C" w:rsidR="005643EA" w:rsidRPr="00B74E74" w:rsidRDefault="006137FD" w:rsidP="00AB7C07">
      <w:pPr>
        <w:pStyle w:val="InstructionsText2"/>
        <w:ind w:left="993"/>
      </w:pPr>
      <w:r>
        <w:t>4.</w:t>
      </w:r>
      <w:r>
        <w:tab/>
        <w:t>Jos kyseessä ovat lomakkeen sisäiset viittaukset, jolloin käytetään vain kyseisen lomakkeen tietopisteitä, merkintätapaan ei sisälly lomake: {rivi; sarake}. Jos lomakkeessa on ainoastaan yksi sarake, viitataan vain riveihin {lomake; rivi}.</w:t>
      </w:r>
    </w:p>
    <w:p w14:paraId="01FECE3C" w14:textId="482B71E1" w:rsidR="002648B0" w:rsidRPr="00B74E74" w:rsidRDefault="006137FD" w:rsidP="00AB7C07">
      <w:pPr>
        <w:pStyle w:val="InstructionsText2"/>
        <w:ind w:left="993"/>
      </w:pPr>
      <w:r>
        <w:t>5.</w:t>
      </w:r>
      <w:r>
        <w:tab/>
        <w:t>Asteriskia (*) käytetään ilmaisemaan, että viittaus kohdistuu edellä määriteltyihin riveihin tai sarakkeisiin.</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543315"/>
      <w:r>
        <w:rPr>
          <w:sz w:val="24"/>
        </w:rPr>
        <w:t>1.3.</w:t>
      </w:r>
      <w:r>
        <w:rPr>
          <w:sz w:val="24"/>
        </w:rPr>
        <w:tab/>
        <w:t>Merkkikäytäntö</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Määrät, jotka lisäävät indikaattorin, varojen, velkojen tai vastuiden arvoa, ilmoitetaan positiivisina lukuina. Määrät, jotka vähentävät indikaattorin, varojen, velkojen tai vastuiden arvoa, ilmoitetaan negatiivisena lukuna. Jos jonkin erän otsaketta edeltää miinusmerkki (–), on tämä osoitus siitä, että erässä ei ole tarkoitus ilmoittaa positiivista lukua.</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543316"/>
      <w:r>
        <w:lastRenderedPageBreak/>
        <w:t>II OSA: LOMAKKEISIIN LIITTYVÄT OHJEET</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543317"/>
      <w:r>
        <w:rPr>
          <w:sz w:val="24"/>
        </w:rPr>
        <w:t>1.</w:t>
      </w:r>
      <w:r>
        <w:rPr>
          <w:sz w:val="24"/>
        </w:rPr>
        <w:tab/>
      </w:r>
      <w:bookmarkStart w:id="27" w:name="_Toc308175819"/>
      <w:bookmarkStart w:id="28" w:name="_Toc360188324"/>
      <w:bookmarkStart w:id="29" w:name="_Toc473560872"/>
      <w:bookmarkEnd w:id="24"/>
      <w:bookmarkEnd w:id="25"/>
      <w:r>
        <w:rPr>
          <w:sz w:val="24"/>
        </w:rPr>
        <w:t>Yleiset huomautukset</w:t>
      </w:r>
      <w:bookmarkEnd w:id="27"/>
      <w:bookmarkEnd w:id="28"/>
      <w:bookmarkEnd w:id="29"/>
      <w:bookmarkEnd w:id="26"/>
    </w:p>
    <w:p w14:paraId="410557ED" w14:textId="58FCFFD9" w:rsidR="006137FD" w:rsidRPr="00B74E74" w:rsidRDefault="00004542" w:rsidP="00AB7C07">
      <w:pPr>
        <w:pStyle w:val="InstructionsText2"/>
        <w:ind w:left="993"/>
      </w:pPr>
      <w:r>
        <w:t>8.</w:t>
      </w:r>
      <w:r>
        <w:tab/>
        <w:t>Lomakkeessa on kaksi osaa. G-SII-indikaattoreita koskeva yläosa sisältää indikaattorit maailmanlaajuisten järjestelmän kannalta merkittävien laitosten yksilöimiseksi Baselin pankkivalvontakomitean kehittämän menetelmän mukaisesti. Alemmassa osassa on useita eriä, joita tarvitaan asiaankuuluvien indikaattoreiden laskemiseen direktiivin 2013/36/EU</w:t>
      </w:r>
      <w:r w:rsidR="00FE1150" w:rsidRPr="00B74E74">
        <w:rPr>
          <w:rStyle w:val="FootnoteReference"/>
          <w:rFonts w:ascii="Times New Roman" w:hAnsi="Times New Roman"/>
          <w:sz w:val="24"/>
          <w:szCs w:val="24"/>
          <w:vertAlign w:val="superscript"/>
        </w:rPr>
        <w:footnoteReference w:id="2"/>
      </w:r>
      <w:r>
        <w:t xml:space="preserve"> 131 artiklan 18 kohdan perusteella määritellyn menetelmän mukaisesti. </w:t>
      </w:r>
    </w:p>
    <w:p w14:paraId="285BFC5F" w14:textId="4372324A" w:rsidR="005643EA" w:rsidRPr="00B74E74" w:rsidRDefault="00004542" w:rsidP="00AB7C07">
      <w:pPr>
        <w:pStyle w:val="InstructionsText2"/>
        <w:ind w:left="993"/>
      </w:pPr>
      <w:r>
        <w:t>9.</w:t>
      </w:r>
      <w:r>
        <w:tab/>
        <w:t>Tässä lomakkeessa annettujen tietojen on tarvittaessa oltava yhdenmukaisia niiden tietojen kanssa, jotka asianomaiset viranomaiset ovat toimittaneet asianomaisille viranomaisille, jotta ne voivat kerätä indikaattoriarvoja komission delegoidun asetuksen (EU) N:o 1222/2014</w:t>
      </w:r>
      <w:r w:rsidR="00FE1150" w:rsidRPr="00B74E74">
        <w:rPr>
          <w:rStyle w:val="FootnoteReference"/>
          <w:rFonts w:ascii="Times New Roman" w:hAnsi="Times New Roman"/>
          <w:sz w:val="24"/>
          <w:szCs w:val="24"/>
          <w:vertAlign w:val="superscript"/>
        </w:rPr>
        <w:footnoteReference w:id="3"/>
      </w:r>
      <w:r>
        <w:t xml:space="preserve"> 3 artiklan 2 kohdan mukaisesti.</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543318"/>
      <w:r>
        <w:rPr>
          <w:sz w:val="24"/>
        </w:rPr>
        <w:t>2.</w:t>
      </w:r>
      <w:r>
        <w:rPr>
          <w:sz w:val="24"/>
        </w:rPr>
        <w:tab/>
        <w:t xml:space="preserve">Tiettyjä positioita koskevat </w:t>
      </w:r>
      <w:bookmarkEnd w:id="30"/>
      <w:bookmarkEnd w:id="31"/>
      <w:r>
        <w:rPr>
          <w:sz w:val="24"/>
        </w:rPr>
        <w:t>ohjeet</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0010 – 0130</w:t>
            </w:r>
            <w:proofErr w:type="gramEnd"/>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G-SII-indikaattorit</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Indikaattoreiden määritelmän on oltava sama kuin komission delegoidun asetuksen (EU) N:o 1222/2014 liitteessä lueteltujen tietojen määrittämiseen sovellettava määritelmä.</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Jos kyseisessä menetelmässä oleviin määritelmiin tehdään muutoksia, tietojen raportoinnissa on käytettävä kyseisiä muutettuja määritelmiä tilikauden ensimmäisen, toisen ja kolmannen neljänneksen lopussa sovellettavan menetelmään indikaattoriarvojen määrittämiseksi kyseisen tilikauden lopussa (’tilikauden lopun menetelmä’). Jos liitteen XXVI lomaketta muutetaan kyseisen tilikauden aikana, tilikauden lopun menetelmää on sovellettava alkaen ensimmäisistä sovellettavista viitepäivistä muutosasetuksen voimaantulon jälkeen.</w:t>
            </w:r>
            <w:r>
              <w:rPr>
                <w:rStyle w:val="FormatvorlageInstructionsTabelleText"/>
                <w:rFonts w:ascii="Times New Roman" w:hAnsi="Times New Roman"/>
                <w:sz w:val="24"/>
              </w:rPr>
              <w:cr/>
            </w:r>
            <w:r>
              <w:rPr>
                <w:rStyle w:val="FormatvorlageInstructionsTabelleText"/>
                <w:rFonts w:ascii="Times New Roman" w:hAnsi="Times New Roman"/>
                <w:sz w:val="24"/>
              </w:rPr>
              <w:br/>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Indikaattorit, jotka ovat virtamittareita, on raportoitava kumulatiivisesti tapauksen mukaan kalenterivuoden tai tilikauden alusta.</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Kokonaisvastuut, mukaan lukien vakuutusalan tytäryritykset</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Rahoitusjärjestelmän sisäiset varat, mukaan lukien vakuutusalan tytäryritykset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Rahoitusjärjestelmän sisäiset velat, mukaan lukien vakuutusalan tytäryritykset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Liikkeessä olevat arvopaperit, mukaan lukien vakuutusalan tytäryritysten liikkeeseen laskemat arvopaperit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Maksutoiminta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Säilytyksessä olevat varat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Merkintäsitoumustoiminta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Kaupankäyntivolyymi – kiinteä tuotto</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Kaupankäyntivolyymi – osakkeet ja muut arvopaperit</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OTC-johdannaisten nimellisarvo, mukaan lukien vakuutusalan tytäryritykset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Kaupankäyntitarkoituksessa pidettävät ja myytävissä olevat arvopaperit</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Tason 3 varat, mukaan lukien vakuutusalan tytäryritykset</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Eri lainkäyttöalueiden väliset saatavat</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Eri lainkäyttöalueiden väliset velat</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0140 – 0160</w:t>
            </w:r>
            <w:proofErr w:type="gramEnd"/>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Erät, joissa Euroopan pankkiunionia pidetään yhtenä lainkäyttöalueena</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Jäljempänä eriteltyjen erien määrittämiseksi ja jos jäljempänä olevissa ohjeissa ei ole eritelmiä, käytetyt määritelmät ja käsitteet on mahdollisuuksien mukaan yhdenmukaistettava kansainvälisen pankkitietojärjestelmän (BIS) kansainvälisten pankkitilastojen raportointia koskevissa ohjeissa määriteltyjen määritelmien ja käsitteiden kanssa.</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Tästä poiketen raportoivien yhteisöjen toimintoja Euroopan parlamentin ja neuvoston asetuksen (EU) N:o 806/2014</w:t>
            </w:r>
            <w:r w:rsidRPr="00B74E74">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xml:space="preserve"> 4 artiklassa tarkoitetuissa osallistuvissa jäsenvaltioissa ei oteta huomioon, toisin sanoen osallistuvia jäsenvaltioita pidetään yhtenä lainkäyttöalueena.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Ulkomaisten saatavien kokonaismäärä lopullisen riskin perusteella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Ulkomaisten saatavien kokonaismäärä on ulkomaisten osakkuus- ja tytäryhtiöiden rajatylittävien saatavien ja paikallisten saatavien summa paikallisessa tai ulkomaanvaluutassa. Johdannaissopimusten positioista johtuvia saatavia ei oteta huomioon. ’Saatavilla’, ’</w:t>
            </w:r>
            <w:proofErr w:type="spellStart"/>
            <w:r>
              <w:rPr>
                <w:rStyle w:val="FormatvorlageInstructionsTabelleText"/>
                <w:rFonts w:ascii="Times New Roman" w:hAnsi="Times New Roman"/>
                <w:sz w:val="24"/>
              </w:rPr>
              <w:t>rajatylittävillä</w:t>
            </w:r>
            <w:proofErr w:type="spellEnd"/>
            <w:r>
              <w:rPr>
                <w:rStyle w:val="FormatvorlageInstructionsTabelleText"/>
                <w:rFonts w:ascii="Times New Roman" w:hAnsi="Times New Roman"/>
                <w:sz w:val="24"/>
              </w:rPr>
              <w:t xml:space="preserve"> saatavilla’ ja ’ulkomaisten osakkuus- ja tytäryhtiöiden paikallisessa tai ulkomaanvaluutassa olevilla paikallisilla saatavilla’ on sama merkitys kuin BIS:n kansainvälisten pankkitilastojen raportointia koskevissa ohjeissa.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’Perimmäisen riskin perusteella’ tarkoittaa sitä, että määritettäessä, onko saatava rajat ylittävä vai paikallinen saatava, positio kohdennetaan kolmannelle osapuolelle, joka on sopinut ottavansa vastatakseen ensisijaisen vastapuolen </w:t>
            </w:r>
            <w:r>
              <w:rPr>
                <w:rStyle w:val="FormatvorlageInstructionsTabelleText"/>
                <w:rFonts w:ascii="Times New Roman" w:hAnsi="Times New Roman"/>
                <w:sz w:val="24"/>
              </w:rPr>
              <w:lastRenderedPageBreak/>
              <w:t>velat tai velvoitteet, jos kyseinen vastapuoli ei suorita velvoitteitaan, kun tällainen kolmas osapuoli on olemassa. Kohdentaminen suoritetaan BIS:n kansainvälisten pankkitilastojen raportointia koskevissa ohjeissa annettujen riskinsiirtoja koskevien säännösten mukaisesti.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Ulkomaiset johdannaissaatavat lopullisen riskin perusteella</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Kaikkien sellaisten johdannaissaatavien positiivinen käypä arvo, jotka ovat </w:t>
            </w:r>
            <w:proofErr w:type="spellStart"/>
            <w:r>
              <w:rPr>
                <w:rStyle w:val="FormatvorlageInstructionsTabelleText"/>
                <w:rFonts w:ascii="Times New Roman" w:hAnsi="Times New Roman"/>
                <w:sz w:val="24"/>
              </w:rPr>
              <w:t>rajatylittäviä</w:t>
            </w:r>
            <w:proofErr w:type="spellEnd"/>
            <w:r>
              <w:rPr>
                <w:rStyle w:val="FormatvorlageInstructionsTabelleText"/>
                <w:rFonts w:ascii="Times New Roman" w:hAnsi="Times New Roman"/>
                <w:sz w:val="24"/>
              </w:rPr>
              <w:t xml:space="preserve"> saatavia tai ulkomaisten osakkuus- ja tytäryhtiöiden paikallisia saatavia paikallisessa tai ulkomaanvaluutassa.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Johdannaisiin kuuluvat muun muassa termiinit, swap-sopimukset ja optiot, jotka liittyvät valuuttaan, korkoon, osakkeisiin, hyödykkeisiin ja luottoinstrumentteihin. Tähän sisältyvät ostetut luottojohdannaiset, jotka suojaavat tai korvaavat myytyä tai kaupankäyntitarkoituksessa pidettävää luottosuojaa.</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Tällaisten ostettujen luottojohdannaisten osalta arvoa ei saa rajata sen välittömän saatavan arvoon, jota takaamaan luottojohdannainen on ostettu.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Johdannaissopimusten positiiviset ja negatiiviset käyvät arvot voidaan kuitata keskenään vain silloin kun positiot on toteutettu saman vastapuolen kanssa oikeudellisesti täytäntöönpanokelpoisen </w:t>
            </w:r>
            <w:proofErr w:type="spellStart"/>
            <w:r>
              <w:rPr>
                <w:rStyle w:val="FormatvorlageInstructionsTabelleText"/>
                <w:rFonts w:ascii="Times New Roman" w:hAnsi="Times New Roman"/>
                <w:sz w:val="24"/>
              </w:rPr>
              <w:t>nettoutussopimuksen</w:t>
            </w:r>
            <w:proofErr w:type="spellEnd"/>
            <w:r>
              <w:rPr>
                <w:rStyle w:val="FormatvorlageInstructionsTabelleText"/>
                <w:rFonts w:ascii="Times New Roman" w:hAnsi="Times New Roman"/>
                <w:sz w:val="24"/>
              </w:rPr>
              <w:t xml:space="preserve"> mukaisesti. Tähän kohtaan sisällytetään ainoastaan </w:t>
            </w:r>
            <w:proofErr w:type="spellStart"/>
            <w:r>
              <w:rPr>
                <w:rStyle w:val="FormatvorlageInstructionsTabelleText"/>
                <w:rFonts w:ascii="Times New Roman" w:hAnsi="Times New Roman"/>
                <w:sz w:val="24"/>
              </w:rPr>
              <w:t>nettoutusryhmät</w:t>
            </w:r>
            <w:proofErr w:type="spellEnd"/>
            <w:r>
              <w:rPr>
                <w:rStyle w:val="FormatvorlageInstructionsTabelleText"/>
                <w:rFonts w:ascii="Times New Roman" w:hAnsi="Times New Roman"/>
                <w:sz w:val="24"/>
              </w:rPr>
              <w:t xml:space="preserve">, joilla on positiivinen arvo.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Johdannaissaatavat on ilmoitettava ilman käteisvakuuksia.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Ilmoitettaessa tietoja lopullisen riskin perusteella sovelletaan seuraavaa:</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Kun lopullinen riski on vastapuolella, johdannaista pidetään ulkomaisena, jos vastapuoli ei ole raportoivan yhteisön kotipaikan lainkäyttöalueella.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Kun lopullinen riski on takaajalla, johdannaista pidetään ulkomaisena, jos takaaja ei ole raportoivan yhteisön kotipaikan lainkäyttöalueella.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Ulkomaiset velat välittömän riskin perusteella, mukaan lukien johdannaiset</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Ulkomaiset velat, mukaan lukien johdannaiset, ovat ulkomaisten velkojen ja johdannaisista johtuvien ulkomaisten velkojen summa. Tähän erään ei sisällytetä arvopapereihin liittyviä velkoja, jotka ovat raportoivan laitoksen liikkeeseen laskemia vaihdantakelpoisia rahoitusvaroja.</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Johdannaisten määritelmä on sama kuin rivillä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Johdannaissopimusten negatiiviset ja positiiviset käyvät arvot voidaan kuitata keskenään vain silloin kun positiot on toteutettu saman vastapuolen kanssa oikeudellisesti täytäntöönpanokelpoisen </w:t>
            </w:r>
            <w:proofErr w:type="spellStart"/>
            <w:r>
              <w:rPr>
                <w:rStyle w:val="FormatvorlageInstructionsTabelleText"/>
                <w:rFonts w:ascii="Times New Roman" w:hAnsi="Times New Roman"/>
                <w:sz w:val="24"/>
              </w:rPr>
              <w:t>nettoutussopimuksen</w:t>
            </w:r>
            <w:proofErr w:type="spellEnd"/>
            <w:r>
              <w:rPr>
                <w:rStyle w:val="FormatvorlageInstructionsTabelleText"/>
                <w:rFonts w:ascii="Times New Roman" w:hAnsi="Times New Roman"/>
                <w:sz w:val="24"/>
              </w:rPr>
              <w:t xml:space="preserve"> mukaisesti. Johdannaisvelat on ilmoitettava ilman vakuuksia (käteisvaroja ja muita kuin käteisvaroja).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’Välittömän riskin perusteella’ tarkoittaa sitä, että määritettäessä, onko saatava rajat ylittävä vai paikallinen saatava, positio kohdennetaan sopimuksen välittömälle vastapuolelle.”</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Komission delegoitu asetus (EU) N:o 1222/2014, annettu 8 päivänä lokakuuta 2014 , Euroopan parlamentin ja neuvoston direktiivin 2013/36/EU täydentämisestä teknisillä sääntelystandardeilla, joilla täsmennetään menetelmä maailmanlaajuisten järjestelmän kannalta merkittävien laitosten määrittämiseksi ja maailmanlaajuisten järjestelmän kannalta merkittävien laitosten alaluokkien määrittelemiseksi (EUVL L 330, 15.11.2014, s. 27)</w:t>
      </w:r>
    </w:p>
  </w:footnote>
  <w:footnote w:id="4">
    <w:p w14:paraId="7E81C75F" w14:textId="7AFAACB8" w:rsidR="00461B95" w:rsidRPr="00EF0DDB" w:rsidRDefault="00461B95">
      <w:pPr>
        <w:pStyle w:val="FootnoteText"/>
      </w:pPr>
      <w:r>
        <w:rPr>
          <w:rStyle w:val="FootnoteReference"/>
        </w:rPr>
        <w:footnoteRef/>
      </w:r>
      <w:r>
        <w:tab/>
        <w:t>Euroopan parlamentin ja neuvoston asetus (EU) N:o 806/2014, annettu 15 päivänä heinäkuuta 2014, yhdenmukaisten sääntöjen ja yhdenmukaisen menettelyn vahvistamisesta luottolaitosten ja tiettyjen sijoituspalveluyritysten kriisinratkaisua varten yhteisen kriisinratkaisumekanismin ja yhteisen kriisinratkaisurahaston puitteissa sekä asetuksen (EU) N:o 1093/2010 muuttamisesta (EUVL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611089813">
    <w:abstractNumId w:val="0"/>
  </w:num>
  <w:num w:numId="2" w16cid:durableId="587693984">
    <w:abstractNumId w:val="13"/>
  </w:num>
  <w:num w:numId="3" w16cid:durableId="1357195748">
    <w:abstractNumId w:val="19"/>
  </w:num>
  <w:num w:numId="4" w16cid:durableId="1895658308">
    <w:abstractNumId w:val="9"/>
  </w:num>
  <w:num w:numId="5" w16cid:durableId="423376828">
    <w:abstractNumId w:val="16"/>
  </w:num>
  <w:num w:numId="6" w16cid:durableId="1900943371">
    <w:abstractNumId w:val="8"/>
  </w:num>
  <w:num w:numId="7" w16cid:durableId="1605989440">
    <w:abstractNumId w:val="18"/>
  </w:num>
  <w:num w:numId="8" w16cid:durableId="375013630">
    <w:abstractNumId w:val="2"/>
  </w:num>
  <w:num w:numId="9" w16cid:durableId="589965847">
    <w:abstractNumId w:val="14"/>
  </w:num>
  <w:num w:numId="10" w16cid:durableId="2016807968">
    <w:abstractNumId w:val="7"/>
  </w:num>
  <w:num w:numId="11" w16cid:durableId="260459725">
    <w:abstractNumId w:val="11"/>
  </w:num>
  <w:num w:numId="12" w16cid:durableId="151138723">
    <w:abstractNumId w:val="3"/>
  </w:num>
  <w:num w:numId="13" w16cid:durableId="615336839">
    <w:abstractNumId w:val="15"/>
  </w:num>
  <w:num w:numId="14" w16cid:durableId="767309146">
    <w:abstractNumId w:val="12"/>
  </w:num>
  <w:num w:numId="15" w16cid:durableId="1031296765">
    <w:abstractNumId w:val="5"/>
  </w:num>
  <w:num w:numId="16" w16cid:durableId="166138003">
    <w:abstractNumId w:val="10"/>
  </w:num>
  <w:num w:numId="17" w16cid:durableId="1441800629">
    <w:abstractNumId w:val="4"/>
  </w:num>
  <w:num w:numId="18" w16cid:durableId="1214734404">
    <w:abstractNumId w:val="17"/>
  </w:num>
  <w:num w:numId="19" w16cid:durableId="521824224">
    <w:abstractNumId w:val="1"/>
  </w:num>
  <w:num w:numId="20" w16cid:durableId="402609413">
    <w:abstractNumId w:val="6"/>
  </w:num>
  <w:num w:numId="21" w16cid:durableId="2057511111">
    <w:abstractNumId w:val="5"/>
  </w:num>
  <w:num w:numId="22" w16cid:durableId="1173645562">
    <w:abstractNumId w:val="15"/>
  </w:num>
  <w:num w:numId="23" w16cid:durableId="1582907004">
    <w:abstractNumId w:val="15"/>
  </w:num>
  <w:num w:numId="24" w16cid:durableId="940800143">
    <w:abstractNumId w:val="15"/>
  </w:num>
  <w:num w:numId="25" w16cid:durableId="32671299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1798"/>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172A73BE-BD28-4B5D-AE93-A265F915AEB3}"/>
</file>

<file path=customXml/itemProps3.xml><?xml version="1.0" encoding="utf-8"?>
<ds:datastoreItem xmlns:ds="http://schemas.openxmlformats.org/officeDocument/2006/customXml" ds:itemID="{4BB171AA-7DBA-4503-9115-A5E4CAFF4B4C}"/>
</file>

<file path=customXml/itemProps4.xml><?xml version="1.0" encoding="utf-8"?>
<ds:datastoreItem xmlns:ds="http://schemas.openxmlformats.org/officeDocument/2006/customXml" ds:itemID="{3EEC2D3C-6BE7-48B1-821A-C8F7871DFF4E}"/>
</file>

<file path=docProps/app.xml><?xml version="1.0" encoding="utf-8"?>
<Properties xmlns="http://schemas.openxmlformats.org/officeDocument/2006/extended-properties" xmlns:vt="http://schemas.openxmlformats.org/officeDocument/2006/docPropsVTypes">
  <Template>Normal</Template>
  <TotalTime>0</TotalTime>
  <Pages>5</Pages>
  <Words>903</Words>
  <Characters>8275</Characters>
  <Application>Microsoft Office Word</Application>
  <DocSecurity>0</DocSecurity>
  <Lines>188</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2025-01-23T15:48:45Z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fdab927d-f56f-4b99-b612-52dfd4827e2e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