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FI</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LIITE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”LIITE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OMIEN VAROJEN JA OMIEN VAROJEN VAATIMUSTEN RAPORTOINTIA KOSKEVAT OHJEET</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Saamiset julkisyhteisöiltä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Pr>
          <w:rFonts w:ascii="Times New Roman" w:hAnsi="Times New Roman"/>
          <w:sz w:val="24"/>
          <w:u w:val="none"/>
        </w:rPr>
        <w:tab/>
      </w:r>
      <w:r>
        <w:rPr>
          <w:rFonts w:ascii="Times New Roman" w:hAnsi="Times New Roman"/>
          <w:sz w:val="24"/>
        </w:rPr>
        <w:t>Yleiset huomautukset</w:t>
      </w:r>
      <w:bookmarkEnd w:id="2"/>
      <w:bookmarkEnd w:id="3"/>
      <w:bookmarkEnd w:id="4"/>
      <w:r>
        <w:rPr>
          <w:rFonts w:ascii="Times New Roman" w:hAnsi="Times New Roman"/>
          <w:sz w:val="24"/>
        </w:rPr>
        <w:t xml:space="preserve"> </w:t>
      </w:r>
    </w:p>
    <w:p w14:paraId="607B1B9D" w14:textId="068C09E6"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191</w:t>
      </w:r>
      <w:r w:rsidRPr="005B57EC">
        <w:fldChar w:fldCharType="end"/>
      </w:r>
      <w:r>
        <w:t>.</w:t>
      </w:r>
      <w:r>
        <w:tab/>
        <w:t xml:space="preserve"> Lomakkeessa C 33.00 ilmoitettavat tiedot koskevat kaikkia saamisia </w:t>
      </w:r>
      <w:r w:rsidR="00CB40D5">
        <w:t>’</w:t>
      </w:r>
      <w:r>
        <w:t>julkisyhteisöiltä</w:t>
      </w:r>
      <w:r w:rsidR="00CB40D5">
        <w:t>’</w:t>
      </w:r>
      <w:r>
        <w:t>, joita tarkoitetaan tämän täytäntöönpanoasetuksen liitteessä V olevan 42 kohdan b alakohdassa.</w:t>
      </w:r>
    </w:p>
    <w:p w14:paraId="6DDF43E1" w14:textId="0F8D079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192</w:t>
      </w:r>
      <w:r w:rsidRPr="005B57EC">
        <w:fldChar w:fldCharType="end"/>
      </w:r>
      <w:r>
        <w:t>.</w:t>
      </w:r>
      <w:r>
        <w:tab/>
        <w:t xml:space="preserve"> Kun saamisiin </w:t>
      </w:r>
      <w:r w:rsidR="00CB40D5">
        <w:t>’</w:t>
      </w:r>
      <w:r>
        <w:t>julkisyhteisöiltä</w:t>
      </w:r>
      <w:r w:rsidR="00CB40D5">
        <w:t>’</w:t>
      </w:r>
      <w:r>
        <w:t xml:space="preserve"> sovelletaan asetuksen (EU) N:o 575/2013 kolmannen osan II osaston mukaisia omien varojen vaatimuksia, saamiset </w:t>
      </w:r>
      <w:r w:rsidR="00CB40D5">
        <w:t>’</w:t>
      </w:r>
      <w:r>
        <w:t>julkisyhteisöiltä</w:t>
      </w:r>
      <w:r w:rsidR="00CB40D5">
        <w:t>’</w:t>
      </w:r>
      <w:r>
        <w:t xml:space="preserve"> sisällytetään eri vastuuryhmiin kyseisen asetuksen 112 ja 147 artiklan mukaisesti, kuten lomakkeiden C 07.00, C 08.01 ja C 08.02 täyttöohjeissa todetaan. </w:t>
      </w:r>
    </w:p>
    <w:p w14:paraId="293BF385" w14:textId="6570787F"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193</w:t>
      </w:r>
      <w:r w:rsidRPr="005B57EC">
        <w:fldChar w:fldCharType="end"/>
      </w:r>
      <w:r>
        <w:t>.</w:t>
      </w:r>
      <w:r>
        <w:tab/>
        <w:t xml:space="preserve"> Taulukko 2 (Standardimenetelmä) ja taulukko 3 (IRB-menetelmä), jotka sisältyvät tämän täytäntöönpanoasetuksen liitteessä V olevaan 3 osaan, on otettava huomioon kuvattaessa vastuuryhmiä, joita käytetään laskettaessa asetuksen (EU) N:o 575/2013 mukaisia pääomavaatimuksia vastapuolialalle </w:t>
      </w:r>
      <w:r w:rsidR="00CB40D5">
        <w:t>’</w:t>
      </w:r>
      <w:r>
        <w:t>julkisyhteisöt</w:t>
      </w:r>
      <w:r w:rsidR="00CB40D5">
        <w:t>’</w:t>
      </w:r>
      <w:r>
        <w:t xml:space="preserve">.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194</w:t>
      </w:r>
      <w:r w:rsidRPr="005B57EC">
        <w:fldChar w:fldCharType="end"/>
      </w:r>
      <w:r>
        <w:t xml:space="preserve">. Tiedot ilmoitetaan yhteenlaskettujen vastuiden kokonaismäärän osalta (tällä tarkoitetaan kaikkien niiden maiden summaa, joissa pankilla on valtiovastuita) ja kunkin maan osalta vastapuolen kotipaikan mukaan varsinaisen lainanottajan sijaintipaikan perusteella.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195</w:t>
      </w:r>
      <w:r w:rsidRPr="005B57EC">
        <w:fldChar w:fldCharType="end"/>
      </w:r>
      <w:r>
        <w:t>.</w:t>
      </w:r>
      <w:r>
        <w:tab/>
        <w:t xml:space="preserve"> Vastuut on jaettava vastuuryhmiin tai lainkäyttöalueille ottamatta huomioon luottoriskin vähentämistekniikoita ja etenkin ottamatta huomioon substituutiovaikutuksia. Vastuuarvojen ja riskipainotettujen vastuuerien yhteismäärän laskemiseen kutakin vastuuryhmää ja kutakin lainkäyttöaluetta varten sisältyy kuitenkin luottoriskin vähentämistekniikoiden vaikutus, substituutiovaikutukset mukaan luettuina. </w:t>
      </w:r>
    </w:p>
    <w:p w14:paraId="63D48DFC" w14:textId="1D5846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196</w:t>
      </w:r>
      <w:r w:rsidRPr="005B57EC">
        <w:fldChar w:fldCharType="end"/>
      </w:r>
      <w:r>
        <w:t>.</w:t>
      </w:r>
      <w:r>
        <w:tab/>
        <w:t xml:space="preserve"> Ilmoitettaessa tietoja </w:t>
      </w:r>
      <w:r w:rsidR="00CB40D5">
        <w:t>’</w:t>
      </w:r>
      <w:r>
        <w:t>julkisyhteisöiltä</w:t>
      </w:r>
      <w:r w:rsidR="00CB40D5">
        <w:t>’</w:t>
      </w:r>
      <w:r>
        <w:t xml:space="preserve"> olevista saamisista sen lainkäyttöalueen mukaan, jolla sijaitsee välittömän vastapuolen kotipaikka muttei raportoivan laitoksen kotipaikkaa, on noudatettava tämän täytäntöönpanoasetuksen 6 artiklan 3 kohdassa säädettyjä kynnysarvoja.</w:t>
      </w:r>
    </w:p>
    <w:p w14:paraId="6C57DF9A" w14:textId="2FAE050A"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rPr>
          <w:rFonts w:ascii="Times New Roman" w:hAnsi="Times New Roman"/>
          <w:sz w:val="24"/>
          <w:u w:val="none"/>
        </w:rPr>
        <w:tab/>
      </w:r>
      <w:r w:rsidR="00CB40D5">
        <w:rPr>
          <w:rFonts w:ascii="Times New Roman" w:hAnsi="Times New Roman"/>
          <w:sz w:val="24"/>
        </w:rPr>
        <w:t>’</w:t>
      </w:r>
      <w:r>
        <w:rPr>
          <w:rFonts w:ascii="Times New Roman" w:hAnsi="Times New Roman"/>
          <w:sz w:val="24"/>
        </w:rPr>
        <w:t>Julkisyhteisöiltä</w:t>
      </w:r>
      <w:r w:rsidR="00CB40D5">
        <w:rPr>
          <w:rFonts w:ascii="Times New Roman" w:hAnsi="Times New Roman"/>
          <w:sz w:val="24"/>
        </w:rPr>
        <w:t>’</w:t>
      </w:r>
      <w:r>
        <w:rPr>
          <w:rFonts w:ascii="Times New Roman" w:hAnsi="Times New Roman"/>
          <w:sz w:val="24"/>
        </w:rPr>
        <w:t xml:space="preserve"> olevia saamisia koskevan lomakkeen laajuus</w:t>
      </w:r>
      <w:bookmarkEnd w:id="5"/>
      <w:bookmarkEnd w:id="6"/>
      <w:bookmarkEnd w:id="7"/>
    </w:p>
    <w:p w14:paraId="0229F5BC" w14:textId="26500A2C"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197</w:t>
      </w:r>
      <w:r w:rsidRPr="005B57EC">
        <w:fldChar w:fldCharType="end"/>
      </w:r>
      <w:r>
        <w:t>.</w:t>
      </w:r>
      <w:r>
        <w:tab/>
        <w:t xml:space="preserve"> GOV-lomakkeen piiriin kuuluvat </w:t>
      </w:r>
      <w:r w:rsidR="00CB40D5">
        <w:t>’</w:t>
      </w:r>
      <w:r>
        <w:t>julkisyhteisöiltä</w:t>
      </w:r>
      <w:r w:rsidR="00CB40D5">
        <w:t>’</w:t>
      </w:r>
      <w:r>
        <w:t xml:space="preserve"> olevat välittömät saamiset, jotka ovat taseeseen kirjattuja tai taseen ulkopuolisia vastuita tai johdannaisvastuita kaupankäyntivarastossa tai sen ulkopuolella. Lisäksi vaaditaan lisätietoerä välillisistä vastuista, jotka ovat sellaisia myytyjä luottojohdannaisia, joiden kohde-etuudet ovat julkisyhteisöiltä olevia saamisia.</w:t>
      </w:r>
    </w:p>
    <w:p w14:paraId="1EC4D83C" w14:textId="788EF839"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198</w:t>
      </w:r>
      <w:r w:rsidRPr="005B57EC">
        <w:fldChar w:fldCharType="end"/>
      </w:r>
      <w:r>
        <w:t>.</w:t>
      </w:r>
      <w:r>
        <w:tab/>
        <w:t xml:space="preserve"> Vastuu on välitön, jos välittömänä vastapuolena on yhteisö, joka on tämän täytäntöönpanoasetuksen liitteessä V olevan 42 kohdan b alakohdassa tarkoitettu </w:t>
      </w:r>
      <w:r w:rsidR="00CB40D5">
        <w:t>’</w:t>
      </w:r>
      <w:r>
        <w:t>julkisyhteisö</w:t>
      </w:r>
      <w:r w:rsidR="00CB40D5">
        <w:t>’</w:t>
      </w:r>
      <w:r>
        <w:t xml:space="preserve">.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199</w:t>
      </w:r>
      <w:r w:rsidRPr="005B57EC">
        <w:fldChar w:fldCharType="end"/>
      </w:r>
      <w:r>
        <w:t>.</w:t>
      </w:r>
      <w:r>
        <w:tab/>
        <w:t xml:space="preserve"> Lomake jakaantuu kahteen osioon. Ensimmäisessä osiossa vastuut eritellään riskin, sääntelymenetelmän ja vastuuryhmien mukaan, kun taas toisessa osiossa ne eritellään jäljellä olevan maturiteetin mukaan.</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Pr>
          <w:rFonts w:ascii="Times New Roman" w:hAnsi="Times New Roman"/>
          <w:sz w:val="24"/>
          <w:u w:val="none"/>
        </w:rPr>
        <w:tab/>
      </w:r>
      <w:r>
        <w:rPr>
          <w:rFonts w:ascii="Times New Roman" w:hAnsi="Times New Roman"/>
          <w:sz w:val="24"/>
        </w:rPr>
        <w:t>Tiettyjä positioita koskevat ohjeet</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Sarakkeet</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Ohjeet</w:t>
            </w:r>
          </w:p>
        </w:tc>
      </w:tr>
      <w:tr w:rsidR="00BD16F2" w:rsidRPr="002A677E" w14:paraId="3DC0F33D" w14:textId="77777777" w:rsidTr="00E07FE9">
        <w:tc>
          <w:tcPr>
            <w:tcW w:w="1188" w:type="dxa"/>
            <w:tcBorders>
              <w:bottom w:val="single" w:sz="4" w:space="0" w:color="auto"/>
            </w:tcBorders>
          </w:tcPr>
          <w:p w14:paraId="18B6E1B8" w14:textId="6258F07F" w:rsidR="00BD16F2" w:rsidRPr="002A677E" w:rsidRDefault="00CB40D5"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VÄLITTÖMÄT VASTUUT </w:t>
            </w:r>
          </w:p>
        </w:tc>
      </w:tr>
      <w:tr w:rsidR="00BD16F2" w:rsidRPr="002A677E" w14:paraId="1885F66F" w14:textId="77777777" w:rsidTr="00E07FE9">
        <w:tc>
          <w:tcPr>
            <w:tcW w:w="1188" w:type="dxa"/>
          </w:tcPr>
          <w:p w14:paraId="2E4036EA" w14:textId="23148B47" w:rsidR="00BD16F2" w:rsidRPr="002A677E" w:rsidRDefault="00CB40D5"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TASEESEEN KIRJATUT VASTUUT</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Johdannaisvaroihin kuulumattomien rahoitusvarojen yhteenlaskettu bruttomääräinen kirjanpitoarvo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Julkisyhteisöiltä olevien johdannaisvaroihin kuulumattomien rahoitusvarojen yhteenlaskettu bruttomääräinen kirjanpitoarvo, joka määritetään tämän täytäntöönpanoasetuksen liitteessä V olevan 1 osan 34 kohdan mukaisesti kaikille tämän täytäntöönpanoasetuksen liitteessä V olevan 1 osan 15–22 kohdassa määritellyille IFRS:n mukaisille tilinpäätössalkuille tai neuvoston direktiiviin 86/635/ETY perustuvan kansallisen tilinpäätösnormiston mukaisille tilinpäätössalkuille ja esitetään sarakkeissa 0030–0120.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Varovaiset arvonoikaisut eivät vähennä kaupankäyntitarkoituksessa pidettävien ja käypään arvoon arvostettavien kaupankäyntivaraston ulkopuolisten vastuiden bruttomääräistä kirjapitoarvoa.</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Johdannaisvaroihin kuulumattomien rahoitusvarojen yhteenlaskettu kirjanpitoarvo (vähennettynä lyhyillä positioilla)</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Julkisyhteisöiltä olevien johdannaisvaroihin kuulumattomien rahoitusvarojen yhteenlaskettu kirjanpitoarvo, joka määritetään tämän täytäntöönpanoasetuksen liitteessä V olevan 1 osan 27 kohdan mukaisesti kaikille tämän täytäntöönpanoasetuksen liitteessä V olevan 1 osan 15–22 kohdassa määritellyille IFRS:n mukaisille tilinpäätössalkuille tai neuvoston direktiiviin 86/635/ETY perustuvan kansallisen tilinpäätösnormiston mukaisille tilinpäätössalkuille ja esitetään sarakkeissa 0030–0120, vähennettynä lyhyillä positioilla.</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Jos laitoksella on lyhyt positio, jolla on sama jäljellä oleva maturiteetti ja sama välitön vastapuoli kuin suoralla positiolla ja joka on saman valuutan määräinen, lyhyen position kirjanpitoarvo nettoutetaan suoran position kirjanpitoarvon kanssa. Jos tämä nettomäärä on negatiivinen, se katsotaan nollaksi. Jos laitoksella on lyhyt positio ilman vastaavaa suoraa positiota, lyhyen position määrä katsotaan tässä sarakkeessa nollaksi.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571EA580" w:rsidR="00BD16F2" w:rsidRPr="002A677E" w:rsidRDefault="00CB40D5" w:rsidP="00E07FE9">
            <w:pPr>
              <w:spacing w:before="0" w:after="0"/>
              <w:ind w:left="33"/>
              <w:rPr>
                <w:rFonts w:ascii="Times New Roman" w:hAnsi="Times New Roman"/>
                <w:bCs/>
                <w:sz w:val="24"/>
              </w:rPr>
            </w:pPr>
            <w:r>
              <w:rPr>
                <w:rFonts w:ascii="Times New Roman" w:hAnsi="Times New Roman"/>
                <w:sz w:val="24"/>
              </w:rPr>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JOHDANNAISVAROIHIN KUULUMATTOMAT RAHOITUSVARAT TILINPÄÄTÖSSALKUITTAIN</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Yhteenlaskettu kirjanpitoarvo, joka määritetään tämän taulukon edellisellä rivillä julkisyhteisöltä oleville johdannaisvaroihin kuulumattomille rahoitusvaroille tilinpäätössalkuittain jaoteltuna noudattaen sovellettavaa tilinpäätössäännöstöä.</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Kaupankäyntitarkoituksessa pidettävät rahoitusvarat</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 liite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Kaupankäyntitarkoituksessa pidettävät rahoitusvarat</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Neuvoston direktiivin 86/635/ETY 32 ja 33 artikla; tämän täytäntöönpanoasetuksen liitteessä V olevan 1 osan 16 kohta; direktiivin 2013/34/EU 8 artiklan 1 kohdan a alakohta</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Kaupankäyntivaraston ulkopuoliset rahoitusvarat, jotka on pakko arvostaa käypään arvoon tulosvaikutteisesti</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Rahoitusvarat, jotka on nimenomaisesti luokiteltu käypään arvoon tulosvaikutteisesti kirjattaviksi</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 IFRS 9.4.1.5; direktiivin 2013/34/EU 8 artiklan 1 kohdan a alakohta ja 8 artiklan 6 kohta</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Käypään arvoon tulosvaikutteisesti arvostettavat johdannaisvaroihin kuulumattomat kaupankäyntivaraston ulkopuoliset rahoitusvarat</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Neuvoston direktiivin 86/635/ETY 36 artiklan 2 kohta; direktiivin 2013/34/EU 8 artiklan 1 kohdan a alakohta</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Käypään arvoon muiden laajan tuloksen erien kautta arvostettavat rahoitusvarat</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Käypään arvoon omana pääomana arvostettavat johdannaisvaroihin kuulumattomat kaupankäyntivaraston ulkopuoliset rahoitusvarat</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Direktiivin 2013/34/EU 8 artiklan 1 kohdan a alakohta ja 8 artiklan 8 kohta</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Jaksotettuun hankintamenoon arvostettavat rahoitusvarat</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IFRS 7.8(f); IFRS 9.4.1.2; tämän täytäntöönpanoasetuksen liitteessä V olevan 1 osan 15 kohta</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Hankintamenoon perustuvalla menetelmällä arvostettavat johdannaisvaroihin kuulumattomat kaupankäyntivaraston ulkopuoliset rahoitusvarat</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Neuvoston direktiivin 86/635/ETY 35 artikla; direktiivin 2013/34/EU 6 artiklan 1 kohdan i alakohta ja 8 artiklan 2 kohta; tämän täytäntöönpanoasetuksen liitteessä V olevan 1 osan 16 kohta</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Muut johdannaisvaroihin kuulumattomat kaupankäyntivaraston ulkopuoliset rahoitusvarat</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Neuvoston direktiivin 86/635/ETY 37 artikla; direktiivin 2013/34/EU 12 artiklan 7 kohta; tämän täytäntöönpanoasetuksen liitteessä V olevan 1 osan 16 kohta</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Ainoastaan kansallisia yleisesti hyväksyttyjä kirjanpitoperiaatteita (GAAP) noudattavien laitosten on ilmoitettava nämä tiedot.</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Lyhyeksimyynnit</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Lyhyiden positioiden kirjanpitoarvo IFRS 9 BA.7(b):n mukaisesti, jos välittömänä vastapuolena on tämän liitteen 155–160 kohdan mukaisesti julkisyhteisö.</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Lyhyet positiot syntyvät, kun laitos myy arvopapereita, jotka on hankittu takaisinmyyntisopimuksella tai arvopaperilainauksella.</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Kirjanpitoarvo on lyhyiden positioiden käypä arvo.</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Lyhyet positiot on ilmoitettava riveillä 0170–0230 lueteltujen, jäljellä olevan maturiteetin mukaisten aikaryhmien ja välittömän vastapuolen mukaan.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Tässä sarakkeessa ilmoitetut lyhyet positiot voidaan nettouttaa sellaisten sarakkeissa 0030–0120 ilmoitettujen positioiden kanssa, joilla on sama jäljellä oleva maturiteetti ja sama välitön vastapuoli ja jotka ovat saman valuutan määräisiä, jotta saadaan sarakkeessa 0020 ilmoitettava nettopositio.</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6DE5F88B"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Josta: lyhyet positiot takaisinmyynti-sopimuksista, jotka luokitellaan </w:t>
            </w:r>
            <w:r w:rsidR="005C5C20">
              <w:rPr>
                <w:rFonts w:ascii="Times New Roman" w:hAnsi="Times New Roman"/>
                <w:b/>
                <w:sz w:val="24"/>
                <w:u w:val="single"/>
              </w:rPr>
              <w:t>kaupankäyntitarkoituksessa</w:t>
            </w:r>
            <w:r>
              <w:rPr>
                <w:rFonts w:ascii="Times New Roman" w:hAnsi="Times New Roman"/>
                <w:b/>
                <w:sz w:val="24"/>
                <w:u w:val="single"/>
              </w:rPr>
              <w:t xml:space="preserve"> pidettäviksi rahoitusvaroiksi</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9 BA.7(b):n mukainen sellaisten lyhyiden positioiden kirjanpitoarvo, jotka syntyvät laitoksen myydessä arvopapereita, jotka on hankittu takaisinmyyntisopimuksilla ja joissa välittömänä vastapuolena on julkisyhteisö ja jotka sisältyvät kaupankäyntitarkoituksessa pidettävien rahoitusvarojen muodostamaan tilinpäätössalkkuun (sarake 0030 tai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Tähän sarakkeeseen ei sisällytetä lyhyitä positioita, jotka syntyvät, kun myytyjä arvopapereita lainataan arvopaperilainauksessa.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Kertyneet arvonalentumiset</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Yhteenlasketut kertyneet arvonalentumiset, jotka liittyvät sarakkeissa 0080–0120 ilmoitettuihin, johdannaisvaroihin kuulumattomiin rahoitusvaroihin (tämän täytäntöönpanoasetuksen liitteessä V olevan 2 osan 70 ja 71 kohta)</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Kertyneet arvonalentumiset – Joista: käypään arvoon muiden laajan tuloksen erien kautta arvostettavista rahoitusvaroista tai käypään arvoon omana pääomana arvostettavista johdannaisvaroihin kuulumattomista kaupankäyntivaraston ulkopuolisista rahoitusvaroista</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Yhteenlasketut kertyneet arvonalentumiset, jotka liittyvät sarakkeissa 0080 ja 0090 ilmoitettuihin, johdannaisvaroihin kuulumattomiin rahoitusvaroihin.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0050, 0060, 0070, 0080 ja 0090 ilmoitettuihin positioihin (tämän täytäntöönpanoasetuksen liitteessä V olevan 2 osan 69 kohta)</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kaupankäyntivaraston ulkopuolisista rahoitusvaroista, jotka on pakko arvostaa käypään arvoon tulosvaikutteisesti, rahoitusvaroista, jotka on nimenomaisesti luokiteltu käypään arvoon tulosvaikutteisesti kirjattaviksi, tai käypään arvoon tulosvaikutteisesti arvostettavista kaupankäyntivaraston ulkopuolisista rahoitusvaroista</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0050, 0060 ja 0070 ilmoitettuihin positioihin.</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Luottoriskistä johtuvat kertyneet negatiiviset käyvän arvon muutokset – Joista: käypään arvoon muiden laajan tuloksen erien kautta arvostettavista rahoitusvaroista tai käypään arvoon omana pääomana arvostettavista johdannaisvaroihin kuulumattomista kaupankäyntivaraston ulkopuolisista rahoitusvaroista</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Yhteenlasketut luottoriskistä johtuvat kertyneet negatiiviset käyvän arvon muutokset, jotka liittyvät sarakkeissa 0080 ja 0090 ilmoitettuihin positioihin.</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5AFDD70F" w:rsidR="00BD16F2" w:rsidRPr="002A677E" w:rsidRDefault="00CB40D5"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Suorat johdannaispositiot ilmoitetaan sarakkeissa 0200–0230.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6F8F29D6" w:rsidR="00BD16F2" w:rsidRPr="002A677E" w:rsidRDefault="00CB40D5"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Kaikki johdannaisinstrumentit, joissa vastapuolena on julkisyhteisö ja joilla on laitoksen kannalta positiivinen käypä arvo raportointipäivänä, riippumatta siitä, käytetäänkö niitä ehdot täyttävässä suojaussuhteessa, pidetäänkö niitä kaupankäyntitarkoituksessa tai sisältyvätkö ne kaupankäyntisalkkuun IFRS:n ja neuvoston direktiiviin 86/635/ETY perustuvan kansallisen tilinpäätösnormiston mukaisesti.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positiivinen käypä arvo: Kirjanpitoarvo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Raportoinnin viitepäivänä rahoitusvaroina kirjattujen johdannaisten kirjanpitoarvo.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Näissä sarakkeissa ilmoitettaviin johdannaisiin kuuluvat neuvoston direktiiviin 86/635/ETY perustuvan kansallisen tilinpäätösnormiston mukaan hankintamenoon tai LOCOM-menetelmällä arvostettavat johdannaiset, jotka sisältyvät kaupankäyntisalkkuun tai määritetään suojausinstrumenteiksi.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Nimellisarvo</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IFRS:n tai neuvoston direktiiviin 86/635/ETY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tämän liitteen 191–196 kohdan mukaisesti julkisyhteisö, kun johdannaisella on laitoksen kannalta positiivinen käypä arvo viitepäivänä.</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0938A575" w:rsidR="00BD16F2" w:rsidRPr="002A677E" w:rsidRDefault="00CB40D5"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Kaikki johdannaisinstrumentit, joissa vastapuolena on julkisyhteisö ja joilla on laitoksen kannalta negatiivinen käypä arvo raportoinnin viitepäivänä, riippumatta siitä, käytetäänkö niitä ehdot täyttävässä suojaussuhteessa, pidetäänkö niitä kaupankäyntitarkoituksessa tai sisältyvätkö ne kaupankäyntisalkkuun IFRS:n ja neuvoston direktiiviin 86/635/ETY perustuvan kansallisen tilinpäätösnormiston mukaisesti.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Johdannaiset, joilla on negatiivinen käypä arvo: Kirjanpitoarvo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Raportoinnin viitepäivänä rahoitusvelkoina kirjattujen johdannaisten kirjanpitoarvo.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Näissä sarakkeissa ilmoitettaviin johdannaisiin kuuluvat neuvoston direktiiviin 86/635/ETY perustuvan kansallisen tilinpäätösnormiston mukaan hankintamenoon tai LOCOM-menetelmällä arvostettavat johdannaiset, jotka sisältyvät kaupankäyntisalkkuun tai määritetään suojausinstrumenteiksi.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Johdannaiset, joilla on negatiivinen käypä arvo: Nimellisarvo</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IFRS:n tai neuvoston direktiiviin 86/635/ETY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tämän liitteen 191–196 kohdan mukaisesti julkisyhteisö, kun johdannaisella on laitoksen kannalta negatiivinen käypä arvo viitepäivänä.</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1C9F0655" w:rsidR="00BD16F2" w:rsidRPr="002A677E" w:rsidRDefault="00CB40D5"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TASEEN ULKOPUOLISET VASTUUT</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Nimellisarvo</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Jos taseen ulkopuolisen erän välittömänä vastapuolena on tämän liitteen 155–160 kohdan mukaisesti julkisyhteisö, sellaisten sitoumusten ja takausten nimellisarvo, joita ei pidetä IFRS:n tai neuvoston direktiiviin 86/635/ETY perustuvan kansallisen tilinpäätösnormiston mukaan johdannaisina (tämän täytäntöönpanoasetuksen liitteessä V olevan 2 osan 102–119 kohta).</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Julkisyhteisö on tämän täytäntöönpanoasetuksen liitteessä V olevan 2 kohdan 43 ja 44 kohdan mukaan välitön vastapuoli a) annetussa takauksessa, jos se on takauksen kohteena olevan, vieraan pääoman ehtoisen instrumentin välitön vastapuoli, ja b) annetussa luottositoumuksessa ja muussa sitoumuksessa, jos se on vastapuoli, jonka luottoriskin raportoiva laitos ottaa vastattavakseen.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Varaukset</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Neuvoston direktiivin 86/635/ETY 4 artikla, ”Vastattavaa,” 6 kohdan c alakohta ja ”Taseen ulkopuoliset sitoumukset”, 27 artiklan 11 kohta, 28 artiklan 8 kohta ja 33 artikla; IFRS 9.4.2.1(c)(ii), (d)(ii), 9.5.5.20; IAS 37, IFRS 4, tämän täytäntöönpanoasetuksen liitteessä V olevan 2 osan 11 kohta</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Varaukset kaikista taseen ulkopuolisista vastuista niiden arvostamistavasta riippumatta lukuun ottamatta niitä, jotka arvostetaan käypään arvoon tulosvaikutteisesti IFRS 9:n mukaisesti.</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Annetun sitoumuksen arvonalentuminen ilmoitetaan IFRS:n mukaisesti sarakkeessa 150, jos laitos ei pysty erittelemään velkainstrumentin nostettuun ja nostamatta olevaan määrään liittyviä odotettavissa olevia luottotappioita. Jos kyseistä rahoitusinstrumenttia koskevat yhdistetyt odotettavissa olevat luottotappiot ylittävät instrumentin lainaosuuden bruttomääräisen kirjanpitoarvon, ylittävä osuus kyseisistä odotettavissa olevista luottotappioista ilmoitetaan varauksena sarakkeessa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Luottoriskistä johtuvat kertyneet negatiiviset käyvän arvon muutokset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Luottoriskistä johtuvat kertyneet negatiiviset käyvän arvon muutokset, kun kyseessä ovat IFRS 9:n mukaisesti käypään arvoon tulosvaikutteisesti arvostettavat taseen ulkopuoliset erät (tämän täytäntöönpanoasetuksen liitteessä V olevan 2 osan 110 kohta).</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15922B9A" w:rsidR="00BD16F2" w:rsidRPr="002A677E" w:rsidDel="008D1680" w:rsidRDefault="00CB40D5"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Riskipainotetut vastuuerät Luottoriskikehyksen soveltamisalaan kuuluvien vastuiden riskipainotetut vastuuerät.</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Luottojohdannaiset, jotka eivät vastaa liitteessä V olevan 2 osan 58 kohdassa esitettyä takauksen määritelmää ja joista raportoiva laitos on sopinut muiden vastapuolten kuin julkisyhteisöjen kanssa ja joiden viitevastuuna on julkisyhteisö, on ilmoitettava.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Näissä sarakkeissa ei ilmoiteta tietoja vastuista, jotka eritellään riskin, sääntelymenetelmän ja vastuuryhmien mukaan (rivit 0020–0160).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 joilla on positiivinen käypä arvo – kirjanpitoarvo</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kannalta positiivinen käypä arvo raportoinnin viitepäivänä, ottamatta huomioon varovaisia arvonoikaisuja.</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Määrä, joka ilmoitetaan tässä sarakkeessa IFRS:n mukaisista johdannaisista, on niiden johdannaisten kirjanpitoarvo, jotka ovat raportointipäivänä rahoitusvaroja.</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Määrä, joka ilmoitetaan tässä sarakkeessa neuvoston direktiiviin 86/635/ETY perustuvan kansallisen tilinpäätösnormiston mukaisista johdannaisista, on niiden johdannaisten käypä arvo, joilla kyseinen arvo on positiivinen raportoinnin viitepäivänä, niiden kirjaamistavasta riippumatta.</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Johdannaiset, joilla on negatiivinen käypä arvo – kirjanpitoarvo</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Sellaisten ilmoitettujen myytyjen luottojohdannaisten yhteenlaskettu kirjanpitoarvo, joiden kohde-etuudet ovat julkisyhteisöiltä olevia saamisia ja joilla on laitoksen kannalta negatiivinen käypä arvo raportoinnin viitepäivänä, ottamatta huomioon varovaisia arvonoikaisuja.</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Määrä, joka ilmoitetaan tässä sarakkeessa IFRS:n mukaisista johdannaisista, on niiden johdannaisten kirjanpitoarvo, jotka ovat raportointipäivänä rahoitusvelkoja.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Määrä, joka ilmoitetaan tässä sarakkeessa neuvoston direktiiviin 86/635/ETY perustuvan kansallisen tilinpäätösnormiston mukaisista johdannaisista, on niiden johdannaisten käypä arvo, joilla kyseinen arvo on negatiivinen raportoinnin viitepäivänä, niiden kirjaamistavasta riippumatta.</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Vastuuarvo</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Luottoriskikehyksen soveltamisalaan kuuluvien vastuiden vastuuarvo.</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Standardimenetelmän (SA) vastuiden osalta ks. asetuksen (EU) N:o 575/2013 111 artikla. IRB-menetelmän vastuiden osalta ks. asetuksen (EU) N:o 575/2013 166 artikla ja 230 artiklan 1 kohdan toinen virke.</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Sellaisten johdannaisten ilmoittamiseksi, joihin kohdistuu sekä vastapuoliriskin että markkinariskin pääomavaatimuksia, katso rivikohtaista erittelyä koskevat ohjeet.</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Sarakkeissa 0270 ja 0280 ilmoitettuja vastuita ei oteta huomioon tässä sarakkeessa, koska tässä sarakkeessa ilmoitettu arvo perustuu yksinomaan välittömiin vastuisiin.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Riskipainotetut vastuuerät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Luottoriskikehyksen soveltamisalaan kuuluvien vastuiden riskipainotetut vastuuerät.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Standardimenetelmän (SA) vastuiden osalta ks. asetuksen (EU) N:o 575/2013 113 artiklan 1–5 kohta. IRB-menetelmän vastuiden osalta ks. asetuksen (EU) N:o 575/2013 153 artiklan 1–3 kohta.</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Sellaisten asetuksen (EU) N:o 575/2013 271 artiklan soveltamisalaan kuuluvien välittömien vastuiden ilmoittamiseksi, joihin kohdistuu sekä vastapuoliriskin että markkinariskin omien varojen vaatimuksia, katso rivikohtaista erittelyä koskevat ohjeet.</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Sarakkeissa 0270 ja 0280 ilmoitettuja vastuita ei oteta huomioon tässä sarakkeessa, koska tässä sarakkeessa ilmoitettu arvo perustuu yksinomaan välittömiin vastuisiin.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Rivit</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Ohjeet</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VASTUIDEN ERITTELY SÄÄNTELYMENETELMÄN MUKAAN</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Vastuut yhteensä</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Yhteenlasketut saamiset tämän liitteen 191–196 kohdassa määritellyiltä julkisyhteisöiltä.</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3793131A" w:rsidR="00BD16F2" w:rsidRPr="002A677E" w:rsidRDefault="00CB40D5"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Luottoriskikehyksen soveltamisalaan kuuluvat vastuut</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Yhteenlasketut julkisyhteisöiltä olevat saamiset, jotka riskipainotetaan asetuksen (EU) N:o 575/2013 kolmannen osan II osaston mukaisesti. Luottoriskikehyksen soveltamisalaan kuuluviin vastuisiin sisältyvät sekä kaupankäyntivaraston ulkopuoliset että kaupankäyntivarastoon kuuluvat vastuut, joihin kohdistuu vastapuoliriskin pääomavaatimuksia.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Sellaiset asetuksen (EU) N:o 575/2013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Standardimenetelmä</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Julkisyhteisöiltä olevat saamiset, jotka riskipainotetaan asetuksen (EU) N:o 575/2013 kolmannen osan II osaston 2 luvun mukaisesti, mukaan luettuina kaupankäyntivaraston ulkopuoliset vastuut, joiden kyseisen luvun mukaisella riskipainotuksella käsitellään vastapuoliriskiä.</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Valtiot</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valtioita. Nämä vastuut luokitellaan vastuuryhmään ”Valtiot tai keskuspankit” asetuksen (EU) N:o 575/2013 112 ja 114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Aluehallinnot tai paikallisviranomaiset</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Nämä vastuut luokitellaan vastuuryhmään ”Aluehallinnot tai paikallisviranomaiset” asetuksen (EU) N:o 575/2013 112 ja 115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julkisyhteisöjä ja julkisoikeudellisia laitoksia. Nämä vastuut luokitellaan vastuuryhmään ”Julkisyhteisöt ja julkisoikeudelliset laitokset” asetuksen (EU) N:o 575/2013 112 ja 116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Kansainväliset organisaatiot</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kansainvälisiä organisaatioita. Nämä vastuut luokitellaan vastuuryhmään ”Kansainväliset organisaatiot” asetuksen (EU) N:o 575/2013 112 ja 118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standardimenetelmää</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Muut kuin edellä riveille 0040–0070 sisältyvät julkisyhteisöiltä olevat saamiset, jotka luokitellaan asetuksen (EU) N:o 575/2013 112 artiklan mukaisesti standardimenetelmän mukaisiin vastuuryhmiin omien varojen vaatimusten laskemiseksi.</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IRB-menetelmä</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Julkisyhteisöiltä olevat saamiset, jotka riskipainotetaan asetuksen (EU) N:o 575/2013 kolmannen osan II osaston 3 luvun mukaisesti, mukaan luettuina kaupankäyntivaraston ulkopuoliset vastuut, joiden kyseisen luvun mukaisella riskipainotuksella käsitellään vastapuoliriskiä.</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Valtiot</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valtioita ja jotka luokitellaan vastuuryhmään ”Valtiot ja keskuspankit” asetuksen (EU) N:o 575/2013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Aluehallinnot tai paikallisviranomaiset [Valtiot ja keskuspankit]</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aluehallintoja tai paikallisviranomaisia ja jotka luokitellaan vastuuryhmään ”Valtiot ja keskuspankit” asetuksen (EU) N:o 575/2013 147 artiklan 3 a 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Aluehallinnot tai paikallisviranomaiset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aluehallinnoilta tai paikallisviranomaisilta, jotka luokitellaan vastuuryhmään ”Aluehallinnot tai paikallisviranomaiset” asetuksen (EU) N:o 575/2013 147 artiklan 2 kohdan a1 alakohdan i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Julkisyhteisöt ja julkisoikeudelliset laitokset [Valtiot ja keskuspankit]</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asetuksen (EU) N:o 575/2013 4 artiklan 8 kohdan mukaisesti julkisyhteisöjä ja julkisoikeudellisia laitoksia ja jotka luokitellaan vastuuryhmään ”Valtiot ja keskuspankit” kyseisen asetuksen 147 artiklan 3 a 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Julkisyhteisöt ja julkisoikeudelliset laitokset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Asetuksen (EU) N:o 575/2013 4 artiklan 8 kohdan mukaiset saamiset julkisyhteisöiltä ja julkisoikeudellisilta laitoksilta ja jotka luokitellaan vastuuryhmään ”Julkisyhteisöt ja julkisoikeudelliset laitokset” kyseisen asetuksen 147 artiklan 2 kohdan a1 alakohdan ii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Kansainväliset organisaatiot [Valtiot ja keskuspankit]</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Saamiset julkisyhteisöiltä, jotka ovat kansainvälisiä organisaatioita ja jotka luokitellaan vastuuryhmään ”Valtiot ja keskuspankit” asetuksen (EU) N:o 575/2013 147 artiklan 3 kohdan c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Muut julkisyhteisöiltä olevat saamiset, joihin sovelletaan IRB-menetelmää</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Muut kuin edellä riveille 0090–0140 sisältyvät julkisyhteisöiltä olevat saamiset, jotka luokitellaan asetuksen (EU) N:o 575/2013 147 artiklan mukaisesti IRB-menetelmän mukaisiin vastuuryhmiin omien varojen vaatimusten laskemiseksi.</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Vastuut, joihin kohdistuu markkinariski</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Tämä rivi kattaa positiot, joiden osalta lasketaan yksi seuraavista asetuksen (EU) N:o 575/2013 kolmannen osan IV osaston mukaisista omien varojen vaatimuksista:</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asetuksen (EU) N:o 575/2013 326 artiklan mukaiset positioriskiä koskevat omien varojen vaatimukset</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kyseisen asetuksen kolmannen osan IV osaston 5 luvun mukaiset yleis- ja erityisriskiä koskevat omien varojen vaatimukset</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kyseisen asetuksen kolmannen osan IV osaston 1 a luvun mukaiset luottomarginaaliriskiä tai maksukyvyttömyysriskiä koskevat omien varojen vaatimukset.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kyseisen asetuksen kolmannen osan IV osaston 1 a luvun mukaisesti lasketut omien varojen vaatimukset, jos positioon vaikuttavat luottomarginaalia koskevan pääluokan riskitekijät tai se on sisällytetty laitoksen sisäiseen maksukyvyttömyysriskimalliin.</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Sellaiset asetuksen (EU) N:o 575/2013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VASTUIDEN ERITTELY JÄLJELLÄ OLEVAN MATURITEETIN MUKAAN</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Jäljellä oleva maturiteetti lasketaan kaikkien positioiden osalta sopimuksenmukaisen erääntymispäivän ja raportoinnin viitepäivän välisinä päivinä.</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Julkisyhteisöiltä olevat saamiset eritellään jäljellä olevan maturiteetin mukaan ja jaetaan aikaryhmiin seuraavasti:</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[ 0–3 kuukautta [</w:t>
            </w:r>
            <w:r>
              <w:rPr>
                <w:rFonts w:ascii="Times New Roman" w:hAnsi="Times New Roman"/>
                <w:sz w:val="24"/>
              </w:rPr>
              <w:t xml:space="preserve"> : alle 90 päivää</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 kuukautta – 1 vuosi [</w:t>
            </w:r>
            <w:r>
              <w:rPr>
                <w:rFonts w:ascii="Times New Roman" w:hAnsi="Times New Roman"/>
                <w:sz w:val="24"/>
              </w:rPr>
              <w:t xml:space="preserve"> : vähintään 90 päivää ja alle 365 päivää</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[ 1–2 vuotta [</w:t>
            </w:r>
            <w:r>
              <w:rPr>
                <w:rFonts w:ascii="Times New Roman" w:hAnsi="Times New Roman"/>
                <w:sz w:val="24"/>
              </w:rPr>
              <w:t xml:space="preserve"> : vähintään 365 päivää ja alle 730 päivää</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[ 2–3 vuotta [</w:t>
            </w:r>
            <w:r>
              <w:rPr>
                <w:rFonts w:ascii="Times New Roman" w:hAnsi="Times New Roman"/>
                <w:sz w:val="24"/>
              </w:rPr>
              <w:t xml:space="preserve"> : vähintään 730 päivää ja alle 1 095 päivää</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[ 3–5 vuotta [</w:t>
            </w:r>
            <w:r>
              <w:rPr>
                <w:rFonts w:ascii="Times New Roman" w:hAnsi="Times New Roman"/>
                <w:sz w:val="24"/>
              </w:rPr>
              <w:t xml:space="preserve"> : vähintään 1 095 päivää ja alle 1 825 päivää</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[ 5–10 vuotta [</w:t>
            </w:r>
            <w:r>
              <w:rPr>
                <w:rFonts w:ascii="Times New Roman" w:hAnsi="Times New Roman"/>
                <w:sz w:val="24"/>
              </w:rPr>
              <w:t xml:space="preserve"> : vähintään 1 825 päivää ja alle 3 650 päivää</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[ 10 vuotta – enemmän</w:t>
            </w:r>
            <w:r>
              <w:rPr>
                <w:rFonts w:ascii="Times New Roman" w:hAnsi="Times New Roman"/>
                <w:sz w:val="24"/>
              </w:rPr>
              <w:t xml:space="preserve"> : vähintään 3 650 päivää.</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Jos sopimuksenmukainen erääntymispäivä on aikaisempi kuin raportoinnin viitepäivä (eli raportoinnin viitepäivän ja erääntymispäivän välinen ero on negatiivinen arvo), vastuu on kohdennettava luokkaan [0–3 kuukautta].</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Vastuut, joilla ei ole jäljellä olevaa maturiteettia, on kohdennettava jäljellä olevan maturiteetin mukaiseen luokkaan niiden irtisanomisajan tai muiden sopimukseen sisältyvien maturiteettia koskevien viittausten perusteella. Jos ei ole ennalta määriteltyä irtisanomisaikaa tai muuta sopimukseen sisältyvää maturiteettia koskevaa viittausta, vastuut on kohdennettava jäljellä olevan maturiteetin luokkaan [10 vuotta – enemmän].</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F45FF0"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91C5592"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51B99"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5C5C20"/>
    <w:rsid w:val="00631623"/>
    <w:rsid w:val="00701E4C"/>
    <w:rsid w:val="00816CE5"/>
    <w:rsid w:val="00855551"/>
    <w:rsid w:val="00A6002C"/>
    <w:rsid w:val="00B71F25"/>
    <w:rsid w:val="00BD16F2"/>
    <w:rsid w:val="00CB40D5"/>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fi-FI"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fi-FI"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fi-FI"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1D870AD-6A3F-4E25-81E4-C3745B6E0638}"/>
</file>

<file path=customXml/itemProps3.xml><?xml version="1.0" encoding="utf-8"?>
<ds:datastoreItem xmlns:ds="http://schemas.openxmlformats.org/officeDocument/2006/customXml" ds:itemID="{6952D216-D3C6-4AB8-A370-6C6BC6A8164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4486</Words>
  <Characters>27102</Characters>
  <Application>Microsoft Office Word</Application>
  <DocSecurity>0</DocSecurity>
  <Lines>677</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2025-01-14T14:59:56Z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51452222-7c6d-4131-adbe-109374f6785d</vt:lpwstr>
  </property>
  <property fmtid="{D5CDD505-2E9C-101B-9397-08002B2CF9AE}" pid="9" name="MSIP_Label_6bd9ddd1-4d20-43f6-abfa-fc3c07406f94_ContentBits">
    <vt:lpwstr>0</vt:lpwstr>
  </property>
</Properties>
</file>