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Default="00CB0520" w:rsidP="00CB0520">
      <w:pPr>
        <w:jc w:val="center"/>
        <w:rPr>
          <w:sz w:val="24"/>
          <w:szCs w:val="22"/>
          <w:rFonts w:ascii="Times New Roman" w:hAnsi="Times New Roman"/>
        </w:rPr>
      </w:pPr>
      <w:r>
        <w:rPr>
          <w:sz w:val="24"/>
          <w:rFonts w:ascii="Times New Roman" w:hAnsi="Times New Roman"/>
        </w:rPr>
        <w:t xml:space="preserve">FI</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sz w:val="24"/>
          <w:rFonts w:ascii="Times New Roman" w:hAnsi="Times New Roman"/>
        </w:rPr>
      </w:pPr>
      <w:r>
        <w:rPr>
          <w:sz w:val="24"/>
          <w:rFonts w:ascii="Times New Roman" w:hAnsi="Times New Roman"/>
        </w:rPr>
        <w:t xml:space="preserve">LIITE II</w:t>
      </w:r>
    </w:p>
    <w:p w14:paraId="03895EA2" w14:textId="77777777" w:rsidR="009C5DD6" w:rsidRPr="00037E7B" w:rsidRDefault="009C5DD6" w:rsidP="009C5DD6">
      <w:pPr>
        <w:jc w:val="center"/>
        <w:rPr>
          <w:sz w:val="24"/>
          <w:rFonts w:ascii="Times New Roman" w:hAnsi="Times New Roman"/>
        </w:rPr>
      </w:pPr>
      <w:r>
        <w:rPr>
          <w:sz w:val="24"/>
          <w:rFonts w:ascii="Times New Roman" w:hAnsi="Times New Roman"/>
        </w:rPr>
        <w:t xml:space="preserve">”LIITE II</w:t>
      </w:r>
    </w:p>
    <w:p w14:paraId="480031C9" w14:textId="77777777" w:rsidR="009C5DD6" w:rsidRPr="00037E7B" w:rsidRDefault="009C5DD6" w:rsidP="009C5DD6">
      <w:pPr>
        <w:jc w:val="center"/>
        <w:rPr>
          <w:b/>
          <w:sz w:val="24"/>
          <w:rFonts w:ascii="Times New Roman" w:hAnsi="Times New Roman"/>
        </w:rPr>
      </w:pPr>
      <w:r>
        <w:rPr>
          <w:b/>
          <w:sz w:val="24"/>
          <w:rFonts w:ascii="Times New Roman" w:hAnsi="Times New Roman"/>
        </w:rPr>
        <w:t xml:space="preserve">OMIEN VAROJEN JA OMIEN VAROJEN VAATIMUSTEN RAPORTOINTIA KOSKEVAT OHJEET</w:t>
      </w:r>
    </w:p>
    <w:p w14:paraId="08E08E50" w14:textId="77777777" w:rsidR="00EE75F2" w:rsidRDefault="00EE75F2"/>
    <w:p w14:paraId="29C05932" w14:textId="7194A2B7" w:rsidR="00925646" w:rsidRDefault="00FA21C6" w:rsidP="00925646">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OSA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LOMAKKEISIIN LIITTYVÄT OHJEET</w:t>
      </w:r>
    </w:p>
    <w:p w14:paraId="4DA6D037" w14:textId="77777777" w:rsidR="00FC29F5" w:rsidRDefault="00736637" w:rsidP="0092564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7B580897" w14:textId="4FDF8965" w:rsidR="00736637" w:rsidRPr="00736637" w:rsidRDefault="00736637" w:rsidP="0092564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532AAD9A"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0" w:name="_Toc310415035"/>
      <w:bookmarkStart w:id="1" w:name="_Toc360188372"/>
      <w:bookmarkStart w:id="2" w:name="_Toc473560923"/>
      <w:bookmarkStart w:id="3" w:name="_Toc151714430"/>
      <w:r>
        <w:rPr>
          <w:sz w:val="24"/>
          <w:u w:val="none"/>
          <w:rFonts w:ascii="Times New Roman" w:hAnsi="Times New Roman"/>
        </w:rPr>
        <w:t xml:space="preserve">3.6.</w:t>
      </w:r>
      <w:r>
        <w:rPr>
          <w:sz w:val="24"/>
          <w:u w:val="none"/>
          <w:rFonts w:ascii="Times New Roman" w:hAnsi="Times New Roman"/>
        </w:rPr>
        <w:tab/>
      </w:r>
      <w:r>
        <w:rPr>
          <w:sz w:val="24"/>
          <w:rFonts w:ascii="Times New Roman" w:hAnsi="Times New Roman"/>
        </w:rPr>
        <w:t xml:space="preserve">C 11.00 – Selvitys-/toimitusriski</w:t>
      </w:r>
      <w:bookmarkEnd w:id="0"/>
      <w:bookmarkEnd w:id="1"/>
      <w:r>
        <w:rPr>
          <w:sz w:val="24"/>
          <w:rFonts w:ascii="Times New Roman" w:hAnsi="Times New Roman"/>
        </w:rPr>
        <w:t xml:space="preserve"> (CR SETT)</w:t>
      </w:r>
      <w:bookmarkEnd w:id="2"/>
      <w:bookmarkEnd w:id="3"/>
    </w:p>
    <w:p w14:paraId="2752D001"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4" w:name="_Toc262568045"/>
      <w:bookmarkStart w:id="5" w:name="_Toc295829924"/>
      <w:bookmarkStart w:id="6" w:name="_Toc310415036"/>
      <w:bookmarkStart w:id="7" w:name="_Toc360188373"/>
      <w:bookmarkStart w:id="8" w:name="_Toc473560924"/>
      <w:bookmarkStart w:id="9" w:name="_Toc151714431"/>
      <w:r>
        <w:rPr>
          <w:sz w:val="24"/>
          <w:u w:val="none"/>
          <w:rFonts w:ascii="Times New Roman" w:hAnsi="Times New Roman"/>
        </w:rPr>
        <w:t xml:space="preserve">3.6.1.</w:t>
      </w:r>
      <w:r>
        <w:rPr>
          <w:sz w:val="24"/>
          <w:u w:val="none"/>
          <w:rFonts w:ascii="Times New Roman" w:hAnsi="Times New Roman"/>
        </w:rPr>
        <w:tab/>
      </w:r>
      <w:r>
        <w:rPr>
          <w:sz w:val="24"/>
          <w:rFonts w:ascii="Times New Roman" w:hAnsi="Times New Roman"/>
        </w:rPr>
        <w:t xml:space="preserve">Yleiset huomautukset</w:t>
      </w:r>
      <w:bookmarkEnd w:id="4"/>
      <w:bookmarkEnd w:id="5"/>
      <w:bookmarkEnd w:id="6"/>
      <w:bookmarkEnd w:id="7"/>
      <w:bookmarkEnd w:id="8"/>
      <w:bookmarkEnd w:id="9"/>
    </w:p>
    <w:p w14:paraId="2F026EC9" w14:textId="0B459D4B"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99</w:t>
      </w:r>
      <w:r>
        <w:fldChar w:fldCharType="end"/>
      </w:r>
      <w:r>
        <w:t xml:space="preserve">.</w:t>
      </w:r>
      <w:r>
        <w:tab/>
      </w:r>
      <w:r>
        <w:t xml:space="preserve">Tässä lomakkeessa kerätään tietoja sellaisista sekä kaupankäyntivarastoon kuuluvista että sen ulkopuolisista liiketoimista, jotka ovat niiden sovitun toimituspäivän jälkeen selvittämättä, sekä niitä vastaavista selvitysriskin omien varojen vaatimuksista asetuksen (EU) N:o 575/2013 92 artiklan 3 kohdan c alakohdan ii alakohdan ja 378 artiklan mukaisesti.</w:t>
      </w:r>
      <w:r>
        <w:t xml:space="preserve"> </w:t>
      </w:r>
    </w:p>
    <w:p w14:paraId="0B60E63F" w14:textId="08AFF3CE"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100</w:t>
      </w:r>
      <w:r>
        <w:fldChar w:fldCharType="end"/>
      </w:r>
      <w:r>
        <w:t xml:space="preserve">.</w:t>
      </w:r>
      <w:r>
        <w:tab/>
      </w:r>
      <w:r>
        <w:t xml:space="preserve">Laitosten on ilmoitettava CR SETT -lomakkeessa selvitys-/toimitusriskiä koskevat tiedot, jotka liittyvät niiden kaupankäyntivarastossa ja sen ulkopuolella oleviin vieraan pääoman ehtoisiin rahoitusinstrumentteihin, osakkeisiin, ulkomaanvaluuttaan ja hyödykkeisiin.</w:t>
      </w:r>
      <w:r>
        <w:t xml:space="preserve"> </w:t>
      </w:r>
    </w:p>
    <w:p w14:paraId="1F6DAE78" w14:textId="6128EA18"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101</w:t>
      </w:r>
      <w:r>
        <w:fldChar w:fldCharType="end"/>
      </w:r>
      <w:r>
        <w:t xml:space="preserve">.</w:t>
      </w:r>
      <w:r>
        <w:tab/>
      </w:r>
      <w:r>
        <w:t xml:space="preserve">Asetuksen (EU) N:o 575/2013 378 artiklan mukaisesti vieraan pääoman ehtoisiin rahoitusinstrumentteihin, osakkeisiin, ulkomaanvaluuttaan ja hyödykkeisiin liittyviin takaisinostotransaktioihin, arvopapereiden tai hyödykkeiden lainaksiantamiseen ja arvopapereiden tai hyödykkeiden lainaksiottamiseen ei sovelleta selvitys-/toimitusriskiä koskevia omien varojen vaatimuksia.</w:t>
      </w:r>
      <w:r>
        <w:t xml:space="preserve"> </w:t>
      </w:r>
      <w:r>
        <w:t xml:space="preserve">Kuitenkin on syytä panna merkille, että sovitun toimituspäivän jälkeen selvittämättä olevat johdannaiset ja pitkän selvitysajan liiketoimet ovat selvitys-/toimitusriskiä koskevien omien varojen vaatimusten alaisia asetuksen (EU) N:o 575/2013 378 artiklassa määritellyllä tavalla.</w:t>
      </w:r>
    </w:p>
    <w:p w14:paraId="4DCAF22E" w14:textId="79A986C3"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102</w:t>
      </w:r>
      <w:r>
        <w:fldChar w:fldCharType="end"/>
      </w:r>
      <w:r>
        <w:t xml:space="preserve">.</w:t>
      </w:r>
      <w:r>
        <w:tab/>
      </w:r>
      <w:r>
        <w:t xml:space="preserve">Sovitun toimituspäivän jälkeen selvittämättä olevien transaktioiden tapauksessa laitosten on laskettava hintaero, josta voi aiheutua niille tappioita.</w:t>
      </w:r>
      <w:r>
        <w:t xml:space="preserve"> </w:t>
      </w:r>
      <w:r>
        <w:t xml:space="preserve">Tällä tarkoitetaan vieraan pääoman ehtoisen rahoitusinstrumentin, osakkeen, ulkomaanvaluutan tai hyödykkeen sovitun kauppahinnan ja sen käyvän markkina-arvon erotusta, kun tämä erotus voi aiheuttaa tappion laitokselle.</w:t>
      </w:r>
      <w:r>
        <w:t xml:space="preserve"> </w:t>
      </w:r>
    </w:p>
    <w:p w14:paraId="7DB9BE93" w14:textId="77A3E431"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103</w:t>
      </w:r>
      <w:r>
        <w:fldChar w:fldCharType="end"/>
      </w:r>
      <w:r>
        <w:t xml:space="preserve">.</w:t>
      </w:r>
      <w:r>
        <w:tab/>
      </w:r>
      <w:r>
        <w:t xml:space="preserve">Laitosten on kerrottava tämä erotus asetuksen (EU) N:o 575/2013 378 artiklan taulukon 1 soveltuvalla kertoimella määrittääkseen vastaavat omien varojen vaatimukset.</w:t>
      </w:r>
    </w:p>
    <w:p w14:paraId="59D114DF" w14:textId="657627A8"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rsidRPr="002A677E">
        <w:t>104</w:t>
      </w:r>
      <w:r>
        <w:fldChar w:fldCharType="end"/>
      </w:r>
      <w:r>
        <w:t xml:space="preserve">.</w:t>
      </w:r>
      <w:r>
        <w:tab/>
      </w:r>
      <w:r>
        <w:t xml:space="preserve">Asetuksen (EU) N:o 575/2013 92 artiklan 4 kohdan b alakohdan mukaisesti selvitys-/toimitusriskin omien varojen vaatimukset kerrotaan kertoimella 12,5 riskin määrän laskemiseksi.</w:t>
      </w:r>
    </w:p>
    <w:p w14:paraId="451A9870" w14:textId="00DC3B9D" w:rsidR="00925646" w:rsidRPr="002A677E" w:rsidRDefault="00925646" w:rsidP="00925646">
      <w:pPr>
        <w:pStyle w:val="InstructionsText2"/>
        <w:numPr>
          <w:ilvl w:val="0"/>
          <w:numId w:val="0"/>
        </w:numPr>
        <w:ind w:left="993"/>
      </w:pPr>
      <w:r>
        <w:lastRenderedPageBreak/>
        <w:fldChar w:fldCharType="begin" w:dirty="true"/>
      </w:r>
      <w:r>
        <w:instrText>seq paragraphs</w:instrText>
      </w:r>
      <w:r>
        <w:fldChar w:fldCharType="separate"/>
      </w:r>
      <w:r w:rsidRPr="002A677E">
        <w:t>105</w:t>
      </w:r>
      <w:r>
        <w:fldChar w:fldCharType="end"/>
      </w:r>
      <w:r>
        <w:t xml:space="preserve">.</w:t>
      </w:r>
      <w:r>
        <w:tab/>
      </w:r>
      <w:r>
        <w:t xml:space="preserve">On huomattava, että asetuksen (EU) N:o 575/2013 379 artiklassa vahvistetut vaillinaisia siirtoja koskevat omien varojen vaatimukset eivät kuulu CR SETT -lomakkeen soveltamisalaan;</w:t>
      </w:r>
      <w:r>
        <w:t xml:space="preserve"> </w:t>
      </w:r>
      <w:r>
        <w:t xml:space="preserve">Nämä omien varojen vaatimukset on ilmoitettava luottoriskilomakkeissa (CR SA, CR IRB).</w:t>
      </w:r>
    </w:p>
    <w:p w14:paraId="2856C9F8"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10" w:name="_Toc310415037"/>
      <w:bookmarkStart w:id="11" w:name="_Toc360188374"/>
      <w:bookmarkStart w:id="12" w:name="_Toc473560925"/>
      <w:bookmarkStart w:id="13" w:name="_Toc151714432"/>
      <w:r>
        <w:rPr>
          <w:sz w:val="24"/>
          <w:u w:val="none"/>
          <w:rFonts w:ascii="Times New Roman" w:hAnsi="Times New Roman"/>
        </w:rPr>
        <w:t xml:space="preserve">3.6.2.</w:t>
      </w:r>
      <w:r>
        <w:rPr>
          <w:sz w:val="24"/>
          <w:u w:val="none"/>
          <w:rFonts w:ascii="Times New Roman" w:hAnsi="Times New Roman"/>
        </w:rPr>
        <w:tab/>
      </w:r>
      <w:r>
        <w:rPr>
          <w:sz w:val="24"/>
          <w:rFonts w:ascii="Times New Roman" w:hAnsi="Times New Roman"/>
        </w:rPr>
        <w:t xml:space="preserve">Tiettyjä positioita koskevat ohjeet</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b/>
                <w:sz w:val="24"/>
                <w:rFonts w:ascii="Times New Roman" w:hAnsi="Times New Roman"/>
              </w:rPr>
            </w:pPr>
            <w:r>
              <w:rPr>
                <w:b/>
                <w:sz w:val="24"/>
                <w:rFonts w:ascii="Times New Roman" w:hAnsi="Times New Roman"/>
              </w:rPr>
              <w:t xml:space="preserve">Sarakkeet</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04AF1B5E"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SELVITTÄMÄTTÖMIEN LIIKETOIMIEN KAUPPAHINTA</w:t>
            </w:r>
          </w:p>
          <w:p w14:paraId="4CB9A5A9"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Laitosten on ilmoitettava sovitun toimituspäivän jälkeen selvittämättä olevat liiketoimet niiden sovitun kauppahinnan mukaan asetuksen (EU) N:o 575/2013 378 artiklan mukaisesti.</w:t>
            </w:r>
            <w:r>
              <w:rPr>
                <w:sz w:val="24"/>
                <w:rFonts w:ascii="Times New Roman" w:hAnsi="Times New Roman"/>
              </w:rPr>
              <w:t xml:space="preserve"> </w:t>
            </w:r>
          </w:p>
          <w:p w14:paraId="09152D4C"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Kaikki selvittämättömät liiketoimet on sisällytettävä tähän sarakkeeseen siitä riippumatta, ovatko ne sovitun toimituspäivän jälkeen voitollisia vai tappiollisia.</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5594AB87"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SELVITTÄMÄTTÖMISTÄ LIIKETOIMISTA AIHEUTUVAT HINTAEROVASTUUT</w:t>
            </w:r>
          </w:p>
          <w:p w14:paraId="43853ADA"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Laitosten on ilmoitettava vieraan pääoman ehtoisen rahoitusinstrumentin, osakkeen, ulkomaanvaluutan tai hyödykkeen sovitun kauppahinnan ja käyvän markkina-arvon välinen hintaero, kun tämä erotus voi aiheuttaa tappion laitokselle, asetuksen (EU) N:o 575/2013 378 artiklan mukaisesti.</w:t>
            </w:r>
            <w:r>
              <w:rPr>
                <w:sz w:val="24"/>
                <w:rFonts w:ascii="Times New Roman" w:hAnsi="Times New Roman"/>
              </w:rPr>
              <w:t xml:space="preserve"> </w:t>
            </w:r>
          </w:p>
          <w:p w14:paraId="692F8AB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Tässä sarakkeessa on ilmoitettava ainoastaan sovitun toimituspäivän jälkeen selvittämättömät tappiolliset liiketoimet.</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5DA1D585"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OMIEN VAROJEN VAATIMUKSET</w:t>
            </w:r>
          </w:p>
          <w:p w14:paraId="24894388"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Laitosten on ilmoitettava asetuksen (EU) N:o 575/2013 378 artiklan mukaisesti lasketut omien varojen vaatimukset.</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09E890C2"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SELVITYSRISKIN KOKONAISMÄÄRÄ</w:t>
            </w:r>
          </w:p>
          <w:p w14:paraId="3A06223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Asetuksen (EU) N:o 575/2013 92 artiklan 4 kohdan b alakohdan mukaisesti laitosten on kerrottava sarakkeessa 0030 ilmoitettu omien varojen vaatimustensa määrä kertoimella 12,5 saadakseen laskettua selvitysriskin määrän.</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b/>
                <w:sz w:val="24"/>
                <w:rFonts w:ascii="Times New Roman" w:hAnsi="Times New Roman"/>
              </w:rPr>
            </w:pPr>
            <w:r>
              <w:rPr>
                <w:b/>
                <w:sz w:val="24"/>
                <w:rFonts w:ascii="Times New Roman" w:hAnsi="Times New Roman"/>
              </w:rPr>
              <w:t xml:space="preserve">Rivit</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0010</w:t>
            </w:r>
          </w:p>
        </w:tc>
        <w:tc>
          <w:tcPr>
            <w:tcW w:w="8010" w:type="dxa"/>
          </w:tcPr>
          <w:p w14:paraId="79508667"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Kaupankäyntivarastoon kuulumattomat selvittämättömät liiketoimet yhteensä</w:t>
            </w:r>
          </w:p>
          <w:p w14:paraId="21410DD0" w14:textId="700C573F"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Laitosten on ilmoitettava kootut tiedot kaupankäyntivaraston ulkopuolisten positioiden selvitys-/toimitusriskistä (asetuksen (EU) N:o 575/2013 92 artiklan 4 kohdan ca alakohdan ja 378 artiklan mukaisesti).</w:t>
            </w:r>
          </w:p>
          <w:p w14:paraId="57BBA9B8" w14:textId="77777777" w:rsidR="00925646" w:rsidRPr="002A677E" w:rsidRDefault="00925646" w:rsidP="00E07FE9">
            <w:pPr>
              <w:spacing w:beforeLines="60" w:before="144"/>
              <w:rPr>
                <w:sz w:val="24"/>
                <w:rFonts w:ascii="Times New Roman" w:hAnsi="Times New Roman"/>
              </w:rPr>
            </w:pPr>
            <w:r>
              <w:rPr>
                <w:sz w:val="24"/>
                <w:rFonts w:ascii="Times New Roman" w:hAnsi="Times New Roman"/>
              </w:rPr>
              <w:t xml:space="preserve">Kohdassa {r0010;c0010} laitosten on ilmoitettava sovitun toimituspäivän jälkeen selvittämättä olevien liiketoimien yhteenlaskettu summa niiden sovittujen kauppahintojen mukaan.</w:t>
            </w:r>
          </w:p>
          <w:p w14:paraId="556AEAC8" w14:textId="77777777" w:rsidR="00925646" w:rsidRPr="002A677E" w:rsidRDefault="00925646" w:rsidP="00E07FE9">
            <w:pPr>
              <w:spacing w:beforeLines="60" w:before="144"/>
              <w:rPr>
                <w:sz w:val="24"/>
                <w:rFonts w:ascii="Times New Roman" w:hAnsi="Times New Roman"/>
              </w:rPr>
            </w:pPr>
            <w:r>
              <w:rPr>
                <w:sz w:val="24"/>
                <w:rFonts w:ascii="Times New Roman" w:hAnsi="Times New Roman"/>
              </w:rPr>
              <w:t xml:space="preserve">Kohdassa {r0010;c0020} laitosten on ilmoitettava kootut tiedot selvittämättömistä tappiollisista liiketoimista aiheutuvista hintaerovastuista.</w:t>
            </w:r>
          </w:p>
          <w:p w14:paraId="01BDECE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Kohdassa {r0010;c0030} laitosten on ilmoitettava kootut omien varojen vaatimukset, joilla tarkoitetaan selvittämättömistä liiketoimista laskettua omien varojen vaatimusten määrää, joka saadaan kertomalla sarakkeessa 0020 ilmoitettu ”hintaero” asianmukaisella kertoimella, joka perustuu sovitusta toimituspäivästä kuluneiden työpäivien määrään (asetuksen (EU) N:o 575/2013 378 artiklan taulukossa 1 olevat luokat).</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0020-0060</w:t>
            </w:r>
          </w:p>
        </w:tc>
        <w:tc>
          <w:tcPr>
            <w:tcW w:w="8010" w:type="dxa"/>
          </w:tcPr>
          <w:p w14:paraId="78C0D32F"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Toimituspäivä ylittyy enintään neljällä päivällä (kerroin on 0 %)</w:t>
            </w:r>
            <w:r>
              <w:rPr>
                <w:rStyle w:val="InstructionsTabelleberschrift"/>
                <w:sz w:val="24"/>
                <w:rFonts w:ascii="Times New Roman" w:hAnsi="Times New Roman"/>
              </w:rPr>
              <w:t xml:space="preserve"> </w:t>
            </w:r>
          </w:p>
          <w:p w14:paraId="18729DF9"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Toimituspäivä ylittyy 5–15 päivällä (kerroin on 8 %)</w:t>
            </w:r>
          </w:p>
          <w:p w14:paraId="00232284"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Toimituspäivä ylittyy 16–30 päivällä (kerroin on 50 %)</w:t>
            </w:r>
          </w:p>
          <w:p w14:paraId="5EEFD940"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Toimituspäivä ylittyy 31–45 päivällä (kerroin on 75 %)</w:t>
            </w:r>
          </w:p>
          <w:p w14:paraId="326E480A"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Toimituspäivä ylittyy 46 päivällä tai enemmän (kerroin on 100 %)</w:t>
            </w:r>
          </w:p>
          <w:p w14:paraId="4BCE7D0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Laitosten on ilmoitettava riveillä 0020–0060 tiedot kaupankäyntivaraston ulkopuolisia positioita koskevasta selvitys-/toimitusriskistä asetuksen (EU) N:o 575/2013 378 artiklan taulukossa 1 olevien luokkien mukaisesti.</w:t>
            </w:r>
            <w:r>
              <w:rPr>
                <w:sz w:val="24"/>
                <w:rFonts w:ascii="Times New Roman" w:hAnsi="Times New Roman"/>
              </w:rPr>
              <w:t xml:space="preserve"> </w:t>
            </w:r>
          </w:p>
          <w:p w14:paraId="4BA03842"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Selvitys-/toimitusriskin osalta ei edellytetä omien varojen vaatimuksia, jos liiketoimet ovat olleet selvittämättöminä alle 5 arkipäivää sovitun toimituspäivän jälkeen.</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0070</w:t>
            </w:r>
          </w:p>
        </w:tc>
        <w:tc>
          <w:tcPr>
            <w:tcW w:w="8010" w:type="dxa"/>
          </w:tcPr>
          <w:p w14:paraId="56920EB6"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Kaupankäyntivarastoon kuuluvat selvittämättömät liiketoimet yhteensä</w:t>
            </w:r>
          </w:p>
          <w:p w14:paraId="3C4B428B" w14:textId="446A5161"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Laitosten on ilmoitettava kootut tiedot kaupankäyntivarastoon kuuluvien positioiden selvitys-/toimitusriskistä (asetuksen (EU) N:o 575/2013 92 artiklan 4 kohdan ca alakohdan ja 378 artiklan mukaisesti).</w:t>
            </w:r>
          </w:p>
          <w:p w14:paraId="2E44B3F3"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Kohdassa {r0070;c0010} laitosten on ilmoitettava sovitun toimituspäivän jälkeen selvittämättä olevien liiketoimien yhteenlaskettu summa niiden sovittujen kauppahintojen mukaan.</w:t>
            </w:r>
          </w:p>
          <w:p w14:paraId="1CB848DF"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Kohdassa {r0070;c0020} laitosten on ilmoitettava kootut tiedot selvittämättömistä tappiollisista liiketoimista aiheutuvista hintaerovastuista.</w:t>
            </w:r>
          </w:p>
          <w:p w14:paraId="64D05373" w14:textId="77777777" w:rsidR="00925646" w:rsidRPr="002A677E" w:rsidRDefault="00925646" w:rsidP="00E07FE9">
            <w:pPr>
              <w:spacing w:beforeLines="60" w:before="144" w:afterLines="60" w:after="144"/>
              <w:rPr>
                <w:b/>
                <w:sz w:val="24"/>
                <w:rFonts w:ascii="Times New Roman" w:hAnsi="Times New Roman"/>
              </w:rPr>
            </w:pPr>
            <w:r>
              <w:rPr>
                <w:sz w:val="24"/>
                <w:rFonts w:ascii="Times New Roman" w:hAnsi="Times New Roman"/>
              </w:rPr>
              <w:t xml:space="preserve">Kohdassa {r0070;c0030} laitosten on ilmoitettava kootut omien varojen vaatimukset, joilla tarkoitetaan selvittämättömistä liiketoimista laskettua omien varojen vaatimusten määrää, joka saadaan kertomalla sarakkeessa 0020 ilmoitettu ”hintaero” asianmukaisella kertoimella, joka perustuu sovitusta toimituspäivästä kuluneiden työpäivien määrään (asetuksen (EU) N:o 575/2013 378 artiklan taulukossa 1 olevat luokat).</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0080-0120</w:t>
            </w:r>
          </w:p>
        </w:tc>
        <w:tc>
          <w:tcPr>
            <w:tcW w:w="8010" w:type="dxa"/>
          </w:tcPr>
          <w:p w14:paraId="34E9771F"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Toimituspäivä ylittyy enintään neljällä päivällä (kerroin on 0 %)</w:t>
            </w:r>
            <w:r>
              <w:rPr>
                <w:rStyle w:val="InstructionsTabelleberschrift"/>
                <w:sz w:val="24"/>
                <w:rFonts w:ascii="Times New Roman" w:hAnsi="Times New Roman"/>
              </w:rPr>
              <w:t xml:space="preserve"> </w:t>
            </w:r>
          </w:p>
          <w:p w14:paraId="7B8BB095"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Toimituspäivä ylittyy 5–15 päivällä (kerroin on 8 %)</w:t>
            </w:r>
          </w:p>
          <w:p w14:paraId="3902398B"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Toimituspäivä ylittyy 16–30 päivällä (kerroin on 50 %)</w:t>
            </w:r>
          </w:p>
          <w:p w14:paraId="25665540"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Toimituspäivä ylittyy 31–45 päivällä (kerroin on 75 %)</w:t>
            </w:r>
          </w:p>
          <w:p w14:paraId="61E1443A"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Toimituspäivä ylittyy 46 päivällä tai enemmän (kerroin on 100 %)</w:t>
            </w:r>
          </w:p>
          <w:p w14:paraId="1A0345F5"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Laitosten on ilmoitettava riveillä 0080–0120 tiedot kaupankäyntivarastoon kuuluvia positioita koskevasta selvitys-/toimitusriskistä asetuksen (EU) N:o 575/2013 378 artiklan taulukossa 1 olevien luokkien mukaisesti.</w:t>
            </w:r>
            <w:r>
              <w:rPr>
                <w:sz w:val="24"/>
                <w:rFonts w:ascii="Times New Roman" w:hAnsi="Times New Roman"/>
              </w:rPr>
              <w:t xml:space="preserve"> </w:t>
            </w:r>
          </w:p>
          <w:p w14:paraId="0A9F762A" w14:textId="77777777" w:rsidR="00925646" w:rsidRPr="002A677E" w:rsidRDefault="00925646" w:rsidP="00E07FE9">
            <w:pPr>
              <w:spacing w:beforeLines="60" w:before="144" w:afterLines="60" w:after="144"/>
              <w:rPr>
                <w:b/>
                <w:sz w:val="24"/>
                <w:rFonts w:ascii="Times New Roman" w:hAnsi="Times New Roman"/>
              </w:rPr>
            </w:pPr>
            <w:r>
              <w:rPr>
                <w:sz w:val="24"/>
                <w:rFonts w:ascii="Times New Roman" w:hAnsi="Times New Roman"/>
              </w:rPr>
              <w:t xml:space="preserve">Selvitys-/toimitusriskin osalta ei edellytetä omien varojen vaatimuksia, jos liiketoimet ovat olleet selvittämättöminä alle 5 arkipäivää sovitun toimituspäivän jälkeen.</w:t>
            </w:r>
          </w:p>
        </w:tc>
      </w:tr>
    </w:tbl>
    <w:p w14:paraId="5D73F136" w14:textId="77777777" w:rsidR="00925646" w:rsidRPr="002A677E" w:rsidRDefault="00925646" w:rsidP="00925646">
      <w:pPr>
        <w:spacing w:after="0"/>
        <w:rPr>
          <w:rFonts w:ascii="Times New Roman" w:hAnsi="Times New Roman"/>
          <w:sz w:val="24"/>
        </w:rPr>
      </w:pPr>
    </w:p>
    <w:p w14:paraId="43F97E9B" w14:textId="77777777" w:rsidR="00925646" w:rsidRDefault="00925646" w:rsidP="00925646">
      <w:r>
        <w:br w:type="page"/>
      </w:r>
    </w:p>
    <w:p w14:paraId="557ADFEB" w14:textId="77777777" w:rsidR="00925646" w:rsidRDefault="00925646"/>
    <w:sectPr w:rsidR="0092564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5A0E0B"/>
    <w:rsid w:val="00631623"/>
    <w:rsid w:val="006364D5"/>
    <w:rsid w:val="00736637"/>
    <w:rsid w:val="007E5623"/>
    <w:rsid w:val="00925646"/>
    <w:rsid w:val="00960943"/>
    <w:rsid w:val="009C5DD6"/>
    <w:rsid w:val="00A6002C"/>
    <w:rsid w:val="00AB618F"/>
    <w:rsid w:val="00B71F25"/>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val="fi-FI"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B23C07CD-AF83-4134-8FDD-6B2784AEB6E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1051</Words>
  <Characters>6013</Characters>
  <Application>Microsoft Office Word</Application>
  <DocSecurity>0</DocSecurity>
  <Lines>130</Lines>
  <Paragraphs>71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PETRE Gheorghe-Cristian (FISMA)</cp:lastModifiedBy>
  <cp:revision>9</cp:revision>
  <dcterms:created xsi:type="dcterms:W3CDTF">2024-05-28T09:25:00Z</dcterms:created>
  <dcterms:modified xsi:type="dcterms:W3CDTF">2024-07-10T18:21:00Z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