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FI</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LIITE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”LIITE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OMIEN VAROJEN JA OMIEN VAROJEN VAATIMUSTEN RAPORTOINTIA KOSKEVAT OHJEET</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RYHMÄN VAKAVARAISUUS: LIITTYNEITÄ LAITOKSIA KOSKEVAT TIEDOT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Yleiset huomautukset</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Lomakkeiden C 06.01 ja C 06.02 tiedot on ilmoitettava, jos omien varojen vaatimukset lasketaan konsolidoidusti. Lomake C 06.02 koostuu neljästä osasta, joilla pyritään keräämään monipuolisia tietoja kaikista niistä yksittäisistä yhteisöistä, jotka on konsolidoitu (raportoiva laitos mukaan lukien):</w:t>
      </w:r>
    </w:p>
    <w:p w14:paraId="427E4E34" w14:textId="77777777" w:rsidR="00173F08" w:rsidRPr="002A677E" w:rsidRDefault="00173F08" w:rsidP="00173F08">
      <w:pPr>
        <w:pStyle w:val="InstructionsText2"/>
        <w:numPr>
          <w:ilvl w:val="0"/>
          <w:numId w:val="0"/>
        </w:numPr>
        <w:ind w:left="993"/>
      </w:pPr>
      <w:r>
        <w:t>a)</w:t>
      </w:r>
      <w:r>
        <w:tab/>
        <w:t>konsolidoinnin piiriin kuuluvat yhteisöt;</w:t>
      </w:r>
    </w:p>
    <w:p w14:paraId="028B029B" w14:textId="77777777" w:rsidR="00173F08" w:rsidRPr="002A677E" w:rsidRDefault="00173F08" w:rsidP="00173F08">
      <w:pPr>
        <w:pStyle w:val="InstructionsText2"/>
        <w:numPr>
          <w:ilvl w:val="0"/>
          <w:numId w:val="0"/>
        </w:numPr>
        <w:ind w:left="993"/>
      </w:pPr>
      <w:r>
        <w:t>b)</w:t>
      </w:r>
      <w:r>
        <w:tab/>
        <w:t>yksityiskohtaiset tiedot ryhmän vakavaraisuudesta;</w:t>
      </w:r>
    </w:p>
    <w:p w14:paraId="29EF9308" w14:textId="77777777" w:rsidR="00173F08" w:rsidRPr="002A677E" w:rsidRDefault="00173F08" w:rsidP="00173F08">
      <w:pPr>
        <w:pStyle w:val="InstructionsText2"/>
        <w:numPr>
          <w:ilvl w:val="0"/>
          <w:numId w:val="0"/>
        </w:numPr>
        <w:ind w:left="993"/>
      </w:pPr>
      <w:r>
        <w:t>c)</w:t>
      </w:r>
      <w:r>
        <w:tab/>
        <w:t>tiedot yksittäisten yhteisöjen osallistumisesta ryhmän vakavaraisuuden muodostamiseen;</w:t>
      </w:r>
    </w:p>
    <w:p w14:paraId="66E85F84" w14:textId="77777777" w:rsidR="00173F08" w:rsidRPr="002A677E" w:rsidRDefault="00173F08" w:rsidP="00173F08">
      <w:pPr>
        <w:pStyle w:val="InstructionsText2"/>
        <w:numPr>
          <w:ilvl w:val="0"/>
          <w:numId w:val="0"/>
        </w:numPr>
        <w:ind w:left="993"/>
      </w:pPr>
      <w:r>
        <w:t>d)</w:t>
      </w:r>
      <w:r>
        <w:tab/>
        <w:t>pääomapuskureita koskevat tiedot.</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Laitosten, joille on myönnetty vapautus asetuksen (EU) N:o 575/2013 7 artiklan mukaisesti, on ilmoitettava ainoastaan sarakkeiden 0010–0065 ja 0250–0400 tiedot.</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Ilmoitettavissa tiedoissa on otettava huomioon asetuksen (EU) N:o 575/2013 kaikki sovellettavat siirtymäsäännökset, joita sovelletaan asianomaisena raportointipäivänä.</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Yksityiskohtaiset tiedot ryhmän vakavaraisuudesta</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Lomakkeen C 06.02 toinen osa (yksityiskohtaiset tiedot ryhmän vakavaraisuudesta), jossa ovat sarakkeet 0070–0240, on tarkoitettu tietojen keräämiseen luottolaitoksista ja muista säännellyistä rahoituslaitoksista, jotka kuuluvat erityisten vakavaraisuusvaatimusten tosiasialliseen soveltamisalaan yksittäisinä laitoksina. Kyseisessä osassa ilmoitetaan kunkin raportoinnin piiriin kuuluvan yhteisön osalta omien varojen vaatimukset riskiluokittain ja omat varat vakavaraisuustarkoituksiin.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Omistusyhteyksien suhteellisen konsolidoinnin tapauksissa omien varojen vaatimuksiin ja omiin varoihin liittyvät luvut heijastavat vastaavia suhteellisia määriä.</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Tiedot yksittäisten yhteisöjen osallistumisesta ryhmän vakavaraisuuden muodostamiseen</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Lomakkeen C 06.02 kolmannessa osassa ja lomakkeessa C 06.01 (tiedot kaikkien asetuksen (EU) N:o 575/2013 mukaisen konsolidoinnin piiriin kuuluvien yhteisöjen osallistumisesta ryhmän vakavaraisuuden muodostamiseen, myös niiden yhteisöjen osalta, jotka eivät kuulu erityisten vakavaraisuusvaatimusten tosiasialliseen soveltamisalaan yksittäisinä laitoksina), joissa ovat sarakkeet 0250–0400, pyritään tunnistamaan ryhmään kuuluvat yhteisöt, jotka synnyttävät riskit ja keräävät omat varansa markkinoilta, helposti saatavilla olevien tai vaivattomasti muokattavien tietojen pohjalta ilman, että vakavaraisuussuhdetta tarvitsisi rekonstruoida yksilöllisesti tai alakonsolidointiryhmän tasolla. Yhteisöjen tasolla sekä riskejä että omia varoja kuvaavat luvut ovat ryhmän lukuihin luettavia osallistumisosuuksia eivätkä yksittäisesti tarkasteltavia vakavaraisuussuhteen osatekijöitä, ja näin ollen niitä ei saa verrata keskenään.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Kolmanteen osaan kuuluvat myös konsolidoituihin omiin varoihin hyväksyttävät määrät vähemmistöosuuksista, ehdot täyttävästä ensisijaisesta lisäpääomasta (AT1) sekä ehdot täyttävästä toissijaisesta pääomasta (T2).</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Koska lomakkeen kolmannessa osassa tarkoitetaan ”osallistumisosuuksia”, lomakkeessa ilmoitettavat luvut voivat tarvittaessa erota luvuista, jotka on ilmoitettu ryhmän yksityiskohtaisia vakavaraisuustietoja kuvaavissa sarakkeissa.</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Periaatteena on poistaa ryhmien sisäiset ristikkäisvastuut yhtenäisellä tavalla sekä riskien että omien varojen osalta, jotta ryhmän konsolidoidussa CA-lomakkeessa ilmoitetut määrät voidaan kattaa laskemalla yhteen kustakin yhteisöstä ”Ryhmän vakavaraisuus” -lomakkeessa ilmoitetut määrät. Suora yhteys CA-lomakkeeseen ei ole mahdollinen silloin kun 1 prosentin kynnysarvo ei ylity.</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Laitosten on määriteltävä yhteisöjen jaotteluun parhaiten soveltuva menetelmä, jossa otetaan huomioon mahdolliset hajautusvaikutukset markkinariskin ja operatiivisen riskin osalta.</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Konsolidoidun ryhmän on mahdollista sisältyä toiseen konsolidoituun ryhmään. Tämä tarkoittaa sitä, että alaryhmän yhteisöt on ilmoitettava yhteisöittäin koko ryhmän GS-lomakkeessa, vaikka itse alaryhmään sovellettaisiin raportointivaatimuksia. Jos alaryhmään sovelletaan raportointivaatimuksia, sen on myös ilmoitettava tiedot GS-lomakkeessa yhteisöittäin, vaikka kyseiset tiedot sisältyvät suuremman konsolidoidun ryhmän GS-lomakkeeseen.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Laitoksen on ilmoitettava yhteisön osallistumista kuvaavat tiedot silloin, kun sen osuus kokonaisriskin määrästä ylittää 1 prosentin ryhmän kokonaisriskin määrästä, tai silloin, kun sen osuus omien varojen kokonaismäärästä ylittää 1 prosentin ryhmän omien varojen kokonaismäärästä. Tätä kynnystä ei sovelleta sellaisiin tytäryrityksiin eikä alaryhmiin, jotka antavat omia varoja (omiin varoihin sisällytettävien vähemmistöosuuksien tai ehdot täyttävien ensisijaisen lisäpääoman (AT1) tai toissijaisen pääoman (T2) instrumenttien muodossa) ryhmän käyttöön.</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lastRenderedPageBreak/>
        <w:t>2.4.</w:t>
      </w:r>
      <w:r>
        <w:rPr>
          <w:rFonts w:ascii="Times New Roman" w:hAnsi="Times New Roman"/>
          <w:sz w:val="24"/>
          <w:u w:val="none"/>
        </w:rPr>
        <w:tab/>
      </w:r>
      <w:r>
        <w:rPr>
          <w:rFonts w:ascii="Times New Roman" w:hAnsi="Times New Roman"/>
          <w:sz w:val="24"/>
        </w:rPr>
        <w:t>C 06.01 – RYHMÄN VAKAVARAISUUS: LIITTYNEITÄ LAITOKSIA KOSKEVAT TIEDOT – yhteensä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Ohjeet</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Ks. lomaketta C 06.02 koskevat ohjeet.</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PÄÄOMAPUSKURIT</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Ks. lomaketta C 06.02 koskevat ohjeet.</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Rivit</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Ohjeet</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YHTEENSÄ</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Kokonaismäärän on oltava C 06.02 -lomakkeen kaikilla riveillä ilmoitettujen arvojen summa.</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RYHMÄN VAKAVARAISUUS: LIITTYNEITÄ LAITOKSIA KOSKEVAT TIEDOT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Ohjeet</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 xml:space="preserve">Tämä lomake on tarkoitettu tietojen keräämiseen kaikista konsolidoinnin piiriin kuuluvista yhteisöistä yhteisöittäin asetuksen (EU) N:o 575/2013 ensimmäisen osan II osaston 2 luvun mukaisesti.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NIMI</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Konsolidoinnin piiriin kuuluvan yhteisön nimi</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TUNNUS</w:t>
            </w:r>
          </w:p>
          <w:p w14:paraId="099B8601" w14:textId="77777777" w:rsidR="00173F08" w:rsidRPr="002A677E" w:rsidRDefault="00173F08" w:rsidP="00822842">
            <w:pPr>
              <w:pStyle w:val="InstructionsText"/>
              <w:rPr>
                <w:rStyle w:val="InstructionsTabelleText"/>
              </w:rPr>
            </w:pPr>
            <w:r>
              <w:rPr>
                <w:rStyle w:val="InstructionsTabelleText"/>
              </w:rPr>
              <w:t>Rivin tunnisteen osana olevan koodin on oltava yksilöllinen tunniste kullekin ilmoitetulle yhteisölle. Laitosten ja vakuutusyritysten osalta tämä koodi on oikeushenkilötunnus (LEI-tunnus). Muiden yhteisöjen osalta tämä koodi on oikeushenkilötunnus (LEI-tunnus) tai, jos sitä ei ole saatavilla, kansallinen tunnus. Koodin on oltava yksilöllinen, ja sitä on käytettävä johdonmukaisesti kaikissa lomakkeissa kaikkina aikoina. Koodilla on aina oltava arvo.</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TUNNUSTYYPPI</w:t>
            </w:r>
          </w:p>
          <w:p w14:paraId="094070A5" w14:textId="77777777" w:rsidR="00173F08" w:rsidRPr="002A677E" w:rsidRDefault="00173F08" w:rsidP="00822842">
            <w:pPr>
              <w:rPr>
                <w:rStyle w:val="InstructionsTabelleberschrift"/>
                <w:rFonts w:ascii="Times New Roman" w:hAnsi="Times New Roman"/>
                <w:sz w:val="24"/>
              </w:rPr>
            </w:pPr>
            <w:r>
              <w:rPr>
                <w:rStyle w:val="FormatvorlageInstructionsTabelleText"/>
                <w:rFonts w:ascii="Times New Roman" w:hAnsi="Times New Roman"/>
                <w:sz w:val="24"/>
              </w:rPr>
              <w:t>Laitosten on ilmoitettava, onko sarakkeessa 0021 ilmoitettu tunnus tyypiltään ”LEI-tunnus” vai ”Muu kuin LEI-tunnus”. Koodin tyyppi on aina ilmoitettava.</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KANSALLINEN TUNNUS</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lastRenderedPageBreak/>
              <w:t>Laitokset voivat lisäksi ilmoittaa kansallisen tunnuksen, kun ne ilmoittavat LEI-tunnuksen tunnisteena sarakkeessa ”Tunnus”.</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LAITOS TAI VASTAAVA (KYLLÄ/EI)</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Kohdassa ilmoitetaan ”kyllä”, mikäli yhteisöön sovelletaan asetuksen (EU) N:o 575/2013 ja direktiivin 2013/36/EU tai vähintään Basel-säännöksiä vastaavien säännösten mukaisia omien varojen vaatimuksia.</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Muussa tapauksessa ilmoitetaan ”ei”.</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Vähemmistöosuudet:</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Asetuksen (EU) N:o 575/2013 81 artiklan 1 kohdan a alakohdan ii alakohta ja 82 artiklan 1 kohdan a alakohdan ii alakohta</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Vähemmistöosuuksien ja tytäryritysten liikkeeseen laskemien ensisijaisen lisäpääoman (AT1) ja toissijaisen pääoman (T2) instrumenttien osalta on huomattava, että tytäryritysten, joiden instrumentteja voidaan pitää hyväksyttävinä, on oltava laitoksia tai yrityksiä, jotka kuuluvat asetuksen (EU) N:o 575/2013 vaatimusten soveltamisalaan sovellettavan kansallisen lainsäädännön nojalla.</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YHTEISÖTYYPPI</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Yhteisötyyppi ilmoitetaan seuraavien luokkien perusteella:</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luottolaitos</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t>Asetuksen (EU) N:o 575/2013 4 artiklan 1 kohdan 1 alakohta;</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sijoituspalveluyritys</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Asetuksen (EU) N:o 575/2013 4 artiklan 1 kohdan 2 alakohta;</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rahoituslaitos (muu)</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Asetuksen (EU) N:o 575/2013 4 artiklan 1 kohdan 20, 21 ja 26 alakohta</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t>Asetuksen (EU) N:o 575/2013 4 artiklan 1 kohdan 26 alakohdassa tarkoitetut rahoituslaitokset, jotka eivät sisälly d, e tai g alakohdan luokkaan;</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rahoitusalan (seka)holdingyhtiö</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Asetuksen (EU) N:o 575/2013 4 artiklan 1 kohdan 20 ja 21 alakohta;</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oheispalveluyritys</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Asetuksen (EU) N:o 575/2013 4 artiklan 1 kohdan 18 alakohta;</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arvopaperistamista varten perustettu erillisyhtiö (securitisation special purpose entity, SSPE)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t>Asetuksen (EU) N:o 575/2013 4 artiklan 1 kohdan 66 alakohta;</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katettujen joukkolainojen yritys</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Yhteisö, joka on perustettu laskemaan liikkeeseen katettuja joukkolainoja tai pitämään hallussaan katetulle joukkolainalle asetettua vakuutta, jollei se sisälly mihinkään edellä olevaan a, b tai d–f alakohdan luokkaan;</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muu yhteisötyyppi</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lastRenderedPageBreak/>
              <w:t>Muu kuin a–g alakohdassa tarkoitettu yhteisö.</w:t>
            </w:r>
          </w:p>
          <w:p w14:paraId="1E1DE3FB" w14:textId="369BA5C0"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 xml:space="preserve">Jos yhteisöön ei sovelleta asetusta (EU) N:o 575/2013 </w:t>
            </w:r>
            <w:r w:rsidR="004E64A7">
              <w:rPr>
                <w:rStyle w:val="InstructionsTabelleberschrift"/>
                <w:rFonts w:ascii="Times New Roman" w:hAnsi="Times New Roman"/>
                <w:sz w:val="24"/>
              </w:rPr>
              <w:t>ja</w:t>
            </w:r>
            <w:r>
              <w:rPr>
                <w:rStyle w:val="InstructionsTabelleberschrift"/>
                <w:rFonts w:ascii="Times New Roman" w:hAnsi="Times New Roman"/>
                <w:sz w:val="24"/>
              </w:rPr>
              <w:t xml:space="preserve"> direktiiviä 2013/36/EU vaan vähintään Basel-säännöksiä vastaavia säännöksiä, asiaankuuluva luokka on määritettävä parhaan kyvyn mukaan.</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TIETOJEN TASO: </w:t>
            </w:r>
            <w:r>
              <w:rPr>
                <w:rFonts w:ascii="Times New Roman" w:hAnsi="Times New Roman"/>
                <w:b/>
                <w:caps/>
                <w:sz w:val="24"/>
                <w:u w:val="single"/>
              </w:rPr>
              <w:t>täysin konsolidoitu (SF) TAI osittain konsolidoitu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Lyhenne ”SF” (solo fully consolidated)</w:t>
            </w:r>
            <w:r>
              <w:rPr>
                <w:rFonts w:ascii="Times New Roman" w:hAnsi="Times New Roman"/>
                <w:sz w:val="24"/>
              </w:rPr>
              <w:t xml:space="preserve"> ilmoitetaan yksittäisten täysin konsolidoitujen tytäryritysten osalta.</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Lyhenne ”SP” (solo partially consolidated)</w:t>
            </w:r>
            <w:r>
              <w:rPr>
                <w:rFonts w:ascii="Times New Roman" w:hAnsi="Times New Roman"/>
                <w:sz w:val="24"/>
              </w:rPr>
              <w:t xml:space="preserve"> ilmoitetaan yksittäisten osittain konsolidoitujen tytäryritysten osalta.</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MAAKOODI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Laitosten on ilmoitettava ISO-standardissa 3166-1 alpha-2 tarkoitettu kaksikirjaiminen maakoodi.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OMISTUSOSUUS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Tämä prosenttiosuus viittaa emoyrityksen tosiasialliseen pääomaosuuteen tytäryrityksistä. Kun kyseessä on suoraan omistetun tytäryrityksen täysi konsolidointi, tosiasiallinen omistusosuus on esimerkiksi 70 prosenttia. Asetuksen (EU) N:o 575/2013 4 artiklan 1 kohdan 16 alakohdan mukaan ilmoitettava omistusosuus tytäryrityksessä saadaan kertomalla osakkeet asianomaisten tytäryritysten välillä.</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KUITTAAVA RYHMÄ</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”Kuittaavalla ryhmällä” tarkoitetaan seuraavia:</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yhteisöjen ryhmää, jolle toimivaltainen viranomainen on myöntänyt asetuksen (EU) N:o 575/2013 325 b artiklan mukaisesti luvan käyttää kyseisen ryhmän yhden laitoksen tai yrityksen positioita kyseisen ryhmän toisessa laitoksessa tai yrityksessä olevien positioiden kuittaamiseen;</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mitä tahansa yksittäistä yhteisöä, jonka positioita ei voida kuitata minkään muun samaan ryhmään kuuluvan, direktiivin 2013/36/EU mukaisen konsolidoidun valvonnan piiriin kuuluvan yhteisön positioilla, koska toimivaltainen viranomainen ei ole myöntänyt lupaa mainitun asetuksen 325 b artiklan mukaisesti.</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Laitosten on ilmoitettava kuittaava ryhmä, johon kukin lomakkeessa lueteltu yhteisö kuuluu, jos ne täyttävät seuraavat kaksi ehtoa:</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Ne laskevat markkinariskille altistuvan liiketoimintansa omien varojen vaatimukset asetuksen (EU) N:o 575/2013 kolmannen osan IV osaston 1 a tai 1 b luvun tai molempien mukaisesti, tai niitä koskee velvoite ilmoittaa kyseisiä omien varojen vaatimuksia koskevat tiedot kyseisen asetuksen 430 artiklan 2 a tai 2 b kohdan mukaisesti;</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Konserniin, johon sovelletaan direktiivin 2013/36/EU mukaista konsolidoitua valvontaa, kuuluu vähintään kaksi kuittaavaa ryhmää.</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Tässä sarakkeessa ilmoitettavat arvot ovat ”Kuittaava ryhmä 1”, ”Kuittaava ryhmä 2” jne. Oikeushenkilöiden ja kuittaavien ryhmien välisen kuvauksen on säilyttävä ajan kuluessa johdonmukaisena, oltava johdonmukainen saman konsolidoidun valvonnan </w:t>
            </w:r>
            <w:r>
              <w:rPr>
                <w:rStyle w:val="InstructionsTabelleText"/>
                <w:rFonts w:ascii="Times New Roman" w:hAnsi="Times New Roman"/>
                <w:sz w:val="24"/>
              </w:rPr>
              <w:lastRenderedPageBreak/>
              <w:t xml:space="preserve">piiriin kuuluvan ryhmän kaikkien raporttien kanssa ja oltava yhdenmukainen </w:t>
            </w:r>
            <w:r>
              <w:rPr>
                <w:rStyle w:val="InstructionsTabelleText"/>
                <w:rFonts w:ascii="Times New Roman" w:hAnsi="Times New Roman"/>
                <w:sz w:val="24"/>
                <w:highlight w:val="yellow"/>
              </w:rPr>
              <w:t>[asetuksen (EU) 2021/453 liitteessä I]</w:t>
            </w:r>
            <w:r>
              <w:rPr>
                <w:rStyle w:val="InstructionsTabelleText"/>
                <w:rFonts w:ascii="Times New Roman" w:hAnsi="Times New Roman"/>
                <w:sz w:val="24"/>
              </w:rPr>
              <w:t xml:space="preserve"> olevissa lomakkeissa olevien kuittaavien ryhmien yksilöinnin kanssa.</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Jos laitos täyttää edellä mainitun edellytyksen a), mutta direktiivin 2013/36/EU mukaisen konsolidoidun valvonnan piiriin kuuluva ryhmä sisältää vain yhden kuittaavan ryhmän, laitosten on ilmoitettava tässä lomakkeessa ilmoitettua ryhmän emoyritystä vastaavalla rivillä ”Yksi kuittaava ryhmä”.</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YHTEISÖT, JOIHIN SOVELLETAAN OMIEN VAROJEN VAATIMUSTA</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Yksityiskohtaisia tietoja koskevassa osiossa (eli sarakkeissa 0070–0240) kerätään tietoja ainoastaan niistä yhteisöistä ja alaryhmistä, jotka kuuluvat konsolidoinnin piiriin (asetuksen (EU) N:o 575/2013 ensimmäisen osan II osaston 2 luku) ja jotka näin ollen tosiasiallisesti kuuluvat asetuksessa (EU) N:o 575/2013 vahvistettujen tai vähintään Basel-säännöksiä vastaavien säännösten mukaisten vakavaraisuusvaatimusten soveltamisalaan (eli joiden osalta vastaus sarakkeessa 0030 oli ”kyllä”).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Tiedot on ilmoitettava kaikista konsolidointiryhmään kuuluvista yksittäisistä laitoksista, joihin sovelletaan omien varojen vaatimuksia, riippumatta siitä, missä ne sijaitsevat. </w:t>
            </w:r>
          </w:p>
          <w:p w14:paraId="44903571" w14:textId="77777777" w:rsidR="00173F08" w:rsidRPr="002A677E" w:rsidRDefault="00173F08" w:rsidP="00822842">
            <w:pPr>
              <w:rPr>
                <w:rFonts w:ascii="Times New Roman" w:hAnsi="Times New Roman"/>
                <w:sz w:val="24"/>
              </w:rPr>
            </w:pPr>
            <w:r>
              <w:rPr>
                <w:rFonts w:ascii="Times New Roman" w:hAnsi="Times New Roman"/>
                <w:sz w:val="24"/>
              </w:rPr>
              <w:t>Tässä osassa ilmoitettavien tietojen on vastattava laitoksen toimipaikan mukaan määräytyvän lainkäyttöalueen paikallisia vakavaraisuussääntöjä (näin ollen tätä lomaketta varten ei ole tarpeen suorittaa yksittäisenä yrityksenä toista laskentaa emoyrityksenä toimivan laitoksen sääntöjen pohjalta). Kun paikalliset vakavaraisuussäännöt eroavat asetuksesta (EU) N:o 575/2013 eivätkä edellytä vastaavaa erittelyä, tietoja on täydennettävä sikäli kuin yksityiskohtaisia tietoja on saatavilla. Näin ollen tämä osa on faktatietolomake, jossa esitetään yhteenveto ryhmän yksittäisten laitosten laskelmista ja jonka käytössä on huomioitava se, että jotkin näistä laitoksista noudattavat mahdollisesti toisenlaisia vakavaraisuussääntöjä.</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Sijoituspalveluyritysten kiinteiden yleiskustannusten ilmoittaminen:</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Sijoituspalveluyritysten on sisällytettävä kiinteisiin yleiskustannuksiin liittyvät omien varojen vaatimukset niiden vakavaraisuussuhteen laskentaan asetuksen (EU) N:o 575/2013 95, 96, 97 ja 98 artiklan nojalla.</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Kiinteisiin yleiskustannuksiin liittyvä osa kokonaisriskin määrästä on ilmoitettava tämän lomakkeen sarakkeessa 0100.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KOKONAISRISKIN MÄÄRÄ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Ilmoitettava määrä on sarakkeissa 0080–0110 ilmoitettujen erien summa.</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JOISTA: LATTIAN MUKAUTUS (TREA:N KOKONAISRISKIPAINOLATTIA)</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Yhteisöjen on ilmoitettava yksittäisen yrityksen tasolla laskettu lattian mukautus.</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SIIRROT JA SELVITYS-/TOIMITUSRISKI</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Tässä sarakkeessa ilmoitettavan määrän on vastattava summaa, joka saadaan, kun lasketaan yhteen riskipainotetut vastuuerät, jotka ovat samat tai vastaavat kuin erät, jotka on ilmoitettava CA2-lomakkeen rivillä 0040 ”LUOTTO-, VASTAPUOLI- JA LAIMENTUMISRISKIEN SEKÄ LUOTTOKAUPAN SELVITYSRISKIN RISKIPAINOTETUT VASTUUERÄT”, ja omien varojen vaatimusten määrät, jotka </w:t>
            </w:r>
            <w:r>
              <w:rPr>
                <w:rStyle w:val="InstructionsTabelleText"/>
                <w:rFonts w:ascii="Times New Roman" w:hAnsi="Times New Roman"/>
                <w:sz w:val="24"/>
              </w:rPr>
              <w:lastRenderedPageBreak/>
              <w:t>ovat samat tai vastaavat kuin määrät, jotka on ilmoitettava CA2-lomakkeen rivillä 0490 ”SELVITYS-/TOIMITUSRISKIN MUODOSTAMAN KOKONAISRISKIN MÄÄRÄ”.</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MARKKINARISKI</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niiden omien varojen vaatimusten määrää, jotka ovat samat tai vastaavat kuin vaatimukset, jotka on ilmoitettava CA2-lomakkeen rivillä 0520 ”MARKKINARISKILLE ALTISTUVAN LIIKETOIMINNAN KOKONAISRISKIN MÄÄRÄ”.</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sitä riskin määrää, joka on sama tai vastaava kuin määrä, joka on ilmoitettava CA2-lomakkeen rivillä 0590 ”OPERATIIVISEN KOKONAISRISKIN MÄÄRÄ (OpR)”.</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Kiinteät yleiskustannukset on sisällytettävä tähän sarakkeeseen, mukaan lukien CA2-lomakkeen rivi 0630 ”KIINTEISTÄ YLEISKUSTANNUKSISTA JOHTUVAN YLIMÄÄRÄISEN RISKIN MÄÄRÄ”.</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sellaista riskien määrää, jota ei ole erikseen edellä listattu. Määrä on CA2-lomakkeen riveillä 0640, 0680 ja 0690 ilmoitettujen määrien summa.</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YKSITYISKOHTAISET TIEDOT OMISTA VAROISTA RYHMÄN VAKAVARAISUUDEN KANNALTA</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Seuraavissa sarakkeissa ilmoitettavissa tiedoissa on otettava huomioon sen jäsenvaltion paikalliset vakavaraisuussäännöt, jossa yhteisö tai alaryhmä toimii.</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OMAT VARAT</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Tässä sarakkeessa ilmoitettava määrä vastaa niiden omien varojen määrää, jotka ovat samat tai vastaavat kuin omat varat, jotka on ilmoitettava CA1-lomakkeen rivillä 0010 ”OMAT VARAT”.</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JOSTA: EHDOT TÄYTTÄVÄT OMAT VARAT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82 artikla</w:t>
            </w:r>
            <w:r>
              <w:rPr>
                <w:rFonts w:ascii="Times New Roman" w:hAnsi="Times New Roman"/>
                <w:sz w:val="24"/>
              </w:rPr>
              <w:t xml:space="preserve">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Tämä sarake koskee ainoastaan yksittäisinä yrityksinä raportoitavia ja täysin konsolidoituja tytäryrityksiä, jotka ovat laitoksia. </w:t>
            </w:r>
          </w:p>
          <w:p w14:paraId="1DFAED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tapauksessa sellaisia instrumentteja, jotka ovat muiden tahojen kuin yritysten omistuksessa ja jotka kuuluvat asetuksen (EU) N:o 575/2013 mukaisen konsolidoinnin piiriin (ja näihin instrumentteihin liittyviä kertyneitä voittovaroja, ylikurssirahastoja ja muita rahastoja).</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KERTYNEET VOITTOVARAT, YLIKURSSIRAHASTOT JA MUUT RAHASTOT</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Asetuksen (EU) N:o 575/2013 87 artiklan 1 kohdan b alakohta.</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ENSISIJAINEN PÄÄOMA (T1) YHTEENSÄ</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Asetuksen (EU) N:o 575/2013 25 artikla</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PÄÄOMA (T1)</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82 artikla</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Tämä sarake koskee ainoastaan yksittäisinä yrityksinä raportoitavia ja täysin konsolidoituja tytäryrityksiä, jotka ovat laitoksia.</w:t>
            </w:r>
          </w:p>
          <w:p w14:paraId="0AF355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tapauksessa sellaisia instrumentteja, jotka ovat muiden tahojen kuin asetuksen (EU) N:o 575/2013 mukaisen konsolidoinnin piiriin kuuluvien yritysten omistuksessa (ja näihin instrumentteihin liittyviä kertyneitä voittovaroja ja ylikurssirahastoja).</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ENSISIJAISEN PÄÄOMAN (T1) INSTRUMENTIT SEKÄ NIIHIN LIITTYVÄT KERTYNEET VOITTOVARAT JA YLIKURSSIRAHASTOT</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Asetuksen (EU) N:o 575/2013 85 artiklan 1 kohdan b alakohta</w:t>
            </w:r>
            <w:r>
              <w:rPr>
                <w:rFonts w:ascii="Times New Roman" w:hAnsi="Times New Roman"/>
                <w:sz w:val="24"/>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YDINPÄÄOMA (CET1)</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Asetuksen (EU) N:o 575/2013 50 artikla</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VÄHEMMISTÖOSUUDET</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81 artikla</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Tämän sarakkeen tiedot on ilmoitettava ainoastaan täysin konsolidoiduista tytäryrityksistä, jotka ovat laitoksia, paitsi asetuksen (EU) N:o 575/2013 84 artiklan 3 kohdassa tarkoitetuista tytäryrityksistä. Kukin tytäryritys on otettava huomioon alakonsolidointiryhmän tasolla suoritettaessa kaikkia asetuksen (EU) N:o 575/2013 84 artiklassa vaadittuja laskelmia sekä tarvittaessa 84 artiklan 2 kohdan mukaisesti. Muutoin tytäryritys on huomioitava yksittäisenä yrityksenä.</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toissijaisen pääoman (CET1) instrumentteja, jotka ovat muiden tahojen kuin asetuksen (EU) N:o 575/2013 mukaisen konsolidoinnin piiriin kuuluvien yritysten omistuksessa (ja näihin instrumentteihin liittyviä kertyneitä voittovaroja ja ylikurssirahastoja).</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KERTYNEET VOITTOVARAT, YLIKURSSIRAHASTOT JA MUUT RAHASTOT</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Asetuksen (EU) N:o 575/2013 84 artiklan 1 kohdan b alakohta.</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ENSISIJAINEN LISÄPÄÄOMA (AT1)</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Asetuksen (EU) N:o 575/2013 61 artikla</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LISÄPÄÄOMA (AT1)</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82 ja 83 artikla</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Tämän sarakkeen tiedot on ilmoitettava ainoastaan täysin konsolidoiduista tytäryrityksistä, jotka ovat laitoksia, paitsi asetuksen (EU) N:o 575/2013 85 artiklan 2 kohdassa tarkoitetuista tytäryrityksistä. Kukin tytäryritys on otettava huomioon alakonsolidointiryhmän tasolla suoritettaessa kaikkia asetuksen (EU) N:o 575/2013 85 artiklassa vaadittuja laskelmia sekä tarvittaessa 85 artiklan 2 kohdan mukaisesti. Muutoin tytäryritys on huomioitava yksittäisenä yrityksenä.</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toissijaisen pääoman (AT1) instrumentteja, jotka ovat muiden tahojen kuin asetuksen (EU) N:o 575/2013 mukaisen konsolidoinnin piiriin kuuluvien yritysten omistuksessa (ja näihin instrumentteihin liittyviä kertyneitä voittovaroja ja ylikurssirahastoja).</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TOISSIJAINEN PÄÄOMA (T2)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Asetuksen (EU) N:o 575/2013 71 artikla</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EHDOT TÄYTTÄVÄ TOISSIJAINEN PÄÄOMA (T2)</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82 ja 83 artikla</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Tämän sarakkeen tiedot on ilmoitettava ainoastaan täysin konsolidoiduista tytäryrityksistä, jotka ovat laitoksia, paitsi asetuksen (EU) N:o 575/2013 87 artiklan 2 kohdassa tarkoitetuista tytäryrityksistä. Kukin tytäryritys on otettava huomioon alakonsolidointiryhmän tasolla suoritettaessa kaikkia asetuksen (EU) N:o 575/2013 87 artiklassa vaadittuja laskelmia sekä tarvittaessa kyseisen artiklan 87 artiklan 2 kohdan mukaisesti. Muutoin tytäryritys on huomioitava yksittäisenä yrityksenä.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toissijaisen pääoman (T2) instrumentteja, jotka ovat muiden tahojen kuin asetuksen (EU) N:o 575/2013 mukaisen konsolidoinnin piiriin kuuluvien yritysten omistuksessa (ja näihin instrumentteihin liittyviä kertyneitä voittovaroja ja ylikurssirahastoja).</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Määrän on oltava viitepäivänä hyväksyttävä määrä.</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YHTEISÖJEN OSUUDET RYHMÄN VAKAVARAISUUDESTA</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RISKIOSUUDET</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Seuraaviin sarakkeisiin sisällytettävät tiedot on ilmoitettava niiden vakavaraisuussääntöjen mukaisesti, joiden soveltamisalaan raportoiva laitos kuuluu.</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KOKONAISRISKIN MÄÄRÄ</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Ilmoitettava määrä on sarakkeissa 0260–0290 ilmoitettujen erien summa.</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SIIRROT JA SELVITYS-/TOIMITUSRISKI</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Ilmoitettava määrä muodostuu luottoriskin osalta riskipainotetuista vastuueristä sekä selvitys-/toimitusriskiä koskevista omien varojen vaatimuksista asetuksen (EU) N:o 575/2013 mukaisesti. Määrään ei sisällytetä mitään eriä, jotka liittyvät transaktioihin muiden sellaisten yhteisöjen kanssa, jotka kuuluvat konsolidointiryhmän vakavaraisuussuhteen laskentaan.</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MARKKINARISKI</w:t>
            </w:r>
          </w:p>
          <w:p w14:paraId="49127EF1" w14:textId="157C9035"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Riskin määrät on markkinariskien osalta laskettava kunkin yhteisön tasolla asetuksen (EU) N:o 575/2013 mukaisesti. Yhteisöjen on ilmoitettava osuutensa kokonaisriskin määristä ryhmään kohdistuvan markkinariskin osalta. Tässä kohdassa ilmoitettujen määrien summan on vastattava määrää, joka ilmoitetaan konsolidoidun raportin rivillä 0520 ”MARKKINARISKILLE ALTISTUVAN LIIKETOIMINNAN KOKONAISRISKIN MÄÄRÄ”.</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58C1AE53" w14:textId="2055313A" w:rsidR="00702B2E" w:rsidRPr="00702B2E" w:rsidRDefault="00702B2E" w:rsidP="00822842">
            <w:pPr>
              <w:rPr>
                <w:rFonts w:ascii="Times New Roman" w:hAnsi="Times New Roman"/>
                <w:sz w:val="24"/>
              </w:rPr>
            </w:pPr>
            <w:r>
              <w:rPr>
                <w:rFonts w:ascii="Times New Roman" w:hAnsi="Times New Roman"/>
                <w:sz w:val="24"/>
              </w:rPr>
              <w:t>Tässä sarakkeessa ilmoitettavan määrän on vastattava operatiivisen riskin määrää.</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Kiinteät yleiskustannukset on sisällytettävä tähän sarakkeeseen.</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Tässä sarakkeessa ilmoitettavan määrän on vastattava sellaisten riskien määrää, joita ei ole edellä listattu.</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OSUUDET OMISTA VAROISTA</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Lomakkeen tämän osan tarkoituksena ei ole edellyttää, että laitokset suorittavat kokonaisvakavaraisuussuhteen täydellisen laskennan kunkin yhteisön tasolla.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Sarakkeiden 0300–0350 tiedot on ilmoitettava niiden konsolidoitujen yhteisöjen osalta, jotka osallistuvat omiin varoihin vähemmistöosuuksien, ehdot täyttävän ensisijaisen pääoman (T1) tai ehdot täyttävien omien varojen välityksellä. Jollei edellä olevan II osan 2.3 luvun viimeisessä kohdassa tarkoitetusta kynnysarvosta muuta johdu, sarakkeiden 0360–0400 tiedot on ilmoitettava kaikkien konsolidoitujen yhteisöjen osalta, jotka osallistuvat omiin varoihin.</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Sellaisia yhteisön omia varoja, jotka muut raportoivan yhteisön kanssa konsolidoidut yhteisöt ovat sille tuoneet, ei oteta tässä yhteydessä huomioon, vaan sarakkeessa ilmoitetaan ainoastaan netto-osallistumisosuus ryhmän omiin varoihin (pääasiassa kolmansilta osapuolilta kerätyt omat varat ja kertyneet rahastot).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lastRenderedPageBreak/>
              <w:t>Seuraaviin sarakkeisiin sisällytettävät tiedot on ilmoitettava niiden vakavaraisuussääntöjen mukaisesti, joiden soveltamisalaan raportoiva laitos kuuluu.</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KONSOLIDOITUIHIN OMIIN VAROIHIN</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Määrä, joka ilmoitetaan ”EHDOT TÄYTTÄVINÄ OMINA VAROINA, JOTKA SISÄLTYVÄT KONSOLIDOITUIHIN OMIIN VAROIHIN”, on asetuksen (EU) N:o 575/2013 toisen osan II osaston mukaisesti saatu määrä, johon ei sisällytetä muiden ryhmään kuuluvien yhteisöjen tuomia varoja.</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KONSOLIDOITUIHIN OMIIN VAROIHIN</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87 artikla</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PÄÄOMAAN (T1)</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85 artikla</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VÄHEMMISTÖOSUUDET, JOTKA SISÄLTYVÄT KONSOLIDOITUUN YDINPÄÄOMAAN (CET1)</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84 artikla</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vähemmistöosuuksien määrä, joka sisällytetään konsolidoituun ydinpääomaan (CET1) asetuksen (EU) N:o 575/2013 mukaisesti.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LISÄPÄÄOMAAN (AT1)</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86 artikla</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ehdot täyttävän ensisijaisen pääoman (T1) määrä, joka sisällytetään konsolidoituun ensisijaiseen lisäpääomaan (AT1) asetuksen (EU) N:o 575/2013 mukaisesti.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EHDOT TÄYTTÄVÄT OMIEN VAROJEN INSTRUMENTIT, JOTKA SISÄLTYVÄT KONSOLIDOITUUN TOISSIJAISEEN PÄÄOMAAN (T2)</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88 artikla</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ehdot täyttävän omien varojen määrä, joka sisällytetään konsolidoituun toissijaiseen pääomaan (T2) asetuksen (EU) N:o 575/2013 mukaisesti.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LISÄTIETOERÄ: LIIKEARVO (–) / (+) NEGATIIVINEN LIIKEARVO</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Asetuksen (EU) N:o 575/2013 18 artikla</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Määrä, joka ilmoitetaan ”KONSOLIDOITUINA OMINA VAROINA”, on taseesta saatu määrä, johon ei sisällytetä muiden ryhmään kuuluvien yhteisöjen tuomia varoja.</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lastRenderedPageBreak/>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YDINPÄÄOMA (CET1)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ENSISIJAINEN LISÄPÄÄOMA (AT1)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JOSTA: OSUUS KONSOLIDOIDUSTA TULOKSESTA</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Tässä kohdassa ilmoitetaan kunkin yhteisön osallistumisosuus konsolidointiryhmän tulokseen (tuloslaskelmaan). Tähän kohtaan sisällytetään vähemmistöosuuksista aiheutuvat tulokset.</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JOSTA: LIIKEARVO (-) / (+) NEGATIIVINEN LIIKEARVO</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Tässä kohdassa ilmoitetaan raportoivan yhteisön liikearvo tai negatiivinen liikearvo tytäryrityksen osalta.</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PÄÄOMAPUSKURIT</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Pääomapuskurien raportoinnin rakenteen GS-lomakkeessa on noudatettava CA4-lomakkeen yleisrakennetta, ja raportoinnissa käytetään samoja käsitteitä. Ilmoitettaessa pääomapuskureita koskevia GS-lomakkeen tietoja asianomaiset määrät on ilmoitettava niiden säännösten mukaisesti, joita soveltamalla määritetään puskurivaatimus ryhmän konsolidoidun aseman perusteella. Ilmoitettavien pääomapuskurien määrien on sen vuoksi vastattava kunkin yhteisön osuuksia ryhmän pääomapuskureihin. Ilmoitettavien määrien on perustuttava direktiivin 2013/36/EU saattamiseksi osaksi kansallista lainsäädäntöä annettuihin kansallisiin säännöksiin ja asetukseen (EU) N:o 575/2013, niiden yhteydessä mahdollisesti annetut siirtymäsäännökset mukaan luettuina.</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YHTEENLASKETUT PUSKURIVAATIMUKSET</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t>Direktiivin 2013/36/EU 128 artiklan 6 alakohta</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YLEINEN PÄÄOMAPUSKURI</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Direktiivin 2013/36/EU 128 artiklan 1 alakohta ja 129 artikla</w:t>
            </w:r>
          </w:p>
          <w:p w14:paraId="7013CF4E" w14:textId="77777777" w:rsidR="00173F08" w:rsidRPr="002A677E" w:rsidRDefault="00173F08" w:rsidP="00822842">
            <w:pPr>
              <w:pStyle w:val="InstructionsText"/>
              <w:rPr>
                <w:rStyle w:val="InstructionsTabelleText"/>
              </w:rPr>
            </w:pPr>
            <w:r>
              <w:t>Direktiivin 2013/36/EU 129 artiklan 1 kohdan mukaisesti yleisellä pääomapuskurilla tarkoitetaan ydinpääomaan (CET1) kuuluvaa lisäosuutta. Koska yleisen pääomapuskurin 2,5 prosentin taso on pysyvä, se on ilmoitettava tässä solussa.</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LAITOSKOHTAINEN VASTASYKLINEN PÄÄOMAPUSKURI</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Direktiivin 2013/36/EU 128 artiklan 2 kohta, 130 artikla ja 135–140 artikla.</w:t>
            </w:r>
          </w:p>
          <w:p w14:paraId="169D829F" w14:textId="77777777" w:rsidR="00173F08" w:rsidRPr="002A677E" w:rsidRDefault="00173F08" w:rsidP="00822842">
            <w:pPr>
              <w:pStyle w:val="InstructionsText"/>
              <w:rPr>
                <w:rStyle w:val="InstructionsTabelleText"/>
              </w:rPr>
            </w:pPr>
            <w:r>
              <w:t>Tässä solussa ilmoitetaan vastasyklisen pääomapuskurin konkreettinen määrä.</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JÄSENVALTIOSSA HAVAITUSTA MAKROVAKAUSRISKISTÄ TAI JÄRJESTELMÄRISKISTÄ JOHTUVA YLEINEN PÄÄOMAPUSKURI</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Asetuksen (EU) N:o 575/2013 458 artiklan 2 kohdan d alakohdan iv alakohta</w:t>
            </w:r>
          </w:p>
          <w:p w14:paraId="2C6BA8FE" w14:textId="77777777" w:rsidR="00173F08" w:rsidRPr="002A677E" w:rsidRDefault="00173F08" w:rsidP="00822842">
            <w:pPr>
              <w:pStyle w:val="InstructionsText"/>
              <w:rPr>
                <w:rStyle w:val="InstructionsTabelleberschrift"/>
              </w:rPr>
            </w:pPr>
            <w:r>
              <w:lastRenderedPageBreak/>
              <w:t>Tässä solussa ilmoitetaan jäsenvaltiossa havaitusta makrovakausriskistä tai järjestelmäriskistä aiheutuvan pääomapuskurin määrä, jonka ilmoittamista yleisen pääomapuskurin ohella voidaan vaatia asetuksen (EU) N:o 575/2013 458 artiklan mukaisesti.</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JÄRJESTELMÄRISKIPUSKURI</w:t>
            </w:r>
          </w:p>
          <w:p w14:paraId="409112BD" w14:textId="77777777" w:rsidR="00173F08" w:rsidRPr="002A677E" w:rsidRDefault="00173F08" w:rsidP="00822842">
            <w:pPr>
              <w:pStyle w:val="InstructionsText"/>
            </w:pPr>
            <w:r>
              <w:t xml:space="preserve">Direktiivin 2013/36/EU 128 artiklan 5 alakohta sekä 133 ja 134 artikla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Tässä solussa ilmoitetaan vastasyklisen pääomapuskurin määrä.</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r>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rPr>
            </w:pPr>
            <w:r>
              <w:t>Direktiivin 2013/36/EU 128 artiklan 3 alakohta ja 131 artikla</w:t>
            </w:r>
          </w:p>
          <w:p w14:paraId="5835A3FB" w14:textId="77777777" w:rsidR="00173F08" w:rsidRPr="002A677E" w:rsidRDefault="00173F08" w:rsidP="00822842">
            <w:pPr>
              <w:pStyle w:val="InstructionsText"/>
              <w:rPr>
                <w:rStyle w:val="InstructionsTabelleberschrift"/>
              </w:rPr>
            </w:pPr>
            <w:r>
              <w:t>Tässä solussa ilmoitetaan maailmanlaajuista järjestelmän kannalta merkittävää laitosta koskevan puskurin määrä.</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MUUTA JÄRJESTELMÄN KANNALTA MERKITTÄVÄÄ LAITOSTA KOSKEVA PUSKURI</w:t>
            </w:r>
            <w:r>
              <w:rPr>
                <w:rStyle w:val="InstructionsTabelleberschrift"/>
                <w:rFonts w:ascii="Times New Roman" w:hAnsi="Times New Roman"/>
                <w:sz w:val="24"/>
              </w:rPr>
              <w:tab/>
            </w:r>
          </w:p>
          <w:p w14:paraId="5C91FC01" w14:textId="77777777" w:rsidR="00173F08" w:rsidRPr="002A677E" w:rsidRDefault="00173F08" w:rsidP="00822842">
            <w:pPr>
              <w:pStyle w:val="InstructionsText"/>
            </w:pPr>
            <w:r>
              <w:t>Direktiivin 2013/36/EU 128 artiklan 4 alakohta ja 131 artikla</w:t>
            </w:r>
          </w:p>
          <w:p w14:paraId="677D9498" w14:textId="77777777" w:rsidR="00173F08" w:rsidRPr="002A677E" w:rsidRDefault="00173F08" w:rsidP="00822842">
            <w:pPr>
              <w:pStyle w:val="InstructionsText"/>
              <w:rPr>
                <w:rStyle w:val="InstructionsTabelleberschrift"/>
              </w:rPr>
            </w:pPr>
            <w:r>
              <w:t>Tässä solussa ilmoitetaan muuta järjestelmän kannalta merkittävää laitosta koskevan puskurin määrä.</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4E64A7"/>
    <w:rsid w:val="00601EA3"/>
    <w:rsid w:val="00631623"/>
    <w:rsid w:val="00694862"/>
    <w:rsid w:val="00702B2E"/>
    <w:rsid w:val="00780E9B"/>
    <w:rsid w:val="009871DF"/>
    <w:rsid w:val="00A6002C"/>
    <w:rsid w:val="00A70706"/>
    <w:rsid w:val="00B44A0E"/>
    <w:rsid w:val="00B71F25"/>
    <w:rsid w:val="00BF2D9E"/>
    <w:rsid w:val="00C61CB8"/>
    <w:rsid w:val="00E26A90"/>
    <w:rsid w:val="00EF07A1"/>
    <w:rsid w:val="00F32F6B"/>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792421-CB90-4A81-A542-A61DAA24FA44}"/>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3213</Words>
  <Characters>25226</Characters>
  <Application>Microsoft Office Word</Application>
  <DocSecurity>0</DocSecurity>
  <Lines>560</Lines>
  <Paragraphs>323</Paragraphs>
  <ScaleCrop>false</ScaleCrop>
  <Company/>
  <LinksUpToDate>false</LinksUpToDate>
  <CharactersWithSpaces>28116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2025-01-14T12:47:26Z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27caf7da-8388-4cc2-bfec-e1a15ebe7884</vt:lpwstr>
  </property>
  <property fmtid="{D5CDD505-2E9C-101B-9397-08002B2CF9AE}" pid="10" name="MSIP_Label_6bd9ddd1-4d20-43f6-abfa-fc3c07406f94_ContentBits">
    <vt:lpwstr>0</vt:lpwstr>
  </property>
</Properties>
</file>