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65377" w14:textId="77777777" w:rsidR="00D117E0" w:rsidRDefault="00D117E0" w:rsidP="00D117E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565CB241" w14:textId="77777777" w:rsidR="00D117E0" w:rsidRDefault="00D117E0" w:rsidP="00D117E0">
      <w:pPr>
        <w:rPr>
          <w:rFonts w:asciiTheme="minorHAnsi" w:hAnsiTheme="minorHAnsi"/>
          <w:sz w:val="22"/>
        </w:rPr>
      </w:pPr>
    </w:p>
    <w:p w14:paraId="7B0A5D3F" w14:textId="77777777" w:rsidR="00C4175A" w:rsidRPr="00037E7B" w:rsidRDefault="00C4175A" w:rsidP="00C4175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57A833DE" w14:textId="77777777" w:rsidR="00C4175A" w:rsidRPr="00037E7B" w:rsidRDefault="00C4175A" w:rsidP="00C4175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6ADAC0C2" w14:textId="77777777" w:rsidR="00C4175A" w:rsidRPr="00037E7B" w:rsidRDefault="00C4175A" w:rsidP="00C4175A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6521CF01" w14:textId="77777777" w:rsidR="00C4175A" w:rsidRDefault="00C4175A" w:rsidP="00C4175A"/>
    <w:p w14:paraId="5D0F555E" w14:textId="77777777" w:rsidR="00C4175A" w:rsidRDefault="00C4175A" w:rsidP="00C4175A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MAL-FORMOLI</w:t>
      </w:r>
    </w:p>
    <w:p w14:paraId="304AE897" w14:textId="77777777" w:rsidR="00C4175A" w:rsidRDefault="00C4175A" w:rsidP="00C4175A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4C9C2D8" w14:textId="77777777" w:rsidR="00C4175A" w:rsidRPr="00736637" w:rsidRDefault="00C4175A" w:rsidP="00C4175A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6B9B322A" w14:textId="77777777" w:rsidR="00E26A90" w:rsidRDefault="00E26A90"/>
    <w:p w14:paraId="23DE6C42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C 13.01 - Riskju ta’ Kreditu – Titolizzazzjonijiet (CR SEC)</w:t>
      </w:r>
    </w:p>
    <w:p w14:paraId="26EBF6BF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522019828"/>
      <w:bookmarkStart w:id="1" w:name="_Toc151714434"/>
      <w:r>
        <w:rPr>
          <w:sz w:val="24"/>
          <w:u w:val="none"/>
          <w:rFonts w:ascii="Times New Roman" w:hAnsi="Times New Roman"/>
        </w:rPr>
        <w:t xml:space="preserve">3.7.1.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0"/>
      <w:bookmarkEnd w:id="1"/>
    </w:p>
    <w:p w14:paraId="4565BDE6" w14:textId="44E484C9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106</w:t>
      </w:r>
      <w:r>
        <w:fldChar w:fldCharType="end"/>
      </w:r>
      <w:r>
        <w:t xml:space="preserve">.</w:t>
      </w:r>
      <w:r>
        <w:t xml:space="preserve"> </w:t>
      </w:r>
      <w:r>
        <w:t xml:space="preserve">Fejn l-istituzzjoni taġixxi bħala oriġinatur, l-informazzjoni f’din il-formola għandha tkun meħtieġa għat-titolizzazzjonijiet kollha li għalihom ikun rikonoxxut trasferiment sinifikanti tar-riskju.</w:t>
      </w:r>
      <w:r>
        <w:t xml:space="preserve"> </w:t>
      </w:r>
      <w:r>
        <w:t xml:space="preserve">Meta l-istituzzjoni taġixxi bħala investitur, għandhom ikunu rrapportati l-iskoperturi kollha.</w:t>
      </w:r>
      <w:r>
        <w:t xml:space="preserve"> </w:t>
      </w:r>
    </w:p>
    <w:p w14:paraId="6B330974" w14:textId="0CFABCA8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107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L-informazzjoni li għandha tkun irrapportata hija kontinġenti fuq ir-rwol tal-istituzzjoni fil-proċess ta’ titolizzazzjoni.</w:t>
      </w:r>
      <w:r>
        <w:t xml:space="preserve"> </w:t>
      </w:r>
      <w:r>
        <w:t xml:space="preserve">B’hekk, l-entrati speċifiċi ta’ rapportar għandhom ikunu applikabbli għall-oriġinaturi, l-isponsors u l-investituri.</w:t>
      </w:r>
    </w:p>
    <w:p w14:paraId="1FFE8C5F" w14:textId="0A242D56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108</w:t>
      </w:r>
      <w:r>
        <w:fldChar w:fldCharType="end"/>
      </w:r>
      <w:r>
        <w:t xml:space="preserve">.</w:t>
      </w:r>
      <w:r>
        <w:t xml:space="preserve"> </w:t>
      </w:r>
      <w:r>
        <w:t xml:space="preserve">Din il-formola għandha tiġbor informazzjoni konġunta kemm dwar titolizzazzjonijiet tradizzjonali kif ukoll dawk sintetiċi miżmuma fil-portafoll bankarju.</w:t>
      </w:r>
      <w:r>
        <w:t xml:space="preserve"> </w:t>
      </w:r>
    </w:p>
    <w:p w14:paraId="035BDB47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2" w:name="_Toc522019829"/>
      <w:bookmarkStart w:id="3" w:name="_Toc151714435"/>
      <w:r>
        <w:rPr>
          <w:sz w:val="24"/>
          <w:u w:val="none"/>
          <w:rFonts w:ascii="Times New Roman" w:hAnsi="Times New Roman"/>
        </w:rPr>
        <w:t xml:space="preserve">3.7.2.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2"/>
      <w:bookmarkEnd w:id="3"/>
    </w:p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8"/>
        <w:gridCol w:w="7436"/>
      </w:tblGrid>
      <w:tr w:rsidR="00933ADA" w:rsidRPr="002A677E" w14:paraId="4BA72265" w14:textId="77777777" w:rsidTr="00822842">
        <w:tc>
          <w:tcPr>
            <w:tcW w:w="9004" w:type="dxa"/>
            <w:gridSpan w:val="2"/>
            <w:shd w:val="clear" w:color="auto" w:fill="CCCCCC"/>
          </w:tcPr>
          <w:p w14:paraId="75F7E03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ind w:left="426"/>
              <w:jc w:val="left"/>
              <w:rPr>
                <w:rFonts w:ascii="Times New Roman" w:hAnsi="Times New Roman"/>
                <w:sz w:val="24"/>
                <w:lang w:eastAsia="de-DE"/>
              </w:rPr>
            </w:pPr>
          </w:p>
          <w:p w14:paraId="4160E13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  <w:p w14:paraId="3CACC8F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FC27BD7" w14:textId="77777777" w:rsidTr="00822842">
        <w:tc>
          <w:tcPr>
            <w:tcW w:w="1568" w:type="dxa"/>
          </w:tcPr>
          <w:p w14:paraId="65DF550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436" w:type="dxa"/>
          </w:tcPr>
          <w:p w14:paraId="43CDF3AA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 TA’ SKOPERTURI TAT-TITOLIZZAZZJONI ORIĠINATI</w:t>
            </w:r>
          </w:p>
          <w:p w14:paraId="4F099FD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F45E83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oriġinaturi għandhom jirrapportaw l-ammont pendenti fid-data tar-rapportar tal-iskoperturi tat-titolizzazzjoni kurrenti kollha li oriġinaw fit-tranżazzjoni ta’ titolizzazzjoni, irrelevanti min ikun id-detentur tal-pożizzjonijiet.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B’hekk, skoperturi tat-titolizzazzjoni tal-karta bilanċjali (pereż. bonds, self subordinat) kif ukoll skoperturi barra l-karta bilanċjali u derivattivi (pereż. linji ta’ kreditu subordinati, faċilitajiet ta’ likwidità, swaps tar-rati tal-imgħax, swaps ta’ inadempjenza ta’ kreditu, eċċ.) li kienu oriġinati fit-titolizzazzjoni għandhom ikunu rrapportati.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7E9D85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11DB6C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tradizzjonali li fihom l-oriġinatur ma jkollu ebda pożizzjoni, l-oriġinatur ma għandux jikkunsidra dik it-titolizzazzjoni fir-rapportar ta’ din il-formola.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dak l-għan, il-pożizzjonijiet ta’ titolizzazzjoni miżmuma mill-oriġinatur għandhom jinkludu klawżoli ta’ ammortizzament antiċipat, kif definit fl-Artikolu 242(16) tar-Regolament (UE) Nru 575/2013, f’titolizzazzjoni ta’ skoperturi ċirkolanti.</w:t>
            </w:r>
          </w:p>
          <w:p w14:paraId="4BF9F89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C1B3A3F" w14:textId="77777777" w:rsidTr="00822842">
        <w:tc>
          <w:tcPr>
            <w:tcW w:w="1568" w:type="dxa"/>
          </w:tcPr>
          <w:p w14:paraId="7315CFC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0020– 0040</w:t>
            </w:r>
          </w:p>
        </w:tc>
        <w:tc>
          <w:tcPr>
            <w:tcW w:w="7436" w:type="dxa"/>
          </w:tcPr>
          <w:p w14:paraId="26D0FBF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TITOLIZZAZZJONIJIET SINTETIĊI: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PROTEZZJONI TAL-KREDITU GĦALL-ISKOPERTURI TITOLIZZATI</w:t>
            </w:r>
          </w:p>
          <w:p w14:paraId="3A5F9B3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0D3187B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251 u 252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5EC554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7C50C84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Id-diskrepanza fil-maturità ma għandhiex tkun ikkunsidrata fil-valur aġġustat tat-tekniki tal-mitigazzjoni tar-riskju ta’ kreditu involuti fl-istruttura ta’ 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D7E29EC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02287FC5" w14:textId="77777777" w:rsidTr="00822842">
        <w:tc>
          <w:tcPr>
            <w:tcW w:w="1568" w:type="dxa"/>
          </w:tcPr>
          <w:p w14:paraId="4B9651D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436" w:type="dxa"/>
          </w:tcPr>
          <w:p w14:paraId="60CF4FFE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trike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PROTEZZJONI FFINANZJATA TAL-KREDITU (C</w:t>
            </w:r>
            <w:r>
              <w:rPr>
                <w:b/>
                <w:sz w:val="24"/>
                <w:u w:val="single"/>
                <w:vertAlign w:val="subscript"/>
                <w:rFonts w:ascii="Times New Roman" w:hAnsi="Times New Roman"/>
              </w:rPr>
              <w:t xml:space="preserve">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C3CB2C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0FA2EDD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Il-proċedura dettaljata tal-kalkolu tal-valur aġġustat għall-volatilità tal-kollateral (C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VA</w:t>
            </w:r>
            <w:r>
              <w:rPr>
                <w:sz w:val="24"/>
                <w:rFonts w:ascii="Times New Roman" w:hAnsi="Times New Roman"/>
              </w:rPr>
              <w:t xml:space="preserve">) li għandha tiġi rapportata f’din il-kolonna hija stabbilita fl-Artikolu 223(2) tar-Regolament (UE) Nru 575/2013.</w:t>
            </w:r>
          </w:p>
          <w:p w14:paraId="788ADC0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A11D56F" w14:textId="77777777" w:rsidTr="00822842">
        <w:tc>
          <w:tcPr>
            <w:tcW w:w="1568" w:type="dxa"/>
          </w:tcPr>
          <w:p w14:paraId="66BA601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436" w:type="dxa"/>
          </w:tcPr>
          <w:p w14:paraId="17051CB1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TOTALI TAL-FLUSSI ’L BARRA: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IL-VALURI AĠĠUSTATI TAL-PROTEZZJONI TAL-KREDITU MHUX IFFINANZJATA (G*)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A2A5D9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06560311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Billi tiġi segwita r-regola ġenerali għal “influssi” u “flussi ta’ ħruġ”, l-ammonti rapportati f’din il-kolonna għandhom jidhru bħala “influssi” fil-formola korrispondenti tar-riskju ta’ kreditu (CR SA jew CR IRB) u l-klassi ta’ skoperturi li għaliha l-entità li tirrapporta talloka l-fornitur tal-protezzjoni (jiġifieri l-parti terza li lilha jiġi ttrasferit is-segment permezz ta’ protezzjoni ta’ kreditu mhux finanzjata).</w:t>
            </w:r>
          </w:p>
          <w:p w14:paraId="2CC04B0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680B8A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Il-proċedura tal-kalkolu tal-ammont nominali aġġustat għar-“riskju tal-kambju” tal-protezzjoni tal-kreditu (G*) hija stabbilita fl-Artikolu 233(3) tar-Regolament (UE) Nru 575/2013.</w:t>
            </w:r>
          </w:p>
          <w:p w14:paraId="1DC8C3F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298ED7E" w14:textId="77777777" w:rsidTr="00822842">
        <w:tc>
          <w:tcPr>
            <w:tcW w:w="1568" w:type="dxa"/>
          </w:tcPr>
          <w:p w14:paraId="5935D7D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436" w:type="dxa"/>
          </w:tcPr>
          <w:p w14:paraId="01A64F1E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NOZZJONALI MFADDAL JEW RIAKKWISTAT TA’ PROTEZZJONI TAL-KREDITU</w:t>
            </w:r>
          </w:p>
          <w:p w14:paraId="6435D69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00771F0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Is-segmenti kollha li nżammu jew li nxtraw lura, pereż. pożizzjonijiet tal-ewwel telf imfaddlin, għandhom ikunu rrapportati bl-ammont nominali tagħhom.</w:t>
            </w:r>
          </w:p>
          <w:p w14:paraId="74EE144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6C8BCAB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L-effett tat-telf impost superviżorju fil-protezzjoni tal-kreditu ma għandux ikun ikkunsidrat meta jiġi kkalkolat l-ammont imfaddal jew riakkwistat ta’ protezzjoni tal-kreditu.</w:t>
            </w:r>
          </w:p>
          <w:p w14:paraId="49EDCB3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21326A8" w14:textId="77777777" w:rsidTr="00822842">
        <w:tc>
          <w:tcPr>
            <w:tcW w:w="1568" w:type="dxa"/>
          </w:tcPr>
          <w:p w14:paraId="7FDBDAA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436" w:type="dxa"/>
          </w:tcPr>
          <w:p w14:paraId="3061323C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ORIĠINARJA QABEL IL-FATTURI TA’ KONVERŻJONI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BD0E65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8224AF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tinkludi l-valuri tal-iskopertura tal-pożizzjonijiet ta’ titolizzazzjoni miżmuma mill-istituzzjoni li tirrapporta, ikkalkolati f’konformità mal-Artikolu 248, il-paragrafi 1 u 2 tar-Regolament (UE) Nru 575/2013, mingħajr l-applikazzjoni ta’ fatturi ta’ konverżjoni tal-kreditu, gross mill-aġġustamenti tal-valur u l-provvedimenti, u kwalunkwe skont fuq il-prezz tax-xiri mhux rimborżabbli fuq l-iskoperturi titolizzati kif imsemmi fl-Artikolu 248(1), il-punt (d) tar-Regolament (UE) Nru 575/2013, u gross mill-aġġustamenti tal-valur u l-provvedimenti fuq il-pożizzjoni ta’ titolizzazzjoni.</w:t>
            </w:r>
          </w:p>
          <w:p w14:paraId="16A29CA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76091F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In-netting għandu jkun relevanti biss fir-rigward ta’ kuntratti tad-derivattivi multipli provduti lill-istess SSPE, koperti minn ftehim ta’ netting eliġibbli.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CCFF7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29710B0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F’titolizzazzjonijiet sintetiċi, il-pożizzjonijiet miżmumin mill-oriġinatur fil-forma ta’ entrati fil-karta bilanċjali u/jew imgħax tal-investitur għandhom jkunu r-riżultat tal-aggregazzjoni tal-kolonni minn 0010 sa 0040.</w:t>
            </w:r>
          </w:p>
          <w:p w14:paraId="70C148C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507A4633" w14:textId="77777777" w:rsidTr="00822842">
        <w:tc>
          <w:tcPr>
            <w:tcW w:w="1568" w:type="dxa"/>
          </w:tcPr>
          <w:p w14:paraId="73BEE5C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436" w:type="dxa"/>
          </w:tcPr>
          <w:p w14:paraId="7D82E37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TAL-VALUR U DISPOŻIZZJONIJIET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15CCE41" w14:textId="77777777" w:rsidR="00933ADA" w:rsidRPr="002A677E" w:rsidRDefault="00933ADA" w:rsidP="00822842">
            <w:pPr>
              <w:pStyle w:val="ListParagraph"/>
              <w:spacing w:before="0" w:after="0"/>
              <w:ind w:left="284" w:hanging="284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006169D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248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Aġġustamenti tal-valur u d-dispożizzjonijiet li għandhom ikunu rrapportati f’din il-kolonna jirreferu biss għal pożizzjonijiet ta’ 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Aġġustamenti tal-valur ta’ skoperturi ta’ titolizzazzjoni ma għandhomx ikunu kkunsidrati.</w:t>
            </w:r>
          </w:p>
          <w:p w14:paraId="3426D30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3791E252" w14:textId="77777777" w:rsidTr="00822842">
        <w:tc>
          <w:tcPr>
            <w:tcW w:w="1568" w:type="dxa"/>
          </w:tcPr>
          <w:p w14:paraId="7DE4038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436" w:type="dxa"/>
          </w:tcPr>
          <w:p w14:paraId="2F67DBD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NETTA MILL-AĠĠUSTAMENTI TAL-VALUR U TAD-DISPOŻIZZJONIJIET</w:t>
            </w:r>
          </w:p>
          <w:p w14:paraId="3E6A58F8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0E3F7F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tinkludi l-valuri tal-iskopertura tal-pożizzjonijiet ta’ titolizzazzjoni kkalkolati f’konformità mal-Artikolu 248(1) u (2) tar-Regolament (UE) Nru 575/2013, netti mill-aġġustament tal-valur u d-dispożizzjonijiet, mingħajr l-applikazzjoni ta’ fatturi ta’ konverżjoni tal-kreditu u grossi minn kwalunkwe skont fuq il-prezz tax-xiri mhux rimborżabbli fuq l-iskoperturi titolizzati kif imsemmi fl-Artikolu 248(1), il-punt (d) tar-Regolament (UE) Nru 575/2013, u netti mill-aġġustamenti tal-valur u d-dispożizzjonijiet fuq il-pożizzjoni ta’ titolizzazzjoni.</w:t>
            </w:r>
          </w:p>
          <w:p w14:paraId="14AC785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166AF1F5" w14:textId="77777777" w:rsidTr="00822842">
        <w:tc>
          <w:tcPr>
            <w:tcW w:w="1568" w:type="dxa"/>
          </w:tcPr>
          <w:p w14:paraId="72A4448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0080– 0110</w:t>
            </w:r>
          </w:p>
        </w:tc>
        <w:tc>
          <w:tcPr>
            <w:tcW w:w="7436" w:type="dxa"/>
          </w:tcPr>
          <w:p w14:paraId="22E58F4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TEKNIKI TA’ MITIGAZZJONI TAR-RISKJU TA’ KREDITU (CRM) B’EFFETTI TA’ SOSTITUZZJONI FUQ L-ISKOPERTURA</w:t>
            </w:r>
          </w:p>
          <w:p w14:paraId="5BB5DB6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6AADCA23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(57), il-Parti Tlieta, it-Titolu II, il-Kapitolu 4 u l-Artikolu 249 tar-Regolament (UE) Nru 575/2013</w:t>
            </w:r>
          </w:p>
          <w:p w14:paraId="28309FD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6C71EADA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f’dawn il-kolonni informazzjoni dwar tekniki ta’ mitigazzjoni tar-riskju tal-kreditu li jnaqqsu r-riskju tal-kreditu ta’ skopertura jew skoperturi permezz tas-sostituzzjoni ta’ skoperturi (kif indikat hawn għal Flussi ’l Ġewwa u ’l Barra).</w:t>
            </w:r>
          </w:p>
          <w:p w14:paraId="694B99EA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45C956E" w14:textId="77777777" w:rsidR="00933ADA" w:rsidRPr="002A677E" w:rsidRDefault="00933ADA" w:rsidP="00822842">
            <w:pPr>
              <w:pStyle w:val="InstructionsText"/>
            </w:pPr>
            <w:r>
              <w:t xml:space="preserve">Kollateral li għandu effett fuq il-valur tal-iskopertura (pereż. jekk jintuża għal tekniki ta’ mitigazzjoni tar-riskju ta’ kreditu bl-effetti tas-sostituzzjoni fuq l-iskopertura) għandu jkun limitat għall-valur tal-iskopertura.</w:t>
            </w:r>
          </w:p>
          <w:p w14:paraId="3EDD5442" w14:textId="77777777" w:rsidR="00933ADA" w:rsidRPr="002A677E" w:rsidRDefault="00933ADA" w:rsidP="00822842">
            <w:pPr>
              <w:pStyle w:val="InstructionsText"/>
            </w:pPr>
            <w:r>
              <w:t xml:space="preserve">Entrati li għandhom ikunu rrapportati hawnhekk:</w:t>
            </w:r>
          </w:p>
          <w:p w14:paraId="4BF643C3" w14:textId="77777777" w:rsidR="00933ADA" w:rsidRPr="002A677E" w:rsidRDefault="00933ADA" w:rsidP="00933ADA">
            <w:pPr>
              <w:pStyle w:val="ListParagraph"/>
              <w:numPr>
                <w:ilvl w:val="0"/>
                <w:numId w:val="21"/>
              </w:numPr>
              <w:tabs>
                <w:tab w:val="num" w:pos="360"/>
              </w:tabs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kollateral, inkorporat f’konformità mal-Artikolu 222 tar-Regolament (UE) Nru 575/2013 (Metodu Ssimplifikat tal-Kollateral Finanzjarju);</w:t>
            </w:r>
          </w:p>
          <w:p w14:paraId="41927D3C" w14:textId="77777777" w:rsidR="00933ADA" w:rsidRPr="002A677E" w:rsidRDefault="00933ADA" w:rsidP="00933ADA">
            <w:pPr>
              <w:pStyle w:val="ListParagraph"/>
              <w:numPr>
                <w:ilvl w:val="0"/>
                <w:numId w:val="21"/>
              </w:numPr>
              <w:tabs>
                <w:tab w:val="num" w:pos="360"/>
              </w:tabs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protezzjoni ta’ kreditu mhux finanzjata eliġibbli.</w:t>
            </w:r>
          </w:p>
          <w:p w14:paraId="2BDB4821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A7E5416" w14:textId="77777777" w:rsidTr="00822842">
        <w:tc>
          <w:tcPr>
            <w:tcW w:w="1568" w:type="dxa"/>
          </w:tcPr>
          <w:p w14:paraId="1FD100E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436" w:type="dxa"/>
          </w:tcPr>
          <w:p w14:paraId="301D2B10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PROTEZZJONI TA’ KREDITU MHUX IFFINANZJATA: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VALURI AĠĠUSTATI (G</w:t>
            </w:r>
            <w:r>
              <w:rPr>
                <w:b/>
                <w:sz w:val="24"/>
                <w:u w:val="single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A09C9A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148AA28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Protezzjoni ta’ kreditu mhux iffinanzjata kif definit fl-Artikolu 4(1), il-punt (59), l-Artikoli minn 234 sa 236 tar-Regolament (UE) 575/2013.</w:t>
            </w:r>
          </w:p>
          <w:p w14:paraId="258AD79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850C565" w14:textId="77777777" w:rsidTr="00822842">
        <w:tc>
          <w:tcPr>
            <w:tcW w:w="1568" w:type="dxa"/>
          </w:tcPr>
          <w:p w14:paraId="3B6CB6B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436" w:type="dxa"/>
          </w:tcPr>
          <w:p w14:paraId="54AA8BCE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PROTEZZJONI TAL-KREDITU FINANZJATA</w:t>
            </w:r>
          </w:p>
          <w:p w14:paraId="2DC24B4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1CFD7A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Protezzjoni ffinanzjata tal-kreditu kif definit fl-Artikolu 4(1), il-punt (58) tar-Regolament (UE) Nru 575/2013, kif imsemmi fl-Artikolu 249(2), l-ewwel subparagrafu ta’ dak ir-Regolament u kif irregolat fl-Artikoli 195, 197 u 200 ta’ dak ir-Regolament.</w:t>
            </w:r>
          </w:p>
          <w:p w14:paraId="6D905C0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ind w:left="284" w:hanging="284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56288F1A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Noti marbuta ma’ kreditu u netting tal-karta bilanċjali kif imsemmi fl-Artikoli 218 u 219 tar-Regolament (UE) Nru 575/2013 għandhom jiġu trattati bħala kollateral fi flus.</w:t>
            </w:r>
          </w:p>
          <w:p w14:paraId="6D06C8C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2772E908" w14:textId="77777777" w:rsidTr="00822842">
        <w:tc>
          <w:tcPr>
            <w:tcW w:w="1568" w:type="dxa"/>
          </w:tcPr>
          <w:p w14:paraId="0DB1848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0100– 0110</w:t>
            </w:r>
          </w:p>
        </w:tc>
        <w:tc>
          <w:tcPr>
            <w:tcW w:w="7436" w:type="dxa"/>
          </w:tcPr>
          <w:p w14:paraId="6E367B9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SOSTITUZZJONI TAL-ISKOPERTURA MINĦABBA CRM:</w:t>
            </w:r>
          </w:p>
          <w:p w14:paraId="3B3071C7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C89A70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Flussi ’l ġewwa u ’l barra fl-istess klassijiet tal-iskoperturi u, fejn relevanti, il-piżijiet tar-riskju jew il-klassifikazzjonijiet tal-obbligant għandhom ikunu rrapportati.</w:t>
            </w:r>
          </w:p>
          <w:p w14:paraId="57D87E52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536AD1E" w14:textId="77777777" w:rsidTr="00822842">
        <w:tc>
          <w:tcPr>
            <w:tcW w:w="1568" w:type="dxa"/>
          </w:tcPr>
          <w:p w14:paraId="7E62983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436" w:type="dxa"/>
          </w:tcPr>
          <w:p w14:paraId="27758A2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TOTALI TAL-FLUSSI ’L BARRA</w:t>
            </w:r>
          </w:p>
          <w:p w14:paraId="6342123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8C0F70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222(3), l-Artikolu 235, il-paragrafi 1 u 2 u l-Artikolu 236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DD2CDB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3B29F80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Il-flussi ’l barra għandhom jikkorrispondu għall-parti koperta tan-“Nett tal-iskopertura tal-aġġustamenti tal-valur u l-provvedimenti”, li titnaqqas mill-klassi tal-iskoperturi tal-obbligant u, fejn relevanti, il-ponderazzjoni tar-riskju jew il-grad tal-obbligant, u sussegwentement assenjata fil-klassi tal-iskoperturi tal-fornitur u, fejn relevanti, il-ponderazzjoni tar-riskju jew il-grad tal-obbligant.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41C567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5E2E091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Dak l-ammont għandu jitqies bħala Fluss ’il ġewwa fil-klassi tal-iskoperturi tal-fornitur tal-protezzjoni u, fejn relevanti, il-piżijiet tar-riskju jew il-gradi tal-obbligant.</w:t>
            </w:r>
          </w:p>
          <w:p w14:paraId="271FACD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19EDC523" w14:textId="77777777" w:rsidTr="00822842">
        <w:tc>
          <w:tcPr>
            <w:tcW w:w="1568" w:type="dxa"/>
          </w:tcPr>
          <w:p w14:paraId="1D9C18C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436" w:type="dxa"/>
          </w:tcPr>
          <w:p w14:paraId="086FBC6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FLUSSI ’L ĠEWWA TOTALI</w:t>
            </w:r>
          </w:p>
          <w:p w14:paraId="419B65A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019888C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ta’ titolizzazzjoni li huma titoli ta’ dejn u li jintużaw bħala kollateral finanzjarju eliġibbli f’konformità mal-Artikolu 197(1) tar-Regolament (UE) Nru 575/2013 u meta jintuża l-Metodu Ssimplifikat tal-Kollateral Finanzjarju, għandhom jiġu rapportati bħala influssi f’din il-kolonna.</w:t>
            </w:r>
          </w:p>
          <w:p w14:paraId="53C3CF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663B9A97" w14:textId="77777777" w:rsidTr="00822842">
        <w:tc>
          <w:tcPr>
            <w:tcW w:w="1568" w:type="dxa"/>
          </w:tcPr>
          <w:p w14:paraId="51B08BB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436" w:type="dxa"/>
          </w:tcPr>
          <w:p w14:paraId="7CED71B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WARA LI S-SOSTITUZZJONI CRM TAFFETTWA L-FATTURI TA’ QABEL IL-KONVERŻJONI</w:t>
            </w:r>
          </w:p>
          <w:p w14:paraId="3C30E2E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3A7CCAC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Din il-kolonna għandha tinkludi l-iskoperturi assenjati fil-ponderazzjoni tar-riskju u l-klassi tal-iskoperturi korrispondenti wara li jittieħdu f’kunsiderazzjoni l-flussi ’l barra u ’l ġewwa dovuti għal “Tekniki ta’ mitigazzjoni tar-riskju ta’ kreditu (CRM) b’effetti ta’ sostituzzjoni fuq l-iskopertura”.</w:t>
            </w:r>
          </w:p>
          <w:p w14:paraId="607AE8A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33ADA" w:rsidRPr="002A677E" w14:paraId="10FEE21F" w14:textId="77777777" w:rsidTr="00822842">
        <w:tc>
          <w:tcPr>
            <w:tcW w:w="1568" w:type="dxa"/>
          </w:tcPr>
          <w:p w14:paraId="17A689D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436" w:type="dxa"/>
          </w:tcPr>
          <w:p w14:paraId="6B02E80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TEKNIKI TA’ MITIGAZZJONI TAR-RISKJU TAL-KREDITU LI JAFFETTWAW L-AMMONT TAL-ISKOPERTURA: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TAL-PROTEZZJONI TA’ KREDITU FFINANZJATA AĠĠUSTAT BIL-METODU KOMPRENSIV TAL-KOLLATERAL FINANZJARJU (CVAM)</w:t>
            </w:r>
          </w:p>
          <w:p w14:paraId="698C361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43044A1A" w14:textId="77777777" w:rsidR="00933ADA" w:rsidRPr="002A677E" w:rsidRDefault="00933ADA" w:rsidP="00822842">
            <w:pPr>
              <w:pStyle w:val="InstructionsText"/>
            </w:pPr>
            <w:r>
              <w:t xml:space="preserve">Artikoli minn 223 sa 228 tar-Regolament (UE) Nru 575/2013</w:t>
            </w:r>
            <w:r>
              <w:t xml:space="preserve"> </w:t>
            </w:r>
          </w:p>
          <w:p w14:paraId="169BAC4D" w14:textId="77777777" w:rsidR="00933ADA" w:rsidRPr="002A677E" w:rsidRDefault="00933ADA" w:rsidP="00822842">
            <w:pPr>
              <w:pStyle w:val="InstructionsText"/>
            </w:pPr>
            <w:r>
              <w:t xml:space="preserve">L-ammont rapportat għandu jinkludi wkoll noti marbuta ma’ kreditu (l-Artikolu 218 tar-Regolament (UE) Nru 575/2013).</w:t>
            </w:r>
          </w:p>
          <w:p w14:paraId="6D2DCC2E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33ADA" w:rsidRPr="002A677E" w14:paraId="5CB9BFB0" w14:textId="77777777" w:rsidTr="00822842">
        <w:tc>
          <w:tcPr>
            <w:tcW w:w="1568" w:type="dxa"/>
          </w:tcPr>
          <w:p w14:paraId="1D3577D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436" w:type="dxa"/>
          </w:tcPr>
          <w:p w14:paraId="2743058A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TOTALMENT AĠĠUSTAT (E*)</w:t>
            </w:r>
          </w:p>
          <w:p w14:paraId="51384CD5" w14:textId="77777777" w:rsidR="00933ADA" w:rsidRPr="002A677E" w:rsidRDefault="00933ADA" w:rsidP="00822842">
            <w:pPr>
              <w:pStyle w:val="Heading1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</w:p>
          <w:p w14:paraId="77E86F1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tal-pożizzjonijiet ta’ titolizzazzjoni kkalkolat f’konformità mal-Artikolu 248 tar-Regolament (UE) Nru 575/2013, iżda mingħajr l-applikazzjoni tal-fatturi ta’ konverżjoni stabbiliti fl-Artikolu 248(1)(b)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FA3B1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</w:tc>
      </w:tr>
      <w:tr w:rsidR="00933ADA" w:rsidRPr="002A677E" w14:paraId="647732BC" w14:textId="77777777" w:rsidTr="00822842">
        <w:tc>
          <w:tcPr>
            <w:tcW w:w="1568" w:type="dxa"/>
          </w:tcPr>
          <w:p w14:paraId="5CFBB71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436" w:type="dxa"/>
          </w:tcPr>
          <w:p w14:paraId="3FAB4292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SOĠĠETTI GĦAL CCF TA’ 0 %</w:t>
            </w:r>
          </w:p>
          <w:p w14:paraId="2825BFB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4B39BAA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248(1)(b)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0BAA8A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3E5F96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F’dan ir-rigward, l-Artikolu 4(1), il-punt (56) tar-Regolament (UE) Nru 575/2013 jiddefinixxi fattur ta’ konverżjoni.</w:t>
            </w:r>
          </w:p>
          <w:p w14:paraId="789D7DE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4CF3963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skopijiet ta’ rapportar, il-valuri tal-iskopertura totalment aġġustati (E*) għandhom jiġu rapportati għall-fattur ta’ konverżjoni ta’ 0 %.</w:t>
            </w:r>
          </w:p>
          <w:p w14:paraId="37D794E0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635B2E1" w14:textId="77777777" w:rsidTr="00822842">
        <w:tc>
          <w:tcPr>
            <w:tcW w:w="1568" w:type="dxa"/>
          </w:tcPr>
          <w:p w14:paraId="4BE23C9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436" w:type="dxa"/>
          </w:tcPr>
          <w:p w14:paraId="413AAAE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(-)SKONT FUQ IL-PREZZ TAX-XIRI MHUX RIMBORŻABBLI</w:t>
            </w:r>
          </w:p>
          <w:p w14:paraId="02BBD93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B8885F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248(1), il-punt (d) tar-Regolament (UE) Nru 575/2013, istituzzjoni oriġinatriċi tista’ tnaqqas mill-valur tal-iskopertura ta’ pożizzjoni ta’ titolizzazzjoni li tiġi assenjata ponderazzjoni tar-riskju ta’ 1 250 % kwalunkwe skont fuq il-prezz tax-xiri mhux rimborżabbli konness ma’ tali skoperturi sottostanti sa fejn it-tali skontijiet ikunu kkawżaw it-tnaqqis tal-fondi proprji.</w:t>
            </w:r>
          </w:p>
          <w:p w14:paraId="3F87578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9A0DB7E" w14:textId="77777777" w:rsidTr="00822842">
        <w:tc>
          <w:tcPr>
            <w:tcW w:w="1568" w:type="dxa"/>
          </w:tcPr>
          <w:p w14:paraId="151C3D9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436" w:type="dxa"/>
          </w:tcPr>
          <w:p w14:paraId="77740AF1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SPEĊIFIĊI GĦAR-RISKJU TAL-KREDITU FUQ L-ISKOPERTURI SOTTOSTANTI</w:t>
            </w:r>
          </w:p>
          <w:p w14:paraId="39D4C32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24E7AF7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248(1), il-punt (d) tar-Regolament (UE) Nru 575/2013, istituzzjoni oriġinatriċi tista’ tnaqqas mill-valur tal-iskopertura ta’ pożizzjoni ta’ titolizzazzjoni, li tiġi assenjata ponderazzjoni tar-riskju ta’ 1 250 % jew titnaqqas mill-Grad 1 ta’ Ekwità Komuni, l-ammont tal-aġġustamenti speċifiċi għar-riskju ta’ kreditu fuq l-iskoperturi sottostanti kif determinat f’konformità mal-Artikolu 110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7D0357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1887F50" w14:textId="77777777" w:rsidTr="00822842">
        <w:tc>
          <w:tcPr>
            <w:tcW w:w="1568" w:type="dxa"/>
          </w:tcPr>
          <w:p w14:paraId="0B115DD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436" w:type="dxa"/>
          </w:tcPr>
          <w:p w14:paraId="344AF97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3B51590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3AD1DCC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tal-pożizzjonijiet ta’ titolizzazzjoni kkalkolati f’konformità mal-Artikolu 248 tar-Regolament (UE) Nru 575/2013</w:t>
            </w:r>
          </w:p>
          <w:p w14:paraId="200F99B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67355BA" w14:textId="77777777" w:rsidTr="00822842">
        <w:tc>
          <w:tcPr>
            <w:tcW w:w="1568" w:type="dxa"/>
          </w:tcPr>
          <w:p w14:paraId="3C88C94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436" w:type="dxa"/>
          </w:tcPr>
          <w:p w14:paraId="669E588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VALUR TAL-ISKOPERTURA MNAQQAS MILL-FONDI PROPRJI</w:t>
            </w:r>
          </w:p>
          <w:p w14:paraId="63B6DB3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9044183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244(1), il-punt (b), l-Artikolu 245(1), il-punt (b) u</w:t>
            </w:r>
            <w:r>
              <w:rPr>
                <w:sz w:val="24"/>
                <w:rFonts w:ascii="Times New Roman" w:hAnsi="Times New Roman"/>
              </w:rPr>
              <w:t xml:space="preserve"> l-Artikolu 253(1) tar-Regolament (UE) Nru 575/2013, f’każ ta’ pożizzjoni ta’ titolizzazzjoni li għaliha tapplika ponderazzjoni tar-riskju ta’ 1 250 %, l-istituzzjonijiet jistgħu, bħala alternattiva għall-inklużjoni tal-pożizzjoni fil-kalkolu tagħhom tal-ammonti ta’ skoperturi ponderati għar-riskju, inaqqsu mill-fondi proprji l-valur tal-iskopertura tal-pożizzjoni.</w:t>
            </w:r>
          </w:p>
          <w:p w14:paraId="335246D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ind w:left="284" w:hanging="284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</w:tc>
      </w:tr>
      <w:tr w:rsidR="00933ADA" w:rsidRPr="002A677E" w14:paraId="3C886EE1" w14:textId="77777777" w:rsidTr="00822842">
        <w:tc>
          <w:tcPr>
            <w:tcW w:w="1568" w:type="dxa"/>
          </w:tcPr>
          <w:p w14:paraId="41ACBB4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436" w:type="dxa"/>
          </w:tcPr>
          <w:p w14:paraId="1A9A6732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SOĠĠETT GĦAL PIŻIJIET TAR-RISKJU</w:t>
            </w:r>
          </w:p>
          <w:p w14:paraId="3075A40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C23A473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nieqes il-valur tal-iskopertura mnaqqas minn fondi proprji.</w:t>
            </w:r>
          </w:p>
          <w:p w14:paraId="6E6890D0" w14:textId="77777777" w:rsidR="00933ADA" w:rsidRPr="002A677E" w:rsidRDefault="00933ADA" w:rsidP="00822842">
            <w:pPr>
              <w:pStyle w:val="Heading1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</w:p>
        </w:tc>
      </w:tr>
      <w:tr w:rsidR="00933ADA" w:rsidRPr="002A677E" w14:paraId="0CFF86BB" w14:textId="77777777" w:rsidTr="00822842">
        <w:tc>
          <w:tcPr>
            <w:tcW w:w="1568" w:type="dxa"/>
          </w:tcPr>
          <w:p w14:paraId="5912763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436" w:type="dxa"/>
          </w:tcPr>
          <w:p w14:paraId="344D2871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SEC-IRBA</w:t>
            </w:r>
          </w:p>
          <w:p w14:paraId="0F154D7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F48D273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254(1), il-punt (a) tar-Regolament (UE) Nru 575/2013</w:t>
            </w:r>
          </w:p>
          <w:p w14:paraId="67BE5CE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2ADB7623" w14:textId="77777777" w:rsidTr="00822842">
        <w:tc>
          <w:tcPr>
            <w:tcW w:w="1568" w:type="dxa"/>
          </w:tcPr>
          <w:p w14:paraId="41E061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0220– 0260</w:t>
            </w:r>
          </w:p>
        </w:tc>
        <w:tc>
          <w:tcPr>
            <w:tcW w:w="7436" w:type="dxa"/>
          </w:tcPr>
          <w:p w14:paraId="5817426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IL-FAXEX RW</w:t>
            </w:r>
          </w:p>
          <w:p w14:paraId="0F5AA76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3D519A6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SEC-IRBA diżaggregati skont il-faxex tal-ponderazzjoni tar-riskju.</w:t>
            </w:r>
          </w:p>
          <w:p w14:paraId="4145B91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11C9DF9" w14:textId="77777777" w:rsidTr="00822842">
        <w:tc>
          <w:tcPr>
            <w:tcW w:w="1568" w:type="dxa"/>
          </w:tcPr>
          <w:p w14:paraId="404FE61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7436" w:type="dxa"/>
          </w:tcPr>
          <w:p w14:paraId="543A13B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IKKALKOLATI SKONT L-ARTIKOLU 255(4) (RIĊEVIBBLI MIXTRIJA)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312F86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9D10FC5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255(4) tar-Regolament (UE) Nru 575/2013</w:t>
            </w:r>
          </w:p>
          <w:p w14:paraId="0456A574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B15FF0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 ta’ din il-kolonna, l-iskoperturi fil-livell tal-konsumatur għandhom ikunu ttrattati bħala riċevibbli mixtrija fil-livell tal-konsumatur u l-iskoperturi mhux fil-livell tal-konsumatur għandhom ikunu ttrattati bħala riċevibbli korporattivi mixtrija.</w:t>
            </w:r>
          </w:p>
          <w:p w14:paraId="65E65A2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4EC19449" w14:textId="77777777" w:rsidTr="00822842">
        <w:tc>
          <w:tcPr>
            <w:tcW w:w="1568" w:type="dxa"/>
          </w:tcPr>
          <w:p w14:paraId="51E5283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436" w:type="dxa"/>
          </w:tcPr>
          <w:p w14:paraId="5F444F6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SEC-SA</w:t>
            </w:r>
          </w:p>
          <w:p w14:paraId="5AA7B7B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val="fr-BE"/>
              </w:rPr>
            </w:pPr>
          </w:p>
          <w:p w14:paraId="6F403E1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254(1)(b) tar-Regolament (UE) Nru 575/2013</w:t>
            </w:r>
          </w:p>
          <w:p w14:paraId="0E9A412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val="fr-BE"/>
              </w:rPr>
            </w:pPr>
          </w:p>
        </w:tc>
      </w:tr>
      <w:tr w:rsidR="00933ADA" w:rsidRPr="002A677E" w14:paraId="3EB37766" w14:textId="77777777" w:rsidTr="00822842">
        <w:tc>
          <w:tcPr>
            <w:tcW w:w="1568" w:type="dxa"/>
          </w:tcPr>
          <w:p w14:paraId="736293A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0290– 0340</w:t>
            </w:r>
          </w:p>
        </w:tc>
        <w:tc>
          <w:tcPr>
            <w:tcW w:w="7436" w:type="dxa"/>
          </w:tcPr>
          <w:p w14:paraId="27C847E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IL-FAXEX RW</w:t>
            </w:r>
          </w:p>
          <w:p w14:paraId="497B9D6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65301AA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SEC-SA diżaggregati skont il-faxex tal-ponderazzjoni tar-riskju.</w:t>
            </w:r>
          </w:p>
          <w:p w14:paraId="5973B0E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u w:val="single"/>
              </w:rPr>
            </w:pPr>
          </w:p>
          <w:p w14:paraId="46562EB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Għall-RW = 1 250 % (W mhux magħrufa), l-Artikolu 261(2), il-punt (b), ir-raba’ paragrafu tar-Regolament (UE) Nru 575/2013 jistipula li l-pożizzjoni fit-titolizzazzjoni għandha tkun ponderata għar-riskju b’1 250 % fejn l-istituzzjoni ma tkunx taf l-istatus tad-delinkwenza għal aktar minn 5 % tal-iskoperturi sottostanti fl-aggregazzjoni.</w:t>
            </w:r>
          </w:p>
          <w:p w14:paraId="734BD19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u w:val="single"/>
              </w:rPr>
            </w:pPr>
          </w:p>
        </w:tc>
      </w:tr>
      <w:tr w:rsidR="00933ADA" w:rsidRPr="002A677E" w14:paraId="36389949" w14:textId="77777777" w:rsidTr="00822842">
        <w:tc>
          <w:tcPr>
            <w:tcW w:w="1568" w:type="dxa"/>
          </w:tcPr>
          <w:p w14:paraId="05F86816" w14:textId="77777777" w:rsidR="00933ADA" w:rsidRPr="002A677E" w:rsidDel="002122FF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7436" w:type="dxa"/>
          </w:tcPr>
          <w:p w14:paraId="25BDDA47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SEC-ERBA</w:t>
            </w:r>
          </w:p>
          <w:p w14:paraId="7F6B97CD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DAB94A6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254(1), il-punt (c)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A7283D7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A1761F8" w14:textId="77777777" w:rsidTr="00822842">
        <w:tc>
          <w:tcPr>
            <w:tcW w:w="1568" w:type="dxa"/>
          </w:tcPr>
          <w:p w14:paraId="345D589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0360– 0570</w:t>
            </w:r>
          </w:p>
        </w:tc>
        <w:tc>
          <w:tcPr>
            <w:tcW w:w="7436" w:type="dxa"/>
          </w:tcPr>
          <w:p w14:paraId="7C1D69BB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L-ISKALI TAL-KWALITÀ TAL-KREDITU (SKALI TAL-KWALITÀ TAL-KREDITU TA’ TERMINU QASIR/TWIL)</w:t>
            </w:r>
          </w:p>
          <w:p w14:paraId="0F6E1DF4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E7FC63A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263 tar-Regolament (UE) Nru 575/2013</w:t>
            </w:r>
          </w:p>
          <w:p w14:paraId="56E45578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0AFB17E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ta’ Titolizzazzjoni SEC-ERBA bi klassifikazzjoni inferita kif imsemmi fl-Artikolu 254(2) tar-Regolament (UE) Nru 575/2013 għandhom jiġu rapportati bħala pożizzjonijiet bi klassifikazzjoni.</w:t>
            </w:r>
          </w:p>
          <w:p w14:paraId="3F38DA88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324703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tal-iskopertura soġġetti għall-ponderazzjonijiet tar-riskju għandhom ikunu diżaggregati skont l-iskali tal-kwalità kreditizja (credit quality steps, CQS) ta’ terminu qasir u twil kif stabbilit fl-Artikolu 263, it-Tabelli 1 u 2 u l-Artikolu 264, it-Tabelli 3 u 4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7F2D663" w14:textId="77777777" w:rsidR="00933ADA" w:rsidRPr="002A677E" w:rsidRDefault="00933ADA" w:rsidP="00822842">
            <w:pPr>
              <w:pStyle w:val="Heading1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</w:p>
        </w:tc>
      </w:tr>
      <w:tr w:rsidR="00933ADA" w:rsidRPr="002A677E" w14:paraId="612DC53C" w14:textId="77777777" w:rsidTr="00822842">
        <w:tc>
          <w:tcPr>
            <w:tcW w:w="1568" w:type="dxa"/>
          </w:tcPr>
          <w:p w14:paraId="5E1634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0580– 0630</w:t>
            </w:r>
          </w:p>
        </w:tc>
        <w:tc>
          <w:tcPr>
            <w:tcW w:w="7436" w:type="dxa"/>
          </w:tcPr>
          <w:p w14:paraId="14F9F731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IR-RAĠUNI GĦALL-APPLIKAZZJONI TAL-SEC-ERBA</w:t>
            </w:r>
          </w:p>
          <w:p w14:paraId="548CCD05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8A217D4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pożizzjoni ta’ titolizzazzjoni, l-istituzzjonijiet għandhom jikkunsidraw waħda mill-għażliet li ġejjin fil-kolonni 0580-0620.</w:t>
            </w:r>
          </w:p>
          <w:p w14:paraId="3D78DFC8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  <w:u w:val="single"/>
              </w:rPr>
            </w:pPr>
          </w:p>
        </w:tc>
      </w:tr>
      <w:tr w:rsidR="00933ADA" w:rsidRPr="002A677E" w14:paraId="6DCB4D82" w14:textId="77777777" w:rsidTr="00822842">
        <w:tc>
          <w:tcPr>
            <w:tcW w:w="1568" w:type="dxa"/>
          </w:tcPr>
          <w:p w14:paraId="33F476E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0580</w:t>
            </w:r>
          </w:p>
        </w:tc>
        <w:tc>
          <w:tcPr>
            <w:tcW w:w="7436" w:type="dxa"/>
          </w:tcPr>
          <w:p w14:paraId="44812E51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GĦAL KAROZZI, LOKAZZJONIJIET TA' KAROZZI U LOKAZZJONIJIET TA’ TAGĦMIR</w:t>
            </w:r>
          </w:p>
          <w:p w14:paraId="2ADAA315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0AF2550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254(2), il-punt (c)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A3728E1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1283022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Is-self għal karozzi, il-lokazzjonijiet ta’ karozzi u l-lokazzjonijiet ta’ tagħmir kollha għandhom jiġu rapportati f’din il-kolonna, anki jekk jikkwalifikaw għall-Artikolu 254(2), il-punt (a) jew (b) tar-Regolament (UE) Nru 575/2013.</w:t>
            </w:r>
          </w:p>
        </w:tc>
      </w:tr>
      <w:tr w:rsidR="00933ADA" w:rsidRPr="002A677E" w14:paraId="0ECEF324" w14:textId="77777777" w:rsidTr="00822842">
        <w:tc>
          <w:tcPr>
            <w:tcW w:w="1568" w:type="dxa"/>
          </w:tcPr>
          <w:p w14:paraId="2B69672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0590</w:t>
            </w:r>
          </w:p>
        </w:tc>
        <w:tc>
          <w:tcPr>
            <w:tcW w:w="7436" w:type="dxa"/>
          </w:tcPr>
          <w:p w14:paraId="05A7A8AD" w14:textId="77777777" w:rsidR="00933ADA" w:rsidRPr="00B44FD0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GĦAŻLA SEC-ERBA</w:t>
            </w:r>
          </w:p>
          <w:p w14:paraId="0BFEB657" w14:textId="77777777" w:rsidR="00933ADA" w:rsidRPr="00B44FD0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5A5D1A4" w14:textId="77777777" w:rsidR="00933ADA" w:rsidRPr="00B44FD0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254(3) tar-Regolament (UE) Nru 575/2013</w:t>
            </w:r>
          </w:p>
          <w:p w14:paraId="0568569A" w14:textId="77777777" w:rsidR="00933ADA" w:rsidRPr="00B44FD0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3C72A1A" w14:textId="77777777" w:rsidTr="00822842">
        <w:tc>
          <w:tcPr>
            <w:tcW w:w="1568" w:type="dxa"/>
          </w:tcPr>
          <w:p w14:paraId="3452717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0600</w:t>
            </w:r>
          </w:p>
        </w:tc>
        <w:tc>
          <w:tcPr>
            <w:tcW w:w="7436" w:type="dxa"/>
          </w:tcPr>
          <w:p w14:paraId="59D79D59" w14:textId="77777777" w:rsidR="00933ADA" w:rsidRPr="002A677E" w:rsidRDefault="00933ADA" w:rsidP="00822842">
            <w:pPr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GĦALL-ARTIKOLU 254(2), IL-PUNT (a) TAR-REGOLAMENT (UE) NRU 575/2013</w:t>
            </w:r>
          </w:p>
          <w:p w14:paraId="3FBC453C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  <w:p w14:paraId="34B8E9D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254(2), il-punt (a) tar-Regolament (UE) Nru 575/2013</w:t>
            </w:r>
          </w:p>
          <w:p w14:paraId="34EF84D2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E1AD793" w14:textId="77777777" w:rsidTr="00822842">
        <w:tc>
          <w:tcPr>
            <w:tcW w:w="1568" w:type="dxa"/>
          </w:tcPr>
          <w:p w14:paraId="6AA7220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0610</w:t>
            </w:r>
          </w:p>
        </w:tc>
        <w:tc>
          <w:tcPr>
            <w:tcW w:w="7436" w:type="dxa"/>
          </w:tcPr>
          <w:p w14:paraId="28D146AD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GĦALL-ARTIKOLU 254(2), IL-PUNT (b) TAR-REGOLAMENT (UE) NRU 575/2013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F913668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0E132A4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254(2)(b) tar-Regolament (UE) Nru 575/2013</w:t>
            </w:r>
          </w:p>
          <w:p w14:paraId="5A605E9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FCA9727" w14:textId="77777777" w:rsidTr="00822842">
        <w:tc>
          <w:tcPr>
            <w:tcW w:w="1568" w:type="dxa"/>
          </w:tcPr>
          <w:p w14:paraId="26CCF13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0620</w:t>
            </w:r>
          </w:p>
        </w:tc>
        <w:tc>
          <w:tcPr>
            <w:tcW w:w="7436" w:type="dxa"/>
          </w:tcPr>
          <w:p w14:paraId="1F4F1B35" w14:textId="77777777" w:rsidR="00933ADA" w:rsidRPr="002A677E" w:rsidRDefault="00933ADA" w:rsidP="00822842">
            <w:pPr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SOĠĠETTI GĦALL-ARTIKOLU 254(4) JEW 258(2) TAR-REGOLAMENT (UE) NRU 575/2013</w:t>
            </w:r>
          </w:p>
          <w:p w14:paraId="38D391A0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27868B02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ta’ titolizzazzjoni soġġetti għal SEC-ERBA, fejn l-applikazzjoni ta’ SEC-IRBA jew SEC-SA tkun ġiet prekluża mill-awtoritajiet kompetenti f’konformità mal-Artikoli 254(4) jew 258(2) tar-Regolament (UE) Nru 575/2013</w:t>
            </w:r>
          </w:p>
          <w:p w14:paraId="6F8F8412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4FB8AD2" w14:textId="77777777" w:rsidTr="00822842">
        <w:tc>
          <w:tcPr>
            <w:tcW w:w="1568" w:type="dxa"/>
          </w:tcPr>
          <w:p w14:paraId="4A15B3A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0630</w:t>
            </w:r>
          </w:p>
        </w:tc>
        <w:tc>
          <w:tcPr>
            <w:tcW w:w="7436" w:type="dxa"/>
          </w:tcPr>
          <w:p w14:paraId="3D9A94BE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SKONT IL-ĠERARKIJA TAL-APPROĊĊI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E490CE5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3809F29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ta’ titolizzazzjoni fejn SEC-ERBA tiġi applikata billi tiġi segwita l-ġerarkija ta’ approċċi stabbilita fl-Artikolu 254(1) tar-Regolament (UE) Nru 575/2013</w:t>
            </w:r>
          </w:p>
          <w:p w14:paraId="7866A602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D7F2847" w14:textId="77777777" w:rsidTr="00822842">
        <w:tc>
          <w:tcPr>
            <w:tcW w:w="1568" w:type="dxa"/>
          </w:tcPr>
          <w:p w14:paraId="110969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0640</w:t>
            </w:r>
          </w:p>
        </w:tc>
        <w:tc>
          <w:tcPr>
            <w:tcW w:w="7436" w:type="dxa"/>
          </w:tcPr>
          <w:p w14:paraId="3131F940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TA’ VALUTAZZJONI INTERNA</w:t>
            </w:r>
          </w:p>
          <w:p w14:paraId="6533D6A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0BEACAC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254(5) </w:t>
            </w:r>
            <w:bookmarkStart w:id="4" w:name="_Hlk73564575"/>
            <w:r>
              <w:rPr>
                <w:sz w:val="24"/>
                <w:rFonts w:ascii="Times New Roman" w:hAnsi="Times New Roman"/>
              </w:rPr>
              <w:t xml:space="preserve">tar-Regolament (UE) Nru 575/2013 </w:t>
            </w:r>
            <w:bookmarkEnd w:id="4"/>
            <w:r>
              <w:rPr>
                <w:sz w:val="24"/>
                <w:rFonts w:ascii="Times New Roman" w:hAnsi="Times New Roman"/>
              </w:rPr>
              <w:t xml:space="preserve">dwar l-“Approċċ ta’ Valutazzjoni Interna” (Internal Assessment Approach, IAA) għall-pożizzjonijiet fi programmi ABCP</w:t>
            </w:r>
          </w:p>
          <w:p w14:paraId="7DF2FA7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8DF2928" w14:textId="77777777" w:rsidTr="00822842">
        <w:tc>
          <w:tcPr>
            <w:tcW w:w="1568" w:type="dxa"/>
          </w:tcPr>
          <w:p w14:paraId="42391A9D" w14:textId="77777777" w:rsidR="00933ADA" w:rsidRPr="002A677E" w:rsidDel="002122FF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0650– 0690</w:t>
            </w:r>
          </w:p>
        </w:tc>
        <w:tc>
          <w:tcPr>
            <w:tcW w:w="7436" w:type="dxa"/>
          </w:tcPr>
          <w:p w14:paraId="23BEC56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IL-FAXEX RW</w:t>
            </w:r>
          </w:p>
          <w:p w14:paraId="68A7445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3F50A6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tal-Approċċ ta’ Valutazzjoni Interna diżaggregati skont il-faxex tal-ponderazzjoni tar-riskju</w:t>
            </w:r>
          </w:p>
          <w:p w14:paraId="1A9DF57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CF7D39B" w14:textId="77777777" w:rsidTr="00822842">
        <w:tc>
          <w:tcPr>
            <w:tcW w:w="1568" w:type="dxa"/>
          </w:tcPr>
          <w:p w14:paraId="643AA33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0695</w:t>
            </w:r>
          </w:p>
        </w:tc>
        <w:tc>
          <w:tcPr>
            <w:tcW w:w="7436" w:type="dxa"/>
          </w:tcPr>
          <w:p w14:paraId="38948452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SPEĊIFIKU GĦAL SEGMENTI SUPERJURI TA’ TITOLIZZAZZJONIJIET NPE KWALIFIKANTI</w:t>
            </w:r>
          </w:p>
          <w:p w14:paraId="34A503A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988CFB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269a(3) tar-Regolament (UE) Nru 575/2013</w:t>
            </w:r>
          </w:p>
          <w:p w14:paraId="5094867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B7B83A2" w14:textId="77777777" w:rsidTr="00822842">
        <w:tc>
          <w:tcPr>
            <w:tcW w:w="1568" w:type="dxa"/>
          </w:tcPr>
          <w:p w14:paraId="7A7DC09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0700</w:t>
            </w:r>
          </w:p>
        </w:tc>
        <w:tc>
          <w:tcPr>
            <w:tcW w:w="7436" w:type="dxa"/>
          </w:tcPr>
          <w:p w14:paraId="4553490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 (RW=1 250</w:t>
            </w:r>
            <w:r>
              <w:t xml:space="preserve"> 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%)</w:t>
            </w:r>
          </w:p>
          <w:p w14:paraId="2725BDC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DEF5203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ma jiġi applikat l-ebda approċċ preċedenti, għandha tiġi assenjata ponderazzjoni tar-riskju ta’ 1 250 % għall-pożizzjonijiet ta’ titolizzazzjoni f’konformità mal-Artikolu 254(7) tar-Regolament (UE) Nru 575/2013.</w:t>
            </w:r>
          </w:p>
          <w:p w14:paraId="112A368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CF608B9" w14:textId="77777777" w:rsidTr="00822842">
        <w:tc>
          <w:tcPr>
            <w:tcW w:w="1568" w:type="dxa"/>
          </w:tcPr>
          <w:p w14:paraId="6C75B17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0710– 0860</w:t>
            </w:r>
          </w:p>
        </w:tc>
        <w:tc>
          <w:tcPr>
            <w:tcW w:w="7436" w:type="dxa"/>
          </w:tcPr>
          <w:p w14:paraId="7A263DB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</w:t>
            </w:r>
          </w:p>
          <w:p w14:paraId="281A1F0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D23F92D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tal-ammont tal-iskopertura ponderat għar-riskju kkalkulat f’konformità mat-Taqsima 3 tal-Parti Tlieta, it-Titolu II, il-Kapitolu 5 tar-Regolament (UE) Nru 575/2013, qabel l-aġġustamenti dovuti għal diskrepanza fil-maturità jew ksur tad-dispożizzjonijiet tad-diliġenza dovuta, u eskluż kwalunkwe ammont ta’ skopertura għall-ponderazzjoni tar-riskju li jikkorrispondi għal skoperturi ridistribwiti permezz ta’ flussi ta’ ħruġ f’formola oħra.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81AF35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D1A07DF" w14:textId="77777777" w:rsidTr="00822842">
        <w:tc>
          <w:tcPr>
            <w:tcW w:w="1568" w:type="dxa"/>
          </w:tcPr>
          <w:p w14:paraId="05B9A34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0840</w:t>
            </w:r>
          </w:p>
        </w:tc>
        <w:tc>
          <w:tcPr>
            <w:tcW w:w="7436" w:type="dxa"/>
          </w:tcPr>
          <w:p w14:paraId="3DB9E79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IAA: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PONDERAZZJONI MEDJA TAR-RISKJU (%)</w:t>
            </w:r>
          </w:p>
          <w:p w14:paraId="1FF6249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0E63FB8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il-kolonna għandhom ikunu rrapportati l-ponderazzjonijiet medji tar-riskju ponderati għall-iskoperturi tal-pożizzjonijiet ta’ titolizzazzjoni.</w:t>
            </w:r>
          </w:p>
          <w:p w14:paraId="5C275CA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CA71621" w14:textId="77777777" w:rsidTr="00822842">
        <w:tc>
          <w:tcPr>
            <w:tcW w:w="1568" w:type="dxa"/>
          </w:tcPr>
          <w:p w14:paraId="1AACDF5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0860</w:t>
            </w:r>
          </w:p>
        </w:tc>
        <w:tc>
          <w:tcPr>
            <w:tcW w:w="7436" w:type="dxa"/>
          </w:tcPr>
          <w:p w14:paraId="7501B53E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RWEA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TITOLIZZAZZJONIJIET SINTETIĊI</w:t>
            </w:r>
          </w:p>
          <w:p w14:paraId="5D93102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DDF48C2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titolizzazzjonijiet sintetiċi b’diskrepanza fil-maturità, l-ammont li għandu jiġi rrapportat f’din il-kolonna jinjora kwalunkwe diskrepanza fil-maturità.</w:t>
            </w:r>
          </w:p>
          <w:p w14:paraId="29F73B3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70033B9" w14:textId="77777777" w:rsidTr="00822842">
        <w:tc>
          <w:tcPr>
            <w:tcW w:w="1568" w:type="dxa"/>
          </w:tcPr>
          <w:p w14:paraId="0108BA7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0870</w:t>
            </w:r>
          </w:p>
        </w:tc>
        <w:tc>
          <w:tcPr>
            <w:tcW w:w="7436" w:type="dxa"/>
          </w:tcPr>
          <w:p w14:paraId="46E6563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 GĦALL-AMMONT TAL-ISKOPERTURA PPEŻAAT GĦAR-RISKJU DOVUT GĦAL DISKREPANZI FIL-MATURITÀ</w:t>
            </w:r>
          </w:p>
          <w:p w14:paraId="0D85BCB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5EA69EA3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Diskrepanzi fil-maturità fit-titolizzazzjonijiet sintetiċi RW*-RW(SP), kif ikkalkolati f’konformità mal-Artikolu 252 tar-Regolament (UE) Nru 575/2013, għandhom jiġu inklużi ħlief fil-każ ta’ segmenti soġġetti għal ponderazzjoni tar-riskju ta’ 1 250 % meta l-ammont li għandu jiġi rapportat għandu jkun żero.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RW(SP) ma għandhomx ikunu inklużi biss l-ammonti tal-iskopertura ponderati għar-riskju rrapportati fil-kolonna 0650 iżda anki l-ammonti tal-iskopertura ponderati għar-riskju li jikkorrispondu għall-iskoperturi mqassmin mill-ġdid permezz ta’ flussi ’l barra f’formoli oħrajn.</w:t>
            </w:r>
          </w:p>
          <w:p w14:paraId="3920B659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</w:tc>
      </w:tr>
      <w:tr w:rsidR="00933ADA" w:rsidRPr="002A677E" w14:paraId="3F9D7418" w14:textId="77777777" w:rsidTr="00822842">
        <w:tc>
          <w:tcPr>
            <w:tcW w:w="1568" w:type="dxa"/>
          </w:tcPr>
          <w:p w14:paraId="1DCD0D50" w14:textId="77777777" w:rsidR="00933ADA" w:rsidRPr="002A677E" w:rsidDel="002122FF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0880</w:t>
            </w:r>
          </w:p>
        </w:tc>
        <w:tc>
          <w:tcPr>
            <w:tcW w:w="7436" w:type="dxa"/>
          </w:tcPr>
          <w:p w14:paraId="5E84660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EFFETT KUMPLESSIV (AĠĠUSTAMENT) DOVUT GĦAL KSUR TAL-KAPITOLU 2 TAR-REGOLAMENT (UE) 2017/2402</w:t>
            </w:r>
            <w:r w:rsidRPr="002A677E">
              <w:rPr>
                <w:rStyle w:val="FootnoteReference"/>
                <w:rFonts w:ascii="Times New Roman" w:hAnsi="Times New Roman"/>
                <w:sz w:val="24"/>
                <w:vertAlign w:val="superscript"/>
                <w:lang w:eastAsia="es-ES_tradnl"/>
              </w:rPr>
              <w:footnoteReference w:id="1"/>
            </w:r>
          </w:p>
          <w:p w14:paraId="184A8AE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EBEDB5C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eastAsia="Arial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270a tar-Regolament (UE) Nru 575/2013, kull meta ċerti rekwiżiti ma jiġux issodisfati mill-istituzzjoni, l-awtoritajiet kompetenti għandhom jimponu ponderazzjoni tar-riskju addizzjonali proporzjonat ta’ mhux inqas minn 250 % tal-ponderazzjoni tar-riskju (limitata għal 1 250 %) li tkun tapplika għall-pożizzjonijiet ta’ titolizzazzjoni rilevanti taħt il-Parti Tlieta, it-Titolu II, il-Kapitolu 5, it-Taqsima 3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AF261C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78A5CFE" w14:textId="77777777" w:rsidTr="00822842">
        <w:tc>
          <w:tcPr>
            <w:tcW w:w="1568" w:type="dxa"/>
          </w:tcPr>
          <w:p w14:paraId="167B991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0890– 0920</w:t>
            </w:r>
          </w:p>
        </w:tc>
        <w:tc>
          <w:tcPr>
            <w:tcW w:w="7436" w:type="dxa"/>
          </w:tcPr>
          <w:p w14:paraId="1EAD793A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L-AMMONT TOTALI TAL-ISKOPERTURA PONDERAT GĦAR-RISKJU</w:t>
            </w:r>
          </w:p>
          <w:p w14:paraId="00106670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0368B4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skoperturi ponderati għar-riskju kkalkolati f’konformità mat-Taqsima 3 tal-Parti Tlieta, Titolu II, Kapitolu 5 tar-Regolament (UE) 575/2013,</w:t>
            </w:r>
          </w:p>
        </w:tc>
      </w:tr>
      <w:tr w:rsidR="00933ADA" w:rsidRPr="002A677E" w14:paraId="61F48837" w14:textId="77777777" w:rsidTr="00822842">
        <w:tc>
          <w:tcPr>
            <w:tcW w:w="1568" w:type="dxa"/>
          </w:tcPr>
          <w:p w14:paraId="321E4BD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0890</w:t>
            </w:r>
          </w:p>
        </w:tc>
        <w:tc>
          <w:tcPr>
            <w:tcW w:w="7436" w:type="dxa"/>
          </w:tcPr>
          <w:p w14:paraId="4F5151E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QABEL IL-LIMITU</w:t>
            </w:r>
          </w:p>
          <w:p w14:paraId="7DBF821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36EE0279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eastAsia="Arial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ponderat għar-riskju kkalkulat f’konformità mal-Parti Tlieta, it-Titolu II, il-Kapitolu 5, it-Taqsima 3 tar-Regolament (UE) Nru 575/2013, qabel ma jiġu applikati l-limiti speċifikati fl-Artikoli 267 u 268 ta’ dak ir-Regolament jew fil-każ ta’ titolizzazzjonijiet NPE tradizzjonali kwalifikanti qabel ma jiġi applikat l-Artikolu 269a tar-Regolament (UE) Nru 575/2013.</w:t>
            </w:r>
          </w:p>
          <w:p w14:paraId="63E1A14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62A600A7" w14:textId="77777777" w:rsidTr="00822842">
        <w:tc>
          <w:tcPr>
            <w:tcW w:w="1568" w:type="dxa"/>
          </w:tcPr>
          <w:p w14:paraId="7D1A900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7436" w:type="dxa"/>
          </w:tcPr>
          <w:p w14:paraId="7F13510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TAL-PIŻ TAR-RISKJU</w:t>
            </w:r>
          </w:p>
          <w:p w14:paraId="23184B4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60D3650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267 tar-Regolament (UE) Nru 575/2013, istituzzjoni li jkollha għarfien f’kull ħin tal-kompożizzjoni tal-iskoperturi sottostanti tista’ tassenja lill-pożizzjoni ta’ titolizzazzjoni superjuri ponderazzjoni tar-riskju massima ugwali għall-iskopertura tal-ponderazzjoni tar-riskju medja ponderata skont l-iskopertura li jkun applikabbli għall-iskoperturi sottostanti, daqslikieku l-iskoperturi sottostanti ma jkunux ġew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titolizzazzjonijiet NPE tradizzjonali kwalifikanti, għandu jiġi applikat l-Artikolu 269a tar-Regolament (UE) Nru 575/2013, u b’mod partikolari l-paragrafi (6) u (7) tiegħu.</w:t>
            </w:r>
          </w:p>
          <w:p w14:paraId="73E9927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969A132" w14:textId="77777777" w:rsidTr="00822842">
        <w:tc>
          <w:tcPr>
            <w:tcW w:w="1568" w:type="dxa"/>
          </w:tcPr>
          <w:p w14:paraId="157403E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0910</w:t>
            </w:r>
          </w:p>
        </w:tc>
        <w:tc>
          <w:tcPr>
            <w:tcW w:w="7436" w:type="dxa"/>
          </w:tcPr>
          <w:p w14:paraId="1EC56FD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ĠENERALI</w:t>
            </w:r>
          </w:p>
          <w:p w14:paraId="1761095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0B00DD9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268 tar-Regolament (UE) Nru 575/2013, istituzzjoni oriġinatriċi, istituzzjoni sponsor jew istituzzjoni oħra li tuża s-SEC-IRBA, jew istituzzjoni oriġinatriċi jew istituzzjoni sponsor li tuża s-SEC-SA jew is-SEC-ERBA tista’ tapplika rekwiżit kapitali massimu għall-pożizzjoni ta’ titolizzazzjoni li hija tħaddan li jkun ugwali għar-rekwiżiti kapitali li jiġu kkalkolati skont il-Parti Tlieta, it-Titolu II il-Kapitolu 2 jew 3 tar-Regolament (UE) Nru 575/2013 fir-rigward tal-iskoperturi sottostanti daqslikieku ma ġewx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titolizzazzjonijiet NPE tradizzjonali kwalifikanti, għandu jiġi applikat l-Artikolu 269a tar-Regolament (UE) Nru 575/2013, u b’mod partikolari l-paragrafi (5) u (7) tiegħu.</w:t>
            </w:r>
          </w:p>
          <w:p w14:paraId="7D0FFCF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147F97C" w14:textId="77777777" w:rsidTr="00822842">
        <w:tc>
          <w:tcPr>
            <w:tcW w:w="1568" w:type="dxa"/>
          </w:tcPr>
          <w:p w14:paraId="1459E96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0920</w:t>
            </w:r>
          </w:p>
        </w:tc>
        <w:tc>
          <w:tcPr>
            <w:tcW w:w="7436" w:type="dxa"/>
          </w:tcPr>
          <w:p w14:paraId="585B35D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L-AMMONT TOTALI TAL-ISKOPERTURA PONDERAT GĦAR-RISKJU</w:t>
            </w:r>
          </w:p>
          <w:p w14:paraId="3E2E09E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73F63C7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ponderat għar-riskju kkalkolat f’konformità mal-Parti Tlieta, it-Titolu II, il-Kapitolu 5, it-Taqsima 3 tar-Regolament (UE) Nru 575/2013, b’kunsiderazzjoni tal-ponderazzjoni tar-riskju totali kif speċifikat fl-Artikolu 247(6) ta’ dak ir-Regolament.</w:t>
            </w:r>
          </w:p>
          <w:p w14:paraId="25E36FE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50D22CEB" w14:textId="77777777" w:rsidTr="00822842">
        <w:tc>
          <w:tcPr>
            <w:tcW w:w="1568" w:type="dxa"/>
          </w:tcPr>
          <w:p w14:paraId="613ACF5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0921– 0924</w:t>
            </w:r>
          </w:p>
        </w:tc>
        <w:tc>
          <w:tcPr>
            <w:tcW w:w="7436" w:type="dxa"/>
          </w:tcPr>
          <w:p w14:paraId="2831B093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MINIMU TAL-OUTPUT S-TREA</w:t>
            </w:r>
          </w:p>
          <w:p w14:paraId="154FBB11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EC82F7A" w14:textId="50378244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t xml:space="preserve">Għall-istituzzjonijiet soġġetti għall-minimu tal-output skont l-Artikolu 92(3) tar-Regolament (UE) Nru 575/2013, l-ammont totali standardizzat tal-iskopertura għar-riskju (S-TREA) ikkalkolat f’konformità mal-Artikolu 92(5).</w:t>
            </w:r>
          </w:p>
        </w:tc>
      </w:tr>
      <w:tr w:rsidR="00933ADA" w:rsidRPr="002A677E" w14:paraId="42F0D821" w14:textId="77777777" w:rsidTr="00822842">
        <w:tc>
          <w:tcPr>
            <w:tcW w:w="1568" w:type="dxa"/>
          </w:tcPr>
          <w:p w14:paraId="2A1205C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0921</w:t>
            </w:r>
          </w:p>
        </w:tc>
        <w:tc>
          <w:tcPr>
            <w:tcW w:w="7436" w:type="dxa"/>
          </w:tcPr>
          <w:p w14:paraId="10750F18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QABEL IL-LIMITU</w:t>
            </w:r>
          </w:p>
          <w:p w14:paraId="75D0D718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DEE8853" w14:textId="251840D8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S-TREA qabel ma jiġu applikati l-limiti speċifikati fl-Artikoli 267 u 268 ta’ dak ir-Regolament jew fil-każ ta’ titolizzazzjonijiet NPE tradizzjonali kwalifikanti qabel ma jiġi applikat l-Artikolu 269a tar-Regolament (UE) Nru 575/2013.</w:t>
            </w:r>
          </w:p>
        </w:tc>
      </w:tr>
      <w:tr w:rsidR="00933ADA" w:rsidRPr="002A677E" w14:paraId="04DE4C89" w14:textId="77777777" w:rsidTr="00822842">
        <w:tc>
          <w:tcPr>
            <w:tcW w:w="1568" w:type="dxa"/>
          </w:tcPr>
          <w:p w14:paraId="2CA04D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0922</w:t>
            </w:r>
          </w:p>
        </w:tc>
        <w:tc>
          <w:tcPr>
            <w:tcW w:w="7436" w:type="dxa"/>
          </w:tcPr>
          <w:p w14:paraId="1CBB5DA7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TAL-PIŻ TAR-RISKJU</w:t>
            </w:r>
          </w:p>
          <w:p w14:paraId="5B049CC5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Cs/>
                <w:sz w:val="24"/>
              </w:rPr>
            </w:pPr>
          </w:p>
          <w:p w14:paraId="5AFF07E2" w14:textId="7600F8D0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ta’ S-TREA minħabba l-limitu massimu tal-piż tar-riskju f’konformità mal-Artikolu 267 tar-Regolament (UE) Nru 575/2013, u l-Artikolu 269a tar-Regolament (UE) Nru 575/2013, u b’mod partikolari l-paragrafi (6) u (7) tiegħu.</w:t>
            </w:r>
          </w:p>
        </w:tc>
      </w:tr>
      <w:tr w:rsidR="00933ADA" w:rsidRPr="002A677E" w14:paraId="1980758E" w14:textId="77777777" w:rsidTr="00822842">
        <w:tc>
          <w:tcPr>
            <w:tcW w:w="1568" w:type="dxa"/>
          </w:tcPr>
          <w:p w14:paraId="5F2AD8A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0923</w:t>
            </w:r>
          </w:p>
        </w:tc>
        <w:tc>
          <w:tcPr>
            <w:tcW w:w="7436" w:type="dxa"/>
          </w:tcPr>
          <w:p w14:paraId="09C6FB1B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ĠENERALI</w:t>
            </w:r>
          </w:p>
          <w:p w14:paraId="319BEC43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Cs/>
                <w:sz w:val="24"/>
              </w:rPr>
            </w:pPr>
          </w:p>
          <w:p w14:paraId="7C385E24" w14:textId="7733C26B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ta’ S-TREA minħabba l-limitu ġenerali f’konformità mal-Artikolu 268 tar-Regolament (UE) Nru 575/2013, u l-Artikolu 269a tar-Regolament (UE) Nru 575/2013, u b’mod partikolari l-paragrafi (5) u (7) tiegħu.</w:t>
            </w:r>
          </w:p>
        </w:tc>
      </w:tr>
      <w:tr w:rsidR="00933ADA" w:rsidRPr="002A677E" w14:paraId="31D7B878" w14:textId="77777777" w:rsidTr="00822842">
        <w:tc>
          <w:tcPr>
            <w:tcW w:w="1568" w:type="dxa"/>
          </w:tcPr>
          <w:p w14:paraId="702A806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0924</w:t>
            </w:r>
          </w:p>
        </w:tc>
        <w:tc>
          <w:tcPr>
            <w:tcW w:w="7436" w:type="dxa"/>
          </w:tcPr>
          <w:p w14:paraId="298CFBFC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WARA L-LIMITU</w:t>
            </w:r>
          </w:p>
          <w:p w14:paraId="20ABC319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Cs/>
                <w:sz w:val="24"/>
              </w:rPr>
            </w:pPr>
          </w:p>
          <w:p w14:paraId="555ED329" w14:textId="792C33D6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S-TREA wara l-limitu massimu ġenerali.</w:t>
            </w:r>
          </w:p>
        </w:tc>
      </w:tr>
      <w:tr w:rsidR="00933ADA" w:rsidRPr="002A677E" w14:paraId="6B58AAF6" w14:textId="77777777" w:rsidTr="00822842">
        <w:tc>
          <w:tcPr>
            <w:tcW w:w="1568" w:type="dxa"/>
          </w:tcPr>
          <w:p w14:paraId="3BCC8EA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0930– 0960</w:t>
            </w:r>
          </w:p>
        </w:tc>
        <w:tc>
          <w:tcPr>
            <w:tcW w:w="7436" w:type="dxa"/>
          </w:tcPr>
          <w:p w14:paraId="3188E22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TA’ MEMORANDUM</w:t>
            </w:r>
          </w:p>
        </w:tc>
      </w:tr>
      <w:tr w:rsidR="00933ADA" w:rsidRPr="002A677E" w14:paraId="622C67B1" w14:textId="77777777" w:rsidTr="00822842">
        <w:tc>
          <w:tcPr>
            <w:tcW w:w="1568" w:type="dxa"/>
          </w:tcPr>
          <w:p w14:paraId="43A3936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0930</w:t>
            </w:r>
          </w:p>
        </w:tc>
        <w:tc>
          <w:tcPr>
            <w:tcW w:w="7436" w:type="dxa"/>
          </w:tcPr>
          <w:p w14:paraId="755BCAB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LI JIKKORRISPONDI GĦALL-FLUSSI ’L BARRA MIT-TITOLIZZAZZJONIJIET GĦAL KLASSIJIET OĦRA TA’ SKOPERTURA</w:t>
            </w:r>
          </w:p>
          <w:p w14:paraId="5D7D7E1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25B127F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li ġej mill-iskoperturi mqassmin mill-ġdid lill-fornitur tal-mitigant tar-riskju, u għaldaqstant ikkalkolati fil-formola korrispondenti, li jiġu kkunsidrati fil-kalkolu tal-limitu massimu għall-pożizzjonijiet ta’ titolizzazzjoni.</w:t>
            </w:r>
          </w:p>
          <w:p w14:paraId="6AE1595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5119BFF3" w14:textId="77777777" w:rsidTr="00822842">
        <w:tc>
          <w:tcPr>
            <w:tcW w:w="1568" w:type="dxa"/>
          </w:tcPr>
          <w:p w14:paraId="5C92E77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0940– 0960</w:t>
            </w:r>
          </w:p>
        </w:tc>
        <w:tc>
          <w:tcPr>
            <w:tcW w:w="7436" w:type="dxa"/>
          </w:tcPr>
          <w:p w14:paraId="0AC684DE" w14:textId="0851C746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MINIMU TAL-OUTPUT;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RWEA RELATAT MAL-IMPATT TAL-APPLIKAZZJONI TAL-ARTIKOLU 465(7) TAR-REGOLAMENT (UE) NRU 575/2013</w:t>
            </w:r>
          </w:p>
          <w:p w14:paraId="7CE3FACF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bejn l-ammont ta’ RWEA mingħajr l-applikazzjoni tad-dispożizzjonijiet tranżizzjonali u l-ammont ta’ RWEA bl-applikazzjoni tad-dispożizzjonijiet tranżizzjonali għandu jiġi rrapportat għal kull wieħed mit-tliet approċċi: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SEC-IRBA, approċċ ta’ valutazzjoni interna u trattament speċifiku ta’ segmenti superjuri f’titolizzazzjonijiet SPE kwalifikanti.</w:t>
            </w:r>
          </w:p>
        </w:tc>
      </w:tr>
    </w:tbl>
    <w:p w14:paraId="63E5A4B7" w14:textId="77777777" w:rsidR="00933ADA" w:rsidRPr="002A677E" w:rsidRDefault="00933ADA" w:rsidP="00933ADA">
      <w:pPr>
        <w:spacing w:before="0" w:after="0"/>
        <w:rPr>
          <w:rFonts w:ascii="Times New Roman" w:hAnsi="Times New Roman"/>
          <w:sz w:val="24"/>
        </w:rPr>
      </w:pPr>
    </w:p>
    <w:p w14:paraId="7BECFFB5" w14:textId="77777777" w:rsidR="00933ADA" w:rsidRPr="002A677E" w:rsidRDefault="00933ADA" w:rsidP="00933ADA">
      <w:pPr>
        <w:spacing w:before="0" w:after="0"/>
        <w:rPr>
          <w:rFonts w:ascii="Times New Roman" w:hAnsi="Times New Roman"/>
          <w:sz w:val="24"/>
        </w:rPr>
      </w:pPr>
    </w:p>
    <w:p w14:paraId="4E1AACED" w14:textId="1F5ECF58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109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hija maqsuma fi tliet blokok ewlenin li jiġbru data dwar l-iskoperturi oriġinati / sponsorjati / miżmumin jew mixtrijin minn oriġinaturi, investituri jew sponsors.</w:t>
      </w:r>
      <w:r>
        <w:t xml:space="preserve"> </w:t>
      </w:r>
      <w:r>
        <w:t xml:space="preserve">Għal kull waħda minnhom, l-informazzjoni għandha tkun diżaggregata skont entrati tal-karta bilanċjali u entrati barra l-karta bilanċjali u derivattivi, kif ukoll jekk tkun soġġetta għal trattament kapitali differenzjat jew le.</w:t>
      </w:r>
    </w:p>
    <w:p w14:paraId="7068E8C5" w14:textId="2E029D1E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110</w:t>
      </w:r>
      <w:r>
        <w:fldChar w:fldCharType="end"/>
      </w:r>
      <w:r>
        <w:t xml:space="preserve">.</w:t>
      </w:r>
      <w:r>
        <w:t xml:space="preserve"> </w:t>
      </w:r>
      <w:r>
        <w:t xml:space="preserve">Pożizzjonijiet trattati skont SEC-ERBA u pożizzjonijiet mhux klassifikati (skopertura fid-data tar-rapportar) għandhom ikunu diżaggregati skont l-iskali tal-kwalità kreditizja applikati fit-tnedija (l-aħħar blokka ta’ ringieli).</w:t>
      </w:r>
      <w:r>
        <w:t xml:space="preserve"> </w:t>
      </w:r>
      <w:r>
        <w:t xml:space="preserve">L-oriġinaturi, l-isponsors kif ukoll l-investituri għandhom jirrapportaw din l-informazzjoni.</w:t>
      </w:r>
    </w:p>
    <w:p w14:paraId="03B6C442" w14:textId="77777777" w:rsidR="00933ADA" w:rsidRPr="002A677E" w:rsidRDefault="00933ADA" w:rsidP="00933ADA">
      <w:pPr>
        <w:spacing w:before="0" w:after="0"/>
        <w:rPr>
          <w:rFonts w:ascii="Times New Roman" w:hAnsi="Times New Roman"/>
          <w:sz w:val="24"/>
          <w:lang w:eastAsia="de-DE"/>
        </w:rPr>
      </w:pP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7889"/>
      </w:tblGrid>
      <w:tr w:rsidR="00933ADA" w:rsidRPr="002A677E" w14:paraId="7EB1B7AA" w14:textId="77777777" w:rsidTr="00822842">
        <w:tc>
          <w:tcPr>
            <w:tcW w:w="9145" w:type="dxa"/>
            <w:gridSpan w:val="2"/>
            <w:shd w:val="clear" w:color="auto" w:fill="CCCCCC"/>
          </w:tcPr>
          <w:p w14:paraId="1593C0A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6053056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  <w:p w14:paraId="6C045EB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3A805BA9" w14:textId="77777777" w:rsidTr="00822842">
        <w:tc>
          <w:tcPr>
            <w:tcW w:w="1256" w:type="dxa"/>
          </w:tcPr>
          <w:p w14:paraId="02DFEF4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89" w:type="dxa"/>
          </w:tcPr>
          <w:p w14:paraId="63EADC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42AF03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3E4DE5E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totali jirreferu għall-ammont totali ta’ titolizzazzjonijiet u titolizzazzjonijiet pendenti.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ir-ringiela tiġbor fil-qosor l-informazzjoni kollha rrapportata mill-oriġinaturi, l-isponsors u l-investituri fir-ringieli sussegwenti.</w:t>
            </w:r>
          </w:p>
          <w:p w14:paraId="4D791DF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933ADA" w:rsidRPr="002A677E" w14:paraId="2D97E5BC" w14:textId="77777777" w:rsidTr="00822842">
        <w:tc>
          <w:tcPr>
            <w:tcW w:w="1256" w:type="dxa"/>
          </w:tcPr>
          <w:p w14:paraId="694939A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89" w:type="dxa"/>
          </w:tcPr>
          <w:p w14:paraId="3936DFD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</w:t>
            </w:r>
          </w:p>
          <w:p w14:paraId="093713B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20FBA1E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totali ta’ pożizzjonijiet ta’ titolizzazzjoni pendenti, kif definit fl-Artikolu 4(1), il-punt (62) tar-Regolament (UE) Nru 575/2013, li mhumiex titolizzazzjonijiet kif definit fl-Artikolu 4(1), il-punt (63) tar-Regolament (UE) Nru 575/2013.</w:t>
            </w:r>
          </w:p>
          <w:p w14:paraId="707E0522" w14:textId="77777777" w:rsidR="00933ADA" w:rsidRPr="002A677E" w:rsidDel="002866DB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070FEF50" w14:textId="77777777" w:rsidTr="00822842">
        <w:tc>
          <w:tcPr>
            <w:tcW w:w="1256" w:type="dxa"/>
          </w:tcPr>
          <w:p w14:paraId="375524D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89" w:type="dxa"/>
          </w:tcPr>
          <w:p w14:paraId="5873AA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JIKKWALIFIKAW GĦAL TRATTAMENT KAPITALI DIFFERENZJAT</w:t>
            </w:r>
          </w:p>
          <w:p w14:paraId="6871C10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6F0735C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jissodisfaw il-kriterji tal-Artikolu 243, 270 jew 494c tar-Regolament (UE) 575/2013 u għaldaqstant jikkwalifikaw għal trattament kapitali differenzjat.</w:t>
            </w:r>
          </w:p>
          <w:p w14:paraId="02A8213E" w14:textId="77777777" w:rsidR="00933ADA" w:rsidRPr="002A677E" w:rsidDel="002866DB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43458ECF" w14:textId="77777777" w:rsidTr="00822842">
        <w:tc>
          <w:tcPr>
            <w:tcW w:w="1256" w:type="dxa"/>
          </w:tcPr>
          <w:p w14:paraId="095C94D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89" w:type="dxa"/>
          </w:tcPr>
          <w:p w14:paraId="3FC72FE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F’TITOLIZZAZZJONIJIET TRADIZZJONALI STS ABCP U MHUX ABCP</w:t>
            </w:r>
          </w:p>
          <w:p w14:paraId="57865F4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tal-pożizzjonijiet ta’ titolizzazzjoni tal-STS li jissodisfaw ir-rekwiżiti stabbiliti fl-Artikolu 243 tar-Regolament (UE) Nru 575/2013.</w:t>
            </w:r>
          </w:p>
          <w:p w14:paraId="59022B57" w14:textId="77777777" w:rsidR="00933ADA" w:rsidRPr="002A677E" w:rsidDel="002866DB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29333EDE" w14:textId="77777777" w:rsidTr="00822842">
        <w:tc>
          <w:tcPr>
            <w:tcW w:w="1256" w:type="dxa"/>
          </w:tcPr>
          <w:p w14:paraId="5E846BB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89" w:type="dxa"/>
          </w:tcPr>
          <w:p w14:paraId="1926625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 PRIJORITARJA ANTERJORATA FIT-TITOLIZZAZZJONIJIET SINTETIĊI TAL-SMEs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097894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007A7BA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tal-pożizzjonijiet ta’ titolizzazzjoni tal-STS li jissodisfaw ir-rekwiżiti stabbiliti fl-Artikolu 494c tar-Regolament (UE) Nru 575/2013.</w:t>
            </w:r>
          </w:p>
          <w:p w14:paraId="75E6901A" w14:textId="77777777" w:rsidR="00933ADA" w:rsidRPr="002A677E" w:rsidDel="002866DB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2524B80C" w14:textId="77777777" w:rsidTr="00822842">
        <w:tc>
          <w:tcPr>
            <w:tcW w:w="1256" w:type="dxa"/>
          </w:tcPr>
          <w:p w14:paraId="2DFF8E9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0051</w:t>
            </w:r>
          </w:p>
        </w:tc>
        <w:tc>
          <w:tcPr>
            <w:tcW w:w="7889" w:type="dxa"/>
          </w:tcPr>
          <w:p w14:paraId="400EC6D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SUPERJURI F’TITOLIZZAZZJONIJIET STS FIL-KARTA BILANĊJALI</w:t>
            </w:r>
          </w:p>
          <w:p w14:paraId="11EF33F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20A89ED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tal-pożizzjonijiet ta’ titolizzazzjoni superjuri tal-STS fil-karta bilanċjali li jissodisfaw il-kundizzjonijiet stabbiliti fl-Artikolu 270 tar-Regolament (UE) Nru 575/2013.</w:t>
            </w:r>
          </w:p>
          <w:p w14:paraId="7FE23C0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45A9C5AA" w14:textId="77777777" w:rsidTr="00822842">
        <w:tc>
          <w:tcPr>
            <w:tcW w:w="1256" w:type="dxa"/>
          </w:tcPr>
          <w:p w14:paraId="0CB57B8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0060, 0120, 0170, 0240, 0290, 0360 u 0410</w:t>
            </w:r>
          </w:p>
        </w:tc>
        <w:tc>
          <w:tcPr>
            <w:tcW w:w="7889" w:type="dxa"/>
          </w:tcPr>
          <w:p w14:paraId="294FC0D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TITOLIZZAZZJONIJIET LI MA JIKKWALIFIKAWX GĦAL TRATTAMENT KAPITALI DIFFERENZJAT</w:t>
            </w:r>
          </w:p>
          <w:p w14:paraId="73A665D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519E434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254, il-paragrafi 1, 4, 5 u 6 u l-Artikoli 259, 261, 263, 265, 266 u 269 tar-Regolament (UE) Nru 575/2013</w:t>
            </w:r>
          </w:p>
          <w:p w14:paraId="3F88920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557D59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ma jikkwalifikawx għal trattament kapitali differenzjat.</w:t>
            </w:r>
          </w:p>
        </w:tc>
      </w:tr>
      <w:tr w:rsidR="00933ADA" w:rsidRPr="002A677E" w14:paraId="65FB71DD" w14:textId="77777777" w:rsidTr="00822842">
        <w:tc>
          <w:tcPr>
            <w:tcW w:w="1256" w:type="dxa"/>
          </w:tcPr>
          <w:p w14:paraId="1D10F36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0070, 0190, 0310 u 0430</w:t>
            </w:r>
          </w:p>
        </w:tc>
        <w:tc>
          <w:tcPr>
            <w:tcW w:w="7889" w:type="dxa"/>
          </w:tcPr>
          <w:p w14:paraId="2E57B9A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RITITOLIZZAZZJONI</w:t>
            </w:r>
          </w:p>
          <w:p w14:paraId="7679E45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3D3A42B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rititolizzazzjoni pendenti kif definit fl-Artikolu 4(1), il-punt (64), tar-Regolament (UE) 575/2013.</w:t>
            </w:r>
          </w:p>
          <w:p w14:paraId="7F1F11D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4EDE8D59" w14:textId="77777777" w:rsidTr="00822842">
        <w:tc>
          <w:tcPr>
            <w:tcW w:w="1256" w:type="dxa"/>
          </w:tcPr>
          <w:p w14:paraId="7A4C1DB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89" w:type="dxa"/>
          </w:tcPr>
          <w:p w14:paraId="551C43E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ORIĠINATUR: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864DF4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0D6D77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tiġbor fil-qosor l-informazzjoni fuq l-entrati fil-karta bilanċjali u l-entrati u d-derivattivi li ma jidhrux fil-karta bilanċjali ta’ dawk il-pożizzjonijiet ta’ titolizzazzjoni u rititolizzazzjoni li għalihom l-istituzzjoni għandha r-rwol ta’ oriġinatur, kif definit fl-Artikolu 4(1), il-punt (13) tar-Regolament (UE) Nru 575/2013.</w:t>
            </w:r>
          </w:p>
          <w:p w14:paraId="1D1522A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933ADA" w:rsidRPr="002A677E" w14:paraId="2DCC0EC8" w14:textId="77777777" w:rsidTr="00822842">
        <w:tc>
          <w:tcPr>
            <w:tcW w:w="1256" w:type="dxa"/>
          </w:tcPr>
          <w:p w14:paraId="4AE169C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0090-0136, 0210-0250 u 0330-0370</w:t>
            </w:r>
          </w:p>
        </w:tc>
        <w:tc>
          <w:tcPr>
            <w:tcW w:w="7889" w:type="dxa"/>
          </w:tcPr>
          <w:p w14:paraId="44A38D9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FIL-KARTA BILANĊJALI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17CEB8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40652B1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248(1), il-punt (a) tar-Regolament (UE) Nru 575/2013, il-valur tal-iskopertura ta’ pożizzjoni ta’ titolizzazzjoni fil-karta bilanċjali għandu jkun il-valur kontabilistiku tagħha li jifdal wara li jkun ġie applikat kwalunkwe aġġustament tar-riskju ta’ kreditu rilevanti fuq il-pożizzjoni ta’ titolizzazzjoni f’konformità mal-Artikolu 110 tar-Regolament (UE) Nru 575/2013.</w:t>
            </w:r>
          </w:p>
          <w:p w14:paraId="04329A9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fil-karta bilanċjali għandhom ikunu diżaggregati sabiex tinkiseb informazzjoni dwar l-applikazzjoni ta’ trattament tal-kapital differenzjat, kif imsemmi fl-Artikolu 243 tar-Regolament (UE) Nru 575/2013, fir-ringieli 0100 u 0120 u fuq l-ammont totali ta’ pożizzjonijiet ta’ titolizzazzjoni superjuri, kif definit fl-Artikolu 242(6) ta’ dak ir-Regolament, fir-ringieli 0110 u 0130.</w:t>
            </w:r>
          </w:p>
          <w:p w14:paraId="2460B9F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746F0067" w14:textId="77777777" w:rsidTr="00822842">
        <w:tc>
          <w:tcPr>
            <w:tcW w:w="1256" w:type="dxa"/>
          </w:tcPr>
          <w:p w14:paraId="085FC96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0100, 0220 u 0340</w:t>
            </w:r>
          </w:p>
        </w:tc>
        <w:tc>
          <w:tcPr>
            <w:tcW w:w="7889" w:type="dxa"/>
          </w:tcPr>
          <w:p w14:paraId="5DBE377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JIKKWALIFIKAW GĦAL TRATTAMENT KAPITALI DIFFERENZJAT</w:t>
            </w:r>
          </w:p>
          <w:p w14:paraId="656332F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29A6F9E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jissodisfaw il-kriterji tal-Artikolu 243 tar-Regolament (UE) 575/2013 u għaldaqstant jikkwalifikaw għal trattament tal-kapital differenzjat.</w:t>
            </w:r>
          </w:p>
          <w:p w14:paraId="05CF154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197206C8" w14:textId="77777777" w:rsidTr="00822842">
        <w:tc>
          <w:tcPr>
            <w:tcW w:w="1256" w:type="dxa"/>
          </w:tcPr>
          <w:p w14:paraId="616F6C8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0110, 0131, 0134, 0160, 0180, 0230, 0251, 0254, 0280, 0300, 0350, 0371, 0374 0400 u 0420</w:t>
            </w:r>
          </w:p>
        </w:tc>
        <w:tc>
          <w:tcPr>
            <w:tcW w:w="7889" w:type="dxa"/>
          </w:tcPr>
          <w:p w14:paraId="0AA41DE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PRIJORITARJI</w:t>
            </w:r>
          </w:p>
          <w:p w14:paraId="551B5DF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15EF9D2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superjuri kif definit fl-Artikolu 242(6) tar-Regolament (UE) 575/2013.</w:t>
            </w:r>
          </w:p>
          <w:p w14:paraId="246D8AC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48601E35" w14:textId="77777777" w:rsidTr="00822842">
        <w:tc>
          <w:tcPr>
            <w:tcW w:w="1256" w:type="dxa"/>
          </w:tcPr>
          <w:p w14:paraId="467ADE4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0121, 0241 u 0361</w:t>
            </w:r>
          </w:p>
        </w:tc>
        <w:tc>
          <w:tcPr>
            <w:tcW w:w="7889" w:type="dxa"/>
          </w:tcPr>
          <w:p w14:paraId="72AD34E8" w14:textId="77777777" w:rsidR="00933ADA" w:rsidRPr="001235ED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F’TITOLIZZAZZJONIJIET MHUX NPE</w:t>
            </w:r>
          </w:p>
          <w:p w14:paraId="79D3AB8D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869496B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tal-pożizzjonijiet ta’ titolizzazzjoni tal-STS li ma jissodisfawx il-kundizzjonijiet stabbiliti fl-Artikolu 269a (1), il-punt (a) tar-Regolament (UE) Nru 575/2013.</w:t>
            </w:r>
          </w:p>
          <w:p w14:paraId="0A3257D4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val="en-US" w:eastAsia="es-ES_tradnl"/>
              </w:rPr>
            </w:pPr>
          </w:p>
        </w:tc>
      </w:tr>
      <w:tr w:rsidR="00933ADA" w:rsidRPr="002A677E" w14:paraId="1618A5A4" w14:textId="77777777" w:rsidTr="00822842">
        <w:tc>
          <w:tcPr>
            <w:tcW w:w="1256" w:type="dxa"/>
          </w:tcPr>
          <w:p w14:paraId="2A73A7F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0133, 0253 u 0373</w:t>
            </w:r>
          </w:p>
        </w:tc>
        <w:tc>
          <w:tcPr>
            <w:tcW w:w="7889" w:type="dxa"/>
          </w:tcPr>
          <w:p w14:paraId="31FF072B" w14:textId="77777777" w:rsidR="00933ADA" w:rsidRPr="00CE797B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F’TITOLIZZAZZJONIJIET NPE</w:t>
            </w:r>
          </w:p>
          <w:p w14:paraId="1FC2DA0F" w14:textId="77777777" w:rsidR="00933ADA" w:rsidRPr="00CE797B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1134385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tal-iskoperturi li jissodisfaw il-kundizzjonijiet stabbiliti fl-Artikolu 269a (1), il-punt (a) tar-Regolament (UE) Nru 575/2013.</w:t>
            </w:r>
          </w:p>
          <w:p w14:paraId="1B61E847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6E5F731C" w14:textId="77777777" w:rsidTr="00822842">
        <w:tc>
          <w:tcPr>
            <w:tcW w:w="1256" w:type="dxa"/>
          </w:tcPr>
          <w:p w14:paraId="4A9740B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0134, 0254 u 0374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889" w:type="dxa"/>
          </w:tcPr>
          <w:p w14:paraId="279BB3C2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PRIJORITARJI F’TITOLIZZAZZJONIJIET NPE TRADIZZJONALI KWALIFIKANTI</w:t>
            </w:r>
          </w:p>
          <w:p w14:paraId="1B4BE12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490A9B65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tal-iskoperturi li jissodisfaw il-kundizzjonijiet stabbiliti fl-Artikolu 269a (1), il-punt (b) tar-Regolament (UE) Nru 575/2013.</w:t>
            </w:r>
          </w:p>
          <w:p w14:paraId="36F84AEF" w14:textId="77777777" w:rsidR="00933ADA" w:rsidRPr="001235ED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35C0C78C" w14:textId="77777777" w:rsidTr="00822842">
        <w:tc>
          <w:tcPr>
            <w:tcW w:w="1256" w:type="dxa"/>
          </w:tcPr>
          <w:p w14:paraId="5ECFF38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0135, 0255 u 0375</w:t>
            </w:r>
          </w:p>
        </w:tc>
        <w:tc>
          <w:tcPr>
            <w:tcW w:w="7889" w:type="dxa"/>
          </w:tcPr>
          <w:p w14:paraId="6ABE73B5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PRIJORITARJI F’TITOLIZZAZZJONIJIET NPE TRADIZZJONALI MHUX KWALIFIKANTI</w:t>
            </w:r>
          </w:p>
          <w:p w14:paraId="2769D5A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2236148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tal-iskoperturi li ma jissodisfawx il-kundizzjonijiet stabbiliti fl-Artikolu 269a (1), il-punt (b) tar-Regolament (UE) Nru 575/2013.</w:t>
            </w:r>
          </w:p>
          <w:p w14:paraId="0FBF377F" w14:textId="77777777" w:rsidR="00933ADA" w:rsidRPr="001235ED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val="en-US" w:eastAsia="es-ES_tradnl"/>
              </w:rPr>
            </w:pPr>
          </w:p>
        </w:tc>
      </w:tr>
      <w:tr w:rsidR="00933ADA" w:rsidRPr="002A677E" w14:paraId="0073E445" w14:textId="77777777" w:rsidTr="00822842">
        <w:tc>
          <w:tcPr>
            <w:tcW w:w="1256" w:type="dxa"/>
          </w:tcPr>
          <w:p w14:paraId="3FB4197B" w14:textId="77777777" w:rsidR="00933ADA" w:rsidRPr="002A677E" w:rsidDel="00031FA5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0136, 0256 u 0376</w:t>
            </w:r>
          </w:p>
        </w:tc>
        <w:tc>
          <w:tcPr>
            <w:tcW w:w="7889" w:type="dxa"/>
          </w:tcPr>
          <w:p w14:paraId="7B42526E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MHUX PRIJORITARJI F’TITOLIZZAZZJONIJIET NPE TRADIZZJONALI KWALIFIKANTI</w:t>
            </w:r>
          </w:p>
          <w:p w14:paraId="3A61427E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4040B16B" w14:textId="77777777" w:rsidR="00933ADA" w:rsidRPr="001235ED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skoperturi li jissodisfaw il-kundizzjonijiet stabbiliti fl-Artikolu 269a(1), il-punt (a) tar-Regolament (UE) Nru 575/2013 u li ma jissodisfawx il-kundizzjonijiet stabbiliti fl-Artikolu 269a(1), il-punt (b) tar-Regolament (UE) Nru 575/2013.</w:t>
            </w:r>
          </w:p>
          <w:p w14:paraId="0CE320F4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19C1FEAD" w14:textId="77777777" w:rsidTr="00822842">
        <w:tc>
          <w:tcPr>
            <w:tcW w:w="1256" w:type="dxa"/>
          </w:tcPr>
          <w:p w14:paraId="7908E44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0140-0180, 0260-0300 u 0380-0420</w:t>
            </w:r>
          </w:p>
        </w:tc>
        <w:tc>
          <w:tcPr>
            <w:tcW w:w="7889" w:type="dxa"/>
          </w:tcPr>
          <w:p w14:paraId="652BA236" w14:textId="77777777" w:rsidR="00933ADA" w:rsidRPr="002A677E" w:rsidRDefault="00933ADA" w:rsidP="00822842">
            <w:pPr>
              <w:spacing w:before="0" w:after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U DERIVATTIVI MHUX FIL-KARTA BILANĊJALI</w:t>
            </w:r>
          </w:p>
          <w:p w14:paraId="55FACC3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178D7E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ir-ringieli għandhom jiġbru informazzjoni dwar pożizzjonijiet ta’ titolizzazzjoni ta’ entrati barra l-karta bilanċjali u derivattivi soġġetti għal fattur ta’ konverżjoni skont il-qafas tat-titolizzazzjoni.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tal-iskopertura ta’ pożizzjoni ta’ titolizzazzjoni li ma tidhirx fil-karta bilanċjali għandu jkun il-valur nominali tagħha, nieqes kwalunkwe aġġustament speċifiku tar-riskju ta’ kreditu ta’ dik il-pożizzjoni ta’ titolizzazzjoni, immultiplikati b’fattur ta’ konverżjoni ta’ 100 % sakemm ma jkunx speċifikat mod ieħor.</w:t>
            </w:r>
          </w:p>
          <w:p w14:paraId="63FECFA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i/>
                <w:sz w:val="24"/>
              </w:rPr>
            </w:pPr>
          </w:p>
          <w:p w14:paraId="4170BEE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ta’ titolizzazzjoni barra l-karta bilanċjali li ġejjin minn strument derivattiv elenkat fl-Anness II tar-Regolament (UE) Nru 575/2013, għandhom jiġu determinati f’konformità mal-Parti Tlieta, it-Titolu II, il-Kapitolu 6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tal-iskopertura għar-riskju tal-kreditu tal-kontroparti ta’ strument derivattiv elenkat fl-Anness II tar-Regolament (UE) Nru 575/2013 għandu jiġi determinat f’konformità mal-Parti Tlieta, it-Titolu II, il-Kapitolu 6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D58E5E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678D9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Għall-faċilitajiet ta’ likwidità, il-faċilitajiet ta’ kreditu u l-flus bil-quddiem tas-servizzjant, l-istituzzjonijiet għandhom jipprovdu l-ammont mhux prelevat.</w:t>
            </w:r>
          </w:p>
          <w:p w14:paraId="1538783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268BA5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Għall-iswaps tar-rata ta’ mgħax u tal-valuti, għandu jiġi pprovdut il-valur tal-iskopertura (ikkalkolat f’konformità mal-Artikolu 248(1) tar-Regolament (UE) Nru 575/2013).</w:t>
            </w:r>
          </w:p>
          <w:p w14:paraId="76C04AD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A048B7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u derivattivi li ma jidhrux fil-karta bilanċjali għandhom ikunu diżaggregati sabiex tinkiseb informazzjoni dwar l-applikazzjoni ta’ trattament kapitali differenzjat, kif imsemmi fl-Artikolu 270 tar-Regolament (UE) Nru 575/2013, fir-ringieli 0150 u 0170 u fuq l-ammont totali ta’ pożizzjonijiet ta’ titolizzazzjoni superjuri, kif definit fl-Artikolu 242(6) tar-Regolament (UE) Nru 575/2013, fir-ringieli 0160 u 0180.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Għandhom japplikaw l-istess referenzi legali bħal fir-ringieli 0100 sa 0130.</w:t>
            </w:r>
          </w:p>
          <w:p w14:paraId="2B66972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503810EB" w14:textId="77777777" w:rsidTr="00822842">
        <w:tc>
          <w:tcPr>
            <w:tcW w:w="1256" w:type="dxa"/>
          </w:tcPr>
          <w:p w14:paraId="4253F33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0150, 0270 u 0390</w:t>
            </w:r>
          </w:p>
        </w:tc>
        <w:tc>
          <w:tcPr>
            <w:tcW w:w="7889" w:type="dxa"/>
          </w:tcPr>
          <w:p w14:paraId="29A6399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JIKKWALIFIKAW GĦAL TRATTAMENT KAPITALI DIFFERENZJAT</w:t>
            </w:r>
          </w:p>
          <w:p w14:paraId="68FBD03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1F707619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jissodisfaw il-kriterji tal-Artikolu 243 tar-Regolament (UE) 575/2013 jew, għall-oriġinaturi biss, l-Artikolu 270 jew l-Artikolu 494c tar-Regolament (UE) Nru 575/2013 u għaldaqstant jikkwalifikaw għal trattament tal-kapital differenzjat.</w:t>
            </w:r>
          </w:p>
          <w:p w14:paraId="386F70ED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264C17C1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6D92F3E1" w14:textId="77777777" w:rsidTr="00822842">
        <w:tc>
          <w:tcPr>
            <w:tcW w:w="1256" w:type="dxa"/>
          </w:tcPr>
          <w:p w14:paraId="11EDDDF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889" w:type="dxa"/>
          </w:tcPr>
          <w:p w14:paraId="6D6A0BD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INVESTITUR: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85574F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2175591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Din ir-ringiela tiġbor fil-qosor l-informazzjoni dwar l-entrati u d-derivattivi fil-karta bilanċjali u li ma jidhrux fil-karta bilanċjali ta’ dawk il-pożizzjonijiet ta’ titolizzazzjoni u </w:t>
            </w:r>
            <w:r>
              <w:rPr>
                <w:sz w:val="24"/>
                <w:rFonts w:ascii="Times New Roman" w:hAnsi="Times New Roman"/>
              </w:rPr>
              <w:t xml:space="preserve">rititolizzazzjoni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li għalihom l-istituzzjoni taqdi r-rwol ta’ investitur.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2DE778A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40CB2C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Għall-finijiet ta’ din il-formola, investitur għandu jinftiehem bħala istituzzjoni li għandha pożizzjoni ta’ titolizzazzjoni fi tranżazzjoni ta’ titolizzazzjoni li la hi l-oriġinatur u lanqas l-isponsor tagħha.</w:t>
            </w:r>
          </w:p>
          <w:p w14:paraId="1634404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  <w:tr w:rsidR="00933ADA" w:rsidRPr="002A677E" w14:paraId="5A564BA1" w14:textId="77777777" w:rsidTr="00822842">
        <w:tc>
          <w:tcPr>
            <w:tcW w:w="1256" w:type="dxa"/>
          </w:tcPr>
          <w:p w14:paraId="39A2E3E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0320</w:t>
            </w:r>
          </w:p>
        </w:tc>
        <w:tc>
          <w:tcPr>
            <w:tcW w:w="7889" w:type="dxa"/>
          </w:tcPr>
          <w:p w14:paraId="390D840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L-ISPONSOR: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690124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701B38E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tiġbor fil-qosor l-informazzjoni fuq l-entrati u d-derivattivi fil-karta bilanċjali u li ma jidhrux fil-karta bilanċjali ta’ dawk il-pożizzjonijiet ta’ titolizzazzjoni u rititolizzazzjoni li għalihom l-istituzzjoni għandha r-rwol ta’ sponsor, kif definit fl-Artikolu 4(1), il-punt (14)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sponsor ikun qiegħed jittitolizza l-assi tiegħu stess ukoll, huwa għandu jimla r-ringieli tal-oriġinatur bl-informazzjoni dwar l-assi titolizzati tiegħu stess.</w:t>
            </w:r>
          </w:p>
          <w:p w14:paraId="5F6254A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</w:tc>
      </w:tr>
      <w:tr w:rsidR="00933ADA" w:rsidRPr="002A677E" w14:paraId="39E5A54E" w14:textId="77777777" w:rsidTr="00822842">
        <w:tc>
          <w:tcPr>
            <w:tcW w:w="1256" w:type="dxa"/>
          </w:tcPr>
          <w:p w14:paraId="3BA04BD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0440– 0670</w:t>
            </w:r>
          </w:p>
        </w:tc>
        <w:tc>
          <w:tcPr>
            <w:tcW w:w="7889" w:type="dxa"/>
          </w:tcPr>
          <w:p w14:paraId="0F8A1D3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DIŻAGREGAZZJONI TAL-POŻIZZJONIJIET PENDENTI SKONT IS-CQS FIL-BIDU</w:t>
            </w:r>
          </w:p>
          <w:p w14:paraId="4090BED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  <w:p w14:paraId="0BF55C5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ir-ringieli jiġbru informazzjoni dwar pożizzjonijiet pendenti (fid-data tar-rapportar) li għalihom ġiet iddeterminata skala tal-kwalità kreditizja (kif stabbilit fl-Artikolu 263, it-Tabelli 1 u 2 u l-Artikolu 264, it-Tabelli 3 u 4 tar-Regolament (UE) Nru 575/2013) fid-data tal-oriġinazzjoni (bidu).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pożizzjonijiet ta’ titolizzazzjoni ttrattati skont l-IAA, is-CQS għandha tkun dik fiż-żmien meta tiġi assenjata l-ewwel klassifikazzjoni tal-IAA.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Fin-nuqqas ta’ din l-informazzjoni, għandha tkun irrapportata l-aktar data bikrija ekwivalenti għas-CQS għad-dispożizzjoni.</w:t>
            </w:r>
          </w:p>
          <w:p w14:paraId="5EE3B46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608D45A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ir-ringieli jiġu rapportati biss għall-kolonni 0180-0210, 0280, 0350-0640, 0700-0720, 0740, 0760-0830 u 0850.</w:t>
            </w:r>
          </w:p>
          <w:p w14:paraId="26B6479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  <w:lang w:eastAsia="es-ES_tradnl"/>
              </w:rPr>
            </w:pPr>
          </w:p>
        </w:tc>
      </w:tr>
    </w:tbl>
    <w:p w14:paraId="3A036A51" w14:textId="77777777" w:rsidR="00933ADA" w:rsidRPr="002A677E" w:rsidRDefault="00933ADA" w:rsidP="00933ADA">
      <w:pPr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sz w:val="24"/>
          <w:lang w:eastAsia="es-ES_tradnl"/>
        </w:rPr>
      </w:pPr>
    </w:p>
    <w:p w14:paraId="30127C1E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5" w:name="_Toc239157390"/>
      <w:bookmarkStart w:id="6" w:name="_Toc310415046"/>
      <w:bookmarkStart w:id="7" w:name="_Toc360188381"/>
      <w:bookmarkStart w:id="8" w:name="_Toc473560932"/>
      <w:bookmarkStart w:id="9" w:name="_Toc151714436"/>
      <w:r>
        <w:rPr>
          <w:sz w:val="24"/>
          <w:u w:val="none"/>
          <w:rFonts w:ascii="Times New Roman" w:hAnsi="Times New Roman"/>
        </w:rPr>
        <w:t xml:space="preserve">3.8.</w:t>
      </w:r>
      <w:r>
        <w:rPr>
          <w:sz w:val="24"/>
          <w:u w:val="none"/>
          <w:rFonts w:ascii="Times New Roman" w:hAnsi="Times New Roman"/>
        </w:rPr>
        <w:tab/>
      </w:r>
      <w:bookmarkEnd w:id="5"/>
      <w:r>
        <w:rPr>
          <w:sz w:val="24"/>
          <w:rFonts w:ascii="Times New Roman" w:hAnsi="Times New Roman"/>
        </w:rPr>
        <w:t xml:space="preserve">Informazzjoni dettaljata dwar it-titolizzazzjonijiet</w:t>
      </w:r>
      <w:bookmarkEnd w:id="6"/>
      <w:bookmarkEnd w:id="7"/>
      <w:r>
        <w:rPr>
          <w:sz w:val="24"/>
          <w:rFonts w:ascii="Times New Roman" w:hAnsi="Times New Roman"/>
        </w:rPr>
        <w:t xml:space="preserve"> (SEC DETAILS)</w:t>
      </w:r>
      <w:bookmarkEnd w:id="8"/>
      <w:bookmarkEnd w:id="9"/>
    </w:p>
    <w:p w14:paraId="50306ACE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0" w:name="_Toc310415047"/>
      <w:bookmarkStart w:id="11" w:name="_Toc360188382"/>
      <w:bookmarkStart w:id="12" w:name="_Toc473560933"/>
      <w:bookmarkStart w:id="13" w:name="_Toc151714437"/>
      <w:r>
        <w:rPr>
          <w:sz w:val="24"/>
          <w:u w:val="none"/>
          <w:rFonts w:ascii="Times New Roman" w:hAnsi="Times New Roman"/>
        </w:rPr>
        <w:t xml:space="preserve">3.8.1.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Ambitu tal-formola SEC DETTALJI</w:t>
      </w:r>
      <w:bookmarkEnd w:id="10"/>
      <w:bookmarkEnd w:id="11"/>
      <w:bookmarkEnd w:id="12"/>
      <w:bookmarkEnd w:id="13"/>
    </w:p>
    <w:bookmarkStart w:id="14" w:name="_Toc310415048"/>
    <w:bookmarkStart w:id="15" w:name="_Toc360188383"/>
    <w:bookmarkStart w:id="16" w:name="_Toc473560934"/>
    <w:p w14:paraId="6C7E4DDB" w14:textId="3F42045D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 w:rsidRPr="00624117">
        <w:fldChar w:fldCharType="begin" w:dirty="true"/>
      </w:r>
      <w:r w:rsidRPr="002A677E">
        <w:instrText xml:space="preserve"> seq paragraphs </w:instrText>
      </w:r>
      <w:r w:rsidRPr="00624117">
        <w:fldChar w:fldCharType="separate"/>
      </w:r>
      <w:r w:rsidRPr="002A677E">
        <w:t>111</w:t>
      </w:r>
      <w:r w:rsidRPr="00624117">
        <w:fldChar w:fldCharType="end"/>
      </w:r>
      <w:r>
        <w:t xml:space="preserve">.</w:t>
      </w:r>
      <w:r>
        <w:tab/>
      </w:r>
      <w:r>
        <w:t xml:space="preserve"> </w:t>
      </w:r>
      <w:r>
        <w:t xml:space="preserve">Dawn il-formoli jiġbru informazzjoni fuq bażi tat-tranżazzjonijiet (kontra l-informazzjoni aggregata rrapportata fil-formoli tas-CR SEC, MKR SA SEC, MKR SA CTP, CA1 u CA2 templates) fuq it-titolizzazzjonijiet kollha li fihom hija involuta l-istituzzjoni ta’ rapportar.</w:t>
      </w:r>
      <w:r>
        <w:t xml:space="preserve"> </w:t>
      </w:r>
      <w:r>
        <w:t xml:space="preserve">Għandhom jiġu rappurtati l-karatteristiċi ewlenin ta’ kull titolizzazzjoni, bħan-natura tal-pula sottostanti u r-rekwiżiti tal-fondi proprji.</w:t>
      </w:r>
      <w:r>
        <w:t xml:space="preserve"> </w:t>
      </w:r>
    </w:p>
    <w:p w14:paraId="447DAF6A" w14:textId="27D596A8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112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Dawn il-formoli għandhom ikunu rrapportati għal:</w:t>
      </w:r>
    </w:p>
    <w:p w14:paraId="24BF3BDE" w14:textId="7777777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a.</w:t>
      </w:r>
      <w:r>
        <w:tab/>
      </w:r>
      <w:r>
        <w:t xml:space="preserve">Titolizzazzjonijiet oriġinati / sponsorjati mill-istituzzjoni ta’ rapportar, inkluż meta ma żżomm l-ebda pożizzjoni fit-titolizzazzjoni.</w:t>
      </w:r>
      <w:r>
        <w:t xml:space="preserve"> </w:t>
      </w:r>
      <w:r>
        <w:t xml:space="preserve">F’każijiet li fihom l-istituzzjonijiet iżommu tal-inqas pożizzjoni waħda fit-titolizzazzjoni, irrispettivament minn jekk kienx hemm trasferiment ta’ riskju sinifikanti jew le, l-istituzzjonijiet għandhom jirrapportaw informazzjoni fuq il-pożizzjonijiet kollha li jżommu (jew fil-portafoll bankarju jew fil-portafoll tan-negozjar).</w:t>
      </w:r>
      <w:r>
        <w:t xml:space="preserve"> </w:t>
      </w:r>
      <w:r>
        <w:t xml:space="preserve">Il-pożizzjonijiet miżmuma jinkludu dawk il-pożizzjonijiet ikkonservati minħabba l-Artikolu 6 tar-Regolament (UE) 2017/2402 u, fejn japplika l-Artikolu 43(6) ta’ dak ir-Regolament, l-Artikolu 405 tar-Regolament (UE) Nru 575/2013 fil-verżjoni applikabbli fil-31 ta’ Diċembru 2018.</w:t>
      </w:r>
    </w:p>
    <w:p w14:paraId="57687CA1" w14:textId="7777777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b.</w:t>
      </w:r>
      <w:r>
        <w:tab/>
      </w:r>
      <w:r>
        <w:t xml:space="preserve">Titolizzazzjonijiet, li s-sottostanti aħħarin tagħhom ikunu obbligazzjonijiet finanzjarji oriġinarjament maħruġa mill-istituzzjoni li tirrapporta u (parzjalment) akkwistati minn veikolu ta’ titolizzazzjoni.</w:t>
      </w:r>
      <w:r>
        <w:t xml:space="preserve"> </w:t>
      </w:r>
      <w:r>
        <w:t xml:space="preserve">Dawk is-sottostanti jistgħu jinkludu bonds koperti jew obbligazzjonijiet oħra u għandhom ikunu identifikati bħala tali f’kolonna 0160.</w:t>
      </w:r>
    </w:p>
    <w:p w14:paraId="5E82032E" w14:textId="7777777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c.</w:t>
      </w:r>
      <w:r>
        <w:tab/>
      </w:r>
      <w:r>
        <w:t xml:space="preserve">Pożizzjonijiet miżmuma f’titolizzazzjonijiet fejn l-istituzzjoni ta’ rapportar la tkun l-oriġinatur u lanqas l-isponsor (jiġifieri investituri u mutwanti oriġinali).</w:t>
      </w:r>
    </w:p>
    <w:p w14:paraId="3CC0DB9F" w14:textId="7777777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Il-formola C 14.01 għandha tiġi rapportata biss għal dawk il-pożizzjonijiet ta’ titolizzazzjoni trattati skont il-qafas ta’ titolizzazzjonijiet.</w:t>
      </w:r>
    </w:p>
    <w:p w14:paraId="4DB6296B" w14:textId="0215247C" w:rsidR="00933ADA" w:rsidRPr="002A677E" w:rsidRDefault="00933ADA" w:rsidP="005B58D3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113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Dawn il-formoli għandhom jiġu rrapportati minn gruppi konsolidati u istituzzjonijiet awtonomi</w:t>
      </w:r>
      <w:r w:rsidRPr="001235ED">
        <w:rPr>
          <w:rStyle w:val="FootnoteReference"/>
        </w:rPr>
        <w:footnoteReference w:id="2"/>
      </w:r>
      <w:r>
        <w:t xml:space="preserve"> li jinsabu fl-istess pajjiż fejn huma soġġetti għar-rekwiżiti ta’ fondi proprji, l-istituzzjonijiet li huma parti minn grupp fl-istess pajjiż li fih huma soġġetti għar-rekwiżiti ta’ fondi proprji għandhom ikunu eżentati mir-rapportar ta’ dawn il-formoli.</w:t>
      </w:r>
      <w:r>
        <w:t xml:space="preserve"> </w:t>
      </w:r>
      <w:r>
        <w:t xml:space="preserve">Fil-każ ta’ titolizzazzjonijiet li jinvolvu aktar minn entità waħda tal-istess grupp konsolidat, għandha ssir diżaggregazzjoni tad-dettalji entità b’entità.</w:t>
      </w:r>
      <w:r>
        <w:t xml:space="preserve"> </w:t>
      </w:r>
    </w:p>
    <w:p w14:paraId="605FD2B9" w14:textId="05F11EB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114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Minħabba l-Artikolu 5 tar-Regolament (UE) 2017/2402, li jistipulaw li l-istituzzjonijiet li jinvestu f’pożizzjonijiet ta’ titolizzazzjoni jiksbu ammont ġmielu ta’ informazzjoni fuqhom sabiex jikkonformaw mar-rekwiżiti ta’ diliġenza dovuta, l-ambitu tar-rapportar tal-formola għandu jkun applikat għall-investituri sa ċertu punt limitat.</w:t>
      </w:r>
      <w:r>
        <w:t xml:space="preserve"> </w:t>
      </w:r>
      <w:r>
        <w:t xml:space="preserve">B’mod partikolari, għandhom jirrapportaw il-kolonni 0010-0040;</w:t>
      </w:r>
      <w:r>
        <w:t xml:space="preserve"> </w:t>
      </w:r>
      <w:r>
        <w:t xml:space="preserve">0070-0110;</w:t>
      </w:r>
      <w:r>
        <w:t xml:space="preserve"> </w:t>
      </w:r>
      <w:r>
        <w:t xml:space="preserve">0160;</w:t>
      </w:r>
      <w:r>
        <w:t xml:space="preserve"> </w:t>
      </w:r>
      <w:r>
        <w:t xml:space="preserve">0181;</w:t>
      </w:r>
      <w:r>
        <w:t xml:space="preserve"> </w:t>
      </w:r>
      <w:r>
        <w:t xml:space="preserve">0190;</w:t>
      </w:r>
      <w:r>
        <w:t xml:space="preserve"> </w:t>
      </w:r>
      <w:r>
        <w:t xml:space="preserve">0223;</w:t>
      </w:r>
      <w:r>
        <w:t xml:space="preserve"> </w:t>
      </w:r>
      <w:r>
        <w:t xml:space="preserve">0230-0285;</w:t>
      </w:r>
      <w:r>
        <w:t xml:space="preserve"> </w:t>
      </w:r>
      <w:r>
        <w:t xml:space="preserve">0290-0300;</w:t>
      </w:r>
      <w:r>
        <w:t xml:space="preserve"> </w:t>
      </w:r>
      <w:r>
        <w:t xml:space="preserve">0310-0470.</w:t>
      </w:r>
    </w:p>
    <w:p w14:paraId="5723EFC7" w14:textId="7296A582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115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L-istituzzjonijiet li għandhom ir-rwol ta’ mutwanti oriġinali (li ma għandhomx ukoll ir-rwol ta’ oriġinaturi jew sponsors fl-istess titolizzazzjoni) għandhom b’mod ġenerali jirrapportaw il-formola bħall-investituri.</w:t>
      </w:r>
    </w:p>
    <w:p w14:paraId="18B286B4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rPr>
          <w:sz w:val="24"/>
          <w:u w:val="none"/>
          <w:rFonts w:ascii="Times New Roman" w:hAnsi="Times New Roman" w:cs="Times New Roman"/>
        </w:rPr>
      </w:pPr>
      <w:bookmarkStart w:id="17" w:name="_Toc522019892"/>
      <w:bookmarkStart w:id="18" w:name="_Toc151714438"/>
      <w:r>
        <w:rPr>
          <w:sz w:val="24"/>
          <w:u w:val="none"/>
          <w:rFonts w:ascii="Times New Roman" w:hAnsi="Times New Roman"/>
        </w:rPr>
        <w:t xml:space="preserve">3.8.2 Diżaggregazzjoni tal-formola SEC DETAILS</w:t>
      </w:r>
      <w:bookmarkEnd w:id="17"/>
      <w:bookmarkEnd w:id="18"/>
    </w:p>
    <w:p w14:paraId="13E65FF7" w14:textId="68ACBB78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116</w:t>
      </w:r>
      <w:r>
        <w:fldChar w:fldCharType="end"/>
      </w:r>
      <w:r>
        <w:t xml:space="preserve">.</w:t>
      </w:r>
      <w:r>
        <w:t xml:space="preserve"> </w:t>
      </w:r>
      <w:r>
        <w:t xml:space="preserve">SEC DETAILS tikkonsisti f’żewġ formoli.</w:t>
      </w:r>
      <w:r>
        <w:t xml:space="preserve"> </w:t>
      </w:r>
      <w:r>
        <w:t xml:space="preserve">Is-SEC DETAILS tipprovdi ħarsa ġenerali lejn it-titolizzazzjonijiet.</w:t>
      </w:r>
      <w:r>
        <w:t xml:space="preserve"> </w:t>
      </w:r>
      <w:r>
        <w:t xml:space="preserve">Is-SEC DETAILS 2 tipprovdi diżaggregazzjoni tal-pożizzjonijiet ta’ titolizzazzjoni soġġetti għar-rekwiżiti ta’ fondi proprji f’konformità mal-Parti Tlieta, it-Titolu II, il-Kapitolu 5, it-Taqsima 3 tar-Regolament (UE) Nru 575/2013 skont l-approċċ applikat.</w:t>
      </w:r>
      <w:r>
        <w:t xml:space="preserve"> </w:t>
      </w:r>
    </w:p>
    <w:p w14:paraId="07FC3F88" w14:textId="0E0D1BA2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117</w:t>
      </w:r>
      <w:r>
        <w:fldChar w:fldCharType="end"/>
      </w:r>
      <w:r>
        <w:t xml:space="preserve">.</w:t>
      </w:r>
      <w:r>
        <w:t xml:space="preserve"> </w:t>
      </w:r>
      <w:r>
        <w:t xml:space="preserve">Il-pożizzjonijiet ta’ titolizzazzjoni fil-portafoll tan-negozjar għandhom jiġu rapportati biss fil-kolonni 0010-0020, 0420, 0430, 0431, 0432, 0440 u 0450-0470.</w:t>
      </w:r>
      <w:r>
        <w:t xml:space="preserve"> </w:t>
      </w:r>
      <w:r>
        <w:t xml:space="preserve">Għall-kolonni 0420, 0430 u 0440, l-istituzzjonijiet għandhom iqisu l-RW li tikkorrispondi mar-rekwiżit ta’ fondi proprji tal-pożizzjoni netta.</w:t>
      </w:r>
      <w:r>
        <w:t xml:space="preserve"> </w:t>
      </w:r>
    </w:p>
    <w:p w14:paraId="731DEBBE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9" w:name="_Toc151714439"/>
      <w:r>
        <w:rPr>
          <w:sz w:val="24"/>
          <w:u w:val="none"/>
          <w:rFonts w:ascii="Times New Roman" w:hAnsi="Times New Roman"/>
        </w:rPr>
        <w:t xml:space="preserve">3.8.3 C 14.00 – Informazzjoni dettaljata dwar it-titolizzazzjonijiet (SEC DETAILS)</w:t>
      </w:r>
      <w:bookmarkEnd w:id="14"/>
      <w:bookmarkEnd w:id="15"/>
      <w:bookmarkEnd w:id="16"/>
      <w:bookmarkEnd w:id="19"/>
    </w:p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903"/>
      </w:tblGrid>
      <w:tr w:rsidR="00933ADA" w:rsidRPr="002A677E" w14:paraId="15FF5295" w14:textId="77777777" w:rsidTr="00822842">
        <w:tc>
          <w:tcPr>
            <w:tcW w:w="9004" w:type="dxa"/>
            <w:gridSpan w:val="2"/>
            <w:shd w:val="clear" w:color="auto" w:fill="CCCCCC"/>
          </w:tcPr>
          <w:p w14:paraId="5DE9BFB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6B6D050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  <w:p w14:paraId="5066E22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1E3F3191" w14:textId="77777777" w:rsidTr="00822842">
        <w:tc>
          <w:tcPr>
            <w:tcW w:w="1101" w:type="dxa"/>
          </w:tcPr>
          <w:p w14:paraId="7F0FD22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903" w:type="dxa"/>
          </w:tcPr>
          <w:p w14:paraId="1CFD181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KODIĊI INTERN</w:t>
            </w:r>
          </w:p>
          <w:p w14:paraId="349173E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B177CE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Kodiċi (alfanumeriku) intern użat mill-istituzzjoni biex jidentifika t-titolizzazzjoni.</w:t>
            </w:r>
          </w:p>
          <w:p w14:paraId="5F2018B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D60FA0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intern għandu jkun assoċjat mal-identifikatur tat-tranżazzjoni ta’ titolizzazzjoni.</w:t>
            </w:r>
          </w:p>
          <w:p w14:paraId="3C6588D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78D98B9D" w14:textId="77777777" w:rsidTr="00822842">
        <w:tc>
          <w:tcPr>
            <w:tcW w:w="1101" w:type="dxa"/>
          </w:tcPr>
          <w:p w14:paraId="795D478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0015</w:t>
            </w:r>
          </w:p>
        </w:tc>
        <w:tc>
          <w:tcPr>
            <w:tcW w:w="7903" w:type="dxa"/>
          </w:tcPr>
          <w:p w14:paraId="0A8D6381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IDENTIFIKATUR UNIKU</w:t>
            </w:r>
          </w:p>
          <w:p w14:paraId="6D2F0987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08D6CB0" w14:textId="77777777" w:rsidR="00933ADA" w:rsidRPr="003A06D5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titolizzazzjonijiet maħruġa fl-1 ta’ Jannar 2019 jew wara, l-istituzzjonijiet għandhom jirrapportaw l-identifikatur uniku kif definit fl-Artikolu 11(1) tar-Regolament Delegat tal-Kummissjoni (UE) 2020/1224.</w:t>
            </w:r>
          </w:p>
          <w:p w14:paraId="2AED1FA3" w14:textId="34BC923C" w:rsidR="003A06D5" w:rsidRPr="003A06D5" w:rsidRDefault="003A06D5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L-identifikatur uniku għandu jiġi rrapportat kemm għall-pożizzjonijiet tal-oriġinatur/sponsor kif ukoll tal-investituri u mhuwiex mistenni li jinbidel skont il-livell tar-rapportar (konsolidat vs sottogruppi).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Skont il-punt (a) tal-Artikolu 11(1)(a) u 11 (2) (a), il-LEI (l-ewwel entrata tal-identifikatur uniku) hija strettament definita bħala dik tal- “entità relatriċi” kif definita fl-Artikolu 7(2) tar-Regolament (UE) 2017/2402.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F’xi każijiet, l-istituzzjoni li tirrapporta l-mudelli COREP u l- “entità relatriċi” (eż. jekk tkun l-oriġinatur jew l-isponsor), f’xi każijiet 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Skont l-Artikolu 11(3) tar-Regolament Delegat tal-Kummissjoni (UE) 2020/1224), l-identifikatur uniku ma jistax jiġi emendat mill-entità relatriċi, li jimplika li ma jistgħux jiġu emendati għall-fini tar-rapportar fil-mudelli COREP.</w:t>
            </w:r>
          </w:p>
          <w:p w14:paraId="0C8F847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4955C20" w14:textId="77777777" w:rsidTr="00822842">
        <w:tc>
          <w:tcPr>
            <w:tcW w:w="1101" w:type="dxa"/>
          </w:tcPr>
          <w:p w14:paraId="4CCE03B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903" w:type="dxa"/>
          </w:tcPr>
          <w:p w14:paraId="1670684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IDENTIFIKATUR TAT-TITOLIZZAZZJONI</w:t>
            </w:r>
          </w:p>
          <w:p w14:paraId="715E4B5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97DC5C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użat għar-reġistrazzjoni legali tat-tranżazzjoni ta’ titolizzazzjoni, jew, jekk mhux disponibbli, l-isem li bih it-tranżazzjoni ta’ titolizzazzjoni hija magħrufa fis-suq, jew fi ħdan l-istituzzjoni f’każ ta’ titolizzazzjoni interna jew privata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919A73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8315BE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in-Numru Internazzjonali għall-Identifikazzjoni tat-Titoli -ISIN- ikun disponibbli (jiġifieri għal tranżazzjonijiet pubbliċi), f’din il-kolonna għandhom ikunu rrapportati l-karattri li huma komuni għas-segmenti kollha tat-titolizzazzjoni.</w:t>
            </w:r>
          </w:p>
          <w:p w14:paraId="489F5BE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3DD208B" w14:textId="77777777" w:rsidTr="00822842">
        <w:tc>
          <w:tcPr>
            <w:tcW w:w="1101" w:type="dxa"/>
          </w:tcPr>
          <w:p w14:paraId="10FBFBB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0021</w:t>
            </w:r>
          </w:p>
        </w:tc>
        <w:tc>
          <w:tcPr>
            <w:tcW w:w="7903" w:type="dxa"/>
          </w:tcPr>
          <w:p w14:paraId="2DF5396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 INTRAGRUPP, PRIVATA JEW PUBBLIKA?</w:t>
            </w:r>
          </w:p>
          <w:p w14:paraId="33A82A0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5560B0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tidentifika jekk it-titolizzazzjoni hijiex intragrupp, privata jew pubblika.</w:t>
            </w:r>
          </w:p>
          <w:p w14:paraId="795178D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595B94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mis-segwenti:</w:t>
            </w:r>
          </w:p>
          <w:p w14:paraId="1BF2C01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ABF7178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Pjazzament privat;</w:t>
            </w:r>
          </w:p>
          <w:p w14:paraId="2D70D6E5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Intragrupp;</w:t>
            </w:r>
          </w:p>
          <w:p w14:paraId="5CF0E1E9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Kollokament f’impjieg.</w:t>
            </w:r>
          </w:p>
          <w:p w14:paraId="201795D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0EA4357" w14:textId="77777777" w:rsidTr="00822842">
        <w:tc>
          <w:tcPr>
            <w:tcW w:w="1101" w:type="dxa"/>
            <w:shd w:val="clear" w:color="auto" w:fill="auto"/>
          </w:tcPr>
          <w:p w14:paraId="1536457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903" w:type="dxa"/>
            <w:shd w:val="clear" w:color="auto" w:fill="auto"/>
          </w:tcPr>
          <w:p w14:paraId="5E14DA2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RWOL TAL-ISTITUZZJONI (ORIĠINATUR/SPONSOR/MUTWANTI ORIĠINALI/INVESTITUR)</w:t>
            </w:r>
          </w:p>
          <w:p w14:paraId="6102BD4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124FB5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mis-segwenti: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CB975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Oriġinatur;</w:t>
            </w:r>
          </w:p>
          <w:p w14:paraId="177ACBA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Sponsor;</w:t>
            </w:r>
          </w:p>
          <w:p w14:paraId="5CE3FC6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Investitur.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1576F8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Mutwanti Oriġinali.</w:t>
            </w:r>
          </w:p>
          <w:p w14:paraId="025EAC5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507649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Oriġinatur kif definit fl-Artikolu 4(1), il-punt (13) tar-Regolament (UE) Nru 575/2013 u Sponsor kif definit fl-Artikolu 4(1), il-punt (14)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L-investituri huma preżunti li huma dawk l-istituzzjonijiet li għalihom japplika l-Artikolu 5 tar-Regolament (UE) 2017/2402.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li japplika l-Artikolu 43(5) tar-Regolament (UE) 2017/2402, għandhom japplikaw l-Artikoli 406 u 407 tar-Regolament (UE) Nru 575/2013 fil-verżjoni applikabbli fil-31 ta’ Diċembru 2018.</w:t>
            </w:r>
          </w:p>
          <w:p w14:paraId="07AA076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3327D97" w14:textId="77777777" w:rsidTr="00822842">
        <w:tc>
          <w:tcPr>
            <w:tcW w:w="1101" w:type="dxa"/>
          </w:tcPr>
          <w:p w14:paraId="562617C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903" w:type="dxa"/>
          </w:tcPr>
          <w:p w14:paraId="0E6B28E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IDENTIFIKATUR TAL-ORIĠINATUR</w:t>
            </w:r>
          </w:p>
          <w:p w14:paraId="400DDAB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E8BCD4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tal-LEI applikabbli għall-oriġinatur, jew, jekk mhux disponibbli, il-kodiċi mogħti mill-awtorità superviżorja lill-oriġinatur jew, jekk ma jkunx disponibbli, isem l-istituzzjoni stess għandu jkun irrapportat f’din il-kolonna.</w:t>
            </w:r>
          </w:p>
          <w:p w14:paraId="044E3AB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82F3AF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b’aktar minn bejjiegħ wieħed fejn l-istituzzjoni li tirrapporta tkun involuta bħala oriġinatur, sponsor jew mutwanti oriġinali, l-istituzzjoni li tirrapporta għandha tipprovdi l-identifikatur bl-entitajiet kollha fil-grupp ikkonsolidat tagħha (bħala oriġinatur, sponsor jew mutwanti oriġinali) li huma involuti fit-tranżazzjoni.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il-kodiċi ma jkunx disponibbli jew ma jkunx magħruf mill-istituzzjoni li tirrapporta, għandu jiġi rrapportat isem l-istituzzjoni.</w:t>
            </w:r>
          </w:p>
          <w:p w14:paraId="56F5462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A914A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b’aktar minn bejjiegħ wieħed fejn l-istituzzjoni li tirrapporta jkollha pożizzjoni fit-titolizzazzjoni bħala investitur, l-istituzzjoni li tirrapporta għandha tipprovdi l-identifikatur tal-oriġinaturi differenti kollha involuti fit-titolizzazzjoni, jew, jekk mhux disponibbli, l-ismijiet tal-oriġinaturi differenti.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l-ismijiet ma jkunux magħrufa mill-istituzzjoni li tirrapporta, l-istituzzjoni li tirrapporta għandha tirrapporta li t-titolizzazzjoni għandha “aktar minn bejjiegħ wieħed”.</w:t>
            </w:r>
          </w:p>
          <w:p w14:paraId="52D535B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87A9EF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796F16FA" w14:textId="77777777" w:rsidTr="00822842">
        <w:tc>
          <w:tcPr>
            <w:tcW w:w="1101" w:type="dxa"/>
          </w:tcPr>
          <w:p w14:paraId="73090BB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903" w:type="dxa"/>
          </w:tcPr>
          <w:p w14:paraId="3D12F05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TITOLIZZAZZJONI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A9B7F3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A6B541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mis-segwenti: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- Programm ABCP;</w:t>
            </w:r>
          </w:p>
          <w:p w14:paraId="6286CA2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Tranżazzjoni ABCP;</w:t>
            </w:r>
          </w:p>
          <w:p w14:paraId="6806306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Titolizzazzjonijiet tradizzjonali għajr titolizzazzjonijiet NPE;</w:t>
            </w:r>
          </w:p>
          <w:p w14:paraId="507BD1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Titolizzazzjonijiet NPE mhux kwalifikanti;</w:t>
            </w:r>
          </w:p>
          <w:p w14:paraId="391C810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Titolizzazzjonijiet NPE kwalifikanti;</w:t>
            </w:r>
          </w:p>
          <w:p w14:paraId="158DEC7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Tranżazzjoni sintetika;</w:t>
            </w:r>
          </w:p>
          <w:p w14:paraId="00B64B2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Id-definizzjonijiet ta’ “Programm ta’ Karta Kummerċjali Garantita b’Assi”, “Tranżazzjoni ta’ Karta Kummerċjali Garantita b’Assi”, “titolizzazzjoni tradizzjonali” u “titolizzazzjoni sintetika” huma pprovduti fl-Artikolu 242, il-punti minn (11) sa (14) tar-Regolament (UE) Nru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id-definizzjonijiet ta’ “titolizzazzjonijiet NPE tradizzjonali kwalifikanti” u “titolizzazzjonijiet NPE” huma pprovduti fl-Artikolu 269a(1) tar-Regolament (UE) Nru 575/2013.</w:t>
            </w:r>
          </w:p>
          <w:p w14:paraId="6C6F006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7450C91" w14:textId="77777777" w:rsidTr="00822842">
        <w:tc>
          <w:tcPr>
            <w:tcW w:w="1101" w:type="dxa"/>
          </w:tcPr>
          <w:p w14:paraId="35D17CF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0051</w:t>
            </w:r>
          </w:p>
        </w:tc>
        <w:tc>
          <w:tcPr>
            <w:tcW w:w="7903" w:type="dxa"/>
          </w:tcPr>
          <w:p w14:paraId="40B3EB3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KONTABBILISTIKU: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L-ISKOPERTURI TITOLIZZATI JINŻAMMU JEW JITNEĦĦEW MILL-KARTA BILANĊJALI?</w:t>
            </w:r>
          </w:p>
          <w:p w14:paraId="515394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E82D41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bħala oriġinaturi, sponsors u mutwanti oriġinali għandhom jirrapportaw waħda mis-segwenti:</w:t>
            </w:r>
          </w:p>
          <w:p w14:paraId="4C0FBFE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ind w:left="1440" w:hanging="144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“K – miżmuma totalment”, jekk l-iskoperturi titolizzati jibqgħu rikonoxxuti kompletament;</w:t>
            </w:r>
          </w:p>
          <w:p w14:paraId="13423F0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“P – imneħħija parzjalment’, jekk jiġu rtirati parzjalment l-iskoperturi tat-titoli;</w:t>
            </w:r>
          </w:p>
          <w:p w14:paraId="6F78291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“R – imneħħija totalment’, jekk jiġu rtirati kompletament l-iskoperturi tat-titoli;</w:t>
            </w:r>
          </w:p>
          <w:p w14:paraId="6FCDFAE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“N – , jekk ma jkunx japplika.</w:t>
            </w:r>
          </w:p>
          <w:p w14:paraId="4C1F40C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60478B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tiġbor fil-qosor it-trattament kontabilistiku tat-tranżazzjoni.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It-trasferiment tar-riskju sinifikanti (significant risk transfer, SRT) skont l-Artikoli 244 u 245 tar-Regolament (UE) Nru 575/2013 ma għandux jaffettwa t-trattament kontabilistiku tat-tranżazzjoni skont il-qafas kontabilistiku rilevanti.</w:t>
            </w:r>
          </w:p>
          <w:p w14:paraId="5498ED2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9D00DF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ta’ obbligazzjonijiet, l-oriġinaturi ma għandhomx jirrapportaw din il-kolonna.</w:t>
            </w:r>
          </w:p>
          <w:p w14:paraId="0DB3F00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L-għażla “P” (tneħħew parzjalment) għandha tiġi rrapportata fejn l-assi titolizzati jkunu rikonoxxuti fil-karta bilanċjali sal-punt li l-entità li tirrapporta tkompli bl-involviment f’konformità mal-IFRS 9.3.2.16 – 3.2.21.</w:t>
            </w:r>
          </w:p>
          <w:p w14:paraId="4B0B303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6D3F1F72" w14:textId="77777777" w:rsidTr="00822842">
        <w:tc>
          <w:tcPr>
            <w:tcW w:w="1101" w:type="dxa"/>
          </w:tcPr>
          <w:p w14:paraId="7EFFC9B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903" w:type="dxa"/>
          </w:tcPr>
          <w:p w14:paraId="35E9CC9E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TRATTAMENT TA’ SOLVENZA: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IL-POŻIZZJONIJIET TA’ TITOLIZZAZZJONI SOĠĠETTI GĦAR-REKWIŻITI TA’ FONDI PROPRJI?</w:t>
            </w:r>
          </w:p>
          <w:p w14:paraId="655B952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575C52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109, 308 u 245 tar-Regolament (UE) Nru 575/2013</w:t>
            </w:r>
          </w:p>
          <w:p w14:paraId="1218FD5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3BB2DA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L-oriġinaturi għandhom jirrapportaw waħda mis-segwenti: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D3F52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Mhux soġġetti għar-rekwiżiti ta’ fondi proprji;</w:t>
            </w:r>
          </w:p>
          <w:p w14:paraId="446FBE1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Portafoll bankarju;</w:t>
            </w:r>
          </w:p>
          <w:p w14:paraId="0DDB6C2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Portafoll tan-negozjar;</w:t>
            </w:r>
          </w:p>
          <w:p w14:paraId="35D166D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Parzjalment fil-portafoll bankarju u tan-negozjar.</w:t>
            </w:r>
          </w:p>
          <w:p w14:paraId="3D6423C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5BE181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tiġbor fil-qosor it-trattament ta’ solvenza tal-iskema ta’ titolizzazzjoni mill-oriġinatur.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Għandha tindika jekk ir-rekwiżiti ta’ fondi proprji humiex ikkalkolati fuq il-bażi ta’ skoperturi titolizzati jew pożizzjonijiet ta’ titolizzazzjoni (portafoll bankarju/portafoll tan-negozjar).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AEC8B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4566A8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ir-rekwiżiti ta’ fondi proprji huma bbażati fuq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skoperturi titolizzati</w:t>
            </w:r>
            <w:r>
              <w:rPr>
                <w:sz w:val="24"/>
                <w:rFonts w:ascii="Times New Roman" w:hAnsi="Times New Roman"/>
              </w:rPr>
              <w:t xml:space="preserve"> (għaliex ma nkisibx trasferiment tar-riskju sinifikanti) il-kalkolu tar-rekwiżiti ta’ fondi proprji għar-riskju ta’ kreditu għandu jkun rapportat fil-formola tas-CR SA, għal dawk l-iskoperturi titolizzati li għalihom jintuża l-Approċċ Standardizzat, jew fil-formola CR IRB għal dawk l-iskoperturi titolizzati li għalihom jintuża l-Approċċ Ibbażat fuq il-Klassifikazzjoni Interna mill-istituzzjoni.</w:t>
            </w:r>
          </w:p>
          <w:p w14:paraId="124154F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F649F9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Min-naħa l-oħra, meta r-rekwiżiti ta’ fondi proprji jkunu bbażati fuq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pożizzjonijiet ta’ titolizzazzjoni miżmuma fil-portafoll bankarju</w:t>
            </w:r>
            <w:r>
              <w:rPr>
                <w:sz w:val="24"/>
                <w:rFonts w:ascii="Times New Roman" w:hAnsi="Times New Roman"/>
              </w:rPr>
              <w:t xml:space="preserve"> (għaliex inkiseb trasferiment tar-riskju sinifikanti), l-informazzjoni dwar il-kalkolu tar-rekwiżiti ta’ fondi proprji għar-riskju ta’ kreditu għandha tiġi rapportata fil-formola CR SEC.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ta’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pożizzjonijiet ta’ titolizzazzjoni miżmuma fil-portafoll tan-negozjar</w:t>
            </w:r>
            <w:r>
              <w:rPr>
                <w:sz w:val="24"/>
                <w:rFonts w:ascii="Times New Roman" w:hAnsi="Times New Roman"/>
              </w:rPr>
              <w:t xml:space="preserve">, l-informazzjoni dwar il-kalkolu tar-rekwiżiti ta’ fondi proprji għar-riskju tas-suq għandha tiġi rapportata fil-formoli MKR SA TDI (riskju ta’ pożizzjoni ġenerali standardizzat) u MKR SA SEC jew MKR SA CTP (riskju ta’ pożizzjoni speċifiku standardizzat) jew MKR IM (mudelli interni).</w:t>
            </w:r>
          </w:p>
          <w:p w14:paraId="024ADE8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D480BA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ta’ obbligazzjonijiet, l-oriġinaturi ma għandhomx jirrapportaw din il-kolonna.</w:t>
            </w:r>
          </w:p>
          <w:p w14:paraId="1FF3F65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62FCDB11" w14:textId="77777777" w:rsidTr="00822842">
        <w:tc>
          <w:tcPr>
            <w:tcW w:w="1101" w:type="dxa"/>
          </w:tcPr>
          <w:p w14:paraId="29A648E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7903" w:type="dxa"/>
          </w:tcPr>
          <w:p w14:paraId="6B48423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TRASFERIMENT TAR-RISKJU SINIFIKANTI</w:t>
            </w:r>
          </w:p>
          <w:p w14:paraId="4E208EC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5211F94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L-oriġinaturi għandhom jirrapportaw waħda mis-segwenti:</w:t>
            </w:r>
          </w:p>
          <w:p w14:paraId="1695E1B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applikati għal SRT - l-entità li tirrapporta tagħti ponderazzjonijiet tar-riskju lill-iskoperturi titolizzati tagħha;</w:t>
            </w:r>
          </w:p>
          <w:p w14:paraId="0F0185D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Inkiseb l-SRT skont l-Artikolu 244(2), il-punt (a) jew l-Artikolu 245(2), il-punt (a) tar-Regolament (UE) Nru 575/2013;</w:t>
            </w:r>
          </w:p>
          <w:p w14:paraId="4878912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Inkiseb l-SRT skont l-Artikolu 244(2), il-punt (b), jew l-Artikolu 245(2), il-punt (b) tar-Regolament (UE) Nru 575/2013;</w:t>
            </w:r>
          </w:p>
          <w:p w14:paraId="54663FC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Inkiseb l-SRT skont l-Artikolu 244(3), il-punt (a) jew l-Artikolu 245(3), il-punt (a) tar-Regolament (UE) Nru 575/2013;</w:t>
            </w:r>
          </w:p>
          <w:p w14:paraId="71AA1D6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Applikazzjoni ta’ RW ta’ 1 250 % jew tnaqqis tal-pożizzjonijiet kkonservati f’konformità mal-Artikolu 244(1), il-punt (b), jew l-Artikolu 245(1), il-punt (b) tar-Regolament (UE) Nru 575/2013.</w:t>
            </w:r>
          </w:p>
          <w:p w14:paraId="2637876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B53870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tiġbor fil-qosor jekk ikunx inkiseb trasferiment sinifikanti u, jekk iva, b’liema mezzi.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Il-kisba tal-SRT tiddetermina t-trattament xieraq ta’ solvenza mill-oriġinatur.</w:t>
            </w:r>
          </w:p>
          <w:p w14:paraId="0E6F6831" w14:textId="77777777" w:rsidR="00933ADA" w:rsidRPr="002A677E" w:rsidRDefault="00933ADA" w:rsidP="00822842">
            <w:pPr>
              <w:spacing w:before="0" w:after="0"/>
              <w:jc w:val="left"/>
            </w:pPr>
          </w:p>
        </w:tc>
      </w:tr>
      <w:tr w:rsidR="00933ADA" w:rsidRPr="002A677E" w14:paraId="73BBE70C" w14:textId="77777777" w:rsidTr="00822842">
        <w:tc>
          <w:tcPr>
            <w:tcW w:w="1101" w:type="dxa"/>
          </w:tcPr>
          <w:p w14:paraId="196D0F0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903" w:type="dxa"/>
          </w:tcPr>
          <w:p w14:paraId="07E5DF4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 JEW RITITOLIZZAZZJONI?</w:t>
            </w:r>
          </w:p>
          <w:p w14:paraId="18B2691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F75DB0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mad-definizzjoni ta’ “titolizzazzjoni” fl-Artikolu 4(1), il-punt (61) tar-Regolament (UE) Nru 575/2013 u d-definizzjoni ta’ “rititolizzazzjoni” fl-Artikolu 4(1), il-punt (63) tar-Regolament (UE) Nru 575/2013, għandu jiġi rapportat it-tip ta’ titolizzazzjoni permezz tal-abbrevjazzjonijiet li ġejjin:</w:t>
            </w:r>
          </w:p>
          <w:p w14:paraId="3760E00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Titolizzazzjoni;</w:t>
            </w:r>
          </w:p>
          <w:p w14:paraId="1A7E6A3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Rititolizzazzjoni.</w:t>
            </w:r>
          </w:p>
          <w:p w14:paraId="7EBEAB3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8208DB1" w14:textId="77777777" w:rsidTr="00822842">
        <w:tc>
          <w:tcPr>
            <w:tcW w:w="1101" w:type="dxa"/>
          </w:tcPr>
          <w:p w14:paraId="0A9BB7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7903" w:type="dxa"/>
          </w:tcPr>
          <w:p w14:paraId="12E9608C" w14:textId="77777777" w:rsidR="00933ADA" w:rsidRPr="002A677E" w:rsidRDefault="00933ADA" w:rsidP="00822842">
            <w:pPr>
              <w:tabs>
                <w:tab w:val="left" w:pos="3274"/>
              </w:tabs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 STS</w:t>
            </w:r>
          </w:p>
          <w:p w14:paraId="1E29845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9C7FC1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18 tar-Regolament (UE) 2017/2402</w:t>
            </w:r>
          </w:p>
          <w:p w14:paraId="481FC8F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66C8851" w14:textId="77777777" w:rsidR="00933ADA" w:rsidRPr="002A677E" w:rsidRDefault="00933ADA" w:rsidP="00822842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mill-abbrevjazzjonijiet segwenti:</w:t>
            </w:r>
          </w:p>
          <w:p w14:paraId="0CB638D6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 - Iva;</w:t>
            </w:r>
          </w:p>
          <w:p w14:paraId="45AF201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 – Le.</w:t>
            </w:r>
          </w:p>
          <w:p w14:paraId="6A6DFA1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534E8FC" w14:textId="77777777" w:rsidTr="00822842">
        <w:tc>
          <w:tcPr>
            <w:tcW w:w="1101" w:type="dxa"/>
          </w:tcPr>
          <w:p w14:paraId="33E8756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0446</w:t>
            </w:r>
          </w:p>
        </w:tc>
        <w:tc>
          <w:tcPr>
            <w:tcW w:w="7903" w:type="dxa"/>
          </w:tcPr>
          <w:p w14:paraId="77ECA96F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TITOLIZZAZZJONI LI TIKKWALIFIKA GĦAL TRATTAMENT TAL-KAPITAL DIFFERENZJAT</w:t>
            </w:r>
          </w:p>
          <w:p w14:paraId="4D2D104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4D6E895" w14:textId="77777777" w:rsidR="00933ADA" w:rsidRPr="002A677E" w:rsidRDefault="00933ADA" w:rsidP="00822842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243, 270 u 494ctar-Regolament (UE) Nru 575/2013</w:t>
            </w:r>
          </w:p>
          <w:p w14:paraId="53A58614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mill-abbrevjazzjonijiet segwenti:</w:t>
            </w:r>
          </w:p>
          <w:p w14:paraId="101580F7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– Iva;</w:t>
            </w:r>
          </w:p>
          <w:p w14:paraId="24013316" w14:textId="77777777" w:rsidR="00933ADA" w:rsidRPr="002A677E" w:rsidRDefault="00933ADA" w:rsidP="00822842">
            <w:pPr>
              <w:tabs>
                <w:tab w:val="left" w:pos="708"/>
                <w:tab w:val="left" w:pos="1573"/>
              </w:tabs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– Le.</w:t>
            </w:r>
          </w:p>
          <w:p w14:paraId="5D11A50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8F5468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“Iva” għandha tiġi rapportata fil-każijiet li ġejjin:</w:t>
            </w:r>
          </w:p>
          <w:p w14:paraId="449E7C7C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Titolizzazzjonijiet STS li jikkwalifikaw għat-trattament tal-kapital differenzjat f’konformità mal-Artikolu 243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F1A6EAD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superjuri fit-titolizzazzjonijiet tal-STS fil-karta bilanċjali eliġibbli għal dan it-trattament f’konformità mal-Artikolu 270 tar-Regolament (UE) Nru 575/2013</w:t>
            </w:r>
          </w:p>
          <w:p w14:paraId="04149D39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Titolizzazzjonijiet sintetiċi tal-SMEs anterjorati f’konformità mal-Artikolu 494c tar-Regolament (UE) Nru 575/2013.</w:t>
            </w:r>
          </w:p>
          <w:p w14:paraId="25E033EE" w14:textId="77777777" w:rsidR="00933ADA" w:rsidRPr="002A677E" w:rsidRDefault="00933ADA" w:rsidP="00822842">
            <w:pPr>
              <w:tabs>
                <w:tab w:val="left" w:pos="3274"/>
              </w:tabs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662EE0A" w14:textId="77777777" w:rsidTr="00822842">
        <w:tc>
          <w:tcPr>
            <w:tcW w:w="1101" w:type="dxa"/>
          </w:tcPr>
          <w:p w14:paraId="79DAD5D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0076</w:t>
            </w:r>
          </w:p>
        </w:tc>
        <w:tc>
          <w:tcPr>
            <w:tcW w:w="7903" w:type="dxa"/>
          </w:tcPr>
          <w:p w14:paraId="5B4BD368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MARĠNI POŻITTIV</w:t>
            </w:r>
          </w:p>
          <w:p w14:paraId="06FA1F5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490146F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2, il-punt (29) tar-Regolament (UE) 2017/2402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66CAE0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25D3C39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mis-segwenti:</w:t>
            </w:r>
          </w:p>
          <w:p w14:paraId="7DDC564E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marġni pożittiv</w:t>
            </w:r>
          </w:p>
          <w:p w14:paraId="08E7FB6E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Marġni pożittiv, ammont fiss - mekkaniżmu “tużah jew titilfu”</w:t>
            </w:r>
          </w:p>
          <w:p w14:paraId="46A55FA3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Marġni pożittiv, ammont fiss – mekkaniżmu ta’ konservazzjoni</w:t>
            </w:r>
          </w:p>
          <w:p w14:paraId="5152BE4A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Marġni pożittiv, ammont varjabbli — mekkaniżmu “tużah jew titilfu”</w:t>
            </w:r>
          </w:p>
          <w:p w14:paraId="6E5B010F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Marġni pożittiv, ammont varjabbli — mekkaniżmu ta’ konservazzjoni.</w:t>
            </w:r>
          </w:p>
          <w:p w14:paraId="34449708" w14:textId="77777777" w:rsidR="00933ADA" w:rsidRPr="002A677E" w:rsidRDefault="00933ADA" w:rsidP="00822842">
            <w:pPr>
              <w:pStyle w:val="ListParagraph"/>
              <w:spacing w:before="0" w:after="0"/>
              <w:ind w:left="108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8518C0A" w14:textId="77777777" w:rsidTr="00822842">
        <w:tc>
          <w:tcPr>
            <w:tcW w:w="1101" w:type="dxa"/>
          </w:tcPr>
          <w:p w14:paraId="5C52D13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0077</w:t>
            </w:r>
          </w:p>
        </w:tc>
        <w:tc>
          <w:tcPr>
            <w:tcW w:w="7903" w:type="dxa"/>
          </w:tcPr>
          <w:p w14:paraId="703043A7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SISTEMA TA’ AMORTIZZAMENT</w:t>
            </w:r>
          </w:p>
          <w:p w14:paraId="06A04B5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E7805A0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mis-segwenti:</w:t>
            </w:r>
          </w:p>
          <w:p w14:paraId="6D7CB8F8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Ammortizzament sekwenzjali</w:t>
            </w:r>
          </w:p>
          <w:p w14:paraId="64D0E6DF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Amortizzament pro rata</w:t>
            </w:r>
          </w:p>
          <w:p w14:paraId="3D35DEB1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Amortizzament pro rata li jinbidel għal amortizzament sekwenzjali.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Konformi mal-kriterji STS għal titolizzazzjonijiet fil-karta bilanċjali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(l-Artikolu 26c (5) tar-Regolament (UE) 2017/2402).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6ACF26F" w14:textId="77777777" w:rsidR="00933ADA" w:rsidRPr="0052508A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Amortizzament pro rata li jinbidel għal amortizzament sekwenzjali.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Konformi mal-kriterji STS għal tranżazzjonijiet mhux ABCP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(Linji gwida dwar il-kriterji STS għal tranżazzjonijiet mhux ABCP u l-Artikolu 21(5) tar-Regolament (UE) 2017/2402</w:t>
            </w:r>
          </w:p>
          <w:p w14:paraId="43DD66C3" w14:textId="77777777" w:rsidR="00933ADA" w:rsidRPr="002A677E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Amortizzament pro rata li jinbidel għal amortizzament sekwenzjali.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Mhux konformi</w:t>
            </w:r>
          </w:p>
          <w:p w14:paraId="1FBC29E6" w14:textId="77777777" w:rsidR="00933ADA" w:rsidRPr="001235ED" w:rsidRDefault="00933ADA" w:rsidP="00933ADA">
            <w:pPr>
              <w:numPr>
                <w:ilvl w:val="0"/>
                <w:numId w:val="22"/>
              </w:num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Sistema oħra ta’ amortizzament</w:t>
            </w:r>
          </w:p>
          <w:p w14:paraId="10A014FB" w14:textId="77777777" w:rsidR="00933ADA" w:rsidRPr="002A677E" w:rsidRDefault="00933ADA" w:rsidP="00822842">
            <w:pPr>
              <w:spacing w:before="0" w:after="0"/>
              <w:ind w:left="108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F9BE9AC" w14:textId="77777777" w:rsidTr="00822842">
        <w:tc>
          <w:tcPr>
            <w:tcW w:w="1101" w:type="dxa"/>
          </w:tcPr>
          <w:p w14:paraId="1B7657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0078</w:t>
            </w:r>
          </w:p>
        </w:tc>
        <w:tc>
          <w:tcPr>
            <w:tcW w:w="7903" w:type="dxa"/>
          </w:tcPr>
          <w:p w14:paraId="2618792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OPZJONIJIET TA’ KOLLATERALIZZAZZJONI</w:t>
            </w:r>
          </w:p>
          <w:p w14:paraId="13EC239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51DEC3C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26e tar-Regolament (UE) Nru 2017/2402</w:t>
            </w:r>
          </w:p>
          <w:p w14:paraId="47FCA33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20E8AFD" w14:textId="77777777" w:rsidR="00933ADA" w:rsidRPr="002A677E" w:rsidRDefault="00933ADA" w:rsidP="00822842">
            <w:pPr>
              <w:rPr>
                <w:szCs w:val="22"/>
                <w:rFonts w:ascii="Calibri" w:hAnsi="Calibri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waħda mill-opzjonijiet segwenti għall-kollateralizzazzjoni tal-ftehim ta’ protezzjoni tal-kreditu:</w:t>
            </w:r>
          </w:p>
          <w:p w14:paraId="42F6D81D" w14:textId="77777777" w:rsidR="00933ADA" w:rsidRPr="002A677E" w:rsidRDefault="00933ADA" w:rsidP="00822842"/>
          <w:p w14:paraId="12CD9FF6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fil-forma ta’ titoli ta’ dejn ponderati għar-riskju ta’ 0 %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26e(10), l-ewwel subparagrafu, il-punt (a), tar-Regolament (UE) 2017/2402</w:t>
            </w:r>
          </w:p>
          <w:p w14:paraId="757E6885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fil-forma ta’ flus miżmuma minn istituzzjoni ta’ kreditu terza bi skala 3 jew ogħla tal-kwalità kreditizja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26e(10), l-ewwel subparagrafu, il-punt (b) tar-Regolament (UE) 2017/2402</w:t>
            </w:r>
          </w:p>
          <w:p w14:paraId="0D7CB373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fil-forma ta’ flus iddepożitati mal-oriġinatur, jew wieħed mill-affiljati tiegħu, jekk l-oriġinatur jew wieħed mill-affiljati tiegħu jikkwalifika bħala minimu għall-iskala 2 tal-kwalità kreditizja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26e(10), it-tieni subparagrafu tar-Regolament (UE) 2017/2402</w:t>
            </w:r>
          </w:p>
          <w:p w14:paraId="03FD0372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fil-forma ta’ flus iddepożitati mal-oriġinatur, jew wieħed mill-affiljati tiegħu, jekk l-oriġinatur jew wieħed mill-affiljati tiegħu jikkwalifika bħala minimu għall-iskala 3 tal-kwalità kreditizja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26e(10), it-tielet subparagrafu tar-Regolament (UE) 2017/2402</w:t>
            </w:r>
          </w:p>
          <w:p w14:paraId="1C79D687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 issodisfat fil-każ ta’ investimenti fin-nota marbuta ma’ kreditu maħruġa mill-oriġinatur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26e(10), ir-raba’ subparagrafu tar-Regolament (UE) 2017/2402</w:t>
            </w:r>
          </w:p>
          <w:p w14:paraId="0927AFAB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kollateral, l-investitur jikkwalifika għal RW ta’ 0 %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26e(8), il-punt (a) tar-Regolament (UE) 2017/2402</w:t>
            </w:r>
          </w:p>
          <w:p w14:paraId="528AF68E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kollateral, l-investitur jibbenefika minn kontrogaranzija ta’ entità li tikkwalifika għal RW ta’ 0 %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L-Artikolu 26e(8), il-punt (b) tar-Regolament (UE) Nru 2017/2402</w:t>
            </w:r>
          </w:p>
          <w:p w14:paraId="382191B5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Tipi oħra ta’ kollateral: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titoli ta’ dejn mhux konformi mal-Artikolu 26e tar-Regolament (UE) 2017/2402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ADFAAB6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Tipi oħra ta’ kollateral: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flus mhux konformi mal-Artikolu 26e tar-Regolament (UE) Nru 2017/2402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1A4FFC6" w14:textId="77777777" w:rsidR="00933ADA" w:rsidRPr="001235ED" w:rsidRDefault="00933ADA" w:rsidP="00933ADA">
            <w:pPr>
              <w:pStyle w:val="ListParagraph"/>
              <w:numPr>
                <w:ilvl w:val="0"/>
                <w:numId w:val="22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kollateral, mhux konformi mal-kriterji STS għal titoli fil-karta bilanċjali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Każijiet differenti minn dawk fejn ma jkun hemm l-ebda kollateral, iżda l-investitur jikkwalifika għal RW ta’ 0 % jew benefiċċji minn kontrogaranzija ta’ entità li tikkwalifika għal RW ta’ 0 %</w:t>
            </w:r>
          </w:p>
          <w:p w14:paraId="61F5524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B6257AB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tiġi rapportata biss jekk il-kolonna 0040 tiġi rapportata bħala “Tranżazzjoni sintetika”.</w:t>
            </w:r>
          </w:p>
          <w:p w14:paraId="26CA07D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6449A0A" w14:textId="77777777" w:rsidTr="00822842">
        <w:tc>
          <w:tcPr>
            <w:tcW w:w="1101" w:type="dxa"/>
          </w:tcPr>
          <w:p w14:paraId="0B603D2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0080– 0100</w:t>
            </w:r>
          </w:p>
        </w:tc>
        <w:tc>
          <w:tcPr>
            <w:tcW w:w="7903" w:type="dxa"/>
          </w:tcPr>
          <w:p w14:paraId="061700E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ŻAMMA</w:t>
            </w:r>
          </w:p>
          <w:p w14:paraId="3B8B2BF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522481E" w14:textId="77777777" w:rsidR="00933ADA" w:rsidRPr="002A677E" w:rsidRDefault="00933ADA" w:rsidP="00822842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6 tar-Regolament (UE) 2017/2402;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japplika l-Artikolu 43(6) tar-Regolament (UE) 2017/2402, l-Artikolu 405 tar-Regolament (UE) Nru 575/2013 fil-verżjoni ta’ dak ir-Regolament applikabbli fil-31 ta’ Diċembru 2018.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35993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F90C9C8" w14:textId="77777777" w:rsidTr="00822842">
        <w:tc>
          <w:tcPr>
            <w:tcW w:w="1101" w:type="dxa"/>
          </w:tcPr>
          <w:p w14:paraId="40D66C9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903" w:type="dxa"/>
          </w:tcPr>
          <w:p w14:paraId="7D10B98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ŻAMMA APPLIKATA</w:t>
            </w:r>
          </w:p>
          <w:p w14:paraId="05AAD76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617207B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skema ta’ titolizzazzjoni oriġinati, għandu jiġi rrapportat it-tip relevanti ta’ żamma tal-interess ekonomiku nett, kif previst fl-Artikolu 6 tar-Regolament (UE) 2017/2402:</w:t>
            </w:r>
          </w:p>
          <w:p w14:paraId="4045C4C8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F9B0C0A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- Taqsima vertikali (pożizzjonijiet ta’ titolizzazzjoni):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i/>
                <w:rFonts w:ascii="Times New Roman" w:hAnsi="Times New Roman"/>
              </w:rPr>
              <w:t xml:space="preserve">“ir-retenzjoni ta’ mhux inqas minn 5 % tal-valur nominali ta’ kull wieħed mis-segmenti mibjugħin jew trasferiti lill-investituri”;</w:t>
            </w:r>
          </w:p>
          <w:p w14:paraId="0A29BE3E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E74057F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- Taqsima vertikali (skoperturi titolizzati):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retenzjoni ta’ mhux inqas minn 5 % tar-riskju ta’ kreditu ta’ kull waħda mill-iskoperturi titolizzati, jekk ir-riskju ta’ kreditu mġarrab fir-rigward tat-tali skoperturi titolizzati dejjem jikklassifika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pari passu</w:t>
            </w:r>
            <w:r>
              <w:rPr>
                <w:sz w:val="24"/>
                <w:rFonts w:ascii="Times New Roman" w:hAnsi="Times New Roman"/>
              </w:rPr>
              <w:t xml:space="preserve"> mar-riskju ta’ kreditu, jew huwa subordinat għat-tali riskju ta’ kreditu li ġie titolizzati fir-rigward ta’ dawk l-istess skoperturi;</w:t>
            </w:r>
          </w:p>
          <w:p w14:paraId="4403C31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F5FF6D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 - Skoperturi rotanti: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fil-każ ta’ titolizzazzjonijiet ta’ skoperturi ċirkolanti, ir-retenzjoni tal-interess tal-oriġinatur ta’ mhux inqas minn 5 % tal-valur nominali ta’ kull waħda mill-iskoperturi titolizzati</w:t>
            </w:r>
            <w:r>
              <w:rPr>
                <w:sz w:val="24"/>
                <w:rFonts w:ascii="Times New Roman" w:hAnsi="Times New Roman"/>
              </w:rPr>
              <w:t xml:space="preserve">”;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F8D5365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BC539DB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C- Fil-karta bilanċjali: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ir-retenzjoni ta’ skoperturi magħżula b’mod aleatorju, ekwivalenti għal mhux inqas minn 5 % tal-valur nominali tal-iskoperturi titolizzati, fejn tali skoperturi mhux titolizzati normalment kienu jkunu titolizzati fit-titolizzazzjoni, bil-kondizzjoni li n-numru ta’ skoperturi potenzjalment titolizzati ma jkunx inqas minn 100 fil-bidu</w:t>
            </w:r>
            <w:r>
              <w:rPr>
                <w:sz w:val="24"/>
                <w:rFonts w:ascii="Times New Roman" w:hAnsi="Times New Roman"/>
              </w:rPr>
              <w:t xml:space="preserve">”;</w:t>
            </w:r>
          </w:p>
          <w:p w14:paraId="0849839E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74AFE0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D- L-ewwel telf: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ir-retenzjoni tas-segment tal-ewwel tat-telf u, jekk hemm bżonn, segmenti oħrajn bl-istess profil ta’ riskju jew wieħed iktar sever minn dawk ittrasferiti jew mibjugħin lil investituri u li ma jimmaturawx qabel dawk ittrasferiti jew mibjugħin lil investituri, sabiex ir-retenzjoni totali ma tkunx inqas minn 5 % tal-valur nominali tal-iskoperturi titolizzati</w:t>
            </w:r>
            <w:r>
              <w:rPr>
                <w:sz w:val="24"/>
                <w:rFonts w:ascii="Times New Roman" w:hAnsi="Times New Roman"/>
              </w:rPr>
              <w:t xml:space="preserve">”;</w:t>
            </w:r>
          </w:p>
          <w:p w14:paraId="62FFD371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B5F76C9" w14:textId="5C8B53C8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 – Eżentati.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il-kodiċi għandu jiġi rrapportat għal dawk it-titolizzazzjonijiet affettwati mill-applikazzjoni tal-Artikolu 6(6) tar-Regolament (UE) 2017/2402, jew esklużi mill-kamp ta’ applikazzjoni tar-rekwiżit ta’ ritenzjoni skont l-Artikolu 43(6) tar-Regolament (UE) 2017/2402;</w:t>
            </w:r>
          </w:p>
          <w:p w14:paraId="685CC39A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9C8C8D5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– Fi ksur jew mhux magħrufin.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il-kodiċi għandu jiġi rrapportat fejn l-istituzzjoni li tirrapporta ma tkunx ċerta liema tip ta’ żamma qiegħed jiġi applikat jew fil-każ ta’ nuqqas ta’ konformità.</w:t>
            </w:r>
          </w:p>
          <w:p w14:paraId="36CD5DB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C8355D3" w14:textId="77777777" w:rsidTr="00822842">
        <w:tc>
          <w:tcPr>
            <w:tcW w:w="1101" w:type="dxa"/>
          </w:tcPr>
          <w:p w14:paraId="709A067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903" w:type="dxa"/>
          </w:tcPr>
          <w:p w14:paraId="5FF743DF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 TAŻ-ŻAMMA FID-DATA TAR-RAPPORTAR</w:t>
            </w:r>
          </w:p>
          <w:p w14:paraId="2BF39BD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BAECBDE" w14:textId="77777777" w:rsidR="00933ADA" w:rsidRPr="002A677E" w:rsidRDefault="00933ADA" w:rsidP="00822842">
            <w:pPr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Ir-retenzjoni ta’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interess materjali ekonomiku nett mill-oriġinatur, sponsor jew mutwanti oriġinali</w:t>
            </w:r>
            <w:r>
              <w:rPr>
                <w:sz w:val="24"/>
                <w:rFonts w:ascii="Times New Roman" w:hAnsi="Times New Roman"/>
              </w:rPr>
              <w:t xml:space="preserve"> tat-titolizzazzjoni ma għandhiex tkun inqas minn 5 % (fid-data tal-bidu).</w:t>
            </w:r>
          </w:p>
          <w:p w14:paraId="3BCFDD0A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i/>
                <w:sz w:val="24"/>
              </w:rPr>
            </w:pPr>
          </w:p>
          <w:p w14:paraId="305F96D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fejn il-kodiċi “E” (eżentati) ikun irrapportat taħt il-kolonna 0080 (Tip ta’ żamma applikat).</w:t>
            </w:r>
          </w:p>
          <w:p w14:paraId="5E2B41A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10ECFC40" w14:textId="77777777" w:rsidTr="00822842">
        <w:tc>
          <w:tcPr>
            <w:tcW w:w="1101" w:type="dxa"/>
          </w:tcPr>
          <w:p w14:paraId="1580608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903" w:type="dxa"/>
          </w:tcPr>
          <w:p w14:paraId="79043C4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KONFORMITÀ MAR-REKWIŻIT TAŻ-ŻAMMA?</w:t>
            </w:r>
          </w:p>
          <w:p w14:paraId="3289B88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878DE32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l-abbrevjazzjonijiet segwenti:</w:t>
            </w:r>
          </w:p>
          <w:p w14:paraId="7FF1051E" w14:textId="77777777" w:rsidR="00933ADA" w:rsidRPr="002A677E" w:rsidRDefault="00933ADA" w:rsidP="00822842">
            <w:pPr>
              <w:tabs>
                <w:tab w:val="left" w:pos="317"/>
                <w:tab w:val="left" w:pos="600"/>
              </w:tabs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Iva;</w:t>
            </w:r>
          </w:p>
          <w:p w14:paraId="5C5E51BF" w14:textId="77777777" w:rsidR="00933ADA" w:rsidRPr="002A677E" w:rsidRDefault="00933ADA" w:rsidP="00822842">
            <w:pPr>
              <w:tabs>
                <w:tab w:val="left" w:pos="317"/>
                <w:tab w:val="left" w:pos="600"/>
              </w:tabs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Nru.</w:t>
            </w:r>
          </w:p>
          <w:p w14:paraId="2973045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C7A9CC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fejn il-kodiċi “E” (eżentati) ikun irrapportat taħt il-kolonna 0080 (Tip ta’ żamma applikat).</w:t>
            </w:r>
          </w:p>
          <w:p w14:paraId="46DC6A7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D10462F" w14:textId="77777777" w:rsidTr="00822842">
        <w:tc>
          <w:tcPr>
            <w:tcW w:w="1101" w:type="dxa"/>
          </w:tcPr>
          <w:p w14:paraId="6E95CC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0120– 0130</w:t>
            </w:r>
          </w:p>
        </w:tc>
        <w:tc>
          <w:tcPr>
            <w:tcW w:w="7903" w:type="dxa"/>
          </w:tcPr>
          <w:p w14:paraId="03CEC11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PROGRAMMI MHUX ABCP</w:t>
            </w:r>
          </w:p>
          <w:p w14:paraId="2DD2620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B06813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Minħabba l-karattru speċjali tal-programmi ABCP li jirriżultaw mill-fatt li dawn jinkludu diversi pożizzjonijiet uniċi ta’ titolizzazzjoni, il-programmi ABCP (kif definiti fl-Artikolu 242(11) tar-Regolament (UE) Nru 575/2013) għandhom ikunu eżentati mir-rapportar fil-kolonni 0120, 0121 u 0130.</w:t>
            </w:r>
          </w:p>
          <w:p w14:paraId="439959A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536E6885" w14:textId="77777777" w:rsidTr="00822842">
        <w:tc>
          <w:tcPr>
            <w:tcW w:w="1101" w:type="dxa"/>
          </w:tcPr>
          <w:p w14:paraId="24616AF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903" w:type="dxa"/>
          </w:tcPr>
          <w:p w14:paraId="4851632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DATA TAL-ORIĠINAZZJONI (ssss-xx-jj)</w:t>
            </w:r>
          </w:p>
          <w:p w14:paraId="75562F8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6693B4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Ix-xahar u s-sena tad-data tal-bidu (jiġifieri d-data ta’ skadenza jew id-data tal-għeluq tal-grupp) tat-titolizzazzjoni għandhom ikunu rrapportati fil-format li ġej: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“xx/ssss”.</w:t>
            </w:r>
          </w:p>
          <w:p w14:paraId="0E13334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1A2547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skema ta’ titolizzazzjoni, id-data tal-oriġinazzjoni ma tistax tinbidel bejn id-dati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partikolari ta’ skemi ta’ titolizzazzjoni fuq il-bażi ta’ aggregazzjonijiet miftuħin, id-data tal-oriġinazzjoni għandha tkun id-data tal-ewwel ħruġ tat-titoli.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8F9C9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F76551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il-biċċa informazzjoni għandha tkun irrapportata anki fejn l-entità li tirrapporta ma jkollha ebda pożizzjoni fit-titolizzazzjoni.</w:t>
            </w:r>
          </w:p>
          <w:p w14:paraId="29AC561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9FBCDE9" w14:textId="77777777" w:rsidTr="00822842">
        <w:tc>
          <w:tcPr>
            <w:tcW w:w="1101" w:type="dxa"/>
          </w:tcPr>
          <w:p w14:paraId="4DACA5C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0121</w:t>
            </w:r>
          </w:p>
        </w:tc>
        <w:tc>
          <w:tcPr>
            <w:tcW w:w="7903" w:type="dxa"/>
          </w:tcPr>
          <w:p w14:paraId="7361DAD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DATA TAL-AĦĦAR ĦRUĠ (ssss-xx-jj)</w:t>
            </w:r>
          </w:p>
          <w:p w14:paraId="0C14CEA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549D722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Ix-xahar u s-sena tad-data tal-aħħar ħruġ ta’ titoli fit-titolizzazzjoni għandhom ikunu rrapportati fil-format li ġej: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“ssss-xx-jj”.</w:t>
            </w:r>
          </w:p>
          <w:p w14:paraId="4CCEF8B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B2925C7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Ir-Regolament (UE) 2017/2402 japplika biss għal titolizzazzjonijiet li jinħarġu fl-1 ta’ Jannar 2019 jew wara.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Id-data tal-aħħar ħruġ ta’ titoli tiddetermina jekk kull skema ta’ titolizzazzjoni taqax taħt l-ambitu tar-Regolament (UE) 2017/2402.</w:t>
            </w:r>
          </w:p>
          <w:p w14:paraId="349B293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F883E34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</w:p>
          <w:p w14:paraId="68C71EF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3107631" w14:textId="77777777" w:rsidTr="00822842">
        <w:tc>
          <w:tcPr>
            <w:tcW w:w="1101" w:type="dxa"/>
          </w:tcPr>
          <w:p w14:paraId="0C1737D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903" w:type="dxa"/>
          </w:tcPr>
          <w:p w14:paraId="71C6F96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 TA’ SKOPERTURI TITOLIZZATI FID-DATA TAL-ORIĠINAZZJONI</w:t>
            </w:r>
          </w:p>
          <w:p w14:paraId="795B596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082CFF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l-ammont (ikkalkolat fuq il-bażi tal-fatturi ta’ qabel il-konverżjoni tal-iskoperturi oriġinali) tal-portafoll titolizzati fid-data tal-oriġinazzjoni.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5710C1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0CE90A7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skemi ta’ titolizzazzjoni fuq il-bażi ta’ aggregazzjonijiet miftuħin, għandu jiġi rrapportat l-ammont li jirreferi għad-data tal-oriġinazzjoni tal-ewwel ħruġ tat-titoli.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titolizzazzjonijiet tradizzjonali, ma għandu jkun inkluż l-ebda assi ieħor tal-aggregazzjoni ta’ 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skemi ta’ titolizzazzjoni b’bosta bejjiegħa (jiġifieri b’aktar minn oriġinatur wieħed) huwa biss l-ammont li jikkorrispondi għall-kontribuzzjoni tal-entità li tirrapporta fil-portafoll titolizzati li għandu jkun irrapportat.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titolizzazzjonijiet ta’ obbligazzjonijiet, huma biss l-ammonti maħruġin mill-entità li tirrapporta li għandhom ikunu rrapportati.</w:t>
            </w:r>
          </w:p>
          <w:p w14:paraId="6343883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0CD920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</w:p>
          <w:p w14:paraId="5967ED8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5D5A6C3" w14:textId="77777777" w:rsidTr="00822842">
        <w:tc>
          <w:tcPr>
            <w:tcW w:w="1101" w:type="dxa"/>
          </w:tcPr>
          <w:p w14:paraId="2992EBF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0140– 0225</w:t>
            </w:r>
          </w:p>
        </w:tc>
        <w:tc>
          <w:tcPr>
            <w:tcW w:w="7903" w:type="dxa"/>
          </w:tcPr>
          <w:p w14:paraId="047395D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TITOLIZZATI</w:t>
            </w:r>
          </w:p>
          <w:p w14:paraId="61471BA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FFE019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minn 0140 sa 0225 jitolbu informazzjoni dwar bosta karatteristiċi tal-portafoll titolizzati mill-entità li tirrapporta.</w:t>
            </w:r>
          </w:p>
          <w:p w14:paraId="4E8F986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8F694A4" w14:textId="77777777" w:rsidTr="00822842">
        <w:tc>
          <w:tcPr>
            <w:tcW w:w="1101" w:type="dxa"/>
          </w:tcPr>
          <w:p w14:paraId="206B8BC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903" w:type="dxa"/>
          </w:tcPr>
          <w:p w14:paraId="58DD9AA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</w:t>
            </w:r>
          </w:p>
          <w:p w14:paraId="4883825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82D075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tal-portafoll titolizzati fid-data tar-rapportar, jiġifieri l-ammont pendenti tal-iskoperturi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titolizzazzjonijiet tradizzjonali, ma għandu jkun inkluż l-ebda assi ieħor tal-aggregazzjoni ta’ 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skemi ta’ titolizzazzjoni b’bosta bejjiegħa (jiġifieri b’aktar minn oriġinatur wieħed) huwa biss l-ammont li jikkorrispondi għall-kontribuzzjoni tal-entità li tirrapporta fil-portafoll titolizzati li għandu jkun irrapportat.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skemi ta’ titolizzazzjoni fuq il-bażi ta’ aggregazzjonijiet magħluqin (jiġifieri l-portafoll ta’ assi titolizzati ma jistax jikber wara d-data tal-oriġinazzjoni), l-ammont se jitnaqqas b’mod progressiv.</w:t>
            </w:r>
          </w:p>
          <w:p w14:paraId="72809C5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AFA340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</w:p>
          <w:p w14:paraId="7BAAF7E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6885180" w14:textId="77777777" w:rsidTr="00822842">
        <w:tc>
          <w:tcPr>
            <w:tcW w:w="1101" w:type="dxa"/>
          </w:tcPr>
          <w:p w14:paraId="56B14B7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903" w:type="dxa"/>
          </w:tcPr>
          <w:p w14:paraId="6AA9FA8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SEHEM L-ISTITUZZJONI (%)</w:t>
            </w:r>
          </w:p>
          <w:p w14:paraId="15FD4AD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312CD141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Sehem l-istituzzjoni (perċentwal b’żewġ deċimali) fid-data tar-rapportar fil-portafoll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Iċ-ċifra li għandha tiġi rapportata f’din il-kolonna hija, b’mod prestabbilit, 100 % ħlief għal skemi ta’ titolizzazzjoni b’bosta bejjiegħa.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F’dak il-każ, l-entità li tirrapporta, għandha tirrapporta l-kontribuzzjoni attwali tagħha għall-portafoll titolizzati (ekwivalenti għall-kolonna 0140 f’termini relattivi).</w:t>
            </w:r>
          </w:p>
          <w:p w14:paraId="1F647877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C6E3C8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</w:p>
          <w:p w14:paraId="5C14017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3344A4D" w14:textId="77777777" w:rsidTr="00822842">
        <w:tc>
          <w:tcPr>
            <w:tcW w:w="1101" w:type="dxa"/>
          </w:tcPr>
          <w:p w14:paraId="36AB623C" w14:textId="77777777" w:rsidR="00933ADA" w:rsidRPr="002A677E" w:rsidDel="00817047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903" w:type="dxa"/>
          </w:tcPr>
          <w:p w14:paraId="67E45D41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</w:t>
            </w:r>
          </w:p>
          <w:p w14:paraId="3EDA6F1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CE39A9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it-tip ta’ assi (“Ipoteki residenzjali” għal “Skoperturi oħra tal-operaturi”) jew obbligazzjonijiet (“Bonds koperti” u “Obbligazzjonijiet oħra”) tal-portafoll titolizzat.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 għandha tirrapporta waħda mill-għażliet li ġejjin, b’kunsiderazzjoni tal-ogħla EAD:</w:t>
            </w:r>
          </w:p>
          <w:p w14:paraId="22AE94A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E88D56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Bejgħ bl-imnut:</w:t>
            </w:r>
          </w:p>
          <w:p w14:paraId="026FC65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Ipoteki residenzjali;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519672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Riċevibbli tal-karta tal-kreditu;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9711B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lill-konsumatur;</w:t>
            </w:r>
          </w:p>
          <w:p w14:paraId="608EB1E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għal SMEs (trattati bħal fil-livell tal-konsumatur);</w:t>
            </w:r>
          </w:p>
          <w:p w14:paraId="5D4CD04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oħra fil-livell tal-konsumatur.</w:t>
            </w:r>
          </w:p>
          <w:p w14:paraId="66DE0A7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F43F0D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Bejgħ bl-ingrossa:</w:t>
            </w:r>
          </w:p>
          <w:p w14:paraId="1C7C174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Ipoteki kummerċjali;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F95628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Kiri;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0F25C5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għal korporattivi;</w:t>
            </w:r>
          </w:p>
          <w:p w14:paraId="6CCD5A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għal SMEs (trattati bħala korporattivi);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D11473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Riċevibbli tan-negozju;</w:t>
            </w:r>
          </w:p>
          <w:p w14:paraId="3AE586F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oħra tal-operaturi.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277428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43F8FC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Obbligazzjonijiet:</w:t>
            </w:r>
          </w:p>
          <w:p w14:paraId="157CA11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Bonds koperti;</w:t>
            </w:r>
          </w:p>
          <w:p w14:paraId="693D8FC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Obbligazzjonijiet oħra.</w:t>
            </w:r>
          </w:p>
          <w:p w14:paraId="79C0BE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24A916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F’każ li l-aggregazzjoni ta’ skoperturi titolizzati tkun taħlita tat-tipi elenkati hawn fuq, l-istituzzjoni għandha tindika l-aktar tip importanti.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ta’ titolizzazzjonijiet, l-istituzzjoni għandha tirreferi għall-pula sottostanti aħħarija ta’ assi.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1B872FC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skemi ta’ titolizzazzjoni fuq il-bażi ta’ aggregazzjonijiet magħluqin, it-tip ma jistax jinbidel bejn id-dati tar-rapportar.</w:t>
            </w:r>
          </w:p>
          <w:p w14:paraId="0C1FF64E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4138D02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Jenħtieġ li l-obbligazzjonijiet jinftiehmu fis-sens ta’ obbligazzjonijiet oriġinarjament maħruġa mill-istituzzjoni li tirrapporta (ara l-paragrafu 112, il-punt (b), tat-taqsima 3.2.1 ta’ dan l-anness).</w:t>
            </w:r>
          </w:p>
          <w:p w14:paraId="3B95218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E23DB8B" w14:textId="77777777" w:rsidTr="00822842">
        <w:tc>
          <w:tcPr>
            <w:tcW w:w="1101" w:type="dxa"/>
          </w:tcPr>
          <w:p w14:paraId="68135B6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0171</w:t>
            </w:r>
          </w:p>
        </w:tc>
        <w:tc>
          <w:tcPr>
            <w:tcW w:w="7903" w:type="dxa"/>
          </w:tcPr>
          <w:p w14:paraId="49A5E8FD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 TA’ IRB FL-APPROĊĊ APPLIKAT</w:t>
            </w:r>
          </w:p>
          <w:p w14:paraId="7CE80DB2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D62530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l-approċċ(i) li fid-data tar-rapportar l-istituzzjoni tapplika għall-iskoperturi titolizzati.</w:t>
            </w:r>
          </w:p>
          <w:p w14:paraId="701947C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4E39BB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il-perċentwal tal-iskoperturi titolizzati, imkejjel bil-valur tal-iskopertura, li għalih japplika l-Approċċ Ibbażat fuq Klassifikazzjonijiet Interni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AD8E5F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DFBEB1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Madankollu, din il-kolonna ma għandhiex tapplika għal obbligazzjonijiet ta’ titolizzazzjonijiet.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766C4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59D14038" w14:textId="77777777" w:rsidTr="00822842">
        <w:tc>
          <w:tcPr>
            <w:tcW w:w="1101" w:type="dxa"/>
          </w:tcPr>
          <w:p w14:paraId="40AA4CE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903" w:type="dxa"/>
            <w:shd w:val="clear" w:color="auto" w:fill="auto"/>
          </w:tcPr>
          <w:p w14:paraId="6055C31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SKOPERTURI</w:t>
            </w:r>
          </w:p>
          <w:p w14:paraId="552A1C8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B95325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259(4) tar-Regolament (UE) Nru 575/2013</w:t>
            </w:r>
          </w:p>
          <w:p w14:paraId="35B948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02D198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tkun obbligatorja biss għal dawk l-istituzzjonijiet li jużaw l-approċċ SEC-IRBA għall-pożizzjonijiet ta’ titolizzazzjoni (u li, b’hekk, jirrapportaw aktar minn 95 % fil-kolonna 171).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 għandha tirrapporta l-ammont effettiv ta’ skoperturi.</w:t>
            </w:r>
          </w:p>
          <w:p w14:paraId="7D3948A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9A5FFA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 jew fejn ir-rekwiżiti ta’ fondi proprji jkunu bbażati fuq l-iskoperturi titolizzati (fil-każ ta’ titolizzazzjoni ta’ assi).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ma għandhiex tiġi rrapportata fejn l-istituzzjoni li tirrapporta ma jkollha ebda pożizzjoni fit-titolizzazzjoni.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ma għandhiex tiġi rrapportata mill-investituri.</w:t>
            </w:r>
          </w:p>
          <w:p w14:paraId="104C4A7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2AF960A1" w14:textId="77777777" w:rsidTr="00822842">
        <w:tc>
          <w:tcPr>
            <w:tcW w:w="1101" w:type="dxa"/>
            <w:shd w:val="clear" w:color="auto" w:fill="auto"/>
          </w:tcPr>
          <w:p w14:paraId="4B999CC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0181</w:t>
            </w:r>
          </w:p>
        </w:tc>
        <w:tc>
          <w:tcPr>
            <w:tcW w:w="7903" w:type="dxa"/>
            <w:shd w:val="clear" w:color="auto" w:fill="auto"/>
          </w:tcPr>
          <w:p w14:paraId="5F1F6DF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F’INADEMPJENZA “W” (%)</w:t>
            </w:r>
          </w:p>
          <w:p w14:paraId="53CB162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11E3D3F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261(2) tar-Regolament (UE) Nru 575/2013</w:t>
            </w:r>
          </w:p>
          <w:p w14:paraId="70207A9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90CEC59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Anki meta l-istituzzjoni ma tkunx qed tapplika l-approċċ SEC-SA għall-pożizzjonijiet ta’ titolizzazzjoni, l-istituzzjoni għandha tirrapporta l-fattur “W” (relatat mal-iskoperturi sottostanti f’inadempjenza) li għandu jiġi kkalkolat kif indikat fl-Artikolu 261(2)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D3CA0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95DEBA7" w14:textId="77777777" w:rsidTr="00822842">
        <w:tc>
          <w:tcPr>
            <w:tcW w:w="1101" w:type="dxa"/>
            <w:shd w:val="clear" w:color="auto" w:fill="auto"/>
          </w:tcPr>
          <w:p w14:paraId="3BFCD96E" w14:textId="77777777" w:rsidR="00933ADA" w:rsidRPr="002A677E" w:rsidDel="00A749EA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903" w:type="dxa"/>
            <w:shd w:val="clear" w:color="auto" w:fill="auto"/>
          </w:tcPr>
          <w:p w14:paraId="6E2E1BBD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PAJJIŻ</w:t>
            </w:r>
          </w:p>
          <w:p w14:paraId="79EB062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8575CE2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il-kodiċi (ISO 3166-1 alpha-2) tal-pajjiż ta’ oriġini tas-sottostanti aħħari tat-tranżazzjoni, jiġifieri l-pajjiż tal-obbligant immedjat tal-iskoperturi titolizzati oriġinali (trasparenti).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l-aggregazzjoni tat-titolizzazzjoni tikkonsisti f’pajjiżi differenti, l-istituzzjoni għandha tindika l-aktar pajjiż importanti.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l-ebda pajjiż ma jaqbeż il-limitu ta’ 20 % fuq il-bażi tal-ammont ta’ assi/obbligazzjonijiet, f’dak il-każ għandhom jiġu rapportati “pajjiżi oħrajn”.</w:t>
            </w:r>
          </w:p>
          <w:p w14:paraId="5A9320CB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2DF731BC" w14:textId="77777777" w:rsidTr="00822842">
        <w:tc>
          <w:tcPr>
            <w:tcW w:w="1101" w:type="dxa"/>
          </w:tcPr>
          <w:p w14:paraId="032652B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0201</w:t>
            </w:r>
          </w:p>
        </w:tc>
        <w:tc>
          <w:tcPr>
            <w:tcW w:w="7903" w:type="dxa"/>
          </w:tcPr>
          <w:p w14:paraId="703F0EC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LGD (%)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E2747F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400540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medju fil-każ ta’ inadempjenza ponderat skont l-iskopertura (LGD, loss-given-default) għandu jiġi rapportat biss minn dawk l-istituzzjonijiet li japplikaw is-SEC-IRBA (u li, għaldaqstant, jirrapportaw 95 % jew aktar fil-kolonna 0170).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L-LGD għandu jiġi kkalkolat kif indikat fl-Artikolu 259(5)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A54C9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 jew fejn ir-rekwiżiti ta’ fondi proprji jkunu bbażati fuq l-iskoperturi titolizzati (fil-każ ta’ titolizzazzjoni ta’ assi).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F781CD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A68FC1C" w14:textId="77777777" w:rsidTr="00822842">
        <w:tc>
          <w:tcPr>
            <w:tcW w:w="1101" w:type="dxa"/>
          </w:tcPr>
          <w:p w14:paraId="7F3BB3A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0202</w:t>
            </w:r>
          </w:p>
        </w:tc>
        <w:tc>
          <w:tcPr>
            <w:tcW w:w="7903" w:type="dxa"/>
          </w:tcPr>
          <w:p w14:paraId="30686DB4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EL (%)</w:t>
            </w:r>
          </w:p>
          <w:p w14:paraId="3145706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FF6DD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mistenni (expected loss, EL) medju ponderat skont l-iskopertura tal-assi titolizzati għandu jiġi rapportat biss minn dawk l-istituzzjonijiet li japplikaw is-SEC-IRBA (u li, għaldaqstant, jirrapportaw 95 % jew aktar fil-kolonna 0171).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tal-assi titolizzati SA, l-EL irrapportat għandu jkun l-aġġustamenti speċifiċi għar-riskju ta’ kreditu kif imsemmi fl-Artikolu 111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L-EL għandu jiġi kkalkolat kif indikat fil-Parti Tlieta, it-Titolu II, il-Kapitolu 3, it-Taqsima 3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 jew fejn ir-rekwiżiti ta’ fondi proprji jkunu bbażati fuq l-iskoperturi titolizzati (fil-każ ta’ titolizzazzjoni ta’ assi).</w:t>
            </w:r>
          </w:p>
          <w:p w14:paraId="4CAA401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324F01C" w14:textId="77777777" w:rsidTr="00822842">
        <w:tc>
          <w:tcPr>
            <w:tcW w:w="1101" w:type="dxa"/>
          </w:tcPr>
          <w:p w14:paraId="689C848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0203</w:t>
            </w:r>
          </w:p>
        </w:tc>
        <w:tc>
          <w:tcPr>
            <w:tcW w:w="7903" w:type="dxa"/>
          </w:tcPr>
          <w:p w14:paraId="57951E6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UL (%)</w:t>
            </w:r>
          </w:p>
          <w:p w14:paraId="0EBB92A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CF616F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mhux mistenni (unexpected loss, UL) medju ponderat skont l-iskopertura tal-assi titolizzati għandu jiġi rapportat biss minn dawk l-istituzzjonijiet li japplikaw is-SEC-IRBA (u li, għaldaqstant, jirrapportaw 95 % jew aktar fil-kolonna 0170).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L-UL tal-assi huwa daqs l-ammont ta’ skopertura ponderat skont ir-riskju (risk-weighted exposure amount, RWEA) multiplikat bi 8 %.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L-RWEA għandu jiġi kkalkolat kif indikat fil-Parti Tlieta, it-Titolu II, il-Kapitolu 3, it-Taqsima 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 jew fejn ir-rekwiżiti ta’ fondi proprji jkunu bbażati fuq l-iskoperturi titolizzati (fil-każ ta’ titolizzazzjoni ta’ assi).</w:t>
            </w:r>
          </w:p>
          <w:p w14:paraId="17DAE23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A65B698" w14:textId="77777777" w:rsidTr="00822842">
        <w:tc>
          <w:tcPr>
            <w:tcW w:w="1101" w:type="dxa"/>
          </w:tcPr>
          <w:p w14:paraId="7B1C286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0204</w:t>
            </w:r>
          </w:p>
        </w:tc>
        <w:tc>
          <w:tcPr>
            <w:tcW w:w="7903" w:type="dxa"/>
          </w:tcPr>
          <w:p w14:paraId="0245F2A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SKONT L-ISKOPERTURA TAL-ASSI</w:t>
            </w:r>
          </w:p>
          <w:p w14:paraId="507A82E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6FBAA8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Il-maturità medja ponderata skont l-iskopertura (WAM) tal-assi titolizzati fid-data tar-rapportar għandha tiġi rrapportata mill-istituzzjonijiet kollha indipendentement mill-approċċ użat għall-kalkolu tar-rekwiżiti kapitali.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jikkalkolaw il-maturità ta’ kull assi f’konformità mal-Artikolu 162(2), il-punti (a) u (f) tar-Regolament (UE) Nru 575/2013, mingħajr ma japplikaw il-limitu ta’ ħames snin.</w:t>
            </w:r>
          </w:p>
          <w:p w14:paraId="7FCA2E78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AB2F977" w14:textId="77777777" w:rsidTr="00822842">
        <w:tc>
          <w:tcPr>
            <w:tcW w:w="1101" w:type="dxa"/>
          </w:tcPr>
          <w:p w14:paraId="7B1AA89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903" w:type="dxa"/>
          </w:tcPr>
          <w:p w14:paraId="48C21AE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TAL-VALUR U DISPOŻIZZJONIJIET</w:t>
            </w:r>
          </w:p>
          <w:p w14:paraId="598F8B9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2EB71C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L-aġġustamenti tal-valur u d-dispożizzjonijiet (l-Artikolu 159 tar-Regolament (UE) Nru 575/2013) għal telf ta’ kreditu li sar f’konformità mal-qafas kontabilistiku li għalih hija soġġetta l-entità li tirrapporta.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L-aġġustamenti tal-valur għandhom jinkludu kwalunkwe ammont rikonoxxut fil-qligħ jew it-telf għal telf ta’ kreditu tal-assi finanzjarji sa mir-rikonoxximent inizjali tagħhom fil-karta bilanċjali (inkluż telf dovut għar-riskju tal-kreditu tal-assi finanzjarji mkejlin b’valur ġust li ma għandux jitnaqqas mill-valur tal-iskopertura) flimkien mal-iskontijiet fuq assi mixtrija meta inadempjenti kif imsemmi fl-Artikolu 166(1)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Provvedimenti għandhom jinkludu ammonti akkumulati ta’ telf ta’ kreditu f’entrati li ma jidhrux fil-karta bilanċjali.</w:t>
            </w:r>
          </w:p>
          <w:p w14:paraId="4D79C40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362127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l-aġġustamenti u l-provvedimenti tal-valur applikati għall-iskoperturi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obbligazzjonijiet.</w:t>
            </w:r>
          </w:p>
          <w:p w14:paraId="746A40F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2B4BC56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tkun irrapportata anki fejn l-entità li tirrapporta ma jkollha ebda pożizzjoni fit-titolizzazzjoni.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4E11A1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D5A9C06" w14:textId="77777777" w:rsidTr="00822842">
        <w:tc>
          <w:tcPr>
            <w:tcW w:w="1101" w:type="dxa"/>
          </w:tcPr>
          <w:p w14:paraId="5F190F8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0221</w:t>
            </w:r>
          </w:p>
        </w:tc>
        <w:tc>
          <w:tcPr>
            <w:tcW w:w="7903" w:type="dxa"/>
          </w:tcPr>
          <w:p w14:paraId="5F75FBA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vertAlign w:val="subscript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IT-TITOLIZZAZZJONI (%) K</w:t>
            </w:r>
            <w:r>
              <w:rPr>
                <w:b/>
                <w:sz w:val="24"/>
                <w:u w:val="single"/>
                <w:vertAlign w:val="subscript"/>
                <w:rFonts w:ascii="Times New Roman" w:hAnsi="Times New Roman"/>
              </w:rPr>
              <w:t xml:space="preserve">IRB</w:t>
            </w:r>
          </w:p>
          <w:p w14:paraId="4C43D2F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101286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tiġi rapportata biss minn dawk l-istituzzjonijiet li japplikaw is-SEC-IRBA (u, għaldaqstant, jirrapportaw 95 % jew aktar fil-kolonna 171) u jiġbru informazzjoni dwar K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IRB</w:t>
            </w:r>
            <w:r>
              <w:rPr>
                <w:sz w:val="24"/>
                <w:rFonts w:ascii="Times New Roman" w:hAnsi="Times New Roman"/>
              </w:rPr>
              <w:t xml:space="preserve">, kif imsemmi fl-Artikolu 255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IRB</w:t>
            </w:r>
            <w:r>
              <w:rPr>
                <w:sz w:val="24"/>
                <w:rFonts w:ascii="Times New Roman" w:hAnsi="Times New Roman"/>
              </w:rPr>
              <w:t xml:space="preserve"> għandu jiġi espress bħala persentaġġ (b’żewġ deċimali).</w:t>
            </w:r>
          </w:p>
          <w:p w14:paraId="04777C4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6E7F54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ta’ titolizzazzjoni tal-assi, din l-informazzjoni għandha tkun irrapportata anki fejn l-entità li tirrapporta ma jkollha ebda pożizzjoni fit-titolizzazzjoni.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BBA83A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52E75DAE" w14:textId="77777777" w:rsidTr="00822842">
        <w:tc>
          <w:tcPr>
            <w:tcW w:w="1101" w:type="dxa"/>
          </w:tcPr>
          <w:p w14:paraId="18208F0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0222</w:t>
            </w:r>
          </w:p>
        </w:tc>
        <w:tc>
          <w:tcPr>
            <w:tcW w:w="7903" w:type="dxa"/>
          </w:tcPr>
          <w:p w14:paraId="341B313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% TAL-ISKOPERTURI FIL-LIVELL TAL-KONSUMATUR F’PULI TAL-IRB</w:t>
            </w:r>
          </w:p>
          <w:p w14:paraId="123CF87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815622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L-aggregazzjonijiet tal-IRB kif definiti fl-Artikolu 242(7) tar-Regolament (UE) Nru 575/2013, sakemm l-istituzzjoni tkun tista’ tikkalkola l-K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IRB</w:t>
            </w:r>
            <w:r>
              <w:rPr>
                <w:sz w:val="24"/>
                <w:rFonts w:ascii="Times New Roman" w:hAnsi="Times New Roman"/>
              </w:rPr>
              <w:t xml:space="preserve"> f’konformità mal-Parti Tlieta, it-Titolu II, il-Kapitolu 6, it-Taqsima 3 tar-Regolament (UE) Nru 575/2013 fuq minimu ta’ 95 % tal-ammont sottostanti ta’ skopertura (l-Artikolu 259(2) tar-Regolament (UE) Nru 575/2013)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764038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B1066ED" w14:textId="77777777" w:rsidTr="00822842">
        <w:tc>
          <w:tcPr>
            <w:tcW w:w="1101" w:type="dxa"/>
          </w:tcPr>
          <w:p w14:paraId="1101B2C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0223</w:t>
            </w:r>
          </w:p>
        </w:tc>
        <w:tc>
          <w:tcPr>
            <w:tcW w:w="7903" w:type="dxa"/>
          </w:tcPr>
          <w:p w14:paraId="0933681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QABEL IT-TITOLIZZAZZJONI (%) K</w:t>
            </w:r>
            <w:r>
              <w:rPr>
                <w:b/>
                <w:sz w:val="24"/>
                <w:u w:val="single"/>
                <w:vertAlign w:val="subscript"/>
                <w:rFonts w:ascii="Times New Roman" w:hAnsi="Times New Roman"/>
              </w:rPr>
              <w:t xml:space="preserve">sa</w:t>
            </w:r>
          </w:p>
          <w:p w14:paraId="142CE2E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90928E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Anki fejn l-istituzzjoni ma tapplikax l-approċċ SEC-SA għall-pożizzjonijiet ta’ titolizzazzjoni, l-istituzzjoni għandha tirrapporta din il-kolonna.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tiġbor informazzjoni dwar K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S</w:t>
            </w:r>
            <w:r>
              <w:rPr>
                <w:sz w:val="24"/>
                <w:vertAlign w:val="subscript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sz w:val="24"/>
                <w:rFonts w:ascii="Times New Roman" w:hAnsi="Times New Roman"/>
              </w:rPr>
              <w:t xml:space="preserve">, kif imsemmi fl-Artikolu 255(6)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SA</w:t>
            </w:r>
            <w:r>
              <w:rPr>
                <w:sz w:val="24"/>
                <w:rFonts w:ascii="Times New Roman" w:hAnsi="Times New Roman"/>
              </w:rPr>
              <w:t xml:space="preserve"> għandu jiġi espress bħala persentaġġ (b’żewġ deċimali).</w:t>
            </w:r>
          </w:p>
          <w:p w14:paraId="0F74261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5E58B2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tiġi rrapportata fil-każ ta’ titolizzazzjoni ta’ obbligazzjonijiet.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ta’ titolizzazzjoni tal-assi, din l-informazzjoni għandha tkun irrapportata anki fejn l-entità li tirrapporta ma jkollha ebda pożizzjoni fit-titolizzazzjoni.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21858B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B17AF9F" w14:textId="77777777" w:rsidTr="00822842">
        <w:tc>
          <w:tcPr>
            <w:tcW w:w="1101" w:type="dxa"/>
          </w:tcPr>
          <w:p w14:paraId="3F499B5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0225</w:t>
            </w:r>
          </w:p>
        </w:tc>
        <w:tc>
          <w:tcPr>
            <w:tcW w:w="7903" w:type="dxa"/>
          </w:tcPr>
          <w:p w14:paraId="05DA4D1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FIL-MEMORANDUM: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GĦAR-RISKJU TA’ KREDITU MATUL IL-PERJODU KURRENTI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2CBA94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A298DF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110 tar-Regolament (UE) Nru 575/2013</w:t>
            </w:r>
          </w:p>
          <w:p w14:paraId="273804A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F7A2458" w14:textId="77777777" w:rsidTr="00822842">
        <w:tc>
          <w:tcPr>
            <w:tcW w:w="1101" w:type="dxa"/>
          </w:tcPr>
          <w:p w14:paraId="46B933A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0230– 0304</w:t>
            </w:r>
          </w:p>
        </w:tc>
        <w:tc>
          <w:tcPr>
            <w:tcW w:w="7903" w:type="dxa"/>
          </w:tcPr>
          <w:p w14:paraId="49FEDBF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STRUTTURA TAT-TITOLIZZAZZJONI</w:t>
            </w:r>
          </w:p>
          <w:p w14:paraId="514A68B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u w:val="single"/>
              </w:rPr>
            </w:pPr>
          </w:p>
          <w:p w14:paraId="2E9F9B8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il-blokka ta’ kolonni tiġbor informazzjoni dwar l-istruttura tat-titolizzazzjoni fuq il-bażi tal-pożizzjonijiet tal-karta bilanċjali/li ma jidhrux fil-karta bilanċjali, segmenti (superjuri / intermedji / tal-ewwel telf) u l-maturità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C1E779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7DEA4C2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titolizzazzjonijiet b’aktar minn bejjiegħ wieħed, għandu jiġi rrapportat biss l-ammont li jikkorrispondi jew li huwa attribwit għall-istituzzjoni li tirrapporta.</w:t>
            </w:r>
          </w:p>
          <w:p w14:paraId="33639C9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1485B0F" w14:textId="77777777" w:rsidTr="00822842">
        <w:tc>
          <w:tcPr>
            <w:tcW w:w="1101" w:type="dxa"/>
          </w:tcPr>
          <w:p w14:paraId="5BD10A4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0230– 0255</w:t>
            </w:r>
          </w:p>
        </w:tc>
        <w:tc>
          <w:tcPr>
            <w:tcW w:w="7903" w:type="dxa"/>
          </w:tcPr>
          <w:p w14:paraId="7D83219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FIL-KARTA BILANĊJALI</w:t>
            </w:r>
          </w:p>
          <w:p w14:paraId="2AADD1F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95BC3B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il-blokka ta’ kolonni tiġbor informazzjoni dwar entrati tal-karta bilanċjali mqassma skont segmenti (superjuri/intermedji/l-ewwel telf).</w:t>
            </w:r>
          </w:p>
          <w:p w14:paraId="00705A6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E58E5C7" w14:textId="77777777" w:rsidTr="00822842">
        <w:tc>
          <w:tcPr>
            <w:tcW w:w="1101" w:type="dxa"/>
          </w:tcPr>
          <w:p w14:paraId="7FDA392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0230– 0232</w:t>
            </w:r>
          </w:p>
        </w:tc>
        <w:tc>
          <w:tcPr>
            <w:tcW w:w="7903" w:type="dxa"/>
          </w:tcPr>
          <w:p w14:paraId="71CF3EF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SUPERJURI</w:t>
            </w:r>
          </w:p>
          <w:p w14:paraId="36B08E8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27351B9" w14:textId="77777777" w:rsidTr="00822842">
        <w:tc>
          <w:tcPr>
            <w:tcW w:w="1101" w:type="dxa"/>
          </w:tcPr>
          <w:p w14:paraId="2373CC2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903" w:type="dxa"/>
          </w:tcPr>
          <w:p w14:paraId="2C6AB06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</w:t>
            </w:r>
          </w:p>
          <w:p w14:paraId="13FD616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A8DFF3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pożizzjonijiet ta’ titolizzazzjoni superjuri kif definit fl-Artikolu 242(6) tar-Regolament (UE) 575/2013.</w:t>
            </w:r>
          </w:p>
          <w:p w14:paraId="34858CB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2C7EC89" w14:textId="77777777" w:rsidTr="00822842">
        <w:tc>
          <w:tcPr>
            <w:tcW w:w="1101" w:type="dxa"/>
          </w:tcPr>
          <w:p w14:paraId="1D12DD8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0231</w:t>
            </w:r>
          </w:p>
        </w:tc>
        <w:tc>
          <w:tcPr>
            <w:tcW w:w="7903" w:type="dxa"/>
          </w:tcPr>
          <w:p w14:paraId="77C879A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PUNT TA’ ATTAKKAMENT (%)</w:t>
            </w:r>
          </w:p>
          <w:p w14:paraId="60EFD9B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C7FA6B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ta’ attakkament (%) kif imsemmi fl-Artikolu 256(1) tar-Regolament (UE) Nru 575/2013</w:t>
            </w:r>
          </w:p>
          <w:p w14:paraId="782C33B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91628CA" w14:textId="77777777" w:rsidTr="00822842">
        <w:tc>
          <w:tcPr>
            <w:tcW w:w="1101" w:type="dxa"/>
          </w:tcPr>
          <w:p w14:paraId="5ACA188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0232 u 0252</w:t>
            </w:r>
          </w:p>
        </w:tc>
        <w:tc>
          <w:tcPr>
            <w:tcW w:w="7903" w:type="dxa"/>
          </w:tcPr>
          <w:p w14:paraId="161B442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CQS</w:t>
            </w:r>
          </w:p>
          <w:p w14:paraId="2F11D7C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5A9061D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Skali tal-kwalità kreditizja (credit quality steps, CQS) kif previst għall-istituzzjonijiet li japplikaw is-SEC-ERBA (l-Artikolu 263, it-Tabelli 1 u 2 u l-Artikolu 264, it-Tabelli 3 u 4 tar-Regolament (UE) Nru 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il-kolonni għandhom ikunu rrapportati għat-tranżazzjonijiet kollha kklassifikati irrispettivament mill-approċċ applikat.</w:t>
            </w:r>
          </w:p>
          <w:p w14:paraId="700709F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B4DB9ED" w14:textId="77777777" w:rsidTr="00822842">
        <w:tc>
          <w:tcPr>
            <w:tcW w:w="1101" w:type="dxa"/>
          </w:tcPr>
          <w:p w14:paraId="4227A22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0240– 0242</w:t>
            </w:r>
          </w:p>
        </w:tc>
        <w:tc>
          <w:tcPr>
            <w:tcW w:w="7903" w:type="dxa"/>
          </w:tcPr>
          <w:p w14:paraId="0583902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INTERMEDJU</w:t>
            </w:r>
          </w:p>
          <w:p w14:paraId="233ECD1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6F31003" w14:textId="77777777" w:rsidTr="00822842">
        <w:tc>
          <w:tcPr>
            <w:tcW w:w="1101" w:type="dxa"/>
          </w:tcPr>
          <w:p w14:paraId="2FE28E2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903" w:type="dxa"/>
          </w:tcPr>
          <w:p w14:paraId="2173DB2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</w:t>
            </w:r>
          </w:p>
          <w:p w14:paraId="74AAA24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51218D4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li għandu jiġi rrapportat jinkludi:</w:t>
            </w:r>
          </w:p>
          <w:p w14:paraId="0F36FD06" w14:textId="77777777" w:rsidR="00933ADA" w:rsidRPr="002A677E" w:rsidRDefault="00933ADA" w:rsidP="00933AD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ta’ titolizzazzjoni intermedja kif definit fl-Artikolu 242(18) tar-Regolament (UE) 575/2013;</w:t>
            </w:r>
          </w:p>
          <w:p w14:paraId="4B95832E" w14:textId="77777777" w:rsidR="00933ADA" w:rsidRPr="002A677E" w:rsidRDefault="00933ADA" w:rsidP="00933AD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ta’ titolizzazzjoni addizzjonali li mhumiex dawk il-pożizzjonijiet li huma definiti fl-Artikolu 242(6), (17) jew (18) tar-Regolament (UE) Nru 575/2013.</w:t>
            </w:r>
          </w:p>
          <w:p w14:paraId="41D657C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C41F8AB" w14:textId="77777777" w:rsidTr="00822842">
        <w:tc>
          <w:tcPr>
            <w:tcW w:w="1101" w:type="dxa"/>
          </w:tcPr>
          <w:p w14:paraId="45BA3A4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0241</w:t>
            </w:r>
          </w:p>
        </w:tc>
        <w:tc>
          <w:tcPr>
            <w:tcW w:w="7903" w:type="dxa"/>
          </w:tcPr>
          <w:p w14:paraId="145B757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NUMRU TA’ SEGMENTI</w:t>
            </w:r>
          </w:p>
          <w:p w14:paraId="13B51EE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66E8BB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Numru ta’ segmenti intermedjarji.</w:t>
            </w:r>
          </w:p>
          <w:p w14:paraId="79F377A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746D5EE" w14:textId="77777777" w:rsidTr="00822842">
        <w:tc>
          <w:tcPr>
            <w:tcW w:w="1101" w:type="dxa"/>
          </w:tcPr>
          <w:p w14:paraId="59ED782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0242</w:t>
            </w:r>
          </w:p>
        </w:tc>
        <w:tc>
          <w:tcPr>
            <w:tcW w:w="7903" w:type="dxa"/>
          </w:tcPr>
          <w:p w14:paraId="0628888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CQS TAS-SEGMENT TAL-EWWEL TELF</w:t>
            </w:r>
          </w:p>
          <w:p w14:paraId="5C0A7AA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90F7FA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Is-CQS, kif determinat f’konformità mal-Artikolu 263, it-Tabella 2 u l-Artikolu 264, it-Tabella 3 tar-Regolament (UE) Nru 575/2013, tas-segment intermedju l-aktar subordinat.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2A10B9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8F3C28F" w14:textId="77777777" w:rsidTr="00822842">
        <w:tc>
          <w:tcPr>
            <w:tcW w:w="1101" w:type="dxa"/>
          </w:tcPr>
          <w:p w14:paraId="7389F42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0250– 0252</w:t>
            </w:r>
          </w:p>
        </w:tc>
        <w:tc>
          <w:tcPr>
            <w:tcW w:w="7903" w:type="dxa"/>
          </w:tcPr>
          <w:p w14:paraId="0E67CA0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L-EWWEL TELF</w:t>
            </w:r>
          </w:p>
          <w:p w14:paraId="3EBECE0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E65D427" w14:textId="77777777" w:rsidTr="00822842">
        <w:tc>
          <w:tcPr>
            <w:tcW w:w="1101" w:type="dxa"/>
          </w:tcPr>
          <w:p w14:paraId="7A7BA8C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7903" w:type="dxa"/>
          </w:tcPr>
          <w:p w14:paraId="75061F3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</w:t>
            </w:r>
          </w:p>
          <w:p w14:paraId="06E9AEF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DEB30E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tas-segment tal-ewwel telf kif definit fl-Artikolu 242(17) tar-Regolament (UE) 575/2013</w:t>
            </w:r>
          </w:p>
          <w:p w14:paraId="52BFAD3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2CED5529" w14:textId="77777777" w:rsidTr="00822842">
        <w:tc>
          <w:tcPr>
            <w:tcW w:w="1101" w:type="dxa"/>
          </w:tcPr>
          <w:p w14:paraId="4388B19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0251</w:t>
            </w:r>
          </w:p>
        </w:tc>
        <w:tc>
          <w:tcPr>
            <w:tcW w:w="7903" w:type="dxa"/>
          </w:tcPr>
          <w:p w14:paraId="6E11A40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PUNT TA’ DISTAKKAMENT (%)</w:t>
            </w:r>
          </w:p>
          <w:p w14:paraId="35CE86E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F19DDD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ta’ distakkament (%) kif imsemmi fl-Artikolu 256(2) tar-Regolament (UE) Nru 575/2013</w:t>
            </w:r>
          </w:p>
          <w:p w14:paraId="2E5FD14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C07C3E9" w14:textId="77777777" w:rsidTr="00822842">
        <w:tc>
          <w:tcPr>
            <w:tcW w:w="1101" w:type="dxa"/>
          </w:tcPr>
          <w:p w14:paraId="27E8C5B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0252</w:t>
            </w:r>
          </w:p>
        </w:tc>
        <w:tc>
          <w:tcPr>
            <w:tcW w:w="7903" w:type="dxa"/>
          </w:tcPr>
          <w:p w14:paraId="27F68DD9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CQS</w:t>
            </w:r>
          </w:p>
          <w:p w14:paraId="38AC7B6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7B46373" w14:textId="77777777" w:rsidTr="00822842">
        <w:tc>
          <w:tcPr>
            <w:tcW w:w="1101" w:type="dxa"/>
          </w:tcPr>
          <w:p w14:paraId="60F3AE2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0254– 0255</w:t>
            </w:r>
          </w:p>
        </w:tc>
        <w:tc>
          <w:tcPr>
            <w:tcW w:w="7903" w:type="dxa"/>
          </w:tcPr>
          <w:p w14:paraId="7F6C758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SOVRAKOLLATERALIZZAZZJONI U KONTIJIET TA’ RIŻERVA FFINANZJATI</w:t>
            </w:r>
          </w:p>
          <w:p w14:paraId="7EE52C0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8D627A9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256(3) u (4) tar-Regolament (UE) Nru 575/2013.</w:t>
            </w:r>
          </w:p>
          <w:p w14:paraId="0ABC5DA2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760BE2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Ammonti ta’ kollateralizzazzjoni u kontijiet ta’ riżerva ffinanzjati li ma jissodisfawx id-definizzjoni ta’ “segment” tal-Artikolu 2(6) tar-Regolament (UE) 2017/2402, iżda meqjusa bħala segmenti għall-finijiet tal-kalkolu tal-punti ta’ attakkament u ta’ distakkament f’konformità mal-Artikolu 256(3)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6BE81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7A76829" w14:textId="77777777" w:rsidTr="00822842">
        <w:tc>
          <w:tcPr>
            <w:tcW w:w="1101" w:type="dxa"/>
          </w:tcPr>
          <w:p w14:paraId="4E57EE1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0254</w:t>
            </w:r>
          </w:p>
        </w:tc>
        <w:tc>
          <w:tcPr>
            <w:tcW w:w="7903" w:type="dxa"/>
          </w:tcPr>
          <w:p w14:paraId="1E56EFB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</w:t>
            </w:r>
          </w:p>
          <w:p w14:paraId="0836C16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FF4780E" w14:textId="77777777" w:rsidTr="00822842">
        <w:tc>
          <w:tcPr>
            <w:tcW w:w="1101" w:type="dxa"/>
          </w:tcPr>
          <w:p w14:paraId="2C53C68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0255</w:t>
            </w:r>
          </w:p>
        </w:tc>
        <w:tc>
          <w:tcPr>
            <w:tcW w:w="7903" w:type="dxa"/>
          </w:tcPr>
          <w:p w14:paraId="24F34C5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SKONT LI MA JITĦALLASX LURA FIL-PREZZ TAX-XIRI</w:t>
            </w:r>
          </w:p>
          <w:p w14:paraId="24C524D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A220CAA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2, il-punt (31) tar-Regolament (UE) Nru 2017/2402.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74CAC13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372385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l-iskont li ma jitħallasx lura fil-prezz tax-xiri f’konformità mal-Artikolu 269a(7), tar-Regolament (UE) Nru 575/2013 fid-data tar-rapportar, li għandu jiġi aġġustat ’l isfel filwaqt li jitqies it-telf realizzat, kif indikat fit-tieni subparagrafu.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għandha tiġi rapportata biss jekk il-kolonna 0040 tiġi rapportata bħala “titolizzazzjoni NPE kwalifikanti” jew “titolizzazzjoni NPE mhux kwalifikanti”,</w:t>
            </w:r>
          </w:p>
          <w:p w14:paraId="2FE7F02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0CE3FE9" w14:textId="77777777" w:rsidTr="00822842">
        <w:tc>
          <w:tcPr>
            <w:tcW w:w="1101" w:type="dxa"/>
          </w:tcPr>
          <w:p w14:paraId="10AEAF4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0260– 0287</w:t>
            </w:r>
          </w:p>
        </w:tc>
        <w:tc>
          <w:tcPr>
            <w:tcW w:w="7903" w:type="dxa"/>
          </w:tcPr>
          <w:p w14:paraId="1886990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U DERIVATTIVI MHUX FIL-KARTA BILANĊJALI</w:t>
            </w:r>
          </w:p>
          <w:p w14:paraId="7EAA36E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30A0C9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il-blokka ta’ kolonni tiġbor informazzjoni dwar entrati li ma jidhrux fil-karta bilanċjali u derivattivi qabel il-fatturi tal-konverżjoni, imqassma skont segmenti (superjuri/intermedji/l-ewwel telf).</w:t>
            </w:r>
          </w:p>
          <w:p w14:paraId="13911B3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5F3AA67" w14:textId="77777777" w:rsidTr="00822842">
        <w:tc>
          <w:tcPr>
            <w:tcW w:w="1101" w:type="dxa"/>
          </w:tcPr>
          <w:p w14:paraId="43769E3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0260-0285</w:t>
            </w:r>
          </w:p>
        </w:tc>
        <w:tc>
          <w:tcPr>
            <w:tcW w:w="7903" w:type="dxa"/>
          </w:tcPr>
          <w:p w14:paraId="389FA1C2" w14:textId="77777777" w:rsidR="00933ADA" w:rsidRPr="001235ED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SUPERJURI/INTERMEDJI/L-EWWEL TELF</w:t>
            </w:r>
          </w:p>
          <w:p w14:paraId="5F0D4ECA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es-ES_tradnl"/>
              </w:rPr>
            </w:pPr>
          </w:p>
          <w:p w14:paraId="1C9487E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għandhom jiġu applikati l-istess kriterji ta’ klassifikazzjoni fost is-segmenti u l-identifikazzjoni tal-punt ta’ attakkament, l-għadd ta’ segmenti u l-punt ta’ distakkament użat għal entrati fil-karta bilanċjali (ara l-istruzzjonijiet dwar il-kolonni minn 0230 sa 0252).</w:t>
            </w:r>
          </w:p>
          <w:p w14:paraId="092D9D2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A960CBE" w14:textId="77777777" w:rsidTr="00822842">
        <w:tc>
          <w:tcPr>
            <w:tcW w:w="1101" w:type="dxa"/>
          </w:tcPr>
          <w:p w14:paraId="5FDD103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0287</w:t>
            </w:r>
          </w:p>
        </w:tc>
        <w:tc>
          <w:tcPr>
            <w:tcW w:w="7903" w:type="dxa"/>
          </w:tcPr>
          <w:p w14:paraId="3EC36C1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MARĠNI POŻITTIV SINTETIKU</w:t>
            </w:r>
          </w:p>
          <w:p w14:paraId="6A176A7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F5CB146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242, il-punt (20), 248(1), il-punt (e) u 256(6)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0993EF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  <w:lang w:val="en-US"/>
              </w:rPr>
            </w:pPr>
          </w:p>
          <w:p w14:paraId="047D18E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tiġi rapportata biss jekk il-kolonna 0110 tiġi rapportata bħala “Oriġinatur”.</w:t>
            </w:r>
          </w:p>
          <w:p w14:paraId="4E324BE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86C612E" w14:textId="77777777" w:rsidTr="00822842">
        <w:tc>
          <w:tcPr>
            <w:tcW w:w="1101" w:type="dxa"/>
            <w:shd w:val="clear" w:color="auto" w:fill="auto"/>
          </w:tcPr>
          <w:p w14:paraId="6973C79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0290– 0300</w:t>
            </w:r>
          </w:p>
        </w:tc>
        <w:tc>
          <w:tcPr>
            <w:tcW w:w="7903" w:type="dxa"/>
            <w:shd w:val="clear" w:color="auto" w:fill="auto"/>
          </w:tcPr>
          <w:p w14:paraId="19BCBB5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</w:t>
            </w:r>
          </w:p>
        </w:tc>
      </w:tr>
      <w:tr w:rsidR="00933ADA" w:rsidRPr="002A677E" w14:paraId="22EF1F32" w14:textId="77777777" w:rsidTr="00822842">
        <w:tc>
          <w:tcPr>
            <w:tcW w:w="1101" w:type="dxa"/>
            <w:shd w:val="clear" w:color="auto" w:fill="auto"/>
          </w:tcPr>
          <w:p w14:paraId="70D91AB8" w14:textId="77777777" w:rsidR="00933ADA" w:rsidRPr="002A677E" w:rsidDel="00304CB1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903" w:type="dxa"/>
            <w:shd w:val="clear" w:color="auto" w:fill="auto"/>
          </w:tcPr>
          <w:p w14:paraId="53E2EC2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L-EWWEL DATA TA’ TERMINAZZJONI PREVEDIBBLI</w:t>
            </w:r>
          </w:p>
          <w:p w14:paraId="438B1A0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A72EB77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ta’ terminazzjoni probabbli tat-titolizzazzjoni sħiħa fid-dawl tal-klawżoli kuntrattwali tagħha u l-kundizzjonijiet finanzjarji mistennija attwalment.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B’mod ġenerali, tkun l-ewwel waħda li tasal mid-dati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C01B68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5E8433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id-data meta tista’ tiġi eżegwita għall-ewwel darba opzjoni clean-up call (kif definit fl-Artikolu 242(1) tar-Regolament (UE) Nru 575/2013) filwaqt li titqies il-maturità tal-iskopertura/i sottostanti kif ukoll ir-rata ta’ prepagament mistennija jew l-attivitajiet potenzjali ta’ negozjar mill-ġdid;</w:t>
            </w:r>
          </w:p>
          <w:p w14:paraId="5A66838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9D1560C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id-data li fiha l-oriġinatur jista’ għall-ewwel darba jeżerċita xi opzjoni eżerċitabbli oħra inkorporata fil-klawżoli kuntrattwali tat-titolizzazzjoni li jirriżultaw fit-tifdija totali tat-titolizzazzjoni.</w:t>
            </w:r>
          </w:p>
          <w:p w14:paraId="5EDEC91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23D4B90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Il-jum, ix-xahar u s-sena tal-ewwel data ta’ terminazzjoni mistennija għandhom ikunu rrapportati.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Il-ġurnata eżatta għandha tiġi rrapportata fejn dik l-informazzjoni tkun disponibbli, inkella l-ewwel jum tax-xahar għandu jiġi rrapportat.</w:t>
            </w:r>
          </w:p>
          <w:p w14:paraId="32CAA37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4C362213" w14:textId="77777777" w:rsidTr="00822842">
        <w:tc>
          <w:tcPr>
            <w:tcW w:w="1101" w:type="dxa"/>
            <w:shd w:val="clear" w:color="auto" w:fill="auto"/>
          </w:tcPr>
          <w:p w14:paraId="4A8C95C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0291</w:t>
            </w:r>
          </w:p>
        </w:tc>
        <w:tc>
          <w:tcPr>
            <w:tcW w:w="7903" w:type="dxa"/>
            <w:shd w:val="clear" w:color="auto" w:fill="auto"/>
          </w:tcPr>
          <w:p w14:paraId="0E5A1017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OPZJONIJIET EŻERĊITABBLI TAL-ORIĠINATUR INKLUŻI FIT-TRANŻAZZJONI</w:t>
            </w:r>
          </w:p>
          <w:p w14:paraId="3028095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AFA1C6E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 ta’ opzjoni relevanti għall-ewwel data ta’ terminazzjoni mistennija:</w:t>
            </w:r>
          </w:p>
          <w:p w14:paraId="38215DAF" w14:textId="77777777" w:rsidR="00933ADA" w:rsidRPr="002A677E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Opzjoni clean-up call li tissodisfa r-rekwiżiti tal-Artikolu 244(4), il-punt (g) tar-Regolament (UE) Nru 575/2013;</w:t>
            </w:r>
          </w:p>
          <w:p w14:paraId="7313E57A" w14:textId="77777777" w:rsidR="00933ADA" w:rsidRPr="002A677E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Opzjoni eżerċitabbli b’antiċipu oħra;</w:t>
            </w:r>
          </w:p>
          <w:p w14:paraId="5D577088" w14:textId="77777777" w:rsidR="00933ADA" w:rsidRPr="002A677E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 ieħor ta’ opzjoni eżerċitabbli.</w:t>
            </w:r>
          </w:p>
          <w:p w14:paraId="7E84EAF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FF899BF" w14:textId="77777777" w:rsidTr="00822842">
        <w:tc>
          <w:tcPr>
            <w:tcW w:w="1101" w:type="dxa"/>
            <w:shd w:val="clear" w:color="auto" w:fill="auto"/>
          </w:tcPr>
          <w:p w14:paraId="53C61CED" w14:textId="77777777" w:rsidR="00933ADA" w:rsidRPr="002A677E" w:rsidDel="00304CB1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7903" w:type="dxa"/>
            <w:shd w:val="clear" w:color="auto" w:fill="auto"/>
          </w:tcPr>
          <w:p w14:paraId="72508AC2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DATA TA’ MATURITÀ LEGALI FINALI</w:t>
            </w:r>
          </w:p>
          <w:p w14:paraId="16E82C7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3FD972F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li fiha skont il-liġi jridu jitħallsu lura l-kapital u l-imgħax kollha tat-titolizzazzjoni (fuq il-bażi tad-dokumentazzjoni tat-tranżazzjoni).</w:t>
            </w:r>
          </w:p>
          <w:p w14:paraId="129DBF6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8C4269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Il-jum, ix-xahar u s-sena tad-data ta’ maturità finali legali għandhom ikunu rrapportati.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Il-ġurnata eżatta għandha tiġi rrapportata fejn dik l-informazzjoni tkun disponibbli, inkella l-ewwel jum tax-xahar għandu jiġi rrapportat.</w:t>
            </w:r>
          </w:p>
          <w:p w14:paraId="2809185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7829A516" w14:textId="77777777" w:rsidTr="00822842">
        <w:tc>
          <w:tcPr>
            <w:tcW w:w="1101" w:type="dxa"/>
            <w:shd w:val="clear" w:color="auto" w:fill="auto"/>
          </w:tcPr>
          <w:p w14:paraId="7F2F3F2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0302– 0304</w:t>
            </w:r>
          </w:p>
        </w:tc>
        <w:tc>
          <w:tcPr>
            <w:tcW w:w="7903" w:type="dxa"/>
            <w:shd w:val="clear" w:color="auto" w:fill="auto"/>
          </w:tcPr>
          <w:p w14:paraId="5296A44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TA’ MEMORANDUM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933ADA" w:rsidRPr="002A677E" w14:paraId="47668FFA" w14:textId="77777777" w:rsidTr="00822842">
        <w:tc>
          <w:tcPr>
            <w:tcW w:w="1101" w:type="dxa"/>
            <w:shd w:val="clear" w:color="auto" w:fill="auto"/>
          </w:tcPr>
          <w:p w14:paraId="70AF470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0302</w:t>
            </w:r>
          </w:p>
        </w:tc>
        <w:tc>
          <w:tcPr>
            <w:tcW w:w="7903" w:type="dxa"/>
            <w:shd w:val="clear" w:color="auto" w:fill="auto"/>
          </w:tcPr>
          <w:p w14:paraId="0F44080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PUNT TA’ ATTAKKAMENT TAR-RISKJU MIBJUGĦ (%)</w:t>
            </w:r>
          </w:p>
          <w:p w14:paraId="3FF572A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463B3BCB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L-oriġinaturi għandhom biss jirrapportaw il-punt ta’ attakkament tas-segment l-iktar subordinat mibjugħ lil partijiet terzi għal titolizzazzjonijiet tradizzjonali, jew protett minn partijiet terzi għal titolizzazzjonijiet sintetiċi.</w:t>
            </w:r>
          </w:p>
          <w:p w14:paraId="6971A22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35348685" w14:textId="77777777" w:rsidTr="00822842">
        <w:tc>
          <w:tcPr>
            <w:tcW w:w="1101" w:type="dxa"/>
            <w:shd w:val="clear" w:color="auto" w:fill="auto"/>
          </w:tcPr>
          <w:p w14:paraId="44AE538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0303</w:t>
            </w:r>
          </w:p>
        </w:tc>
        <w:tc>
          <w:tcPr>
            <w:tcW w:w="7903" w:type="dxa"/>
            <w:shd w:val="clear" w:color="auto" w:fill="auto"/>
          </w:tcPr>
          <w:p w14:paraId="6EC7E0A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PUNT TA’ DISTAKKAMENT TAR-RISKJU MIBJUGĦ (%)</w:t>
            </w:r>
          </w:p>
          <w:p w14:paraId="0502226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DEE00F6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L-oriġinaturi biss għandhom jirrapportaw il-punt ta’ distakkament tas-segment l-aktar superjuri mibjugħ lil partijiet terzi għal titolizzazzjonijiet tradizzjonali, jew protett minn partijiet terzi għal titolizzazzjonijiet sintetiċi.</w:t>
            </w:r>
          </w:p>
          <w:p w14:paraId="6EA7C4C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13715BE" w14:textId="77777777" w:rsidTr="00822842">
        <w:tc>
          <w:tcPr>
            <w:tcW w:w="1101" w:type="dxa"/>
            <w:shd w:val="clear" w:color="auto" w:fill="auto"/>
          </w:tcPr>
          <w:p w14:paraId="3B1964C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0304</w:t>
            </w:r>
          </w:p>
        </w:tc>
        <w:tc>
          <w:tcPr>
            <w:tcW w:w="7903" w:type="dxa"/>
            <w:shd w:val="clear" w:color="auto" w:fill="auto"/>
          </w:tcPr>
          <w:p w14:paraId="583BCC3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TRASFERIMENT TAR-RISKJU MITLUB MINN ISTITUZZJONI ORIĠINATRIĊI (%)</w:t>
            </w:r>
          </w:p>
          <w:p w14:paraId="0915E3A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7CB1B57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Oriġinaturi biss għandhom jirrapportaw it-Telf Mistenni (EL) flimkien mat-Telf Mhux Mistenni (UL) tal-assi titolizzati trasferiti lil partijiet terzi bħala persentaġġ tal-EL totali flimkien mal-UL. Għandhom jiġu rapportati l-EL u l-UL tal-iskoperturi sottostanti, li mbagħad għandhom jiġu allokati permezz tal-kaskata ta’ titolizzazzjoni lis-segmenti rispettivi tat-titolizzazzjoni.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Għall-banek SA, l-EL għandu jkun l-aġġustament speċifiku għar-riskju ta’ kreditu tal-assi titolizzati u l-UL għandu jkun ir-rekwiżit kapitali tal-iskoperturi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E4AFB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</w:tbl>
    <w:p w14:paraId="5949EE51" w14:textId="77777777" w:rsidR="00933ADA" w:rsidRPr="002A677E" w:rsidRDefault="00933ADA" w:rsidP="00933ADA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04488088" w14:textId="77777777" w:rsidR="00933ADA" w:rsidRPr="002A677E" w:rsidRDefault="00933ADA" w:rsidP="00933ADA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20" w:name="_Toc522019895"/>
      <w:bookmarkStart w:id="21" w:name="_Toc151714440"/>
      <w:r>
        <w:rPr>
          <w:sz w:val="24"/>
          <w:u w:val="none"/>
          <w:rFonts w:ascii="Times New Roman" w:hAnsi="Times New Roman"/>
        </w:rPr>
        <w:t xml:space="preserve">3.8.4.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14.01 – Informazzjoni dettaljata dwar it-titolizzazzjonijiet (SEC DETTALJI 2)</w:t>
      </w:r>
      <w:bookmarkEnd w:id="20"/>
      <w:bookmarkEnd w:id="21"/>
    </w:p>
    <w:bookmarkStart w:id="22" w:name="_Toc522019896"/>
    <w:p w14:paraId="6C77927B" w14:textId="40709025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 w:rsidRPr="00624117">
        <w:fldChar w:fldCharType="begin" w:dirty="true"/>
      </w:r>
      <w:r w:rsidRPr="002A677E">
        <w:instrText xml:space="preserve"> seq paragraphs </w:instrText>
      </w:r>
      <w:r w:rsidRPr="00624117">
        <w:fldChar w:fldCharType="separate"/>
      </w:r>
      <w:r w:rsidRPr="002A677E">
        <w:t>118</w:t>
      </w:r>
      <w:r w:rsidRPr="00624117">
        <w:fldChar w:fldCharType="end"/>
      </w:r>
      <w:r>
        <w:t xml:space="preserve">.</w:t>
      </w:r>
      <w:r>
        <w:t xml:space="preserve"> </w:t>
      </w:r>
      <w:r>
        <w:t xml:space="preserve">Il-formola SEC DETTALJI 2 għandha tiġi rrapportata b’mod separat għall-approċċi li ġejjin:</w:t>
      </w:r>
    </w:p>
    <w:p w14:paraId="423B77E9" w14:textId="77777777" w:rsidR="00933ADA" w:rsidRPr="00B44FD0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1) SEC-IRBA;</w:t>
      </w:r>
    </w:p>
    <w:p w14:paraId="7E740FF7" w14:textId="77777777" w:rsidR="00933ADA" w:rsidRPr="00B44FD0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2) SEC-SA;</w:t>
      </w:r>
    </w:p>
    <w:p w14:paraId="45956D44" w14:textId="77777777" w:rsidR="00933ADA" w:rsidRPr="00B44FD0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3) SEC-ERBA;</w:t>
      </w:r>
    </w:p>
    <w:p w14:paraId="108DB155" w14:textId="77777777" w:rsidR="00933ADA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4) 1 250 %;</w:t>
      </w:r>
    </w:p>
    <w:p w14:paraId="26D8C560" w14:textId="77777777" w:rsidR="00933ADA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5) Approċċ ta’ valutazzjoni interna</w:t>
      </w:r>
    </w:p>
    <w:p w14:paraId="6518AFE4" w14:textId="77777777" w:rsidR="00933ADA" w:rsidRPr="002A677E" w:rsidRDefault="00933ADA" w:rsidP="00933ADA">
      <w:pPr>
        <w:pStyle w:val="InstructionsText2"/>
        <w:numPr>
          <w:ilvl w:val="0"/>
          <w:numId w:val="0"/>
        </w:numPr>
        <w:ind w:left="993"/>
      </w:pPr>
      <w:r>
        <w:t xml:space="preserve">6) Trattament speċifiku għal segmenti superjuri ta’ titolizzazzjonijiet NPE kwalifikanti.</w:t>
      </w:r>
    </w:p>
    <w:bookmarkEnd w:id="22"/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903"/>
      </w:tblGrid>
      <w:tr w:rsidR="00933ADA" w:rsidRPr="002A677E" w14:paraId="10ACED1D" w14:textId="77777777" w:rsidTr="00822842">
        <w:tc>
          <w:tcPr>
            <w:tcW w:w="9004" w:type="dxa"/>
            <w:gridSpan w:val="2"/>
            <w:shd w:val="clear" w:color="auto" w:fill="CCCCCC"/>
          </w:tcPr>
          <w:p w14:paraId="7F20AA9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233E8C1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  <w:p w14:paraId="3190878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2DF7AC60" w14:textId="77777777" w:rsidTr="00822842">
        <w:tc>
          <w:tcPr>
            <w:tcW w:w="1101" w:type="dxa"/>
          </w:tcPr>
          <w:p w14:paraId="5511308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903" w:type="dxa"/>
          </w:tcPr>
          <w:p w14:paraId="0F8061D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KODIĊI INTERN</w:t>
            </w:r>
          </w:p>
          <w:p w14:paraId="4B368664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5CE8BE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Kodiċi (alfanumeriku) intern użat mill-istituzzjoni biex jidentifika t-titolizzazzjoni.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Il-kodiċi intern għandu jkun assoċjat mal-identifikatur tat-tranżazzjoni ta’ titolizzazzjoni.</w:t>
            </w:r>
          </w:p>
          <w:p w14:paraId="5FD949F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49C3A0B8" w14:textId="77777777" w:rsidTr="00822842">
        <w:tc>
          <w:tcPr>
            <w:tcW w:w="1101" w:type="dxa"/>
          </w:tcPr>
          <w:p w14:paraId="119CAD5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0015</w:t>
            </w:r>
          </w:p>
        </w:tc>
        <w:tc>
          <w:tcPr>
            <w:tcW w:w="7903" w:type="dxa"/>
          </w:tcPr>
          <w:p w14:paraId="42B229CF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IDENTIFIKATUR UNIKU</w:t>
            </w:r>
          </w:p>
          <w:p w14:paraId="47FAD02D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C11305A" w14:textId="77777777" w:rsidR="00933ADA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titolizzazzjonijiet maħruġa fl-1 ta’ Jannar 2019 jew wara, l-istituzzjonijiet għandhom jirrapportaw l-identifikatur uniku kif definit fl-Artikolu 11(1) tar-Regolament Delegat tal-Kummissjoni (UE) 2020/1224.</w:t>
            </w:r>
          </w:p>
          <w:p w14:paraId="539970B2" w14:textId="6687788E" w:rsidR="003A06D5" w:rsidRPr="003A06D5" w:rsidRDefault="003A06D5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L-identifikatur uniku għandu jiġi rrapportat kemm għall-pożizzjonijiet tal-oriġinatur/sponsor kif ukoll tal-investituri u mhuwiex mistenni li jinbidel skont il-livell tar-rapportar (konsolidat vs sottogruppi).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Skont il-punt (a) tal-Artikolu 11(1)(a) u 11 (2) (a), il-LEI (l-ewwel entrata tal-identifikatur uniku) hija strettament definita bħala dik tal- “entità relatriċi” kif definita fl-Artikolu 7(2) tar-Regolament (UE) 2017/2402.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F’xi każijiet, l-istituzzjoni li tirrapporta l-mudelli COREP u l- “entità relatriċi” (eż. jekk tkun l-oriġinatur jew l-isponsor), f’xi każijiet 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Skont l-Artikolu 11(3) tar-Regolament Delegat tal-Kummissjoni (UE) 2020/1224), l-identifikatur uniku ma jistax jiġi emendat mill-entità relatriċi, li jimplika li ma jistgħux jiġu emendati għall-fini tar-rapportar fil-mudelli COREP.</w:t>
            </w:r>
          </w:p>
          <w:p w14:paraId="3A78DD0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55C72EF" w14:textId="77777777" w:rsidTr="00822842">
        <w:tc>
          <w:tcPr>
            <w:tcW w:w="1101" w:type="dxa"/>
          </w:tcPr>
          <w:p w14:paraId="70F98A8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903" w:type="dxa"/>
          </w:tcPr>
          <w:p w14:paraId="30438AF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IDENTIFIKATUR TAT-TITOLIZZAZZJONI</w:t>
            </w:r>
          </w:p>
          <w:p w14:paraId="2A383686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9907D0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Kodiċi użat għar-reġistrazzjoni legali tal-pożizzjoni ta’ titolizzazzjoni, jew tranżazzjoni fil-każ ta’ diversi pożizzjonijiet li jistgħu jiġu rrapportati fl-istess ringiela, jew, jekk mhux disponibbli, l-isem li bih il-pożizzjoni ta’ titolizzazzjoni jew it-tranżazzjoni tkun magħrufa fis-suq, jew fi ħdan l-istituzzjoni fil-każ ta’ titolizzazzjoni interna jew privata.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in-Numru Internazzjonali għall-Identifikazzjoni tat-Titoli -ISIN- ikun disponibbli (jiġifieri għal tranżazzjonijiet pubbliċi), f’din il-kolonna għandhom ikunu rrapportati l-karattri li huma komuni għas-segmenti kollha tat-titolizzazzjoni.</w:t>
            </w:r>
          </w:p>
          <w:p w14:paraId="471896C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933ADA" w:rsidRPr="002A677E" w14:paraId="6AA28BEA" w14:textId="77777777" w:rsidTr="00822842">
        <w:tc>
          <w:tcPr>
            <w:tcW w:w="1101" w:type="dxa"/>
          </w:tcPr>
          <w:p w14:paraId="16B2083A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0310– 0400</w:t>
            </w:r>
          </w:p>
        </w:tc>
        <w:tc>
          <w:tcPr>
            <w:tcW w:w="7903" w:type="dxa"/>
          </w:tcPr>
          <w:p w14:paraId="46F264E6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ORIĠINARJA QABEL IL-FATTURI TA’ KONVERŻJONI</w:t>
            </w:r>
          </w:p>
          <w:p w14:paraId="5C159E8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446E7143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il-blokka ta’ kolonni tiġbor informazzjoni dwar il-pożizzjonijiet ta’ titolizzazzjoni mqassma skont pożizzjonijiet tal-karta bilanċjali/barra l-karta bilanċjali u s-segmenti (superjuri/intermedji/tal-ewwel telf)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BFBEC3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469BF37A" w14:textId="77777777" w:rsidTr="00822842">
        <w:tc>
          <w:tcPr>
            <w:tcW w:w="1101" w:type="dxa"/>
          </w:tcPr>
          <w:p w14:paraId="78DE933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0310– 0330</w:t>
            </w:r>
          </w:p>
        </w:tc>
        <w:tc>
          <w:tcPr>
            <w:tcW w:w="7903" w:type="dxa"/>
          </w:tcPr>
          <w:p w14:paraId="0DC2341F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FIL-KARTA BILANĊJALI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E56310C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BA4848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għandhom jiġu applikati l-istess kriterji ta’ klassifikazzjoni għas-segmenti użati għall-kolonni 0230, 0240 u 0250 tal-formola C 14.00.</w:t>
            </w:r>
          </w:p>
          <w:p w14:paraId="717C3F7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F196198" w14:textId="77777777" w:rsidTr="00822842">
        <w:tc>
          <w:tcPr>
            <w:tcW w:w="1101" w:type="dxa"/>
          </w:tcPr>
          <w:p w14:paraId="67D8662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0340– 0362</w:t>
            </w:r>
          </w:p>
        </w:tc>
        <w:tc>
          <w:tcPr>
            <w:tcW w:w="7903" w:type="dxa"/>
          </w:tcPr>
          <w:p w14:paraId="73D420BD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U DERIVATTIVI MHUX FIL-KARTA BILANĊJALI</w:t>
            </w:r>
          </w:p>
          <w:p w14:paraId="2BF8D77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46DC95F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għandhom jiġu applikati l-istess kriterji ta’ klassifikazzjoni għas-segmenti użati għall-kolonni minn 0260 sa 0287 tal-formola C 14.00.</w:t>
            </w:r>
          </w:p>
          <w:p w14:paraId="02D2E14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EC0D030" w14:textId="77777777" w:rsidTr="00822842">
        <w:tc>
          <w:tcPr>
            <w:tcW w:w="1101" w:type="dxa"/>
          </w:tcPr>
          <w:p w14:paraId="3BC1E74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0351 u 0361</w:t>
            </w:r>
          </w:p>
        </w:tc>
        <w:tc>
          <w:tcPr>
            <w:tcW w:w="7903" w:type="dxa"/>
          </w:tcPr>
          <w:p w14:paraId="18D25E4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RW KORRISPONDENTI GĦALL-FORNITUR / GĦALL-ISTRUMENT TA’ PROTEZZJONI</w:t>
            </w:r>
          </w:p>
          <w:p w14:paraId="5978325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331392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tal-RW tal-garanti eliġibbli jew % tal-RW tal-istrument korrispondenti li jipprovdi protezzjoni tal-kreditu f’konformità mal-Artikolu 249 tar-Regolament (UE) Nru 575/2013.</w:t>
            </w:r>
          </w:p>
          <w:p w14:paraId="426A9AC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1617388" w14:textId="77777777" w:rsidTr="00822842">
        <w:tc>
          <w:tcPr>
            <w:tcW w:w="1101" w:type="dxa"/>
          </w:tcPr>
          <w:p w14:paraId="15FF79A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0362</w:t>
            </w:r>
          </w:p>
        </w:tc>
        <w:tc>
          <w:tcPr>
            <w:tcW w:w="7903" w:type="dxa"/>
          </w:tcPr>
          <w:p w14:paraId="04EA1E89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MARĠNI POŻITTIV SINTETIKU</w:t>
            </w:r>
          </w:p>
          <w:p w14:paraId="24A229B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7C2710F1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242(20), 248(1), il-punt (e) u 256(6)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1C1E7FD" w14:textId="77777777" w:rsidR="00933ADA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6ED80E6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tiġi rapportata biss jekk il-kolonna 0110 tiġi rapportata bħala “Oriġinatur”.</w:t>
            </w:r>
          </w:p>
          <w:p w14:paraId="60769C9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542371A" w14:textId="77777777" w:rsidTr="00822842">
        <w:tc>
          <w:tcPr>
            <w:tcW w:w="1101" w:type="dxa"/>
          </w:tcPr>
          <w:p w14:paraId="529A058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0370– 0400</w:t>
            </w:r>
          </w:p>
        </w:tc>
        <w:tc>
          <w:tcPr>
            <w:tcW w:w="7903" w:type="dxa"/>
          </w:tcPr>
          <w:p w14:paraId="79D376D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FIL-MEMORANDUM: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FATTURI TA’ QABEL IL-KONVERŻJONI TAL-ENTRATI U DERIVATTIVI LI MA JIDHRUX FIL-KARTA BILANĊJALI</w:t>
            </w:r>
          </w:p>
          <w:p w14:paraId="4084068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3FB47D4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il-blokka ta’ kolonni tiġbor aktar informazzjoni dwar it-total tal-entrati barra l-karta bilanċjali u d-derivattivi (li diġà huma rrapportati skont diżaggregazzjoni differenti fil-kolonni 0340-0361).</w:t>
            </w:r>
          </w:p>
          <w:p w14:paraId="79FF613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15671C4" w14:textId="77777777" w:rsidTr="00822842">
        <w:tc>
          <w:tcPr>
            <w:tcW w:w="1101" w:type="dxa"/>
          </w:tcPr>
          <w:p w14:paraId="6848C778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7903" w:type="dxa"/>
          </w:tcPr>
          <w:p w14:paraId="4B193D6E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SOSTITUTI TAL-KREDITU DIRETTI (DCS)</w:t>
            </w:r>
          </w:p>
          <w:p w14:paraId="225681F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BC40AB6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tapplika għal dawk il-pożizzjonijiet ta’ titolizzazzjoni miżmuma mill-oriġinatur u ggarantiti b’sostituti tal-kreditu diretti (DCS).</w:t>
            </w:r>
          </w:p>
          <w:p w14:paraId="5ADBD43D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E6A0632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mal-Anness I tar-Regolament (UE) Nru 575/2013, l-entrati li ma jidhrux fil-karta bilanċjali ta’ riskju sħiħ li ġejjin għandhom jitqiesu bħala DCS:</w:t>
            </w:r>
          </w:p>
          <w:p w14:paraId="047C846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7F148C0" w14:textId="77777777" w:rsidR="00933ADA" w:rsidRPr="002A677E" w:rsidRDefault="00933ADA" w:rsidP="00822842">
            <w:pPr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Garanziji li għandhom il-karattru ta’ sostituti ta’ kreditu.</w:t>
            </w:r>
          </w:p>
          <w:p w14:paraId="3E80D0F5" w14:textId="77777777" w:rsidR="00933ADA" w:rsidRPr="002A677E" w:rsidRDefault="00933ADA" w:rsidP="00822842">
            <w:pPr>
              <w:spacing w:before="0" w:after="0"/>
              <w:rPr>
                <w:i/>
                <w:sz w:val="24"/>
                <w:rFonts w:ascii="Times New Roman" w:hAnsi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Ittri ta’ kreditu irrevokabbli pendenti li jkollhom il-karattru ta’ sostituti ta’ kreditu.</w:t>
            </w:r>
          </w:p>
          <w:p w14:paraId="6EDD0D5C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81783F0" w14:textId="77777777" w:rsidTr="00822842">
        <w:tc>
          <w:tcPr>
            <w:tcW w:w="1101" w:type="dxa"/>
          </w:tcPr>
          <w:p w14:paraId="5C57430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7903" w:type="dxa"/>
          </w:tcPr>
          <w:p w14:paraId="1AB3EAD8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IRS/CRS</w:t>
            </w:r>
          </w:p>
          <w:p w14:paraId="03451EE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0DBEA9B5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IRS tfisser Swaps tar-Rati tal-Imgħax, filwaqt li CRS tfisser Swaps tar-Rati tal-Muniti.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id-derivattivi huma elenkati fl-Anness II tar-Regolament (UE) Nru 575/2013.</w:t>
            </w:r>
          </w:p>
          <w:p w14:paraId="668143E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0AD6AE9E" w14:textId="77777777" w:rsidTr="00822842">
        <w:tc>
          <w:tcPr>
            <w:tcW w:w="1101" w:type="dxa"/>
          </w:tcPr>
          <w:p w14:paraId="092D417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0390</w:t>
            </w:r>
          </w:p>
        </w:tc>
        <w:tc>
          <w:tcPr>
            <w:tcW w:w="7903" w:type="dxa"/>
          </w:tcPr>
          <w:p w14:paraId="283448D2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FAĊILITAJIET TA’ LIKWIDITÀ</w:t>
            </w:r>
          </w:p>
          <w:p w14:paraId="78DA5FA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6C95634F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Faċilitajiet ta’ likwidità (liquidity facilities, LF) kif definit fl-Artikolu 242(3) tar-Regolament (UE) 575/2013.</w:t>
            </w:r>
          </w:p>
          <w:p w14:paraId="3A0FCA75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E8A080B" w14:textId="77777777" w:rsidTr="00822842">
        <w:tc>
          <w:tcPr>
            <w:tcW w:w="1101" w:type="dxa"/>
          </w:tcPr>
          <w:p w14:paraId="68F59B2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0400</w:t>
            </w:r>
          </w:p>
        </w:tc>
        <w:tc>
          <w:tcPr>
            <w:tcW w:w="7903" w:type="dxa"/>
          </w:tcPr>
          <w:p w14:paraId="314DB9AD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DD8F68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7760988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li jifdal li ma jidhrux fil-karta bilanċjali.</w:t>
            </w:r>
          </w:p>
          <w:p w14:paraId="66588F9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6E154B8C" w14:textId="77777777" w:rsidTr="00822842">
        <w:tc>
          <w:tcPr>
            <w:tcW w:w="1101" w:type="dxa"/>
          </w:tcPr>
          <w:p w14:paraId="40638CE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0411</w:t>
            </w:r>
          </w:p>
        </w:tc>
        <w:tc>
          <w:tcPr>
            <w:tcW w:w="7903" w:type="dxa"/>
          </w:tcPr>
          <w:p w14:paraId="46222E8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2860918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BBB5AEF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hija relatata mill-qrib mal-kolonna 0180 fil-formola CR SEC.</w:t>
            </w:r>
          </w:p>
          <w:p w14:paraId="7D9C3E7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5B85D61" w14:textId="77777777" w:rsidTr="00822842">
        <w:tc>
          <w:tcPr>
            <w:tcW w:w="1101" w:type="dxa"/>
          </w:tcPr>
          <w:p w14:paraId="42001E7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7903" w:type="dxa"/>
          </w:tcPr>
          <w:p w14:paraId="199E7927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VALUR TAL-ISKOPERTURA MNAQQAS MILL-FONDI PROPRJI</w:t>
            </w:r>
          </w:p>
          <w:p w14:paraId="6F9A9B8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94DFD30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hija relatata mill-qrib mal-kolonna 0190 fil-formola CR SEC.</w:t>
            </w:r>
          </w:p>
          <w:p w14:paraId="5FF6DE3F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CB8FF7D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il-kolonna għandha tiġi rrapportata ċifra negattiva.</w:t>
            </w:r>
          </w:p>
          <w:p w14:paraId="002E27C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35AEE91D" w14:textId="77777777" w:rsidTr="00822842">
        <w:tc>
          <w:tcPr>
            <w:tcW w:w="1101" w:type="dxa"/>
          </w:tcPr>
          <w:p w14:paraId="0CE2F72F" w14:textId="77777777" w:rsidR="00933ADA" w:rsidRPr="002A677E" w:rsidDel="00304CB1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7903" w:type="dxa"/>
          </w:tcPr>
          <w:p w14:paraId="7A31769C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TAL-AMMONT TAL-ISKOPERTURA PONDERAT GĦAR-RISKJU QABEL IL-LIMITU MASSIMU</w:t>
            </w:r>
          </w:p>
          <w:p w14:paraId="56A042F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D359209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l-ammont tal-iskopertura ponderat għar-riskju qabel il-limitu massimu applikabbli għall-pożizzjonijiet ta’ titolizzazzjoni kkalkulat f’konformità mal-Parti Tlieta, it-Titolu II, il-Kapitolu 5, it-Taqsima 3 tar-Regolament (UE) Nru 575/2013.</w:t>
            </w:r>
          </w:p>
          <w:p w14:paraId="6B3045B9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EFBDF9" w14:textId="77777777" w:rsidR="00933ADA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tat-titolizzazzjonijiet fil-portafoll tan-negozjar, għandu jiġi rrapportat li ġej:</w:t>
            </w:r>
          </w:p>
          <w:p w14:paraId="4957C55C" w14:textId="1AA0386C" w:rsidR="00933ADA" w:rsidRPr="00C54203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il-RWEA dwar ir-riskju speċifiku, iddeterminat bħala 12,5 darbiet ir-rekwiżit ta’ fondi proprji kif irrapportat fil-kolonna 0570 tal-MKR SA SEC, jew il-kolonni 0410 u 0420 (rilevanti għar-rekwiżit ta’ fondi proprji) ta’ MKR SA CTP, rispettivament, fejn l-istituzzjoni tapplika l-Approċċ Simplifikat ta’ Standardizzazzjoni għar-riskju tas-suq,</w:t>
            </w:r>
          </w:p>
          <w:p w14:paraId="473B3456" w14:textId="77777777" w:rsidR="00933ADA" w:rsidRPr="000059B8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 assolut tas-sensittivitajiet ponderati kollha tat-titolizzazzjoni għall-fatturi tar-riskju, kif iddeterminata għall-finijiet tal-kalkolu tar-rekwiżiti ta’ fondi proprji għar-riskju ta’ firxiet tal-kreditu għal titolizzazzjonijiet mhux inklużi fl-ACTP, jew ir-riskju ta’ firxiet tal-kreditu għal titolizzazzjonijiet fl-ACTP, fejn l-istituzzjoni tapplika l-ASA jew l-AIMA.</w:t>
            </w:r>
          </w:p>
          <w:p w14:paraId="45539FE2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429765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D0B6DDE" w14:textId="77777777" w:rsidTr="00822842">
        <w:tc>
          <w:tcPr>
            <w:tcW w:w="1101" w:type="dxa"/>
          </w:tcPr>
          <w:p w14:paraId="1231C5C5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0431</w:t>
            </w:r>
          </w:p>
        </w:tc>
        <w:tc>
          <w:tcPr>
            <w:tcW w:w="7903" w:type="dxa"/>
          </w:tcPr>
          <w:p w14:paraId="1A7CCDF1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TAL-PIŻ TAR-RISKJU</w:t>
            </w:r>
          </w:p>
          <w:p w14:paraId="40F552F1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1E7BD0D4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267 u 269a tar-Regolament (UE) Nru 575/2013</w:t>
            </w:r>
          </w:p>
          <w:p w14:paraId="0F07105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790AEAA" w14:textId="77777777" w:rsidTr="00822842">
        <w:tc>
          <w:tcPr>
            <w:tcW w:w="1101" w:type="dxa"/>
          </w:tcPr>
          <w:p w14:paraId="5A82AC52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0432</w:t>
            </w:r>
          </w:p>
        </w:tc>
        <w:tc>
          <w:tcPr>
            <w:tcW w:w="7903" w:type="dxa"/>
          </w:tcPr>
          <w:p w14:paraId="6219BB5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ĠENERALI</w:t>
            </w:r>
          </w:p>
          <w:p w14:paraId="10354550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66B0CAD4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268 u 269a 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7620CC5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35E41EE" w14:textId="77777777" w:rsidTr="00822842">
        <w:tc>
          <w:tcPr>
            <w:tcW w:w="1101" w:type="dxa"/>
          </w:tcPr>
          <w:p w14:paraId="0489AC71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0440</w:t>
            </w:r>
          </w:p>
        </w:tc>
        <w:tc>
          <w:tcPr>
            <w:tcW w:w="7903" w:type="dxa"/>
          </w:tcPr>
          <w:p w14:paraId="30A9281E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TAL-AMMONT TAL-ISKOPERTURA PONDERAT GĦAR-RISKJU WARA L-LIMITU MASSIMU</w:t>
            </w:r>
          </w:p>
          <w:p w14:paraId="6474E22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731521DF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l-ammont tal-iskopertura ponderat għar-riskju wara l-limitu massimu applikabbli għall-pożizzjonijiet ta’ titolizzazzjoni kkalkulat f’konformità mal-Parti, it-Titolu II, il-Kapitolu 5, it-Taqsima 3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C16632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727A3B24" w14:textId="77777777" w:rsidR="00933ADA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tat-titolizzazzjonijiet fil-portafoll tan-negozjar, għandu jiġi rrapportat li ġej:</w:t>
            </w:r>
          </w:p>
          <w:p w14:paraId="563BD002" w14:textId="77777777" w:rsidR="00933ADA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il-RWEA dwar ir-riskju speċifiku, iddeterminat bħala 12,5 darbiet ir-rekwiżit ta’ fondi proprji kif irrapportat fil-kolonna 0570 tal-MKR SA SEC, jew il-kolonni 0410 u 0420 (rilevanti għar-rekwiżit ta’ fondi proprji) ta’ MKR SA CTP, rispettivament, fejn l-istituzzjoni tapplika l-Approċċ Simplifikat ta’ Standardizzazzjoni għar-riskju tas-suq,</w:t>
            </w:r>
          </w:p>
          <w:p w14:paraId="4FA7C759" w14:textId="77777777" w:rsidR="00933ADA" w:rsidRPr="00C21289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 assolut tas-sensittivitajiet ponderati kollha tat-titolizzazzjoni għall-fatturi tar-riskju, kif iddeterminata għall-finijiet tal-kalkolu tar-rekwiżiti ta’ fondi proprji għar-riskju ta’ firxiet tal-kreditu għal titolizzazzjonijiet mhux inklużi fl-ACTP, jew ir-riskju ta’ firxiet tal-kreditu għal titolizzazzjonijiet fl-ACTP, fejn l-istituzzjoni tapplika l-ASA jew l-AIMA.</w:t>
            </w:r>
          </w:p>
          <w:p w14:paraId="3B17993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33ADA" w:rsidRPr="002A677E" w14:paraId="29AD02FB" w14:textId="77777777" w:rsidTr="00822842">
        <w:tc>
          <w:tcPr>
            <w:tcW w:w="1101" w:type="dxa"/>
          </w:tcPr>
          <w:p w14:paraId="2214049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0441– 0444</w:t>
            </w:r>
          </w:p>
        </w:tc>
        <w:tc>
          <w:tcPr>
            <w:tcW w:w="7903" w:type="dxa"/>
          </w:tcPr>
          <w:p w14:paraId="75016A2C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MINIMU TAL-OUTPUT S-TREA</w:t>
            </w:r>
          </w:p>
          <w:p w14:paraId="52531F35" w14:textId="77777777" w:rsidR="00933ADA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9E10C98" w14:textId="19E61D53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soġġetti għall-minimu tal-output skont l-Artikolu 92(3) tar-Regolament (UE) Nru 575/2013, l-ammont totali standardizzat tal-iskopertura għar-riskju (S-TREA) ikkalkolat f’konformità mal-Artikolu 92(5).</w:t>
            </w:r>
          </w:p>
        </w:tc>
      </w:tr>
      <w:tr w:rsidR="00933ADA" w:rsidRPr="002A677E" w14:paraId="0DB415F9" w14:textId="77777777" w:rsidTr="00822842">
        <w:tc>
          <w:tcPr>
            <w:tcW w:w="1101" w:type="dxa"/>
          </w:tcPr>
          <w:p w14:paraId="6D580FE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0441</w:t>
            </w:r>
          </w:p>
        </w:tc>
        <w:tc>
          <w:tcPr>
            <w:tcW w:w="7903" w:type="dxa"/>
          </w:tcPr>
          <w:p w14:paraId="6666FE0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QABEL IL-LIMITU</w:t>
            </w:r>
          </w:p>
          <w:p w14:paraId="182BA4EA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5D626718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TREA qabel il-limitu massimu applikabbli għall-pożizzjonijiet ta’ titolizzazzjoni kkalkulat f’konformità mal-Parti Tlieta, it-Titolu II, il-Kapitolu 5, it-Taqsima 3 tar-Regolament (UE) Nru 575/2013.</w:t>
            </w:r>
          </w:p>
          <w:p w14:paraId="2319E581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3863AEA" w14:textId="77777777" w:rsidR="00933ADA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tat-titolizzazzjonijiet fil-portafoll tan-negozjar, għandu jiġi rrapportat li ġej:</w:t>
            </w:r>
          </w:p>
          <w:p w14:paraId="3F8EED90" w14:textId="77777777" w:rsidR="00933ADA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il-RWEA dwar ir-riskju speċifiku, iddeterminat bħala 12,5 darbiet ir-rekwiżit ta’ fondi proprji kif irrapportat fil-kolonna 0570 tal-MKR SA SEC, jew il-kolonni 0410 u 0420 (rilevanti għar-rekwiżit ta’ fondi proprji) ta’ MKR SA CTP, rispettivament, fejn l-istituzzjoni tapplika l-Approċċ Simplifikat ta’ Standardizzazzjoni għar-riskju tas-suq,</w:t>
            </w:r>
          </w:p>
          <w:p w14:paraId="693C7CE2" w14:textId="77777777" w:rsidR="00933ADA" w:rsidRPr="00C21289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 assolut tas-sensittivitajiet ponderati kollha tat-titolizzazzjoni għall-fatturi tar-riskju, kif iddeterminata għall-finijiet tal-kalkolu tar-rekwiżiti ta’ fondi proprji għar-riskju ta’ firxiet tal-kreditu għal titolizzazzjonijiet mhux inklużi fl-ACTP, jew ir-riskju ta’ firxiet tal-kreditu għal titolizzazzjonijiet fl-ACTP, fejn l-istituzzjoni tapplika l-ASA.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87"/>
            </w:tblGrid>
            <w:tr w:rsidR="00933ADA" w14:paraId="796C14FB" w14:textId="77777777" w:rsidTr="00822842">
              <w:tc>
                <w:tcPr>
                  <w:tcW w:w="7587" w:type="dxa"/>
                </w:tcPr>
                <w:p w14:paraId="3B8CCA7A" w14:textId="77777777" w:rsidR="00933ADA" w:rsidRPr="0051092B" w:rsidRDefault="00933ADA" w:rsidP="00822842">
                  <w:pPr>
                    <w:pStyle w:val="body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Test ta’ spjegazzjoni għal finijiet ta’ konsultazzjoni</w:t>
                  </w:r>
                </w:p>
                <w:p w14:paraId="23406B96" w14:textId="77777777" w:rsidR="00933ADA" w:rsidRDefault="00933ADA" w:rsidP="00822842">
                  <w:pPr>
                    <w:pStyle w:val="body"/>
                  </w:pPr>
                  <w:r>
                    <w:t xml:space="preserve">Għal raġunijiet ta’ sempliċità, u minkejja l-fatt li mhux se jirrifletti d-differenzi bejn il-kalkolu tal-S-TREA u l-U-TREA (ara l-kolonni l-ġodda hawn taħt), iż-żewġ istituzzjonijiet li japplikaw l-ASA u l-istituzzjonijiet li japplikaw l-AIMA huma mitluba sempliċiment jirrapportaw is-somma tas-sensittivitajiet ponderati ddeterminati abbażi tal-SBM għar-riskju ta’ firxiet tal-kreditu tat-titolizzazzjoni.</w:t>
                  </w:r>
                  <w:r>
                    <w:t xml:space="preserve"> </w:t>
                  </w:r>
                  <w:r>
                    <w:t xml:space="preserve">Minħabba r-regoli dwar il-minimu tal-output, kemm l-istituzzjonijiet tal-ASA kif ukoll tal-AIMA huma mistennija li jkollhom dan il-valur disponibbli mingħajr sforz addizzjonali.</w:t>
                  </w:r>
                </w:p>
              </w:tc>
            </w:tr>
          </w:tbl>
          <w:p w14:paraId="426DE9E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A10F8EB" w14:textId="77777777" w:rsidTr="00822842">
        <w:tc>
          <w:tcPr>
            <w:tcW w:w="1101" w:type="dxa"/>
          </w:tcPr>
          <w:p w14:paraId="50BBA203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0442</w:t>
            </w:r>
          </w:p>
        </w:tc>
        <w:tc>
          <w:tcPr>
            <w:tcW w:w="7903" w:type="dxa"/>
          </w:tcPr>
          <w:p w14:paraId="49431B8A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TAL-PIŻ TAR-RISKJU</w:t>
            </w:r>
          </w:p>
          <w:p w14:paraId="2E845DCB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270EF45D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ta’ S-TREA minħabba l-limitu massimu tal-piż tar-riskju f’konformità mal-Artikoli 267 u 269a tar-Regolament (UE) Nru 575/2013.</w:t>
            </w:r>
          </w:p>
          <w:p w14:paraId="03C14F6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1FF55386" w14:textId="77777777" w:rsidTr="00822842">
        <w:tc>
          <w:tcPr>
            <w:tcW w:w="1101" w:type="dxa"/>
          </w:tcPr>
          <w:p w14:paraId="682A0D8F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0443</w:t>
            </w:r>
          </w:p>
        </w:tc>
        <w:tc>
          <w:tcPr>
            <w:tcW w:w="7903" w:type="dxa"/>
          </w:tcPr>
          <w:p w14:paraId="30571E0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TNAQQIS MINĦABBA L-LIMITU ĠENERALI</w:t>
            </w:r>
          </w:p>
          <w:p w14:paraId="1927249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0DB49ED6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ta’ S-TREA minħabba l-limitu ġenerali tar-riskju f’konformità mal-Artikoli 268 u 269a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3E3E9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596D419C" w14:textId="77777777" w:rsidTr="00822842">
        <w:tc>
          <w:tcPr>
            <w:tcW w:w="1101" w:type="dxa"/>
          </w:tcPr>
          <w:p w14:paraId="2191F587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0444</w:t>
            </w:r>
          </w:p>
        </w:tc>
        <w:tc>
          <w:tcPr>
            <w:tcW w:w="7903" w:type="dxa"/>
          </w:tcPr>
          <w:p w14:paraId="7784F835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WARA L-LIMITU</w:t>
            </w:r>
          </w:p>
          <w:p w14:paraId="433303F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14:paraId="172CC8C5" w14:textId="77777777" w:rsidR="00933ADA" w:rsidRPr="002A677E" w:rsidRDefault="00933ADA" w:rsidP="00822842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tiġbor informazzjoni dwar l-S-TREA wara l-limitu massimu applikabbli għall-pożizzjonijiet ta’ titolizzazzjoni kkalkulat f’konformità mal-Parti, it-Titolu II, il-Kapitolu 5, it-Taqsima 3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C1EE876" w14:textId="77777777" w:rsidR="00933ADA" w:rsidRPr="002A677E" w:rsidRDefault="00933ADA" w:rsidP="00822842">
            <w:pPr>
              <w:spacing w:before="0" w:after="0"/>
              <w:rPr>
                <w:rFonts w:ascii="Times New Roman" w:hAnsi="Times New Roman"/>
                <w:sz w:val="24"/>
              </w:rPr>
            </w:pPr>
          </w:p>
          <w:p w14:paraId="38C8C7DE" w14:textId="77777777" w:rsidR="00933ADA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tat-titolizzazzjonijiet fil-portafoll tan-negozjar, għandu jiġi rrapportat li ġej:</w:t>
            </w:r>
          </w:p>
          <w:p w14:paraId="09A850B1" w14:textId="77777777" w:rsidR="00933ADA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il-RWEA dwar ir-riskju speċifiku, iddeterminat bħala 12,5 darbiet ir-rekwiżit ta’ fondi proprji kif irrapportat fil-kolonna 0570 tal-MKR SA SEC, jew il-kolonni 0410 u 0420 (rilevanti għar-rekwiżit ta’ fondi proprji) ta’ MKR SA CTP, rispettivament, fejn l-istituzzjoni tapplika l-Approċċ Simplifikat ta’ Standardizzazzjoni għar-riskju tas-suq,</w:t>
            </w:r>
          </w:p>
          <w:p w14:paraId="192C3CE4" w14:textId="77777777" w:rsidR="00933ADA" w:rsidRPr="00C21289" w:rsidRDefault="00933ADA" w:rsidP="00933ADA">
            <w:pPr>
              <w:pStyle w:val="ListParagraph"/>
              <w:numPr>
                <w:ilvl w:val="0"/>
                <w:numId w:val="20"/>
              </w:num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tal-valur assolut tas-sensittivitajiet ponderati kollha tat-titolizzazzjoni għall-fatturi tar-riskju, kif iddeterminata għall-finijiet tal-kalkolu tar-rekwiżiti ta’ fondi proprji għar-riskju ta’ firxiet tal-kreditu għal titolizzazzjonijiet mhux inklużi fl-ACTP, jew ir-riskju ta’ firxiet tal-kreditu għal titolizzazzjonijiet fl-ACTP, fejn l-istituzzjoni tapplika l-ASA.</w:t>
            </w:r>
          </w:p>
          <w:p w14:paraId="233C3FE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694E74F4" w14:textId="77777777" w:rsidTr="00822842">
        <w:tc>
          <w:tcPr>
            <w:tcW w:w="1101" w:type="dxa"/>
          </w:tcPr>
          <w:p w14:paraId="4F7AE7B2" w14:textId="0354D5B2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0447-04xx</w:t>
            </w:r>
          </w:p>
        </w:tc>
        <w:tc>
          <w:tcPr>
            <w:tcW w:w="7903" w:type="dxa"/>
          </w:tcPr>
          <w:p w14:paraId="39177254" w14:textId="77777777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TA’ MEMORANDUM</w:t>
            </w:r>
          </w:p>
          <w:p w14:paraId="5389D21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7CD8BAA1" w14:textId="77777777" w:rsidTr="00822842">
        <w:tc>
          <w:tcPr>
            <w:tcW w:w="1101" w:type="dxa"/>
          </w:tcPr>
          <w:p w14:paraId="01E9AD5B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0447</w:t>
            </w:r>
          </w:p>
        </w:tc>
        <w:tc>
          <w:tcPr>
            <w:tcW w:w="7903" w:type="dxa"/>
          </w:tcPr>
          <w:p w14:paraId="7CAC2112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L-AMMONT TA’ SKOPERTURA PONDERATA GĦAR-RISKJU SKONT SEC-ERBA</w:t>
            </w:r>
          </w:p>
          <w:p w14:paraId="727DA567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593F468B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263 u 264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għandha tiġi rrapportata biss għal tranżazzjonijiet ikklassifikati qabel il-limitu massimu u ma għandhiex tiġi rrapportata għal tranżazzjonijiet taħt SEC-ERBA.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B823283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24E858E2" w14:textId="77777777" w:rsidTr="00822842">
        <w:tc>
          <w:tcPr>
            <w:tcW w:w="1101" w:type="dxa"/>
          </w:tcPr>
          <w:p w14:paraId="217CBA30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0448</w:t>
            </w:r>
          </w:p>
        </w:tc>
        <w:tc>
          <w:tcPr>
            <w:tcW w:w="7903" w:type="dxa"/>
          </w:tcPr>
          <w:p w14:paraId="48FF751D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TA’ SKOPERTURA PONDERATA GĦAR-RISKJU SKONT L-SEC-SA</w:t>
            </w:r>
          </w:p>
          <w:p w14:paraId="0B3CC3C9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  <w:p w14:paraId="352FBF3A" w14:textId="77777777" w:rsidR="00933ADA" w:rsidRPr="002A677E" w:rsidRDefault="00933ADA" w:rsidP="00822842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261 u 262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għandha tiġi rrapportata qabel il-limitu massimu u ma għandhiex tiġi rrapportata għal tranżazzjonijiet taħt SEC-SA.</w:t>
            </w:r>
          </w:p>
          <w:p w14:paraId="03C7D94F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47AE7DF1" w14:textId="77777777" w:rsidTr="00822842">
        <w:tc>
          <w:tcPr>
            <w:tcW w:w="1101" w:type="dxa"/>
            <w:shd w:val="clear" w:color="auto" w:fill="auto"/>
          </w:tcPr>
          <w:p w14:paraId="00A69DE3" w14:textId="7B4B4A70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0451– 0453</w:t>
            </w:r>
          </w:p>
        </w:tc>
        <w:tc>
          <w:tcPr>
            <w:tcW w:w="7903" w:type="dxa"/>
            <w:shd w:val="clear" w:color="auto" w:fill="auto"/>
          </w:tcPr>
          <w:p w14:paraId="1303C165" w14:textId="1273A546" w:rsidR="00933ADA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MINIMU TAL-OUTPUT: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RWEA RELATAT MAL-IMPATT TAL-APPLIKAZZJONI TAL-ARTIKOLU 465(7) TAR-REGOLAMENT (UE) NRU 575/2013</w:t>
            </w:r>
          </w:p>
          <w:p w14:paraId="121EEE73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bejn l-ammont ta’ RWEA mingħajr l-applikazzjoni tad-dispożizzjonijiet tranżizzjonali u l-ammont ta’ RWEA bl-applikazzjoni tad-dispożizzjonijiet tranżizzjonali għandu jiġi rraporatat għal kull wieħed mit-tliet approċċi: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SEC-IRBA, approċċ ta’ valutazzjoni interna u trattament speċifiku ta’ segmenti superjuri f’titolizzazzjonijiet SPE kwalifikanti.</w:t>
            </w:r>
          </w:p>
        </w:tc>
      </w:tr>
      <w:tr w:rsidR="00933ADA" w:rsidRPr="002A677E" w14:paraId="01F41EE8" w14:textId="77777777" w:rsidTr="00822842">
        <w:tc>
          <w:tcPr>
            <w:tcW w:w="1101" w:type="dxa"/>
            <w:shd w:val="clear" w:color="auto" w:fill="auto"/>
          </w:tcPr>
          <w:p w14:paraId="0C2265AD" w14:textId="77777777" w:rsidR="00933ADA" w:rsidRPr="002A677E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0450– 0470</w:t>
            </w:r>
          </w:p>
        </w:tc>
        <w:tc>
          <w:tcPr>
            <w:tcW w:w="7903" w:type="dxa"/>
            <w:shd w:val="clear" w:color="auto" w:fill="auto"/>
          </w:tcPr>
          <w:p w14:paraId="1EA354D9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TA’ TITOLIZZAZZJONI - PORTAFOLL TAN-NEGOZJAR</w:t>
            </w:r>
          </w:p>
          <w:p w14:paraId="7AFAC8BE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933ADA" w:rsidRPr="002A677E" w14:paraId="0D4A2D0E" w14:textId="77777777" w:rsidTr="008228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63C1" w14:textId="79982832" w:rsidR="00933ADA" w:rsidRPr="002A677E" w:rsidDel="00304CB1" w:rsidRDefault="00933ADA" w:rsidP="00822842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0500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A2CE" w14:textId="77777777" w:rsidR="00933ADA" w:rsidRPr="002A677E" w:rsidRDefault="00933ADA" w:rsidP="00822842">
            <w:pPr>
              <w:spacing w:before="0" w:after="0"/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CTP JEW MHUX CTP?</w:t>
            </w:r>
          </w:p>
          <w:p w14:paraId="4E779271" w14:textId="77777777" w:rsidR="00933ADA" w:rsidRPr="002A677E" w:rsidRDefault="00933ADA" w:rsidP="0082284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</w:p>
          <w:p w14:paraId="5C39CCEE" w14:textId="77777777" w:rsidR="00933ADA" w:rsidRPr="002A677E" w:rsidRDefault="00933ADA" w:rsidP="00822842">
            <w:pPr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L-istituzzjonijiet għandhom jirrapportaw waħda mis-segwenti:</w:t>
            </w:r>
          </w:p>
          <w:p w14:paraId="3077C0BF" w14:textId="77777777" w:rsidR="00933ADA" w:rsidRPr="002A677E" w:rsidRDefault="00933ADA" w:rsidP="00822842">
            <w:pPr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“CTP” - Portafolli ta’ Negozjar ta’ Korrelazzjoni (Correlation Trading Portfolio);</w:t>
            </w:r>
          </w:p>
          <w:p w14:paraId="7D2A23A5" w14:textId="77777777" w:rsidR="00933ADA" w:rsidRPr="002A677E" w:rsidRDefault="00933ADA" w:rsidP="00822842">
            <w:pPr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“Mhux CTP”.</w:t>
            </w:r>
          </w:p>
          <w:p w14:paraId="54A65CFD" w14:textId="77777777" w:rsidR="00933ADA" w:rsidRPr="002A677E" w:rsidRDefault="00933ADA" w:rsidP="00822842">
            <w:pPr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</w:tbl>
    <w:p w14:paraId="50BFD634" w14:textId="77777777" w:rsidR="00933ADA" w:rsidRDefault="00933ADA"/>
    <w:p w14:paraId="36E1EBF9" w14:textId="77777777" w:rsidR="00933ADA" w:rsidRDefault="00933ADA"/>
    <w:sectPr w:rsidR="00933ADA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  <w:footnote w:id="1">
    <w:p w14:paraId="6E2EDE4A" w14:textId="77777777" w:rsidR="00933ADA" w:rsidRPr="0002267E" w:rsidRDefault="00933ADA" w:rsidP="00933ADA">
      <w:pPr>
        <w:pStyle w:val="FootnoteText"/>
        <w:ind w:left="567" w:hanging="567"/>
        <w:rPr>
          <w:sz w:val="20"/>
          <w:szCs w:val="20"/>
          <w:rFonts w:ascii="Times New Roman" w:hAnsi="Times New Roman"/>
        </w:rPr>
      </w:pPr>
      <w:r>
        <w:rPr>
          <w:rStyle w:val="FootnoteReference"/>
        </w:rPr>
        <w:footnoteRef/>
      </w:r>
      <w:r>
        <w:tab/>
      </w:r>
      <w:r>
        <w:rPr>
          <w:color w:val="444444"/>
          <w:sz w:val="20"/>
          <w:rFonts w:ascii="Times New Roman" w:hAnsi="Times New Roman"/>
        </w:rPr>
        <w:t xml:space="preserve">Ir-Regolament (UE) 2017/2402 tal-Parlament Ewropew u tal-Kunsill tat-12 ta’ Diċembru 2017 li jistabbilixxi qafas ġenerali għat-titolizzazzjoni u li joħloq qafas speċifiku għal titolizzazzjoni sempliċi, trasparenti u standardizzata, u li jemenda d-Direttivi 2009/65/KE, 2009/138/KE u 2011/61/UE u r-Regolamenti (KE) Nru 1060/2009 u (UE) Nru 648/2012 (ĠU L 347, 28.12.2017, p. 35).</w:t>
      </w:r>
    </w:p>
  </w:footnote>
  <w:footnote w:id="2">
    <w:p w14:paraId="1712BE5D" w14:textId="77777777" w:rsidR="00933ADA" w:rsidRPr="002409C1" w:rsidRDefault="00933ADA" w:rsidP="00933ADA">
      <w:pPr>
        <w:pStyle w:val="FootnoteText"/>
        <w:ind w:left="567" w:hanging="567"/>
        <w:rPr>
          <w:sz w:val="20"/>
          <w:szCs w:val="20"/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ab/>
      </w:r>
      <w:r>
        <w:rPr>
          <w:sz w:val="20"/>
          <w:rFonts w:ascii="Times New Roman" w:hAnsi="Times New Roman"/>
        </w:rPr>
        <w:t xml:space="preserve">“Istituzzjonijiet awtonomi” la huma parti minn grupp, u lanqas jikkonsolidaw lilhom infushom fl-istess pajjiż fejn huma soġġetti għal rekwiżiti ta’ fondi proprji.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D7F02"/>
    <w:multiLevelType w:val="multilevel"/>
    <w:tmpl w:val="0407001D"/>
    <w:numStyleLink w:val="Formatvorlage3"/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7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8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21"/>
  </w:num>
  <w:num w:numId="3" w16cid:durableId="286200695">
    <w:abstractNumId w:val="30"/>
  </w:num>
  <w:num w:numId="4" w16cid:durableId="487287975">
    <w:abstractNumId w:val="16"/>
  </w:num>
  <w:num w:numId="5" w16cid:durableId="1754350949">
    <w:abstractNumId w:val="25"/>
  </w:num>
  <w:num w:numId="6" w16cid:durableId="1507597667">
    <w:abstractNumId w:val="14"/>
  </w:num>
  <w:num w:numId="7" w16cid:durableId="139271283">
    <w:abstractNumId w:val="29"/>
  </w:num>
  <w:num w:numId="8" w16cid:durableId="763764270">
    <w:abstractNumId w:val="6"/>
  </w:num>
  <w:num w:numId="9" w16cid:durableId="1561986968">
    <w:abstractNumId w:val="23"/>
  </w:num>
  <w:num w:numId="10" w16cid:durableId="1349260748">
    <w:abstractNumId w:val="12"/>
  </w:num>
  <w:num w:numId="11" w16cid:durableId="1097991330">
    <w:abstractNumId w:val="18"/>
  </w:num>
  <w:num w:numId="12" w16cid:durableId="858469680">
    <w:abstractNumId w:val="7"/>
  </w:num>
  <w:num w:numId="13" w16cid:durableId="1485394352">
    <w:abstractNumId w:val="24"/>
  </w:num>
  <w:num w:numId="14" w16cid:durableId="881021889">
    <w:abstractNumId w:val="20"/>
  </w:num>
  <w:num w:numId="15" w16cid:durableId="1923681300">
    <w:abstractNumId w:val="11"/>
  </w:num>
  <w:num w:numId="16" w16cid:durableId="211188018">
    <w:abstractNumId w:val="17"/>
  </w:num>
  <w:num w:numId="17" w16cid:durableId="373817584">
    <w:abstractNumId w:val="10"/>
  </w:num>
  <w:num w:numId="18" w16cid:durableId="1615165847">
    <w:abstractNumId w:val="26"/>
  </w:num>
  <w:num w:numId="19" w16cid:durableId="429467310">
    <w:abstractNumId w:val="4"/>
  </w:num>
  <w:num w:numId="20" w16cid:durableId="1356804014">
    <w:abstractNumId w:val="5"/>
  </w:num>
  <w:num w:numId="21" w16cid:durableId="844249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9669669">
    <w:abstractNumId w:val="9"/>
  </w:num>
  <w:num w:numId="23" w16cid:durableId="1079792157">
    <w:abstractNumId w:val="15"/>
  </w:num>
  <w:num w:numId="24" w16cid:durableId="1333265662">
    <w:abstractNumId w:val="2"/>
  </w:num>
  <w:num w:numId="25" w16cid:durableId="737484550">
    <w:abstractNumId w:val="13"/>
  </w:num>
  <w:num w:numId="26" w16cid:durableId="309210531">
    <w:abstractNumId w:val="28"/>
  </w:num>
  <w:num w:numId="27" w16cid:durableId="166527561">
    <w:abstractNumId w:val="1"/>
  </w:num>
  <w:num w:numId="28" w16cid:durableId="1544101633">
    <w:abstractNumId w:val="27"/>
  </w:num>
  <w:num w:numId="29" w16cid:durableId="44380249">
    <w:abstractNumId w:val="19"/>
  </w:num>
  <w:num w:numId="30" w16cid:durableId="1838038624">
    <w:abstractNumId w:val="0"/>
  </w:num>
  <w:num w:numId="31" w16cid:durableId="1856265522">
    <w:abstractNumId w:val="8"/>
  </w:num>
  <w:num w:numId="32" w16cid:durableId="1869221197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F57B4"/>
    <w:rsid w:val="001B2467"/>
    <w:rsid w:val="00241455"/>
    <w:rsid w:val="003A06D5"/>
    <w:rsid w:val="003E7539"/>
    <w:rsid w:val="005754CB"/>
    <w:rsid w:val="005B58D3"/>
    <w:rsid w:val="005F3FB0"/>
    <w:rsid w:val="00631623"/>
    <w:rsid w:val="006573B5"/>
    <w:rsid w:val="00835B2F"/>
    <w:rsid w:val="00933ADA"/>
    <w:rsid w:val="00A6002C"/>
    <w:rsid w:val="00B71F25"/>
    <w:rsid w:val="00B92D7C"/>
    <w:rsid w:val="00C4175A"/>
    <w:rsid w:val="00D117E0"/>
    <w:rsid w:val="00E26A90"/>
    <w:rsid w:val="00EF07A1"/>
    <w:rsid w:val="00F1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ADA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33ADA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33ADA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33ADA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33ADA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33ADA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933ADA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933ADA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933ADA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933ADA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33ADA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33ADA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33AD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33ADA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33ADA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33ADA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33ADA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33ADA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33ADA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33ADA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33ADA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33ADA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33ADA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33ADA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33ADA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933ADA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33ADA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33ADA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33ADA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33ADA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33ADA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33ADA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33ADA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33ADA"/>
    <w:pPr>
      <w:spacing w:line="312" w:lineRule="auto"/>
      <w:ind w:left="1701" w:hanging="567"/>
    </w:pPr>
  </w:style>
  <w:style w:type="character" w:styleId="Hyperlink">
    <w:name w:val="Hyperlink"/>
    <w:uiPriority w:val="99"/>
    <w:rsid w:val="00933ADA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33ADA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33ADA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33ADA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33ADA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33ADA"/>
    <w:pPr>
      <w:numPr>
        <w:numId w:val="12"/>
      </w:numPr>
    </w:pPr>
  </w:style>
  <w:style w:type="character" w:styleId="PageNumber">
    <w:name w:val="page number"/>
    <w:uiPriority w:val="99"/>
    <w:rsid w:val="00933ADA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33ADA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33ADA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33ADA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33ADA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33ADA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33ADA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33ADA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33ADA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33ADA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33ADA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33ADA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33ADA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33ADA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33ADA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33ADA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933ADA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33ADA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33AD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3ADA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ADA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33ADA"/>
    <w:rPr>
      <w:b/>
      <w:bCs/>
    </w:rPr>
  </w:style>
  <w:style w:type="character" w:styleId="FollowedHyperlink">
    <w:name w:val="FollowedHyperlink"/>
    <w:uiPriority w:val="99"/>
    <w:rsid w:val="00933ADA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33ADA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3ADA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3A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33ADA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33A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33ADA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33ADA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33ADA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33ADA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33ADA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933ADA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33ADA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33ADA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33ADA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33ADA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33ADA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33ADA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33ADA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33ADA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33ADA"/>
    <w:pPr>
      <w:ind w:left="720"/>
    </w:pPr>
  </w:style>
  <w:style w:type="paragraph" w:customStyle="1" w:styleId="Prrafodelista2">
    <w:name w:val="Párrafo de lista2"/>
    <w:basedOn w:val="Normal"/>
    <w:uiPriority w:val="99"/>
    <w:rsid w:val="00933ADA"/>
    <w:pPr>
      <w:ind w:left="708"/>
    </w:pPr>
  </w:style>
  <w:style w:type="paragraph" w:styleId="PlainText">
    <w:name w:val="Plain Text"/>
    <w:basedOn w:val="Normal"/>
    <w:link w:val="PlainTextChar"/>
    <w:uiPriority w:val="99"/>
    <w:rsid w:val="00933ADA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33ADA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33ADA"/>
    <w:pPr>
      <w:ind w:left="708"/>
    </w:pPr>
  </w:style>
  <w:style w:type="character" w:customStyle="1" w:styleId="InstructionsTextChar">
    <w:name w:val="Instructions Text Char"/>
    <w:link w:val="InstructionsText"/>
    <w:locked/>
    <w:rsid w:val="00933ADA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33ADA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33ADA"/>
    <w:pPr>
      <w:ind w:left="708"/>
    </w:pPr>
  </w:style>
  <w:style w:type="character" w:styleId="PlaceholderText">
    <w:name w:val="Placeholder Text"/>
    <w:uiPriority w:val="99"/>
    <w:semiHidden/>
    <w:rsid w:val="00933ADA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33ADA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33ADA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933ADA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933ADA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33ADA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33ADA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33ADA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33ADA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33ADA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33ADA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33ADA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33ADA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33ADA"/>
    <w:pPr>
      <w:numPr>
        <w:numId w:val="6"/>
      </w:numPr>
    </w:pPr>
  </w:style>
  <w:style w:type="numbering" w:customStyle="1" w:styleId="Formatvorlage3">
    <w:name w:val="Formatvorlage3"/>
    <w:uiPriority w:val="99"/>
    <w:rsid w:val="00933ADA"/>
    <w:pPr>
      <w:numPr>
        <w:numId w:val="16"/>
      </w:numPr>
    </w:pPr>
  </w:style>
  <w:style w:type="numbering" w:customStyle="1" w:styleId="Formatvorlage1">
    <w:name w:val="Formatvorlage1"/>
    <w:uiPriority w:val="99"/>
    <w:rsid w:val="00933ADA"/>
    <w:pPr>
      <w:numPr>
        <w:numId w:val="5"/>
      </w:numPr>
    </w:pPr>
  </w:style>
  <w:style w:type="numbering" w:customStyle="1" w:styleId="Formatvorlage4">
    <w:name w:val="Formatvorlage4"/>
    <w:uiPriority w:val="99"/>
    <w:rsid w:val="00933ADA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33ADA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33ADA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33ADA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33ADA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33ADA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33ADA"/>
    <w:pPr>
      <w:ind w:left="708"/>
    </w:pPr>
  </w:style>
  <w:style w:type="character" w:customStyle="1" w:styleId="Platzhaltertext1">
    <w:name w:val="Platzhaltertext1"/>
    <w:uiPriority w:val="99"/>
    <w:semiHidden/>
    <w:rsid w:val="00933ADA"/>
    <w:rPr>
      <w:color w:val="808080"/>
    </w:rPr>
  </w:style>
  <w:style w:type="paragraph" w:customStyle="1" w:styleId="Default">
    <w:name w:val="Default"/>
    <w:rsid w:val="00933ADA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33ADA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33ADA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33ADA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33ADA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33ADA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33ADA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933ADA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33ADA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33ADA"/>
    <w:pPr>
      <w:numPr>
        <w:numId w:val="28"/>
      </w:numPr>
    </w:pPr>
  </w:style>
  <w:style w:type="paragraph" w:customStyle="1" w:styleId="Numberedtitlelevel2">
    <w:name w:val="Numbered title level 2"/>
    <w:basedOn w:val="Titlelevel2"/>
    <w:next w:val="body"/>
    <w:qFormat/>
    <w:rsid w:val="00933ADA"/>
    <w:pPr>
      <w:numPr>
        <w:ilvl w:val="1"/>
        <w:numId w:val="28"/>
      </w:numPr>
    </w:pPr>
  </w:style>
  <w:style w:type="paragraph" w:customStyle="1" w:styleId="Titlelevel2">
    <w:name w:val="Title level 2"/>
    <w:qFormat/>
    <w:rsid w:val="00933ADA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933ADA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933ADA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933ADA"/>
    <w:pPr>
      <w:numPr>
        <w:numId w:val="26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33ADA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33ADA"/>
    <w:pPr>
      <w:numPr>
        <w:numId w:val="27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933ADA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933ADA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933ADA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33ADA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933ADA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33ADA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933ADA"/>
    <w:pPr>
      <w:numPr>
        <w:numId w:val="24"/>
      </w:numPr>
    </w:pPr>
    <w:rPr>
      <w:szCs w:val="22"/>
    </w:rPr>
  </w:style>
  <w:style w:type="paragraph" w:customStyle="1" w:styleId="bullet2">
    <w:name w:val="bullet 2"/>
    <w:basedOn w:val="body"/>
    <w:qFormat/>
    <w:rsid w:val="00933ADA"/>
    <w:pPr>
      <w:numPr>
        <w:numId w:val="23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33ADA"/>
    <w:pPr>
      <w:numPr>
        <w:ilvl w:val="2"/>
        <w:numId w:val="28"/>
      </w:numPr>
    </w:pPr>
  </w:style>
  <w:style w:type="table" w:styleId="LightShading">
    <w:name w:val="Light Shading"/>
    <w:basedOn w:val="TableNormal"/>
    <w:uiPriority w:val="60"/>
    <w:rsid w:val="00933ADA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33ADA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33ADA"/>
  </w:style>
  <w:style w:type="paragraph" w:customStyle="1" w:styleId="Numberedtitlelevel4">
    <w:name w:val="Numbered title level 4"/>
    <w:basedOn w:val="Titlelevel4"/>
    <w:qFormat/>
    <w:rsid w:val="00933ADA"/>
    <w:pPr>
      <w:numPr>
        <w:numId w:val="25"/>
      </w:numPr>
    </w:pPr>
  </w:style>
  <w:style w:type="paragraph" w:styleId="Title">
    <w:name w:val="Title"/>
    <w:basedOn w:val="Normal"/>
    <w:next w:val="Normal"/>
    <w:link w:val="TitleChar"/>
    <w:qFormat/>
    <w:rsid w:val="00933ADA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933ADA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33ADA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33ADA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33ADA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33ADA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33ADA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933ADA"/>
    <w:pPr>
      <w:numPr>
        <w:numId w:val="30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933ADA"/>
    <w:pPr>
      <w:numPr>
        <w:numId w:val="29"/>
      </w:numPr>
    </w:pPr>
  </w:style>
  <w:style w:type="character" w:customStyle="1" w:styleId="Marker">
    <w:name w:val="Marker"/>
    <w:rsid w:val="00933ADA"/>
    <w:rPr>
      <w:color w:val="0000FF"/>
      <w:shd w:val="clear" w:color="auto" w:fill="auto"/>
    </w:rPr>
  </w:style>
  <w:style w:type="character" w:customStyle="1" w:styleId="Marker2">
    <w:name w:val="Marker2"/>
    <w:rsid w:val="00933ADA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33ADA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33ADA"/>
    <w:pPr>
      <w:numPr>
        <w:numId w:val="31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33ADA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33ADA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33ADA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33ADA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33ADA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33ADA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33ADA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33ADA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33ADA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933ADA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33ADA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933ADA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933ADA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933ADA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33ADA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3AD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33ADA"/>
    <w:rPr>
      <w:color w:val="2B579A"/>
      <w:shd w:val="clear" w:color="auto" w:fill="E1DFDD"/>
    </w:rPr>
  </w:style>
  <w:style w:type="paragraph" w:customStyle="1" w:styleId="pf0">
    <w:name w:val="pf0"/>
    <w:basedOn w:val="Normal"/>
    <w:rsid w:val="00933ADA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33ADA"/>
  </w:style>
  <w:style w:type="character" w:customStyle="1" w:styleId="cf01">
    <w:name w:val="cf01"/>
    <w:basedOn w:val="DefaultParagraphFont"/>
    <w:rsid w:val="00933ADA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33ADA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933ADA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33ADA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933ADA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3A80E-CBB5-4FE3-A19A-AB672E8E34EE}"/>
</file>

<file path=customXml/itemProps2.xml><?xml version="1.0" encoding="utf-8"?>
<ds:datastoreItem xmlns:ds="http://schemas.openxmlformats.org/officeDocument/2006/customXml" ds:itemID="{471BC6FB-F70A-4152-B2FF-EDC2E29D843C}">
  <ds:schemaRefs>
    <ds:schemaRef ds:uri="da0bec91-bd15-486a-844a-39cd7890c3eb"/>
    <ds:schemaRef ds:uri="http://purl.org/dc/terms/"/>
    <ds:schemaRef ds:uri="http://schemas.openxmlformats.org/package/2006/metadata/core-properties"/>
    <ds:schemaRef ds:uri="82dbab2e-3b56-44de-becc-0ec356b33df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5F38A6-62E2-44E7-B9F1-C8268931E9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11396</Words>
  <Characters>64961</Characters>
  <Application>Microsoft Office Word</Application>
  <DocSecurity>0</DocSecurity>
  <Lines>541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2024-06-19T18:09:00Z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ediaServiceImageTags">
    <vt:lpwstr/>
  </property>
</Properties>
</file>