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AB900" w14:textId="77777777" w:rsidR="001C3967" w:rsidRDefault="001C3967" w:rsidP="001C3967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MT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 II</w:t>
      </w:r>
    </w:p>
    <w:p w14:paraId="4E0B1D04" w14:textId="77777777" w:rsidR="0086495E" w:rsidRPr="00037E7B" w:rsidRDefault="0086495E" w:rsidP="0086495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“ANNESS II</w:t>
      </w:r>
    </w:p>
    <w:p w14:paraId="1B650450" w14:textId="77777777" w:rsidR="0086495E" w:rsidRPr="00037E7B" w:rsidRDefault="0086495E" w:rsidP="0086495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IR-RAPPORTAR TA’ FONDI PROPRJI U REKWIŻITI TA’ FONDI PROPRJI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PARTI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STRUZZJONIJIET RELATATI MAL-FORMOLA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151D21FE" w14:textId="77777777" w:rsidR="00B35565" w:rsidRDefault="00B35565"/>
    <w:p w14:paraId="4DE618F9" w14:textId="77777777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3.5a.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C 10,00 - Ir-riskji ta’ kreditu u ta’ kreditu tal-kontroparti u konsenji bla ħlas: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Skoperturi IRB soġġetti għal minimu tal-output</w:t>
      </w:r>
    </w:p>
    <w:p w14:paraId="0F58EFDD" w14:textId="01613982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sz w:val="24"/>
          <w:rFonts w:ascii="Times New Roman" w:hAnsi="Times New Roman" w:cs="Times New Roman"/>
        </w:rPr>
      </w:pPr>
      <w:bookmarkStart w:id="0" w:name="_Toc151714425"/>
      <w:r>
        <w:rPr>
          <w:sz w:val="24"/>
          <w:u w:val="none"/>
          <w:rFonts w:ascii="Times New Roman" w:hAnsi="Times New Roman"/>
        </w:rPr>
        <w:t xml:space="preserve">3.5a.1.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Kummenti ġenerali</w:t>
      </w:r>
      <w:bookmarkEnd w:id="0"/>
    </w:p>
    <w:p w14:paraId="61F697DF" w14:textId="7433E710" w:rsidR="009658DD" w:rsidRDefault="007F005E" w:rsidP="009658D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91b.</w:t>
      </w:r>
      <w:r>
        <w:t xml:space="preserve"> </w:t>
      </w:r>
      <w:r>
        <w:t xml:space="preserve">L-istituzzjonijiet li japplikaw l-approċċ IRB għandhom jirrapportaw l-iskoperturi IRB diżaggregati f’C 10.00 skont il-klassijiet tal-iskoperturi SA u l-informazzjoni dwar il-kalkolu tal-ammont totali standardizzat tal-iskopertura għar-riskju ta’ dawn l-iskoperturi.</w:t>
      </w:r>
      <w:r>
        <w:t xml:space="preserve"> </w:t>
      </w:r>
      <w:r>
        <w:t xml:space="preserve">Il-kolonni 0100–0120 jiġbru informazzjoni dwar l-impatt tad-dispożizzjonijiet tranżizzjonali relatati mal-minimu tal-output għal dawn l-iskoperturi.</w:t>
      </w:r>
    </w:p>
    <w:p w14:paraId="757B818D" w14:textId="3ED1BD9A" w:rsidR="00031259" w:rsidRPr="00B64C8A" w:rsidRDefault="00031259" w:rsidP="00031259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91c.</w:t>
      </w:r>
      <w:r>
        <w:t xml:space="preserve"> </w:t>
      </w:r>
      <w:r>
        <w:t xml:space="preserve">L-istituzzjonijiet li japplikaw il-Metodu tal-Mudell Intern (IMM, Internal Model Method) kif huma spjegati fit-Taqsima 6 tal-Kapitolu 6 tar-Regolament (UE) Nru 575/2013 fir-rigward tal-ikkalkolar tal-ammonti tal-iskopertura tal-iskoperturi SA għandhom jirrapportaw ir-ringiela 0270 ta’ din il-formola.</w:t>
      </w:r>
    </w:p>
    <w:p w14:paraId="4C2D34C1" w14:textId="18F2C52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sz w:val="24"/>
          <w:rFonts w:ascii="Times New Roman" w:hAnsi="Times New Roman" w:cs="Times New Roman"/>
        </w:rPr>
      </w:pPr>
      <w:bookmarkStart w:id="1" w:name="_Toc151714426"/>
      <w:r>
        <w:rPr>
          <w:sz w:val="24"/>
          <w:u w:val="none"/>
          <w:rFonts w:ascii="Times New Roman" w:hAnsi="Times New Roman"/>
        </w:rPr>
        <w:t xml:space="preserve">3.5a.2.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Struzzjonijiet dwar pożizzjonijiet speċifiċi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497" w:type="dxa"/>
          </w:tcPr>
          <w:p w14:paraId="0A86BDA1" w14:textId="77777777" w:rsidR="009658DD" w:rsidRPr="00BF08E5" w:rsidRDefault="009658DD" w:rsidP="00822842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 xml:space="preserve">SKOPERTURA ORIĠINARJA QABEL IL-FATTURI TA’ KONVERŻJONI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tal-formola C 07.00, il-kolonna 0010.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(-) AĠĠUSTAMENTI FIL-VALUR U PROVVEDIMENTI ASSOĊJATI MAL-ISKOPERTURA ORIĠINALI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tal-formola C 07.00, il-kolonna 0030.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SKOPERTURA MINGĦAJR L-AĠĠUSTAMENTI TAL-VALUR U D-DISPOŻIZZJONIJIET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It-total tal-kolonni 0010 u 0020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497" w:type="dxa"/>
          </w:tcPr>
          <w:p w14:paraId="07B9E69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TAL-ISKOPERTURA</w:t>
            </w:r>
          </w:p>
          <w:p w14:paraId="31C89221" w14:textId="597B888A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t xml:space="preserve">Ara l-istruzzjonijiet tal-formola C 07.00, il-kolonna 0200.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JIRRIŻULTAW MINN RISKJU TA’L-KREDITU TAL-KONTROPARTI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tal-formola C 07.00, il-kolonna 0210.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0060-0080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MINIMU TAL-OUTPUT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92(3) u l-Artikolu 92(5)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S-TREA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tal-iskopertura totali għar-riskju standardizzat (S-TREA) ikkalkolat skont l-Artikolu 92(5) tar-Regolament (UE) Nru 575/2013.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JIRRIŻULTAW MINN RISKJU TA’ KREDITU TAL-KONTROPARTI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L-S-TREA għar-riskju ta’ kreditu tal-kontroparti kkalkolat skont il-metodi stabbiliti fil-Parti Tlieta, it-Titolu II, il-Kapitolu 6 tar-Regolament (UE) Nru 575/2013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497" w:type="dxa"/>
          </w:tcPr>
          <w:p w14:paraId="1788967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B’VALUTAZZJONI TAL-KREDITU MINN ECAI NOMINATA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il-punti minn (a) sa (d), (f), (g), (l), (n), (o) u (q) tar-Regolament (UE) Nru 575/2013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0090-0110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ENTRATI TAL-MEMORANDUM: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RWEA RELATATA MAL-IMPATT TAL-APPLIKAZZJONI TA’ ĊERTI DISPOŻIZZJONIJIET TRANŻIZZJONALI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L-Artikolu 92(3) u l-Artikolu 465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Għandha tiġi rrapportata d-differenza bejn l-ammont ta’ RWEA mingħajr l-applikazzjoni tad-dispożizzjonijiet tranżizzjonali u l-ammont ta’ RWEA bl-applikazzjoni tad-dispożizzjonijiet tranżizzjonali.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GGARANTITI B’IPOTEKI FUQ PROPRJETÀ RESIDENZJALI SA 55 % TAL-VALUR TAL-PROPRJETÀ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L-Artikolu 465(5), il-punt (a) tar-</w:t>
            </w:r>
            <w:r>
              <w:rPr>
                <w:sz w:val="24"/>
                <w:rFonts w:ascii="Times New Roman" w:hAnsi="Times New Roman"/>
              </w:rPr>
              <w:t xml:space="preserve">Regolament (UE) Nru 575/2013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GGARANTITI B’IPOTEKI FUQ PROPRJETÀ RESIDENZJALI BEJN IL-55 % U T-80 % TAL-VALUR TAL-PROPRJETÀ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L-Artikolu 465(5), il-punt (b) </w:t>
            </w:r>
            <w:r>
              <w:rPr>
                <w:sz w:val="24"/>
                <w:rFonts w:ascii="Times New Roman" w:hAnsi="Times New Roman"/>
              </w:rPr>
              <w:t xml:space="preserve">tar-Regolament (UE) 575/2013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GĦAL KORPORATTIVI MHUX KLASSIFIKATI BI STIMA TAL-PD</w:t>
            </w:r>
          </w:p>
          <w:p w14:paraId="43AA2D10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L-Artikolu 465(3)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IRB SOĠĠETTI GĦAL RISKJU TA’ KREDITU TAL-KONTROPARTI SKONT L-IMM</w:t>
            </w:r>
          </w:p>
          <w:p w14:paraId="44DDA90D" w14:textId="11F3D5C3" w:rsidR="00F42716" w:rsidRPr="00F42716" w:rsidRDefault="00F42716" w:rsidP="0082284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L-Artikolu 465(4)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TOTALI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92(3) u l-Artikoli 95, 96 u 98 tar-Regolament (UE) Nru 575/2013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Rekwiżiti prudenzjali addizzjonali aktar stretti bbażati fuq l-Artikolu 124 tar-Regolament (UE) Nru 575/2013</w:t>
            </w:r>
          </w:p>
          <w:p w14:paraId="1B71DEF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l-ammonti addizzjonali ta’ skopertura ta’ riskju meħtieġa sabiex jikkonformaw mar-rekwiżiti prudenzjali aktar stretti kif ikkomunikati lill-istituzzjonijiet wara li kkonsultaw lill-EBA, f’konformità mal-Artikolu 124, il-paragrafi 2 u 5 tar-Regolament (UE) Nru 575/2013.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Klassijiet ta’ skoperturi SA, mingħajr il-pożizzjonijiet ta’ titolizzazzjoni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Formola ta’ CR SA fil-livell ta’ skoperturi totali.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Il-klassijiet ta’ skoperturi SA huma dawk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imsemmijin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fl-Artikolu 112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, mingħajr il-pożizzjonijiet ta’ titolizzazzjoni.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Gvernijiet ċentrali jew banek ċentrali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Gvernijiet reġjonali jew awtoritajiet lokali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Entitajiet tas-settur pubbliku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Banek Multilaterali tal-Iżvilupp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Organizzazzjonijiet Internazzjonali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Istituzzjonijiet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Korporazzjonijiet– Oħrajn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għal korporattivi mhux klassifikati bi stima PD</w:t>
            </w:r>
          </w:p>
          <w:p w14:paraId="3C17B48F" w14:textId="60283FFA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L-Artikolu 465(3)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Riċevibbli mixtrija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Skoperturi assenjati skont l-approċċ IRB għall-klassi tal-iskoperturi “Riċevuti mixtrija” skont l-Artikolu 147(2), il-punt (c) (iii)</w:t>
            </w:r>
            <w:r>
              <w:rPr>
                <w:sz w:val="24"/>
                <w:rFonts w:ascii="Times New Roman" w:hAnsi="Times New Roman"/>
              </w:rPr>
              <w:t xml:space="preserve"> tar-Regolament (UE) Nru 575/2013.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Korporazzjonijiet - Għoti ta’ Self Speċjalizzat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Bejgħ bl-imnut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Rotanti li jikkwalifikaw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Skoperturi assenjati skont l-approċċ IRB għall-klassi tal-iskoperturi “Riċevuti mixtrija” skont l-Artikolu 147(2), (d) (i)</w:t>
            </w:r>
            <w:r>
              <w:rPr>
                <w:sz w:val="24"/>
                <w:rFonts w:ascii="Times New Roman" w:hAnsi="Times New Roman"/>
              </w:rPr>
              <w:t xml:space="preserve"> tar-Regolament (UE) Nru 575/2013.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Riċevibbli mixtrija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Skoperturi assenjati skont l-approċċ IRB għall-klassi tal-iskoperturi “Riċevuti mixtrija” skont l-Artikolu 147(2), (d) (iii)</w:t>
            </w:r>
            <w:r>
              <w:rPr>
                <w:sz w:val="24"/>
                <w:rFonts w:ascii="Times New Roman" w:hAnsi="Times New Roman"/>
              </w:rPr>
              <w:t xml:space="preserve"> tar-Regolament (UE) Nru 575/2013.</w:t>
            </w:r>
          </w:p>
        </w:tc>
      </w:tr>
      <w:tr w:rsidR="009658DD" w:rsidRPr="000059B8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Garantiti b’ipoteki fuq proprjetà immobbli u skoperturi ADC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6A97630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garantiti b’ipoteki fuq proprjetà residenzjali sa 55 % tal-valuri tal-proprjetà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L-Artikolu 465(5), il-punt (a) tar-</w:t>
            </w:r>
            <w:r>
              <w:rPr>
                <w:sz w:val="24"/>
                <w:rFonts w:ascii="Times New Roman" w:hAnsi="Times New Roman"/>
              </w:rPr>
              <w:t xml:space="preserve">Regolament (UE) Nru 575/2013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garantiti b’ipoteki fuq proprjetà residenzjali bejn il-55 % u t-80 % tal-valuri tal-proprjetà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L-Artikolu 465(5), il-punt (b) </w:t>
            </w:r>
            <w:r>
              <w:rPr>
                <w:sz w:val="24"/>
                <w:rFonts w:ascii="Times New Roman" w:hAnsi="Times New Roman"/>
              </w:rPr>
              <w:t xml:space="preserve">tar-Regolament (UE) 575/2013</w:t>
            </w:r>
          </w:p>
        </w:tc>
      </w:tr>
      <w:tr w:rsidR="001E0830" w:rsidRPr="002A677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AC36BD9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Garantiti b’ipoteki fuq proprjetà immobbli residenzjali — mhux IPRE (garantiti)</w:t>
            </w:r>
          </w:p>
          <w:p w14:paraId="1336D8BC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1E0830" w:rsidRPr="002A677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53899B6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Garantiti b’ipoteki fuq proprjetà immobbli residenzjali – mhux IPRE (mhux garantiti)</w:t>
            </w:r>
          </w:p>
          <w:p w14:paraId="10BC669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1E0830" w:rsidRPr="002A677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592C798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Garantiti b’ipoteki fuq proprjetà immobbli residenzjali – Oħra – mhux IPRE</w:t>
            </w:r>
          </w:p>
          <w:p w14:paraId="6EFCB6F5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1E0830" w:rsidRPr="002A677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893B044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Garantiti b’ipoteki fuq proprjetà immobbli residenzjali – IPRE</w:t>
            </w:r>
          </w:p>
          <w:p w14:paraId="42EC293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1E0830" w:rsidRPr="002A677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056628F0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Garantiti b’ipoteki fuq proprjetà immobbli kummerċjali – Oħra – IPRE</w:t>
            </w:r>
          </w:p>
          <w:p w14:paraId="0DC3800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1E0830" w:rsidRPr="002A677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5FB1939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Garantiti b’ipoteki fuq proprjetà immobbli kummerċjali – mhux IPRE (garantiti)</w:t>
            </w:r>
          </w:p>
          <w:p w14:paraId="16490978" w14:textId="77777777" w:rsidR="001E0830" w:rsidRPr="009161EF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b/>
                <w:sz w:val="24"/>
                <w:u w:val="single"/>
                <w:rFonts w:ascii="Times New Roman" w:hAnsi="Times New Roman"/>
              </w:rPr>
              <w:t xml:space="preserve">Ara l-formola CR SA</w:t>
            </w:r>
          </w:p>
        </w:tc>
      </w:tr>
      <w:tr w:rsidR="001E0830" w:rsidRPr="002A677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5093A28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Garantiti b’ipoteki fuq proprjetà immobbli kummerċjali – mhux IPRE (mhux garantiti)</w:t>
            </w:r>
          </w:p>
          <w:p w14:paraId="5F988EFF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1E0830" w:rsidRPr="002A677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9D1BAF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Garantiti b’ipoteki fuq proprjetà immobbli kummerċjali – Oħra – mhux IPRE</w:t>
            </w:r>
          </w:p>
          <w:p w14:paraId="23004142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1E0830" w:rsidRPr="002A677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13A3918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Garantiti b’ipoteki fuq proprjetà immobbli kummerċjali – IPRE</w:t>
            </w:r>
          </w:p>
          <w:p w14:paraId="4BEE550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1E0830" w:rsidRPr="002A677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6BC502F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Garantiti b’ipoteki fuq proprjetà immobbli kummerċjali – Oħra – IPRE</w:t>
            </w:r>
          </w:p>
          <w:p w14:paraId="4636ED4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1E0830" w:rsidRPr="002A677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69B293C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Akkwist, żvilupp u kostruzzjoni (ADC, Acquisition, development and construction)</w:t>
            </w:r>
          </w:p>
          <w:p w14:paraId="6F33B2A8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0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Kategorizzati bħala garantiti bi proprjetà immobbli residenzjali fl-IRB</w:t>
            </w:r>
          </w:p>
          <w:p w14:paraId="6209048C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Skoperturi assenjati skont l-approċċ IRB għall-klassi tal-iskoperturi “Riċevuti mixtrija” skont l-Artikolu 147(2), (d) (ii)</w:t>
            </w:r>
            <w:r>
              <w:rPr>
                <w:sz w:val="24"/>
                <w:rFonts w:ascii="Times New Roman" w:hAnsi="Times New Roman"/>
              </w:rPr>
              <w:t xml:space="preserve"> tar-Regolament (UE) Nru 575/2013.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f’inadempjenza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ta’ dejn subordinat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Bonds koperti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Pretensjonijiet għal istituzzjonijiet u għal impriżi b’valutazzjoni tal-kreditu ta’ terminu qasir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5CCE01A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Impriżi ta’ investiment kollettiv (CIU, Collective investments undertakings)</w:t>
            </w:r>
          </w:p>
          <w:p w14:paraId="0AFC108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Ekwità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Oġġetti oħra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Ara l-formola CR SA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</w:rPr>
              <w:t xml:space="preserve">ENTRATI TA’ MEMORANDUM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Impriżi- F-IRB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Skoperturi għal korporattivi ttrattati skont l-approċċ IRB tal-fondazzjoni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Impriżi — A-IRB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Skoperturi għal korporattivi ttrattati skont l-approċċ IRB avvanzat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SA soġġetti għal riskju ta’ kreditu tal-kontroparti skont l-IMM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L-Artikolu 465(4)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</w:p>
        </w:tc>
      </w:tr>
    </w:tbl>
    <w:p w14:paraId="45E26769" w14:textId="77777777" w:rsidR="009658DD" w:rsidRDefault="009658DD"/>
    <w:p w14:paraId="0DCEB443" w14:textId="77777777" w:rsidR="009658DD" w:rsidRDefault="009658DD"/>
    <w:sectPr w:rsidR="009658D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4F33E2"/>
    <w:rsid w:val="00631535"/>
    <w:rsid w:val="00631623"/>
    <w:rsid w:val="007F005E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val="mt-MT"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58BAB4-D929-4B1D-9F8A-2332616F2AA3}"/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1090</Words>
  <Characters>6216</Characters>
  <Application>Microsoft Office Word</Application>
  <DocSecurity>0</DocSecurity>
  <Lines>51</Lines>
  <Paragraphs>14</Paragraphs>
  <ScaleCrop>false</ScaleCrop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2024-06-21T12:20:00Z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