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A83C" w14:textId="0B721961" w:rsidR="009E7D0C" w:rsidRPr="00696301" w:rsidRDefault="009E7D0C" w:rsidP="0076375E">
      <w:pPr>
        <w:jc w:val="center"/>
        <w:rPr>
          <w:rFonts w:ascii="Times New Roman" w:hAnsi="Times New Roman"/>
          <w:sz w:val="24"/>
        </w:rPr>
      </w:pPr>
      <w:bookmarkStart w:id="0" w:name="_Toc262568021"/>
      <w:bookmarkStart w:id="1" w:name="_Toc295829847"/>
      <w:r>
        <w:rPr>
          <w:rFonts w:ascii="Times New Roman" w:hAnsi="Times New Roman"/>
          <w:sz w:val="24"/>
        </w:rPr>
        <w:t>MT</w:t>
      </w:r>
    </w:p>
    <w:p w14:paraId="24333E7A" w14:textId="068FF302" w:rsidR="008D696E" w:rsidRDefault="008D696E" w:rsidP="00A3369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ANNESS II</w:t>
      </w:r>
    </w:p>
    <w:p w14:paraId="37362007" w14:textId="08E6D03A" w:rsidR="002648B0" w:rsidRPr="00696301" w:rsidRDefault="008D696E" w:rsidP="00A3369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“ANNESS XI </w:t>
      </w:r>
    </w:p>
    <w:p w14:paraId="2C40683C" w14:textId="1AA60166" w:rsidR="00436204" w:rsidRPr="00696301" w:rsidRDefault="00D11E4C" w:rsidP="004E7DC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STRUZZJONIJIET GĦAR-REKWIŻIT TA’ RAPPORTAR TAL-FATTUR-K TAL-RtM ABBAŻI TAL-K-NPR</w:t>
      </w:r>
    </w:p>
    <w:p w14:paraId="3DEB94EC" w14:textId="77777777" w:rsidR="00783881" w:rsidRPr="00696301" w:rsidRDefault="002648B0" w:rsidP="00487A02">
      <w:pPr>
        <w:pStyle w:val="InstructionsText"/>
      </w:pPr>
      <w:r>
        <w:t>Werrej</w:t>
      </w:r>
    </w:p>
    <w:p w14:paraId="0D2EE610" w14:textId="177CDDF1" w:rsidR="00913B98" w:rsidRDefault="00745369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TOC \o "1-3" \h \z \u </w:instrText>
      </w:r>
      <w:r>
        <w:rPr>
          <w:rFonts w:ascii="Times New Roman" w:hAnsi="Times New Roman"/>
          <w:sz w:val="24"/>
        </w:rPr>
        <w:fldChar w:fldCharType="separate"/>
      </w:r>
      <w:hyperlink w:anchor="_Toc210752955" w:history="1">
        <w:r w:rsidR="00913B98" w:rsidRPr="00A63D06">
          <w:rPr>
            <w:rStyle w:val="Hyperlink"/>
            <w:rFonts w:ascii="Times New Roman" w:hAnsi="Times New Roman"/>
          </w:rPr>
          <w:t>PARTI I: ISTRUZZJONIJIET ĠENERALI</w:t>
        </w:r>
        <w:r w:rsidR="00913B98">
          <w:rPr>
            <w:webHidden/>
          </w:rPr>
          <w:tab/>
        </w:r>
        <w:r w:rsidR="00913B98">
          <w:rPr>
            <w:webHidden/>
          </w:rPr>
          <w:fldChar w:fldCharType="begin"/>
        </w:r>
        <w:r w:rsidR="00913B98">
          <w:rPr>
            <w:webHidden/>
          </w:rPr>
          <w:instrText xml:space="preserve"> PAGEREF _Toc210752955 \h </w:instrText>
        </w:r>
        <w:r w:rsidR="00913B98">
          <w:rPr>
            <w:webHidden/>
          </w:rPr>
        </w:r>
        <w:r w:rsidR="00913B98">
          <w:rPr>
            <w:webHidden/>
          </w:rPr>
          <w:fldChar w:fldCharType="separate"/>
        </w:r>
        <w:r w:rsidR="00913B98">
          <w:rPr>
            <w:webHidden/>
          </w:rPr>
          <w:t>2</w:t>
        </w:r>
        <w:r w:rsidR="00913B98">
          <w:rPr>
            <w:webHidden/>
          </w:rPr>
          <w:fldChar w:fldCharType="end"/>
        </w:r>
      </w:hyperlink>
    </w:p>
    <w:p w14:paraId="5B3CAC9B" w14:textId="3D4A587E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56" w:history="1">
        <w:r w:rsidRPr="00A63D06">
          <w:rPr>
            <w:rStyle w:val="Hyperlink"/>
            <w:rFonts w:ascii="Times New Roman" w:hAnsi="Times New Roman"/>
          </w:rPr>
          <w:t>1.</w:t>
        </w:r>
        <w:r w:rsidRPr="00A63D06">
          <w:rPr>
            <w:rStyle w:val="Hyperlink"/>
            <w:rFonts w:ascii="Times New Roman" w:hAnsi="Times New Roman"/>
            <w:lang w:val="en-GB"/>
          </w:rPr>
          <w:t xml:space="preserve"> 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KONVENZJONIJIET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B6AA5F" w14:textId="54FB28C2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57" w:history="1">
        <w:r w:rsidRPr="00A63D06">
          <w:rPr>
            <w:rStyle w:val="Hyperlink"/>
            <w:rFonts w:ascii="Times New Roman" w:hAnsi="Times New Roman"/>
          </w:rPr>
          <w:t>1.1.</w:t>
        </w:r>
        <w:r w:rsidRPr="00A63D06">
          <w:rPr>
            <w:rStyle w:val="Hyperlink"/>
            <w:rFonts w:ascii="Times New Roman" w:hAnsi="Times New Roman"/>
            <w:lang w:val="en-GB"/>
          </w:rPr>
          <w:t xml:space="preserve"> 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Konvenzjoni tan-numerazzjoni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B2E637" w14:textId="33017779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58" w:history="1">
        <w:r w:rsidRPr="00A63D06">
          <w:rPr>
            <w:rStyle w:val="Hyperlink"/>
            <w:rFonts w:ascii="Times New Roman" w:hAnsi="Times New Roman"/>
          </w:rPr>
          <w:t>1.2.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Konvenzjoni tas-simboli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5368E71" w14:textId="79063DE6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59" w:history="1">
        <w:r w:rsidRPr="00A63D06">
          <w:rPr>
            <w:rStyle w:val="Hyperlink"/>
            <w:rFonts w:ascii="Times New Roman" w:hAnsi="Times New Roman"/>
          </w:rPr>
          <w:t>1.3.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Referenzi għar-Regolament (UE) Nru 575/2013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903634F" w14:textId="29A813BE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0" w:history="1">
        <w:r w:rsidRPr="00A63D06">
          <w:rPr>
            <w:rStyle w:val="Hyperlink"/>
            <w:rFonts w:ascii="Times New Roman" w:hAnsi="Times New Roman"/>
          </w:rPr>
          <w:t>PARTI II: STRUZZJONIJIET RELATATI MAL-FORMOLI: FORMOLI TAR-RISKJU TAS-SUQ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05BADE" w14:textId="13B6A0D2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1" w:history="1">
        <w:r w:rsidRPr="00A63D06">
          <w:rPr>
            <w:rStyle w:val="Hyperlink"/>
            <w:rFonts w:ascii="Times New Roman" w:hAnsi="Times New Roman"/>
          </w:rPr>
          <w:t>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Kummenti ġenerali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DEC970" w14:textId="3A460B68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2" w:history="1">
        <w:r w:rsidRPr="00A63D06">
          <w:rPr>
            <w:rStyle w:val="Hyperlink"/>
            <w:rFonts w:ascii="Times New Roman" w:hAnsi="Times New Roman"/>
          </w:rPr>
          <w:t>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C 18.00 – Riskju tas-Suq: Approċċ Standardizzat għar-Riskju ta’ Pożizzjoni fi Strumenti ta’ Dejn Negozjati (MKR SA TDI)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E2B204" w14:textId="57502F9B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3" w:history="1">
        <w:r w:rsidRPr="00A63D06">
          <w:rPr>
            <w:rStyle w:val="Hyperlink"/>
            <w:rFonts w:ascii="Times New Roman" w:hAnsi="Times New Roman"/>
          </w:rPr>
          <w:t>2.1.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Kummenti Ġenerali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D4259C" w14:textId="2817BD13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4" w:history="1">
        <w:r w:rsidRPr="00A63D06">
          <w:rPr>
            <w:rStyle w:val="Hyperlink"/>
            <w:rFonts w:ascii="Times New Roman" w:hAnsi="Times New Roman"/>
          </w:rPr>
          <w:t>2.2.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Struzzjonijiet li jikkonċernaw pożizzjonijiet speċifiċi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B3A990" w14:textId="48305CCD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5" w:history="1">
        <w:r w:rsidRPr="00A63D06">
          <w:rPr>
            <w:rStyle w:val="Hyperlink"/>
            <w:rFonts w:ascii="Times New Roman" w:hAnsi="Times New Roman"/>
          </w:rPr>
          <w:t>3.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C 19.00 - RISKJU TAS-SUQ: APPROĊĊ STANDARDIZZAT GĦAL RISKJU SPEĊIFIKU F’TITOLIZZAZZJONIJIET (MKR SA SEC)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7CD59F" w14:textId="74FEF171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6" w:history="1">
        <w:r w:rsidRPr="00A63D06">
          <w:rPr>
            <w:rStyle w:val="Hyperlink"/>
            <w:rFonts w:ascii="Times New Roman" w:hAnsi="Times New Roman"/>
          </w:rPr>
          <w:t>3.1.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Kummenti Ġenerali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1C2C92" w14:textId="48973D27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7" w:history="1">
        <w:r w:rsidRPr="00A63D06">
          <w:rPr>
            <w:rStyle w:val="Hyperlink"/>
            <w:rFonts w:ascii="Times New Roman" w:hAnsi="Times New Roman"/>
          </w:rPr>
          <w:t>3.2.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Struzzjonijiet li jikkonċernaw pożizzjonijiet speċifiċi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7E6C7F5" w14:textId="5FC3FC24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8" w:history="1">
        <w:r w:rsidRPr="00A63D06">
          <w:rPr>
            <w:rStyle w:val="Hyperlink"/>
            <w:rFonts w:ascii="Times New Roman" w:hAnsi="Times New Roman"/>
          </w:rPr>
          <w:t>4.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C 20.00 - RISKJU TAS-SUQ: APPROĊĊ STANDARDIZZAT GĦAL RISKJU SPEĊIFIKU GĦAL POŻIZZJONIJIET ASSENJATI GĦALL-PORTAFOLL TA’ NEGOZJAR TA’ KORRELAZZJONI (MKR SA PNK)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9209FF" w14:textId="0D4A5B87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69" w:history="1">
        <w:r w:rsidRPr="00A63D06">
          <w:rPr>
            <w:rStyle w:val="Hyperlink"/>
            <w:rFonts w:ascii="Times New Roman" w:hAnsi="Times New Roman"/>
          </w:rPr>
          <w:t>4.1.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Kummenti Ġenerali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966F8D" w14:textId="13912244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0" w:history="1">
        <w:r w:rsidRPr="00A63D06">
          <w:rPr>
            <w:rStyle w:val="Hyperlink"/>
            <w:rFonts w:ascii="Times New Roman" w:hAnsi="Times New Roman"/>
          </w:rPr>
          <w:t>4.2.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Struzzjonijiet li jikkonċernaw pożizzjonijiet speċifiċi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424E11" w14:textId="3BA0217C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1" w:history="1">
        <w:r w:rsidRPr="00A63D06">
          <w:rPr>
            <w:rStyle w:val="Hyperlink"/>
            <w:rFonts w:ascii="Times New Roman" w:hAnsi="Times New Roman"/>
          </w:rPr>
          <w:t>5.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C 21.00 - Riskju tas-Suq: Approċċ Standardizzat għar-Riskju ta’ Pożizzjoni f’Ekwitajiet (MKR SA EQU)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4B98D7D" w14:textId="45F98CAD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2" w:history="1">
        <w:r w:rsidRPr="00A63D06">
          <w:rPr>
            <w:rStyle w:val="Hyperlink"/>
            <w:rFonts w:ascii="Times New Roman" w:hAnsi="Times New Roman"/>
          </w:rPr>
          <w:t>5.1.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Kummenti Ġenerali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D75A770" w14:textId="5845AA21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3" w:history="1">
        <w:r w:rsidRPr="00A63D06">
          <w:rPr>
            <w:rStyle w:val="Hyperlink"/>
            <w:rFonts w:ascii="Times New Roman" w:hAnsi="Times New Roman"/>
          </w:rPr>
          <w:t>5.2.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Struzzjonijiet li jikkonċernaw pożizzjonijiet speċifiċi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5A541EA" w14:textId="29EDF930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4" w:history="1">
        <w:r w:rsidRPr="00A63D06">
          <w:rPr>
            <w:rStyle w:val="Hyperlink"/>
            <w:rFonts w:ascii="Times New Roman" w:hAnsi="Times New Roman"/>
          </w:rPr>
          <w:t>6.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C 22.00 - Riskju tas-Suq: Approċċi Standardizzati għar-Riskju tal-Kambju (MKR SA FX)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DE79C2" w14:textId="4AA42406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5" w:history="1">
        <w:r w:rsidRPr="00A63D06">
          <w:rPr>
            <w:rStyle w:val="Hyperlink"/>
            <w:rFonts w:ascii="Times New Roman" w:hAnsi="Times New Roman"/>
          </w:rPr>
          <w:t>6.1.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Kummenti Ġenerali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4F1F9D2" w14:textId="1D0C6BFE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6" w:history="1">
        <w:r w:rsidRPr="00A63D06">
          <w:rPr>
            <w:rStyle w:val="Hyperlink"/>
            <w:rFonts w:ascii="Times New Roman" w:hAnsi="Times New Roman"/>
          </w:rPr>
          <w:t>6.2.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Struzzjonijiet li jikkonċernaw pożizzjonijiet speċifiċi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209A7F6" w14:textId="5833C46A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7" w:history="1">
        <w:r w:rsidRPr="00A63D06">
          <w:rPr>
            <w:rStyle w:val="Hyperlink"/>
            <w:rFonts w:ascii="Times New Roman" w:hAnsi="Times New Roman"/>
          </w:rPr>
          <w:t>7.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C 23.00 - Riskju tas-Suq: Approċċi Standardizzati għall-Komoditajiet (MKR SA COM)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77D4475" w14:textId="70467B60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8" w:history="1">
        <w:r w:rsidRPr="00A63D06">
          <w:rPr>
            <w:rStyle w:val="Hyperlink"/>
            <w:rFonts w:ascii="Times New Roman" w:hAnsi="Times New Roman"/>
          </w:rPr>
          <w:t>7.1.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Kummenti Ġenerali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BB83045" w14:textId="76DADD77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79" w:history="1">
        <w:r w:rsidRPr="00A63D06">
          <w:rPr>
            <w:rStyle w:val="Hyperlink"/>
            <w:rFonts w:ascii="Times New Roman" w:hAnsi="Times New Roman"/>
          </w:rPr>
          <w:t>7.2.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Struzzjonijiet li jikkonċernaw pożizzjonijiet speċifiċi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42092E4" w14:textId="51099000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80" w:history="1">
        <w:r w:rsidRPr="00A63D06">
          <w:rPr>
            <w:rStyle w:val="Hyperlink"/>
            <w:rFonts w:ascii="Times New Roman" w:hAnsi="Times New Roman"/>
          </w:rPr>
          <w:t>8.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C 24.00 - Mudell Intern tar-Riskju tas-Suq (MKR IM)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0B02E24" w14:textId="79C86D47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81" w:history="1">
        <w:r w:rsidRPr="00A63D06">
          <w:rPr>
            <w:rStyle w:val="Hyperlink"/>
            <w:rFonts w:ascii="Times New Roman" w:hAnsi="Times New Roman"/>
          </w:rPr>
          <w:t>8.1.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Kummenti Ġenerali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1E6D18E" w14:textId="5FC90943" w:rsidR="00913B98" w:rsidRDefault="00913B98">
      <w:pPr>
        <w:pStyle w:val="TOC2"/>
        <w:rPr>
          <w:rFonts w:asciiTheme="minorHAnsi" w:eastAsiaTheme="minorEastAsia" w:hAnsiTheme="minorHAnsi" w:cstheme="minorBidi"/>
          <w:b w:val="0"/>
          <w:smallCaps w:val="0"/>
          <w:kern w:val="2"/>
          <w:sz w:val="24"/>
          <w:szCs w:val="24"/>
          <w:lang w:val="en-IE" w:eastAsia="en-IE"/>
          <w14:ligatures w14:val="standardContextual"/>
        </w:rPr>
      </w:pPr>
      <w:hyperlink w:anchor="_Toc210752982" w:history="1">
        <w:r w:rsidRPr="00A63D06">
          <w:rPr>
            <w:rStyle w:val="Hyperlink"/>
            <w:rFonts w:ascii="Times New Roman" w:hAnsi="Times New Roman"/>
          </w:rPr>
          <w:t>8.2.</w:t>
        </w:r>
        <w:r>
          <w:rPr>
            <w:rFonts w:asciiTheme="minorHAnsi" w:eastAsiaTheme="minorEastAsia" w:hAnsiTheme="minorHAnsi" w:cstheme="minorBidi"/>
            <w:b w:val="0"/>
            <w:smallCaps w:val="0"/>
            <w:kern w:val="2"/>
            <w:sz w:val="24"/>
            <w:szCs w:val="24"/>
            <w:lang w:val="en-IE" w:eastAsia="en-IE"/>
            <w14:ligatures w14:val="standardContextual"/>
          </w:rPr>
          <w:tab/>
        </w:r>
        <w:r w:rsidRPr="00A63D06">
          <w:rPr>
            <w:rStyle w:val="Hyperlink"/>
            <w:rFonts w:ascii="Times New Roman" w:hAnsi="Times New Roman"/>
          </w:rPr>
          <w:t>Struzzjonijiet li jikkonċernaw pożizzjonijiet speċifiċi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_Toc210752982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325A1DC" w14:textId="2F01EA16" w:rsidR="002648B0" w:rsidRPr="00696301" w:rsidRDefault="00745369" w:rsidP="00005FFC">
      <w:pPr>
        <w:rPr>
          <w:rFonts w:ascii="Times New Roman" w:hAnsi="Times New Roman"/>
          <w:sz w:val="24"/>
        </w:rPr>
        <w:sectPr w:rsidR="002648B0" w:rsidRPr="00696301" w:rsidSect="004D441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fldChar w:fldCharType="end"/>
      </w:r>
    </w:p>
    <w:p w14:paraId="65DEB04A" w14:textId="77777777" w:rsidR="002648B0" w:rsidRPr="002D60D7" w:rsidRDefault="002648B0" w:rsidP="004C445F">
      <w:pPr>
        <w:pStyle w:val="Heading2"/>
        <w:suppressAutoHyphens/>
        <w:rPr>
          <w:rFonts w:ascii="Times New Roman" w:hAnsi="Times New Roman"/>
        </w:rPr>
      </w:pPr>
      <w:bookmarkStart w:id="2" w:name="_Toc264038394"/>
      <w:bookmarkStart w:id="3" w:name="_Toc360188317"/>
      <w:bookmarkStart w:id="4" w:name="_Toc473560865"/>
      <w:bookmarkStart w:id="5" w:name="_Toc210752955"/>
      <w:r>
        <w:rPr>
          <w:rFonts w:ascii="Times New Roman" w:hAnsi="Times New Roman"/>
        </w:rPr>
        <w:lastRenderedPageBreak/>
        <w:t>PARTI I:</w:t>
      </w:r>
      <w:bookmarkEnd w:id="2"/>
      <w:r>
        <w:rPr>
          <w:rFonts w:ascii="Times New Roman" w:hAnsi="Times New Roman"/>
        </w:rPr>
        <w:t xml:space="preserve"> ISTRUZZJONIJIET ĠENERALI</w:t>
      </w:r>
      <w:bookmarkEnd w:id="3"/>
      <w:bookmarkEnd w:id="4"/>
      <w:bookmarkEnd w:id="5"/>
    </w:p>
    <w:p w14:paraId="2B1DE452" w14:textId="08C1026F" w:rsidR="002648B0" w:rsidRPr="002D60D7" w:rsidRDefault="00125707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  <w:u w:val="none"/>
        </w:rPr>
      </w:pPr>
      <w:bookmarkStart w:id="6" w:name="_Toc360188318"/>
      <w:bookmarkStart w:id="7" w:name="_Toc473560866"/>
      <w:bookmarkStart w:id="8" w:name="_Toc210752956"/>
      <w:r>
        <w:rPr>
          <w:rFonts w:ascii="Times New Roman" w:hAnsi="Times New Roman"/>
          <w:sz w:val="24"/>
          <w:u w:val="none"/>
        </w:rPr>
        <w:t>1.</w:t>
      </w:r>
      <w:r w:rsidR="00913B98" w:rsidRPr="00913B98">
        <w:rPr>
          <w:rFonts w:ascii="Times New Roman" w:hAnsi="Times New Roman" w:cs="Times New Roman"/>
          <w:sz w:val="24"/>
          <w:u w:val="none"/>
          <w:lang w:val="en-GB"/>
        </w:rPr>
        <w:t xml:space="preserve"> </w:t>
      </w:r>
      <w:r w:rsidR="00913B98" w:rsidRPr="002D60D7">
        <w:rPr>
          <w:rFonts w:ascii="Times New Roman" w:hAnsi="Times New Roman" w:cs="Times New Roman"/>
          <w:sz w:val="24"/>
          <w:u w:val="none"/>
          <w:lang w:val="en-GB"/>
        </w:rPr>
        <w:tab/>
      </w:r>
      <w:r>
        <w:rPr>
          <w:rFonts w:ascii="Times New Roman" w:hAnsi="Times New Roman"/>
          <w:sz w:val="24"/>
          <w:u w:val="none"/>
        </w:rPr>
        <w:t>KONVENZJONIJIET</w:t>
      </w:r>
      <w:bookmarkEnd w:id="6"/>
      <w:bookmarkEnd w:id="7"/>
      <w:bookmarkEnd w:id="8"/>
    </w:p>
    <w:p w14:paraId="691FE691" w14:textId="00ACE2E9" w:rsidR="002648B0" w:rsidRPr="002D60D7" w:rsidRDefault="00125707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  <w:u w:val="none"/>
        </w:rPr>
      </w:pPr>
      <w:bookmarkStart w:id="9" w:name="_Toc360188320"/>
      <w:bookmarkStart w:id="10" w:name="_Toc473560868"/>
      <w:bookmarkStart w:id="11" w:name="_Toc264038399"/>
      <w:bookmarkStart w:id="12" w:name="_Toc294018834"/>
      <w:bookmarkStart w:id="13" w:name="_Toc210752957"/>
      <w:r>
        <w:rPr>
          <w:rFonts w:ascii="Times New Roman" w:hAnsi="Times New Roman"/>
          <w:sz w:val="24"/>
          <w:u w:val="none"/>
        </w:rPr>
        <w:t>1.1.</w:t>
      </w:r>
      <w:r w:rsidR="00913B98" w:rsidRPr="00913B98">
        <w:rPr>
          <w:rFonts w:ascii="Times New Roman" w:hAnsi="Times New Roman" w:cs="Times New Roman"/>
          <w:sz w:val="24"/>
          <w:u w:val="none"/>
          <w:lang w:val="en-GB"/>
        </w:rPr>
        <w:t xml:space="preserve"> </w:t>
      </w:r>
      <w:r w:rsidR="00913B98" w:rsidRPr="002D60D7">
        <w:rPr>
          <w:rFonts w:ascii="Times New Roman" w:hAnsi="Times New Roman" w:cs="Times New Roman"/>
          <w:sz w:val="24"/>
          <w:u w:val="none"/>
          <w:lang w:val="en-GB"/>
        </w:rPr>
        <w:tab/>
      </w:r>
      <w:r>
        <w:rPr>
          <w:rFonts w:ascii="Times New Roman" w:hAnsi="Times New Roman"/>
          <w:sz w:val="24"/>
          <w:u w:val="none"/>
        </w:rPr>
        <w:t>Konvenzjoni tan-numerazzjoni</w:t>
      </w:r>
      <w:bookmarkEnd w:id="9"/>
      <w:bookmarkEnd w:id="10"/>
      <w:bookmarkEnd w:id="13"/>
    </w:p>
    <w:p w14:paraId="07DD29A3" w14:textId="3ADB010A" w:rsidR="002648B0" w:rsidRPr="002D60D7" w:rsidRDefault="002648B0" w:rsidP="00E172EA">
      <w:pPr>
        <w:pStyle w:val="InstructionsText2"/>
        <w:numPr>
          <w:ilvl w:val="0"/>
          <w:numId w:val="29"/>
        </w:numPr>
        <w:suppressAutoHyphens/>
      </w:pPr>
      <w:r>
        <w:t>Id-dokument isegwi l-konvenzjoni tat-tikkettar stabbilita fil-punti minn 2 sa 5, meta ssir referenza għall-kolonni, ir-ringieli u ċ-ċelloli tal-formoli. Dawk il-kodiċijiet numeriċi jintużaw b’mod estensiv fir-regoli ta’ validazzjoni.</w:t>
      </w:r>
    </w:p>
    <w:p w14:paraId="4A930757" w14:textId="35786EEA" w:rsidR="005643EA" w:rsidRPr="002D60D7" w:rsidRDefault="002648B0" w:rsidP="00E172EA">
      <w:pPr>
        <w:pStyle w:val="InstructionsText2"/>
        <w:numPr>
          <w:ilvl w:val="0"/>
          <w:numId w:val="29"/>
        </w:numPr>
        <w:suppressAutoHyphens/>
      </w:pPr>
      <w:r>
        <w:t>In-notazzjoni ġenerali li ġejja qed tiġi segwita fl-istruzzjonijiet: {Formola; Ringiela; Kolonna}.</w:t>
      </w:r>
    </w:p>
    <w:p w14:paraId="058D6622" w14:textId="0D8EC818" w:rsidR="002648B0" w:rsidRPr="002D60D7" w:rsidRDefault="002648B0" w:rsidP="00E172EA">
      <w:pPr>
        <w:pStyle w:val="InstructionsText2"/>
        <w:numPr>
          <w:ilvl w:val="0"/>
          <w:numId w:val="29"/>
        </w:numPr>
        <w:suppressAutoHyphens/>
      </w:pPr>
      <w:r>
        <w:t>Fil-każ ta’ validazzjonijiet ġo formola, li fiha jintużaw biss punti ta’ data ta’ dik il-formola, in-notazzjonijiet ma jirreferux għal formola: {Ringiela; Kolonna}.</w:t>
      </w:r>
    </w:p>
    <w:p w14:paraId="1C93CB72" w14:textId="27E06172" w:rsidR="005643EA" w:rsidRPr="002D60D7" w:rsidRDefault="002648B0" w:rsidP="00E172EA">
      <w:pPr>
        <w:pStyle w:val="InstructionsText2"/>
        <w:numPr>
          <w:ilvl w:val="0"/>
          <w:numId w:val="29"/>
        </w:numPr>
        <w:suppressAutoHyphens/>
      </w:pPr>
      <w:r>
        <w:t>Fil-każ ta’ formoli b’kolonna waħda biss, issir referenza għar-ringieli biss. {Formola; Ringiela}.</w:t>
      </w:r>
    </w:p>
    <w:p w14:paraId="6CF08484" w14:textId="337CEEA0" w:rsidR="002648B0" w:rsidRPr="002D60D7" w:rsidRDefault="002648B0" w:rsidP="00E172EA">
      <w:pPr>
        <w:pStyle w:val="InstructionsText2"/>
        <w:numPr>
          <w:ilvl w:val="0"/>
          <w:numId w:val="29"/>
        </w:numPr>
        <w:suppressAutoHyphens/>
      </w:pPr>
      <w:r>
        <w:t>Jintuża sinjal ta’ asterisk biex jesprimi li l-validazzjoni hija lesta għar-ringieli jew il-kolonni speċifikati qabel.</w:t>
      </w:r>
    </w:p>
    <w:p w14:paraId="6218AD51" w14:textId="365F36D8" w:rsidR="002648B0" w:rsidRPr="002D60D7" w:rsidRDefault="00125707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  <w:u w:val="none"/>
        </w:rPr>
      </w:pPr>
      <w:bookmarkStart w:id="14" w:name="_Toc360188321"/>
      <w:bookmarkStart w:id="15" w:name="_Toc473560869"/>
      <w:bookmarkStart w:id="16" w:name="_Toc210752958"/>
      <w:r>
        <w:rPr>
          <w:rFonts w:ascii="Times New Roman" w:hAnsi="Times New Roman"/>
          <w:sz w:val="24"/>
          <w:u w:val="none"/>
        </w:rPr>
        <w:t>1.2.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  <w:u w:val="none"/>
        </w:rPr>
        <w:t>Konvenzjoni tas-simboli</w:t>
      </w:r>
      <w:bookmarkEnd w:id="11"/>
      <w:bookmarkEnd w:id="12"/>
      <w:bookmarkEnd w:id="14"/>
      <w:bookmarkEnd w:id="15"/>
      <w:bookmarkEnd w:id="16"/>
    </w:p>
    <w:p w14:paraId="67BDF5E2" w14:textId="769DF459" w:rsidR="002648B0" w:rsidRDefault="002648B0" w:rsidP="00E172EA">
      <w:pPr>
        <w:pStyle w:val="InstructionsText2"/>
        <w:numPr>
          <w:ilvl w:val="0"/>
          <w:numId w:val="29"/>
        </w:numPr>
        <w:suppressAutoHyphens/>
      </w:pPr>
      <w:r>
        <w:t>Kull ammont li jżid ir-rekwiżiti tal-fondi proprji jew ir-rekwiżiti ta’ kapital għandu jiġi rrapportat bħala ċifra pożittiva. Min-naħa l-oħra, kull ammont li jnaqqas it-total tar-rekwiżiti tal-fondi proprji jew tar-rekwiżiti ta’ kapital għandu jiġi rrapportat bħala ċifra negattiva. Meta jkun hemm simbolu negattiv (-) qabel it-tikketta ta’ entrata, ma jkun mistenni li tiġi rrapportata l-ebda ċifra pożittiva għal dik l-entrata.</w:t>
      </w:r>
    </w:p>
    <w:p w14:paraId="21FCA11B" w14:textId="044801DB" w:rsidR="00843119" w:rsidRPr="00843119" w:rsidRDefault="00843119" w:rsidP="00843119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  <w:u w:val="none"/>
        </w:rPr>
      </w:pPr>
      <w:bookmarkStart w:id="17" w:name="_Toc210752959"/>
      <w:r>
        <w:rPr>
          <w:rFonts w:ascii="Times New Roman" w:hAnsi="Times New Roman"/>
          <w:sz w:val="24"/>
          <w:u w:val="none"/>
        </w:rPr>
        <w:t>1.3.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  <w:u w:val="none"/>
        </w:rPr>
        <w:t>Referenzi għar-Regolament (UE) Nru 575/2013</w:t>
      </w:r>
      <w:bookmarkEnd w:id="17"/>
    </w:p>
    <w:p w14:paraId="59845808" w14:textId="11AE211B" w:rsidR="00843119" w:rsidRPr="002D60D7" w:rsidRDefault="00843119" w:rsidP="00E172EA">
      <w:pPr>
        <w:pStyle w:val="InstructionsText2"/>
        <w:numPr>
          <w:ilvl w:val="0"/>
          <w:numId w:val="29"/>
        </w:numPr>
        <w:suppressAutoHyphens/>
      </w:pPr>
      <w:r>
        <w:t xml:space="preserve">Ir-referenzi kollha għall-Artikoli 325 sa 377 tar-Regolament (UE) Nru 575/2013 għandhom jinqraw bħala referenzi għall-verżjoni ta’ dak ir-Regolament fis-seħħ fis-26 ta’Ġunju 2019. </w:t>
      </w:r>
    </w:p>
    <w:p w14:paraId="178F0A93" w14:textId="77777777" w:rsidR="00843119" w:rsidRPr="002D60D7" w:rsidRDefault="00843119" w:rsidP="00843119">
      <w:pPr>
        <w:pStyle w:val="InstructionsText2"/>
        <w:numPr>
          <w:ilvl w:val="0"/>
          <w:numId w:val="0"/>
        </w:numPr>
        <w:suppressAutoHyphens/>
      </w:pPr>
    </w:p>
    <w:p w14:paraId="69E08A1F" w14:textId="26A864E9" w:rsidR="00304CA5" w:rsidRPr="002D60D7" w:rsidRDefault="00304CA5" w:rsidP="004C445F">
      <w:pPr>
        <w:pStyle w:val="InstructionsText2"/>
        <w:numPr>
          <w:ilvl w:val="0"/>
          <w:numId w:val="0"/>
        </w:numPr>
        <w:suppressAutoHyphens/>
        <w:ind w:left="1353" w:hanging="360"/>
      </w:pPr>
    </w:p>
    <w:p w14:paraId="661FC092" w14:textId="77777777" w:rsidR="00304CA5" w:rsidRPr="002D60D7" w:rsidRDefault="00304CA5" w:rsidP="004C445F">
      <w:pPr>
        <w:pStyle w:val="InstructionsText2"/>
        <w:numPr>
          <w:ilvl w:val="0"/>
          <w:numId w:val="0"/>
        </w:numPr>
        <w:suppressAutoHyphens/>
        <w:ind w:left="1353" w:hanging="360"/>
      </w:pPr>
    </w:p>
    <w:p w14:paraId="6B2B7DCC" w14:textId="77777777" w:rsidR="002648B0" w:rsidRPr="002D60D7" w:rsidRDefault="002648B0" w:rsidP="004C445F">
      <w:pPr>
        <w:pStyle w:val="InstructionsText2"/>
        <w:suppressAutoHyphens/>
        <w:sectPr w:rsidR="002648B0" w:rsidRPr="002D60D7" w:rsidSect="00A801A9">
          <w:endnotePr>
            <w:numFmt w:val="decimal"/>
          </w:endnotePr>
          <w:pgSz w:w="11906" w:h="16838"/>
          <w:pgMar w:top="1417" w:right="1417" w:bottom="1134" w:left="1417" w:header="708" w:footer="708" w:gutter="0"/>
          <w:cols w:space="708"/>
          <w:rtlGutter/>
          <w:docGrid w:linePitch="360"/>
        </w:sectPr>
      </w:pPr>
    </w:p>
    <w:p w14:paraId="7E85F65D" w14:textId="77777777" w:rsidR="002648B0" w:rsidRPr="002D60D7" w:rsidRDefault="002648B0" w:rsidP="004C445F">
      <w:pPr>
        <w:suppressAutoHyphens/>
        <w:rPr>
          <w:rFonts w:ascii="Times New Roman" w:hAnsi="Times New Roman"/>
          <w:sz w:val="24"/>
        </w:rPr>
      </w:pPr>
    </w:p>
    <w:p w14:paraId="5C0CD8F3" w14:textId="25D58192" w:rsidR="00AC6255" w:rsidRPr="002D60D7" w:rsidRDefault="002648B0" w:rsidP="004C445F">
      <w:pPr>
        <w:pStyle w:val="Heading2"/>
        <w:suppressAutoHyphens/>
        <w:rPr>
          <w:rStyle w:val="InstructionsTabelleText"/>
          <w:rFonts w:ascii="Times New Roman" w:hAnsi="Times New Roman"/>
          <w:sz w:val="24"/>
        </w:rPr>
      </w:pPr>
      <w:bookmarkStart w:id="18" w:name="_Toc360188322"/>
      <w:bookmarkStart w:id="19" w:name="_Toc473560870"/>
      <w:bookmarkStart w:id="20" w:name="_Toc210752960"/>
      <w:r>
        <w:rPr>
          <w:rFonts w:ascii="Times New Roman" w:hAnsi="Times New Roman"/>
        </w:rPr>
        <w:t>PARTI II: STRUZZJONIJIET RELATATI MAL-FORMOLI</w:t>
      </w:r>
      <w:bookmarkEnd w:id="18"/>
      <w:bookmarkEnd w:id="19"/>
      <w:r>
        <w:rPr>
          <w:rFonts w:ascii="Times New Roman" w:hAnsi="Times New Roman"/>
        </w:rPr>
        <w:t>: FORMOLI TAR-RISKJU TAS-SUQ</w:t>
      </w:r>
      <w:bookmarkEnd w:id="0"/>
      <w:bookmarkEnd w:id="1"/>
      <w:bookmarkEnd w:id="20"/>
    </w:p>
    <w:p w14:paraId="73EBDC1C" w14:textId="2EF76A90" w:rsidR="000B0B09" w:rsidRPr="002D60D7" w:rsidRDefault="00033301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21" w:name="_Toc295829995"/>
      <w:bookmarkStart w:id="22" w:name="_Toc262566425"/>
      <w:bookmarkStart w:id="23" w:name="_Toc308426671"/>
      <w:bookmarkStart w:id="24" w:name="_Toc310415056"/>
      <w:bookmarkStart w:id="25" w:name="_Toc360188391"/>
      <w:bookmarkStart w:id="26" w:name="_Toc473561031"/>
      <w:bookmarkStart w:id="27" w:name="_Toc210752961"/>
      <w:r>
        <w:rPr>
          <w:rFonts w:ascii="Times New Roman" w:hAnsi="Times New Roman"/>
          <w:sz w:val="24"/>
          <w:u w:val="none"/>
        </w:rPr>
        <w:t>1.</w:t>
      </w:r>
      <w:r w:rsidRPr="00913B98">
        <w:rPr>
          <w:u w:val="none"/>
        </w:rPr>
        <w:tab/>
      </w:r>
      <w:bookmarkEnd w:id="21"/>
      <w:bookmarkEnd w:id="22"/>
      <w:bookmarkEnd w:id="23"/>
      <w:bookmarkEnd w:id="24"/>
      <w:bookmarkEnd w:id="25"/>
      <w:bookmarkEnd w:id="26"/>
      <w:r>
        <w:rPr>
          <w:rFonts w:ascii="Times New Roman" w:hAnsi="Times New Roman"/>
          <w:sz w:val="24"/>
        </w:rPr>
        <w:t>Kummenti ġenerali</w:t>
      </w:r>
      <w:bookmarkEnd w:id="27"/>
    </w:p>
    <w:p w14:paraId="3A680559" w14:textId="018BA68A" w:rsidR="000B0B09" w:rsidRPr="002D60D7" w:rsidRDefault="000B0B09" w:rsidP="00E172EA">
      <w:pPr>
        <w:pStyle w:val="InstructionsText2"/>
        <w:numPr>
          <w:ilvl w:val="0"/>
          <w:numId w:val="29"/>
        </w:numPr>
        <w:suppressAutoHyphens/>
      </w:pPr>
      <w:bookmarkStart w:id="28" w:name="_Toc308426672"/>
      <w:r>
        <w:t xml:space="preserve">Dawn l-istruzzjonijiet jirreferu għar-rapportar tal-formola tal-kalkolu tar-rekwiżiti tal-fondi proprji bl-Approċċ Standardizzat għar-riskju tal-kambju (MKR SA FX), riskju tal-komoditajiet (MKR SA COM) riskju tar-rata tal-imgħax (MKR SA TDI, MKR SA SEC, MKR SA PNK) u riskju tal-ekwità (MKR SA EQU). Barra minn hekk, f’din il-parti hemm inklużi l-istruzzjonijiet għar-rapportar tal-kalkolu tar-rekwiżiti ta’ fondi proprji f’konformità mal-approċċ tal-mudell intern (MKR IM). </w:t>
      </w:r>
    </w:p>
    <w:p w14:paraId="43A205D1" w14:textId="5DC446A2" w:rsidR="000B0B09" w:rsidRPr="002D60D7" w:rsidRDefault="000B0B09" w:rsidP="00E172EA">
      <w:pPr>
        <w:pStyle w:val="InstructionsText2"/>
        <w:numPr>
          <w:ilvl w:val="0"/>
          <w:numId w:val="29"/>
        </w:numPr>
        <w:suppressAutoHyphens/>
      </w:pPr>
      <w:r>
        <w:t xml:space="preserve">Ir-riskju ta’ pożizzjoni fuq strument ta’ dejn negozjat jew ekwità (jew derivattiv ta’ dejn jew ta’ ekwità) għandu jinqasam f’żewġ komponenti biex jiġi kkalkolat il-kapital rekwiżit kontra dak ir-riskju ta’ pożizzjoni. L-ewwel komponent għandu jkopri r-riskju speċifiku tiegħu — jiġifieri r-riskju ta’ tibdil fil-prezz tal-istrument ikkonċernat minħabba fatturi relatati ma’ dak li joħroġha jew, fil-każ ta’ derivattiv, l-emittent tal-istrument sottostanti. It-tieni komponent għandu jkopri r-riskju ġenerali tiegħu — jiġifieri r-riskju ta’ bidla fil-prezz fl-istrument minħabba (fil-każ ta’ strument ta’ dejn negozjat jew derivattiv ta’ dejn) bidla fil-livell ta’ rati tal-imgħax jew (fil-każ ta’ ekwità jew ta’ derivattiv ta’ ekwità) għal ċaqliq wiesa’ tas-suq tal-ekwitajiet li ma jkun relatat mal-ebda attribut speċifiku ta’ titoli individwali. </w:t>
      </w:r>
      <w:bookmarkEnd w:id="28"/>
      <w:r>
        <w:t xml:space="preserve">It-trattament ġenerali tal-istrumenti speċifiċi u l-proċeduri ta’ netting huma stabbiliti fl-Artikoli 326 sa 333 tar-Regolament (UE) Nru 575/2013. </w:t>
      </w:r>
    </w:p>
    <w:p w14:paraId="39C5FEA4" w14:textId="3A150929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29" w:name="_Toc239157393"/>
      <w:bookmarkStart w:id="30" w:name="_Toc262566426"/>
      <w:bookmarkStart w:id="31" w:name="_Toc295829996"/>
      <w:bookmarkStart w:id="32" w:name="_Toc308426673"/>
      <w:bookmarkStart w:id="33" w:name="_Toc310415057"/>
      <w:bookmarkStart w:id="34" w:name="_Toc360188392"/>
      <w:bookmarkStart w:id="35" w:name="_Toc473561032"/>
      <w:bookmarkStart w:id="36" w:name="_Toc210752962"/>
      <w:r>
        <w:rPr>
          <w:rFonts w:ascii="Times New Roman" w:hAnsi="Times New Roman"/>
          <w:sz w:val="24"/>
          <w:u w:val="none"/>
        </w:rPr>
        <w:t>2.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C 18.00 – Riskju tas-Suq: Approċċ Standardizzat għar-Riskju ta’ Pożizzjoni fi Strumenti ta’ Dejn Negozjati</w:t>
      </w:r>
      <w:bookmarkEnd w:id="29"/>
      <w:bookmarkEnd w:id="30"/>
      <w:bookmarkEnd w:id="31"/>
      <w:bookmarkEnd w:id="32"/>
      <w:bookmarkEnd w:id="33"/>
      <w:bookmarkEnd w:id="34"/>
      <w:r>
        <w:rPr>
          <w:rFonts w:ascii="Times New Roman" w:hAnsi="Times New Roman"/>
          <w:sz w:val="24"/>
        </w:rPr>
        <w:t xml:space="preserve"> (MKR SA TDI)</w:t>
      </w:r>
      <w:bookmarkEnd w:id="35"/>
      <w:bookmarkEnd w:id="36"/>
    </w:p>
    <w:p w14:paraId="7BC699A3" w14:textId="51025249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37" w:name="_Toc262566427"/>
      <w:bookmarkStart w:id="38" w:name="_Toc295829997"/>
      <w:bookmarkStart w:id="39" w:name="_Toc308426674"/>
      <w:bookmarkStart w:id="40" w:name="_Toc310415058"/>
      <w:bookmarkStart w:id="41" w:name="_Toc360188393"/>
      <w:bookmarkStart w:id="42" w:name="_Toc473561033"/>
      <w:bookmarkStart w:id="43" w:name="_Toc210752963"/>
      <w:r>
        <w:rPr>
          <w:rFonts w:ascii="Times New Roman" w:hAnsi="Times New Roman"/>
          <w:sz w:val="24"/>
          <w:u w:val="none"/>
        </w:rPr>
        <w:t>2.1.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Kummenti Ġenerali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0D010E09" w14:textId="7FC9D177" w:rsidR="000B0B09" w:rsidRPr="002D60D7" w:rsidRDefault="000B0B09" w:rsidP="00E172EA">
      <w:pPr>
        <w:pStyle w:val="InstructionsText2"/>
        <w:numPr>
          <w:ilvl w:val="0"/>
          <w:numId w:val="29"/>
        </w:numPr>
        <w:suppressAutoHyphens/>
        <w:ind w:left="1349" w:hanging="357"/>
      </w:pPr>
      <w:r>
        <w:t>Din il-formola tkopri l-pożizzjonijiet u r-rekwiżiti relatati ta’ fondi proprji għal riskji ta’ pożizzjoni fuq strumenti ta’ dejn negozjat bl-Approċċ Standardizzat (l-Artikolu 325(2), il-punt (a), tar-Regolament (UE) Nru 575/2013). Ir-riskji u l-metodi differenti disponibbli skont ir-Regolament (UE) Nru 575/2013 huma kkunsidrati skont ir-ringieli. Ir-riskju speċifiku assoċjat mal-iskoperturi inklużi fl-MKR SA SEC u MKR SA PNK għandu jiġi rapportat biss fil-formola Totali tal-MKR SA TDI. Ir-rekwiżiti ta’ fondi proprji rapportati f’dawk il-formoli għandhom jiġu trasferiti għaċ-ċellola {0325;0060} (titolizzazzjonijiet) u {0330;0060} (PNK) rispettivament.</w:t>
      </w:r>
    </w:p>
    <w:p w14:paraId="7C8420A5" w14:textId="3BAA75DB" w:rsidR="000B0B09" w:rsidRPr="002D60D7" w:rsidRDefault="000B0B09" w:rsidP="00E172EA">
      <w:pPr>
        <w:pStyle w:val="InstructionsText2"/>
        <w:numPr>
          <w:ilvl w:val="0"/>
          <w:numId w:val="29"/>
        </w:numPr>
        <w:suppressAutoHyphens/>
      </w:pPr>
      <w:r>
        <w:t xml:space="preserve">Il-formola għandha timtela b’mod separat għat-“Total”, flimkien ma’ lista predefinita tal-muniti li ġejjin: </w:t>
      </w:r>
      <w:bookmarkStart w:id="44" w:name="OLE_LINK1"/>
      <w:r>
        <w:t xml:space="preserve">EUR, ALL, BGN, CZK, DKK, EGP, GBP, HUF, ISK, JPY, MKD, NOK, PLN, RON, RUB, RSD, SEK, CHF, TRY, UAH, USD </w:t>
      </w:r>
      <w:bookmarkEnd w:id="44"/>
      <w:r>
        <w:t xml:space="preserve">u formola residwa waħda għall-muniti l-oħra kollha. </w:t>
      </w:r>
    </w:p>
    <w:p w14:paraId="73E54EAD" w14:textId="5995991C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45" w:name="_Toc262566428"/>
      <w:bookmarkStart w:id="46" w:name="_Toc295829998"/>
      <w:bookmarkStart w:id="47" w:name="_Toc308426675"/>
      <w:bookmarkStart w:id="48" w:name="_Toc310415059"/>
      <w:bookmarkStart w:id="49" w:name="_Toc360188394"/>
      <w:bookmarkStart w:id="50" w:name="_Toc473561034"/>
      <w:bookmarkStart w:id="51" w:name="_Toc210752964"/>
      <w:r>
        <w:rPr>
          <w:rFonts w:ascii="Times New Roman" w:hAnsi="Times New Roman"/>
          <w:sz w:val="24"/>
          <w:u w:val="none"/>
        </w:rPr>
        <w:lastRenderedPageBreak/>
        <w:t>2.2.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Struzzjonijiet li jikkonċernaw pożizzjonijiet speċifiċi</w:t>
      </w:r>
      <w:bookmarkEnd w:id="45"/>
      <w:bookmarkEnd w:id="46"/>
      <w:bookmarkEnd w:id="47"/>
      <w:bookmarkEnd w:id="48"/>
      <w:bookmarkEnd w:id="49"/>
      <w:bookmarkEnd w:id="50"/>
      <w:bookmarkEnd w:id="5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874"/>
      </w:tblGrid>
      <w:tr w:rsidR="000B0B09" w:rsidRPr="002D60D7" w14:paraId="3B011B78" w14:textId="77777777" w:rsidTr="00672D2A">
        <w:trPr>
          <w:trHeight w:val="569"/>
        </w:trPr>
        <w:tc>
          <w:tcPr>
            <w:tcW w:w="8862" w:type="dxa"/>
            <w:gridSpan w:val="2"/>
            <w:shd w:val="clear" w:color="auto" w:fill="CCCCCC"/>
          </w:tcPr>
          <w:p w14:paraId="3F08430D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Kolonni</w:t>
            </w:r>
          </w:p>
        </w:tc>
      </w:tr>
      <w:tr w:rsidR="000B0B09" w:rsidRPr="002D60D7" w14:paraId="2FB66B69" w14:textId="77777777" w:rsidTr="00672D2A">
        <w:tc>
          <w:tcPr>
            <w:tcW w:w="988" w:type="dxa"/>
          </w:tcPr>
          <w:p w14:paraId="3487AAF4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0010-0020</w:t>
            </w:r>
          </w:p>
        </w:tc>
        <w:tc>
          <w:tcPr>
            <w:tcW w:w="7874" w:type="dxa"/>
          </w:tcPr>
          <w:p w14:paraId="53B61CBE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IL-POŻIZZJONIJIET KOLLHA (TWAL U QOSRA)</w:t>
            </w:r>
          </w:p>
          <w:p w14:paraId="0C799784" w14:textId="3AE5C422" w:rsidR="000B0B09" w:rsidRPr="002D60D7" w:rsidRDefault="000B0B09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102 u l-Artikolu 105(1) tar-Regolament (UE) Nru 575/2013. Dawk huma pożizzjonijiet grossi u mhux innettjati skont l-istrumenti, iżda jeskludu pożizzjonijiet tas-sottoskrizzjonijiet jew subsottoskritti minn partijiet terzi f’konformità mal-Artikolu 345(1), l-ewwel subparagrafu, it-tieni sentenza tar-Regolament (UE) Nru 575/2013. Rigward id-distinzjoni bejn pożizzjonijiet twal u qosra, applikabbli wkoll għal dawk il-pożizzjonijiet grossi, ara l-Artikolu 328(2) ta’ dak ir-Regolament.</w:t>
            </w:r>
          </w:p>
        </w:tc>
      </w:tr>
      <w:tr w:rsidR="000B0B09" w:rsidRPr="002D60D7" w14:paraId="05A2AFD3" w14:textId="77777777" w:rsidTr="00672D2A">
        <w:tc>
          <w:tcPr>
            <w:tcW w:w="988" w:type="dxa"/>
          </w:tcPr>
          <w:p w14:paraId="0443676D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0030-0040</w:t>
            </w:r>
          </w:p>
        </w:tc>
        <w:tc>
          <w:tcPr>
            <w:tcW w:w="7874" w:type="dxa"/>
          </w:tcPr>
          <w:p w14:paraId="28E370A1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NETTI (TWAL U QOSRA)</w:t>
            </w:r>
          </w:p>
          <w:p w14:paraId="38649486" w14:textId="2801053C" w:rsidR="000B0B09" w:rsidRPr="002D60D7" w:rsidRDefault="000B0B09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L-Artikoli 327 sa 329 u l-Artikolu 334 tar-Regolament (UE) Nru 575/2013. Rigward id-distinzjoni bejn Pożizzjonijiet twal u qosra ara l-Artikolu 328(2) ta’ dak ir-Regolament.</w:t>
            </w:r>
          </w:p>
        </w:tc>
      </w:tr>
      <w:tr w:rsidR="000B0B09" w:rsidRPr="002D60D7" w14:paraId="4C7D46FF" w14:textId="77777777" w:rsidTr="00672D2A">
        <w:tc>
          <w:tcPr>
            <w:tcW w:w="988" w:type="dxa"/>
          </w:tcPr>
          <w:p w14:paraId="4D3FEEA5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874" w:type="dxa"/>
          </w:tcPr>
          <w:p w14:paraId="28B3043D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SOĠĠETTI GĦAL ALLOKAZZJONI TA’ KAPITAL</w:t>
            </w:r>
          </w:p>
          <w:p w14:paraId="76B658E5" w14:textId="79039FA9" w:rsidR="000B0B09" w:rsidRPr="002D60D7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Dawk il-pożizzjonijiet netti li, f’konformità mal-approċċi differenti fil-Parti Tlieta, it-Titolu IV, il-Kapitolu 2 tar-Regolament (UE) Nru 575/2013, jirċievu allokazzjoni ta’ kapital.</w:t>
            </w:r>
          </w:p>
        </w:tc>
      </w:tr>
      <w:tr w:rsidR="000B0B09" w:rsidRPr="002D60D7" w14:paraId="017C014C" w14:textId="77777777" w:rsidTr="00672D2A">
        <w:tc>
          <w:tcPr>
            <w:tcW w:w="988" w:type="dxa"/>
          </w:tcPr>
          <w:p w14:paraId="7D197D93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874" w:type="dxa"/>
          </w:tcPr>
          <w:p w14:paraId="55F3618B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REKWIŻITI TA’ FONDI PROPRJI</w:t>
            </w:r>
          </w:p>
          <w:p w14:paraId="74F1F61F" w14:textId="12ADC1C1" w:rsidR="000B0B09" w:rsidRPr="002D60D7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L-allokazzjoni ta’ kapital għal kwalunkwe pożizzjoni rilevanti f’konformità mal-Parti Tlieta, it-Titolu IV, il-Kapitolu 2 tar-Regolament (UE) Nru 575/2013.</w:t>
            </w:r>
          </w:p>
        </w:tc>
      </w:tr>
      <w:tr w:rsidR="000B0B09" w:rsidRPr="002D60D7" w14:paraId="56717AD1" w14:textId="77777777" w:rsidTr="00672D2A">
        <w:tc>
          <w:tcPr>
            <w:tcW w:w="988" w:type="dxa"/>
          </w:tcPr>
          <w:p w14:paraId="0D4A61CE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874" w:type="dxa"/>
          </w:tcPr>
          <w:p w14:paraId="7996E138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SKOPERTURA TOTALI GĦAR-RISKJU</w:t>
            </w:r>
          </w:p>
          <w:p w14:paraId="2C4B0E54" w14:textId="5566DB68" w:rsidR="000B0B09" w:rsidRPr="002D60D7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L-Artikolu 92(6), il-punt (b), tar-Regolament (UE) Nru 575/2013. Riżultat tal-multiplikazzjoni tar-rekwiżiti ta’ fondi proprji bi 12,5. </w:t>
            </w:r>
          </w:p>
        </w:tc>
      </w:tr>
    </w:tbl>
    <w:p w14:paraId="5A8176A5" w14:textId="77777777" w:rsidR="000B0B09" w:rsidRPr="002D60D7" w:rsidRDefault="000B0B09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eastAsia="nl-BE"/>
        </w:rPr>
      </w:pPr>
    </w:p>
    <w:p w14:paraId="33B18629" w14:textId="77777777" w:rsidR="000B0B09" w:rsidRPr="002D60D7" w:rsidRDefault="000B0B09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eastAsia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7875"/>
      </w:tblGrid>
      <w:tr w:rsidR="000B0B09" w:rsidRPr="002D60D7" w14:paraId="64300D2A" w14:textId="77777777" w:rsidTr="00672D2A">
        <w:trPr>
          <w:trHeight w:val="533"/>
        </w:trPr>
        <w:tc>
          <w:tcPr>
            <w:tcW w:w="8862" w:type="dxa"/>
            <w:gridSpan w:val="2"/>
            <w:shd w:val="clear" w:color="auto" w:fill="CCCCCC"/>
          </w:tcPr>
          <w:p w14:paraId="3C74B427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Ringieli</w:t>
            </w:r>
          </w:p>
        </w:tc>
      </w:tr>
      <w:tr w:rsidR="000B0B09" w:rsidRPr="002D60D7" w14:paraId="278DCECA" w14:textId="77777777" w:rsidTr="00672D2A">
        <w:trPr>
          <w:trHeight w:val="1168"/>
        </w:trPr>
        <w:tc>
          <w:tcPr>
            <w:tcW w:w="987" w:type="dxa"/>
          </w:tcPr>
          <w:p w14:paraId="2275EBA9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0010-0350</w:t>
            </w:r>
          </w:p>
        </w:tc>
        <w:tc>
          <w:tcPr>
            <w:tcW w:w="7875" w:type="dxa"/>
          </w:tcPr>
          <w:p w14:paraId="20DE7F59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STRUMENTI TA’ DEJN NEGOZJAT FIL-PORTAFOLL TAN-NEGOZJAR</w:t>
            </w:r>
          </w:p>
          <w:p w14:paraId="12C841B7" w14:textId="65FC0FB4" w:rsidR="000B0B09" w:rsidRPr="002D60D7" w:rsidRDefault="000B0B09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fi strumenti ta’ dejn negozjat fil-Portafoll tan-Negozjar u r-rekwiżiti ta’ fondi proprji korrispondenti tagħhom għar-riskju ta’ pożizzjoni f’konformità mal-Artikolu 92(4), il-punt (b)(i) tar-Regolament (UE) Nru 575/2013 u l-Parti Tlieta, il-Kapitolu 2, it-Titolu IV ta’ dak ir-Regolament għandhom jiġu rapportati skont il-kategorija tar-riskju, il-maturità u l-approċċ użat.</w:t>
            </w:r>
          </w:p>
        </w:tc>
      </w:tr>
      <w:tr w:rsidR="000B0B09" w:rsidRPr="002D60D7" w14:paraId="2272E4A5" w14:textId="77777777" w:rsidTr="00672D2A">
        <w:tc>
          <w:tcPr>
            <w:tcW w:w="987" w:type="dxa"/>
          </w:tcPr>
          <w:p w14:paraId="0642F5E6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0011</w:t>
            </w:r>
          </w:p>
        </w:tc>
        <w:tc>
          <w:tcPr>
            <w:tcW w:w="7875" w:type="dxa"/>
          </w:tcPr>
          <w:p w14:paraId="51E03C37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RISKJU ĠENERALI. </w:t>
            </w:r>
          </w:p>
        </w:tc>
      </w:tr>
      <w:tr w:rsidR="000B0B09" w:rsidRPr="002D60D7" w14:paraId="55F30C33" w14:textId="77777777" w:rsidTr="00672D2A">
        <w:tc>
          <w:tcPr>
            <w:tcW w:w="987" w:type="dxa"/>
          </w:tcPr>
          <w:p w14:paraId="2CBA5F8A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0012</w:t>
            </w:r>
          </w:p>
        </w:tc>
        <w:tc>
          <w:tcPr>
            <w:tcW w:w="7875" w:type="dxa"/>
          </w:tcPr>
          <w:p w14:paraId="04F0038F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Derivattivi</w:t>
            </w:r>
          </w:p>
          <w:p w14:paraId="06C530F0" w14:textId="7A78F919" w:rsidR="000B0B09" w:rsidRPr="002D60D7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Id-derivattivi inklużi fil-kalkolu tar-riskju taċ-ċaqliq fir-rata tal-imgħax tal-pożizzjonijiet tal-portafoll tan-negozjar b’kunsiderazzjoni tal-Artikoli 328 sa 331 tar-Regolament (UE) Nru 575/2013, meta applikabbli.</w:t>
            </w:r>
          </w:p>
        </w:tc>
      </w:tr>
      <w:tr w:rsidR="000B0B09" w:rsidRPr="002D60D7" w14:paraId="36851B46" w14:textId="77777777" w:rsidTr="00672D2A">
        <w:tc>
          <w:tcPr>
            <w:tcW w:w="987" w:type="dxa"/>
          </w:tcPr>
          <w:p w14:paraId="6827F663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0013</w:t>
            </w:r>
          </w:p>
        </w:tc>
        <w:tc>
          <w:tcPr>
            <w:tcW w:w="7875" w:type="dxa"/>
          </w:tcPr>
          <w:p w14:paraId="6024297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Assi u obbligazzjonijiet oħra</w:t>
            </w:r>
          </w:p>
          <w:p w14:paraId="665719C9" w14:textId="77777777" w:rsidR="000B0B09" w:rsidRPr="002D60D7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Strumenti ħlief derivattivi inklużi fil-kalkolu tar-riskju taċ-ċaqliq fir-rata tal-imgħax tal-pożizzjonijiet dwar il-kotba tan-negozjar. </w:t>
            </w:r>
          </w:p>
        </w:tc>
      </w:tr>
      <w:tr w:rsidR="000B0B09" w:rsidRPr="002D60D7" w14:paraId="177EBA5C" w14:textId="77777777" w:rsidTr="00672D2A">
        <w:tc>
          <w:tcPr>
            <w:tcW w:w="987" w:type="dxa"/>
          </w:tcPr>
          <w:p w14:paraId="2B740B72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0020-0200</w:t>
            </w:r>
          </w:p>
        </w:tc>
        <w:tc>
          <w:tcPr>
            <w:tcW w:w="7875" w:type="dxa"/>
          </w:tcPr>
          <w:p w14:paraId="1DE7E50A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APPROĊĊ IBBAŻAT FUQ IL-MATURITÀ</w:t>
            </w:r>
          </w:p>
          <w:p w14:paraId="644A7531" w14:textId="671AD153" w:rsidR="000B0B09" w:rsidRPr="002D60D7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Pożizzjonijiet fi strumenti ta’ dejn negozjat soġġetti għal approċċ ibbażat fuq il-maturità msemmija fl-Artikolu 339 (1) sa (8) tar-Regolament (UE) Nru 575/2013 u r-rekwiżiti korrispondenti ta’ fondi proprji kkalkolati f’konformità mal-Artikolu 339(9) ta’ dak ir-Regolament. Il-pożizzjoni għandha tinqasam skont iż-żoni 1, 2 u 3 u dawk iż-żoni għandhom jinqasmu skont il-maturità tal-istrumenti.</w:t>
            </w:r>
          </w:p>
        </w:tc>
      </w:tr>
      <w:tr w:rsidR="000B0B09" w:rsidRPr="002D60D7" w14:paraId="79DAC997" w14:textId="77777777" w:rsidTr="00672D2A">
        <w:tc>
          <w:tcPr>
            <w:tcW w:w="987" w:type="dxa"/>
          </w:tcPr>
          <w:p w14:paraId="73C021ED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0210-0240</w:t>
            </w:r>
          </w:p>
        </w:tc>
        <w:tc>
          <w:tcPr>
            <w:tcW w:w="7875" w:type="dxa"/>
          </w:tcPr>
          <w:p w14:paraId="2CE27E61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RISKJU ĠENERALI. APPROĊĊ IMSEJJES FUQ ID-DURATA</w:t>
            </w:r>
          </w:p>
          <w:p w14:paraId="08171DB1" w14:textId="5B3E8AB1" w:rsidR="000B0B09" w:rsidRPr="002D60D7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Pożizzjonijiet fi strumenti ta’ dejn negozjat soġġetti għal approċċ imsejjes fuq id-durata imsemmija fl-Artikolu 340 (1) sa (6) tar-Regolament (UE) Nru 575/2013 u r-rekwiżiti korrispondenti ta’ fondi proprji kkalkolati f’konformità mal-Artikolu 340(7) ta’ dak ir-Regolament. Il-pożizzjoni għandha tinqasam skont iż-żoni 1, 2 u 3.</w:t>
            </w:r>
          </w:p>
        </w:tc>
      </w:tr>
      <w:tr w:rsidR="000B0B09" w:rsidRPr="002D60D7" w14:paraId="7DD483EC" w14:textId="77777777" w:rsidTr="00672D2A">
        <w:tc>
          <w:tcPr>
            <w:tcW w:w="987" w:type="dxa"/>
          </w:tcPr>
          <w:p w14:paraId="5974B232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0250</w:t>
            </w:r>
          </w:p>
        </w:tc>
        <w:tc>
          <w:tcPr>
            <w:tcW w:w="7875" w:type="dxa"/>
          </w:tcPr>
          <w:p w14:paraId="6CE50A3E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RISKJU SPEĊIFIKU</w:t>
            </w:r>
          </w:p>
          <w:p w14:paraId="29C6E3D0" w14:textId="77777777" w:rsidR="000B0B09" w:rsidRPr="002D60D7" w:rsidRDefault="000B0B09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Is-somma tal-ammonti rapportati fir-ringieli 0251, 0325 u 0330. </w:t>
            </w:r>
          </w:p>
          <w:p w14:paraId="4E1E5CA2" w14:textId="0C1E6FCB" w:rsidR="000B0B09" w:rsidRPr="002D60D7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Pożizzjonijiet fi strumenti ta’ dejn negozjati soġġetti għar-rekwiżiti speċifiċi tal-kapital ta’ riskju u r-rekwiżiti ta’ kapital korrispondenti tagħhom f’konformità mal-Artikolu 92(3), il-punt (b), l-Artikolu 335, l-Artikolu 336(1), (2) u (3), u l-Artikoli 337 u 338 tar-Regolament (UE) Nru 575/2013. Kun af ukoll bl-aħħar sentenza fl-Artikolu 327(1) ta’ dak ir-Regolament.</w:t>
            </w:r>
          </w:p>
        </w:tc>
      </w:tr>
      <w:tr w:rsidR="000B0B09" w:rsidRPr="002D60D7" w14:paraId="6F8691E7" w14:textId="77777777" w:rsidTr="00672D2A">
        <w:tc>
          <w:tcPr>
            <w:tcW w:w="987" w:type="dxa"/>
          </w:tcPr>
          <w:p w14:paraId="5CD5E31A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0251-0321</w:t>
            </w:r>
          </w:p>
        </w:tc>
        <w:tc>
          <w:tcPr>
            <w:tcW w:w="7875" w:type="dxa"/>
          </w:tcPr>
          <w:p w14:paraId="14764BB8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Rekwiżit ta’ fondi proprji għall-istrumenti ta’ dejn mhux ta’ titolizzazzjoni</w:t>
            </w:r>
          </w:p>
          <w:p w14:paraId="19437B35" w14:textId="77777777" w:rsidR="000B0B09" w:rsidRPr="002D60D7" w:rsidRDefault="000B0B09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Is-somma tal-ammonti rrapportati fir-ringieli 260 sa 321.</w:t>
            </w:r>
          </w:p>
          <w:p w14:paraId="4CDA5DEB" w14:textId="4AB00123" w:rsidR="000B0B09" w:rsidRPr="002D60D7" w:rsidRDefault="000B0B09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Ir-rekwiżit ta’ fondi proprji tad-derivattivi ta’ kreditu n-eżmu inadempjenti li mhumiex klassifikati b’mod estern għandu jiġi kkalkolat billi jingħaddu l-ponderazzjonijiet tar-riskju tal-entitajiet ta’ referenza (l-Artikolu 332(1), il-punt (e) u l-Artikolu 332(1), it-tieni subparagrafu, tar-Regolament (UE) Nru 575/2013 – “trasparenza”). Derivattivi ta’ kreditu n-eżmu inadempjenti li huma klassifikati b’mod estern (l-Artikolu 332(1), it-tielet subparagrafu, tar-Regolament (UE) Nru 575/2013) għandhom jiġu rapportati b’mod separat fir-ringiela 321. </w:t>
            </w:r>
          </w:p>
          <w:p w14:paraId="7051ED04" w14:textId="439958FE" w:rsidR="000B0B09" w:rsidRPr="002D60D7" w:rsidRDefault="000B0B09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Rapportar ta’ pożizzjonijiet soġġetti għall-Artikolu 336(3) tar-Regolament (UE) Nru 575/2013: Hemm trattament speċjali għal bonds kwalifikanti għal ponderazzjoni tar-riskju ta’ 10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% fil-portafoll bankarju f’konformità mal-Artikolu 129(3) ta’ dak ir-Regolament (bonds koperti). Ir-rekwiżiti speċifiċi tal-fondi proprji għandhom ikunu nofs il-persentaġġ tat-tieni kategorija msemmija fl-Artikolu 336, it-Tabella 1 tar-Regolament (UE) Nru 575/2013. Dawk il-pożizzjonijiet għandhom jiġu assenjati għar-ringieli 0280-0300 f’konformità mat-terminu residwu għall-maturità finali.</w:t>
            </w:r>
          </w:p>
          <w:p w14:paraId="11FE9AD5" w14:textId="6CF7D4D9" w:rsidR="000B0B09" w:rsidRPr="002D60D7" w:rsidRDefault="00F41508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Meta r-riskju ġenerali tal-pożizzjonijiet tar-rata tal-imgħax ikun iħħeġġjat minn derivattiv ta’ kreditu, għandhom japplikaw l-Artikoli 346 u 347 tar-Regolament (UE) Nru 575/2013. </w:t>
            </w:r>
          </w:p>
        </w:tc>
      </w:tr>
      <w:tr w:rsidR="000B0B09" w:rsidRPr="002D60D7" w14:paraId="3F2475A8" w14:textId="77777777" w:rsidTr="00672D2A">
        <w:tc>
          <w:tcPr>
            <w:tcW w:w="987" w:type="dxa"/>
          </w:tcPr>
          <w:p w14:paraId="1898316C" w14:textId="77777777" w:rsidR="000B0B09" w:rsidRPr="002D60D7" w:rsidDel="00F27BD6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0325</w:t>
            </w:r>
          </w:p>
        </w:tc>
        <w:tc>
          <w:tcPr>
            <w:tcW w:w="7875" w:type="dxa"/>
          </w:tcPr>
          <w:p w14:paraId="21ACC24B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Rekwiżit ta’ fondi proprji għal strumenti ta’ titolizzazzjoni</w:t>
            </w:r>
          </w:p>
          <w:p w14:paraId="7BA68AB7" w14:textId="77777777" w:rsidR="00722A10" w:rsidRPr="002D60D7" w:rsidDel="00F27BD6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Ir-rekwiżiti ta’ fondi proprji totali rapportati fil-kolonna 0601 tal-formola MKR SA SEC. Dawk ir-rekwiżiti ta’ fondi proprji totali għandhom jiġu rapportati biss fil-livell Totali tal-MKR SA TDI.</w:t>
            </w:r>
          </w:p>
        </w:tc>
      </w:tr>
      <w:tr w:rsidR="000B0B09" w:rsidRPr="002D60D7" w14:paraId="55688787" w14:textId="77777777" w:rsidTr="00672D2A">
        <w:tc>
          <w:tcPr>
            <w:tcW w:w="987" w:type="dxa"/>
          </w:tcPr>
          <w:p w14:paraId="74C28C83" w14:textId="77777777" w:rsidR="000B0B09" w:rsidRPr="002D60D7" w:rsidDel="00F27BD6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0330</w:t>
            </w:r>
          </w:p>
        </w:tc>
        <w:tc>
          <w:tcPr>
            <w:tcW w:w="7875" w:type="dxa"/>
          </w:tcPr>
          <w:p w14:paraId="66957FAA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Rekwiżit ta’ fondi proprji għall-portafoll kummerċjali ta’ korrelazzjoni</w:t>
            </w:r>
          </w:p>
          <w:p w14:paraId="104F8330" w14:textId="77777777" w:rsidR="00722A10" w:rsidRPr="002D60D7" w:rsidDel="00F27BD6" w:rsidRDefault="000B0B09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Ir-rekwiżiti ta’ fondi proprji totali rapportati fil-kolonna 0450 tal-formola MKR SA PNK. Dawk ir-rekwiżiti ta’ fondi proprji totali għandhom jiġu rrapportati biss fil-Livell totali tal-MKR SA TDI.</w:t>
            </w:r>
          </w:p>
        </w:tc>
      </w:tr>
      <w:tr w:rsidR="000B0B09" w:rsidRPr="002D60D7" w14:paraId="230D0723" w14:textId="77777777" w:rsidTr="00672D2A">
        <w:tc>
          <w:tcPr>
            <w:tcW w:w="987" w:type="dxa"/>
          </w:tcPr>
          <w:p w14:paraId="26241DA3" w14:textId="77777777" w:rsidR="000B0B09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0350-0390</w:t>
            </w:r>
          </w:p>
        </w:tc>
        <w:tc>
          <w:tcPr>
            <w:tcW w:w="7875" w:type="dxa"/>
          </w:tcPr>
          <w:p w14:paraId="5291B6A7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REKWIŻITI ADDIZZJONALI GĦAL OPZJONIJIET (RISKJI MHUX DELTA) </w:t>
            </w:r>
          </w:p>
          <w:p w14:paraId="3B19069A" w14:textId="2AE3D272" w:rsidR="000B0B09" w:rsidRPr="002D60D7" w:rsidRDefault="000B0B09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329(3) tar-Regolament (UE) Nru 575/2013.</w:t>
            </w:r>
          </w:p>
          <w:p w14:paraId="4A1F04EE" w14:textId="77777777" w:rsidR="000B0B09" w:rsidRPr="002D60D7" w:rsidRDefault="000B0B09" w:rsidP="004C445F">
            <w:pPr>
              <w:suppressAutoHyphens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Ir-rekwiżiti addizzjonali għall-opzjonijiet relatati ma’ riskji mhux delta għandhom ikunu rrapportati diżaggregati skont il-metodu użat għall-kalkolu tagħhom.</w:t>
            </w:r>
          </w:p>
        </w:tc>
      </w:tr>
    </w:tbl>
    <w:p w14:paraId="45D79A0A" w14:textId="77777777" w:rsidR="000B0B09" w:rsidRPr="002D60D7" w:rsidRDefault="000B0B09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bCs/>
          <w:sz w:val="24"/>
          <w:lang w:eastAsia="nl-BE"/>
        </w:rPr>
      </w:pPr>
    </w:p>
    <w:p w14:paraId="7B3D40AE" w14:textId="1AB0D7C7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52" w:name="_Toc294172370"/>
      <w:bookmarkStart w:id="53" w:name="_Toc295829999"/>
      <w:bookmarkStart w:id="54" w:name="_Toc308426676"/>
      <w:bookmarkStart w:id="55" w:name="_Toc310415060"/>
      <w:bookmarkStart w:id="56" w:name="_Toc360188395"/>
      <w:bookmarkStart w:id="57" w:name="_Toc473561035"/>
      <w:bookmarkStart w:id="58" w:name="_Toc210752965"/>
      <w:r>
        <w:rPr>
          <w:rFonts w:ascii="Times New Roman" w:hAnsi="Times New Roman"/>
          <w:sz w:val="24"/>
          <w:u w:val="none"/>
        </w:rPr>
        <w:t>3.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C 19.00 - RISKJU TAS-SUQ: APPROĊĊ STANDARDIZZAT GĦAL RISKJU SPEĊIFIKU F’TITOLIZZAZZJONIJIET (MKR SA SEC)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77E74540" w14:textId="159B56BB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59" w:name="_Toc294172371"/>
      <w:bookmarkStart w:id="60" w:name="_Toc295830000"/>
      <w:bookmarkStart w:id="61" w:name="_Toc308426677"/>
      <w:bookmarkStart w:id="62" w:name="_Toc310415061"/>
      <w:bookmarkStart w:id="63" w:name="_Toc360188396"/>
      <w:bookmarkStart w:id="64" w:name="_Toc473561036"/>
      <w:bookmarkStart w:id="65" w:name="_Toc210752966"/>
      <w:r>
        <w:rPr>
          <w:rFonts w:ascii="Times New Roman" w:hAnsi="Times New Roman"/>
          <w:sz w:val="24"/>
          <w:u w:val="none"/>
        </w:rPr>
        <w:t>3.1.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Kummenti Ġenerali</w:t>
      </w:r>
      <w:bookmarkEnd w:id="59"/>
      <w:bookmarkEnd w:id="60"/>
      <w:bookmarkEnd w:id="61"/>
      <w:bookmarkEnd w:id="62"/>
      <w:bookmarkEnd w:id="63"/>
      <w:bookmarkEnd w:id="64"/>
      <w:bookmarkEnd w:id="65"/>
    </w:p>
    <w:p w14:paraId="7E5893C5" w14:textId="18DD7193" w:rsidR="00FC6275" w:rsidRPr="002D60D7" w:rsidRDefault="00FC6275" w:rsidP="00E172EA">
      <w:pPr>
        <w:pStyle w:val="InstructionsText2"/>
        <w:numPr>
          <w:ilvl w:val="0"/>
          <w:numId w:val="29"/>
        </w:numPr>
        <w:suppressAutoHyphens/>
      </w:pPr>
      <w:bookmarkStart w:id="66" w:name="_Toc294172372"/>
      <w:bookmarkStart w:id="67" w:name="_Toc295830001"/>
      <w:bookmarkStart w:id="68" w:name="_Toc308426678"/>
      <w:bookmarkStart w:id="69" w:name="_Toc310415062"/>
      <w:bookmarkStart w:id="70" w:name="_Toc360188397"/>
      <w:bookmarkStart w:id="71" w:name="_Toc473561037"/>
      <w:r>
        <w:t xml:space="preserve">Din il-formola titlob informazzjoni dwar pożizzjonijiet (kollha/netti u twal/qosra) u r-rekwiżiti relatati ta’ fondi proprji għall-komponent tar-riskju speċifiku tar-riskju ta’ pożizzjoni f’titolizzazzjonijiet/rititolizzazzjonijiet miżmuma fil-portafoll tan-negozjar (mhux eliġibbli għal portafoll tan-negozjar ta’ korrelazzjoni) bl-Approċċ Standardizzat. </w:t>
      </w:r>
    </w:p>
    <w:p w14:paraId="2729DF95" w14:textId="1BA228E4" w:rsidR="00FC6275" w:rsidRPr="002D60D7" w:rsidRDefault="00FC6275" w:rsidP="00E172EA">
      <w:pPr>
        <w:pStyle w:val="InstructionsText2"/>
        <w:numPr>
          <w:ilvl w:val="0"/>
          <w:numId w:val="29"/>
        </w:numPr>
        <w:suppressAutoHyphens/>
      </w:pPr>
      <w:r>
        <w:t xml:space="preserve">Il-formola MKR SA SEC tippreżenta r-rekwiżit ta’ fondi proprji biss għar-riskju speċifiku ta’ pożizzjonijiet ta’ titolizzazzjoni f’konformità mal-Artikolu 335 tar-Regolament (UE) Nru 575/2013 b’rabta mal-Artikolu 337 ta’ dak ir-Regolament. Meta l-pożizzjonijiet ta’ titolizzazzjoni tal-portafoll tan-negozjar ikunu ħħeġġjati minn derivattivi ta’ kreditu, japplikaw l-Artikoli 346 u 347 tar-Regolament (UE) Nru 575/2013. Hemm biss formola waħda għall-pożizzjonijiet kollha tal-portafoll tan-negozjar, irrispettivament mill-approċċ li d-ditti ta’ investiment japplikaw biex tiġi determinata l-ponderazzjoni tar-riskju għal kull waħda mill-pożizzjonijiet f’konformità mal-Parti Tlieta, it-Titolu II, il-Kapitolu 5 tar-Regolament (UE) Nru 575/2013. Ir-rekwiżiti ta’ fondi proprji tar-riskju ġenerali ta’ dawk il-pożizzjonijiet għandhom jiġu rrapportati fil-formola MKR SA TDI jew MKR IM. </w:t>
      </w:r>
    </w:p>
    <w:p w14:paraId="0C732A14" w14:textId="3FF74494" w:rsidR="00FC6275" w:rsidRPr="002D60D7" w:rsidRDefault="00FC6275" w:rsidP="00E172EA">
      <w:pPr>
        <w:pStyle w:val="InstructionsText2"/>
        <w:numPr>
          <w:ilvl w:val="0"/>
          <w:numId w:val="29"/>
        </w:numPr>
        <w:suppressAutoHyphens/>
      </w:pPr>
      <w:r>
        <w:t>Alternattivament, il-pożizzjonijiet li jirċievu ponderazzjoni tar-riskju ta’ 1 250 % jistgħu jitnaqqsu mill-kapital tal-Grad 1 ta’ ekwità komuni (ara l-Artikolu 244(1), il-punt (b), l-Artikolu 245(1), il-punt (b), u l-Artikolu 253 tar-Regolament (UE) Nru 575/2013). Dawk il-pożizzjonijiet għandhom jiġu rrapportati f’din il-formola, anki jekk l-istituzzjoni tagħmel użu mill-possibbiltà li tnaqqas.</w:t>
      </w:r>
    </w:p>
    <w:p w14:paraId="3921F7AA" w14:textId="2BCB0F95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72" w:name="_Toc210752967"/>
      <w:r>
        <w:rPr>
          <w:rFonts w:ascii="Times New Roman" w:hAnsi="Times New Roman"/>
          <w:sz w:val="24"/>
          <w:u w:val="none"/>
        </w:rPr>
        <w:lastRenderedPageBreak/>
        <w:t>3.2.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Struzzjonijiet li jikkonċernaw pożizzjonijiet speċifiċi</w:t>
      </w:r>
      <w:bookmarkEnd w:id="66"/>
      <w:bookmarkEnd w:id="67"/>
      <w:bookmarkEnd w:id="68"/>
      <w:bookmarkEnd w:id="69"/>
      <w:bookmarkEnd w:id="70"/>
      <w:bookmarkEnd w:id="71"/>
      <w:bookmarkEnd w:id="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605"/>
      </w:tblGrid>
      <w:tr w:rsidR="00C55547" w:rsidRPr="002D60D7" w14:paraId="5FAA1DCA" w14:textId="77777777" w:rsidTr="00E10B85">
        <w:trPr>
          <w:trHeight w:val="631"/>
        </w:trPr>
        <w:tc>
          <w:tcPr>
            <w:tcW w:w="9018" w:type="dxa"/>
            <w:gridSpan w:val="2"/>
            <w:shd w:val="clear" w:color="auto" w:fill="CCCCCC"/>
          </w:tcPr>
          <w:p w14:paraId="672709A6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Kolonni</w:t>
            </w:r>
          </w:p>
        </w:tc>
      </w:tr>
      <w:tr w:rsidR="00C55547" w:rsidRPr="002D60D7" w14:paraId="25DD94D3" w14:textId="77777777" w:rsidTr="000911FE">
        <w:tc>
          <w:tcPr>
            <w:tcW w:w="1413" w:type="dxa"/>
          </w:tcPr>
          <w:p w14:paraId="1C45AB39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0010-0020</w:t>
            </w:r>
          </w:p>
        </w:tc>
        <w:tc>
          <w:tcPr>
            <w:tcW w:w="7605" w:type="dxa"/>
          </w:tcPr>
          <w:p w14:paraId="37C65F35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IL-POŻIZZJONIJIET KOLLHA (TWAL U QOSRA)</w:t>
            </w:r>
          </w:p>
          <w:p w14:paraId="503F4241" w14:textId="0DAFF941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 102 u l-Artikolu 105(1)</w:t>
            </w:r>
            <w:r>
              <w:rPr>
                <w:rFonts w:ascii="Times New Roman" w:hAnsi="Times New Roman"/>
                <w:sz w:val="24"/>
              </w:rPr>
              <w:t xml:space="preserve"> tar-Regolament (UE) Nru 575/2013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 flimkien mal-Artikolu 337</w:t>
            </w:r>
            <w:r>
              <w:rPr>
                <w:rFonts w:ascii="Times New Roman" w:hAnsi="Times New Roman"/>
                <w:sz w:val="24"/>
              </w:rPr>
              <w:t xml:space="preserve"> ta’ dak ir-Regolament 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(pożizzjonijiet ta’ titolizzazzjoni). Rigward id-distinzjoni bejn pożizzjonijiet twal u qosra, applikabbli wkoll għal dawk il-pożizzjonijiet grossi, ara l-Artikolu 328 (2) </w:t>
            </w:r>
            <w:r>
              <w:rPr>
                <w:rFonts w:ascii="Times New Roman" w:hAnsi="Times New Roman"/>
                <w:sz w:val="24"/>
              </w:rPr>
              <w:t>ta’ dak ir-Regolament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. </w:t>
            </w:r>
          </w:p>
        </w:tc>
      </w:tr>
      <w:tr w:rsidR="00C55547" w:rsidRPr="002D60D7" w14:paraId="22839602" w14:textId="77777777" w:rsidTr="000911FE">
        <w:tc>
          <w:tcPr>
            <w:tcW w:w="1413" w:type="dxa"/>
          </w:tcPr>
          <w:p w14:paraId="40A33AFE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0030-0040</w:t>
            </w:r>
          </w:p>
        </w:tc>
        <w:tc>
          <w:tcPr>
            <w:tcW w:w="7605" w:type="dxa"/>
          </w:tcPr>
          <w:p w14:paraId="511B0208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POŻIZZJONIJIET IMNAQQSIN MINN FONDI PROPRJI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(TWAL U QOSRA)</w:t>
            </w:r>
          </w:p>
          <w:p w14:paraId="1429CBFE" w14:textId="1A440B37" w:rsidR="00C55547" w:rsidRPr="002D60D7" w:rsidRDefault="00705025" w:rsidP="004C445F">
            <w:pPr>
              <w:suppressAutoHyphens/>
              <w:rPr>
                <w:rStyle w:val="InstructionsTabelleTex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 L-Artikolu 244(1), il-punt (b), l-Artikolu 245(1), il-punt (b) u l-Artikolu 253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16C58348" w14:textId="77777777" w:rsidTr="000911FE">
        <w:tc>
          <w:tcPr>
            <w:tcW w:w="1413" w:type="dxa"/>
          </w:tcPr>
          <w:p w14:paraId="2D1E9030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0050-0060</w:t>
            </w:r>
          </w:p>
        </w:tc>
        <w:tc>
          <w:tcPr>
            <w:tcW w:w="7605" w:type="dxa"/>
          </w:tcPr>
          <w:p w14:paraId="088E4387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POŻIZZJONIJIET NETTI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(TWAL U QOSRA)</w:t>
            </w:r>
          </w:p>
          <w:p w14:paraId="54C14D76" w14:textId="32F9EC29" w:rsidR="00C55547" w:rsidRPr="002D60D7" w:rsidRDefault="00C55547" w:rsidP="004C445F">
            <w:pPr>
              <w:suppressAutoHyphens/>
              <w:rPr>
                <w:rStyle w:val="InstructionsTabelleText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L-Artikoli 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>327, 328, 329 u 334</w:t>
            </w:r>
            <w:r>
              <w:rPr>
                <w:rFonts w:ascii="Times New Roman" w:hAnsi="Times New Roman"/>
                <w:sz w:val="24"/>
              </w:rPr>
              <w:t xml:space="preserve"> tar-Regolament (UE) Nru 575/2013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. Rigward id-distinzjoni bejn Pożizzjonijiet twal u qosra ara l-Artikolu 328 (2) </w:t>
            </w:r>
            <w:r>
              <w:rPr>
                <w:rFonts w:ascii="Times New Roman" w:hAnsi="Times New Roman"/>
                <w:sz w:val="24"/>
              </w:rPr>
              <w:t>ta’ dak ir-Regolament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C55547" w:rsidRPr="002D60D7" w14:paraId="0BDF729C" w14:textId="77777777" w:rsidTr="000911FE">
        <w:tc>
          <w:tcPr>
            <w:tcW w:w="1413" w:type="dxa"/>
          </w:tcPr>
          <w:p w14:paraId="324A2BB6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0061-0104</w:t>
            </w:r>
          </w:p>
        </w:tc>
        <w:tc>
          <w:tcPr>
            <w:tcW w:w="7605" w:type="dxa"/>
          </w:tcPr>
          <w:p w14:paraId="627BB4B0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DIŻAGGREGAZZJONI TAL-POŻIZZJONIJIET NETTI SKONT IL-PONDERAZZJONI TAR-RISKJU</w:t>
            </w:r>
          </w:p>
          <w:p w14:paraId="3ECFC065" w14:textId="41D71775" w:rsidR="00C3548F" w:rsidRPr="002D60D7" w:rsidRDefault="00C55547" w:rsidP="004C445F">
            <w:pPr>
              <w:suppressAutoHyphens/>
              <w:rPr>
                <w:rStyle w:val="InstructionsTabelleTex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L-Artikoli 259 sa 262, l-Artikolu 263, it-Tabelli 1 u 2, l-Artikolu 264, it-Tabelli 3 u 4 u l-Artikolu 266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. </w:t>
            </w:r>
          </w:p>
          <w:p w14:paraId="4314B137" w14:textId="77777777" w:rsidR="00C55547" w:rsidRPr="002D60D7" w:rsidRDefault="00C55547" w:rsidP="004C445F">
            <w:pPr>
              <w:suppressAutoHyphens/>
              <w:rPr>
                <w:rStyle w:val="InstructionsTabelleTex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Id-diżaggregazzjoni għandha ssir b’mod separat għal pożizzjonijiet twal u dawk qosra.</w:t>
            </w:r>
          </w:p>
        </w:tc>
      </w:tr>
      <w:tr w:rsidR="00C55547" w:rsidRPr="002D60D7" w14:paraId="2A20E80A" w14:textId="77777777" w:rsidTr="000911FE">
        <w:tc>
          <w:tcPr>
            <w:tcW w:w="1413" w:type="dxa"/>
          </w:tcPr>
          <w:p w14:paraId="163C862B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0402-0406</w:t>
            </w:r>
          </w:p>
        </w:tc>
        <w:tc>
          <w:tcPr>
            <w:tcW w:w="7605" w:type="dxa"/>
          </w:tcPr>
          <w:p w14:paraId="2AF3DBA4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DIŻAGGREGAZZJONI TAL-POŻIZZJONIJIET NETTI SKONT L-APPROĊĊI</w:t>
            </w:r>
          </w:p>
          <w:p w14:paraId="683DE902" w14:textId="55DF04AD" w:rsidR="00C55547" w:rsidRPr="002D60D7" w:rsidRDefault="00C55547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L-Artikolu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 254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 </w:t>
            </w:r>
          </w:p>
        </w:tc>
      </w:tr>
      <w:tr w:rsidR="00C55547" w:rsidRPr="002D60D7" w14:paraId="6061874B" w14:textId="77777777" w:rsidTr="000911FE">
        <w:tc>
          <w:tcPr>
            <w:tcW w:w="1413" w:type="dxa"/>
          </w:tcPr>
          <w:p w14:paraId="4B729A34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0402</w:t>
            </w:r>
          </w:p>
        </w:tc>
        <w:tc>
          <w:tcPr>
            <w:tcW w:w="7605" w:type="dxa"/>
          </w:tcPr>
          <w:p w14:paraId="06929D2D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SEC-IRBA</w:t>
            </w:r>
          </w:p>
          <w:p w14:paraId="41A48A7C" w14:textId="67C34C11" w:rsidR="00C55547" w:rsidRPr="002D60D7" w:rsidRDefault="00C55547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L-Artikoli 259 u 260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16BB3DCB" w14:textId="77777777" w:rsidTr="000911FE">
        <w:tc>
          <w:tcPr>
            <w:tcW w:w="1413" w:type="dxa"/>
          </w:tcPr>
          <w:p w14:paraId="189036B1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0403</w:t>
            </w:r>
          </w:p>
        </w:tc>
        <w:tc>
          <w:tcPr>
            <w:tcW w:w="7605" w:type="dxa"/>
          </w:tcPr>
          <w:p w14:paraId="6F8EF419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SEC-SA</w:t>
            </w:r>
          </w:p>
          <w:p w14:paraId="5A374E14" w14:textId="4A4A259B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L-Artikolu 261 u 262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0B1E8511" w14:textId="77777777" w:rsidTr="000911FE">
        <w:tc>
          <w:tcPr>
            <w:tcW w:w="1413" w:type="dxa"/>
          </w:tcPr>
          <w:p w14:paraId="283E5722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0404</w:t>
            </w:r>
          </w:p>
        </w:tc>
        <w:tc>
          <w:tcPr>
            <w:tcW w:w="7605" w:type="dxa"/>
          </w:tcPr>
          <w:p w14:paraId="7AA18AA4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SEC-IRBA</w:t>
            </w:r>
          </w:p>
          <w:p w14:paraId="2250A6DF" w14:textId="199187B3" w:rsidR="00C55547" w:rsidRPr="002D60D7" w:rsidRDefault="00C55547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L-Artikolu 263 u 264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76051CC7" w14:textId="77777777" w:rsidTr="000911FE">
        <w:tc>
          <w:tcPr>
            <w:tcW w:w="1413" w:type="dxa"/>
          </w:tcPr>
          <w:p w14:paraId="2CE39EAA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0405</w:t>
            </w:r>
          </w:p>
        </w:tc>
        <w:tc>
          <w:tcPr>
            <w:tcW w:w="7605" w:type="dxa"/>
          </w:tcPr>
          <w:p w14:paraId="334AB028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APPROĊĊ TA’ VALUTAZZJONI INTERNA</w:t>
            </w:r>
          </w:p>
          <w:p w14:paraId="5354C48C" w14:textId="38E5A78D" w:rsidR="00C55547" w:rsidRPr="002D60D7" w:rsidRDefault="00C55547" w:rsidP="004C445F">
            <w:pPr>
              <w:suppressAutoHyphens/>
              <w:rPr>
                <w:rFonts w:ascii="Times New Roman" w:hAnsi="Times New Roman"/>
                <w:bCs/>
                <w:sz w:val="24"/>
                <w:u w:val="single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L-Artikoli 254 u 265 u l-Artikolu 266(5)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33476C" w:rsidRPr="002D60D7" w14:paraId="00803C23" w14:textId="77777777" w:rsidTr="000911FE">
        <w:tc>
          <w:tcPr>
            <w:tcW w:w="1413" w:type="dxa"/>
          </w:tcPr>
          <w:p w14:paraId="6969B7D6" w14:textId="7D0DF91C" w:rsidR="0033476C" w:rsidRPr="002D60D7" w:rsidRDefault="0033476C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0900</w:t>
            </w:r>
          </w:p>
        </w:tc>
        <w:tc>
          <w:tcPr>
            <w:tcW w:w="7605" w:type="dxa"/>
          </w:tcPr>
          <w:p w14:paraId="1E2E9907" w14:textId="3152DD84" w:rsidR="0033476C" w:rsidRPr="002D60D7" w:rsidRDefault="0033476C" w:rsidP="004C445F">
            <w:pPr>
              <w:suppressAutoHyphens/>
              <w:spacing w:before="0" w:after="0"/>
              <w:jc w:val="left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TRATTAMENT SPEĊIFIKU GĦAL SEGMENTI SUPERJURI TA’ TITOLIZZAZZJONIJIET NPE KWALIFIKANTI</w:t>
            </w:r>
          </w:p>
          <w:p w14:paraId="17BE744C" w14:textId="40B8EA94" w:rsidR="0033476C" w:rsidRPr="002D60D7" w:rsidRDefault="0033476C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L-Artikolu 269a(3) tar-Regolament (UE) Nru 575/2013</w:t>
            </w:r>
          </w:p>
        </w:tc>
      </w:tr>
      <w:tr w:rsidR="00C55547" w:rsidRPr="002D60D7" w14:paraId="05BEB883" w14:textId="77777777" w:rsidTr="000911FE">
        <w:tc>
          <w:tcPr>
            <w:tcW w:w="1413" w:type="dxa"/>
          </w:tcPr>
          <w:p w14:paraId="3D2DEA0A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0406</w:t>
            </w:r>
          </w:p>
        </w:tc>
        <w:tc>
          <w:tcPr>
            <w:tcW w:w="7605" w:type="dxa"/>
          </w:tcPr>
          <w:p w14:paraId="25786344" w14:textId="4EFB7A5E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OĦRAJN (RW=1 250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%)</w:t>
            </w:r>
          </w:p>
          <w:p w14:paraId="1684F52F" w14:textId="43F3FE5E" w:rsidR="00C55547" w:rsidRPr="002D60D7" w:rsidRDefault="00C55547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lastRenderedPageBreak/>
              <w:t xml:space="preserve">L-Artikolu 254(7)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11316298" w14:textId="77777777" w:rsidTr="000911FE">
        <w:tc>
          <w:tcPr>
            <w:tcW w:w="1413" w:type="dxa"/>
          </w:tcPr>
          <w:p w14:paraId="00B9220E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0530-0540</w:t>
            </w:r>
          </w:p>
        </w:tc>
        <w:tc>
          <w:tcPr>
            <w:tcW w:w="7605" w:type="dxa"/>
          </w:tcPr>
          <w:p w14:paraId="595C29DB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EFFETT ĠENERALI (AĠĠUSTAMENT) DOVUT GĦAL KSUR TAL-KAPITOLU 2 TAR-REGOLAMENT (UE) 2017/2402</w:t>
            </w:r>
          </w:p>
          <w:p w14:paraId="3FBEAE4C" w14:textId="027236BE" w:rsidR="00C55547" w:rsidRPr="002D60D7" w:rsidRDefault="00C55547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L-Artikolu 270a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2BA98A90" w14:textId="77777777" w:rsidTr="000911FE">
        <w:tc>
          <w:tcPr>
            <w:tcW w:w="1413" w:type="dxa"/>
          </w:tcPr>
          <w:p w14:paraId="2EA0118D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0570</w:t>
            </w:r>
          </w:p>
        </w:tc>
        <w:tc>
          <w:tcPr>
            <w:tcW w:w="7605" w:type="dxa"/>
          </w:tcPr>
          <w:p w14:paraId="4DCE07C4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QABEL IL-LIMITU MASSIMU </w:t>
            </w:r>
          </w:p>
          <w:p w14:paraId="740CD739" w14:textId="54EB1279" w:rsidR="00C55547" w:rsidRPr="002D60D7" w:rsidRDefault="00C55547" w:rsidP="004C445F">
            <w:pPr>
              <w:suppressAutoHyphens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337 tar-Regolament (UE) Nru 575/2013 bla ma titqies id-diskrezzjoni stabbilita fl-Artikolu 335 ta’ dak ir-Regolament li tippermetti li istituzzjoni timponi limitu massimu fuq il-prodott tal-ponderazzjoni u l-pożizzjoni netta fil-livell tat-telf massimu possibbli relatat mar-riskju ta’ inadempjenza.</w:t>
            </w:r>
          </w:p>
        </w:tc>
      </w:tr>
      <w:tr w:rsidR="00C55547" w:rsidRPr="002D60D7" w14:paraId="247B0FB8" w14:textId="77777777" w:rsidTr="000911FE">
        <w:tc>
          <w:tcPr>
            <w:tcW w:w="1413" w:type="dxa"/>
          </w:tcPr>
          <w:p w14:paraId="22357CAC" w14:textId="77777777" w:rsidR="00C55547" w:rsidRPr="002D60D7" w:rsidRDefault="00EE2CD5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0601</w:t>
            </w:r>
          </w:p>
        </w:tc>
        <w:tc>
          <w:tcPr>
            <w:tcW w:w="7605" w:type="dxa"/>
          </w:tcPr>
          <w:p w14:paraId="78FC9B76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WARA L-LIMITU/REKWIŻITI TA’ FONDI PROPRJI TOTALI </w:t>
            </w:r>
          </w:p>
          <w:p w14:paraId="0DE4FAED" w14:textId="59308D5D" w:rsidR="00C55547" w:rsidRPr="002D60D7" w:rsidRDefault="00C55547" w:rsidP="004C445F">
            <w:pPr>
              <w:suppressAutoHyphens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337 tar-Regolament (UE) Nru 575/2013, filwaqt li 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>titqies</w:t>
            </w:r>
            <w:r>
              <w:rPr>
                <w:rFonts w:ascii="Times New Roman" w:hAnsi="Times New Roman"/>
                <w:sz w:val="24"/>
              </w:rPr>
              <w:t xml:space="preserve"> id-diskrezzjoni stabbilita fl-Artikolu 335 ta’ dak ir-Regolament.</w:t>
            </w:r>
          </w:p>
        </w:tc>
      </w:tr>
    </w:tbl>
    <w:p w14:paraId="2016D379" w14:textId="77777777" w:rsidR="00C55547" w:rsidRPr="002D60D7" w:rsidRDefault="00C55547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eastAsia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537"/>
      </w:tblGrid>
      <w:tr w:rsidR="00C55547" w:rsidRPr="002D60D7" w14:paraId="02A9F41A" w14:textId="77777777" w:rsidTr="00E10B85">
        <w:trPr>
          <w:trHeight w:val="537"/>
        </w:trPr>
        <w:tc>
          <w:tcPr>
            <w:tcW w:w="8950" w:type="dxa"/>
            <w:gridSpan w:val="2"/>
            <w:shd w:val="clear" w:color="auto" w:fill="BFBFBF"/>
          </w:tcPr>
          <w:p w14:paraId="26BB8354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Ringieli</w:t>
            </w:r>
          </w:p>
        </w:tc>
      </w:tr>
      <w:tr w:rsidR="00C55547" w:rsidRPr="002D60D7" w14:paraId="32F42F75" w14:textId="77777777" w:rsidTr="000911FE">
        <w:tc>
          <w:tcPr>
            <w:tcW w:w="1413" w:type="dxa"/>
          </w:tcPr>
          <w:p w14:paraId="4D0640F7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537" w:type="dxa"/>
          </w:tcPr>
          <w:p w14:paraId="03F7346E" w14:textId="77777777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SKOPERTURI TOTALI</w:t>
            </w:r>
          </w:p>
          <w:p w14:paraId="3DA30B45" w14:textId="36AC07B8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L-ammont totali ta’ titolizzazzjonijiet u rititolizzazzjonijiet pendenti (miżmumin fil-portafoll tan-negozjar) rrapportat mill-istituzzjoni li għandha r-rwol ta’ oriġinatur jew investitur jew sponsor.</w:t>
            </w:r>
          </w:p>
        </w:tc>
      </w:tr>
      <w:tr w:rsidR="00C55547" w:rsidRPr="002D60D7" w14:paraId="21E51D59" w14:textId="77777777" w:rsidTr="000911FE">
        <w:tc>
          <w:tcPr>
            <w:tcW w:w="1413" w:type="dxa"/>
          </w:tcPr>
          <w:p w14:paraId="5CCD69BA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0040, 0070 u 0100</w:t>
            </w:r>
          </w:p>
        </w:tc>
        <w:tc>
          <w:tcPr>
            <w:tcW w:w="7537" w:type="dxa"/>
          </w:tcPr>
          <w:p w14:paraId="4F5DF6AF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POŻIZZJONIJIET TA’ TITOLIZZAZZJONI</w:t>
            </w:r>
          </w:p>
          <w:p w14:paraId="62CD89EA" w14:textId="2303997B" w:rsidR="00C55547" w:rsidRPr="002D60D7" w:rsidRDefault="0053202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4(1), il-punt (62) tar-Regolament (UE) Nru 575/2013.</w:t>
            </w:r>
          </w:p>
          <w:p w14:paraId="0230B6E5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  <w:lang w:eastAsia="nl-BE"/>
              </w:rPr>
            </w:pPr>
          </w:p>
        </w:tc>
      </w:tr>
      <w:tr w:rsidR="00C55547" w:rsidRPr="002D60D7" w14:paraId="4D9AAB18" w14:textId="77777777" w:rsidTr="000911FE">
        <w:tc>
          <w:tcPr>
            <w:tcW w:w="1413" w:type="dxa"/>
          </w:tcPr>
          <w:p w14:paraId="6DA3B4FA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0020, 0050, 0080 u 0110</w:t>
            </w:r>
          </w:p>
        </w:tc>
        <w:tc>
          <w:tcPr>
            <w:tcW w:w="7537" w:type="dxa"/>
          </w:tcPr>
          <w:p w14:paraId="3C62BCE7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POŻIZZJONIJIET TA’ RITITOLIZZAZZJONI</w:t>
            </w:r>
          </w:p>
          <w:p w14:paraId="32F5BAEB" w14:textId="2FA2B3C6" w:rsidR="00C55547" w:rsidRPr="002D60D7" w:rsidRDefault="00D24331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4(1), il-punt (64), tar-Regolament (UE) Nru 575/2013</w:t>
            </w:r>
          </w:p>
          <w:p w14:paraId="18108A69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  <w:lang w:eastAsia="nl-BE"/>
              </w:rPr>
            </w:pPr>
          </w:p>
        </w:tc>
      </w:tr>
      <w:tr w:rsidR="00C55547" w:rsidRPr="002D60D7" w14:paraId="651A33F7" w14:textId="77777777" w:rsidTr="000911FE">
        <w:tc>
          <w:tcPr>
            <w:tcW w:w="1413" w:type="dxa"/>
          </w:tcPr>
          <w:p w14:paraId="41A2A677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0041, 0071 u 0101</w:t>
            </w:r>
          </w:p>
        </w:tc>
        <w:tc>
          <w:tcPr>
            <w:tcW w:w="7537" w:type="dxa"/>
          </w:tcPr>
          <w:p w14:paraId="17D8E88B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LI JIKKWALIFIKAW GĦAL TRATTAMENT TAL-KAPITAL DIFFERENZJAT</w:t>
            </w:r>
          </w:p>
          <w:p w14:paraId="775DD0A5" w14:textId="5E8A13EA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L-ammont totali ta’ pożizzjonijiet ta’ titolizzazzjoni li jissodisfaw il-kriterji stabbiliti fl-Artikolu 243 jew l-Artikolu 270 tar-Regolament (UE) 575/2013 u għaldaqstant jikkwalifikaw għal trattament tal-kapital differenzjat. </w:t>
            </w:r>
          </w:p>
        </w:tc>
      </w:tr>
      <w:tr w:rsidR="00C55547" w:rsidRPr="002D60D7" w14:paraId="5FAF4052" w14:textId="77777777" w:rsidTr="000911FE">
        <w:tc>
          <w:tcPr>
            <w:tcW w:w="1413" w:type="dxa"/>
          </w:tcPr>
          <w:p w14:paraId="39486578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0030-0050</w:t>
            </w:r>
          </w:p>
        </w:tc>
        <w:tc>
          <w:tcPr>
            <w:tcW w:w="7537" w:type="dxa"/>
          </w:tcPr>
          <w:p w14:paraId="29698529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ORIĠINATUR</w:t>
            </w:r>
          </w:p>
          <w:p w14:paraId="50264432" w14:textId="0FD773BF" w:rsidR="00C55547" w:rsidRPr="002D60D7" w:rsidRDefault="00D24331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4(1), il-punt (13), tar-Regolament (UE) Nru 575/2013</w:t>
            </w:r>
          </w:p>
          <w:p w14:paraId="671304E2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  <w:lang w:eastAsia="nl-BE"/>
              </w:rPr>
            </w:pPr>
          </w:p>
        </w:tc>
      </w:tr>
      <w:tr w:rsidR="00C55547" w:rsidRPr="002D60D7" w14:paraId="1241B5AC" w14:textId="77777777" w:rsidTr="000911FE">
        <w:tc>
          <w:tcPr>
            <w:tcW w:w="1413" w:type="dxa"/>
          </w:tcPr>
          <w:p w14:paraId="61436B0B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0060-0080</w:t>
            </w:r>
          </w:p>
        </w:tc>
        <w:tc>
          <w:tcPr>
            <w:tcW w:w="7537" w:type="dxa"/>
          </w:tcPr>
          <w:p w14:paraId="726E7C5B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INVESTITUR</w:t>
            </w:r>
          </w:p>
          <w:p w14:paraId="13A59676" w14:textId="722AE4F3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Istituzzjoni ta’ kreditu li jkollha pożizzjoni ta’ titolizzazzjoni fi tranżazzjoni ta’ titolizzazzjoni li fiha la hija oriġinatur, la sponsor u lanqas mutwant oriġinali. </w:t>
            </w:r>
          </w:p>
          <w:p w14:paraId="5289F9D1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  <w:lang w:eastAsia="nl-BE"/>
              </w:rPr>
            </w:pPr>
          </w:p>
        </w:tc>
      </w:tr>
      <w:tr w:rsidR="00C55547" w:rsidRPr="002D60D7" w14:paraId="66D8A55A" w14:textId="77777777" w:rsidTr="000911FE">
        <w:tc>
          <w:tcPr>
            <w:tcW w:w="1413" w:type="dxa"/>
          </w:tcPr>
          <w:p w14:paraId="7DE34CCA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0090-0110</w:t>
            </w:r>
          </w:p>
        </w:tc>
        <w:tc>
          <w:tcPr>
            <w:tcW w:w="7537" w:type="dxa"/>
          </w:tcPr>
          <w:p w14:paraId="1405E243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SPONSOR</w:t>
            </w:r>
          </w:p>
          <w:p w14:paraId="40C5E800" w14:textId="57801E6F" w:rsidR="000242CC" w:rsidRPr="002D60D7" w:rsidRDefault="00D24331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Style w:val="InstructionsTabelleText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L-Artikolu 4(1), il-punt (14), tar-Regolament (UE) Nru 575/2013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. </w:t>
            </w:r>
          </w:p>
          <w:p w14:paraId="036222AB" w14:textId="77777777" w:rsidR="00C55547" w:rsidRPr="002D60D7" w:rsidRDefault="0053202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Style w:val="InstructionsTabelleTex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Sponsor li jittitolizza wkoll l-assi tiegħu stess għandu jimla r-ringieli tal-oriġinatur bl-informazzjoni rigward l-assi titolizzati tiegħu stess.</w:t>
            </w:r>
          </w:p>
        </w:tc>
      </w:tr>
    </w:tbl>
    <w:p w14:paraId="2E044F08" w14:textId="77777777" w:rsidR="000B0B09" w:rsidRPr="002D60D7" w:rsidRDefault="000B0B09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eastAsia="nl-BE"/>
        </w:rPr>
      </w:pPr>
    </w:p>
    <w:p w14:paraId="7658B148" w14:textId="15701631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73" w:name="_Toc294172373"/>
      <w:bookmarkStart w:id="74" w:name="_Toc295830002"/>
      <w:bookmarkStart w:id="75" w:name="_Toc308426679"/>
      <w:bookmarkStart w:id="76" w:name="_Toc310415063"/>
      <w:bookmarkStart w:id="77" w:name="_Toc360188398"/>
      <w:bookmarkStart w:id="78" w:name="_Toc473561038"/>
      <w:bookmarkStart w:id="79" w:name="_Toc210752968"/>
      <w:r>
        <w:rPr>
          <w:rFonts w:ascii="Times New Roman" w:hAnsi="Times New Roman"/>
          <w:sz w:val="24"/>
          <w:u w:val="none"/>
        </w:rPr>
        <w:t>4.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C 20.00 - RISKJU TAS-SUQ: APPROĊĊ STANDARDIZZAT GĦAL RISKJU SPEĊIFIKU GĦAL POŻIZZJONIJIET ASSENJATI GĦALL-PORTAFOLL TA’ NEGOZJAR TA’ KORRELAZZJONI (MKR SA PNK</w:t>
      </w:r>
      <w:bookmarkEnd w:id="73"/>
      <w:bookmarkEnd w:id="74"/>
      <w:bookmarkEnd w:id="75"/>
      <w:bookmarkEnd w:id="76"/>
      <w:r>
        <w:rPr>
          <w:rFonts w:ascii="Times New Roman" w:hAnsi="Times New Roman"/>
          <w:sz w:val="24"/>
        </w:rPr>
        <w:t>)</w:t>
      </w:r>
      <w:bookmarkEnd w:id="77"/>
      <w:bookmarkEnd w:id="78"/>
      <w:bookmarkEnd w:id="79"/>
    </w:p>
    <w:p w14:paraId="43960D05" w14:textId="0A1B0018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80" w:name="_Toc294172374"/>
      <w:bookmarkStart w:id="81" w:name="_Toc295830003"/>
      <w:bookmarkStart w:id="82" w:name="_Toc308426680"/>
      <w:bookmarkStart w:id="83" w:name="_Toc310415064"/>
      <w:bookmarkStart w:id="84" w:name="_Toc360188399"/>
      <w:bookmarkStart w:id="85" w:name="_Toc473561039"/>
      <w:bookmarkStart w:id="86" w:name="_Toc210752969"/>
      <w:r>
        <w:rPr>
          <w:rFonts w:ascii="Times New Roman" w:hAnsi="Times New Roman"/>
          <w:sz w:val="24"/>
          <w:u w:val="none"/>
        </w:rPr>
        <w:t>4.1</w:t>
      </w:r>
      <w:r w:rsidRPr="00913B98">
        <w:rPr>
          <w:rFonts w:ascii="Times New Roman" w:hAnsi="Times New Roman"/>
          <w:sz w:val="24"/>
          <w:u w:val="none"/>
        </w:rPr>
        <w:t>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Kummenti Ġenerali</w:t>
      </w:r>
      <w:bookmarkEnd w:id="80"/>
      <w:bookmarkEnd w:id="81"/>
      <w:bookmarkEnd w:id="82"/>
      <w:bookmarkEnd w:id="83"/>
      <w:bookmarkEnd w:id="84"/>
      <w:bookmarkEnd w:id="85"/>
      <w:bookmarkEnd w:id="86"/>
    </w:p>
    <w:p w14:paraId="6E7E4803" w14:textId="7EB80912" w:rsidR="00C55547" w:rsidRPr="002D60D7" w:rsidRDefault="00C55547" w:rsidP="00E172EA">
      <w:pPr>
        <w:pStyle w:val="InstructionsText2"/>
        <w:numPr>
          <w:ilvl w:val="0"/>
          <w:numId w:val="29"/>
        </w:numPr>
        <w:suppressAutoHyphens/>
      </w:pPr>
      <w:bookmarkStart w:id="87" w:name="_Toc294172375"/>
      <w:bookmarkStart w:id="88" w:name="_Toc295830004"/>
      <w:bookmarkStart w:id="89" w:name="_Toc308426681"/>
      <w:bookmarkStart w:id="90" w:name="_Toc310415065"/>
      <w:bookmarkStart w:id="91" w:name="_Toc360188400"/>
      <w:bookmarkStart w:id="92" w:name="_Toc473561040"/>
      <w:r>
        <w:t>Din il-formola teħtieġ informazzjoni dwar pożizzjonijiet tal-Portafoll ta’ Negozjar ta’ Korrelazzjoni (PNK) (inklużi titolizzazzjonijiet, derivattivi ta’ kreditu n-eżmu inadempjenti u pożizzjonijiet PNK oħrajn inklużi f’konformità mal-Artikolu 338(3) tar-Regolament (UE) Nru 575/2013) u r-rekwiżiti ta’ fondi proprji korrispondenti skont l-Approċċ Standardizzat.</w:t>
      </w:r>
    </w:p>
    <w:p w14:paraId="7D9D9B10" w14:textId="1F1EFDEB" w:rsidR="00C55547" w:rsidRPr="002D60D7" w:rsidRDefault="00C55547" w:rsidP="00E172EA">
      <w:pPr>
        <w:pStyle w:val="InstructionsText2"/>
        <w:numPr>
          <w:ilvl w:val="0"/>
          <w:numId w:val="29"/>
        </w:numPr>
        <w:suppressAutoHyphens/>
      </w:pPr>
      <w:r>
        <w:t>Il-formola MKR SA PNK tippreżenta r-rekwiżit ta’ fondi proprji biss għar-riskju speċifiku ta’ pożizzjonijiet assenjati fil-PNK f’konformità mal-Artikolu 335 tar-Regolament (UE) Nru 575/2013 b’rabta mal-Artikolu 338(2) u (3) ta’ dak ir-Regolament. Jekk il-pożizzjonijiet PNK tal-portafoll tan-negozjar ikunu ħħeġġjati minn derivattivi ta’ kreditu, japplikaw l-Artikoli 346 u 347 tar-Regolament (UE) Nru 575/2013. Hemm biss formola waħda għall-pożizzjonijiet PNK kollha tal-portafoll tan-negozjar, irrispettivament mill-approċċ li l-istituzzjonijiet japplikaw biex tiġi determinata l-ponderazzjoni tar-riskju għal kull waħda mill-pożizzjonijiet f’konformità mal-Parti Tlieta, it-Titolu II, il-Kapitolu 5 tar-Regolament (UE) Nru 575/2013. Ir-rapportar tar-rekwiżiti ta’ fondi proprji għar-riskju ġenerali ta’ dawk il-pożizzjonijiet isir fil-formola MKR SA TDI jew MKR IM.</w:t>
      </w:r>
    </w:p>
    <w:p w14:paraId="2252BE4F" w14:textId="4513CABA" w:rsidR="00C55547" w:rsidRPr="002D60D7" w:rsidRDefault="00C55547" w:rsidP="00E172EA">
      <w:pPr>
        <w:pStyle w:val="InstructionsText2"/>
        <w:numPr>
          <w:ilvl w:val="0"/>
          <w:numId w:val="29"/>
        </w:numPr>
        <w:suppressAutoHyphens/>
      </w:pPr>
      <w:r>
        <w:t xml:space="preserve">Din il-formola tissepara l-pożizzjonijiet ta’ titolizzazzjoni, id-derivattiv ta’ kreditu n-eżmu inadempjenti u pożizzjonijiet oħrajn tal-PNK. Il-pożizzjonijiet ta’ titolizzazzjoni għandhom dejjem ikunu rrapportati fir-ringieli 0030, 0060 jew 0090 (skont ir-rwol tal-istituzzjoni fit-titolizzazzjoni). Id-derivattiv ta’ kreditu n-eżmu inadempjenti dejjem għandhom ikunu rrapportati fir-ringiela 0110. Il-“pożizzjonijiet PNK oħrajn” huma pożizzjonijiet li la huma pożizzjonijiet ta’ titolizzazzjoni u lanqas derivattivi ta’ kreditu n-eżmu inadempjenti (ara l-Artikolu 338(3) tar-Regolament (UE) Nru 575/2013), iżda huma espliċitament “marbuta” ma’ waħda minn dawk iż-żewġ pożizzjonijiet (minħabba l-intenzjoni ta’ ħħeġġjar). </w:t>
      </w:r>
    </w:p>
    <w:p w14:paraId="5B5B9C2A" w14:textId="127C8328" w:rsidR="00C55547" w:rsidRPr="002D60D7" w:rsidRDefault="00C55547" w:rsidP="00E172EA">
      <w:pPr>
        <w:pStyle w:val="InstructionsText2"/>
        <w:numPr>
          <w:ilvl w:val="0"/>
          <w:numId w:val="29"/>
        </w:numPr>
        <w:suppressAutoHyphens/>
      </w:pPr>
      <w:r>
        <w:t>Alternattivament, il-pożizzjonijiet li jirċievu ponderazzjoni tar-riskju ta’ 1 250 % jistgħu jitnaqqsu mill-kapital tal-Grad 1 ta’ ekwità komuni (ara l-Artikolu 244(1), il-punt (b), l-Artikolu 245(1), il-punt (b), u l-Artikolu 253 tar-Regolament (UE) Nru 575/2013). Dawk il-pożizzjonijiet għandhom jiġu rrapportati f’din il-formola, anki jekk l-istituzzjoni tagħmel użu mill-possibbiltà li tnaqqas.</w:t>
      </w:r>
    </w:p>
    <w:p w14:paraId="6482CB53" w14:textId="4A90E23B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93" w:name="_Toc210752970"/>
      <w:r>
        <w:rPr>
          <w:rFonts w:ascii="Times New Roman" w:hAnsi="Times New Roman"/>
          <w:sz w:val="24"/>
          <w:u w:val="none"/>
        </w:rPr>
        <w:t>4.2.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Struzzjonijiet li jikkonċernaw pożizzjonijiet speċifiċi</w:t>
      </w:r>
      <w:bookmarkEnd w:id="87"/>
      <w:bookmarkEnd w:id="88"/>
      <w:bookmarkEnd w:id="89"/>
      <w:bookmarkEnd w:id="90"/>
      <w:bookmarkEnd w:id="91"/>
      <w:bookmarkEnd w:id="92"/>
      <w:bookmarkEnd w:id="93"/>
    </w:p>
    <w:p w14:paraId="08BF27B7" w14:textId="77777777" w:rsidR="000B0B09" w:rsidRPr="002D60D7" w:rsidRDefault="000B0B09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eastAsia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7874"/>
      </w:tblGrid>
      <w:tr w:rsidR="00C55547" w:rsidRPr="002D60D7" w14:paraId="05BDB97B" w14:textId="77777777" w:rsidTr="00E10B85">
        <w:trPr>
          <w:trHeight w:val="602"/>
        </w:trPr>
        <w:tc>
          <w:tcPr>
            <w:tcW w:w="8890" w:type="dxa"/>
            <w:gridSpan w:val="2"/>
            <w:shd w:val="clear" w:color="auto" w:fill="CCCCCC"/>
          </w:tcPr>
          <w:p w14:paraId="286354EC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Kolonni</w:t>
            </w:r>
          </w:p>
        </w:tc>
      </w:tr>
      <w:tr w:rsidR="00C55547" w:rsidRPr="002D60D7" w14:paraId="697D3EB6" w14:textId="77777777" w:rsidTr="00E10B85">
        <w:tc>
          <w:tcPr>
            <w:tcW w:w="1016" w:type="dxa"/>
          </w:tcPr>
          <w:p w14:paraId="5A814BB2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0010-0020</w:t>
            </w:r>
          </w:p>
        </w:tc>
        <w:tc>
          <w:tcPr>
            <w:tcW w:w="7874" w:type="dxa"/>
          </w:tcPr>
          <w:p w14:paraId="2D41C55B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IL-POŻIZZJONIJIET KOLLHA (TWAL U QOSRA)</w:t>
            </w:r>
          </w:p>
          <w:p w14:paraId="4F3CF7CB" w14:textId="3DE2B427" w:rsidR="005C14B0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102 u l-Artikolu 105(1) tar-Regolament (UE) Nru 575/2013 flimkien mal-Artikolu 338(2) u (3) ta’ dak ir-Regolament (il-pożizzjonijiet assenjati għall-Portafoll tan-Negozjar ta’ Korrelazzjoni)</w:t>
            </w:r>
          </w:p>
          <w:p w14:paraId="70FB0860" w14:textId="54994400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Rigward id-distinzjoni bejn pożizzjonijiet twal u qosra, applikabbli wkoll għal dawn il-pożizzjonijiet grossi, ara l-Artikolu 328(2) tar-Regolament (UE) Nru 575/2013.</w:t>
            </w:r>
          </w:p>
        </w:tc>
      </w:tr>
      <w:tr w:rsidR="00C55547" w:rsidRPr="002D60D7" w14:paraId="3641769F" w14:textId="77777777" w:rsidTr="00E10B85">
        <w:tc>
          <w:tcPr>
            <w:tcW w:w="1016" w:type="dxa"/>
          </w:tcPr>
          <w:p w14:paraId="04DBC56E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0030-0040</w:t>
            </w:r>
          </w:p>
        </w:tc>
        <w:tc>
          <w:tcPr>
            <w:tcW w:w="7874" w:type="dxa"/>
          </w:tcPr>
          <w:p w14:paraId="7E31C35B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POŻIZZJONIJIET IMNAQQSIN MINN FONDI PROPRJI (TWAL U QOSRA)</w:t>
            </w:r>
          </w:p>
          <w:p w14:paraId="56207551" w14:textId="0069D39B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253 tar-Regolament (UE) Nru 575/2013 </w:t>
            </w:r>
          </w:p>
        </w:tc>
      </w:tr>
      <w:tr w:rsidR="00C55547" w:rsidRPr="002D60D7" w14:paraId="6E312180" w14:textId="77777777" w:rsidTr="00E10B85">
        <w:tc>
          <w:tcPr>
            <w:tcW w:w="1016" w:type="dxa"/>
          </w:tcPr>
          <w:p w14:paraId="08709592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0050-0060</w:t>
            </w:r>
          </w:p>
        </w:tc>
        <w:tc>
          <w:tcPr>
            <w:tcW w:w="7874" w:type="dxa"/>
          </w:tcPr>
          <w:p w14:paraId="6226B36A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POŻIZZJONIJIET NETTI (TWAL U QOSRA)</w:t>
            </w:r>
          </w:p>
          <w:p w14:paraId="01BDDE40" w14:textId="76E789A7" w:rsidR="005C14B0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L-Artikoli 327, 328, 329 u 334 tar-Regolament (UE) Nru 575/2013 </w:t>
            </w:r>
          </w:p>
          <w:p w14:paraId="6C03F093" w14:textId="3D25FE7B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Rigward id-distinzjoni bejn Pożizzjonijiet twal u qosra ara l-Artikolu 328(2) ta’ dak ir-Regolament.</w:t>
            </w:r>
          </w:p>
        </w:tc>
      </w:tr>
      <w:tr w:rsidR="00C55547" w:rsidRPr="002D60D7" w14:paraId="6F83AB99" w14:textId="77777777" w:rsidTr="00E10B85">
        <w:tc>
          <w:tcPr>
            <w:tcW w:w="1016" w:type="dxa"/>
          </w:tcPr>
          <w:p w14:paraId="6DDF2435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0071-0097</w:t>
            </w:r>
          </w:p>
        </w:tc>
        <w:tc>
          <w:tcPr>
            <w:tcW w:w="7874" w:type="dxa"/>
          </w:tcPr>
          <w:p w14:paraId="247CF712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DIŻAGGREGAZZJONI TAL-POŻIZZJONIJIET NETTI SKONT IL-PONDERAZZJONI TAR-RISKJU</w:t>
            </w:r>
          </w:p>
          <w:p w14:paraId="691F4414" w14:textId="75A08501" w:rsidR="00C55547" w:rsidRPr="002D60D7" w:rsidRDefault="00133396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L-Artikoli 259 sa 262, l-Artikolu 263, it-Tabelli 1 u 2, l-Artikolu 264, it-Tabelli 3 u 4 u l-Artikolu 266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495D2FD0" w14:textId="77777777" w:rsidTr="00E10B85">
        <w:tc>
          <w:tcPr>
            <w:tcW w:w="1016" w:type="dxa"/>
          </w:tcPr>
          <w:p w14:paraId="295B01D9" w14:textId="77777777" w:rsidR="00C55547" w:rsidRPr="002D60D7" w:rsidRDefault="002F79EA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0402-0406</w:t>
            </w:r>
          </w:p>
        </w:tc>
        <w:tc>
          <w:tcPr>
            <w:tcW w:w="7874" w:type="dxa"/>
          </w:tcPr>
          <w:p w14:paraId="23629FA6" w14:textId="77777777" w:rsidR="00C55547" w:rsidRPr="002D60D7" w:rsidRDefault="00543964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DIŻAGGREGAZZJONI TAL-POŻIZZJONIJIET NETTI SKONT L-APPROĊĊI</w:t>
            </w:r>
          </w:p>
          <w:p w14:paraId="19937787" w14:textId="465ADE79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L-Artikolu 254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 </w:t>
            </w:r>
          </w:p>
        </w:tc>
      </w:tr>
      <w:tr w:rsidR="00C55547" w:rsidRPr="002D60D7" w14:paraId="18FE6247" w14:textId="77777777" w:rsidTr="00E10B85">
        <w:tc>
          <w:tcPr>
            <w:tcW w:w="1016" w:type="dxa"/>
          </w:tcPr>
          <w:p w14:paraId="17001A21" w14:textId="77777777" w:rsidR="00C55547" w:rsidRPr="002D60D7" w:rsidRDefault="002F79EA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0402</w:t>
            </w:r>
          </w:p>
        </w:tc>
        <w:tc>
          <w:tcPr>
            <w:tcW w:w="7874" w:type="dxa"/>
          </w:tcPr>
          <w:p w14:paraId="79F7161D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SEC-IRBA</w:t>
            </w:r>
          </w:p>
          <w:p w14:paraId="1718443C" w14:textId="27159510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jc w:val="lef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L-Artikoli 259 u 260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35656008" w14:textId="77777777" w:rsidTr="00E10B85">
        <w:tc>
          <w:tcPr>
            <w:tcW w:w="1016" w:type="dxa"/>
          </w:tcPr>
          <w:p w14:paraId="720D0546" w14:textId="77777777" w:rsidR="00C55547" w:rsidRPr="002D60D7" w:rsidRDefault="002F79EA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0403</w:t>
            </w:r>
          </w:p>
        </w:tc>
        <w:tc>
          <w:tcPr>
            <w:tcW w:w="7874" w:type="dxa"/>
          </w:tcPr>
          <w:p w14:paraId="78903335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SEC-SA</w:t>
            </w:r>
          </w:p>
          <w:p w14:paraId="4F095DEE" w14:textId="02044DC6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jc w:val="lef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L-Artikoli 261 u 262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7B54B7CF" w14:textId="77777777" w:rsidTr="00E10B85">
        <w:tc>
          <w:tcPr>
            <w:tcW w:w="1016" w:type="dxa"/>
          </w:tcPr>
          <w:p w14:paraId="0D21F451" w14:textId="77777777" w:rsidR="00C55547" w:rsidRPr="002D60D7" w:rsidRDefault="002F79EA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0404</w:t>
            </w:r>
          </w:p>
        </w:tc>
        <w:tc>
          <w:tcPr>
            <w:tcW w:w="7874" w:type="dxa"/>
          </w:tcPr>
          <w:p w14:paraId="6AA67FFF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SEC-IRBA</w:t>
            </w:r>
          </w:p>
          <w:p w14:paraId="108938CD" w14:textId="7A2858ED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jc w:val="lef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L-Artikoli 263 u 264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7979A32D" w14:textId="77777777" w:rsidTr="00E10B85">
        <w:tc>
          <w:tcPr>
            <w:tcW w:w="1016" w:type="dxa"/>
          </w:tcPr>
          <w:p w14:paraId="7C1C67E6" w14:textId="77777777" w:rsidR="00C55547" w:rsidRPr="002D60D7" w:rsidRDefault="002F79EA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0405</w:t>
            </w:r>
          </w:p>
        </w:tc>
        <w:tc>
          <w:tcPr>
            <w:tcW w:w="7874" w:type="dxa"/>
          </w:tcPr>
          <w:p w14:paraId="68CACB61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APPROĊĊ TA’ VALUTAZZJONI INTERNA</w:t>
            </w:r>
          </w:p>
          <w:p w14:paraId="46E92693" w14:textId="2A1B6CC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jc w:val="lef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L-Artikoli 254 u 265 u l-Artikolu 266(5)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A97C62" w:rsidRPr="002D60D7" w14:paraId="412C0D2A" w14:textId="77777777" w:rsidTr="00E10B85">
        <w:tc>
          <w:tcPr>
            <w:tcW w:w="1016" w:type="dxa"/>
          </w:tcPr>
          <w:p w14:paraId="184EAC6C" w14:textId="26696219" w:rsidR="00A97C62" w:rsidRPr="002D60D7" w:rsidRDefault="00A97C62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0900</w:t>
            </w:r>
          </w:p>
        </w:tc>
        <w:tc>
          <w:tcPr>
            <w:tcW w:w="7874" w:type="dxa"/>
          </w:tcPr>
          <w:p w14:paraId="33E51780" w14:textId="77777777" w:rsidR="00A97C62" w:rsidRPr="002D60D7" w:rsidRDefault="00A97C62" w:rsidP="004C445F">
            <w:pPr>
              <w:suppressAutoHyphens/>
              <w:spacing w:before="0" w:after="0"/>
              <w:jc w:val="left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TRATTAMENT SPEĊIFIKU GĦAL SEGMENTI SUPERJURI TA’ TITOLIZZAZZJONIJIET NPE KWALIFIKANTI</w:t>
            </w:r>
          </w:p>
          <w:p w14:paraId="1D397AE3" w14:textId="76C348BD" w:rsidR="00A97C62" w:rsidRPr="002D60D7" w:rsidRDefault="00A97C62" w:rsidP="004C445F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L-Artikolu 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t>269a</w:t>
            </w:r>
            <w:r>
              <w:rPr>
                <w:rFonts w:ascii="Times New Roman" w:hAnsi="Times New Roman"/>
                <w:sz w:val="24"/>
              </w:rPr>
              <w:t>(3) tar-Regolament (UE) Nru 575/2013</w:t>
            </w:r>
          </w:p>
        </w:tc>
      </w:tr>
      <w:tr w:rsidR="00C55547" w:rsidRPr="002D60D7" w14:paraId="5C0D49CC" w14:textId="77777777" w:rsidTr="00E10B85">
        <w:tc>
          <w:tcPr>
            <w:tcW w:w="1016" w:type="dxa"/>
          </w:tcPr>
          <w:p w14:paraId="4A75E404" w14:textId="77777777" w:rsidR="00C55547" w:rsidRPr="002D60D7" w:rsidRDefault="002F79EA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0406</w:t>
            </w:r>
          </w:p>
        </w:tc>
        <w:tc>
          <w:tcPr>
            <w:tcW w:w="7874" w:type="dxa"/>
          </w:tcPr>
          <w:p w14:paraId="27B9523C" w14:textId="26593451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OĦRAJN (RW=1 250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%)</w:t>
            </w:r>
          </w:p>
          <w:p w14:paraId="0B94870A" w14:textId="0A4BBAC5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jc w:val="lef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L-Artikolu 254(7) </w:t>
            </w:r>
            <w:r>
              <w:rPr>
                <w:rFonts w:ascii="Times New Roman" w:hAnsi="Times New Roman"/>
                <w:sz w:val="24"/>
              </w:rPr>
              <w:t>tar-Regolament (UE) Nru 575/2013</w:t>
            </w:r>
          </w:p>
        </w:tc>
      </w:tr>
      <w:tr w:rsidR="00C55547" w:rsidRPr="002D60D7" w14:paraId="16A48520" w14:textId="77777777" w:rsidTr="00E10B85">
        <w:tc>
          <w:tcPr>
            <w:tcW w:w="1016" w:type="dxa"/>
          </w:tcPr>
          <w:p w14:paraId="04D4F5AC" w14:textId="77777777" w:rsidR="00C55547" w:rsidRPr="002D60D7" w:rsidRDefault="002F79EA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0410-0420</w:t>
            </w:r>
          </w:p>
        </w:tc>
        <w:tc>
          <w:tcPr>
            <w:tcW w:w="7874" w:type="dxa"/>
          </w:tcPr>
          <w:p w14:paraId="78E183CC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QABEL IL-LIMITU MASSIMU - POŻIZZJONIJIET PONDERATI NETTI TWAL / QOSRA</w:t>
            </w:r>
          </w:p>
          <w:p w14:paraId="7E8A31C6" w14:textId="7928DA0B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338 tar-Regolament (UE) Nru 575/2013, mingħajr ma titqies id-diskrezzjoni tal-Artikolu 335 ta’ dak ir-Regolament </w:t>
            </w:r>
          </w:p>
        </w:tc>
      </w:tr>
      <w:tr w:rsidR="00C55547" w:rsidRPr="002D60D7" w14:paraId="566ACCB3" w14:textId="77777777" w:rsidTr="00E10B85">
        <w:tc>
          <w:tcPr>
            <w:tcW w:w="1016" w:type="dxa"/>
          </w:tcPr>
          <w:p w14:paraId="4093CA68" w14:textId="77777777" w:rsidR="00C55547" w:rsidRPr="002D60D7" w:rsidRDefault="002F79EA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0430-0440</w:t>
            </w:r>
          </w:p>
        </w:tc>
        <w:tc>
          <w:tcPr>
            <w:tcW w:w="7874" w:type="dxa"/>
          </w:tcPr>
          <w:p w14:paraId="00C8D0F3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WARA L-LIMITU MASSIMU - POŻIZZJONIJIET PONDERATI NETTI TWAL / QOSRA</w:t>
            </w:r>
          </w:p>
          <w:p w14:paraId="3304B399" w14:textId="2F41CA57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338 tar-Regolament (UE) Nru 575/2013, filwaqt li titqies id-diskrezzjoni tal-Artikolu 335 ta’ dak ir-Regolament </w:t>
            </w:r>
          </w:p>
        </w:tc>
      </w:tr>
      <w:tr w:rsidR="00C55547" w:rsidRPr="002D60D7" w14:paraId="23063B74" w14:textId="77777777" w:rsidTr="00E10B85">
        <w:tc>
          <w:tcPr>
            <w:tcW w:w="1016" w:type="dxa"/>
          </w:tcPr>
          <w:p w14:paraId="5A3BC562" w14:textId="77777777" w:rsidR="00C55547" w:rsidRPr="002D60D7" w:rsidRDefault="002F79EA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0450</w:t>
            </w:r>
          </w:p>
        </w:tc>
        <w:tc>
          <w:tcPr>
            <w:tcW w:w="7874" w:type="dxa"/>
          </w:tcPr>
          <w:p w14:paraId="4210145F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REKWIŻITI TA’ FONDI PROPRJI TOTALI</w:t>
            </w:r>
          </w:p>
          <w:p w14:paraId="58A6824C" w14:textId="7AE8FACA" w:rsidR="00733F21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Ir-rekwiżit ta’ fondi proprji huwa ddeterminat bħala l-akbar wieħed minn kwalunkwe wieħed minn dawn li ġejjin:</w:t>
            </w:r>
          </w:p>
          <w:p w14:paraId="6F610485" w14:textId="33CC9A69" w:rsidR="00733F21" w:rsidRPr="002D60D7" w:rsidRDefault="00A92865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 l-allokazzjoni għar-riskju speċifiku li tkun tapplika biss għall-pożizzjonijiet twal netti (il-kolonna 0430);</w:t>
            </w:r>
          </w:p>
          <w:p w14:paraId="7DEA5D32" w14:textId="370772D1" w:rsidR="00C55547" w:rsidRPr="002D60D7" w:rsidRDefault="00A92865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 l-allokazzjoni għar-riskju speċifiku li tkun tapplika biss għall-pożizzjonijiet qosra netti (il-kolonna 0440).</w:t>
            </w:r>
          </w:p>
        </w:tc>
      </w:tr>
      <w:tr w:rsidR="00A92865" w:rsidRPr="002D60D7" w14:paraId="17D4431B" w14:textId="77777777" w:rsidTr="00E10B85">
        <w:tc>
          <w:tcPr>
            <w:tcW w:w="1016" w:type="dxa"/>
          </w:tcPr>
          <w:p w14:paraId="3DE8C69F" w14:textId="77777777" w:rsidR="00A92865" w:rsidRPr="002D60D7" w:rsidRDefault="00A92865" w:rsidP="004C445F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7874" w:type="dxa"/>
          </w:tcPr>
          <w:p w14:paraId="26189336" w14:textId="77777777" w:rsidR="00A92865" w:rsidRPr="002D60D7" w:rsidRDefault="00A92865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</w:p>
        </w:tc>
      </w:tr>
    </w:tbl>
    <w:p w14:paraId="4123A762" w14:textId="77777777" w:rsidR="00C55547" w:rsidRPr="002D60D7" w:rsidRDefault="00C55547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eastAsia="nl-BE"/>
        </w:rPr>
      </w:pPr>
    </w:p>
    <w:p w14:paraId="0FD93711" w14:textId="77777777" w:rsidR="00C55547" w:rsidRPr="002D60D7" w:rsidRDefault="00C55547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eastAsia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8060"/>
      </w:tblGrid>
      <w:tr w:rsidR="00C55547" w:rsidRPr="002D60D7" w14:paraId="0C05A0C6" w14:textId="77777777" w:rsidTr="00E10B85">
        <w:trPr>
          <w:trHeight w:val="642"/>
        </w:trPr>
        <w:tc>
          <w:tcPr>
            <w:tcW w:w="9212" w:type="dxa"/>
            <w:gridSpan w:val="2"/>
            <w:shd w:val="clear" w:color="auto" w:fill="CCCCCC"/>
          </w:tcPr>
          <w:p w14:paraId="1B224033" w14:textId="77777777" w:rsidR="00C55547" w:rsidRPr="002D60D7" w:rsidRDefault="00C55547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Ringieli</w:t>
            </w:r>
          </w:p>
        </w:tc>
      </w:tr>
      <w:tr w:rsidR="00C55547" w:rsidRPr="002D60D7" w14:paraId="51303CB0" w14:textId="77777777" w:rsidTr="00E10B85">
        <w:tc>
          <w:tcPr>
            <w:tcW w:w="1008" w:type="dxa"/>
          </w:tcPr>
          <w:p w14:paraId="4EF580E7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8204" w:type="dxa"/>
          </w:tcPr>
          <w:p w14:paraId="3B5F07DE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SKOPERTURI TOTALI</w:t>
            </w:r>
          </w:p>
          <w:p w14:paraId="47BDA358" w14:textId="43CE2ADE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L-ammont totali ta’ pożizzjonijiet pendenti (miżmumin fil-portafoll tan-negozjar ta’ korrelazzjoni) rrapportat mill-istituzzjoni li għandha r-rwol ta’ oriġinatur, investitur jew sponsor.</w:t>
            </w:r>
          </w:p>
        </w:tc>
      </w:tr>
      <w:tr w:rsidR="00C55547" w:rsidRPr="002D60D7" w14:paraId="4F9E3B66" w14:textId="77777777" w:rsidTr="00E10B85">
        <w:tc>
          <w:tcPr>
            <w:tcW w:w="1008" w:type="dxa"/>
          </w:tcPr>
          <w:p w14:paraId="4294FDFC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0020-0040</w:t>
            </w:r>
          </w:p>
        </w:tc>
        <w:tc>
          <w:tcPr>
            <w:tcW w:w="8204" w:type="dxa"/>
          </w:tcPr>
          <w:p w14:paraId="68E0826A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ORIĠINATUR</w:t>
            </w:r>
          </w:p>
          <w:p w14:paraId="07F7FC7F" w14:textId="691C5D11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4(1), il-punt (13), tar-Regolament (UE) Nru 575/2013 </w:t>
            </w:r>
          </w:p>
        </w:tc>
      </w:tr>
      <w:tr w:rsidR="00C55547" w:rsidRPr="002D60D7" w14:paraId="1113CFCE" w14:textId="77777777" w:rsidTr="00E10B85">
        <w:tc>
          <w:tcPr>
            <w:tcW w:w="1008" w:type="dxa"/>
          </w:tcPr>
          <w:p w14:paraId="045998CB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0050-0070</w:t>
            </w:r>
          </w:p>
        </w:tc>
        <w:tc>
          <w:tcPr>
            <w:tcW w:w="8204" w:type="dxa"/>
          </w:tcPr>
          <w:p w14:paraId="7C4743F6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INVESTITUR</w:t>
            </w:r>
          </w:p>
          <w:p w14:paraId="5507389D" w14:textId="574F527A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Istituzzjoni ta’ kreditu li jkollha pożizzjonijiet ta’ titolizzazzjoni fi tranżazzjoni ta’ titolizzazzjoni li fiha la hija oriġinatur, la sponsor u lanqas mutwant oriġinali</w:t>
            </w:r>
          </w:p>
        </w:tc>
      </w:tr>
      <w:tr w:rsidR="00C55547" w:rsidRPr="002D60D7" w14:paraId="3AE4557E" w14:textId="77777777" w:rsidTr="00E10B85">
        <w:tc>
          <w:tcPr>
            <w:tcW w:w="1008" w:type="dxa"/>
          </w:tcPr>
          <w:p w14:paraId="4017D379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0080-0100</w:t>
            </w:r>
          </w:p>
        </w:tc>
        <w:tc>
          <w:tcPr>
            <w:tcW w:w="8204" w:type="dxa"/>
          </w:tcPr>
          <w:p w14:paraId="6D18A74A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SPONSOR</w:t>
            </w:r>
          </w:p>
          <w:p w14:paraId="65D6B605" w14:textId="002B3FBA" w:rsidR="005C14B0" w:rsidRPr="002D60D7" w:rsidRDefault="00E64BFE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L-Artikolu 4(1), il-punt (14), tar-Regolament (UE) Nru 575/2013 </w:t>
            </w:r>
          </w:p>
          <w:p w14:paraId="7911CCA2" w14:textId="77777777" w:rsidR="00C55547" w:rsidRPr="002D60D7" w:rsidRDefault="005F3BBE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Sponsor li jittitolizza wkoll l-assi tiegħu stess għandu jimla r-ringieli tal-oriġinatur bl-informazzjoni rigward l-assi titolizzati tiegħu stess.</w:t>
            </w:r>
          </w:p>
        </w:tc>
      </w:tr>
      <w:tr w:rsidR="00C55547" w:rsidRPr="002D60D7" w14:paraId="5A0251A3" w14:textId="77777777" w:rsidTr="00E10B85">
        <w:tc>
          <w:tcPr>
            <w:tcW w:w="1008" w:type="dxa"/>
          </w:tcPr>
          <w:p w14:paraId="64B09950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0030, 0060 u 0090</w:t>
            </w:r>
          </w:p>
        </w:tc>
        <w:tc>
          <w:tcPr>
            <w:tcW w:w="8204" w:type="dxa"/>
          </w:tcPr>
          <w:p w14:paraId="65F68A65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POŻIZZJONIJIET TA’ TITOLIZZAZZJONI</w:t>
            </w:r>
          </w:p>
          <w:p w14:paraId="3E2839F4" w14:textId="5E373E76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Il-portafoll tan-negozjar ta’ korrelazzjoni għandu jinkludi titolizzazzjonijiet, derivattivi ta’ kreditu n-eżmu inadempjenti u possibbilment pożizzjonijiet oħrajn </w:t>
            </w:r>
            <w:r>
              <w:rPr>
                <w:rFonts w:ascii="Times New Roman" w:hAnsi="Times New Roman"/>
                <w:sz w:val="24"/>
              </w:rPr>
              <w:lastRenderedPageBreak/>
              <w:t>ta’ ħħeġġjar li jissodisfaw il-kriterji stabbiliti fl-Artikolu 338(2) u (3) tar-Regolament (UE) Nru 575/2013.</w:t>
            </w:r>
          </w:p>
          <w:p w14:paraId="284429BF" w14:textId="77777777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Id-derivattivi ta’ skoperturi titolizzati li jipprovdu sehem pro rata kif ukoll pożizzjonijiet li jiħħeġġjaw pożizzjonijiet PNK għandhom jiġu inklużi fir-ringiela “Pożizzjonijiet PNK oħrajn”.</w:t>
            </w:r>
          </w:p>
        </w:tc>
      </w:tr>
      <w:tr w:rsidR="00C55547" w:rsidRPr="002D60D7" w14:paraId="310FE06B" w14:textId="77777777" w:rsidTr="00E10B85">
        <w:tc>
          <w:tcPr>
            <w:tcW w:w="1008" w:type="dxa"/>
          </w:tcPr>
          <w:p w14:paraId="2602BE79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0110</w:t>
            </w:r>
          </w:p>
        </w:tc>
        <w:tc>
          <w:tcPr>
            <w:tcW w:w="8204" w:type="dxa"/>
          </w:tcPr>
          <w:p w14:paraId="5251DCC8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DERIVATTIVI TAL-KREDITU N-EŻMU INADEMPJENTI</w:t>
            </w:r>
          </w:p>
          <w:p w14:paraId="298FC0AB" w14:textId="5115C116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Id-derivattivi ta’ kreditu n-eżmu inadempjenti li huma ħħeġġjati b’derivattivi ta’ kreditu n-eżmu inadempjenti f’konformità mal-Artikolu 347 tar-Regolament (UE) Nru 575/2013 għandhom jiġu rapportati hawn it-tnejn li huma.</w:t>
            </w:r>
          </w:p>
          <w:p w14:paraId="0ADF3C10" w14:textId="08643021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L-oriġinatur, l-investitur u l-isponsor tal-pożizzjonijiet mhumiex idonei għad-derivattivi ta’ kreditu n-eżmu inadempjenti. Bħala konsegwenza, id-diżaggregazzjoni għall-pożizzjonijiet ta’ titolizzazzjoni ma għandhiex tkun prevista għad-derivattiv ta’ kreditu n-eżmu inadempjenti.</w:t>
            </w:r>
          </w:p>
        </w:tc>
      </w:tr>
      <w:tr w:rsidR="00C55547" w:rsidRPr="002D60D7" w14:paraId="3804EA7A" w14:textId="77777777" w:rsidTr="00E10B85">
        <w:tc>
          <w:tcPr>
            <w:tcW w:w="1008" w:type="dxa"/>
          </w:tcPr>
          <w:p w14:paraId="492141F6" w14:textId="77777777" w:rsidR="00C55547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0040, 0070, 0100 u 0120</w:t>
            </w:r>
          </w:p>
        </w:tc>
        <w:tc>
          <w:tcPr>
            <w:tcW w:w="8204" w:type="dxa"/>
          </w:tcPr>
          <w:p w14:paraId="1BEC5316" w14:textId="77777777" w:rsidR="00C55547" w:rsidRPr="002D60D7" w:rsidRDefault="00C55547" w:rsidP="004C445F">
            <w:pPr>
              <w:suppressAutoHyphens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POŻIZZJONIJIET PNK OĦRAJN</w:t>
            </w:r>
          </w:p>
          <w:p w14:paraId="543C28DD" w14:textId="77777777" w:rsidR="00C55547" w:rsidRPr="002D60D7" w:rsidRDefault="00C55547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Il-pożizzjonijiet li ġejjin huma inklużi: </w:t>
            </w:r>
          </w:p>
          <w:p w14:paraId="009DBFDC" w14:textId="71465A30" w:rsidR="002272E2" w:rsidRPr="002D60D7" w:rsidRDefault="00A92865" w:rsidP="00E172E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derivattivi ta’ skoperturi tat-titolizzazzjoni li jipprovdu sehem pro rata kif ukoll pożizzjonijiet li jiħħeġġjaw pożizzjonijiet PNK;</w:t>
            </w:r>
          </w:p>
          <w:p w14:paraId="6225E087" w14:textId="0E1CE11C" w:rsidR="002272E2" w:rsidRPr="002D60D7" w:rsidRDefault="00C55547" w:rsidP="00E172E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PNK iħħeġġjati b’derivattivi ta’ kreditu f’konformità mal-Artikolu 346 tar-Regolament (UE) Nru 575/2013;</w:t>
            </w:r>
          </w:p>
          <w:p w14:paraId="37D9C26F" w14:textId="118835A5" w:rsidR="00C55547" w:rsidRPr="002D60D7" w:rsidRDefault="00A92865" w:rsidP="00E172EA">
            <w:pPr>
              <w:pStyle w:val="ListParagraph"/>
              <w:numPr>
                <w:ilvl w:val="0"/>
                <w:numId w:val="31"/>
              </w:numPr>
              <w:tabs>
                <w:tab w:val="left" w:pos="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oħrajn li jissodisfaw l-Artikolu 338(3) tar-Regolament (UE) Nru 575/2013.</w:t>
            </w:r>
          </w:p>
        </w:tc>
      </w:tr>
    </w:tbl>
    <w:p w14:paraId="2FA40F1B" w14:textId="77777777" w:rsidR="000B0B09" w:rsidRPr="002D60D7" w:rsidRDefault="000B0B09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eastAsia="nl-BE"/>
        </w:rPr>
      </w:pPr>
    </w:p>
    <w:p w14:paraId="43E44EE8" w14:textId="0CB90CC5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94" w:name="_Toc262566429"/>
      <w:bookmarkStart w:id="95" w:name="_Toc295830005"/>
      <w:bookmarkStart w:id="96" w:name="_Toc308426682"/>
      <w:bookmarkStart w:id="97" w:name="_Toc310415066"/>
      <w:bookmarkStart w:id="98" w:name="_Toc360188401"/>
      <w:bookmarkStart w:id="99" w:name="_Toc473561041"/>
      <w:bookmarkStart w:id="100" w:name="_Toc210752971"/>
      <w:r>
        <w:rPr>
          <w:rFonts w:ascii="Times New Roman" w:hAnsi="Times New Roman"/>
          <w:sz w:val="24"/>
          <w:u w:val="none"/>
        </w:rPr>
        <w:t>5.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C 21.00 - Riskju tas-Suq: Approċċ Standardizzat għar-Riskju ta’ Pożizzjoni f’Ekwitajiet</w:t>
      </w:r>
      <w:bookmarkEnd w:id="94"/>
      <w:bookmarkEnd w:id="95"/>
      <w:bookmarkEnd w:id="96"/>
      <w:bookmarkEnd w:id="97"/>
      <w:bookmarkEnd w:id="98"/>
      <w:r>
        <w:rPr>
          <w:rFonts w:ascii="Times New Roman" w:hAnsi="Times New Roman"/>
          <w:sz w:val="24"/>
        </w:rPr>
        <w:t xml:space="preserve"> (MKR SA EQU)</w:t>
      </w:r>
      <w:bookmarkEnd w:id="99"/>
      <w:bookmarkEnd w:id="100"/>
    </w:p>
    <w:p w14:paraId="28B3FACA" w14:textId="344FF541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01" w:name="_Toc262566430"/>
      <w:bookmarkStart w:id="102" w:name="_Toc295830006"/>
      <w:bookmarkStart w:id="103" w:name="_Toc308426683"/>
      <w:bookmarkStart w:id="104" w:name="_Toc310415067"/>
      <w:bookmarkStart w:id="105" w:name="_Toc360188402"/>
      <w:bookmarkStart w:id="106" w:name="_Toc473561042"/>
      <w:bookmarkStart w:id="107" w:name="_Toc210752972"/>
      <w:r>
        <w:rPr>
          <w:rFonts w:ascii="Times New Roman" w:hAnsi="Times New Roman"/>
          <w:sz w:val="24"/>
          <w:u w:val="none"/>
        </w:rPr>
        <w:t>5.1.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Kummenti Ġenerali</w:t>
      </w:r>
      <w:bookmarkEnd w:id="101"/>
      <w:bookmarkEnd w:id="102"/>
      <w:bookmarkEnd w:id="103"/>
      <w:bookmarkEnd w:id="104"/>
      <w:bookmarkEnd w:id="105"/>
      <w:bookmarkEnd w:id="106"/>
      <w:bookmarkEnd w:id="107"/>
    </w:p>
    <w:p w14:paraId="1BA8EF6D" w14:textId="368B1B75" w:rsidR="000B0B09" w:rsidRPr="002D60D7" w:rsidRDefault="000B0B09" w:rsidP="00E172EA">
      <w:pPr>
        <w:pStyle w:val="InstructionsText2"/>
        <w:numPr>
          <w:ilvl w:val="0"/>
          <w:numId w:val="29"/>
        </w:numPr>
        <w:suppressAutoHyphens/>
      </w:pPr>
      <w:r>
        <w:t>Din il-formola teħtieġ informazzjoni dwar il-pożizzjonijiet u r-rekwiżiti korrispondenti ta’ fondi proprji għar-riskju ta’ pożizzjoni f’ekwitajiet miżmumin fil-portafoll tan-negozjar u trattati bl-Approċċ Standardizzat.</w:t>
      </w:r>
    </w:p>
    <w:p w14:paraId="3AF5EC7C" w14:textId="5CB07CA0" w:rsidR="00B828CC" w:rsidRPr="002D60D7" w:rsidRDefault="000B0B09" w:rsidP="00E172EA">
      <w:pPr>
        <w:pStyle w:val="InstructionsText2"/>
        <w:numPr>
          <w:ilvl w:val="0"/>
          <w:numId w:val="29"/>
        </w:numPr>
        <w:suppressAutoHyphens/>
      </w:pPr>
      <w:r>
        <w:t xml:space="preserve">Din il-formola għandha timtela b’mod separat għat-“Total”, flimkien ma’ lista statika predefinita tas-swieq li ġejjin: Il-Bulgarija, ir-Repubblika Ċeka, id-Danimarka, l-Eġittu, l-Ungerija, l-Iżlanda, il-Liechtenstein, in-Norveġja, il-Polonja, ir-Rumanija, l-Iżvezja, ir-Renju Unit, l-Albanija, il-Ġappun, l-Eks Repubblika Jugoslava tal-Maċedonja, il-Federazzjoni Russa, is-Serbja, l-Iżvizzera, it-Turkija, l-Ukrajna, l-Istati Uniti tal-Amerka, iż-Żona tal-Euro flimkien ma’ formola residwa waħda għas-swieq kollha l-oħrajn. Għal dan ir-rekwiżit ta’ rapportar, it-terminu “suq” għandu jinqara bħala “pajjiż” (ħlief għal </w:t>
      </w:r>
      <w:r>
        <w:lastRenderedPageBreak/>
        <w:t>pajjiżi li huma parti miż-żona tal-euro, ara r-Regolament Delegat tal-Kummissjoni (UE) Nru 525/2014</w:t>
      </w:r>
      <w:r w:rsidR="00680ADA">
        <w:rPr>
          <w:rStyle w:val="FootnoteReference"/>
        </w:rPr>
        <w:footnoteReference w:id="2"/>
      </w:r>
      <w:r>
        <w:t>).</w:t>
      </w:r>
    </w:p>
    <w:p w14:paraId="077E1A41" w14:textId="7E9E2DA4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08" w:name="_Toc262566431"/>
      <w:bookmarkStart w:id="109" w:name="_Toc295830007"/>
      <w:bookmarkStart w:id="110" w:name="_Toc308426684"/>
      <w:bookmarkStart w:id="111" w:name="_Toc310415068"/>
      <w:bookmarkStart w:id="112" w:name="_Toc360188403"/>
      <w:bookmarkStart w:id="113" w:name="_Toc473561043"/>
      <w:bookmarkStart w:id="114" w:name="_Toc210752973"/>
      <w:r>
        <w:rPr>
          <w:rFonts w:ascii="Times New Roman" w:hAnsi="Times New Roman"/>
          <w:sz w:val="24"/>
          <w:u w:val="none"/>
        </w:rPr>
        <w:t>5.2.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Struzzjonijiet li jikkonċernaw pożizzjonijiet speċifiċi</w:t>
      </w:r>
      <w:bookmarkEnd w:id="108"/>
      <w:bookmarkEnd w:id="109"/>
      <w:bookmarkEnd w:id="110"/>
      <w:bookmarkEnd w:id="111"/>
      <w:bookmarkEnd w:id="112"/>
      <w:bookmarkEnd w:id="113"/>
      <w:bookmarkEnd w:id="1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874"/>
      </w:tblGrid>
      <w:tr w:rsidR="000B0B09" w:rsidRPr="002D60D7" w14:paraId="2ADAFC61" w14:textId="77777777" w:rsidTr="00672D2A">
        <w:trPr>
          <w:trHeight w:val="626"/>
        </w:trPr>
        <w:tc>
          <w:tcPr>
            <w:tcW w:w="8862" w:type="dxa"/>
            <w:gridSpan w:val="2"/>
            <w:shd w:val="clear" w:color="auto" w:fill="CCCCCC"/>
          </w:tcPr>
          <w:p w14:paraId="0BC1F4DA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Kolonni</w:t>
            </w:r>
          </w:p>
        </w:tc>
      </w:tr>
      <w:tr w:rsidR="000B0B09" w:rsidRPr="002D60D7" w14:paraId="1B6DCA2D" w14:textId="77777777" w:rsidTr="00672D2A">
        <w:tc>
          <w:tcPr>
            <w:tcW w:w="988" w:type="dxa"/>
          </w:tcPr>
          <w:p w14:paraId="2E10DD05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0010-0020</w:t>
            </w:r>
          </w:p>
        </w:tc>
        <w:tc>
          <w:tcPr>
            <w:tcW w:w="7874" w:type="dxa"/>
          </w:tcPr>
          <w:p w14:paraId="57FBE31B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IL-POŻIZZJONIJIET KOLLHA (TWAL U QOSRA)</w:t>
            </w:r>
          </w:p>
          <w:p w14:paraId="754457ED" w14:textId="6411188D" w:rsidR="005C14B0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102 u l-Artikolu 105(1) tar-Regolament (UE) Nru 575/2013. </w:t>
            </w:r>
          </w:p>
          <w:p w14:paraId="59EE061F" w14:textId="31066C76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Dawk huma pożizzjonijiet grossi u mhux innettjati skont l-istrumenti, iżda jeskludu pożizzjonijiet sottoskritti jew subsottoskritti minn partijiet terzi kif imsemmi fl-Artikolu 345(1), l-ewwel subparagrafu, it-tieni sentenza ta’ dak ir-Regolament. </w:t>
            </w:r>
          </w:p>
        </w:tc>
      </w:tr>
      <w:tr w:rsidR="000B0B09" w:rsidRPr="002D60D7" w14:paraId="518A8218" w14:textId="77777777" w:rsidTr="00672D2A">
        <w:tc>
          <w:tcPr>
            <w:tcW w:w="988" w:type="dxa"/>
          </w:tcPr>
          <w:p w14:paraId="5DF1DDF0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0030-0040 </w:t>
            </w:r>
          </w:p>
        </w:tc>
        <w:tc>
          <w:tcPr>
            <w:tcW w:w="7874" w:type="dxa"/>
          </w:tcPr>
          <w:p w14:paraId="22DC25DE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NETTI (TWAL U QOSRA)</w:t>
            </w:r>
          </w:p>
          <w:p w14:paraId="72A57BC7" w14:textId="1B6E0BBC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L-Artikoli 327, 329, 332, 341 u 345 tar-Regolament (UE) Nru 575/2013. </w:t>
            </w:r>
          </w:p>
        </w:tc>
      </w:tr>
      <w:tr w:rsidR="000B0B09" w:rsidRPr="002D60D7" w14:paraId="1ED40A34" w14:textId="77777777" w:rsidTr="00672D2A">
        <w:tc>
          <w:tcPr>
            <w:tcW w:w="988" w:type="dxa"/>
          </w:tcPr>
          <w:p w14:paraId="49ADB5D9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874" w:type="dxa"/>
          </w:tcPr>
          <w:p w14:paraId="28262B96" w14:textId="77777777" w:rsidR="000B0B09" w:rsidRPr="002D60D7" w:rsidRDefault="000B0B09" w:rsidP="004C445F">
            <w:pPr>
              <w:tabs>
                <w:tab w:val="left" w:pos="579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SOĠĠETTI GĦAL ALLOKAZZJONI TA’ KAPITAL</w:t>
            </w:r>
          </w:p>
          <w:p w14:paraId="5B62E698" w14:textId="1711E988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Dawk il-pożizzjonijiet netti li, f’konformità mal-approċċi differenti kkunsidrati fil-Parti Tlieta, it-Titolu IV, il-Kapitolu 2 tar-Regolament (UE) Nru 575/2013, jirċievu allokazzjoni ta’ kapital. L-allokazzjoni ta’ kapital għandha tiġi kkalkolata għal kull suq nazzjonali b’mod separat. Il-pożizzjonijiet f’futuri fuq l-indiċi tal-borża kif imsemmi fl-Artikolu 344(4), it-tieni sentenza tar-Regolament (UE) Nru 575/2013 ma għandhomx jiġu inklużi f’din il-kolonna.</w:t>
            </w:r>
          </w:p>
          <w:p w14:paraId="7C352B88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57DD60D2" w14:textId="77777777" w:rsidTr="00672D2A">
        <w:tc>
          <w:tcPr>
            <w:tcW w:w="988" w:type="dxa"/>
          </w:tcPr>
          <w:p w14:paraId="479821DD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874" w:type="dxa"/>
          </w:tcPr>
          <w:p w14:paraId="3258053C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REKWIŻITI TA’ FONDI PROPRJI</w:t>
            </w:r>
          </w:p>
          <w:p w14:paraId="75CDA27D" w14:textId="087571B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Ir-rekwiżit ta’ fondi proprji f’konformità mal-Parti Tlieta, it-Titolu IV, il-Kapitolu 2 tar-Regolament (UE) Nru 575/2013 għal kwalunkwe pożizzjoni rilevanti</w:t>
            </w:r>
          </w:p>
          <w:p w14:paraId="6CDF917D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62F4C373" w14:textId="77777777" w:rsidTr="00672D2A">
        <w:tc>
          <w:tcPr>
            <w:tcW w:w="988" w:type="dxa"/>
          </w:tcPr>
          <w:p w14:paraId="62D82E3B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874" w:type="dxa"/>
          </w:tcPr>
          <w:p w14:paraId="1A727463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SKOPERTURA TOTALI GĦAR-RISKJU</w:t>
            </w:r>
          </w:p>
          <w:p w14:paraId="33E7C378" w14:textId="4FC9A55B" w:rsidR="00E64BFE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92(6), il-punt (b), tar-Regolament (UE) Nru 575/2013. </w:t>
            </w:r>
          </w:p>
          <w:p w14:paraId="5D42B3B3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Riżultat tal-multiplikazzjoni tar-rekwiżiti ta’ fondi proprji bi 12,5. </w:t>
            </w:r>
          </w:p>
        </w:tc>
      </w:tr>
    </w:tbl>
    <w:p w14:paraId="62FB026B" w14:textId="77777777" w:rsidR="000B0B09" w:rsidRPr="002D60D7" w:rsidRDefault="000B0B09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lang w:eastAsia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8060"/>
      </w:tblGrid>
      <w:tr w:rsidR="000B0B09" w:rsidRPr="002D60D7" w14:paraId="4775591D" w14:textId="77777777" w:rsidTr="00672D2A">
        <w:trPr>
          <w:trHeight w:val="662"/>
        </w:trPr>
        <w:tc>
          <w:tcPr>
            <w:tcW w:w="9212" w:type="dxa"/>
            <w:gridSpan w:val="2"/>
            <w:shd w:val="clear" w:color="auto" w:fill="CCCCCC"/>
          </w:tcPr>
          <w:p w14:paraId="5298B570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Ringieli</w:t>
            </w:r>
          </w:p>
        </w:tc>
      </w:tr>
      <w:tr w:rsidR="000B0B09" w:rsidRPr="002D60D7" w14:paraId="7546B05C" w14:textId="77777777" w:rsidTr="00672D2A">
        <w:tc>
          <w:tcPr>
            <w:tcW w:w="1008" w:type="dxa"/>
          </w:tcPr>
          <w:p w14:paraId="7BE875B0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0010-0130</w:t>
            </w:r>
          </w:p>
        </w:tc>
        <w:tc>
          <w:tcPr>
            <w:tcW w:w="8204" w:type="dxa"/>
          </w:tcPr>
          <w:p w14:paraId="1FF7DE12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EKWITAJIET FIL-PORTAFOLL TAN-NEGOZJAR</w:t>
            </w:r>
          </w:p>
          <w:p w14:paraId="030F1935" w14:textId="785DC9DE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Rekwiżiti ta’ fondi proprji għar-riskju ta’ pożizzjoni kif imsemmi fl-Artikolu 92(3), il-punt (b)(i), tar-Regolament (UE) Nru 575/2013 u l-Parti Tlieta, it-Titolu IV, il-Kapitolu 2, it-Taqsima 3 ta’ dak ir-Regolament</w:t>
            </w:r>
          </w:p>
        </w:tc>
      </w:tr>
      <w:tr w:rsidR="000B0B09" w:rsidRPr="002D60D7" w14:paraId="06FCC7F1" w14:textId="77777777" w:rsidTr="00672D2A">
        <w:tc>
          <w:tcPr>
            <w:tcW w:w="1008" w:type="dxa"/>
          </w:tcPr>
          <w:p w14:paraId="33E8BCC6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0020-0040</w:t>
            </w:r>
          </w:p>
        </w:tc>
        <w:tc>
          <w:tcPr>
            <w:tcW w:w="8204" w:type="dxa"/>
          </w:tcPr>
          <w:p w14:paraId="029ED25F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RISKJU ĠENERALI</w:t>
            </w:r>
          </w:p>
          <w:p w14:paraId="21F94335" w14:textId="41165158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Pożizzjonijiet f’ekwitajiet soġġetti għal riskju ġenerali (l-Artikolu 343 tar-Regolament (UE) Nru 575/2013) u r-rekwiżit korrispondenti ta’ fondi proprji tagħhom f’konformità mal-Parti Tlieta, it-Titolu IV, il-Kapitolu 2, it-Taqsima 3 ta’ dak ir-Regolament </w:t>
            </w:r>
          </w:p>
          <w:p w14:paraId="729400AD" w14:textId="77777777" w:rsidR="001E0C80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Iż-żewġ diżaggregazzjonijiet (ir-ringieli 0021/0022 kif ukoll ir-ringieli 0030/0040) huma diżaggregazzjoni relatata mal-pożizzjonijiet kollha soġġetti għal riskju ġenerali.</w:t>
            </w:r>
          </w:p>
          <w:p w14:paraId="32EAD513" w14:textId="77777777" w:rsidR="004E2725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Ir-ringieli 0021 u 0022 jitolbu informazzjoni dwar id-diżaggregazzjoni skont l-istrumenti. </w:t>
            </w:r>
          </w:p>
          <w:p w14:paraId="75FD06DA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Hija biss id-diżaggregazzjoni fir-ringieli 0030 u 0040 li għandha tintuża bħala bażi għall-kalkolu tar-rekwiżiti ta’ fondi proprji.</w:t>
            </w:r>
          </w:p>
        </w:tc>
      </w:tr>
      <w:tr w:rsidR="000B0B09" w:rsidRPr="002D60D7" w14:paraId="7E2E7066" w14:textId="77777777" w:rsidTr="00672D2A">
        <w:tc>
          <w:tcPr>
            <w:tcW w:w="1008" w:type="dxa"/>
          </w:tcPr>
          <w:p w14:paraId="2A8F2E03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0021</w:t>
            </w:r>
          </w:p>
        </w:tc>
        <w:tc>
          <w:tcPr>
            <w:tcW w:w="8204" w:type="dxa"/>
          </w:tcPr>
          <w:p w14:paraId="51E4EB2D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Derivattivi</w:t>
            </w:r>
          </w:p>
          <w:p w14:paraId="561EFF21" w14:textId="424FAD2D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Id-derivattivi inklużi fil-kalkolu tar-riskju ta’ ekwità tal-pożizzjonijiet tal-portafoll tan-negozjar li jqisu l-Artikoli 329 u 332 tar-Regolament (UE) Nru 575/2013, meta applikabbli</w:t>
            </w:r>
          </w:p>
        </w:tc>
      </w:tr>
      <w:tr w:rsidR="000B0B09" w:rsidRPr="002D60D7" w14:paraId="70CC2A6A" w14:textId="77777777" w:rsidTr="00672D2A">
        <w:tc>
          <w:tcPr>
            <w:tcW w:w="1008" w:type="dxa"/>
          </w:tcPr>
          <w:p w14:paraId="569AE9F8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0022</w:t>
            </w:r>
          </w:p>
        </w:tc>
        <w:tc>
          <w:tcPr>
            <w:tcW w:w="8204" w:type="dxa"/>
          </w:tcPr>
          <w:p w14:paraId="100EC51C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Assi u obbligazzjonijiet oħra</w:t>
            </w:r>
          </w:p>
          <w:p w14:paraId="21AC79DF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Strumenti oħrajn għajr id-derivattivi inklużi fil-kalkolu tar-riskju ta’ ekwità ta’ pożizzjonijiet dwar il-kotba tan-negozjar. </w:t>
            </w:r>
          </w:p>
        </w:tc>
      </w:tr>
      <w:tr w:rsidR="000B0B09" w:rsidRPr="002D60D7" w14:paraId="2ECBC519" w14:textId="77777777" w:rsidTr="00672D2A">
        <w:tc>
          <w:tcPr>
            <w:tcW w:w="1008" w:type="dxa"/>
          </w:tcPr>
          <w:p w14:paraId="63840C82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8204" w:type="dxa"/>
          </w:tcPr>
          <w:p w14:paraId="5BE0B58F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Futuri fuq l-indiċi tal-borża negozjati fil-borża diversifikati sew u soġġetti għal approċċ partikolari</w:t>
            </w:r>
          </w:p>
          <w:p w14:paraId="56A22316" w14:textId="77777777" w:rsidR="005C14B0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Futuri fuq l-indiċi tal-borża nnegozjati fil-borża diversifikati b’mod wiesa’ u soġġetti għal approċċ partikolari f’konformità mar-Regolament ta’ Implimentazzjoni tal-Kummissjoni (UE) Nru 945/2014</w:t>
            </w:r>
            <w:r>
              <w:rPr>
                <w:rStyle w:val="FootnoteReference"/>
              </w:rPr>
              <w:footnoteReference w:id="3"/>
            </w:r>
          </w:p>
          <w:p w14:paraId="2528F1AA" w14:textId="103B7503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Dawk il-pożizzjonijiet għandhom ikunu soġġetti biss għal riskju ġenerali u, għaldaqstant, ma għandhomx jiġu rrapportati fir-ringiela 0050.</w:t>
            </w:r>
          </w:p>
        </w:tc>
      </w:tr>
      <w:tr w:rsidR="000B0B09" w:rsidRPr="002D60D7" w14:paraId="132F7A31" w14:textId="77777777" w:rsidTr="00672D2A">
        <w:tc>
          <w:tcPr>
            <w:tcW w:w="1008" w:type="dxa"/>
          </w:tcPr>
          <w:p w14:paraId="5A552EB7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8204" w:type="dxa"/>
          </w:tcPr>
          <w:p w14:paraId="10EE0C22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Ekwitajiet oħrajn minbarra l-futuri fuq l-indiċi tal-borża negozjati fil-borża diversifikati sew</w:t>
            </w:r>
          </w:p>
          <w:p w14:paraId="17542C2D" w14:textId="5412BB06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oħra f’ekwitajiet soġġetti għal riskju speċifiku u r-rekwiżiti korrispondenti ta’ fondi proprji f’konformità mal-Artikolu 343 tar-Regolament (UE) Nru 575/2013, inklużi pożizzjonijiet f’futuri fuq l-indiċi tal-borża trattati f’konformità mal-Artikolu 344(3) ta’ dak ir-Regolament</w:t>
            </w:r>
          </w:p>
        </w:tc>
      </w:tr>
      <w:tr w:rsidR="000B0B09" w:rsidRPr="002D60D7" w14:paraId="10C7ACD9" w14:textId="77777777" w:rsidTr="00672D2A">
        <w:tc>
          <w:tcPr>
            <w:tcW w:w="1008" w:type="dxa"/>
          </w:tcPr>
          <w:p w14:paraId="1F6F53FD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0050 </w:t>
            </w:r>
          </w:p>
        </w:tc>
        <w:tc>
          <w:tcPr>
            <w:tcW w:w="8204" w:type="dxa"/>
          </w:tcPr>
          <w:p w14:paraId="0CF5CE81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RISKJU SPEĊIFIKU</w:t>
            </w:r>
          </w:p>
          <w:p w14:paraId="4CFFEA2D" w14:textId="693CE9A9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Pożizzjonijiet f’ekwitajiet soġġetti għal riskju speċifiku u r-rekwiżit korrispondenti ta’ fondi proprji f’konformità mal-Artikolu 342 tar-Regolament (UE) Nru 575/2013, esklużi pożizzjonijiet f’futuri fuq l-indiċi tal-borża trattati f’konformità mal-Artikolu 344(4), it-tieni sentenza, ta’ dak ir-Regolament </w:t>
            </w:r>
          </w:p>
        </w:tc>
      </w:tr>
      <w:tr w:rsidR="000B0B09" w:rsidRPr="002D60D7" w14:paraId="63780725" w14:textId="77777777" w:rsidTr="00672D2A">
        <w:tc>
          <w:tcPr>
            <w:tcW w:w="1008" w:type="dxa"/>
          </w:tcPr>
          <w:p w14:paraId="573EB4E8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0090-0130</w:t>
            </w:r>
          </w:p>
        </w:tc>
        <w:tc>
          <w:tcPr>
            <w:tcW w:w="8204" w:type="dxa"/>
          </w:tcPr>
          <w:p w14:paraId="1BAF0B57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REKWIŻITI ADDIZZJONALI GĦAL OPZJONIJIET (RISKJI MHUX DELTA)</w:t>
            </w:r>
          </w:p>
          <w:p w14:paraId="2552C107" w14:textId="66B48CCE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329(2) u (3) tar-Regolament (UE) Nru 575/2013 </w:t>
            </w:r>
          </w:p>
          <w:p w14:paraId="72C3FAC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Ir-rekwiżiti addizzjonali għall-opzjonijiet relatati ma’ riskji mhux delta għandhom jiġu rrapportati bil-metodu użat għall-kalkolu tagħhom.</w:t>
            </w:r>
          </w:p>
        </w:tc>
      </w:tr>
    </w:tbl>
    <w:p w14:paraId="0EB6FD79" w14:textId="77777777" w:rsidR="000B0B09" w:rsidRPr="002D60D7" w:rsidRDefault="000B0B09" w:rsidP="004C445F">
      <w:pPr>
        <w:suppressAutoHyphens/>
        <w:autoSpaceDE w:val="0"/>
        <w:autoSpaceDN w:val="0"/>
        <w:adjustRightInd w:val="0"/>
        <w:spacing w:before="0" w:after="0"/>
        <w:rPr>
          <w:rFonts w:ascii="Times New Roman" w:hAnsi="Times New Roman"/>
          <w:bCs/>
          <w:sz w:val="24"/>
          <w:lang w:eastAsia="nl-BE"/>
        </w:rPr>
      </w:pPr>
    </w:p>
    <w:p w14:paraId="1D26B512" w14:textId="2E1A7FF9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15" w:name="_Toc262566432"/>
      <w:bookmarkStart w:id="116" w:name="_Toc295830008"/>
      <w:bookmarkStart w:id="117" w:name="_Toc308426685"/>
      <w:bookmarkStart w:id="118" w:name="_Toc310415069"/>
      <w:bookmarkStart w:id="119" w:name="_Toc360188404"/>
      <w:bookmarkStart w:id="120" w:name="_Toc473561044"/>
      <w:bookmarkStart w:id="121" w:name="_Toc210752974"/>
      <w:r>
        <w:rPr>
          <w:rFonts w:ascii="Times New Roman" w:hAnsi="Times New Roman"/>
          <w:sz w:val="24"/>
          <w:u w:val="none"/>
        </w:rPr>
        <w:t>6.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C 22.00 - Riskju tas-Suq: Approċċi Standardizzati għar-Riskju tal-Kambju</w:t>
      </w:r>
      <w:bookmarkEnd w:id="115"/>
      <w:bookmarkEnd w:id="116"/>
      <w:bookmarkEnd w:id="117"/>
      <w:bookmarkEnd w:id="118"/>
      <w:bookmarkEnd w:id="119"/>
      <w:r>
        <w:rPr>
          <w:rFonts w:ascii="Times New Roman" w:hAnsi="Times New Roman"/>
          <w:sz w:val="24"/>
        </w:rPr>
        <w:t xml:space="preserve"> (MKR SA FX)</w:t>
      </w:r>
      <w:bookmarkEnd w:id="120"/>
      <w:bookmarkEnd w:id="121"/>
    </w:p>
    <w:p w14:paraId="70FD2A29" w14:textId="503A292B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22" w:name="_Toc262566433"/>
      <w:bookmarkStart w:id="123" w:name="_Toc295830009"/>
      <w:bookmarkStart w:id="124" w:name="_Toc308426686"/>
      <w:bookmarkStart w:id="125" w:name="_Toc310415070"/>
      <w:bookmarkStart w:id="126" w:name="_Toc360188405"/>
      <w:bookmarkStart w:id="127" w:name="_Toc473561045"/>
      <w:bookmarkStart w:id="128" w:name="_Toc210752975"/>
      <w:r>
        <w:rPr>
          <w:rFonts w:ascii="Times New Roman" w:hAnsi="Times New Roman"/>
          <w:sz w:val="24"/>
          <w:u w:val="none"/>
        </w:rPr>
        <w:t>6.1.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Kummenti Ġenerali</w:t>
      </w:r>
      <w:bookmarkEnd w:id="122"/>
      <w:bookmarkEnd w:id="123"/>
      <w:bookmarkEnd w:id="124"/>
      <w:bookmarkEnd w:id="125"/>
      <w:bookmarkEnd w:id="126"/>
      <w:bookmarkEnd w:id="127"/>
      <w:bookmarkEnd w:id="128"/>
    </w:p>
    <w:p w14:paraId="3B4750B2" w14:textId="2C7BE8FA" w:rsidR="00F71DF2" w:rsidRPr="002D60D7" w:rsidRDefault="00A807E1" w:rsidP="00E172EA">
      <w:pPr>
        <w:pStyle w:val="InstructionsText2"/>
        <w:numPr>
          <w:ilvl w:val="0"/>
          <w:numId w:val="29"/>
        </w:numPr>
        <w:suppressAutoHyphens/>
      </w:pPr>
      <w:r>
        <w:t>Id-ditti ta’ investiment għandhom jirrapportaw l-informazzjoni dwar il-pożizzjonijiet f’kull munita (munita tar-rapportar inkluża) u r-rekwiżiti korrispondenti ta’ fondi proprji għar-riskju tal-kambju trattati skont l-Approċċ Standardizzat. Il-pożizzjoni għandha tiġi kkalkolata għal kull munita (inkluża l-EUR), id-deheb, u l-pożizzjonijiet għas-CIUs.</w:t>
      </w:r>
    </w:p>
    <w:p w14:paraId="39EF826C" w14:textId="60814CC7" w:rsidR="000B0B09" w:rsidRPr="002D60D7" w:rsidRDefault="00B31D8A" w:rsidP="00E172EA">
      <w:pPr>
        <w:pStyle w:val="InstructionsText2"/>
        <w:numPr>
          <w:ilvl w:val="0"/>
          <w:numId w:val="29"/>
        </w:numPr>
        <w:suppressAutoHyphens/>
      </w:pPr>
      <w:r>
        <w:t>Ir-ringieli minn 0100 sa 0470 ta’ din il-formola għandhom jiġu rrapportati, meta d-ditti tal-investiment ikollhom il-permess li jwettqu l-attività 3 jew 6 tal-Anness I, it-Taqsima A, tad-Direttiva 2014/65/UE tal-Parlament Ewropew u tal-Kunsill</w:t>
      </w:r>
      <w:r>
        <w:rPr>
          <w:rStyle w:val="FootnoteReference"/>
        </w:rPr>
        <w:footnoteReference w:id="4"/>
      </w:r>
      <w:r>
        <w:t>, anki meta dawk id-ditti tal-investiment ma jkunux meħtieġa jikkalkolaw ir-rekwiżiti ta’ fondi proprji għar-riskju tal-kambju f’konformità mal-Artikolu 351 tar-Regolament (UE) Nru 575/2013. F’dawk l-entrati ta’ memorandum, il-pożizzjonijiet kollha fil-munita tar-rapportar huma inklużi fir-ringieli 0100 sa 0470, irrispettivament minn jekk humiex ikkunsidrati għall-finijiet tal-Artikolu 354 tar-Regolament (UE) Nru 575/2013. Ir-ringieli 0130 sa 0470 tal-entrati ta’ memorandum tal-formola għandhom jimtlew b’mod separat għall-muniti kollha tal-Istati Membri tal-Unjoni, il-muniti GBP, USD, CHF, JPY, RUB, TRY, AUD, CAD, RSD, ALL, UAH, MKD, EGP, ARS, BRL, MXN, HKD, ICK, TWD, NZD, NOK, SGD, KRW, CNY u l-muniti kollha l-oħrajn.</w:t>
      </w:r>
    </w:p>
    <w:p w14:paraId="346B4732" w14:textId="0BDCE786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30" w:name="_Toc262566434"/>
      <w:bookmarkStart w:id="131" w:name="_Toc295830010"/>
      <w:bookmarkStart w:id="132" w:name="_Toc308426687"/>
      <w:bookmarkStart w:id="133" w:name="_Toc310415071"/>
      <w:bookmarkStart w:id="134" w:name="_Toc360188406"/>
      <w:bookmarkStart w:id="135" w:name="_Toc473561046"/>
      <w:bookmarkStart w:id="136" w:name="_Toc210752976"/>
      <w:r>
        <w:rPr>
          <w:rFonts w:ascii="Times New Roman" w:hAnsi="Times New Roman"/>
          <w:sz w:val="24"/>
          <w:u w:val="none"/>
        </w:rPr>
        <w:t>6.2.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Struzzjonijiet li jikkonċernaw pożizzjonijiet speċifiċi</w:t>
      </w:r>
      <w:bookmarkEnd w:id="130"/>
      <w:bookmarkEnd w:id="131"/>
      <w:bookmarkEnd w:id="132"/>
      <w:bookmarkEnd w:id="133"/>
      <w:bookmarkEnd w:id="134"/>
      <w:bookmarkEnd w:id="135"/>
      <w:bookmarkEnd w:id="1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874"/>
      </w:tblGrid>
      <w:tr w:rsidR="000B0B09" w:rsidRPr="002D60D7" w14:paraId="49DEFDC7" w14:textId="77777777" w:rsidTr="00672D2A">
        <w:trPr>
          <w:trHeight w:val="595"/>
        </w:trPr>
        <w:tc>
          <w:tcPr>
            <w:tcW w:w="8862" w:type="dxa"/>
            <w:gridSpan w:val="2"/>
            <w:shd w:val="clear" w:color="auto" w:fill="CCCCCC"/>
          </w:tcPr>
          <w:p w14:paraId="12971A77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Kolonni</w:t>
            </w:r>
          </w:p>
        </w:tc>
      </w:tr>
      <w:tr w:rsidR="000B0B09" w:rsidRPr="002D60D7" w14:paraId="159B4B41" w14:textId="77777777" w:rsidTr="00672D2A">
        <w:tc>
          <w:tcPr>
            <w:tcW w:w="988" w:type="dxa"/>
          </w:tcPr>
          <w:p w14:paraId="0ABA9E21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0020-0030</w:t>
            </w:r>
          </w:p>
        </w:tc>
        <w:tc>
          <w:tcPr>
            <w:tcW w:w="7874" w:type="dxa"/>
          </w:tcPr>
          <w:p w14:paraId="3450FB81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IL-POŻIZZJONIJIET KOLLHA (TWAL U QOSRA)</w:t>
            </w:r>
          </w:p>
          <w:p w14:paraId="21CD617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nl-BE"/>
              </w:rPr>
            </w:pPr>
          </w:p>
          <w:p w14:paraId="5F204D98" w14:textId="7206E339" w:rsidR="005C14B0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grossi dovuti għal assi, l-ammonti li għandhom jiġu riċevuti u entrati simili msemmija fl-Artikolu 352(1) tar-Regolament (UE) Nru 575/2013</w:t>
            </w:r>
          </w:p>
          <w:p w14:paraId="754DB1BB" w14:textId="2FEAA29E" w:rsidR="000B0B09" w:rsidRPr="002D60D7" w:rsidRDefault="00BB22D4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F’konformità mal-Artikolu 352(2) tar-Regolament (UE) Nru 575/2013 u soġġetti għall-permess mill-awtoritajiet kompetenti, il-pożizzjonijiet meħuda sabiex jiġi ħħeġġjat kontra l-effett negattiv tar-rata tal-kambju fuq il-proporzjonijiet tagħhom f’konformità mal-Artikolu 92(1) ta’ dak ir-Regolament u pożizzjonijiet relatati ma’ entrati li jkunu diġà tnaqqsu fil-kalkolu tal-fondi proprji ma għandhomx jiġu rapportati.</w:t>
            </w:r>
          </w:p>
          <w:p w14:paraId="40A85A41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nl-BE"/>
              </w:rPr>
            </w:pPr>
          </w:p>
        </w:tc>
      </w:tr>
      <w:tr w:rsidR="000B0B09" w:rsidRPr="002D60D7" w14:paraId="5B6C2519" w14:textId="77777777" w:rsidTr="00672D2A">
        <w:tc>
          <w:tcPr>
            <w:tcW w:w="988" w:type="dxa"/>
          </w:tcPr>
          <w:p w14:paraId="01A2B5B6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0040-0050</w:t>
            </w:r>
          </w:p>
        </w:tc>
        <w:tc>
          <w:tcPr>
            <w:tcW w:w="7874" w:type="dxa"/>
          </w:tcPr>
          <w:p w14:paraId="5A21CA54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NETTI (TWAL U QOSRA)</w:t>
            </w:r>
          </w:p>
          <w:p w14:paraId="5D5BCFBB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263D2EB9" w14:textId="110C5AF2" w:rsidR="00283B5F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L-Artikolu 352(3), l-Artikolu 352(4), l-ewwel żewġ sentenzi u l-Artikolu 353 tar-Regolament (UE) Nru 575/2013</w:t>
            </w:r>
          </w:p>
          <w:p w14:paraId="1436375E" w14:textId="14467FBC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netti jiġu kkalkolati minn kull munita f’konformità mal-Artikolu 352(1) ta’ dak ir-Regolament. Konsegwentement, kemm pożizzjonijiet twal kif ukoll qosra jistgħu jiġu rrapportati fl-istess ħin.</w:t>
            </w:r>
          </w:p>
          <w:p w14:paraId="7EF6C18C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nl-BE"/>
              </w:rPr>
            </w:pPr>
          </w:p>
        </w:tc>
      </w:tr>
      <w:tr w:rsidR="000B0B09" w:rsidRPr="002D60D7" w14:paraId="1DBF3F98" w14:textId="77777777" w:rsidTr="00672D2A">
        <w:tc>
          <w:tcPr>
            <w:tcW w:w="988" w:type="dxa"/>
          </w:tcPr>
          <w:p w14:paraId="5ED8190E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0060-0080</w:t>
            </w:r>
          </w:p>
        </w:tc>
        <w:tc>
          <w:tcPr>
            <w:tcW w:w="7874" w:type="dxa"/>
          </w:tcPr>
          <w:p w14:paraId="23461A49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SOĠĠETTI GĦAL ALLOKAZZJONI TA’ KAPITAL</w:t>
            </w:r>
          </w:p>
          <w:p w14:paraId="536B2115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4FE1162B" w14:textId="273CC044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352(4), it-tielet sentenza u l-Artikoli 353 u 354 tar-Regolament (UE) Nru 575/2013 </w:t>
            </w:r>
          </w:p>
          <w:p w14:paraId="091C4CE9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52E36B34" w14:textId="77777777" w:rsidTr="00672D2A">
        <w:tc>
          <w:tcPr>
            <w:tcW w:w="988" w:type="dxa"/>
          </w:tcPr>
          <w:p w14:paraId="4CF75F7E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0060-0070</w:t>
            </w:r>
          </w:p>
        </w:tc>
        <w:tc>
          <w:tcPr>
            <w:tcW w:w="7874" w:type="dxa"/>
          </w:tcPr>
          <w:p w14:paraId="4917443B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SOĠĠETTI GĦAL ALLOKAZZJONI TA’ KAPITAL (TWAL U QOSRA)</w:t>
            </w:r>
          </w:p>
          <w:p w14:paraId="1CA1750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netti twal u qosra għal kull munita għandhom ikunu kkalkolati billi jitnaqqas it-total tal-pożizzjonijiet qosra mit-total tal-pożizzjonijiet twal.</w:t>
            </w:r>
          </w:p>
          <w:p w14:paraId="7912A4F1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netti twal għal kull operazzjoni f’munita għandhom jingħaddu flimkien biex tinkiseb il-pożizzjoni netta twila f’dik il-munita.</w:t>
            </w:r>
          </w:p>
          <w:p w14:paraId="5B4E9BDF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netti qosra għal kull operazzjoni f’munita għandhom jingħaddu flimkien biex tinkiseb il-pożizzjoni netta qasira f’dik il-munita.</w:t>
            </w:r>
          </w:p>
          <w:p w14:paraId="71BEB09F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mhux imqabblin f’muniti mhux tar-rapportar għandhom jingħaddu ma’ pożizzjonijiet soġġetti għal allokazzjonijiet ta’ kapital għal muniti oħrajn (ringiela 030) fil-kolonna 060 jew 070 skont l-arranġament qasir jew twil tagħhom.</w:t>
            </w:r>
          </w:p>
          <w:p w14:paraId="3B8AB235" w14:textId="77777777" w:rsidR="00DE48EF" w:rsidRPr="002D60D7" w:rsidRDefault="00DE48EF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153E3368" w14:textId="77777777" w:rsidTr="00672D2A">
        <w:tc>
          <w:tcPr>
            <w:tcW w:w="988" w:type="dxa"/>
          </w:tcPr>
          <w:p w14:paraId="79947C75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0080</w:t>
            </w:r>
          </w:p>
        </w:tc>
        <w:tc>
          <w:tcPr>
            <w:tcW w:w="7874" w:type="dxa"/>
          </w:tcPr>
          <w:p w14:paraId="50779B26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SOĠĠETTI GĦAL ALLOKAZZJONI TA’ KAPITAL (IMQABBLIN)</w:t>
            </w:r>
          </w:p>
          <w:p w14:paraId="1787EA62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54376274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imqabblin għal muniti korrelatati mill-qrib.</w:t>
            </w:r>
          </w:p>
          <w:p w14:paraId="6BC8E676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6E3750E4" w14:textId="77777777" w:rsidTr="00672D2A">
        <w:tc>
          <w:tcPr>
            <w:tcW w:w="988" w:type="dxa"/>
          </w:tcPr>
          <w:p w14:paraId="0E46DE0C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0090</w:t>
            </w:r>
          </w:p>
        </w:tc>
        <w:tc>
          <w:tcPr>
            <w:tcW w:w="7874" w:type="dxa"/>
          </w:tcPr>
          <w:p w14:paraId="4FC12DDA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REKWIŻITI TA’ FONDI PROPRJI</w:t>
            </w:r>
          </w:p>
          <w:p w14:paraId="4108E694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0D828234" w14:textId="7D891B72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L-allokazzjoni ta’ kapital għal kwalunkwe pożizzjoni rilevanti f’konformità mal-Parti Tlieta, it-Titolu IV, il-Kapitolu 3 tar-Regolament (UE) Nru 575/2013 </w:t>
            </w:r>
          </w:p>
          <w:p w14:paraId="62C9AE79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75A4CD35" w14:textId="77777777" w:rsidTr="00672D2A">
        <w:tc>
          <w:tcPr>
            <w:tcW w:w="988" w:type="dxa"/>
          </w:tcPr>
          <w:p w14:paraId="5B271B1C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874" w:type="dxa"/>
          </w:tcPr>
          <w:p w14:paraId="0647EAC0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SKOPERTURA TOTALI GĦAR-RISKJU</w:t>
            </w:r>
          </w:p>
          <w:p w14:paraId="1005789B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3CF09645" w14:textId="05D9758B" w:rsidR="005C14B0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92(6), il-punt (b), tar-Regolament (UE) Nru 575/2013.</w:t>
            </w:r>
          </w:p>
          <w:p w14:paraId="74C1A53D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Riżultat tal-multiplikazzjoni tar-rekwiżiti ta’ fondi proprji bi 12,5. </w:t>
            </w:r>
          </w:p>
          <w:p w14:paraId="43ECFCA3" w14:textId="77777777" w:rsidR="00DE48EF" w:rsidRPr="002D60D7" w:rsidRDefault="00DE48EF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</w:tbl>
    <w:p w14:paraId="4E615BD8" w14:textId="77777777" w:rsidR="000B0B09" w:rsidRPr="002D60D7" w:rsidRDefault="000B0B09" w:rsidP="004C445F">
      <w:pPr>
        <w:suppressAutoHyphens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7871"/>
      </w:tblGrid>
      <w:tr w:rsidR="000B0B09" w:rsidRPr="002D60D7" w14:paraId="0291DB10" w14:textId="77777777" w:rsidTr="00672D2A">
        <w:trPr>
          <w:trHeight w:val="497"/>
        </w:trPr>
        <w:tc>
          <w:tcPr>
            <w:tcW w:w="8862" w:type="dxa"/>
            <w:gridSpan w:val="2"/>
            <w:shd w:val="clear" w:color="auto" w:fill="CCCCCC"/>
          </w:tcPr>
          <w:p w14:paraId="080D5566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Ringieli</w:t>
            </w:r>
          </w:p>
        </w:tc>
      </w:tr>
      <w:tr w:rsidR="000B0B09" w:rsidRPr="002D60D7" w14:paraId="7E8F93AD" w14:textId="77777777" w:rsidTr="00672D2A">
        <w:tc>
          <w:tcPr>
            <w:tcW w:w="991" w:type="dxa"/>
          </w:tcPr>
          <w:p w14:paraId="308DA059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871" w:type="dxa"/>
          </w:tcPr>
          <w:p w14:paraId="444D3E44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TOTALI</w:t>
            </w:r>
          </w:p>
          <w:p w14:paraId="625A8F91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nl-BE"/>
              </w:rPr>
            </w:pPr>
          </w:p>
          <w:p w14:paraId="474297D9" w14:textId="78AA241E" w:rsidR="000B0B09" w:rsidRPr="002D60D7" w:rsidRDefault="00491F4D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kollha f’muniti mhux tar-rapportar u dawk il-pożizzjonijiet fil-munita tar-rapportar li jiġu kkunsidrati għall-finijiet tal-Artikolu 354 tar-</w:t>
            </w:r>
            <w:r>
              <w:rPr>
                <w:rFonts w:ascii="Times New Roman" w:hAnsi="Times New Roman"/>
                <w:sz w:val="24"/>
              </w:rPr>
              <w:lastRenderedPageBreak/>
              <w:t>Regolament (UE) Nru 575/2013 u ir-rekwiżiti ta’ fondi proprji korrispondenti tagħhom għar-riskju tal-kambju msemmi fl-Artikolu 92(3), il-punt (c)(i) ta’ dak ir-Regolament, filwaqt li jitqies l-Artikolu 352(2) u (4) tar-Regolament (UE) Nru 575/2013 (għall-konverżjoni fil-munita tar-rapportar).</w:t>
            </w:r>
          </w:p>
          <w:p w14:paraId="60C8486E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nl-BE"/>
              </w:rPr>
            </w:pPr>
          </w:p>
        </w:tc>
      </w:tr>
      <w:tr w:rsidR="000B0B09" w:rsidRPr="002D60D7" w14:paraId="467D9D0D" w14:textId="77777777" w:rsidTr="00672D2A">
        <w:tc>
          <w:tcPr>
            <w:tcW w:w="991" w:type="dxa"/>
          </w:tcPr>
          <w:p w14:paraId="65214D61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0020</w:t>
            </w:r>
          </w:p>
        </w:tc>
        <w:tc>
          <w:tcPr>
            <w:tcW w:w="7871" w:type="dxa"/>
          </w:tcPr>
          <w:p w14:paraId="49A2740E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MUNITI KORRELATATI MILL-QRIB</w:t>
            </w:r>
          </w:p>
          <w:p w14:paraId="784B138D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7339F996" w14:textId="323891C1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u r-rekwiżiti ta’ fondi proprji korrispondenti tagħhom għal muniti korrelatati mill-viċin kif imsemmi fl-Artikolu 354 tar-Regolament (UE) Nru 575/2013.</w:t>
            </w:r>
          </w:p>
          <w:p w14:paraId="1228E8F4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nl-BE"/>
              </w:rPr>
            </w:pPr>
          </w:p>
        </w:tc>
      </w:tr>
      <w:tr w:rsidR="00491F4D" w:rsidRPr="002D60D7" w14:paraId="6BD5BA15" w14:textId="77777777" w:rsidTr="00672D2A">
        <w:tc>
          <w:tcPr>
            <w:tcW w:w="991" w:type="dxa"/>
          </w:tcPr>
          <w:p w14:paraId="5BFECF57" w14:textId="77777777" w:rsidR="00491F4D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0025</w:t>
            </w:r>
          </w:p>
        </w:tc>
        <w:tc>
          <w:tcPr>
            <w:tcW w:w="7871" w:type="dxa"/>
          </w:tcPr>
          <w:p w14:paraId="596531B8" w14:textId="77777777" w:rsidR="00491F4D" w:rsidRPr="002D60D7" w:rsidRDefault="00491F4D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Muniti korrelatati mill-viċin: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li minnhom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: munita tar-rapportar</w:t>
            </w:r>
          </w:p>
          <w:p w14:paraId="1A313604" w14:textId="77777777" w:rsidR="00491F4D" w:rsidRPr="002D60D7" w:rsidRDefault="00491F4D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6CF1E695" w14:textId="3B11B1C0" w:rsidR="00491F4D" w:rsidRPr="002D60D7" w:rsidRDefault="00491F4D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fil-munita tar-rapportar li jikkontribwixxu għall-kalkolu tar-rekwiżiti ta’ kapital f’konformità mal-Artikolu 354 tar-Regolament (UE) Nru 575/2013.</w:t>
            </w:r>
          </w:p>
          <w:p w14:paraId="1727C5A3" w14:textId="77777777" w:rsidR="00491F4D" w:rsidRPr="002D60D7" w:rsidRDefault="00491F4D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52A3FAA7" w14:textId="77777777" w:rsidTr="00672D2A">
        <w:tc>
          <w:tcPr>
            <w:tcW w:w="991" w:type="dxa"/>
          </w:tcPr>
          <w:p w14:paraId="0150967E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871" w:type="dxa"/>
          </w:tcPr>
          <w:p w14:paraId="0BAA11C1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IL-MUNITI KOLLHA L-OĦRAJN (inklużi CIUs trattati bħala muniti differenti)</w:t>
            </w:r>
          </w:p>
          <w:p w14:paraId="1677D28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0DD3AFD1" w14:textId="4128E688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u r-rekwiżiti korrispondenti ta’ fondi proprji tagħhom għall-muniti soġġetti għall-proċedura ġenerali msemmija fl-Artikolu 351 u l-Artikolu 352(2) u (4) tar-Regolament (UE) Nru 575/2013.</w:t>
            </w:r>
          </w:p>
          <w:p w14:paraId="0D0C93F2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369470C9" w14:textId="2C612C05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Rapportar ta’ CIUs trattati bħala muniti separati f’konformità mal-Artikolu 353 tar-Regolament (UE) Nru 575/2013:</w:t>
            </w:r>
          </w:p>
          <w:p w14:paraId="77B7A43F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Hemm żewġ trattamenti differenti ta’ CIUs trattati bħala muniti separati għall-kalkolu tar-rekwiżiti ta’ kapital:</w:t>
            </w:r>
          </w:p>
          <w:p w14:paraId="5B250982" w14:textId="5A8D3F48" w:rsidR="000B0B09" w:rsidRPr="002D60D7" w:rsidRDefault="00EA7544" w:rsidP="004C445F">
            <w:pPr>
              <w:suppressAutoHyphens/>
              <w:autoSpaceDE w:val="0"/>
              <w:autoSpaceDN w:val="0"/>
              <w:adjustRightInd w:val="0"/>
              <w:spacing w:before="0" w:after="0"/>
              <w:ind w:left="72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 il-metodu tad-deheb modifikat, meta d-direzzjoni tal-investiment tas-CIU mhijiex disponibbli (dawk is-CIU għandhom jiżdiedu ma’ pożizzjoni netta kumplessiva tar-riskju tal-kambju ta’ istituzzjoni);</w:t>
            </w:r>
          </w:p>
          <w:p w14:paraId="36EAAD8C" w14:textId="570B6ECE" w:rsidR="000B0B09" w:rsidRPr="002D60D7" w:rsidRDefault="00EA7544" w:rsidP="004C445F">
            <w:pPr>
              <w:suppressAutoHyphens/>
              <w:autoSpaceDE w:val="0"/>
              <w:autoSpaceDN w:val="0"/>
              <w:adjustRightInd w:val="0"/>
              <w:spacing w:before="0" w:after="0"/>
              <w:ind w:left="72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 meta d-direzzjoni tal-investiment tas-CIU tkun disponibbli, dawk is-CIUs għandhom jiżdiedu mal-pożizzjoni miftuħa totali tal-kambju (twila jew qasira, skont id-direzzjoni tas-CIU).</w:t>
            </w:r>
          </w:p>
          <w:p w14:paraId="6410AE39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Ir-rapportar ta’ dawk is-CIUs għandu jsegwi l-kalkolu tar-rekwiżiti ta’ kapital.</w:t>
            </w:r>
          </w:p>
          <w:p w14:paraId="6EF89CCB" w14:textId="77777777" w:rsidR="00DE48EF" w:rsidRPr="002D60D7" w:rsidRDefault="00DE48EF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3074F2FD" w14:textId="77777777" w:rsidTr="00672D2A">
        <w:tc>
          <w:tcPr>
            <w:tcW w:w="991" w:type="dxa"/>
          </w:tcPr>
          <w:p w14:paraId="77D3A983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871" w:type="dxa"/>
          </w:tcPr>
          <w:p w14:paraId="0E1B066C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DEHEB</w:t>
            </w:r>
          </w:p>
          <w:p w14:paraId="3DD20C37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3E2B6F8D" w14:textId="0A74E970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Il-pożizzjonijiet u r-rekwiżiti korrispondenti ta’ fondi proprji tagħhom għall-muniti soġġetti għall-proċedura ġenerali msemmija fl-Artikolu 351 u l-Artikolu 352(2) u (4) tar-Regolament (UE) Nru 575/2013 </w:t>
            </w:r>
          </w:p>
          <w:p w14:paraId="23633856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76FC5B51" w14:textId="77777777" w:rsidTr="00672D2A">
        <w:tc>
          <w:tcPr>
            <w:tcW w:w="991" w:type="dxa"/>
          </w:tcPr>
          <w:p w14:paraId="119AB326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0050-0090</w:t>
            </w:r>
          </w:p>
        </w:tc>
        <w:tc>
          <w:tcPr>
            <w:tcW w:w="7871" w:type="dxa"/>
          </w:tcPr>
          <w:p w14:paraId="76D7671B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REKWIŻITI ADDIZZJONALI GĦAL OPZJONIJIET (RISKJI MHUX DELTA)</w:t>
            </w:r>
          </w:p>
          <w:p w14:paraId="409B80C0" w14:textId="3123C3E4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352(5) u (6) tar-Regolament (UE) Nru 575/2013 </w:t>
            </w:r>
          </w:p>
          <w:p w14:paraId="28A72F07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30C3DAE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Ir-rekwiżiti addizzjonali għall-opzjonijiet relatati ma’ riskji mhux delta għandhom ikunu rrapportati diżaggregati skont il-metodu użat għall-kalkolu tagħhom. </w:t>
            </w:r>
          </w:p>
          <w:p w14:paraId="64B10AE8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4FB6CAB6" w14:textId="77777777" w:rsidTr="00672D2A">
        <w:tc>
          <w:tcPr>
            <w:tcW w:w="991" w:type="dxa"/>
          </w:tcPr>
          <w:p w14:paraId="4A4827FD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0100-0120</w:t>
            </w:r>
          </w:p>
        </w:tc>
        <w:tc>
          <w:tcPr>
            <w:tcW w:w="7871" w:type="dxa"/>
          </w:tcPr>
          <w:p w14:paraId="4D32EE99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Diżaggregazzjoni tal-pożizzjonijiet totali (il-munita ta’ rapportar inkluża) skont it-tipi ta’ skopertura</w:t>
            </w:r>
          </w:p>
          <w:p w14:paraId="35F84DAE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11C8EDD8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totali għandhom ikunu diżaggregati f’derivattivi, assi u obbligazzjonijiet oħrajn, u entrati ma jidhrux fil-karta bilanċjali.</w:t>
            </w:r>
          </w:p>
          <w:p w14:paraId="645944F1" w14:textId="77777777" w:rsidR="00DE48EF" w:rsidRPr="002D60D7" w:rsidRDefault="00DE48EF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12C3A573" w14:textId="77777777" w:rsidTr="00672D2A">
        <w:tc>
          <w:tcPr>
            <w:tcW w:w="991" w:type="dxa"/>
          </w:tcPr>
          <w:p w14:paraId="328B76F1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871" w:type="dxa"/>
          </w:tcPr>
          <w:p w14:paraId="2B5ED8B0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Assi u obbligazzjonijiet oħrajn minbarra entrati li ma jidhrux fil-karta bilanċjali u derivattivi</w:t>
            </w:r>
          </w:p>
          <w:p w14:paraId="70ABA94F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048B1F95" w14:textId="77777777" w:rsidR="00DE48EF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Il-pożizzjonijiet mhux inklużi fir-ringiela 0110 jew 0120 għandhom jiġu inklużi hawn. </w:t>
            </w:r>
          </w:p>
          <w:p w14:paraId="68474F8C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B0B09" w:rsidRPr="002D60D7" w14:paraId="68F25686" w14:textId="77777777" w:rsidTr="00672D2A">
        <w:tc>
          <w:tcPr>
            <w:tcW w:w="991" w:type="dxa"/>
          </w:tcPr>
          <w:p w14:paraId="76AEDC5B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0110</w:t>
            </w:r>
          </w:p>
        </w:tc>
        <w:tc>
          <w:tcPr>
            <w:tcW w:w="7871" w:type="dxa"/>
          </w:tcPr>
          <w:p w14:paraId="2D48760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Entrati li ma jidhrux fil-karta bilanċjali</w:t>
            </w:r>
          </w:p>
          <w:p w14:paraId="4FE41ABE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7CE2DA10" w14:textId="441EBF45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Entrati fil-kamp ta’ applikazzjoni tal-Artikolu 352 tar-Regolament (UE) Nru 575/2013, irrispettivament mill-munita ta’ denominazzjoni, li huma inklużi fl-Anness I ta’ dak ir-Regolament, minbarra dawk inklużi bħala Tranżazzjonijiet ta’ Finanzjament tat-Titoli u Tranżazzjonijiet ta’ Saldu Twil jew minn Netting Kuntrattwali Bejn Prodotti Differenti.</w:t>
            </w:r>
          </w:p>
          <w:p w14:paraId="25D49F5C" w14:textId="77777777" w:rsidR="00DE48EF" w:rsidRPr="002D60D7" w:rsidRDefault="00DE48EF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6C61B439" w14:textId="77777777" w:rsidTr="00672D2A">
        <w:tc>
          <w:tcPr>
            <w:tcW w:w="991" w:type="dxa"/>
          </w:tcPr>
          <w:p w14:paraId="33EE452C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</w:t>
            </w:r>
          </w:p>
        </w:tc>
        <w:tc>
          <w:tcPr>
            <w:tcW w:w="7871" w:type="dxa"/>
          </w:tcPr>
          <w:p w14:paraId="56E07170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Derivattivi</w:t>
            </w:r>
          </w:p>
          <w:p w14:paraId="7B6CC85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174E14E9" w14:textId="61FBE982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ivvalutati f’konformità mal-Artikolu 352 tar-Regolament (UE) Nru 575/2013.</w:t>
            </w:r>
          </w:p>
          <w:p w14:paraId="2984F2C2" w14:textId="77777777" w:rsidR="00902EFC" w:rsidRPr="002D60D7" w:rsidRDefault="00902EFC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0D32A9CF" w14:textId="77777777" w:rsidTr="00672D2A">
        <w:tc>
          <w:tcPr>
            <w:tcW w:w="991" w:type="dxa"/>
          </w:tcPr>
          <w:p w14:paraId="7B4BCDF0" w14:textId="0459354E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0130-0470</w:t>
            </w:r>
          </w:p>
        </w:tc>
        <w:tc>
          <w:tcPr>
            <w:tcW w:w="7871" w:type="dxa"/>
          </w:tcPr>
          <w:p w14:paraId="26286B4C" w14:textId="38433819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ENTRATI TA’ MEMORANDUM: POŻIZZJONIJIET TAL-MUNITA</w:t>
            </w:r>
          </w:p>
          <w:p w14:paraId="77A906DE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lang w:eastAsia="de-DE"/>
              </w:rPr>
            </w:pPr>
          </w:p>
          <w:p w14:paraId="31EAE6A1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L-entrati ta’ memorandum tal-formola għandhom jimtlew b’mod separat għall-muniti kollha tal-Istati Membri tal-Unjoni, GBP, USD, CHF, JPY, RUB, TRY, AUD, CAD, RSD, ALL, UAH, MKD, EGP, ARS, BRL, MXN, HKD, ICK, TWD, NZD, NOK, SGD, KRW, CNY u l-muniti kollha l-oħrajn. </w:t>
            </w:r>
          </w:p>
          <w:p w14:paraId="09723CAF" w14:textId="77777777" w:rsidR="003E0950" w:rsidRPr="002D60D7" w:rsidRDefault="003E0950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7255FEE1" w14:textId="50F8E32F" w:rsidR="00A433ED" w:rsidRPr="002D60D7" w:rsidRDefault="00A433ED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Pożizzjonijiet fid-deheb u pożizzjonijiet f’CIUs ittrattati bħala munita separata f’konformità mal-Artikolu 353(3) tar-Regolament (UE) Nru 575/2013 għandhom jiġu inklużi fir-ringiela 0470.</w:t>
            </w:r>
          </w:p>
          <w:p w14:paraId="2A795EB2" w14:textId="3FA18151" w:rsidR="0055144E" w:rsidRPr="002D60D7" w:rsidRDefault="0055144E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Style w:val="InstructionsTabelleText"/>
                <w:rFonts w:ascii="Times New Roman" w:hAnsi="Times New Roman"/>
                <w:sz w:val="24"/>
              </w:rPr>
            </w:pPr>
          </w:p>
        </w:tc>
      </w:tr>
    </w:tbl>
    <w:p w14:paraId="6BA92730" w14:textId="77777777" w:rsidR="000B0B09" w:rsidRPr="002D60D7" w:rsidRDefault="000B0B09" w:rsidP="004C445F">
      <w:pPr>
        <w:suppressAutoHyphens/>
        <w:rPr>
          <w:rFonts w:ascii="Times New Roman" w:hAnsi="Times New Roman"/>
          <w:sz w:val="24"/>
        </w:rPr>
      </w:pPr>
    </w:p>
    <w:p w14:paraId="53515718" w14:textId="54673A1A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37" w:name="_Toc262566435"/>
      <w:bookmarkStart w:id="138" w:name="_Toc295830011"/>
      <w:bookmarkStart w:id="139" w:name="_Toc308426688"/>
      <w:bookmarkStart w:id="140" w:name="_Toc310415072"/>
      <w:bookmarkStart w:id="141" w:name="_Toc360188407"/>
      <w:bookmarkStart w:id="142" w:name="_Toc473561047"/>
      <w:bookmarkStart w:id="143" w:name="_Toc210752977"/>
      <w:r>
        <w:rPr>
          <w:rFonts w:ascii="Times New Roman" w:hAnsi="Times New Roman"/>
          <w:sz w:val="24"/>
          <w:u w:val="none"/>
        </w:rPr>
        <w:t>7.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C 23.00 - Riskju tas-Suq: Approċċi Standardizzati għall-Komoditajiet</w:t>
      </w:r>
      <w:bookmarkEnd w:id="137"/>
      <w:bookmarkEnd w:id="138"/>
      <w:bookmarkEnd w:id="139"/>
      <w:bookmarkEnd w:id="140"/>
      <w:bookmarkEnd w:id="141"/>
      <w:r>
        <w:rPr>
          <w:rFonts w:ascii="Times New Roman" w:hAnsi="Times New Roman"/>
          <w:sz w:val="24"/>
        </w:rPr>
        <w:t xml:space="preserve"> (MKR SA COM)</w:t>
      </w:r>
      <w:bookmarkEnd w:id="142"/>
      <w:bookmarkEnd w:id="143"/>
    </w:p>
    <w:p w14:paraId="72871AE4" w14:textId="0AF1A4EA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44" w:name="_Toc262566436"/>
      <w:bookmarkStart w:id="145" w:name="_Toc295830012"/>
      <w:bookmarkStart w:id="146" w:name="_Toc308426689"/>
      <w:bookmarkStart w:id="147" w:name="_Toc310415073"/>
      <w:bookmarkStart w:id="148" w:name="_Toc360188408"/>
      <w:bookmarkStart w:id="149" w:name="_Toc473561048"/>
      <w:bookmarkStart w:id="150" w:name="_Toc210752978"/>
      <w:r>
        <w:rPr>
          <w:rFonts w:ascii="Times New Roman" w:hAnsi="Times New Roman"/>
          <w:sz w:val="24"/>
          <w:u w:val="none"/>
        </w:rPr>
        <w:t>7.1.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Kummenti Ġenerali</w:t>
      </w:r>
      <w:bookmarkEnd w:id="144"/>
      <w:bookmarkEnd w:id="145"/>
      <w:bookmarkEnd w:id="146"/>
      <w:bookmarkEnd w:id="147"/>
      <w:bookmarkEnd w:id="148"/>
      <w:bookmarkEnd w:id="149"/>
      <w:bookmarkEnd w:id="150"/>
    </w:p>
    <w:p w14:paraId="441FA19A" w14:textId="36832BFC" w:rsidR="000B0B09" w:rsidRPr="002D60D7" w:rsidRDefault="000B0B09" w:rsidP="00E172EA">
      <w:pPr>
        <w:pStyle w:val="InstructionsText2"/>
        <w:numPr>
          <w:ilvl w:val="0"/>
          <w:numId w:val="29"/>
        </w:numPr>
        <w:suppressAutoHyphens/>
      </w:pPr>
      <w:r>
        <w:t>Din il-formola titlob informazzjoni dwar il-pożizzjonijiet f’komoditajiet u r-rekwiżiti korrispondenti ta’ fondi proprji trattati bl-Approċċ Standardizzat.</w:t>
      </w:r>
    </w:p>
    <w:p w14:paraId="0C8765B1" w14:textId="613B31E5" w:rsidR="000B0B09" w:rsidRPr="002D60D7" w:rsidRDefault="00C22B34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51" w:name="_Toc262566437"/>
      <w:bookmarkStart w:id="152" w:name="_Toc295830013"/>
      <w:bookmarkStart w:id="153" w:name="_Toc308426690"/>
      <w:bookmarkStart w:id="154" w:name="_Toc310415074"/>
      <w:bookmarkStart w:id="155" w:name="_Toc360188409"/>
      <w:bookmarkStart w:id="156" w:name="_Toc473561049"/>
      <w:bookmarkStart w:id="157" w:name="_Toc210752979"/>
      <w:r>
        <w:rPr>
          <w:rFonts w:ascii="Times New Roman" w:hAnsi="Times New Roman"/>
          <w:sz w:val="24"/>
          <w:u w:val="none"/>
        </w:rPr>
        <w:t>7.2</w:t>
      </w:r>
      <w:r w:rsidRPr="00913B98">
        <w:rPr>
          <w:rFonts w:ascii="Times New Roman" w:hAnsi="Times New Roman"/>
          <w:sz w:val="24"/>
          <w:u w:val="none"/>
        </w:rPr>
        <w:t>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Struzzjonijiet li jikkonċernaw pożizzjonijiet speċifiċi</w:t>
      </w:r>
      <w:bookmarkEnd w:id="151"/>
      <w:bookmarkEnd w:id="152"/>
      <w:bookmarkEnd w:id="153"/>
      <w:bookmarkEnd w:id="154"/>
      <w:bookmarkEnd w:id="155"/>
      <w:bookmarkEnd w:id="156"/>
      <w:bookmarkEnd w:id="15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7876"/>
      </w:tblGrid>
      <w:tr w:rsidR="000B0B09" w:rsidRPr="002D60D7" w14:paraId="7440A91F" w14:textId="77777777" w:rsidTr="00672D2A">
        <w:trPr>
          <w:trHeight w:val="591"/>
        </w:trPr>
        <w:tc>
          <w:tcPr>
            <w:tcW w:w="8862" w:type="dxa"/>
            <w:gridSpan w:val="2"/>
            <w:shd w:val="clear" w:color="auto" w:fill="CCCCCC"/>
          </w:tcPr>
          <w:p w14:paraId="4154FB7C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Kolonni</w:t>
            </w:r>
          </w:p>
        </w:tc>
      </w:tr>
      <w:tr w:rsidR="000B0B09" w:rsidRPr="002D60D7" w14:paraId="12CECACA" w14:textId="77777777" w:rsidTr="00672D2A">
        <w:tc>
          <w:tcPr>
            <w:tcW w:w="986" w:type="dxa"/>
          </w:tcPr>
          <w:p w14:paraId="6FA50BBC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0010-0020</w:t>
            </w:r>
          </w:p>
        </w:tc>
        <w:tc>
          <w:tcPr>
            <w:tcW w:w="7876" w:type="dxa"/>
          </w:tcPr>
          <w:p w14:paraId="29C026B5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IL-POŻIZZJONIJIET KOLLHA (TWAL U QOSRA)</w:t>
            </w:r>
          </w:p>
          <w:p w14:paraId="4B99A786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60BC9B3E" w14:textId="0549CCC8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grossi twal/qosra meqjusin bħala pożizzjonijiet fl-istess komodità f’konformità mal-Artikolu 357(4) tar-Regolament (UE) Nru 575/2013 (ara wkoll l-Artikolu 359(1) ta’ dak ir-Regolament)</w:t>
            </w:r>
          </w:p>
          <w:p w14:paraId="3E9C7204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B0B09" w:rsidRPr="002D60D7" w14:paraId="4AB4396B" w14:textId="77777777" w:rsidTr="00672D2A">
        <w:tc>
          <w:tcPr>
            <w:tcW w:w="986" w:type="dxa"/>
          </w:tcPr>
          <w:p w14:paraId="224657DD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0030-0040 </w:t>
            </w:r>
          </w:p>
        </w:tc>
        <w:tc>
          <w:tcPr>
            <w:tcW w:w="7876" w:type="dxa"/>
          </w:tcPr>
          <w:p w14:paraId="7FA580C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NETTI (TWAL U QOSRA)</w:t>
            </w:r>
          </w:p>
          <w:p w14:paraId="0B49C3FC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27F059DD" w14:textId="7B41C090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Kif imsemmi fl-Artikolu 357(3) tar-Regolament (UE) Nru 575/2013 </w:t>
            </w:r>
          </w:p>
        </w:tc>
      </w:tr>
      <w:tr w:rsidR="000B0B09" w:rsidRPr="002D60D7" w14:paraId="0A46320C" w14:textId="77777777" w:rsidTr="00672D2A">
        <w:tc>
          <w:tcPr>
            <w:tcW w:w="986" w:type="dxa"/>
          </w:tcPr>
          <w:p w14:paraId="7F0B984E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876" w:type="dxa"/>
          </w:tcPr>
          <w:p w14:paraId="7ADEF1C0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SOĠĠETTI GĦAL ALLOKAZZJONI TA’ KAPITAL</w:t>
            </w:r>
          </w:p>
          <w:p w14:paraId="55ED580C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0D57A399" w14:textId="58FF94B4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Dawk il-pożizzjonijiet netti li, f’konformità mal-approċċi differenti meqjusa fil-Parti Tlieta, it-Titolu IV, il-Kapitolu 4 tar-Regolament (UE) Nru 575/2013, jirċievu allokazzjoni ta’ kapital.</w:t>
            </w:r>
          </w:p>
          <w:p w14:paraId="762BD2E2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637B5E6C" w14:textId="77777777" w:rsidTr="00672D2A">
        <w:tc>
          <w:tcPr>
            <w:tcW w:w="986" w:type="dxa"/>
          </w:tcPr>
          <w:p w14:paraId="41FAB945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876" w:type="dxa"/>
          </w:tcPr>
          <w:p w14:paraId="4AA26DC6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REKWIŻITI TA’ FONDI PROPRJI</w:t>
            </w:r>
          </w:p>
          <w:p w14:paraId="545A195F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1F8C468D" w14:textId="7E2236D4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Ir-rekwiżit ta’ fondi proprji kkalkolati f’konformità mal-Parti Tlieta, it-Titolu IV, il-Kapitolu 4 tar-Regolament (UE) Nru 575/2013 għal kwalunkwe pożizzjoni rilevanti</w:t>
            </w:r>
          </w:p>
        </w:tc>
      </w:tr>
      <w:tr w:rsidR="000B0B09" w:rsidRPr="002D60D7" w14:paraId="380AB4E0" w14:textId="77777777" w:rsidTr="00672D2A">
        <w:tc>
          <w:tcPr>
            <w:tcW w:w="986" w:type="dxa"/>
          </w:tcPr>
          <w:p w14:paraId="0EE22EDA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876" w:type="dxa"/>
          </w:tcPr>
          <w:p w14:paraId="162C1DF7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SKOPERTURA TOTALI GĦAR-RISKJU</w:t>
            </w:r>
          </w:p>
          <w:p w14:paraId="35864C1F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7C230E5C" w14:textId="027F150A" w:rsidR="00A2757B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92(6), il-punt (b), tar-Regolament (UE) Nru 575/2013. </w:t>
            </w:r>
          </w:p>
          <w:p w14:paraId="67EADC1A" w14:textId="77777777" w:rsidR="000B0B09" w:rsidRPr="002D60D7" w:rsidRDefault="000B0B09" w:rsidP="004C445F">
            <w:pPr>
              <w:tabs>
                <w:tab w:val="left" w:pos="1665"/>
              </w:tabs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Riżultat tal-multiplikazzjoni tar-rekwiżiti ta’ fondi proprji bi 12,5</w:t>
            </w:r>
          </w:p>
        </w:tc>
      </w:tr>
    </w:tbl>
    <w:p w14:paraId="0DC9D0A4" w14:textId="77777777" w:rsidR="000B0B09" w:rsidRPr="002D60D7" w:rsidRDefault="000B0B09" w:rsidP="004C445F">
      <w:pPr>
        <w:suppressAutoHyphens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7875"/>
      </w:tblGrid>
      <w:tr w:rsidR="000B0B09" w:rsidRPr="002D60D7" w14:paraId="0386B5FC" w14:textId="77777777" w:rsidTr="00672D2A">
        <w:trPr>
          <w:trHeight w:val="483"/>
        </w:trPr>
        <w:tc>
          <w:tcPr>
            <w:tcW w:w="8862" w:type="dxa"/>
            <w:gridSpan w:val="2"/>
            <w:shd w:val="clear" w:color="auto" w:fill="CCCCCC"/>
          </w:tcPr>
          <w:p w14:paraId="1255E03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Ringieli</w:t>
            </w:r>
          </w:p>
        </w:tc>
      </w:tr>
      <w:tr w:rsidR="000B0B09" w:rsidRPr="002D60D7" w14:paraId="3F19FB75" w14:textId="77777777" w:rsidTr="00672D2A">
        <w:tc>
          <w:tcPr>
            <w:tcW w:w="987" w:type="dxa"/>
          </w:tcPr>
          <w:p w14:paraId="62003386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875" w:type="dxa"/>
          </w:tcPr>
          <w:p w14:paraId="3CC5979D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TOTALI F’KOMODITAJIET</w:t>
            </w:r>
          </w:p>
          <w:p w14:paraId="03562626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B02378E" w14:textId="7E4205C6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Il-pożizzjonijiet f’komoditajiet u r-rekwiżiti ta’ fondi proprji korrispondenti tagħhom għar-riskju tas-suq ikkalkolati f’konformità mal-Artikolu 92(4), il-punt (c), tar-Regolament (UE) Nru 575/2013 u l-Parti Tlieta, it-Titolu IV, il-Kapitolu 4 ta’ dak ir-Regolament </w:t>
            </w:r>
          </w:p>
        </w:tc>
      </w:tr>
      <w:tr w:rsidR="000B0B09" w:rsidRPr="002D60D7" w14:paraId="216F1AEE" w14:textId="77777777" w:rsidTr="00672D2A">
        <w:tc>
          <w:tcPr>
            <w:tcW w:w="987" w:type="dxa"/>
          </w:tcPr>
          <w:p w14:paraId="62D08C2C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0020-0060</w:t>
            </w:r>
          </w:p>
        </w:tc>
        <w:tc>
          <w:tcPr>
            <w:tcW w:w="7875" w:type="dxa"/>
          </w:tcPr>
          <w:p w14:paraId="759E5790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SKONT IL-KATEGORIJA TA’ KOMODITÀ</w:t>
            </w:r>
          </w:p>
          <w:p w14:paraId="5692188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3DC33454" w14:textId="09121CFD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Għal skopijiet ta’ rapportar, il-komoditajiet għandhom jinġabru fi gruppi fl-erba’ gruppi ta’ komoditajiet imsemmijin fl-Artikolu 361, it-Tabella 2 tar-Regolament (UE) Nru 575/2013.</w:t>
            </w:r>
          </w:p>
          <w:p w14:paraId="04BB5316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B0B09" w:rsidRPr="002D60D7" w14:paraId="50CBB22D" w14:textId="77777777" w:rsidTr="00672D2A">
        <w:tc>
          <w:tcPr>
            <w:tcW w:w="987" w:type="dxa"/>
          </w:tcPr>
          <w:p w14:paraId="3E68EF2F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875" w:type="dxa"/>
          </w:tcPr>
          <w:p w14:paraId="5AACA5EE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APPROĊĊ TAL-ISKALA TAL-MATURITÀ</w:t>
            </w:r>
          </w:p>
          <w:p w14:paraId="2C667CB8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72CB6FD7" w14:textId="0EBD6A78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Il-pożizzjonijiet f’komoditajiet soġġetti għall-approċċ tal-iskala tal-maturità msemmi fl-Artikolu 359 tar-Regolament (UE) Nru 575/2013</w:t>
            </w:r>
          </w:p>
          <w:p w14:paraId="018E728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1D4187B0" w14:textId="77777777" w:rsidTr="00672D2A">
        <w:tc>
          <w:tcPr>
            <w:tcW w:w="987" w:type="dxa"/>
          </w:tcPr>
          <w:p w14:paraId="317F5718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0080</w:t>
            </w:r>
          </w:p>
        </w:tc>
        <w:tc>
          <w:tcPr>
            <w:tcW w:w="7875" w:type="dxa"/>
          </w:tcPr>
          <w:p w14:paraId="7D3D047D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APPROĊĊ ESTIŻ TAL-ISKALA TAL-MATURITÀ</w:t>
            </w:r>
          </w:p>
          <w:p w14:paraId="28E22845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072FB876" w14:textId="13AA387E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Il-pożizzjonijiet f’komoditajiet soġġetti għall-approċċ estiż tal-iskala tal-maturità msemmi fl-Artikolu 361 tar-Regolament (UE) Nru 575/2013</w:t>
            </w:r>
          </w:p>
          <w:p w14:paraId="4CC42EBB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08D8BBC0" w14:textId="77777777" w:rsidTr="00672D2A">
        <w:tc>
          <w:tcPr>
            <w:tcW w:w="987" w:type="dxa"/>
          </w:tcPr>
          <w:p w14:paraId="75FF36E9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0090</w:t>
            </w:r>
          </w:p>
        </w:tc>
        <w:tc>
          <w:tcPr>
            <w:tcW w:w="7875" w:type="dxa"/>
          </w:tcPr>
          <w:p w14:paraId="5AEA8FE4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APPROĊĊ SIMPLIFIKAT</w:t>
            </w:r>
          </w:p>
          <w:p w14:paraId="739EF26B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33C6F5D9" w14:textId="7485AEDA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Il-pożizzjonijiet f’komoditajiet soġġetti għall-approċċ simplifikat imsemmi fl-Artikolu 360 tar-Regolament (UE) Nru 575/2013 </w:t>
            </w:r>
          </w:p>
          <w:p w14:paraId="72D24CC9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0B0B09" w:rsidRPr="002D60D7" w14:paraId="46AF081D" w14:textId="77777777" w:rsidTr="00672D2A">
        <w:tc>
          <w:tcPr>
            <w:tcW w:w="987" w:type="dxa"/>
          </w:tcPr>
          <w:p w14:paraId="7DA76A9F" w14:textId="77777777" w:rsidR="000B0B09" w:rsidRPr="002D60D7" w:rsidRDefault="002F79EA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0100-0140</w:t>
            </w:r>
          </w:p>
        </w:tc>
        <w:tc>
          <w:tcPr>
            <w:tcW w:w="7875" w:type="dxa"/>
          </w:tcPr>
          <w:p w14:paraId="1AB2469B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REKWIŻITI ADDIZZJONALI GĦAL OPZJONIJIET (RISKJI MHUX DELTA)</w:t>
            </w:r>
          </w:p>
          <w:p w14:paraId="444B7110" w14:textId="08585130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358(4) tar-Regolament (UE) Nru 575/2013 </w:t>
            </w:r>
          </w:p>
          <w:p w14:paraId="1D3D5AF7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Ir-rekwiżiti addizzjonali għall-opzjonijiet relatati ma’ riskji mhux delta għandhom jiġu rrapportati bil-metodu użat għall-kalkolu tagħhom.</w:t>
            </w:r>
          </w:p>
          <w:p w14:paraId="55D77BA3" w14:textId="77777777" w:rsidR="000B0B09" w:rsidRPr="002D60D7" w:rsidRDefault="000B0B09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</w:tc>
      </w:tr>
    </w:tbl>
    <w:p w14:paraId="43D70997" w14:textId="77777777" w:rsidR="000B0B09" w:rsidRPr="002D60D7" w:rsidRDefault="000B0B09" w:rsidP="004C445F">
      <w:pPr>
        <w:suppressAutoHyphens/>
        <w:rPr>
          <w:rFonts w:ascii="Times New Roman" w:hAnsi="Times New Roman"/>
          <w:sz w:val="24"/>
        </w:rPr>
      </w:pPr>
    </w:p>
    <w:p w14:paraId="60EF2674" w14:textId="77777777" w:rsidR="000B0B09" w:rsidRPr="002D60D7" w:rsidRDefault="000B0B09" w:rsidP="004C445F">
      <w:pPr>
        <w:suppressAutoHyphens/>
        <w:spacing w:before="0" w:after="0"/>
        <w:jc w:val="left"/>
        <w:rPr>
          <w:rStyle w:val="InstructionsTabelleText"/>
          <w:rFonts w:ascii="Times New Roman" w:hAnsi="Times New Roman"/>
          <w:sz w:val="24"/>
        </w:rPr>
      </w:pPr>
    </w:p>
    <w:p w14:paraId="47562548" w14:textId="0B23E4C1" w:rsidR="005970B6" w:rsidRPr="002D60D7" w:rsidRDefault="00C82BBD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/>
          <w:sz w:val="24"/>
        </w:rPr>
      </w:pPr>
      <w:bookmarkStart w:id="158" w:name="_Toc210752980"/>
      <w:r w:rsidRPr="00913B98">
        <w:rPr>
          <w:rFonts w:ascii="Times New Roman" w:hAnsi="Times New Roman"/>
          <w:sz w:val="24"/>
          <w:u w:val="none"/>
        </w:rPr>
        <w:t>8.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C 24.00 - Mudell Intern tar-Riskju tas-Suq (MKR IM)</w:t>
      </w:r>
      <w:bookmarkEnd w:id="158"/>
    </w:p>
    <w:p w14:paraId="4EE11059" w14:textId="6831F2FC" w:rsidR="005970B6" w:rsidRPr="002D60D7" w:rsidRDefault="00C82BBD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59" w:name="_Toc151714505"/>
      <w:bookmarkStart w:id="160" w:name="_Toc210752981"/>
      <w:r>
        <w:rPr>
          <w:rFonts w:ascii="Times New Roman" w:hAnsi="Times New Roman"/>
          <w:sz w:val="24"/>
          <w:u w:val="none"/>
        </w:rPr>
        <w:t>8.1.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Kummenti Ġenerali</w:t>
      </w:r>
      <w:bookmarkEnd w:id="159"/>
      <w:bookmarkEnd w:id="160"/>
    </w:p>
    <w:p w14:paraId="2B3D1454" w14:textId="708078C0" w:rsidR="005970B6" w:rsidRPr="002D60D7" w:rsidRDefault="005970B6" w:rsidP="00E172EA">
      <w:pPr>
        <w:pStyle w:val="InstructionsText2"/>
        <w:numPr>
          <w:ilvl w:val="0"/>
          <w:numId w:val="29"/>
        </w:numPr>
        <w:suppressAutoHyphens/>
      </w:pPr>
      <w:r>
        <w:t>Din il-formola tipprovdi diżaggregazzjoni taċ-ċifri tal-VaR u tal-VaR taħt stress (sVaR) skont ir-riskji differenti tas-suq (dejn, ekwità, FX, komoditajiet) u informazzjoni oħra relevanti għall-kalkolu tar-rekwiżiti ta’ fondi proprji.</w:t>
      </w:r>
    </w:p>
    <w:p w14:paraId="6141A6DE" w14:textId="106A2D11" w:rsidR="005970B6" w:rsidRDefault="005970B6" w:rsidP="00E172EA">
      <w:pPr>
        <w:pStyle w:val="InstructionsText2"/>
        <w:numPr>
          <w:ilvl w:val="0"/>
          <w:numId w:val="29"/>
        </w:numPr>
        <w:suppressAutoHyphens/>
      </w:pPr>
      <w:r>
        <w:t xml:space="preserve">Ġeneralment, jiddependi fuq l-istruttura tal-mudell tad-ditti ta’ investiment jekk iċ-ċifri għal riskju ġenerali u speċifiku jistgħux jiġu ddeterminati u rrapportati b’mod separat jew bħala total biss. L-istess jgħodd għad-dekompożizzjoni tal-VaR/VaR Taħt Stress fil-kategoriji ta’ riskju (riskju taċ-ċaqliq fir-rata tal-imgħax, riskju ta’ ekwità, riskju tal-komoditajiet u riskju tal-kambju). Istituzzjoni tista’ ma tirrapportax dawk id-dekompożizzjonijiet jekk tali istituzzjoni tagħti prova li r-rapportar ta’ dawk iċ-ċifri jkun ta’ piż żejjed bla bżonn. </w:t>
      </w:r>
    </w:p>
    <w:p w14:paraId="2EAB7003" w14:textId="035AB67F" w:rsidR="005970B6" w:rsidRPr="002D60D7" w:rsidRDefault="00C82BBD" w:rsidP="004C445F">
      <w:pPr>
        <w:pStyle w:val="Instructionsberschrift2"/>
        <w:numPr>
          <w:ilvl w:val="0"/>
          <w:numId w:val="0"/>
        </w:numPr>
        <w:suppressAutoHyphens/>
        <w:ind w:left="357" w:hanging="357"/>
        <w:rPr>
          <w:rFonts w:ascii="Times New Roman" w:hAnsi="Times New Roman" w:cs="Times New Roman"/>
          <w:sz w:val="24"/>
        </w:rPr>
      </w:pPr>
      <w:bookmarkStart w:id="161" w:name="_Toc151714506"/>
      <w:bookmarkStart w:id="162" w:name="_Toc210752982"/>
      <w:r>
        <w:rPr>
          <w:rFonts w:ascii="Times New Roman" w:hAnsi="Times New Roman"/>
          <w:sz w:val="24"/>
          <w:u w:val="none"/>
        </w:rPr>
        <w:t>8.2.</w:t>
      </w:r>
      <w:r w:rsidRPr="00913B98">
        <w:rPr>
          <w:u w:val="none"/>
        </w:rPr>
        <w:tab/>
      </w:r>
      <w:r>
        <w:rPr>
          <w:rFonts w:ascii="Times New Roman" w:hAnsi="Times New Roman"/>
          <w:sz w:val="24"/>
        </w:rPr>
        <w:t>Struzzjonijiet li jikkonċernaw pożizzjonijiet speċifiċi</w:t>
      </w:r>
      <w:bookmarkEnd w:id="161"/>
      <w:bookmarkEnd w:id="16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869"/>
      </w:tblGrid>
      <w:tr w:rsidR="005970B6" w:rsidRPr="002D60D7" w14:paraId="2AB574E2" w14:textId="77777777">
        <w:tc>
          <w:tcPr>
            <w:tcW w:w="8862" w:type="dxa"/>
            <w:gridSpan w:val="2"/>
            <w:shd w:val="clear" w:color="auto" w:fill="BFBFBF"/>
          </w:tcPr>
          <w:p w14:paraId="01F4E30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Kolonni</w:t>
            </w:r>
          </w:p>
        </w:tc>
      </w:tr>
      <w:tr w:rsidR="005970B6" w:rsidRPr="002D60D7" w14:paraId="52E77425" w14:textId="77777777">
        <w:tc>
          <w:tcPr>
            <w:tcW w:w="993" w:type="dxa"/>
          </w:tcPr>
          <w:p w14:paraId="0E51BB94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0030-0040</w:t>
            </w:r>
          </w:p>
        </w:tc>
        <w:tc>
          <w:tcPr>
            <w:tcW w:w="7869" w:type="dxa"/>
          </w:tcPr>
          <w:p w14:paraId="7095CD17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Valur fir-Riskju (VaR, Value at Risk)</w:t>
            </w:r>
          </w:p>
          <w:p w14:paraId="3DE9F1A1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VaR ifisser it-telf potenzjali massimu li jirriżulta minn bidla fil-prezz bi probabbiltà partikolari fuq perjodu ta’ żmien speċifiku.</w:t>
            </w:r>
          </w:p>
        </w:tc>
      </w:tr>
      <w:tr w:rsidR="005970B6" w:rsidRPr="002D60D7" w14:paraId="0C4757E9" w14:textId="77777777">
        <w:tc>
          <w:tcPr>
            <w:tcW w:w="993" w:type="dxa"/>
          </w:tcPr>
          <w:p w14:paraId="145F944C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869" w:type="dxa"/>
          </w:tcPr>
          <w:p w14:paraId="31C8EDD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Fattur ta’ multiplikazzjoni (mc) x Medja tal-VaR tas-60 jum tax-xogħol preċedenti (VaRavg, average Value at Risk)</w:t>
            </w:r>
          </w:p>
          <w:p w14:paraId="04584C56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fr-FR"/>
              </w:rPr>
            </w:pPr>
          </w:p>
          <w:p w14:paraId="4A7537D0" w14:textId="7FFEC143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364(1), il-punt (a)(ii) u l-Artikolu 365(1) tar-Regolament (UE) Nru 575/2013 </w:t>
            </w:r>
          </w:p>
          <w:p w14:paraId="0DEB05BA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nl-BE"/>
              </w:rPr>
            </w:pPr>
          </w:p>
        </w:tc>
      </w:tr>
      <w:tr w:rsidR="005970B6" w:rsidRPr="002D60D7" w14:paraId="072FF466" w14:textId="77777777">
        <w:tc>
          <w:tcPr>
            <w:tcW w:w="993" w:type="dxa"/>
          </w:tcPr>
          <w:p w14:paraId="280446FC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869" w:type="dxa"/>
          </w:tcPr>
          <w:p w14:paraId="4723F40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VaR tal-jum ta’ qabel (VaRt-1)</w:t>
            </w:r>
          </w:p>
          <w:p w14:paraId="4954CEFC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fr-FR"/>
              </w:rPr>
            </w:pPr>
          </w:p>
          <w:p w14:paraId="559586B7" w14:textId="29F64A6A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L-Artikolu 364(1), il-punt (a)(i) u l-Artikolu 365(1) tar-Regolament (UE) Nru 575/2013 </w:t>
            </w:r>
          </w:p>
          <w:p w14:paraId="645E0D4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nl-BE"/>
              </w:rPr>
            </w:pPr>
          </w:p>
        </w:tc>
      </w:tr>
      <w:tr w:rsidR="005970B6" w:rsidRPr="002D60D7" w14:paraId="301A77B0" w14:textId="77777777">
        <w:tc>
          <w:tcPr>
            <w:tcW w:w="993" w:type="dxa"/>
          </w:tcPr>
          <w:p w14:paraId="55BFA8D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0050-0060</w:t>
            </w:r>
          </w:p>
        </w:tc>
        <w:tc>
          <w:tcPr>
            <w:tcW w:w="7869" w:type="dxa"/>
          </w:tcPr>
          <w:p w14:paraId="34BD64B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VaR taħt Stress</w:t>
            </w:r>
          </w:p>
          <w:p w14:paraId="60CDE984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568464C3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VaR taħt Stress ifisser it-telf potenzjali massimu li jirriżulta minn bidla fil-prezz bi probabbiltà partikolari fuq perjodu ta’ żmien speċifiku miksub billi jintuża input ikkalibrat għal data storika minn perjodu kontinwu ta’ 12-il xahar ta’ tensjoni finanzjarja relevanti għall-portafoll tal-istituzzjoni.</w:t>
            </w:r>
          </w:p>
        </w:tc>
      </w:tr>
      <w:tr w:rsidR="005970B6" w:rsidRPr="002D60D7" w14:paraId="3411CEBC" w14:textId="77777777">
        <w:tc>
          <w:tcPr>
            <w:tcW w:w="993" w:type="dxa"/>
          </w:tcPr>
          <w:p w14:paraId="026E7588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869" w:type="dxa"/>
          </w:tcPr>
          <w:p w14:paraId="629F86AB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Fattur ta’ multiplikazzjoni (ms) x Medja tas-60 jum tax-xogħol preċedenti (SVaRavg, average stress-Value at Risk)</w:t>
            </w:r>
          </w:p>
          <w:p w14:paraId="1CFE4B08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Style w:val="InstructionsTabelleberschrift"/>
                <w:rFonts w:ascii="Times New Roman" w:hAnsi="Times New Roman"/>
                <w:sz w:val="24"/>
              </w:rPr>
            </w:pPr>
          </w:p>
          <w:p w14:paraId="62913484" w14:textId="351187F2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364(1), il-punt (b)(ii) u l-Artikolu 365(1) tar-Regolament (UE) Nru 575/2013</w:t>
            </w: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 </w:t>
            </w:r>
          </w:p>
          <w:p w14:paraId="77989826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Style w:val="InstructionsTabelleberschrift"/>
                <w:rFonts w:ascii="Times New Roman" w:hAnsi="Times New Roman"/>
                <w:sz w:val="24"/>
              </w:rPr>
            </w:pPr>
          </w:p>
        </w:tc>
      </w:tr>
      <w:tr w:rsidR="005970B6" w:rsidRPr="002D60D7" w14:paraId="41A38D20" w14:textId="77777777">
        <w:tc>
          <w:tcPr>
            <w:tcW w:w="993" w:type="dxa"/>
          </w:tcPr>
          <w:p w14:paraId="2A34CF8D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869" w:type="dxa"/>
          </w:tcPr>
          <w:p w14:paraId="470B121D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L-aħħar disponibbli (SVaRt-1)</w:t>
            </w:r>
          </w:p>
          <w:p w14:paraId="0EC2BDBA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5FF53E38" w14:textId="0054C4CA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364(1), il-punt (b)(i) u l-Artikolu 365(1) tar-Regolament (UE) Nru 575/2013 </w:t>
            </w:r>
          </w:p>
          <w:p w14:paraId="5E60C647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de-DE"/>
              </w:rPr>
            </w:pPr>
          </w:p>
        </w:tc>
      </w:tr>
      <w:tr w:rsidR="005970B6" w:rsidRPr="002D60D7" w14:paraId="7F2569E5" w14:textId="77777777">
        <w:tc>
          <w:tcPr>
            <w:tcW w:w="993" w:type="dxa"/>
          </w:tcPr>
          <w:p w14:paraId="3A69DDB7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0070-0080</w:t>
            </w:r>
          </w:p>
        </w:tc>
        <w:tc>
          <w:tcPr>
            <w:tcW w:w="7869" w:type="dxa"/>
          </w:tcPr>
          <w:p w14:paraId="0A6B8E33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ALLOKAZZJONI TA’ KAPITAL FUQ RISKJI INKRIMENTALI TA’ INADEMPJENZA U MIGRAZZJONI</w:t>
            </w:r>
          </w:p>
          <w:p w14:paraId="5B3AF066" w14:textId="72000B27" w:rsidR="005970B6" w:rsidRPr="002D60D7" w:rsidRDefault="005970B6" w:rsidP="004C445F">
            <w:pPr>
              <w:suppressAutoHyphens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Allokazzjoni ta’ kapital fuq riskji inkrimentali ta’ inadempjenza u migrazzjoni tfisser it-telf potenzjali massimu li jirriżulta minn bidla fil-prezz marbuta mar-riskji ta’ inadempjenza u migrazzjoni kkalkolati f’konformità mal-Artikolu 364(2), il-punt (b) flimkien mal-Parti Tlieta, it-Titolu IV, il-Kapitolu 5, it-Taqsima 4 tar-Regolament (UE) Nru 575/2013. </w:t>
            </w:r>
          </w:p>
        </w:tc>
      </w:tr>
      <w:tr w:rsidR="005970B6" w:rsidRPr="002D60D7" w14:paraId="17515745" w14:textId="77777777">
        <w:tc>
          <w:tcPr>
            <w:tcW w:w="993" w:type="dxa"/>
          </w:tcPr>
          <w:p w14:paraId="595C652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869" w:type="dxa"/>
          </w:tcPr>
          <w:p w14:paraId="48A1B02F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Kejl tal-medja ta’ 12-il ġimgħa</w:t>
            </w:r>
          </w:p>
          <w:p w14:paraId="7DF0D030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A6FCED4" w14:textId="280A30E8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364(2), il-punt (b)(ii) flimkien mal-Parti Tlieta, it-Titolu IV, il-Kapitolu 5, it-Taqsima 4 tar-Regolament (UE) Nru 575/2013</w:t>
            </w:r>
          </w:p>
          <w:p w14:paraId="4E5E6B90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5970B6" w:rsidRPr="002D60D7" w14:paraId="12AD55A6" w14:textId="77777777">
        <w:tc>
          <w:tcPr>
            <w:tcW w:w="993" w:type="dxa"/>
          </w:tcPr>
          <w:p w14:paraId="268DB16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0080</w:t>
            </w:r>
          </w:p>
        </w:tc>
        <w:tc>
          <w:tcPr>
            <w:tcW w:w="7869" w:type="dxa"/>
          </w:tcPr>
          <w:p w14:paraId="24DAC2BD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L-Aħħar Kejl</w:t>
            </w:r>
          </w:p>
          <w:p w14:paraId="776D80BB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3EF08F5A" w14:textId="1718D564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364(2), il-punt (b)(i) flimkien mal-Parti Tlieta, it-Titolu IV, il-Kapitolu 5, it-Taqsima 4 tar-Regolament (UE) Nru 575/2013</w:t>
            </w:r>
          </w:p>
          <w:p w14:paraId="2DB84EA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5970B6" w:rsidRPr="002D60D7" w14:paraId="06406A7A" w14:textId="77777777">
        <w:tc>
          <w:tcPr>
            <w:tcW w:w="993" w:type="dxa"/>
          </w:tcPr>
          <w:p w14:paraId="1EBB8F0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0090-0110</w:t>
            </w:r>
          </w:p>
        </w:tc>
        <w:tc>
          <w:tcPr>
            <w:tcW w:w="7869" w:type="dxa"/>
          </w:tcPr>
          <w:p w14:paraId="1C6A0111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ALLOKAZZJONI TA’ KAPITAL GĦAR-RISKJI TAL-PREZZ GĦALL-PNK KOLLHA</w:t>
            </w:r>
          </w:p>
          <w:p w14:paraId="29B7ABA4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5970B6" w:rsidRPr="002D60D7" w14:paraId="2616A8BA" w14:textId="77777777">
        <w:tc>
          <w:tcPr>
            <w:tcW w:w="993" w:type="dxa"/>
          </w:tcPr>
          <w:p w14:paraId="70419120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0090</w:t>
            </w:r>
          </w:p>
        </w:tc>
        <w:tc>
          <w:tcPr>
            <w:tcW w:w="7869" w:type="dxa"/>
          </w:tcPr>
          <w:p w14:paraId="1E696B6B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MINIMU</w:t>
            </w:r>
          </w:p>
          <w:p w14:paraId="4D4AA5D6" w14:textId="77777777" w:rsidR="005970B6" w:rsidRPr="002D60D7" w:rsidRDefault="005970B6" w:rsidP="004C44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364(3), il-punt (c) tar-Regolament (UE) Nru 575/2013</w:t>
            </w:r>
          </w:p>
          <w:p w14:paraId="43C8E4E6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Tmienja fil-mija tal-allokazzjoni ta’ kapital li tkun ikkalkolata f’konformità mal-Artikolu 338(1) tar-Regolament (UE) Nru 575/2013 għall-pożizzjonijiet kollha fl-allokazzjoni ta’ kapital “riskji kollha tal-prezz”.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  <w:p w14:paraId="0D022373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5970B6" w:rsidRPr="002D60D7" w14:paraId="18CB1AF7" w14:textId="77777777">
        <w:tc>
          <w:tcPr>
            <w:tcW w:w="993" w:type="dxa"/>
          </w:tcPr>
          <w:p w14:paraId="4E53B904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0100-0110</w:t>
            </w:r>
          </w:p>
        </w:tc>
        <w:tc>
          <w:tcPr>
            <w:tcW w:w="7869" w:type="dxa"/>
          </w:tcPr>
          <w:p w14:paraId="7CEDB94C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KEJL TAL-MEDJA TA’ 12-IL ĠIMGĦA U L-AĦĦAR KEJL</w:t>
            </w:r>
          </w:p>
          <w:p w14:paraId="46EA9990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L-Artikolu 364(3), il-punt (b), tar-Regolament (UE) Nru 575/2013</w:t>
            </w:r>
          </w:p>
          <w:p w14:paraId="3111F404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  <w:u w:val="single"/>
                <w:lang w:eastAsia="nl-BE"/>
              </w:rPr>
            </w:pPr>
          </w:p>
        </w:tc>
      </w:tr>
      <w:tr w:rsidR="005970B6" w:rsidRPr="002D60D7" w14:paraId="320867DB" w14:textId="77777777">
        <w:tc>
          <w:tcPr>
            <w:tcW w:w="993" w:type="dxa"/>
          </w:tcPr>
          <w:p w14:paraId="42D6439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0110</w:t>
            </w:r>
          </w:p>
        </w:tc>
        <w:tc>
          <w:tcPr>
            <w:tcW w:w="7869" w:type="dxa"/>
          </w:tcPr>
          <w:p w14:paraId="30EB7A67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L-AĦĦAR KEJL</w:t>
            </w:r>
          </w:p>
          <w:p w14:paraId="54C3A200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L-Artikolu 364(3), il-punt (a) tar-Regolament (UE) Nru 575/2013</w:t>
            </w:r>
          </w:p>
          <w:p w14:paraId="702AB90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5970B6" w:rsidRPr="002D60D7" w14:paraId="6AF4AFCB" w14:textId="77777777">
        <w:tc>
          <w:tcPr>
            <w:tcW w:w="993" w:type="dxa"/>
          </w:tcPr>
          <w:p w14:paraId="07850638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0120</w:t>
            </w:r>
          </w:p>
        </w:tc>
        <w:tc>
          <w:tcPr>
            <w:tcW w:w="7869" w:type="dxa"/>
          </w:tcPr>
          <w:p w14:paraId="154C34AA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REKWIŻITI TA’ FONDI PROPRJI</w:t>
            </w:r>
          </w:p>
          <w:p w14:paraId="278D1894" w14:textId="31D5182C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Ir-rekwiżiti ta’ fondi proprji msemmija fl-Artikolu 364 tar-Regolament (UE) Nru 575/2013 tal-fatturi ta’ riskju kollha filwaqt li jitqiesu l-effetti ta’ korrelazzjoni, meta applikabbli, flimkien ma’ riskju inkrimentali ta’ inadempjenza u migrazzjoni u l-prezzijiet tar-riskji kollha għall-PNK iżda esklużi l-allokazzjonijiet ta’ kapital tat-Titolizzazzjoni għal Titolizzazzjoni u derivattivi ta’ kreditu n-eżmu inadempjenti f’konformità mal-Artikolu 364(2) ta’ dak ir-Regolament </w:t>
            </w:r>
          </w:p>
        </w:tc>
      </w:tr>
      <w:tr w:rsidR="005970B6" w:rsidRPr="002D60D7" w14:paraId="321F7641" w14:textId="77777777">
        <w:tc>
          <w:tcPr>
            <w:tcW w:w="993" w:type="dxa"/>
          </w:tcPr>
          <w:p w14:paraId="4808EA4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0130</w:t>
            </w:r>
          </w:p>
        </w:tc>
        <w:tc>
          <w:tcPr>
            <w:tcW w:w="7869" w:type="dxa"/>
          </w:tcPr>
          <w:p w14:paraId="191025B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SKOPERTURA TOTALI GĦAR-RISKJU</w:t>
            </w:r>
          </w:p>
          <w:p w14:paraId="1B83D6B8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2BD10046" w14:textId="2F594400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L-Artikolu 92(6), il-punt (b), tar-Regolament (UE) Nru 575/2013. </w:t>
            </w:r>
          </w:p>
          <w:p w14:paraId="0C045673" w14:textId="570D1A63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Riżultat tal-multiplikazzjoni tar-rekwiżiti ta’ fondi proprji bi 12,5</w:t>
            </w:r>
          </w:p>
          <w:p w14:paraId="1D75252A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5970B6" w:rsidRPr="002D60D7" w14:paraId="230D32EA" w14:textId="77777777">
        <w:tc>
          <w:tcPr>
            <w:tcW w:w="993" w:type="dxa"/>
          </w:tcPr>
          <w:p w14:paraId="7C0865B7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0140</w:t>
            </w:r>
          </w:p>
        </w:tc>
        <w:tc>
          <w:tcPr>
            <w:tcW w:w="7869" w:type="dxa"/>
          </w:tcPr>
          <w:p w14:paraId="69330FF8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Għadd ta’ qbiż fil-valur (matul il-250 jum tax-xogħol preċedenti)</w:t>
            </w:r>
          </w:p>
          <w:p w14:paraId="66F88BE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Imsemmi fl-Artikolu 366 tar-Regolament (UE) Nru 575/2013</w:t>
            </w:r>
          </w:p>
          <w:p w14:paraId="681C5C48" w14:textId="5946ADCD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Għandu jiġi rrapportat l-għadd ta’ qbiż fil-valur li fuqu jiġi ddeterminat l-addend. Meta d-ditti ta’ investiment jitħallew jeskludu ċertu qbiż tal-valur mill-kalkolu tal-addend f’konformità mal-Artikolu 500c tar-Regolament (UE) Nru 575/2013, l-għadd ta’ qbiż tal-valur rapportat f’din il-kolonna għandu jkun nett minn dak il-qbiż tal-valur eskluż.</w:t>
            </w:r>
          </w:p>
        </w:tc>
      </w:tr>
      <w:tr w:rsidR="005970B6" w:rsidRPr="002D60D7" w14:paraId="44599020" w14:textId="77777777">
        <w:tc>
          <w:tcPr>
            <w:tcW w:w="993" w:type="dxa"/>
          </w:tcPr>
          <w:p w14:paraId="4C66FF0B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0150-0160</w:t>
            </w:r>
          </w:p>
        </w:tc>
        <w:tc>
          <w:tcPr>
            <w:tcW w:w="7869" w:type="dxa"/>
          </w:tcPr>
          <w:p w14:paraId="26532024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Fattur ta’ Multiplikazzjoni tal-VaR (mc) u l-Fattur ta’ Multiplikazzjoni tas-SVaR (ms)</w:t>
            </w:r>
          </w:p>
          <w:p w14:paraId="5E04C211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Kif imsemmi fl-Artikolu 366 tar-Regolament (UE) Nru 575/2013</w:t>
            </w:r>
          </w:p>
          <w:p w14:paraId="779600D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Style w:val="InstructionsTabelleberschrift"/>
              </w:rPr>
            </w:pPr>
            <w:r>
              <w:rPr>
                <w:rFonts w:ascii="Times New Roman" w:hAnsi="Times New Roman"/>
                <w:sz w:val="24"/>
              </w:rPr>
              <w:t>Il-fatturi ta’ multiplikazzjoni effettivament applikabbli għall-kalkolu tar-rekwiżiti ta’ fondi proprji għandhom ikunu rrapportati; Meta applikabbli, wara l-applikazzjoni tal-Artikolu 500c tar-Regolament (UE) Nru 575/2013.</w:t>
            </w:r>
          </w:p>
          <w:p w14:paraId="50AAD27B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fr-FR"/>
              </w:rPr>
            </w:pPr>
          </w:p>
        </w:tc>
      </w:tr>
      <w:tr w:rsidR="005970B6" w:rsidRPr="002D60D7" w14:paraId="470DEC4A" w14:textId="77777777">
        <w:tc>
          <w:tcPr>
            <w:tcW w:w="993" w:type="dxa"/>
          </w:tcPr>
          <w:p w14:paraId="3AFAF47E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0170-0180</w:t>
            </w:r>
          </w:p>
        </w:tc>
        <w:tc>
          <w:tcPr>
            <w:tcW w:w="7869" w:type="dxa"/>
          </w:tcPr>
          <w:p w14:paraId="4882499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REKWIŻIT PREŻUNT GĦAL-LIMITU MINIMU TA’ PNK - POŻIZZJONIJIET TWAL / QOSRA NETTI PONDERATI WARA L-LIMITU MASSIMU</w:t>
            </w:r>
          </w:p>
          <w:p w14:paraId="494DC1BB" w14:textId="2CBA2FF8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L-ammont rapportat u li jservi ta’ bażi biex tiġi kkalkolata l-allokazzjoni ta’ kapital minima għar-riskji tal-prezzijiet kollha f’konformità mal-Artikolu 364(3), il-punt (c) tar-Regolament (UE) Nru 575/2013, filwaqt li titqies id-diskrezzjoni stabbilita fl-Artikolu 335 ta’ dak ir-Regolament li tistipula li l-istituzzjoni tista’ tillimita l-multiplikazzjoni tal-ponderazzjoni u l-pożizzjoni netta għat-telf massimu possibbli relatat mar-riskju ta’ inadempjenza. </w:t>
            </w:r>
          </w:p>
        </w:tc>
      </w:tr>
    </w:tbl>
    <w:p w14:paraId="7C2EA60D" w14:textId="77777777" w:rsidR="005970B6" w:rsidRPr="002D60D7" w:rsidRDefault="005970B6" w:rsidP="004C445F">
      <w:pPr>
        <w:suppressAutoHyphens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903"/>
      </w:tblGrid>
      <w:tr w:rsidR="005970B6" w:rsidRPr="002D60D7" w14:paraId="708AEEEE" w14:textId="77777777" w:rsidTr="00332B2A">
        <w:trPr>
          <w:trHeight w:val="566"/>
        </w:trPr>
        <w:tc>
          <w:tcPr>
            <w:tcW w:w="8896" w:type="dxa"/>
            <w:gridSpan w:val="2"/>
            <w:shd w:val="clear" w:color="auto" w:fill="CCCCCC"/>
          </w:tcPr>
          <w:p w14:paraId="24A53264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Ringieli</w:t>
            </w:r>
          </w:p>
        </w:tc>
      </w:tr>
      <w:tr w:rsidR="005970B6" w:rsidRPr="002D60D7" w14:paraId="02CF19A0" w14:textId="77777777" w:rsidTr="00332B2A">
        <w:tc>
          <w:tcPr>
            <w:tcW w:w="993" w:type="dxa"/>
          </w:tcPr>
          <w:p w14:paraId="1CFD210A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0010</w:t>
            </w:r>
          </w:p>
        </w:tc>
        <w:tc>
          <w:tcPr>
            <w:tcW w:w="7903" w:type="dxa"/>
          </w:tcPr>
          <w:p w14:paraId="35E94AC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POŻIZZJONIJIET TOTALI</w:t>
            </w:r>
          </w:p>
          <w:p w14:paraId="51E6C5CE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1D3F3FF0" w14:textId="7DCEF510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Tikkorrispondi għall-parti tar-riskju ta’ pożizzjoni, tal-kambju u tal-komoditajiet imsemmija fl-Artikolu 363(1) tar-Regolament (UE) Nru 575/2013 marbuta mal-fatturi ta’ riskju msemmija fl-Artikolu 367(2) ta’ dak ir-Regolament.</w:t>
            </w:r>
          </w:p>
          <w:p w14:paraId="1E849456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Dwar il-kolonni 0030 sa 0060 (VAR u VAR Taħt Stress), iċ-ċifri fir-ringiela tat-total mhumiex daqs id-dekompożizzjoni taċ-ċifri għall-VaR/VaR Taħt Stress tal-komponenti ta’ riskju relevanti.</w:t>
            </w:r>
          </w:p>
          <w:p w14:paraId="5F3B58EB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fr-FR"/>
              </w:rPr>
            </w:pPr>
          </w:p>
        </w:tc>
      </w:tr>
      <w:tr w:rsidR="005970B6" w:rsidRPr="002D60D7" w14:paraId="38DA43E4" w14:textId="77777777" w:rsidTr="00332B2A">
        <w:tc>
          <w:tcPr>
            <w:tcW w:w="993" w:type="dxa"/>
          </w:tcPr>
          <w:p w14:paraId="5E16B1F7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903" w:type="dxa"/>
          </w:tcPr>
          <w:p w14:paraId="27B63C5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STRUMENTI TA’ DEJN NEGOZJAT</w:t>
            </w:r>
          </w:p>
          <w:p w14:paraId="15354D11" w14:textId="079C5AF5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Tikkorrispondi għall-parti tar-riskju ta’ pożizzjoni msemmi fl-Artikolu 363(1) tar-Regolament (UE) Nru 575/2013, b’rabta mal-fatturi ta’ riskju għar-rati tal-imgħax imsemmija fl-Artikolu 367(2), il-punt (a), ta’ dak ir-Regolament.</w:t>
            </w:r>
          </w:p>
        </w:tc>
      </w:tr>
      <w:tr w:rsidR="005970B6" w:rsidRPr="002D60D7" w14:paraId="49E5F163" w14:textId="77777777" w:rsidTr="00332B2A">
        <w:tc>
          <w:tcPr>
            <w:tcW w:w="993" w:type="dxa"/>
          </w:tcPr>
          <w:p w14:paraId="286B5CF1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903" w:type="dxa"/>
          </w:tcPr>
          <w:p w14:paraId="39D95E98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TDI – RISKJU ĠENERALI</w:t>
            </w:r>
          </w:p>
          <w:p w14:paraId="630ECD46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Komponent ta’ riskju ġenerali kif imsemmi fl-Artikolu 362 tar-Regolament (UE) Nru 575/2013 </w:t>
            </w:r>
          </w:p>
        </w:tc>
      </w:tr>
      <w:tr w:rsidR="005970B6" w:rsidRPr="002D60D7" w14:paraId="2085F588" w14:textId="77777777" w:rsidTr="00332B2A">
        <w:tc>
          <w:tcPr>
            <w:tcW w:w="993" w:type="dxa"/>
          </w:tcPr>
          <w:p w14:paraId="156A3F94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903" w:type="dxa"/>
          </w:tcPr>
          <w:p w14:paraId="2815D7B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TDI – RISKJU SPEĊIFIKU</w:t>
            </w:r>
          </w:p>
          <w:p w14:paraId="6901AE9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0092F321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Komponent ta’ riskju speċifiku kif imsemmi fl-Artikolu 362 tar-Regolament (UE) Nru 575/2013 </w:t>
            </w:r>
          </w:p>
        </w:tc>
      </w:tr>
      <w:tr w:rsidR="005970B6" w:rsidRPr="002D60D7" w14:paraId="3B749D99" w14:textId="77777777" w:rsidTr="00332B2A">
        <w:tc>
          <w:tcPr>
            <w:tcW w:w="993" w:type="dxa"/>
          </w:tcPr>
          <w:p w14:paraId="4E293341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903" w:type="dxa"/>
          </w:tcPr>
          <w:p w14:paraId="1DA0299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EKWITAJIET</w:t>
            </w:r>
          </w:p>
          <w:p w14:paraId="2467F69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lang w:eastAsia="de-DE"/>
              </w:rPr>
            </w:pPr>
          </w:p>
          <w:p w14:paraId="436B16C8" w14:textId="145A0B19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Tikkorrispondi għall-parti tar-riskju ta’ pożizzjoni msemmi fl-Artikolu 363(1) tar-Regolament (UE) Nru 575/2013, b’rabta mal-fatturi ta’ riskju ta’ ekwità msemmija fl-Artikolu 367(2), il-punt (c), ta’ dak ir-Regolament. </w:t>
            </w:r>
          </w:p>
          <w:p w14:paraId="7E55C507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5970B6" w:rsidRPr="002D60D7" w14:paraId="0B6B921A" w14:textId="77777777" w:rsidTr="00332B2A">
        <w:tc>
          <w:tcPr>
            <w:tcW w:w="993" w:type="dxa"/>
          </w:tcPr>
          <w:p w14:paraId="03CEBA6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903" w:type="dxa"/>
          </w:tcPr>
          <w:p w14:paraId="2CD176EE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EKWITAJIET – RISKJU ĠENERALI</w:t>
            </w:r>
          </w:p>
          <w:p w14:paraId="7ACC51D0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Komponent ta’ riskju ġenerali kif imsemmi fl-Artikolu 362 tar-Regolament (UE) Nru 575/2013</w:t>
            </w:r>
          </w:p>
        </w:tc>
      </w:tr>
      <w:tr w:rsidR="005970B6" w:rsidRPr="002D60D7" w14:paraId="50D0A347" w14:textId="77777777" w:rsidTr="00332B2A">
        <w:tc>
          <w:tcPr>
            <w:tcW w:w="993" w:type="dxa"/>
          </w:tcPr>
          <w:p w14:paraId="38D0948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903" w:type="dxa"/>
          </w:tcPr>
          <w:p w14:paraId="34DF223D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EKWITAJIET – RISKJU SPEĊIFIKU</w:t>
            </w:r>
          </w:p>
          <w:p w14:paraId="6F31492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Komponent ta’ riskju speċifiku kif imsemmi fl-Artikolu 362 tar-Regolament (UE) Nru 575/2013 </w:t>
            </w:r>
          </w:p>
        </w:tc>
      </w:tr>
      <w:tr w:rsidR="005970B6" w:rsidRPr="002D60D7" w14:paraId="5B986D45" w14:textId="77777777" w:rsidTr="00332B2A">
        <w:tc>
          <w:tcPr>
            <w:tcW w:w="993" w:type="dxa"/>
          </w:tcPr>
          <w:p w14:paraId="6F14BE8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0080</w:t>
            </w:r>
          </w:p>
        </w:tc>
        <w:tc>
          <w:tcPr>
            <w:tcW w:w="7903" w:type="dxa"/>
          </w:tcPr>
          <w:p w14:paraId="09DDEB75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RISKJU TAL-KAMBJU</w:t>
            </w:r>
          </w:p>
          <w:p w14:paraId="219E93CA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L-Artikoli 363(1) u l-Artikolu 367(2), il-punt (b), tar-Regolament (UE) Nru 575/2013</w:t>
            </w:r>
          </w:p>
        </w:tc>
      </w:tr>
      <w:tr w:rsidR="005970B6" w:rsidRPr="002D60D7" w14:paraId="6242B7DB" w14:textId="77777777" w:rsidTr="00332B2A">
        <w:tc>
          <w:tcPr>
            <w:tcW w:w="993" w:type="dxa"/>
          </w:tcPr>
          <w:p w14:paraId="01A4D573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0090</w:t>
            </w:r>
          </w:p>
        </w:tc>
        <w:tc>
          <w:tcPr>
            <w:tcW w:w="7903" w:type="dxa"/>
          </w:tcPr>
          <w:p w14:paraId="2B9D470A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RISKJU TAL-KOMODITAJIET</w:t>
            </w:r>
          </w:p>
          <w:p w14:paraId="4BBB0F31" w14:textId="4679FFC1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L-Artikolu 363(1) u l-Artikolu 367(2), il-punt (d) tar-Regolament (UE) Nru 575/2013 </w:t>
            </w:r>
          </w:p>
        </w:tc>
      </w:tr>
      <w:tr w:rsidR="005970B6" w:rsidRPr="002D60D7" w14:paraId="5165C26D" w14:textId="77777777" w:rsidTr="00332B2A">
        <w:tc>
          <w:tcPr>
            <w:tcW w:w="993" w:type="dxa"/>
          </w:tcPr>
          <w:p w14:paraId="3494480B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903" w:type="dxa"/>
          </w:tcPr>
          <w:p w14:paraId="379C8EA9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AMMONT TOTALI GĦAR-RISKJU ĠENERALI</w:t>
            </w:r>
          </w:p>
          <w:p w14:paraId="0C19B9DF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  <w:p w14:paraId="51FC56A2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 xml:space="preserve">Riskju tas-suq ikkaġunat minn ċaqliq fis-suq ġenerali ta’ strumenti ta’ dejn negozjat, ekwitajiet, kambju u komoditajiet. VaR għar-riskju ġenerali tal-fatturi </w:t>
            </w:r>
            <w:r>
              <w:rPr>
                <w:rStyle w:val="InstructionsTabelleText"/>
                <w:rFonts w:ascii="Times New Roman" w:hAnsi="Times New Roman"/>
                <w:sz w:val="24"/>
              </w:rPr>
              <w:lastRenderedPageBreak/>
              <w:t xml:space="preserve">kollha ta’ riskju (filwaqt li jittieħdu f’kunsiderazzjoni l-effetti ta’ korrelazzjoni, meta applikabbli) </w:t>
            </w:r>
          </w:p>
          <w:p w14:paraId="58946EA6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  <w:lang w:eastAsia="nl-BE"/>
              </w:rPr>
            </w:pPr>
          </w:p>
        </w:tc>
      </w:tr>
      <w:tr w:rsidR="005970B6" w:rsidRPr="00696301" w14:paraId="5EA545F0" w14:textId="77777777" w:rsidTr="00332B2A">
        <w:tc>
          <w:tcPr>
            <w:tcW w:w="993" w:type="dxa"/>
          </w:tcPr>
          <w:p w14:paraId="47E0AD8F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0110</w:t>
            </w:r>
          </w:p>
        </w:tc>
        <w:tc>
          <w:tcPr>
            <w:tcW w:w="7903" w:type="dxa"/>
          </w:tcPr>
          <w:p w14:paraId="116F1840" w14:textId="77777777" w:rsidR="005970B6" w:rsidRPr="002D60D7" w:rsidRDefault="005970B6" w:rsidP="004C445F">
            <w:pPr>
              <w:suppressAutoHyphens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AMMONT TOTALI GĦAL RISKJU SPEĊIFIKU</w:t>
            </w:r>
          </w:p>
          <w:p w14:paraId="6E0205CC" w14:textId="77777777" w:rsidR="005970B6" w:rsidRPr="00696301" w:rsidRDefault="005970B6" w:rsidP="004C445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Komponent tar-riskju speċifiku ta’ strumenti ta’ dejn negozjat u ekwitajiet. VaR għar-riskju speċifiku ta’ ekwitajiet u strumenti ta’ dejn negozjat ta’ portafoll tan-negozjar (filwaqt li jittieħdu f’kunsiderazzjoni l-effetti ta’ korrelazzjoni, meta applikabbli)</w:t>
            </w:r>
          </w:p>
        </w:tc>
      </w:tr>
    </w:tbl>
    <w:p w14:paraId="0578F882" w14:textId="77777777" w:rsidR="005970B6" w:rsidRPr="00696301" w:rsidRDefault="005970B6" w:rsidP="004C445F">
      <w:pPr>
        <w:suppressAutoHyphens/>
        <w:spacing w:before="0" w:after="0"/>
        <w:jc w:val="left"/>
        <w:rPr>
          <w:rStyle w:val="InstructionsTabelleText"/>
          <w:rFonts w:ascii="Times New Roman" w:hAnsi="Times New Roman"/>
          <w:sz w:val="24"/>
        </w:rPr>
      </w:pPr>
    </w:p>
    <w:p w14:paraId="59BBB927" w14:textId="7792346B" w:rsidR="00DD00B4" w:rsidRPr="00696301" w:rsidRDefault="00913B98" w:rsidP="004C445F">
      <w:pPr>
        <w:suppressAutoHyphens/>
        <w:spacing w:before="0" w:after="0"/>
        <w:jc w:val="left"/>
        <w:rPr>
          <w:rStyle w:val="InstructionsTabelleText"/>
          <w:rFonts w:ascii="Times New Roman" w:hAnsi="Times New Roman"/>
          <w:sz w:val="24"/>
        </w:rPr>
      </w:pPr>
      <w:r>
        <w:rPr>
          <w:rStyle w:val="InstructionsTabelleText"/>
          <w:rFonts w:ascii="Times New Roman" w:hAnsi="Times New Roman"/>
          <w:sz w:val="24"/>
        </w:rPr>
        <w:t>”</w:t>
      </w:r>
    </w:p>
    <w:sectPr w:rsidR="00DD00B4" w:rsidRPr="00696301" w:rsidSect="00B51F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3C9C" w14:textId="77777777" w:rsidR="00EB6A5F" w:rsidRDefault="00EB6A5F" w:rsidP="00D946DB">
      <w:pPr>
        <w:spacing w:before="0" w:after="0"/>
      </w:pPr>
      <w:r>
        <w:separator/>
      </w:r>
    </w:p>
  </w:endnote>
  <w:endnote w:type="continuationSeparator" w:id="0">
    <w:p w14:paraId="628372A5" w14:textId="77777777" w:rsidR="00EB6A5F" w:rsidRDefault="00EB6A5F" w:rsidP="00D946DB">
      <w:pPr>
        <w:spacing w:before="0" w:after="0"/>
      </w:pPr>
      <w:r>
        <w:continuationSeparator/>
      </w:r>
    </w:p>
  </w:endnote>
  <w:endnote w:type="continuationNotice" w:id="1">
    <w:p w14:paraId="02E41B13" w14:textId="77777777" w:rsidR="00EB6A5F" w:rsidRDefault="00EB6A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6FB1" w14:textId="77777777" w:rsidR="004E7DCF" w:rsidRDefault="004E7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685E" w14:textId="7A2643B3" w:rsidR="00C3070C" w:rsidRPr="00ED1956" w:rsidRDefault="00C3070C">
    <w:pPr>
      <w:pStyle w:val="Foot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  \* MERGEFORMAT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8</w:t>
    </w:r>
    <w:r>
      <w:rPr>
        <w:rFonts w:ascii="Times New Roman" w:hAnsi="Times New Roman"/>
        <w:sz w:val="22"/>
      </w:rPr>
      <w:fldChar w:fldCharType="end"/>
    </w:r>
  </w:p>
  <w:p w14:paraId="4D97BBA9" w14:textId="77777777" w:rsidR="00C3070C" w:rsidRDefault="00C307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102A" w14:textId="7C6C6999" w:rsidR="00C3070C" w:rsidRPr="00E85358" w:rsidRDefault="00C3070C">
    <w:pPr>
      <w:pStyle w:val="Footer"/>
      <w:jc w:val="right"/>
      <w:rPr>
        <w:sz w:val="22"/>
        <w:szCs w:val="22"/>
      </w:rPr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0503D57B" w14:textId="77777777" w:rsidR="00C3070C" w:rsidRDefault="00C307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E4A5" w14:textId="77777777" w:rsidR="00C3070C" w:rsidRDefault="00C3070C">
    <w:pPr>
      <w:pStyle w:val="Footer"/>
      <w:framePr w:wrap="auto" w:vAnchor="text" w:hAnchor="margin" w:xAlign="right" w:y="1"/>
      <w:rPr>
        <w:rStyle w:val="PageNumber"/>
        <w:szCs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183</w:t>
    </w:r>
    <w:r>
      <w:rPr>
        <w:rStyle w:val="PageNumber"/>
      </w:rPr>
      <w:fldChar w:fldCharType="end"/>
    </w:r>
  </w:p>
  <w:p w14:paraId="468B5799" w14:textId="77777777" w:rsidR="00C3070C" w:rsidRDefault="00C3070C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5885" w14:textId="71A1082C" w:rsidR="00C3070C" w:rsidRPr="00ED1956" w:rsidRDefault="00C3070C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  \* MERGEFORMAT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>42</w:t>
    </w:r>
    <w:r>
      <w:rPr>
        <w:rFonts w:ascii="Times New Roman" w:hAnsi="Times New Roman"/>
        <w:sz w:val="20"/>
      </w:rPr>
      <w:fldChar w:fldCharType="end"/>
    </w:r>
  </w:p>
  <w:p w14:paraId="416ED6B6" w14:textId="77777777" w:rsidR="00C3070C" w:rsidRPr="00A772B4" w:rsidRDefault="00C3070C" w:rsidP="00A77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4062" w14:textId="77777777" w:rsidR="00EB6A5F" w:rsidRDefault="00EB6A5F" w:rsidP="00D946DB">
      <w:pPr>
        <w:spacing w:before="0" w:after="0"/>
      </w:pPr>
      <w:r>
        <w:separator/>
      </w:r>
    </w:p>
  </w:footnote>
  <w:footnote w:type="continuationSeparator" w:id="0">
    <w:p w14:paraId="76E53FEB" w14:textId="77777777" w:rsidR="00EB6A5F" w:rsidRDefault="00EB6A5F" w:rsidP="00D946DB">
      <w:pPr>
        <w:spacing w:before="0" w:after="0"/>
      </w:pPr>
      <w:r>
        <w:continuationSeparator/>
      </w:r>
    </w:p>
  </w:footnote>
  <w:footnote w:type="continuationNotice" w:id="1">
    <w:p w14:paraId="3A7577A3" w14:textId="77777777" w:rsidR="00EB6A5F" w:rsidRDefault="00EB6A5F">
      <w:pPr>
        <w:spacing w:before="0" w:after="0"/>
      </w:pPr>
    </w:p>
  </w:footnote>
  <w:footnote w:id="2">
    <w:p w14:paraId="79A9F16B" w14:textId="1A84728B" w:rsidR="00680ADA" w:rsidRDefault="00680A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0ADA">
        <w:t>Ir-Regolament Delegat tal-Kummissjoni (UE) Nru 525/2014 tat-12 ta’ Marzu 2014 li jissupplimenta r-Regolament (UE) Nru 575/2013 tal-Parlament Ewropew u tal-Kunsill fir-rigward ta’ standards tekniċi regolatorji għad-definizzjoni tas-suq (ĠU L 148, 20.5.2014, p. 15, ELI: http://data.europa.eu/eli/reg_del/2014/525/oj).</w:t>
      </w:r>
    </w:p>
  </w:footnote>
  <w:footnote w:id="3">
    <w:p w14:paraId="018474C7" w14:textId="4B859446" w:rsidR="00C3070C" w:rsidRPr="00A11C6E" w:rsidRDefault="00C3070C">
      <w:pPr>
        <w:pStyle w:val="FootnoteText"/>
      </w:pPr>
      <w:r>
        <w:rPr>
          <w:rStyle w:val="FootnoteReference"/>
        </w:rPr>
        <w:footnoteRef/>
      </w:r>
      <w:r>
        <w:t xml:space="preserve"> Ir-Regolament ta’ Implimentazzjoni tal-Kummissjoni (UE) Nru 945/2014 tal-4 ta’ Settembru 2014 li jistabbilixxi standards tekniċi ta’ implimentazzjoni fir-rigward ta’ indiċi diversifikati b’mod xieraq rilevanti skont ir-Regolament (UE) Nru 575/2013 tal-Parlament Ewropew u tal-Kunsill (ĠU L 265, 5.9.2014, p. 3, ELI: http://data.europa.eu/eli/reg_impl/2014/945/oj).</w:t>
      </w:r>
    </w:p>
  </w:footnote>
  <w:footnote w:id="4">
    <w:p w14:paraId="22A9C113" w14:textId="5D688A5C" w:rsidR="0014702F" w:rsidRPr="006B7076" w:rsidRDefault="0014702F" w:rsidP="006B7076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Id-Direttiva 2014/65/UE </w:t>
      </w:r>
      <w:bookmarkStart w:id="129" w:name="_Hlk204078738"/>
      <w:r>
        <w:t xml:space="preserve">tal-Parlament Ewropew u tal-Kunsill </w:t>
      </w:r>
      <w:bookmarkEnd w:id="129"/>
      <w:r>
        <w:t>tal-15 ta’ Mejju 2014 dwar is-swieq fl-istrumenti finanzjarji u li temenda d-Direttiva 2002/92/KE u d-Direttiva 2011/61/UE (ĠU L 173, 12.6.2014, p. 349, ELI: http://data.europa.eu/eli/dir/2014/65/oj).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E71A" w14:textId="7B4511CB" w:rsidR="00C3070C" w:rsidRDefault="00C307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C8943B" wp14:editId="4104320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18" name="Text Box 18" descr="Użu Regolari tal-EB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75392" w14:textId="4AEDF1D6" w:rsidR="00C3070C" w:rsidRPr="003B6094" w:rsidRDefault="00C3070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tal-EBA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8943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alt="Użu Regolari tal-EBA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5175392" w14:textId="4AEDF1D6" w:rsidR="00C3070C" w:rsidRPr="003B6094" w:rsidRDefault="00C3070C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Użu Regolari tal-EBA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7757" w14:textId="77777777" w:rsidR="004E7DCF" w:rsidRDefault="004E7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03B2" w14:textId="77777777" w:rsidR="004E7DCF" w:rsidRDefault="004E7D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98C1" w14:textId="7C971337" w:rsidR="00C3070C" w:rsidRDefault="00C307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AC91A65" wp14:editId="3B50E3B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1" name="Text Box 21" descr="Użu Regolari tal-EB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DFA35" w14:textId="0AB4BE24" w:rsidR="00C3070C" w:rsidRPr="003B6094" w:rsidRDefault="00C3070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tal-EBA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91A6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Użu Regolari tal-EBA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5E3DFA35" w14:textId="0AB4BE24" w:rsidR="00C3070C" w:rsidRPr="003B6094" w:rsidRDefault="00C3070C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Użu Regolari tal-EBA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BBC0" w14:textId="57E2581D" w:rsidR="00C3070C" w:rsidRDefault="00C3070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755F" w14:textId="0211D059" w:rsidR="00C3070C" w:rsidRDefault="00C3070C">
    <w:pPr>
      <w:rPr>
        <w:rFonts w:ascii="Arial" w:hAnsi="Arial" w:cs="Arial"/>
      </w:rPr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728D39" wp14:editId="2318732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0" name="Text Box 20" descr="Użu Regolari tal-EB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E9168" w14:textId="7F6D1353" w:rsidR="00C3070C" w:rsidRPr="003B6094" w:rsidRDefault="00C3070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tal-EBA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28D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Użu Regolari tal-EBA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38E9168" w14:textId="7F6D1353" w:rsidR="00C3070C" w:rsidRPr="003B6094" w:rsidRDefault="00C3070C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Użu Regolari tal-EBA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99"/>
    <w:multiLevelType w:val="hybridMultilevel"/>
    <w:tmpl w:val="B9D49566"/>
    <w:lvl w:ilvl="0" w:tplc="D2024F7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FBC0B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0AE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F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44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6C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49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62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CE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0F59"/>
    <w:multiLevelType w:val="multilevel"/>
    <w:tmpl w:val="6348284C"/>
    <w:lvl w:ilvl="0">
      <w:start w:val="1"/>
      <w:numFmt w:val="decimal"/>
      <w:pStyle w:val="Baseparagraphnumbered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 w:hint="default"/>
      </w:rPr>
    </w:lvl>
  </w:abstractNum>
  <w:abstractNum w:abstractNumId="5" w15:restartNumberingAfterBreak="0">
    <w:nsid w:val="1CED6282"/>
    <w:multiLevelType w:val="multilevel"/>
    <w:tmpl w:val="5D8418C4"/>
    <w:lvl w:ilvl="0">
      <w:start w:val="1"/>
      <w:numFmt w:val="decimal"/>
      <w:pStyle w:val="GliederungmitNummerierung"/>
      <w:lvlText w:val="%1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098" w:hanging="7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62"/>
        </w:tabs>
        <w:ind w:left="306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AC050D9"/>
    <w:multiLevelType w:val="hybridMultilevel"/>
    <w:tmpl w:val="F7E0F274"/>
    <w:lvl w:ilvl="0" w:tplc="9BAEF704">
      <w:start w:val="1"/>
      <w:numFmt w:val="lowerLetter"/>
      <w:pStyle w:val="Nummerierungsart4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2B3A92"/>
    <w:multiLevelType w:val="singleLevel"/>
    <w:tmpl w:val="73D64A0E"/>
    <w:name w:val="Considérant__1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7D7F02"/>
    <w:multiLevelType w:val="multilevel"/>
    <w:tmpl w:val="0407001D"/>
    <w:numStyleLink w:val="Formatvorlage3"/>
  </w:abstractNum>
  <w:abstractNum w:abstractNumId="10" w15:restartNumberingAfterBreak="0">
    <w:nsid w:val="33057CB8"/>
    <w:multiLevelType w:val="hybridMultilevel"/>
    <w:tmpl w:val="760C1692"/>
    <w:lvl w:ilvl="0" w:tplc="236EA62C">
      <w:start w:val="1"/>
      <w:numFmt w:val="decimal"/>
      <w:pStyle w:val="InstructionsText2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226525"/>
    <w:multiLevelType w:val="hybridMultilevel"/>
    <w:tmpl w:val="9872E646"/>
    <w:lvl w:ilvl="0" w:tplc="0C0A0001">
      <w:start w:val="1"/>
      <w:numFmt w:val="decimal"/>
      <w:pStyle w:val="Nummerierungsart2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57312"/>
    <w:multiLevelType w:val="multilevel"/>
    <w:tmpl w:val="1864F90A"/>
    <w:styleLink w:val="Formatvorlag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2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772236"/>
    <w:multiLevelType w:val="hybridMultilevel"/>
    <w:tmpl w:val="E974A63C"/>
    <w:lvl w:ilvl="0" w:tplc="91F28F2A">
      <w:start w:val="1"/>
      <w:numFmt w:val="bullet"/>
      <w:pStyle w:val="Aufzhlungszeichen4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8"/>
      </w:rPr>
    </w:lvl>
    <w:lvl w:ilvl="1" w:tplc="78D02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95802"/>
    <w:multiLevelType w:val="multilevel"/>
    <w:tmpl w:val="0407001D"/>
    <w:styleLink w:val="Formatvorlage3"/>
    <w:lvl w:ilvl="0">
      <w:start w:val="1"/>
      <w:numFmt w:val="none"/>
      <w:pStyle w:val="Heading4"/>
      <w:lvlText w:val="%1"/>
      <w:lvlJc w:val="left"/>
      <w:pPr>
        <w:ind w:left="360" w:hanging="360"/>
      </w:pPr>
      <w:rPr>
        <w:rFonts w:ascii="Verdana" w:hAnsi="Verdana" w:cs="Times New Roman" w:hint="default"/>
        <w:b/>
        <w:color w:val="auto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4EF30DF1"/>
    <w:multiLevelType w:val="hybridMultilevel"/>
    <w:tmpl w:val="95BE37A4"/>
    <w:lvl w:ilvl="0" w:tplc="B2366634">
      <w:start w:val="1"/>
      <w:numFmt w:val="upperRoman"/>
      <w:pStyle w:val="Nummerierungsart3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E0F25"/>
    <w:multiLevelType w:val="hybridMultilevel"/>
    <w:tmpl w:val="756E5EAE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BA1738F"/>
    <w:multiLevelType w:val="hybridMultilevel"/>
    <w:tmpl w:val="2FE2799E"/>
    <w:lvl w:ilvl="0" w:tplc="04090003">
      <w:start w:val="1"/>
      <w:numFmt w:val="decimal"/>
      <w:pStyle w:val="Instructionsberschrift3"/>
      <w:lvlText w:val="%1.1.1"/>
      <w:lvlJc w:val="left"/>
      <w:pPr>
        <w:ind w:left="720" w:hanging="360"/>
      </w:pPr>
      <w:rPr>
        <w:rFonts w:cs="Times New Roman" w:hint="default"/>
      </w:rPr>
    </w:lvl>
    <w:lvl w:ilvl="1" w:tplc="04090005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951B61"/>
    <w:multiLevelType w:val="hybridMultilevel"/>
    <w:tmpl w:val="121C0A42"/>
    <w:lvl w:ilvl="0" w:tplc="040A0017">
      <w:start w:val="1"/>
      <w:numFmt w:val="bullet"/>
      <w:pStyle w:val="Aufzhlungszeichen2"/>
      <w:lvlText w:val="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sz w:val="32"/>
      </w:rPr>
    </w:lvl>
    <w:lvl w:ilvl="1" w:tplc="040A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A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47057A3"/>
    <w:multiLevelType w:val="hybridMultilevel"/>
    <w:tmpl w:val="13420D26"/>
    <w:lvl w:ilvl="0" w:tplc="91F28F2A">
      <w:start w:val="1"/>
      <w:numFmt w:val="decimal"/>
      <w:pStyle w:val="Nummerierungsar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20" w:hanging="360"/>
      </w:pPr>
      <w:rPr>
        <w:rFonts w:cs="Times New Roman" w:hint="default"/>
      </w:rPr>
    </w:lvl>
    <w:lvl w:ilvl="1" w:tplc="E7565B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A6A4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C6EF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1857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46F0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CCF4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FA23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3AE0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2F0EC0"/>
    <w:multiLevelType w:val="multilevel"/>
    <w:tmpl w:val="51EEA844"/>
    <w:styleLink w:val="Formatvorlag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8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9FA5EA3"/>
    <w:multiLevelType w:val="multilevel"/>
    <w:tmpl w:val="D29C4EFC"/>
    <w:styleLink w:val="Formatvorlage4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26" w15:restartNumberingAfterBreak="0">
    <w:nsid w:val="6BCD57BB"/>
    <w:multiLevelType w:val="multilevel"/>
    <w:tmpl w:val="5AD2A3CC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7" w15:restartNumberingAfterBreak="0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42E3E"/>
    <w:multiLevelType w:val="multilevel"/>
    <w:tmpl w:val="51EEA844"/>
    <w:lvl w:ilvl="0">
      <w:start w:val="1"/>
      <w:numFmt w:val="bullet"/>
      <w:pStyle w:val="Gliederungmi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16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2377034"/>
    <w:multiLevelType w:val="hybridMultilevel"/>
    <w:tmpl w:val="D348E89A"/>
    <w:lvl w:ilvl="0" w:tplc="F42CC6B2">
      <w:start w:val="1"/>
      <w:numFmt w:val="bullet"/>
      <w:pStyle w:val="Aufzhlungszeichen3"/>
      <w:lvlText w:val="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</w:rPr>
    </w:lvl>
    <w:lvl w:ilvl="1" w:tplc="3FFC2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F4E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05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A1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0AC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2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A7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AD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C2500"/>
    <w:multiLevelType w:val="hybridMultilevel"/>
    <w:tmpl w:val="76A055C0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752466">
    <w:abstractNumId w:val="3"/>
  </w:num>
  <w:num w:numId="2" w16cid:durableId="873691100">
    <w:abstractNumId w:val="21"/>
  </w:num>
  <w:num w:numId="3" w16cid:durableId="64646718">
    <w:abstractNumId w:val="29"/>
  </w:num>
  <w:num w:numId="4" w16cid:durableId="2143423029">
    <w:abstractNumId w:val="15"/>
  </w:num>
  <w:num w:numId="5" w16cid:durableId="248462709">
    <w:abstractNumId w:val="24"/>
  </w:num>
  <w:num w:numId="6" w16cid:durableId="1615551260">
    <w:abstractNumId w:val="13"/>
  </w:num>
  <w:num w:numId="7" w16cid:durableId="1802721498">
    <w:abstractNumId w:val="28"/>
  </w:num>
  <w:num w:numId="8" w16cid:durableId="1196040528">
    <w:abstractNumId w:val="5"/>
  </w:num>
  <w:num w:numId="9" w16cid:durableId="394359329">
    <w:abstractNumId w:val="22"/>
  </w:num>
  <w:num w:numId="10" w16cid:durableId="919633677">
    <w:abstractNumId w:val="11"/>
  </w:num>
  <w:num w:numId="11" w16cid:durableId="666446483">
    <w:abstractNumId w:val="17"/>
  </w:num>
  <w:num w:numId="12" w16cid:durableId="1545752287">
    <w:abstractNumId w:val="6"/>
  </w:num>
  <w:num w:numId="13" w16cid:durableId="318656491">
    <w:abstractNumId w:val="23"/>
  </w:num>
  <w:num w:numId="14" w16cid:durableId="943851024">
    <w:abstractNumId w:val="20"/>
  </w:num>
  <w:num w:numId="15" w16cid:durableId="2068988913">
    <w:abstractNumId w:val="10"/>
  </w:num>
  <w:num w:numId="16" w16cid:durableId="750932434">
    <w:abstractNumId w:val="16"/>
  </w:num>
  <w:num w:numId="17" w16cid:durableId="1147473194">
    <w:abstractNumId w:val="9"/>
  </w:num>
  <w:num w:numId="18" w16cid:durableId="916598601">
    <w:abstractNumId w:val="25"/>
  </w:num>
  <w:num w:numId="19" w16cid:durableId="420293218">
    <w:abstractNumId w:val="4"/>
  </w:num>
  <w:num w:numId="20" w16cid:durableId="963775391">
    <w:abstractNumId w:val="14"/>
  </w:num>
  <w:num w:numId="21" w16cid:durableId="813450315">
    <w:abstractNumId w:val="2"/>
  </w:num>
  <w:num w:numId="22" w16cid:durableId="367880198">
    <w:abstractNumId w:val="12"/>
  </w:num>
  <w:num w:numId="23" w16cid:durableId="1272010103">
    <w:abstractNumId w:val="27"/>
  </w:num>
  <w:num w:numId="24" w16cid:durableId="1006593110">
    <w:abstractNumId w:val="1"/>
  </w:num>
  <w:num w:numId="25" w16cid:durableId="1965580885">
    <w:abstractNumId w:val="26"/>
  </w:num>
  <w:num w:numId="26" w16cid:durableId="402915401">
    <w:abstractNumId w:val="18"/>
  </w:num>
  <w:num w:numId="27" w16cid:durableId="627201129">
    <w:abstractNumId w:val="0"/>
  </w:num>
  <w:num w:numId="28" w16cid:durableId="297565844">
    <w:abstractNumId w:val="7"/>
  </w:num>
  <w:num w:numId="29" w16cid:durableId="1297876156">
    <w:abstractNumId w:val="19"/>
  </w:num>
  <w:num w:numId="30" w16cid:durableId="247811965">
    <w:abstractNumId w:val="8"/>
  </w:num>
  <w:num w:numId="31" w16cid:durableId="344554180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activeWritingStyle w:appName="MSWord" w:lang="cs-CZ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17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igNum" w:val="1"/>
    <w:docVar w:name="LW_DocType" w:val="NORMAL"/>
  </w:docVars>
  <w:rsids>
    <w:rsidRoot w:val="00884FEB"/>
    <w:rsid w:val="000001EC"/>
    <w:rsid w:val="00000255"/>
    <w:rsid w:val="00000F70"/>
    <w:rsid w:val="000017F3"/>
    <w:rsid w:val="00001AF1"/>
    <w:rsid w:val="000020E5"/>
    <w:rsid w:val="00002933"/>
    <w:rsid w:val="00002D28"/>
    <w:rsid w:val="00002E14"/>
    <w:rsid w:val="00004478"/>
    <w:rsid w:val="000044B7"/>
    <w:rsid w:val="00004978"/>
    <w:rsid w:val="00004D21"/>
    <w:rsid w:val="00004FE8"/>
    <w:rsid w:val="00005078"/>
    <w:rsid w:val="00005765"/>
    <w:rsid w:val="00005FFC"/>
    <w:rsid w:val="00007605"/>
    <w:rsid w:val="00007D0D"/>
    <w:rsid w:val="00010124"/>
    <w:rsid w:val="00011AFA"/>
    <w:rsid w:val="00011BD0"/>
    <w:rsid w:val="000120EB"/>
    <w:rsid w:val="00014890"/>
    <w:rsid w:val="00014DC3"/>
    <w:rsid w:val="0001693F"/>
    <w:rsid w:val="000169A0"/>
    <w:rsid w:val="00020200"/>
    <w:rsid w:val="00020516"/>
    <w:rsid w:val="00020857"/>
    <w:rsid w:val="00020AF9"/>
    <w:rsid w:val="000212B7"/>
    <w:rsid w:val="0002157C"/>
    <w:rsid w:val="00021A05"/>
    <w:rsid w:val="0002267E"/>
    <w:rsid w:val="00023102"/>
    <w:rsid w:val="000232E2"/>
    <w:rsid w:val="00023383"/>
    <w:rsid w:val="000242CC"/>
    <w:rsid w:val="000243CE"/>
    <w:rsid w:val="0002657F"/>
    <w:rsid w:val="00027235"/>
    <w:rsid w:val="00027D90"/>
    <w:rsid w:val="000313B7"/>
    <w:rsid w:val="00031FA5"/>
    <w:rsid w:val="000326C1"/>
    <w:rsid w:val="00032937"/>
    <w:rsid w:val="00033301"/>
    <w:rsid w:val="00033B7C"/>
    <w:rsid w:val="00033C55"/>
    <w:rsid w:val="00034431"/>
    <w:rsid w:val="000346A9"/>
    <w:rsid w:val="00034834"/>
    <w:rsid w:val="000359E1"/>
    <w:rsid w:val="00035DCC"/>
    <w:rsid w:val="00035E44"/>
    <w:rsid w:val="000364CE"/>
    <w:rsid w:val="00037093"/>
    <w:rsid w:val="000377CC"/>
    <w:rsid w:val="00037FCC"/>
    <w:rsid w:val="00041480"/>
    <w:rsid w:val="000433C4"/>
    <w:rsid w:val="00043C7C"/>
    <w:rsid w:val="00045036"/>
    <w:rsid w:val="0004590F"/>
    <w:rsid w:val="00050E97"/>
    <w:rsid w:val="00052CAE"/>
    <w:rsid w:val="000530BC"/>
    <w:rsid w:val="0005400A"/>
    <w:rsid w:val="000548A2"/>
    <w:rsid w:val="0005609F"/>
    <w:rsid w:val="000565B6"/>
    <w:rsid w:val="00056C0F"/>
    <w:rsid w:val="00056C8D"/>
    <w:rsid w:val="00057154"/>
    <w:rsid w:val="00057362"/>
    <w:rsid w:val="0005746D"/>
    <w:rsid w:val="00061C24"/>
    <w:rsid w:val="00061E48"/>
    <w:rsid w:val="00062A1F"/>
    <w:rsid w:val="00063085"/>
    <w:rsid w:val="00063B3F"/>
    <w:rsid w:val="00064158"/>
    <w:rsid w:val="0006666B"/>
    <w:rsid w:val="00067DC1"/>
    <w:rsid w:val="00067EEA"/>
    <w:rsid w:val="00070113"/>
    <w:rsid w:val="00070518"/>
    <w:rsid w:val="00070AF9"/>
    <w:rsid w:val="00070E18"/>
    <w:rsid w:val="00071341"/>
    <w:rsid w:val="00071622"/>
    <w:rsid w:val="000716F4"/>
    <w:rsid w:val="00071D95"/>
    <w:rsid w:val="000726BC"/>
    <w:rsid w:val="000737D3"/>
    <w:rsid w:val="000758FE"/>
    <w:rsid w:val="00076091"/>
    <w:rsid w:val="000763E0"/>
    <w:rsid w:val="00076880"/>
    <w:rsid w:val="00077C5F"/>
    <w:rsid w:val="00080DDC"/>
    <w:rsid w:val="0008111C"/>
    <w:rsid w:val="0008126E"/>
    <w:rsid w:val="00082265"/>
    <w:rsid w:val="000828C6"/>
    <w:rsid w:val="00084339"/>
    <w:rsid w:val="000843B3"/>
    <w:rsid w:val="00084A4D"/>
    <w:rsid w:val="00085019"/>
    <w:rsid w:val="000858A9"/>
    <w:rsid w:val="000860B6"/>
    <w:rsid w:val="00086A31"/>
    <w:rsid w:val="00086C6E"/>
    <w:rsid w:val="00087700"/>
    <w:rsid w:val="00087E1A"/>
    <w:rsid w:val="000903FA"/>
    <w:rsid w:val="000904F3"/>
    <w:rsid w:val="00090583"/>
    <w:rsid w:val="000911FE"/>
    <w:rsid w:val="0009195D"/>
    <w:rsid w:val="00091CBC"/>
    <w:rsid w:val="000921E0"/>
    <w:rsid w:val="0009290C"/>
    <w:rsid w:val="00092F67"/>
    <w:rsid w:val="00093686"/>
    <w:rsid w:val="00093BF7"/>
    <w:rsid w:val="00094D25"/>
    <w:rsid w:val="00095191"/>
    <w:rsid w:val="00095CAD"/>
    <w:rsid w:val="00096566"/>
    <w:rsid w:val="00096876"/>
    <w:rsid w:val="0009761E"/>
    <w:rsid w:val="00097A17"/>
    <w:rsid w:val="00097C81"/>
    <w:rsid w:val="00097E91"/>
    <w:rsid w:val="000A0FC4"/>
    <w:rsid w:val="000A1955"/>
    <w:rsid w:val="000A368E"/>
    <w:rsid w:val="000A3B1A"/>
    <w:rsid w:val="000A46E0"/>
    <w:rsid w:val="000A4B61"/>
    <w:rsid w:val="000A4C10"/>
    <w:rsid w:val="000A57BC"/>
    <w:rsid w:val="000A6BBC"/>
    <w:rsid w:val="000A7D27"/>
    <w:rsid w:val="000A7F37"/>
    <w:rsid w:val="000B0694"/>
    <w:rsid w:val="000B0B09"/>
    <w:rsid w:val="000B0E46"/>
    <w:rsid w:val="000B0EBE"/>
    <w:rsid w:val="000B13A1"/>
    <w:rsid w:val="000B22F6"/>
    <w:rsid w:val="000B267A"/>
    <w:rsid w:val="000B3C33"/>
    <w:rsid w:val="000B3E00"/>
    <w:rsid w:val="000B4DFF"/>
    <w:rsid w:val="000B6A14"/>
    <w:rsid w:val="000B70E1"/>
    <w:rsid w:val="000B73C4"/>
    <w:rsid w:val="000C0127"/>
    <w:rsid w:val="000C0A34"/>
    <w:rsid w:val="000C24B5"/>
    <w:rsid w:val="000C30A6"/>
    <w:rsid w:val="000C4A6C"/>
    <w:rsid w:val="000C5A1A"/>
    <w:rsid w:val="000C5EA7"/>
    <w:rsid w:val="000C6938"/>
    <w:rsid w:val="000C7632"/>
    <w:rsid w:val="000C7B1D"/>
    <w:rsid w:val="000C7EAA"/>
    <w:rsid w:val="000D04B6"/>
    <w:rsid w:val="000D0A23"/>
    <w:rsid w:val="000D194E"/>
    <w:rsid w:val="000D1FBE"/>
    <w:rsid w:val="000D220D"/>
    <w:rsid w:val="000D3222"/>
    <w:rsid w:val="000D3CBC"/>
    <w:rsid w:val="000D4352"/>
    <w:rsid w:val="000D5292"/>
    <w:rsid w:val="000D5958"/>
    <w:rsid w:val="000D6B9B"/>
    <w:rsid w:val="000E093A"/>
    <w:rsid w:val="000E1572"/>
    <w:rsid w:val="000E197A"/>
    <w:rsid w:val="000E2774"/>
    <w:rsid w:val="000E29C9"/>
    <w:rsid w:val="000E3F99"/>
    <w:rsid w:val="000E40DD"/>
    <w:rsid w:val="000E6835"/>
    <w:rsid w:val="000E7BA8"/>
    <w:rsid w:val="000E7F08"/>
    <w:rsid w:val="000F0D99"/>
    <w:rsid w:val="000F11B2"/>
    <w:rsid w:val="000F13F9"/>
    <w:rsid w:val="000F1CEA"/>
    <w:rsid w:val="000F2470"/>
    <w:rsid w:val="000F2EC8"/>
    <w:rsid w:val="000F2F09"/>
    <w:rsid w:val="000F33AF"/>
    <w:rsid w:val="000F46D5"/>
    <w:rsid w:val="000F4702"/>
    <w:rsid w:val="000F6A80"/>
    <w:rsid w:val="000F6B25"/>
    <w:rsid w:val="000F7045"/>
    <w:rsid w:val="000F70EC"/>
    <w:rsid w:val="0010177C"/>
    <w:rsid w:val="00102C6F"/>
    <w:rsid w:val="00104370"/>
    <w:rsid w:val="0010455D"/>
    <w:rsid w:val="00104A65"/>
    <w:rsid w:val="0010559F"/>
    <w:rsid w:val="00105A75"/>
    <w:rsid w:val="0010605A"/>
    <w:rsid w:val="00106FC5"/>
    <w:rsid w:val="001102E5"/>
    <w:rsid w:val="00110F40"/>
    <w:rsid w:val="0011240A"/>
    <w:rsid w:val="00113D25"/>
    <w:rsid w:val="00113E45"/>
    <w:rsid w:val="00113EA5"/>
    <w:rsid w:val="001151C1"/>
    <w:rsid w:val="0011539B"/>
    <w:rsid w:val="00115685"/>
    <w:rsid w:val="0012049B"/>
    <w:rsid w:val="00121008"/>
    <w:rsid w:val="001219C2"/>
    <w:rsid w:val="00121BFD"/>
    <w:rsid w:val="001235ED"/>
    <w:rsid w:val="00123D62"/>
    <w:rsid w:val="00124A44"/>
    <w:rsid w:val="00124B85"/>
    <w:rsid w:val="001250CC"/>
    <w:rsid w:val="00125707"/>
    <w:rsid w:val="00125D44"/>
    <w:rsid w:val="00125DEE"/>
    <w:rsid w:val="00126395"/>
    <w:rsid w:val="001273B5"/>
    <w:rsid w:val="00127986"/>
    <w:rsid w:val="00127FEA"/>
    <w:rsid w:val="00130586"/>
    <w:rsid w:val="00130EEF"/>
    <w:rsid w:val="001323BF"/>
    <w:rsid w:val="00132563"/>
    <w:rsid w:val="00132778"/>
    <w:rsid w:val="00133107"/>
    <w:rsid w:val="001331F5"/>
    <w:rsid w:val="00133396"/>
    <w:rsid w:val="00133AC1"/>
    <w:rsid w:val="001357A2"/>
    <w:rsid w:val="00136316"/>
    <w:rsid w:val="001379D4"/>
    <w:rsid w:val="00137AC5"/>
    <w:rsid w:val="00137C09"/>
    <w:rsid w:val="001402DB"/>
    <w:rsid w:val="00140571"/>
    <w:rsid w:val="001409D9"/>
    <w:rsid w:val="00140F6E"/>
    <w:rsid w:val="00141DD1"/>
    <w:rsid w:val="0014209A"/>
    <w:rsid w:val="0014210E"/>
    <w:rsid w:val="00142917"/>
    <w:rsid w:val="001432EE"/>
    <w:rsid w:val="00144F03"/>
    <w:rsid w:val="001452FC"/>
    <w:rsid w:val="0014657C"/>
    <w:rsid w:val="00146D50"/>
    <w:rsid w:val="0014702F"/>
    <w:rsid w:val="001474E0"/>
    <w:rsid w:val="0015008C"/>
    <w:rsid w:val="00151071"/>
    <w:rsid w:val="00151B44"/>
    <w:rsid w:val="00151D8A"/>
    <w:rsid w:val="0015288B"/>
    <w:rsid w:val="00152B33"/>
    <w:rsid w:val="00153BEC"/>
    <w:rsid w:val="00154859"/>
    <w:rsid w:val="001550FA"/>
    <w:rsid w:val="00155114"/>
    <w:rsid w:val="00156555"/>
    <w:rsid w:val="00156849"/>
    <w:rsid w:val="001570C4"/>
    <w:rsid w:val="00157883"/>
    <w:rsid w:val="00157B19"/>
    <w:rsid w:val="0016072E"/>
    <w:rsid w:val="0016282F"/>
    <w:rsid w:val="001628F4"/>
    <w:rsid w:val="00162CCF"/>
    <w:rsid w:val="00162E47"/>
    <w:rsid w:val="0016365E"/>
    <w:rsid w:val="00163DBA"/>
    <w:rsid w:val="001644B8"/>
    <w:rsid w:val="00164970"/>
    <w:rsid w:val="00164B62"/>
    <w:rsid w:val="00167602"/>
    <w:rsid w:val="00167619"/>
    <w:rsid w:val="00167E59"/>
    <w:rsid w:val="001721BD"/>
    <w:rsid w:val="001734AB"/>
    <w:rsid w:val="0017440D"/>
    <w:rsid w:val="0017516B"/>
    <w:rsid w:val="00175957"/>
    <w:rsid w:val="00176495"/>
    <w:rsid w:val="001771A4"/>
    <w:rsid w:val="00181174"/>
    <w:rsid w:val="00181888"/>
    <w:rsid w:val="00181AC7"/>
    <w:rsid w:val="001822DF"/>
    <w:rsid w:val="00183B7A"/>
    <w:rsid w:val="00184045"/>
    <w:rsid w:val="001840A5"/>
    <w:rsid w:val="001843F9"/>
    <w:rsid w:val="0018450D"/>
    <w:rsid w:val="00184E8A"/>
    <w:rsid w:val="0018533B"/>
    <w:rsid w:val="001854F6"/>
    <w:rsid w:val="00185877"/>
    <w:rsid w:val="00185A19"/>
    <w:rsid w:val="00185FA8"/>
    <w:rsid w:val="00187348"/>
    <w:rsid w:val="00187488"/>
    <w:rsid w:val="0019088A"/>
    <w:rsid w:val="00190FA3"/>
    <w:rsid w:val="001919E9"/>
    <w:rsid w:val="001924F4"/>
    <w:rsid w:val="00192744"/>
    <w:rsid w:val="0019394E"/>
    <w:rsid w:val="001959EF"/>
    <w:rsid w:val="00195FDC"/>
    <w:rsid w:val="0019727D"/>
    <w:rsid w:val="00197C28"/>
    <w:rsid w:val="001A0143"/>
    <w:rsid w:val="001A2115"/>
    <w:rsid w:val="001A217F"/>
    <w:rsid w:val="001A370B"/>
    <w:rsid w:val="001A388F"/>
    <w:rsid w:val="001A3980"/>
    <w:rsid w:val="001A40DB"/>
    <w:rsid w:val="001A44B3"/>
    <w:rsid w:val="001A523B"/>
    <w:rsid w:val="001A531E"/>
    <w:rsid w:val="001A627D"/>
    <w:rsid w:val="001A741B"/>
    <w:rsid w:val="001A7742"/>
    <w:rsid w:val="001A7FE5"/>
    <w:rsid w:val="001B023A"/>
    <w:rsid w:val="001B140A"/>
    <w:rsid w:val="001B1531"/>
    <w:rsid w:val="001B17E6"/>
    <w:rsid w:val="001B1F77"/>
    <w:rsid w:val="001B21AE"/>
    <w:rsid w:val="001B21EA"/>
    <w:rsid w:val="001B43AF"/>
    <w:rsid w:val="001B43BD"/>
    <w:rsid w:val="001B44EE"/>
    <w:rsid w:val="001B4EA5"/>
    <w:rsid w:val="001B5499"/>
    <w:rsid w:val="001B5725"/>
    <w:rsid w:val="001B6114"/>
    <w:rsid w:val="001B6D4D"/>
    <w:rsid w:val="001B7D0F"/>
    <w:rsid w:val="001B7F1A"/>
    <w:rsid w:val="001C1392"/>
    <w:rsid w:val="001C1571"/>
    <w:rsid w:val="001C24B0"/>
    <w:rsid w:val="001C2A41"/>
    <w:rsid w:val="001C2BA5"/>
    <w:rsid w:val="001C3443"/>
    <w:rsid w:val="001C36B0"/>
    <w:rsid w:val="001C3D30"/>
    <w:rsid w:val="001C5557"/>
    <w:rsid w:val="001C5CA8"/>
    <w:rsid w:val="001C6166"/>
    <w:rsid w:val="001C6416"/>
    <w:rsid w:val="001C743D"/>
    <w:rsid w:val="001C7897"/>
    <w:rsid w:val="001C79CB"/>
    <w:rsid w:val="001C7AB7"/>
    <w:rsid w:val="001C7F2A"/>
    <w:rsid w:val="001D1D37"/>
    <w:rsid w:val="001D1F64"/>
    <w:rsid w:val="001D2FE6"/>
    <w:rsid w:val="001D3409"/>
    <w:rsid w:val="001D3CE7"/>
    <w:rsid w:val="001D4848"/>
    <w:rsid w:val="001D4B9D"/>
    <w:rsid w:val="001D5403"/>
    <w:rsid w:val="001D54D3"/>
    <w:rsid w:val="001D6D7C"/>
    <w:rsid w:val="001D7222"/>
    <w:rsid w:val="001D7382"/>
    <w:rsid w:val="001D7C9D"/>
    <w:rsid w:val="001E01BA"/>
    <w:rsid w:val="001E0C80"/>
    <w:rsid w:val="001E332C"/>
    <w:rsid w:val="001E38FD"/>
    <w:rsid w:val="001E39E5"/>
    <w:rsid w:val="001E3EF1"/>
    <w:rsid w:val="001E4D45"/>
    <w:rsid w:val="001E5A75"/>
    <w:rsid w:val="001E6127"/>
    <w:rsid w:val="001E6B9D"/>
    <w:rsid w:val="001E71B5"/>
    <w:rsid w:val="001E7AE4"/>
    <w:rsid w:val="001E7EA7"/>
    <w:rsid w:val="001F0111"/>
    <w:rsid w:val="001F0D60"/>
    <w:rsid w:val="001F1711"/>
    <w:rsid w:val="001F1B80"/>
    <w:rsid w:val="001F2389"/>
    <w:rsid w:val="001F2830"/>
    <w:rsid w:val="001F2920"/>
    <w:rsid w:val="001F3BBE"/>
    <w:rsid w:val="001F3D6A"/>
    <w:rsid w:val="001F4225"/>
    <w:rsid w:val="001F5AC3"/>
    <w:rsid w:val="001F5BC1"/>
    <w:rsid w:val="001F60B8"/>
    <w:rsid w:val="001F6487"/>
    <w:rsid w:val="001F73EA"/>
    <w:rsid w:val="00200D6E"/>
    <w:rsid w:val="00200E8E"/>
    <w:rsid w:val="002013B1"/>
    <w:rsid w:val="00201704"/>
    <w:rsid w:val="00201F3E"/>
    <w:rsid w:val="00202198"/>
    <w:rsid w:val="00202466"/>
    <w:rsid w:val="00202742"/>
    <w:rsid w:val="0020282E"/>
    <w:rsid w:val="00204265"/>
    <w:rsid w:val="00204383"/>
    <w:rsid w:val="00205AE8"/>
    <w:rsid w:val="00206687"/>
    <w:rsid w:val="00206BD0"/>
    <w:rsid w:val="00206D7E"/>
    <w:rsid w:val="00211293"/>
    <w:rsid w:val="00213102"/>
    <w:rsid w:val="0021389C"/>
    <w:rsid w:val="00213DC3"/>
    <w:rsid w:val="00213E0E"/>
    <w:rsid w:val="00214FDA"/>
    <w:rsid w:val="002154E5"/>
    <w:rsid w:val="00215548"/>
    <w:rsid w:val="00215CD7"/>
    <w:rsid w:val="00216D67"/>
    <w:rsid w:val="0021767A"/>
    <w:rsid w:val="00220265"/>
    <w:rsid w:val="00220B85"/>
    <w:rsid w:val="00221103"/>
    <w:rsid w:val="00221C2F"/>
    <w:rsid w:val="00222596"/>
    <w:rsid w:val="002229FF"/>
    <w:rsid w:val="00222AC6"/>
    <w:rsid w:val="00222CD3"/>
    <w:rsid w:val="0022311E"/>
    <w:rsid w:val="0022315F"/>
    <w:rsid w:val="00224016"/>
    <w:rsid w:val="00224828"/>
    <w:rsid w:val="002249DB"/>
    <w:rsid w:val="00224FE5"/>
    <w:rsid w:val="0022597E"/>
    <w:rsid w:val="00225D42"/>
    <w:rsid w:val="002272E2"/>
    <w:rsid w:val="002300C6"/>
    <w:rsid w:val="002301C6"/>
    <w:rsid w:val="00230536"/>
    <w:rsid w:val="002305D2"/>
    <w:rsid w:val="00230DA8"/>
    <w:rsid w:val="00230E9F"/>
    <w:rsid w:val="00232217"/>
    <w:rsid w:val="00232702"/>
    <w:rsid w:val="0023276A"/>
    <w:rsid w:val="002327CE"/>
    <w:rsid w:val="00232921"/>
    <w:rsid w:val="002331CC"/>
    <w:rsid w:val="00233577"/>
    <w:rsid w:val="002339F2"/>
    <w:rsid w:val="0023488F"/>
    <w:rsid w:val="00234E7D"/>
    <w:rsid w:val="0023571F"/>
    <w:rsid w:val="002357EA"/>
    <w:rsid w:val="00235897"/>
    <w:rsid w:val="002367E6"/>
    <w:rsid w:val="00236E33"/>
    <w:rsid w:val="0023700C"/>
    <w:rsid w:val="00237276"/>
    <w:rsid w:val="0023738B"/>
    <w:rsid w:val="0023769E"/>
    <w:rsid w:val="002376B2"/>
    <w:rsid w:val="002409C1"/>
    <w:rsid w:val="00240B06"/>
    <w:rsid w:val="00241190"/>
    <w:rsid w:val="00241845"/>
    <w:rsid w:val="00242134"/>
    <w:rsid w:val="002423CA"/>
    <w:rsid w:val="0024244E"/>
    <w:rsid w:val="0024258C"/>
    <w:rsid w:val="002446F1"/>
    <w:rsid w:val="00244B6A"/>
    <w:rsid w:val="002450B6"/>
    <w:rsid w:val="002451F4"/>
    <w:rsid w:val="00245325"/>
    <w:rsid w:val="00245E37"/>
    <w:rsid w:val="00246BCA"/>
    <w:rsid w:val="00246F65"/>
    <w:rsid w:val="00247193"/>
    <w:rsid w:val="00250176"/>
    <w:rsid w:val="002506A3"/>
    <w:rsid w:val="002514C9"/>
    <w:rsid w:val="00251CF4"/>
    <w:rsid w:val="00251F24"/>
    <w:rsid w:val="00252454"/>
    <w:rsid w:val="0025267A"/>
    <w:rsid w:val="0025290C"/>
    <w:rsid w:val="00253022"/>
    <w:rsid w:val="002530E8"/>
    <w:rsid w:val="002540B2"/>
    <w:rsid w:val="002547C1"/>
    <w:rsid w:val="00254DF6"/>
    <w:rsid w:val="00255BA9"/>
    <w:rsid w:val="0025607F"/>
    <w:rsid w:val="002562F9"/>
    <w:rsid w:val="00257BF5"/>
    <w:rsid w:val="00257FBC"/>
    <w:rsid w:val="002601AB"/>
    <w:rsid w:val="00260AA2"/>
    <w:rsid w:val="002618F4"/>
    <w:rsid w:val="00261B63"/>
    <w:rsid w:val="002625C0"/>
    <w:rsid w:val="00262B22"/>
    <w:rsid w:val="00262B48"/>
    <w:rsid w:val="00262C1B"/>
    <w:rsid w:val="002630FB"/>
    <w:rsid w:val="0026352F"/>
    <w:rsid w:val="002647D2"/>
    <w:rsid w:val="0026485D"/>
    <w:rsid w:val="002648B0"/>
    <w:rsid w:val="00264C8C"/>
    <w:rsid w:val="002664C7"/>
    <w:rsid w:val="002669F8"/>
    <w:rsid w:val="002678CE"/>
    <w:rsid w:val="00267A21"/>
    <w:rsid w:val="0027034D"/>
    <w:rsid w:val="00271C8B"/>
    <w:rsid w:val="00272F65"/>
    <w:rsid w:val="00273432"/>
    <w:rsid w:val="002735FE"/>
    <w:rsid w:val="00273A4D"/>
    <w:rsid w:val="002754C0"/>
    <w:rsid w:val="00276720"/>
    <w:rsid w:val="00276B41"/>
    <w:rsid w:val="00277058"/>
    <w:rsid w:val="002771C5"/>
    <w:rsid w:val="002805FD"/>
    <w:rsid w:val="0028072E"/>
    <w:rsid w:val="00280B99"/>
    <w:rsid w:val="002816EA"/>
    <w:rsid w:val="00283B5F"/>
    <w:rsid w:val="00283C5E"/>
    <w:rsid w:val="00284A6D"/>
    <w:rsid w:val="0028519C"/>
    <w:rsid w:val="00285E2F"/>
    <w:rsid w:val="0028628A"/>
    <w:rsid w:val="00290286"/>
    <w:rsid w:val="0029097C"/>
    <w:rsid w:val="00290CAD"/>
    <w:rsid w:val="002917CA"/>
    <w:rsid w:val="002920FF"/>
    <w:rsid w:val="00292409"/>
    <w:rsid w:val="00292A20"/>
    <w:rsid w:val="00294B07"/>
    <w:rsid w:val="0029520F"/>
    <w:rsid w:val="00295225"/>
    <w:rsid w:val="0029630E"/>
    <w:rsid w:val="00297074"/>
    <w:rsid w:val="0029716F"/>
    <w:rsid w:val="0029726F"/>
    <w:rsid w:val="002A04D3"/>
    <w:rsid w:val="002A09D5"/>
    <w:rsid w:val="002A1B49"/>
    <w:rsid w:val="002A36BB"/>
    <w:rsid w:val="002A4B85"/>
    <w:rsid w:val="002A5969"/>
    <w:rsid w:val="002A5BC5"/>
    <w:rsid w:val="002A677E"/>
    <w:rsid w:val="002A67C8"/>
    <w:rsid w:val="002A6913"/>
    <w:rsid w:val="002A7C84"/>
    <w:rsid w:val="002B004B"/>
    <w:rsid w:val="002B15B5"/>
    <w:rsid w:val="002B1600"/>
    <w:rsid w:val="002B2B6E"/>
    <w:rsid w:val="002B2BA3"/>
    <w:rsid w:val="002B3E36"/>
    <w:rsid w:val="002B5403"/>
    <w:rsid w:val="002B5492"/>
    <w:rsid w:val="002B5B50"/>
    <w:rsid w:val="002B5CD1"/>
    <w:rsid w:val="002B5F2D"/>
    <w:rsid w:val="002B66BD"/>
    <w:rsid w:val="002C0206"/>
    <w:rsid w:val="002C053E"/>
    <w:rsid w:val="002C06FD"/>
    <w:rsid w:val="002C0985"/>
    <w:rsid w:val="002C1068"/>
    <w:rsid w:val="002C1251"/>
    <w:rsid w:val="002C1FEC"/>
    <w:rsid w:val="002C37D9"/>
    <w:rsid w:val="002C41F1"/>
    <w:rsid w:val="002C4D74"/>
    <w:rsid w:val="002C5671"/>
    <w:rsid w:val="002C6263"/>
    <w:rsid w:val="002C66A4"/>
    <w:rsid w:val="002C674A"/>
    <w:rsid w:val="002D102E"/>
    <w:rsid w:val="002D2C75"/>
    <w:rsid w:val="002D318D"/>
    <w:rsid w:val="002D31E5"/>
    <w:rsid w:val="002D3982"/>
    <w:rsid w:val="002D4561"/>
    <w:rsid w:val="002D4E10"/>
    <w:rsid w:val="002D4F6A"/>
    <w:rsid w:val="002D60D7"/>
    <w:rsid w:val="002D68CE"/>
    <w:rsid w:val="002D6B9E"/>
    <w:rsid w:val="002D7779"/>
    <w:rsid w:val="002E0148"/>
    <w:rsid w:val="002E0174"/>
    <w:rsid w:val="002E053A"/>
    <w:rsid w:val="002E0DDB"/>
    <w:rsid w:val="002E12E6"/>
    <w:rsid w:val="002E136A"/>
    <w:rsid w:val="002E2061"/>
    <w:rsid w:val="002E2164"/>
    <w:rsid w:val="002E27B0"/>
    <w:rsid w:val="002E3720"/>
    <w:rsid w:val="002E4EB7"/>
    <w:rsid w:val="002E5096"/>
    <w:rsid w:val="002E587F"/>
    <w:rsid w:val="002E58AF"/>
    <w:rsid w:val="002E7287"/>
    <w:rsid w:val="002E796C"/>
    <w:rsid w:val="002F07EA"/>
    <w:rsid w:val="002F0FB3"/>
    <w:rsid w:val="002F1163"/>
    <w:rsid w:val="002F11F3"/>
    <w:rsid w:val="002F170E"/>
    <w:rsid w:val="002F1920"/>
    <w:rsid w:val="002F19BB"/>
    <w:rsid w:val="002F1E8D"/>
    <w:rsid w:val="002F2663"/>
    <w:rsid w:val="002F29AF"/>
    <w:rsid w:val="002F29CB"/>
    <w:rsid w:val="002F3261"/>
    <w:rsid w:val="002F39A7"/>
    <w:rsid w:val="002F4A67"/>
    <w:rsid w:val="002F4A87"/>
    <w:rsid w:val="002F5571"/>
    <w:rsid w:val="002F707B"/>
    <w:rsid w:val="002F78EA"/>
    <w:rsid w:val="002F79EA"/>
    <w:rsid w:val="002F7E28"/>
    <w:rsid w:val="00300224"/>
    <w:rsid w:val="00302C3F"/>
    <w:rsid w:val="003030A3"/>
    <w:rsid w:val="00303974"/>
    <w:rsid w:val="00304CA5"/>
    <w:rsid w:val="0030572F"/>
    <w:rsid w:val="00306163"/>
    <w:rsid w:val="00306AD1"/>
    <w:rsid w:val="00306F71"/>
    <w:rsid w:val="00306F8E"/>
    <w:rsid w:val="003073B2"/>
    <w:rsid w:val="0031001C"/>
    <w:rsid w:val="0031055A"/>
    <w:rsid w:val="003105C6"/>
    <w:rsid w:val="00310F05"/>
    <w:rsid w:val="00310F96"/>
    <w:rsid w:val="00311119"/>
    <w:rsid w:val="00311B2D"/>
    <w:rsid w:val="00312BA3"/>
    <w:rsid w:val="00313274"/>
    <w:rsid w:val="003132E6"/>
    <w:rsid w:val="003137B9"/>
    <w:rsid w:val="00313D20"/>
    <w:rsid w:val="003141F6"/>
    <w:rsid w:val="00314971"/>
    <w:rsid w:val="003150E6"/>
    <w:rsid w:val="003172C8"/>
    <w:rsid w:val="00317451"/>
    <w:rsid w:val="003175FE"/>
    <w:rsid w:val="00320BB4"/>
    <w:rsid w:val="00321A3B"/>
    <w:rsid w:val="003220BD"/>
    <w:rsid w:val="003232D5"/>
    <w:rsid w:val="00325654"/>
    <w:rsid w:val="003259DA"/>
    <w:rsid w:val="0032635E"/>
    <w:rsid w:val="0032755B"/>
    <w:rsid w:val="003276AF"/>
    <w:rsid w:val="003300FF"/>
    <w:rsid w:val="00330199"/>
    <w:rsid w:val="00331FE6"/>
    <w:rsid w:val="00332B2A"/>
    <w:rsid w:val="00333A44"/>
    <w:rsid w:val="00334093"/>
    <w:rsid w:val="0033476C"/>
    <w:rsid w:val="003374C1"/>
    <w:rsid w:val="00337849"/>
    <w:rsid w:val="00337BEA"/>
    <w:rsid w:val="00340094"/>
    <w:rsid w:val="003400BB"/>
    <w:rsid w:val="00342261"/>
    <w:rsid w:val="00342B6A"/>
    <w:rsid w:val="00342BB2"/>
    <w:rsid w:val="00342C4B"/>
    <w:rsid w:val="003438E8"/>
    <w:rsid w:val="003459F8"/>
    <w:rsid w:val="00345A82"/>
    <w:rsid w:val="00345E53"/>
    <w:rsid w:val="00346C65"/>
    <w:rsid w:val="0034786E"/>
    <w:rsid w:val="00347FF9"/>
    <w:rsid w:val="00350AC4"/>
    <w:rsid w:val="00350DDB"/>
    <w:rsid w:val="00351DD4"/>
    <w:rsid w:val="00352A45"/>
    <w:rsid w:val="00352C6E"/>
    <w:rsid w:val="00352FB3"/>
    <w:rsid w:val="00353D40"/>
    <w:rsid w:val="0035403D"/>
    <w:rsid w:val="003541BA"/>
    <w:rsid w:val="003556A3"/>
    <w:rsid w:val="003557B5"/>
    <w:rsid w:val="00356773"/>
    <w:rsid w:val="00357CD1"/>
    <w:rsid w:val="00357F63"/>
    <w:rsid w:val="003616A1"/>
    <w:rsid w:val="00361D60"/>
    <w:rsid w:val="00363505"/>
    <w:rsid w:val="00363969"/>
    <w:rsid w:val="0036415F"/>
    <w:rsid w:val="00364EBB"/>
    <w:rsid w:val="00366794"/>
    <w:rsid w:val="00366CAF"/>
    <w:rsid w:val="00370576"/>
    <w:rsid w:val="0037077A"/>
    <w:rsid w:val="00370D79"/>
    <w:rsid w:val="00371593"/>
    <w:rsid w:val="00371653"/>
    <w:rsid w:val="00373E3E"/>
    <w:rsid w:val="00375C47"/>
    <w:rsid w:val="00380D47"/>
    <w:rsid w:val="003812AC"/>
    <w:rsid w:val="003813DF"/>
    <w:rsid w:val="0038147E"/>
    <w:rsid w:val="00381685"/>
    <w:rsid w:val="003826D9"/>
    <w:rsid w:val="00383D4B"/>
    <w:rsid w:val="00383FF2"/>
    <w:rsid w:val="00384770"/>
    <w:rsid w:val="00386492"/>
    <w:rsid w:val="00387E40"/>
    <w:rsid w:val="003908C5"/>
    <w:rsid w:val="00390DDA"/>
    <w:rsid w:val="00391406"/>
    <w:rsid w:val="003927BE"/>
    <w:rsid w:val="00392C11"/>
    <w:rsid w:val="00392FFD"/>
    <w:rsid w:val="0039346B"/>
    <w:rsid w:val="00393539"/>
    <w:rsid w:val="00393FF2"/>
    <w:rsid w:val="00394410"/>
    <w:rsid w:val="00394FF1"/>
    <w:rsid w:val="003953E6"/>
    <w:rsid w:val="00397314"/>
    <w:rsid w:val="00397A77"/>
    <w:rsid w:val="003A0532"/>
    <w:rsid w:val="003A07D6"/>
    <w:rsid w:val="003A0835"/>
    <w:rsid w:val="003A0C05"/>
    <w:rsid w:val="003A1469"/>
    <w:rsid w:val="003A1B96"/>
    <w:rsid w:val="003A200A"/>
    <w:rsid w:val="003A3877"/>
    <w:rsid w:val="003A3899"/>
    <w:rsid w:val="003A449C"/>
    <w:rsid w:val="003A497B"/>
    <w:rsid w:val="003A4C8B"/>
    <w:rsid w:val="003A5266"/>
    <w:rsid w:val="003A5743"/>
    <w:rsid w:val="003A5D8C"/>
    <w:rsid w:val="003A7214"/>
    <w:rsid w:val="003A7336"/>
    <w:rsid w:val="003B00F4"/>
    <w:rsid w:val="003B05AE"/>
    <w:rsid w:val="003B06B9"/>
    <w:rsid w:val="003B09EA"/>
    <w:rsid w:val="003B0B15"/>
    <w:rsid w:val="003B20D7"/>
    <w:rsid w:val="003B219A"/>
    <w:rsid w:val="003B256A"/>
    <w:rsid w:val="003B25F0"/>
    <w:rsid w:val="003B2712"/>
    <w:rsid w:val="003B3112"/>
    <w:rsid w:val="003B3533"/>
    <w:rsid w:val="003B3DBB"/>
    <w:rsid w:val="003B43BA"/>
    <w:rsid w:val="003B6094"/>
    <w:rsid w:val="003B66A1"/>
    <w:rsid w:val="003B7060"/>
    <w:rsid w:val="003C050A"/>
    <w:rsid w:val="003C0FB5"/>
    <w:rsid w:val="003C1BB1"/>
    <w:rsid w:val="003C2409"/>
    <w:rsid w:val="003C2566"/>
    <w:rsid w:val="003C3168"/>
    <w:rsid w:val="003C3AAB"/>
    <w:rsid w:val="003C3B79"/>
    <w:rsid w:val="003C3FD5"/>
    <w:rsid w:val="003C4307"/>
    <w:rsid w:val="003C4BA6"/>
    <w:rsid w:val="003C60B9"/>
    <w:rsid w:val="003C76A2"/>
    <w:rsid w:val="003C7853"/>
    <w:rsid w:val="003D07E3"/>
    <w:rsid w:val="003D10E9"/>
    <w:rsid w:val="003D11AD"/>
    <w:rsid w:val="003D14AE"/>
    <w:rsid w:val="003D1657"/>
    <w:rsid w:val="003D17D0"/>
    <w:rsid w:val="003D199D"/>
    <w:rsid w:val="003D3CED"/>
    <w:rsid w:val="003D431C"/>
    <w:rsid w:val="003D485B"/>
    <w:rsid w:val="003D56DE"/>
    <w:rsid w:val="003D655D"/>
    <w:rsid w:val="003D69CB"/>
    <w:rsid w:val="003D725D"/>
    <w:rsid w:val="003D7822"/>
    <w:rsid w:val="003D7F50"/>
    <w:rsid w:val="003E02B3"/>
    <w:rsid w:val="003E0950"/>
    <w:rsid w:val="003E098F"/>
    <w:rsid w:val="003E3102"/>
    <w:rsid w:val="003E47C5"/>
    <w:rsid w:val="003E4EF2"/>
    <w:rsid w:val="003E5145"/>
    <w:rsid w:val="003E52DA"/>
    <w:rsid w:val="003E7AEC"/>
    <w:rsid w:val="003F0298"/>
    <w:rsid w:val="003F05A0"/>
    <w:rsid w:val="003F0E76"/>
    <w:rsid w:val="003F1103"/>
    <w:rsid w:val="003F15BB"/>
    <w:rsid w:val="003F17BB"/>
    <w:rsid w:val="003F19BA"/>
    <w:rsid w:val="003F3523"/>
    <w:rsid w:val="00401111"/>
    <w:rsid w:val="0040156B"/>
    <w:rsid w:val="00401E48"/>
    <w:rsid w:val="00402284"/>
    <w:rsid w:val="00403B9F"/>
    <w:rsid w:val="0040521E"/>
    <w:rsid w:val="00405C0A"/>
    <w:rsid w:val="00407110"/>
    <w:rsid w:val="00407505"/>
    <w:rsid w:val="00407936"/>
    <w:rsid w:val="00410796"/>
    <w:rsid w:val="004120DF"/>
    <w:rsid w:val="004127F7"/>
    <w:rsid w:val="004129D0"/>
    <w:rsid w:val="00412D44"/>
    <w:rsid w:val="004133D9"/>
    <w:rsid w:val="004134E6"/>
    <w:rsid w:val="004157CC"/>
    <w:rsid w:val="00415A1B"/>
    <w:rsid w:val="00417984"/>
    <w:rsid w:val="00422449"/>
    <w:rsid w:val="00422B88"/>
    <w:rsid w:val="00423372"/>
    <w:rsid w:val="00423556"/>
    <w:rsid w:val="00423D6C"/>
    <w:rsid w:val="00423F7E"/>
    <w:rsid w:val="004255D6"/>
    <w:rsid w:val="0042594B"/>
    <w:rsid w:val="00425F4C"/>
    <w:rsid w:val="0042766A"/>
    <w:rsid w:val="0043001B"/>
    <w:rsid w:val="004304C0"/>
    <w:rsid w:val="00430F6F"/>
    <w:rsid w:val="0043168D"/>
    <w:rsid w:val="004317F7"/>
    <w:rsid w:val="004319EB"/>
    <w:rsid w:val="0043231D"/>
    <w:rsid w:val="004350F2"/>
    <w:rsid w:val="004357B9"/>
    <w:rsid w:val="00435BA9"/>
    <w:rsid w:val="00435EB0"/>
    <w:rsid w:val="00436204"/>
    <w:rsid w:val="00436490"/>
    <w:rsid w:val="00436A46"/>
    <w:rsid w:val="00436BBC"/>
    <w:rsid w:val="004377DA"/>
    <w:rsid w:val="004377E2"/>
    <w:rsid w:val="004408E7"/>
    <w:rsid w:val="004415C8"/>
    <w:rsid w:val="00441F78"/>
    <w:rsid w:val="00443003"/>
    <w:rsid w:val="00443DD0"/>
    <w:rsid w:val="0044539D"/>
    <w:rsid w:val="00445E06"/>
    <w:rsid w:val="0044639C"/>
    <w:rsid w:val="00446FAC"/>
    <w:rsid w:val="0045099E"/>
    <w:rsid w:val="00450A2E"/>
    <w:rsid w:val="00451220"/>
    <w:rsid w:val="00451B63"/>
    <w:rsid w:val="0045251C"/>
    <w:rsid w:val="00452AB0"/>
    <w:rsid w:val="00452FEF"/>
    <w:rsid w:val="00453999"/>
    <w:rsid w:val="00454026"/>
    <w:rsid w:val="00454082"/>
    <w:rsid w:val="00454139"/>
    <w:rsid w:val="00454CFC"/>
    <w:rsid w:val="00455314"/>
    <w:rsid w:val="00455364"/>
    <w:rsid w:val="00455B49"/>
    <w:rsid w:val="004600E4"/>
    <w:rsid w:val="004603C7"/>
    <w:rsid w:val="00460A9C"/>
    <w:rsid w:val="00461A5A"/>
    <w:rsid w:val="004629A2"/>
    <w:rsid w:val="00462BAB"/>
    <w:rsid w:val="00463E3C"/>
    <w:rsid w:val="00463F88"/>
    <w:rsid w:val="00464DCB"/>
    <w:rsid w:val="00464F34"/>
    <w:rsid w:val="0046517B"/>
    <w:rsid w:val="004656E1"/>
    <w:rsid w:val="00467F08"/>
    <w:rsid w:val="00467F65"/>
    <w:rsid w:val="00471159"/>
    <w:rsid w:val="00471A96"/>
    <w:rsid w:val="00474C49"/>
    <w:rsid w:val="0047503C"/>
    <w:rsid w:val="0047563E"/>
    <w:rsid w:val="00475B6A"/>
    <w:rsid w:val="0047602E"/>
    <w:rsid w:val="00476209"/>
    <w:rsid w:val="00476566"/>
    <w:rsid w:val="004766D4"/>
    <w:rsid w:val="0047693D"/>
    <w:rsid w:val="004773AB"/>
    <w:rsid w:val="00477C45"/>
    <w:rsid w:val="00477CB6"/>
    <w:rsid w:val="00480A69"/>
    <w:rsid w:val="00480AF8"/>
    <w:rsid w:val="0048116C"/>
    <w:rsid w:val="0048143B"/>
    <w:rsid w:val="0048345E"/>
    <w:rsid w:val="00483FC9"/>
    <w:rsid w:val="00484DDA"/>
    <w:rsid w:val="004852B9"/>
    <w:rsid w:val="00486DA5"/>
    <w:rsid w:val="00487597"/>
    <w:rsid w:val="00487A02"/>
    <w:rsid w:val="004901BE"/>
    <w:rsid w:val="0049092A"/>
    <w:rsid w:val="004913CE"/>
    <w:rsid w:val="00491F4D"/>
    <w:rsid w:val="004928AC"/>
    <w:rsid w:val="00492D77"/>
    <w:rsid w:val="00493D5E"/>
    <w:rsid w:val="00495C50"/>
    <w:rsid w:val="00496C53"/>
    <w:rsid w:val="00496F5D"/>
    <w:rsid w:val="004970FA"/>
    <w:rsid w:val="00497D60"/>
    <w:rsid w:val="004A01BF"/>
    <w:rsid w:val="004A0885"/>
    <w:rsid w:val="004A0D4A"/>
    <w:rsid w:val="004A11BD"/>
    <w:rsid w:val="004A1D97"/>
    <w:rsid w:val="004A3247"/>
    <w:rsid w:val="004A3A58"/>
    <w:rsid w:val="004A3B3D"/>
    <w:rsid w:val="004A47BA"/>
    <w:rsid w:val="004A5880"/>
    <w:rsid w:val="004A6C52"/>
    <w:rsid w:val="004A6FAC"/>
    <w:rsid w:val="004A705D"/>
    <w:rsid w:val="004A7B60"/>
    <w:rsid w:val="004B031B"/>
    <w:rsid w:val="004B135C"/>
    <w:rsid w:val="004B2A17"/>
    <w:rsid w:val="004B38D3"/>
    <w:rsid w:val="004B38D7"/>
    <w:rsid w:val="004B3B58"/>
    <w:rsid w:val="004B4075"/>
    <w:rsid w:val="004B4DF9"/>
    <w:rsid w:val="004B572C"/>
    <w:rsid w:val="004B584D"/>
    <w:rsid w:val="004B5870"/>
    <w:rsid w:val="004B67ED"/>
    <w:rsid w:val="004B6F60"/>
    <w:rsid w:val="004B7F4A"/>
    <w:rsid w:val="004C03BC"/>
    <w:rsid w:val="004C0508"/>
    <w:rsid w:val="004C15A0"/>
    <w:rsid w:val="004C1ACF"/>
    <w:rsid w:val="004C445F"/>
    <w:rsid w:val="004C4478"/>
    <w:rsid w:val="004C6E6F"/>
    <w:rsid w:val="004C74EC"/>
    <w:rsid w:val="004D0C15"/>
    <w:rsid w:val="004D2031"/>
    <w:rsid w:val="004D2753"/>
    <w:rsid w:val="004D36B6"/>
    <w:rsid w:val="004D3C0E"/>
    <w:rsid w:val="004D4419"/>
    <w:rsid w:val="004D45AA"/>
    <w:rsid w:val="004D4BDB"/>
    <w:rsid w:val="004D5161"/>
    <w:rsid w:val="004D6755"/>
    <w:rsid w:val="004D6C74"/>
    <w:rsid w:val="004D780C"/>
    <w:rsid w:val="004E0244"/>
    <w:rsid w:val="004E04BF"/>
    <w:rsid w:val="004E081B"/>
    <w:rsid w:val="004E0A91"/>
    <w:rsid w:val="004E2725"/>
    <w:rsid w:val="004E28B1"/>
    <w:rsid w:val="004E2BE7"/>
    <w:rsid w:val="004E5B02"/>
    <w:rsid w:val="004E6AC0"/>
    <w:rsid w:val="004E6D5F"/>
    <w:rsid w:val="004E7936"/>
    <w:rsid w:val="004E7D09"/>
    <w:rsid w:val="004E7DCF"/>
    <w:rsid w:val="004E7DF2"/>
    <w:rsid w:val="004F0068"/>
    <w:rsid w:val="004F0474"/>
    <w:rsid w:val="004F0D16"/>
    <w:rsid w:val="004F0F3D"/>
    <w:rsid w:val="004F1DDB"/>
    <w:rsid w:val="004F2AB4"/>
    <w:rsid w:val="004F2B30"/>
    <w:rsid w:val="004F3766"/>
    <w:rsid w:val="004F458D"/>
    <w:rsid w:val="004F4775"/>
    <w:rsid w:val="004F4BB8"/>
    <w:rsid w:val="004F50AF"/>
    <w:rsid w:val="004F5C89"/>
    <w:rsid w:val="004F6B6B"/>
    <w:rsid w:val="00502363"/>
    <w:rsid w:val="00502FC6"/>
    <w:rsid w:val="0050394C"/>
    <w:rsid w:val="0050399F"/>
    <w:rsid w:val="00503F93"/>
    <w:rsid w:val="00504A16"/>
    <w:rsid w:val="005050CE"/>
    <w:rsid w:val="00505B5C"/>
    <w:rsid w:val="005067A1"/>
    <w:rsid w:val="00507065"/>
    <w:rsid w:val="00512CC7"/>
    <w:rsid w:val="005130D9"/>
    <w:rsid w:val="005135D6"/>
    <w:rsid w:val="00513822"/>
    <w:rsid w:val="00514158"/>
    <w:rsid w:val="00514783"/>
    <w:rsid w:val="00517EE9"/>
    <w:rsid w:val="00520B00"/>
    <w:rsid w:val="00521D56"/>
    <w:rsid w:val="00522F33"/>
    <w:rsid w:val="0052367C"/>
    <w:rsid w:val="00523DD6"/>
    <w:rsid w:val="0052490C"/>
    <w:rsid w:val="0052508A"/>
    <w:rsid w:val="00525295"/>
    <w:rsid w:val="0053078D"/>
    <w:rsid w:val="00530BA1"/>
    <w:rsid w:val="00530FC7"/>
    <w:rsid w:val="00531FC9"/>
    <w:rsid w:val="00532026"/>
    <w:rsid w:val="0053327A"/>
    <w:rsid w:val="00533D6A"/>
    <w:rsid w:val="00533D84"/>
    <w:rsid w:val="00533E53"/>
    <w:rsid w:val="005342A5"/>
    <w:rsid w:val="00535350"/>
    <w:rsid w:val="00535792"/>
    <w:rsid w:val="00535A98"/>
    <w:rsid w:val="00536B6D"/>
    <w:rsid w:val="0053702D"/>
    <w:rsid w:val="0054122B"/>
    <w:rsid w:val="0054224E"/>
    <w:rsid w:val="005429A0"/>
    <w:rsid w:val="00542C33"/>
    <w:rsid w:val="00542EAE"/>
    <w:rsid w:val="00543964"/>
    <w:rsid w:val="00543DBD"/>
    <w:rsid w:val="00544DA4"/>
    <w:rsid w:val="00544E37"/>
    <w:rsid w:val="00547047"/>
    <w:rsid w:val="005474CB"/>
    <w:rsid w:val="00550113"/>
    <w:rsid w:val="00550997"/>
    <w:rsid w:val="005511AD"/>
    <w:rsid w:val="00551271"/>
    <w:rsid w:val="0055144E"/>
    <w:rsid w:val="0055245C"/>
    <w:rsid w:val="005528C1"/>
    <w:rsid w:val="00552A83"/>
    <w:rsid w:val="00552BF3"/>
    <w:rsid w:val="00552E3E"/>
    <w:rsid w:val="00554261"/>
    <w:rsid w:val="00554886"/>
    <w:rsid w:val="00554A32"/>
    <w:rsid w:val="005563DA"/>
    <w:rsid w:val="0055657F"/>
    <w:rsid w:val="0055791B"/>
    <w:rsid w:val="00557D09"/>
    <w:rsid w:val="0056002D"/>
    <w:rsid w:val="00560A14"/>
    <w:rsid w:val="005617F7"/>
    <w:rsid w:val="00562181"/>
    <w:rsid w:val="00563313"/>
    <w:rsid w:val="005643EA"/>
    <w:rsid w:val="00564A89"/>
    <w:rsid w:val="00565031"/>
    <w:rsid w:val="00566665"/>
    <w:rsid w:val="005666F4"/>
    <w:rsid w:val="00566A45"/>
    <w:rsid w:val="00566DB5"/>
    <w:rsid w:val="005723E9"/>
    <w:rsid w:val="00572C82"/>
    <w:rsid w:val="0057350E"/>
    <w:rsid w:val="00573DB4"/>
    <w:rsid w:val="00576215"/>
    <w:rsid w:val="0057632A"/>
    <w:rsid w:val="00576664"/>
    <w:rsid w:val="00577AA3"/>
    <w:rsid w:val="005808DE"/>
    <w:rsid w:val="00581FA5"/>
    <w:rsid w:val="00582399"/>
    <w:rsid w:val="00582923"/>
    <w:rsid w:val="00583884"/>
    <w:rsid w:val="00584165"/>
    <w:rsid w:val="00585466"/>
    <w:rsid w:val="00585B5B"/>
    <w:rsid w:val="0058617B"/>
    <w:rsid w:val="00587E96"/>
    <w:rsid w:val="00590386"/>
    <w:rsid w:val="005911AC"/>
    <w:rsid w:val="0059138D"/>
    <w:rsid w:val="00592A08"/>
    <w:rsid w:val="00593E1F"/>
    <w:rsid w:val="00595FAD"/>
    <w:rsid w:val="0059657D"/>
    <w:rsid w:val="005965CE"/>
    <w:rsid w:val="005970B6"/>
    <w:rsid w:val="00597BBC"/>
    <w:rsid w:val="005A020C"/>
    <w:rsid w:val="005A1898"/>
    <w:rsid w:val="005A18FB"/>
    <w:rsid w:val="005A2182"/>
    <w:rsid w:val="005A2363"/>
    <w:rsid w:val="005A2C21"/>
    <w:rsid w:val="005A43B1"/>
    <w:rsid w:val="005A6305"/>
    <w:rsid w:val="005A760D"/>
    <w:rsid w:val="005A7CA9"/>
    <w:rsid w:val="005B02DE"/>
    <w:rsid w:val="005B0463"/>
    <w:rsid w:val="005B04C9"/>
    <w:rsid w:val="005B0C8D"/>
    <w:rsid w:val="005B13A0"/>
    <w:rsid w:val="005B321D"/>
    <w:rsid w:val="005B3AEF"/>
    <w:rsid w:val="005B3B7C"/>
    <w:rsid w:val="005B5390"/>
    <w:rsid w:val="005B54BB"/>
    <w:rsid w:val="005B57EC"/>
    <w:rsid w:val="005B591C"/>
    <w:rsid w:val="005B5C89"/>
    <w:rsid w:val="005B5D85"/>
    <w:rsid w:val="005B76D3"/>
    <w:rsid w:val="005C0B75"/>
    <w:rsid w:val="005C14B0"/>
    <w:rsid w:val="005C1BC9"/>
    <w:rsid w:val="005C287F"/>
    <w:rsid w:val="005C29CD"/>
    <w:rsid w:val="005C2A1D"/>
    <w:rsid w:val="005C5136"/>
    <w:rsid w:val="005C517E"/>
    <w:rsid w:val="005C6CF7"/>
    <w:rsid w:val="005C6DEB"/>
    <w:rsid w:val="005C7542"/>
    <w:rsid w:val="005C7A65"/>
    <w:rsid w:val="005C7A91"/>
    <w:rsid w:val="005D0B5D"/>
    <w:rsid w:val="005D2F62"/>
    <w:rsid w:val="005D3034"/>
    <w:rsid w:val="005D3318"/>
    <w:rsid w:val="005D35A0"/>
    <w:rsid w:val="005D3DD9"/>
    <w:rsid w:val="005D3E00"/>
    <w:rsid w:val="005D40D9"/>
    <w:rsid w:val="005D411E"/>
    <w:rsid w:val="005D423C"/>
    <w:rsid w:val="005D479B"/>
    <w:rsid w:val="005D5914"/>
    <w:rsid w:val="005E0301"/>
    <w:rsid w:val="005E03B8"/>
    <w:rsid w:val="005E0917"/>
    <w:rsid w:val="005E1B10"/>
    <w:rsid w:val="005E3471"/>
    <w:rsid w:val="005E3ABC"/>
    <w:rsid w:val="005E4BEC"/>
    <w:rsid w:val="005E5070"/>
    <w:rsid w:val="005E59EB"/>
    <w:rsid w:val="005E61A3"/>
    <w:rsid w:val="005E7377"/>
    <w:rsid w:val="005E7DF2"/>
    <w:rsid w:val="005E7F24"/>
    <w:rsid w:val="005E7FAD"/>
    <w:rsid w:val="005F05ED"/>
    <w:rsid w:val="005F1095"/>
    <w:rsid w:val="005F12F9"/>
    <w:rsid w:val="005F1957"/>
    <w:rsid w:val="005F1EB8"/>
    <w:rsid w:val="005F266B"/>
    <w:rsid w:val="005F3409"/>
    <w:rsid w:val="005F3BBE"/>
    <w:rsid w:val="005F5B6B"/>
    <w:rsid w:val="005F5DF8"/>
    <w:rsid w:val="005F6354"/>
    <w:rsid w:val="005F6603"/>
    <w:rsid w:val="005F6FDF"/>
    <w:rsid w:val="0060043C"/>
    <w:rsid w:val="00600733"/>
    <w:rsid w:val="00601450"/>
    <w:rsid w:val="006015FF"/>
    <w:rsid w:val="0060179C"/>
    <w:rsid w:val="006022CB"/>
    <w:rsid w:val="00602764"/>
    <w:rsid w:val="00602FA5"/>
    <w:rsid w:val="0060500C"/>
    <w:rsid w:val="00605A9A"/>
    <w:rsid w:val="00605F23"/>
    <w:rsid w:val="00606735"/>
    <w:rsid w:val="0060673F"/>
    <w:rsid w:val="00606885"/>
    <w:rsid w:val="0060723F"/>
    <w:rsid w:val="00607523"/>
    <w:rsid w:val="006108B8"/>
    <w:rsid w:val="00610920"/>
    <w:rsid w:val="00610B56"/>
    <w:rsid w:val="00611073"/>
    <w:rsid w:val="0061222C"/>
    <w:rsid w:val="0061248F"/>
    <w:rsid w:val="00612780"/>
    <w:rsid w:val="006128D7"/>
    <w:rsid w:val="00613578"/>
    <w:rsid w:val="0061382B"/>
    <w:rsid w:val="00614509"/>
    <w:rsid w:val="006147CF"/>
    <w:rsid w:val="0061482E"/>
    <w:rsid w:val="00615252"/>
    <w:rsid w:val="0061552A"/>
    <w:rsid w:val="006161E5"/>
    <w:rsid w:val="00616264"/>
    <w:rsid w:val="00616690"/>
    <w:rsid w:val="00616E90"/>
    <w:rsid w:val="00620AB3"/>
    <w:rsid w:val="006219A7"/>
    <w:rsid w:val="00622B37"/>
    <w:rsid w:val="00622B8C"/>
    <w:rsid w:val="00622DF8"/>
    <w:rsid w:val="0062362F"/>
    <w:rsid w:val="00623BD2"/>
    <w:rsid w:val="00623EAD"/>
    <w:rsid w:val="00624117"/>
    <w:rsid w:val="00624624"/>
    <w:rsid w:val="0062558D"/>
    <w:rsid w:val="006259C7"/>
    <w:rsid w:val="006269F7"/>
    <w:rsid w:val="00626A88"/>
    <w:rsid w:val="00627143"/>
    <w:rsid w:val="00630711"/>
    <w:rsid w:val="00630EF6"/>
    <w:rsid w:val="00631405"/>
    <w:rsid w:val="006317A9"/>
    <w:rsid w:val="0063337F"/>
    <w:rsid w:val="00633D3C"/>
    <w:rsid w:val="00633DEB"/>
    <w:rsid w:val="0063493E"/>
    <w:rsid w:val="00634EC4"/>
    <w:rsid w:val="00635440"/>
    <w:rsid w:val="006364E5"/>
    <w:rsid w:val="0063773C"/>
    <w:rsid w:val="00640475"/>
    <w:rsid w:val="006418A0"/>
    <w:rsid w:val="00643011"/>
    <w:rsid w:val="00643362"/>
    <w:rsid w:val="00643B18"/>
    <w:rsid w:val="0064497A"/>
    <w:rsid w:val="006452A4"/>
    <w:rsid w:val="00645573"/>
    <w:rsid w:val="006455B0"/>
    <w:rsid w:val="00646287"/>
    <w:rsid w:val="00646D1B"/>
    <w:rsid w:val="006477B8"/>
    <w:rsid w:val="00647F9C"/>
    <w:rsid w:val="00650529"/>
    <w:rsid w:val="00650B6C"/>
    <w:rsid w:val="00650D5A"/>
    <w:rsid w:val="00650DB8"/>
    <w:rsid w:val="00651C18"/>
    <w:rsid w:val="00652460"/>
    <w:rsid w:val="00652DF7"/>
    <w:rsid w:val="00652F11"/>
    <w:rsid w:val="00652FA2"/>
    <w:rsid w:val="00654A02"/>
    <w:rsid w:val="00655B6E"/>
    <w:rsid w:val="00656BF0"/>
    <w:rsid w:val="00661595"/>
    <w:rsid w:val="0066173C"/>
    <w:rsid w:val="0066186C"/>
    <w:rsid w:val="00662545"/>
    <w:rsid w:val="00662E37"/>
    <w:rsid w:val="00664361"/>
    <w:rsid w:val="006646B6"/>
    <w:rsid w:val="00664874"/>
    <w:rsid w:val="006657C2"/>
    <w:rsid w:val="006660B9"/>
    <w:rsid w:val="00666996"/>
    <w:rsid w:val="00667262"/>
    <w:rsid w:val="006674B5"/>
    <w:rsid w:val="00670758"/>
    <w:rsid w:val="00672D2A"/>
    <w:rsid w:val="0067375E"/>
    <w:rsid w:val="006746DB"/>
    <w:rsid w:val="00674BF5"/>
    <w:rsid w:val="00674FCA"/>
    <w:rsid w:val="006750B8"/>
    <w:rsid w:val="00676B42"/>
    <w:rsid w:val="00676B98"/>
    <w:rsid w:val="006771CE"/>
    <w:rsid w:val="006778A2"/>
    <w:rsid w:val="00677A91"/>
    <w:rsid w:val="00680478"/>
    <w:rsid w:val="00680ADA"/>
    <w:rsid w:val="00681382"/>
    <w:rsid w:val="00684DC8"/>
    <w:rsid w:val="00685182"/>
    <w:rsid w:val="006855AB"/>
    <w:rsid w:val="0068594D"/>
    <w:rsid w:val="00690B40"/>
    <w:rsid w:val="00690D01"/>
    <w:rsid w:val="006916DC"/>
    <w:rsid w:val="00691F49"/>
    <w:rsid w:val="00691F9C"/>
    <w:rsid w:val="00692A55"/>
    <w:rsid w:val="00692B10"/>
    <w:rsid w:val="0069572F"/>
    <w:rsid w:val="00695A63"/>
    <w:rsid w:val="00695ABB"/>
    <w:rsid w:val="00696301"/>
    <w:rsid w:val="00696434"/>
    <w:rsid w:val="006966FF"/>
    <w:rsid w:val="00696F12"/>
    <w:rsid w:val="006972E8"/>
    <w:rsid w:val="006A01F5"/>
    <w:rsid w:val="006A14F6"/>
    <w:rsid w:val="006A20A0"/>
    <w:rsid w:val="006A2ED8"/>
    <w:rsid w:val="006A3201"/>
    <w:rsid w:val="006A3A82"/>
    <w:rsid w:val="006A4B1B"/>
    <w:rsid w:val="006A6049"/>
    <w:rsid w:val="006A66C9"/>
    <w:rsid w:val="006A6822"/>
    <w:rsid w:val="006A6CCF"/>
    <w:rsid w:val="006A7AEE"/>
    <w:rsid w:val="006A7EC8"/>
    <w:rsid w:val="006B08A5"/>
    <w:rsid w:val="006B0EEE"/>
    <w:rsid w:val="006B19A0"/>
    <w:rsid w:val="006B1A77"/>
    <w:rsid w:val="006B2333"/>
    <w:rsid w:val="006B2A31"/>
    <w:rsid w:val="006B2B59"/>
    <w:rsid w:val="006B2C9D"/>
    <w:rsid w:val="006B36C2"/>
    <w:rsid w:val="006B3BAE"/>
    <w:rsid w:val="006B42A7"/>
    <w:rsid w:val="006B4AC8"/>
    <w:rsid w:val="006B4E35"/>
    <w:rsid w:val="006B5308"/>
    <w:rsid w:val="006B55D6"/>
    <w:rsid w:val="006B5A2B"/>
    <w:rsid w:val="006B5BA8"/>
    <w:rsid w:val="006B7076"/>
    <w:rsid w:val="006B7228"/>
    <w:rsid w:val="006B72F3"/>
    <w:rsid w:val="006C0691"/>
    <w:rsid w:val="006C0915"/>
    <w:rsid w:val="006C0EF3"/>
    <w:rsid w:val="006C11BB"/>
    <w:rsid w:val="006C163A"/>
    <w:rsid w:val="006C1758"/>
    <w:rsid w:val="006C1FB5"/>
    <w:rsid w:val="006C2F61"/>
    <w:rsid w:val="006C35BA"/>
    <w:rsid w:val="006C3FF9"/>
    <w:rsid w:val="006C4136"/>
    <w:rsid w:val="006C4174"/>
    <w:rsid w:val="006C45C6"/>
    <w:rsid w:val="006C4A8F"/>
    <w:rsid w:val="006C4D76"/>
    <w:rsid w:val="006C52E6"/>
    <w:rsid w:val="006C5419"/>
    <w:rsid w:val="006C5A49"/>
    <w:rsid w:val="006C66DB"/>
    <w:rsid w:val="006C6D3F"/>
    <w:rsid w:val="006C6EE0"/>
    <w:rsid w:val="006C7201"/>
    <w:rsid w:val="006D0C24"/>
    <w:rsid w:val="006D1BC0"/>
    <w:rsid w:val="006D2499"/>
    <w:rsid w:val="006D35FC"/>
    <w:rsid w:val="006D3B1A"/>
    <w:rsid w:val="006D49F3"/>
    <w:rsid w:val="006D665A"/>
    <w:rsid w:val="006D6AE0"/>
    <w:rsid w:val="006D7512"/>
    <w:rsid w:val="006E01DA"/>
    <w:rsid w:val="006E0809"/>
    <w:rsid w:val="006E0E76"/>
    <w:rsid w:val="006E3440"/>
    <w:rsid w:val="006E347B"/>
    <w:rsid w:val="006E52E7"/>
    <w:rsid w:val="006E5764"/>
    <w:rsid w:val="006E5D07"/>
    <w:rsid w:val="006E6778"/>
    <w:rsid w:val="006E6AEF"/>
    <w:rsid w:val="006F07BF"/>
    <w:rsid w:val="006F0968"/>
    <w:rsid w:val="006F1CCF"/>
    <w:rsid w:val="006F20A4"/>
    <w:rsid w:val="006F2637"/>
    <w:rsid w:val="006F2989"/>
    <w:rsid w:val="006F3626"/>
    <w:rsid w:val="006F3B33"/>
    <w:rsid w:val="006F503D"/>
    <w:rsid w:val="006F53D7"/>
    <w:rsid w:val="00700D33"/>
    <w:rsid w:val="00700DE8"/>
    <w:rsid w:val="00700DFD"/>
    <w:rsid w:val="007027F2"/>
    <w:rsid w:val="007038D5"/>
    <w:rsid w:val="00703C87"/>
    <w:rsid w:val="00705025"/>
    <w:rsid w:val="007062FD"/>
    <w:rsid w:val="007063EE"/>
    <w:rsid w:val="007065FE"/>
    <w:rsid w:val="00706D25"/>
    <w:rsid w:val="00706FD8"/>
    <w:rsid w:val="0070781A"/>
    <w:rsid w:val="007079CE"/>
    <w:rsid w:val="007106FB"/>
    <w:rsid w:val="007111B3"/>
    <w:rsid w:val="00711F3A"/>
    <w:rsid w:val="00711F45"/>
    <w:rsid w:val="007121C9"/>
    <w:rsid w:val="00712B6C"/>
    <w:rsid w:val="00712C8C"/>
    <w:rsid w:val="00712DE1"/>
    <w:rsid w:val="00712F56"/>
    <w:rsid w:val="0071377A"/>
    <w:rsid w:val="00713E91"/>
    <w:rsid w:val="00714734"/>
    <w:rsid w:val="007158B2"/>
    <w:rsid w:val="007172B2"/>
    <w:rsid w:val="00717926"/>
    <w:rsid w:val="00720ADC"/>
    <w:rsid w:val="00721A22"/>
    <w:rsid w:val="00721CEA"/>
    <w:rsid w:val="0072265E"/>
    <w:rsid w:val="00722A10"/>
    <w:rsid w:val="007233B1"/>
    <w:rsid w:val="00723A50"/>
    <w:rsid w:val="00724108"/>
    <w:rsid w:val="007241D3"/>
    <w:rsid w:val="007247ED"/>
    <w:rsid w:val="007248BD"/>
    <w:rsid w:val="007260DA"/>
    <w:rsid w:val="00727756"/>
    <w:rsid w:val="00730040"/>
    <w:rsid w:val="0073242B"/>
    <w:rsid w:val="00732D6D"/>
    <w:rsid w:val="00733B77"/>
    <w:rsid w:val="00733F21"/>
    <w:rsid w:val="007345D3"/>
    <w:rsid w:val="0073473E"/>
    <w:rsid w:val="0073527C"/>
    <w:rsid w:val="0073581C"/>
    <w:rsid w:val="00735F76"/>
    <w:rsid w:val="00736AD5"/>
    <w:rsid w:val="00736D27"/>
    <w:rsid w:val="00736F34"/>
    <w:rsid w:val="00741BA6"/>
    <w:rsid w:val="007420C6"/>
    <w:rsid w:val="007421F4"/>
    <w:rsid w:val="007434D0"/>
    <w:rsid w:val="007445C4"/>
    <w:rsid w:val="00745142"/>
    <w:rsid w:val="00745369"/>
    <w:rsid w:val="007463E2"/>
    <w:rsid w:val="007466A4"/>
    <w:rsid w:val="00747FFA"/>
    <w:rsid w:val="007503D4"/>
    <w:rsid w:val="0075112B"/>
    <w:rsid w:val="00751FBE"/>
    <w:rsid w:val="00752B94"/>
    <w:rsid w:val="0075303E"/>
    <w:rsid w:val="0075306B"/>
    <w:rsid w:val="00754ADC"/>
    <w:rsid w:val="0075517F"/>
    <w:rsid w:val="0075706D"/>
    <w:rsid w:val="007574C3"/>
    <w:rsid w:val="00757C76"/>
    <w:rsid w:val="007608E4"/>
    <w:rsid w:val="00760D4A"/>
    <w:rsid w:val="007615A8"/>
    <w:rsid w:val="00761856"/>
    <w:rsid w:val="00761891"/>
    <w:rsid w:val="0076257F"/>
    <w:rsid w:val="0076375E"/>
    <w:rsid w:val="00763A4B"/>
    <w:rsid w:val="00763B4B"/>
    <w:rsid w:val="00764BC5"/>
    <w:rsid w:val="00764E61"/>
    <w:rsid w:val="00765008"/>
    <w:rsid w:val="007676ED"/>
    <w:rsid w:val="007679BF"/>
    <w:rsid w:val="00770830"/>
    <w:rsid w:val="0077085A"/>
    <w:rsid w:val="00770D40"/>
    <w:rsid w:val="00770EAF"/>
    <w:rsid w:val="00770F0C"/>
    <w:rsid w:val="00771068"/>
    <w:rsid w:val="007711E7"/>
    <w:rsid w:val="007715D6"/>
    <w:rsid w:val="00771E97"/>
    <w:rsid w:val="0077276E"/>
    <w:rsid w:val="007745EB"/>
    <w:rsid w:val="0077559A"/>
    <w:rsid w:val="0078015D"/>
    <w:rsid w:val="00781160"/>
    <w:rsid w:val="007827A3"/>
    <w:rsid w:val="00782DD2"/>
    <w:rsid w:val="00783881"/>
    <w:rsid w:val="00783DA7"/>
    <w:rsid w:val="00784477"/>
    <w:rsid w:val="00784A19"/>
    <w:rsid w:val="0078506A"/>
    <w:rsid w:val="00785E60"/>
    <w:rsid w:val="00785F3E"/>
    <w:rsid w:val="00785F88"/>
    <w:rsid w:val="007864CA"/>
    <w:rsid w:val="00787028"/>
    <w:rsid w:val="00787733"/>
    <w:rsid w:val="00787CDE"/>
    <w:rsid w:val="00790738"/>
    <w:rsid w:val="00791DA9"/>
    <w:rsid w:val="0079311D"/>
    <w:rsid w:val="00795EC6"/>
    <w:rsid w:val="007968EE"/>
    <w:rsid w:val="007969A4"/>
    <w:rsid w:val="00796EBB"/>
    <w:rsid w:val="00797715"/>
    <w:rsid w:val="00797C89"/>
    <w:rsid w:val="007A00D6"/>
    <w:rsid w:val="007A0CE8"/>
    <w:rsid w:val="007A1067"/>
    <w:rsid w:val="007A1D61"/>
    <w:rsid w:val="007A1E2E"/>
    <w:rsid w:val="007A212A"/>
    <w:rsid w:val="007A3184"/>
    <w:rsid w:val="007A40CB"/>
    <w:rsid w:val="007A49AC"/>
    <w:rsid w:val="007A4CFD"/>
    <w:rsid w:val="007B0068"/>
    <w:rsid w:val="007B025E"/>
    <w:rsid w:val="007B0AC3"/>
    <w:rsid w:val="007B16A3"/>
    <w:rsid w:val="007B2006"/>
    <w:rsid w:val="007B2F85"/>
    <w:rsid w:val="007B4067"/>
    <w:rsid w:val="007B42DB"/>
    <w:rsid w:val="007B4F0B"/>
    <w:rsid w:val="007B4FD3"/>
    <w:rsid w:val="007B54D6"/>
    <w:rsid w:val="007B5523"/>
    <w:rsid w:val="007B741C"/>
    <w:rsid w:val="007C099C"/>
    <w:rsid w:val="007C2334"/>
    <w:rsid w:val="007C2F65"/>
    <w:rsid w:val="007C3B71"/>
    <w:rsid w:val="007C4C33"/>
    <w:rsid w:val="007C5DF2"/>
    <w:rsid w:val="007C64F7"/>
    <w:rsid w:val="007C6E13"/>
    <w:rsid w:val="007C6E66"/>
    <w:rsid w:val="007C795D"/>
    <w:rsid w:val="007C7C9C"/>
    <w:rsid w:val="007D0ABB"/>
    <w:rsid w:val="007D1696"/>
    <w:rsid w:val="007D183F"/>
    <w:rsid w:val="007D1F12"/>
    <w:rsid w:val="007D2AEF"/>
    <w:rsid w:val="007D2CE6"/>
    <w:rsid w:val="007D4FF8"/>
    <w:rsid w:val="007D633B"/>
    <w:rsid w:val="007D63B3"/>
    <w:rsid w:val="007D7D73"/>
    <w:rsid w:val="007E16E5"/>
    <w:rsid w:val="007E18BB"/>
    <w:rsid w:val="007E33D4"/>
    <w:rsid w:val="007E39E6"/>
    <w:rsid w:val="007E3DCF"/>
    <w:rsid w:val="007E475F"/>
    <w:rsid w:val="007E4981"/>
    <w:rsid w:val="007E5285"/>
    <w:rsid w:val="007E617C"/>
    <w:rsid w:val="007E63C9"/>
    <w:rsid w:val="007E6F35"/>
    <w:rsid w:val="007E7340"/>
    <w:rsid w:val="007F0343"/>
    <w:rsid w:val="007F0442"/>
    <w:rsid w:val="007F097C"/>
    <w:rsid w:val="007F0999"/>
    <w:rsid w:val="007F1856"/>
    <w:rsid w:val="007F1970"/>
    <w:rsid w:val="007F3089"/>
    <w:rsid w:val="007F360A"/>
    <w:rsid w:val="007F5225"/>
    <w:rsid w:val="007F5488"/>
    <w:rsid w:val="007F638B"/>
    <w:rsid w:val="007F6D99"/>
    <w:rsid w:val="007F6E9E"/>
    <w:rsid w:val="007F7831"/>
    <w:rsid w:val="007F7842"/>
    <w:rsid w:val="007F7A60"/>
    <w:rsid w:val="007F7D3B"/>
    <w:rsid w:val="007F7FC3"/>
    <w:rsid w:val="008004DF"/>
    <w:rsid w:val="008015A0"/>
    <w:rsid w:val="00802421"/>
    <w:rsid w:val="008024B2"/>
    <w:rsid w:val="00802958"/>
    <w:rsid w:val="00803C30"/>
    <w:rsid w:val="00804D12"/>
    <w:rsid w:val="00804D43"/>
    <w:rsid w:val="00805255"/>
    <w:rsid w:val="00810D73"/>
    <w:rsid w:val="00810F87"/>
    <w:rsid w:val="0081176B"/>
    <w:rsid w:val="008122CC"/>
    <w:rsid w:val="00812582"/>
    <w:rsid w:val="008125D7"/>
    <w:rsid w:val="008126F5"/>
    <w:rsid w:val="008136B4"/>
    <w:rsid w:val="00813B8E"/>
    <w:rsid w:val="008143A4"/>
    <w:rsid w:val="008145C0"/>
    <w:rsid w:val="008151A6"/>
    <w:rsid w:val="00815EE9"/>
    <w:rsid w:val="00816B32"/>
    <w:rsid w:val="00816F2D"/>
    <w:rsid w:val="0082014C"/>
    <w:rsid w:val="00820E23"/>
    <w:rsid w:val="0082105B"/>
    <w:rsid w:val="008221EB"/>
    <w:rsid w:val="008226CF"/>
    <w:rsid w:val="00822727"/>
    <w:rsid w:val="008233A4"/>
    <w:rsid w:val="008241B9"/>
    <w:rsid w:val="008248E0"/>
    <w:rsid w:val="00826E25"/>
    <w:rsid w:val="00827BBD"/>
    <w:rsid w:val="00827C9A"/>
    <w:rsid w:val="008304E8"/>
    <w:rsid w:val="00830F86"/>
    <w:rsid w:val="0083278B"/>
    <w:rsid w:val="0083285E"/>
    <w:rsid w:val="00833EC0"/>
    <w:rsid w:val="008343BD"/>
    <w:rsid w:val="0083444D"/>
    <w:rsid w:val="00834E93"/>
    <w:rsid w:val="00836845"/>
    <w:rsid w:val="00837612"/>
    <w:rsid w:val="00840A22"/>
    <w:rsid w:val="00840F72"/>
    <w:rsid w:val="00841322"/>
    <w:rsid w:val="00841645"/>
    <w:rsid w:val="008420D9"/>
    <w:rsid w:val="008427C5"/>
    <w:rsid w:val="00842A5C"/>
    <w:rsid w:val="00843119"/>
    <w:rsid w:val="00844689"/>
    <w:rsid w:val="00845545"/>
    <w:rsid w:val="00845551"/>
    <w:rsid w:val="008469DF"/>
    <w:rsid w:val="008503E1"/>
    <w:rsid w:val="00850412"/>
    <w:rsid w:val="00850C75"/>
    <w:rsid w:val="00851278"/>
    <w:rsid w:val="00852CAD"/>
    <w:rsid w:val="00852EA6"/>
    <w:rsid w:val="00854146"/>
    <w:rsid w:val="00854E5A"/>
    <w:rsid w:val="0085520E"/>
    <w:rsid w:val="00855D5F"/>
    <w:rsid w:val="00855EAC"/>
    <w:rsid w:val="008564FF"/>
    <w:rsid w:val="00856854"/>
    <w:rsid w:val="0085692D"/>
    <w:rsid w:val="00856E42"/>
    <w:rsid w:val="00860B35"/>
    <w:rsid w:val="0086119A"/>
    <w:rsid w:val="0086634C"/>
    <w:rsid w:val="00866C27"/>
    <w:rsid w:val="00867C62"/>
    <w:rsid w:val="00867EDC"/>
    <w:rsid w:val="00870531"/>
    <w:rsid w:val="00871877"/>
    <w:rsid w:val="00871CAF"/>
    <w:rsid w:val="008726CA"/>
    <w:rsid w:val="00872B0F"/>
    <w:rsid w:val="008737EA"/>
    <w:rsid w:val="00873855"/>
    <w:rsid w:val="00873BC6"/>
    <w:rsid w:val="0087411F"/>
    <w:rsid w:val="008744A5"/>
    <w:rsid w:val="008745D3"/>
    <w:rsid w:val="0087489F"/>
    <w:rsid w:val="00874F0C"/>
    <w:rsid w:val="00875044"/>
    <w:rsid w:val="00875C7F"/>
    <w:rsid w:val="00877CEF"/>
    <w:rsid w:val="00880E92"/>
    <w:rsid w:val="008815DE"/>
    <w:rsid w:val="0088172D"/>
    <w:rsid w:val="00881778"/>
    <w:rsid w:val="00882103"/>
    <w:rsid w:val="008824B3"/>
    <w:rsid w:val="00883142"/>
    <w:rsid w:val="00884384"/>
    <w:rsid w:val="00884B2C"/>
    <w:rsid w:val="00884FEB"/>
    <w:rsid w:val="00885185"/>
    <w:rsid w:val="00885309"/>
    <w:rsid w:val="0088587E"/>
    <w:rsid w:val="0088630E"/>
    <w:rsid w:val="00887637"/>
    <w:rsid w:val="00887929"/>
    <w:rsid w:val="00887A83"/>
    <w:rsid w:val="0089010B"/>
    <w:rsid w:val="00893133"/>
    <w:rsid w:val="008932B5"/>
    <w:rsid w:val="00894221"/>
    <w:rsid w:val="008968A4"/>
    <w:rsid w:val="00897812"/>
    <w:rsid w:val="008A05EC"/>
    <w:rsid w:val="008A0983"/>
    <w:rsid w:val="008A1203"/>
    <w:rsid w:val="008A15A6"/>
    <w:rsid w:val="008A1A1E"/>
    <w:rsid w:val="008A1C51"/>
    <w:rsid w:val="008A301C"/>
    <w:rsid w:val="008A3152"/>
    <w:rsid w:val="008A3D96"/>
    <w:rsid w:val="008A49E8"/>
    <w:rsid w:val="008A509C"/>
    <w:rsid w:val="008A5DBC"/>
    <w:rsid w:val="008A61B3"/>
    <w:rsid w:val="008A7A5D"/>
    <w:rsid w:val="008B17E8"/>
    <w:rsid w:val="008B1A0F"/>
    <w:rsid w:val="008B2119"/>
    <w:rsid w:val="008B23C9"/>
    <w:rsid w:val="008B2F5E"/>
    <w:rsid w:val="008B37B1"/>
    <w:rsid w:val="008B3A5F"/>
    <w:rsid w:val="008B3E8F"/>
    <w:rsid w:val="008B6066"/>
    <w:rsid w:val="008B695F"/>
    <w:rsid w:val="008B6B86"/>
    <w:rsid w:val="008B7267"/>
    <w:rsid w:val="008B73EE"/>
    <w:rsid w:val="008C017D"/>
    <w:rsid w:val="008C09FE"/>
    <w:rsid w:val="008C1133"/>
    <w:rsid w:val="008C122C"/>
    <w:rsid w:val="008C2330"/>
    <w:rsid w:val="008C26F8"/>
    <w:rsid w:val="008C2DC4"/>
    <w:rsid w:val="008C5233"/>
    <w:rsid w:val="008C5886"/>
    <w:rsid w:val="008C624D"/>
    <w:rsid w:val="008C66C7"/>
    <w:rsid w:val="008C6A9B"/>
    <w:rsid w:val="008C6E0B"/>
    <w:rsid w:val="008C732E"/>
    <w:rsid w:val="008D0D6A"/>
    <w:rsid w:val="008D1D6C"/>
    <w:rsid w:val="008D2210"/>
    <w:rsid w:val="008D230A"/>
    <w:rsid w:val="008D24A6"/>
    <w:rsid w:val="008D274F"/>
    <w:rsid w:val="008D2979"/>
    <w:rsid w:val="008D30F0"/>
    <w:rsid w:val="008D4535"/>
    <w:rsid w:val="008D53B8"/>
    <w:rsid w:val="008D5CDE"/>
    <w:rsid w:val="008D6256"/>
    <w:rsid w:val="008D6581"/>
    <w:rsid w:val="008D696E"/>
    <w:rsid w:val="008D7455"/>
    <w:rsid w:val="008D7D83"/>
    <w:rsid w:val="008E0688"/>
    <w:rsid w:val="008E0E86"/>
    <w:rsid w:val="008E0F08"/>
    <w:rsid w:val="008E10EF"/>
    <w:rsid w:val="008E20BD"/>
    <w:rsid w:val="008E38E8"/>
    <w:rsid w:val="008E3CA9"/>
    <w:rsid w:val="008E47D2"/>
    <w:rsid w:val="008E5ADB"/>
    <w:rsid w:val="008F0BB5"/>
    <w:rsid w:val="008F1D51"/>
    <w:rsid w:val="008F2C6B"/>
    <w:rsid w:val="008F2D4E"/>
    <w:rsid w:val="008F3052"/>
    <w:rsid w:val="008F42E6"/>
    <w:rsid w:val="008F50DF"/>
    <w:rsid w:val="008F54B0"/>
    <w:rsid w:val="008F5BFE"/>
    <w:rsid w:val="008F6C88"/>
    <w:rsid w:val="008F7C56"/>
    <w:rsid w:val="0090036A"/>
    <w:rsid w:val="00900C1D"/>
    <w:rsid w:val="00901501"/>
    <w:rsid w:val="00901574"/>
    <w:rsid w:val="00902B4D"/>
    <w:rsid w:val="00902BCE"/>
    <w:rsid w:val="00902EFC"/>
    <w:rsid w:val="00905EA9"/>
    <w:rsid w:val="009068C9"/>
    <w:rsid w:val="00907115"/>
    <w:rsid w:val="00907513"/>
    <w:rsid w:val="00907AF9"/>
    <w:rsid w:val="00910210"/>
    <w:rsid w:val="009109C8"/>
    <w:rsid w:val="009118EE"/>
    <w:rsid w:val="00912DF5"/>
    <w:rsid w:val="00913A2F"/>
    <w:rsid w:val="00913B98"/>
    <w:rsid w:val="00913FC0"/>
    <w:rsid w:val="00914623"/>
    <w:rsid w:val="00916197"/>
    <w:rsid w:val="00920491"/>
    <w:rsid w:val="00921700"/>
    <w:rsid w:val="00922B19"/>
    <w:rsid w:val="00922F04"/>
    <w:rsid w:val="009239A1"/>
    <w:rsid w:val="0092451B"/>
    <w:rsid w:val="009247A0"/>
    <w:rsid w:val="00924EEF"/>
    <w:rsid w:val="00924FE7"/>
    <w:rsid w:val="009258A2"/>
    <w:rsid w:val="009265F9"/>
    <w:rsid w:val="009270FE"/>
    <w:rsid w:val="00927A7A"/>
    <w:rsid w:val="00927A8B"/>
    <w:rsid w:val="00927B49"/>
    <w:rsid w:val="00927F02"/>
    <w:rsid w:val="009301D3"/>
    <w:rsid w:val="0093055F"/>
    <w:rsid w:val="00930817"/>
    <w:rsid w:val="009308DB"/>
    <w:rsid w:val="00931528"/>
    <w:rsid w:val="009317AA"/>
    <w:rsid w:val="0093202C"/>
    <w:rsid w:val="00932E47"/>
    <w:rsid w:val="009339C1"/>
    <w:rsid w:val="00933C5E"/>
    <w:rsid w:val="00934BDB"/>
    <w:rsid w:val="00934F04"/>
    <w:rsid w:val="00936395"/>
    <w:rsid w:val="00936BB3"/>
    <w:rsid w:val="00936DD1"/>
    <w:rsid w:val="009371BA"/>
    <w:rsid w:val="00937A7D"/>
    <w:rsid w:val="0094162B"/>
    <w:rsid w:val="00941843"/>
    <w:rsid w:val="00942368"/>
    <w:rsid w:val="009433BC"/>
    <w:rsid w:val="0094380A"/>
    <w:rsid w:val="00944530"/>
    <w:rsid w:val="00945ED3"/>
    <w:rsid w:val="00947028"/>
    <w:rsid w:val="00947A01"/>
    <w:rsid w:val="00950950"/>
    <w:rsid w:val="00950EE5"/>
    <w:rsid w:val="00951204"/>
    <w:rsid w:val="00952ECC"/>
    <w:rsid w:val="0095353C"/>
    <w:rsid w:val="00954485"/>
    <w:rsid w:val="00954A0C"/>
    <w:rsid w:val="00955AA6"/>
    <w:rsid w:val="00955C81"/>
    <w:rsid w:val="00955F25"/>
    <w:rsid w:val="00960B47"/>
    <w:rsid w:val="00962BBD"/>
    <w:rsid w:val="009633A5"/>
    <w:rsid w:val="0096378F"/>
    <w:rsid w:val="00964E1D"/>
    <w:rsid w:val="00965272"/>
    <w:rsid w:val="00965D27"/>
    <w:rsid w:val="00966663"/>
    <w:rsid w:val="00967868"/>
    <w:rsid w:val="00967FAE"/>
    <w:rsid w:val="00971A2C"/>
    <w:rsid w:val="009720F9"/>
    <w:rsid w:val="009721E6"/>
    <w:rsid w:val="00972A1C"/>
    <w:rsid w:val="00973707"/>
    <w:rsid w:val="00973973"/>
    <w:rsid w:val="00973B8E"/>
    <w:rsid w:val="00974150"/>
    <w:rsid w:val="009742FC"/>
    <w:rsid w:val="00974E3F"/>
    <w:rsid w:val="00974F0C"/>
    <w:rsid w:val="00975344"/>
    <w:rsid w:val="00975CA2"/>
    <w:rsid w:val="00975F7F"/>
    <w:rsid w:val="009769DE"/>
    <w:rsid w:val="009807C6"/>
    <w:rsid w:val="00981540"/>
    <w:rsid w:val="009817E3"/>
    <w:rsid w:val="0098182F"/>
    <w:rsid w:val="0098245F"/>
    <w:rsid w:val="00984A5C"/>
    <w:rsid w:val="00985397"/>
    <w:rsid w:val="00985B99"/>
    <w:rsid w:val="00986D41"/>
    <w:rsid w:val="00986FA9"/>
    <w:rsid w:val="0098757C"/>
    <w:rsid w:val="0098778D"/>
    <w:rsid w:val="00991C37"/>
    <w:rsid w:val="00991D59"/>
    <w:rsid w:val="009921F0"/>
    <w:rsid w:val="0099270E"/>
    <w:rsid w:val="00992C04"/>
    <w:rsid w:val="00994D07"/>
    <w:rsid w:val="00995A7F"/>
    <w:rsid w:val="00995B12"/>
    <w:rsid w:val="0099694B"/>
    <w:rsid w:val="009A0C4E"/>
    <w:rsid w:val="009A1317"/>
    <w:rsid w:val="009A1662"/>
    <w:rsid w:val="009A1A9B"/>
    <w:rsid w:val="009A2864"/>
    <w:rsid w:val="009A2E43"/>
    <w:rsid w:val="009A3874"/>
    <w:rsid w:val="009A4399"/>
    <w:rsid w:val="009A455A"/>
    <w:rsid w:val="009A47E2"/>
    <w:rsid w:val="009A4B3E"/>
    <w:rsid w:val="009A6E08"/>
    <w:rsid w:val="009A7A38"/>
    <w:rsid w:val="009B09F5"/>
    <w:rsid w:val="009B0E38"/>
    <w:rsid w:val="009B25C7"/>
    <w:rsid w:val="009B3008"/>
    <w:rsid w:val="009B355E"/>
    <w:rsid w:val="009B4D6A"/>
    <w:rsid w:val="009B511B"/>
    <w:rsid w:val="009B526D"/>
    <w:rsid w:val="009B591B"/>
    <w:rsid w:val="009B5985"/>
    <w:rsid w:val="009B627A"/>
    <w:rsid w:val="009B688D"/>
    <w:rsid w:val="009B6CE4"/>
    <w:rsid w:val="009C001E"/>
    <w:rsid w:val="009C083D"/>
    <w:rsid w:val="009C2C58"/>
    <w:rsid w:val="009C3801"/>
    <w:rsid w:val="009C3D16"/>
    <w:rsid w:val="009C3DD6"/>
    <w:rsid w:val="009C4291"/>
    <w:rsid w:val="009C43C7"/>
    <w:rsid w:val="009C44E7"/>
    <w:rsid w:val="009C4702"/>
    <w:rsid w:val="009C5582"/>
    <w:rsid w:val="009C68BF"/>
    <w:rsid w:val="009C7899"/>
    <w:rsid w:val="009C7D6A"/>
    <w:rsid w:val="009D288A"/>
    <w:rsid w:val="009D30AF"/>
    <w:rsid w:val="009D3244"/>
    <w:rsid w:val="009D50E7"/>
    <w:rsid w:val="009D5501"/>
    <w:rsid w:val="009D5D1A"/>
    <w:rsid w:val="009D6EDB"/>
    <w:rsid w:val="009D7A90"/>
    <w:rsid w:val="009E283E"/>
    <w:rsid w:val="009E2BBD"/>
    <w:rsid w:val="009E42EE"/>
    <w:rsid w:val="009E4A27"/>
    <w:rsid w:val="009E4FA0"/>
    <w:rsid w:val="009E563E"/>
    <w:rsid w:val="009E5CC6"/>
    <w:rsid w:val="009E5DCC"/>
    <w:rsid w:val="009E61D8"/>
    <w:rsid w:val="009E655E"/>
    <w:rsid w:val="009E718A"/>
    <w:rsid w:val="009E7D0C"/>
    <w:rsid w:val="009E7D4D"/>
    <w:rsid w:val="009E7DDE"/>
    <w:rsid w:val="009F0653"/>
    <w:rsid w:val="009F1084"/>
    <w:rsid w:val="009F1550"/>
    <w:rsid w:val="009F19E9"/>
    <w:rsid w:val="009F1F3F"/>
    <w:rsid w:val="009F2B54"/>
    <w:rsid w:val="009F362C"/>
    <w:rsid w:val="009F3AD0"/>
    <w:rsid w:val="009F3BF5"/>
    <w:rsid w:val="009F45B7"/>
    <w:rsid w:val="009F5262"/>
    <w:rsid w:val="009F78B4"/>
    <w:rsid w:val="009F7C08"/>
    <w:rsid w:val="00A01C72"/>
    <w:rsid w:val="00A0239C"/>
    <w:rsid w:val="00A02850"/>
    <w:rsid w:val="00A03C89"/>
    <w:rsid w:val="00A03DC9"/>
    <w:rsid w:val="00A045D1"/>
    <w:rsid w:val="00A0483F"/>
    <w:rsid w:val="00A04CFA"/>
    <w:rsid w:val="00A07646"/>
    <w:rsid w:val="00A10210"/>
    <w:rsid w:val="00A10C90"/>
    <w:rsid w:val="00A11C6E"/>
    <w:rsid w:val="00A12B66"/>
    <w:rsid w:val="00A136CD"/>
    <w:rsid w:val="00A14679"/>
    <w:rsid w:val="00A159E2"/>
    <w:rsid w:val="00A15AAC"/>
    <w:rsid w:val="00A16FFF"/>
    <w:rsid w:val="00A201CF"/>
    <w:rsid w:val="00A20B73"/>
    <w:rsid w:val="00A2220F"/>
    <w:rsid w:val="00A232F8"/>
    <w:rsid w:val="00A24751"/>
    <w:rsid w:val="00A248E2"/>
    <w:rsid w:val="00A26662"/>
    <w:rsid w:val="00A2674E"/>
    <w:rsid w:val="00A2757B"/>
    <w:rsid w:val="00A27BBC"/>
    <w:rsid w:val="00A30C4C"/>
    <w:rsid w:val="00A31125"/>
    <w:rsid w:val="00A31E59"/>
    <w:rsid w:val="00A320B1"/>
    <w:rsid w:val="00A325F5"/>
    <w:rsid w:val="00A33695"/>
    <w:rsid w:val="00A33C55"/>
    <w:rsid w:val="00A34026"/>
    <w:rsid w:val="00A3453C"/>
    <w:rsid w:val="00A369B8"/>
    <w:rsid w:val="00A369C3"/>
    <w:rsid w:val="00A37988"/>
    <w:rsid w:val="00A37A04"/>
    <w:rsid w:val="00A402A8"/>
    <w:rsid w:val="00A41661"/>
    <w:rsid w:val="00A4281F"/>
    <w:rsid w:val="00A4309F"/>
    <w:rsid w:val="00A4319E"/>
    <w:rsid w:val="00A433ED"/>
    <w:rsid w:val="00A44410"/>
    <w:rsid w:val="00A4645E"/>
    <w:rsid w:val="00A50EB7"/>
    <w:rsid w:val="00A51AA9"/>
    <w:rsid w:val="00A5221E"/>
    <w:rsid w:val="00A53185"/>
    <w:rsid w:val="00A532F5"/>
    <w:rsid w:val="00A53C11"/>
    <w:rsid w:val="00A5427A"/>
    <w:rsid w:val="00A5527A"/>
    <w:rsid w:val="00A55DC4"/>
    <w:rsid w:val="00A56F0F"/>
    <w:rsid w:val="00A60195"/>
    <w:rsid w:val="00A6393D"/>
    <w:rsid w:val="00A6394C"/>
    <w:rsid w:val="00A64421"/>
    <w:rsid w:val="00A648C2"/>
    <w:rsid w:val="00A66053"/>
    <w:rsid w:val="00A6683C"/>
    <w:rsid w:val="00A66EC6"/>
    <w:rsid w:val="00A6706B"/>
    <w:rsid w:val="00A672A8"/>
    <w:rsid w:val="00A675D9"/>
    <w:rsid w:val="00A700A3"/>
    <w:rsid w:val="00A70159"/>
    <w:rsid w:val="00A70245"/>
    <w:rsid w:val="00A707F3"/>
    <w:rsid w:val="00A72DF3"/>
    <w:rsid w:val="00A73282"/>
    <w:rsid w:val="00A732AE"/>
    <w:rsid w:val="00A7376F"/>
    <w:rsid w:val="00A74B40"/>
    <w:rsid w:val="00A74D8D"/>
    <w:rsid w:val="00A75338"/>
    <w:rsid w:val="00A76381"/>
    <w:rsid w:val="00A767BE"/>
    <w:rsid w:val="00A772B4"/>
    <w:rsid w:val="00A774C1"/>
    <w:rsid w:val="00A779E9"/>
    <w:rsid w:val="00A801A9"/>
    <w:rsid w:val="00A80580"/>
    <w:rsid w:val="00A807E1"/>
    <w:rsid w:val="00A80A02"/>
    <w:rsid w:val="00A80C2E"/>
    <w:rsid w:val="00A826E9"/>
    <w:rsid w:val="00A8286E"/>
    <w:rsid w:val="00A82F95"/>
    <w:rsid w:val="00A8318E"/>
    <w:rsid w:val="00A840BE"/>
    <w:rsid w:val="00A840D5"/>
    <w:rsid w:val="00A85CE0"/>
    <w:rsid w:val="00A85E91"/>
    <w:rsid w:val="00A85EDB"/>
    <w:rsid w:val="00A86139"/>
    <w:rsid w:val="00A86C99"/>
    <w:rsid w:val="00A86EB4"/>
    <w:rsid w:val="00A90BDF"/>
    <w:rsid w:val="00A92865"/>
    <w:rsid w:val="00A92CFF"/>
    <w:rsid w:val="00A92F0D"/>
    <w:rsid w:val="00A94497"/>
    <w:rsid w:val="00A94F5F"/>
    <w:rsid w:val="00A94FBC"/>
    <w:rsid w:val="00A95150"/>
    <w:rsid w:val="00A9559C"/>
    <w:rsid w:val="00A95FD0"/>
    <w:rsid w:val="00A97C62"/>
    <w:rsid w:val="00A97DCA"/>
    <w:rsid w:val="00A97FED"/>
    <w:rsid w:val="00AA02BE"/>
    <w:rsid w:val="00AA1B66"/>
    <w:rsid w:val="00AA3189"/>
    <w:rsid w:val="00AA629F"/>
    <w:rsid w:val="00AA6A66"/>
    <w:rsid w:val="00AA72D7"/>
    <w:rsid w:val="00AA7658"/>
    <w:rsid w:val="00AB01A1"/>
    <w:rsid w:val="00AB0412"/>
    <w:rsid w:val="00AB0885"/>
    <w:rsid w:val="00AB1C4B"/>
    <w:rsid w:val="00AB2389"/>
    <w:rsid w:val="00AB2C97"/>
    <w:rsid w:val="00AB2F46"/>
    <w:rsid w:val="00AB393F"/>
    <w:rsid w:val="00AB3FE1"/>
    <w:rsid w:val="00AB4C74"/>
    <w:rsid w:val="00AB4E51"/>
    <w:rsid w:val="00AB5C94"/>
    <w:rsid w:val="00AB63E5"/>
    <w:rsid w:val="00AB6610"/>
    <w:rsid w:val="00AB67AA"/>
    <w:rsid w:val="00AB68B2"/>
    <w:rsid w:val="00AB7835"/>
    <w:rsid w:val="00AB7B8D"/>
    <w:rsid w:val="00AB7EF6"/>
    <w:rsid w:val="00AC06B8"/>
    <w:rsid w:val="00AC0C9F"/>
    <w:rsid w:val="00AC0F2C"/>
    <w:rsid w:val="00AC14E2"/>
    <w:rsid w:val="00AC1F38"/>
    <w:rsid w:val="00AC3054"/>
    <w:rsid w:val="00AC4299"/>
    <w:rsid w:val="00AC4E3A"/>
    <w:rsid w:val="00AC5975"/>
    <w:rsid w:val="00AC5D72"/>
    <w:rsid w:val="00AC5F45"/>
    <w:rsid w:val="00AC6255"/>
    <w:rsid w:val="00AC654C"/>
    <w:rsid w:val="00AC6570"/>
    <w:rsid w:val="00AC6619"/>
    <w:rsid w:val="00AC7107"/>
    <w:rsid w:val="00AD061B"/>
    <w:rsid w:val="00AD0C6F"/>
    <w:rsid w:val="00AD1A08"/>
    <w:rsid w:val="00AD4571"/>
    <w:rsid w:val="00AD70F1"/>
    <w:rsid w:val="00AD7567"/>
    <w:rsid w:val="00AE0C1B"/>
    <w:rsid w:val="00AE1CD7"/>
    <w:rsid w:val="00AE3D79"/>
    <w:rsid w:val="00AE7CD3"/>
    <w:rsid w:val="00AF003B"/>
    <w:rsid w:val="00AF07E2"/>
    <w:rsid w:val="00AF1037"/>
    <w:rsid w:val="00AF1E50"/>
    <w:rsid w:val="00AF1F57"/>
    <w:rsid w:val="00AF2910"/>
    <w:rsid w:val="00AF3C10"/>
    <w:rsid w:val="00AF3C69"/>
    <w:rsid w:val="00AF3D7A"/>
    <w:rsid w:val="00AF4ED2"/>
    <w:rsid w:val="00AF61D0"/>
    <w:rsid w:val="00AF6219"/>
    <w:rsid w:val="00AF62BC"/>
    <w:rsid w:val="00AF672F"/>
    <w:rsid w:val="00AF6862"/>
    <w:rsid w:val="00AF6F2C"/>
    <w:rsid w:val="00AF7FA5"/>
    <w:rsid w:val="00B006E9"/>
    <w:rsid w:val="00B01163"/>
    <w:rsid w:val="00B024AD"/>
    <w:rsid w:val="00B024D7"/>
    <w:rsid w:val="00B03CD3"/>
    <w:rsid w:val="00B048F1"/>
    <w:rsid w:val="00B049B4"/>
    <w:rsid w:val="00B04D23"/>
    <w:rsid w:val="00B057CA"/>
    <w:rsid w:val="00B06C38"/>
    <w:rsid w:val="00B11505"/>
    <w:rsid w:val="00B11D0D"/>
    <w:rsid w:val="00B12E10"/>
    <w:rsid w:val="00B12EA6"/>
    <w:rsid w:val="00B13F06"/>
    <w:rsid w:val="00B14047"/>
    <w:rsid w:val="00B14253"/>
    <w:rsid w:val="00B145A2"/>
    <w:rsid w:val="00B15280"/>
    <w:rsid w:val="00B15761"/>
    <w:rsid w:val="00B15DB6"/>
    <w:rsid w:val="00B15F2D"/>
    <w:rsid w:val="00B17100"/>
    <w:rsid w:val="00B171C0"/>
    <w:rsid w:val="00B17999"/>
    <w:rsid w:val="00B20317"/>
    <w:rsid w:val="00B20E5D"/>
    <w:rsid w:val="00B212C5"/>
    <w:rsid w:val="00B21DE2"/>
    <w:rsid w:val="00B21E50"/>
    <w:rsid w:val="00B22110"/>
    <w:rsid w:val="00B22E27"/>
    <w:rsid w:val="00B23005"/>
    <w:rsid w:val="00B267A1"/>
    <w:rsid w:val="00B26927"/>
    <w:rsid w:val="00B30046"/>
    <w:rsid w:val="00B31D8A"/>
    <w:rsid w:val="00B32AFB"/>
    <w:rsid w:val="00B34001"/>
    <w:rsid w:val="00B34B0B"/>
    <w:rsid w:val="00B34B77"/>
    <w:rsid w:val="00B34DD6"/>
    <w:rsid w:val="00B35F80"/>
    <w:rsid w:val="00B3602B"/>
    <w:rsid w:val="00B36BA6"/>
    <w:rsid w:val="00B36EAA"/>
    <w:rsid w:val="00B4088C"/>
    <w:rsid w:val="00B4177D"/>
    <w:rsid w:val="00B429FB"/>
    <w:rsid w:val="00B431BD"/>
    <w:rsid w:val="00B439B1"/>
    <w:rsid w:val="00B43C2A"/>
    <w:rsid w:val="00B43F29"/>
    <w:rsid w:val="00B4423C"/>
    <w:rsid w:val="00B442BD"/>
    <w:rsid w:val="00B44FD0"/>
    <w:rsid w:val="00B4512A"/>
    <w:rsid w:val="00B45BCF"/>
    <w:rsid w:val="00B47F0C"/>
    <w:rsid w:val="00B50194"/>
    <w:rsid w:val="00B50C55"/>
    <w:rsid w:val="00B50D11"/>
    <w:rsid w:val="00B51A5D"/>
    <w:rsid w:val="00B51CC6"/>
    <w:rsid w:val="00B51F42"/>
    <w:rsid w:val="00B522A4"/>
    <w:rsid w:val="00B52872"/>
    <w:rsid w:val="00B53030"/>
    <w:rsid w:val="00B53847"/>
    <w:rsid w:val="00B53939"/>
    <w:rsid w:val="00B542AB"/>
    <w:rsid w:val="00B62635"/>
    <w:rsid w:val="00B64EB6"/>
    <w:rsid w:val="00B65593"/>
    <w:rsid w:val="00B65598"/>
    <w:rsid w:val="00B704AB"/>
    <w:rsid w:val="00B71CD5"/>
    <w:rsid w:val="00B71DAC"/>
    <w:rsid w:val="00B723C6"/>
    <w:rsid w:val="00B72E87"/>
    <w:rsid w:val="00B730C7"/>
    <w:rsid w:val="00B734C4"/>
    <w:rsid w:val="00B7350E"/>
    <w:rsid w:val="00B74792"/>
    <w:rsid w:val="00B74827"/>
    <w:rsid w:val="00B7583B"/>
    <w:rsid w:val="00B759BA"/>
    <w:rsid w:val="00B811B0"/>
    <w:rsid w:val="00B814CA"/>
    <w:rsid w:val="00B816A3"/>
    <w:rsid w:val="00B822A4"/>
    <w:rsid w:val="00B828CC"/>
    <w:rsid w:val="00B83834"/>
    <w:rsid w:val="00B83DDE"/>
    <w:rsid w:val="00B846EC"/>
    <w:rsid w:val="00B8560C"/>
    <w:rsid w:val="00B856D5"/>
    <w:rsid w:val="00B8575F"/>
    <w:rsid w:val="00B85B8C"/>
    <w:rsid w:val="00B85C48"/>
    <w:rsid w:val="00B85F75"/>
    <w:rsid w:val="00B86114"/>
    <w:rsid w:val="00B86CA9"/>
    <w:rsid w:val="00B912BF"/>
    <w:rsid w:val="00B91440"/>
    <w:rsid w:val="00B918B1"/>
    <w:rsid w:val="00B92AAD"/>
    <w:rsid w:val="00B93FA1"/>
    <w:rsid w:val="00B94F66"/>
    <w:rsid w:val="00B96FBD"/>
    <w:rsid w:val="00B976B5"/>
    <w:rsid w:val="00B976CF"/>
    <w:rsid w:val="00B97F1B"/>
    <w:rsid w:val="00BA05FE"/>
    <w:rsid w:val="00BA1BF6"/>
    <w:rsid w:val="00BA1C6C"/>
    <w:rsid w:val="00BA1CD6"/>
    <w:rsid w:val="00BA2863"/>
    <w:rsid w:val="00BA325A"/>
    <w:rsid w:val="00BA4A8E"/>
    <w:rsid w:val="00BA5699"/>
    <w:rsid w:val="00BA58FE"/>
    <w:rsid w:val="00BA5C1F"/>
    <w:rsid w:val="00BA6384"/>
    <w:rsid w:val="00BA6E03"/>
    <w:rsid w:val="00BA7308"/>
    <w:rsid w:val="00BA7CE0"/>
    <w:rsid w:val="00BB169C"/>
    <w:rsid w:val="00BB18C2"/>
    <w:rsid w:val="00BB1DFE"/>
    <w:rsid w:val="00BB225B"/>
    <w:rsid w:val="00BB22D4"/>
    <w:rsid w:val="00BB3CBE"/>
    <w:rsid w:val="00BB50BB"/>
    <w:rsid w:val="00BB5B5D"/>
    <w:rsid w:val="00BB6397"/>
    <w:rsid w:val="00BB6B9C"/>
    <w:rsid w:val="00BB73C8"/>
    <w:rsid w:val="00BB7E19"/>
    <w:rsid w:val="00BC068F"/>
    <w:rsid w:val="00BC0A7F"/>
    <w:rsid w:val="00BC1220"/>
    <w:rsid w:val="00BC177F"/>
    <w:rsid w:val="00BC2C58"/>
    <w:rsid w:val="00BC3A29"/>
    <w:rsid w:val="00BC3F13"/>
    <w:rsid w:val="00BC40B5"/>
    <w:rsid w:val="00BC43FD"/>
    <w:rsid w:val="00BC47BF"/>
    <w:rsid w:val="00BC4F1C"/>
    <w:rsid w:val="00BC51F5"/>
    <w:rsid w:val="00BC61CD"/>
    <w:rsid w:val="00BC61F2"/>
    <w:rsid w:val="00BC67C0"/>
    <w:rsid w:val="00BC6F32"/>
    <w:rsid w:val="00BC6F41"/>
    <w:rsid w:val="00BC793E"/>
    <w:rsid w:val="00BC7E64"/>
    <w:rsid w:val="00BD1270"/>
    <w:rsid w:val="00BD1342"/>
    <w:rsid w:val="00BD1379"/>
    <w:rsid w:val="00BD2FE7"/>
    <w:rsid w:val="00BD36DE"/>
    <w:rsid w:val="00BD4E13"/>
    <w:rsid w:val="00BD52C3"/>
    <w:rsid w:val="00BD5485"/>
    <w:rsid w:val="00BD5A14"/>
    <w:rsid w:val="00BD5F43"/>
    <w:rsid w:val="00BD661B"/>
    <w:rsid w:val="00BD687C"/>
    <w:rsid w:val="00BD6DB9"/>
    <w:rsid w:val="00BD71A3"/>
    <w:rsid w:val="00BD75D1"/>
    <w:rsid w:val="00BE0363"/>
    <w:rsid w:val="00BE0A45"/>
    <w:rsid w:val="00BE1233"/>
    <w:rsid w:val="00BE1277"/>
    <w:rsid w:val="00BE1311"/>
    <w:rsid w:val="00BE19C2"/>
    <w:rsid w:val="00BE358B"/>
    <w:rsid w:val="00BE4109"/>
    <w:rsid w:val="00BE447B"/>
    <w:rsid w:val="00BE4782"/>
    <w:rsid w:val="00BE47D8"/>
    <w:rsid w:val="00BE4FD9"/>
    <w:rsid w:val="00BE57BF"/>
    <w:rsid w:val="00BE5D73"/>
    <w:rsid w:val="00BE6DFE"/>
    <w:rsid w:val="00BE79AB"/>
    <w:rsid w:val="00BF0637"/>
    <w:rsid w:val="00BF124A"/>
    <w:rsid w:val="00BF37A9"/>
    <w:rsid w:val="00BF3C23"/>
    <w:rsid w:val="00BF4770"/>
    <w:rsid w:val="00BF540A"/>
    <w:rsid w:val="00BF67D7"/>
    <w:rsid w:val="00BF6EC1"/>
    <w:rsid w:val="00BF7257"/>
    <w:rsid w:val="00BF7347"/>
    <w:rsid w:val="00C017D1"/>
    <w:rsid w:val="00C029BC"/>
    <w:rsid w:val="00C04D37"/>
    <w:rsid w:val="00C05941"/>
    <w:rsid w:val="00C0657C"/>
    <w:rsid w:val="00C074C4"/>
    <w:rsid w:val="00C10CD4"/>
    <w:rsid w:val="00C11B8D"/>
    <w:rsid w:val="00C12AE0"/>
    <w:rsid w:val="00C12FEB"/>
    <w:rsid w:val="00C1357C"/>
    <w:rsid w:val="00C140C6"/>
    <w:rsid w:val="00C144EF"/>
    <w:rsid w:val="00C1534E"/>
    <w:rsid w:val="00C211DC"/>
    <w:rsid w:val="00C2135F"/>
    <w:rsid w:val="00C22B34"/>
    <w:rsid w:val="00C233C6"/>
    <w:rsid w:val="00C23D4E"/>
    <w:rsid w:val="00C24ED2"/>
    <w:rsid w:val="00C24F3F"/>
    <w:rsid w:val="00C25670"/>
    <w:rsid w:val="00C259E2"/>
    <w:rsid w:val="00C2636B"/>
    <w:rsid w:val="00C26C3A"/>
    <w:rsid w:val="00C27140"/>
    <w:rsid w:val="00C277FB"/>
    <w:rsid w:val="00C27CEA"/>
    <w:rsid w:val="00C30639"/>
    <w:rsid w:val="00C306B3"/>
    <w:rsid w:val="00C306F6"/>
    <w:rsid w:val="00C3070C"/>
    <w:rsid w:val="00C3194E"/>
    <w:rsid w:val="00C31BBB"/>
    <w:rsid w:val="00C3220C"/>
    <w:rsid w:val="00C345ED"/>
    <w:rsid w:val="00C34837"/>
    <w:rsid w:val="00C348B3"/>
    <w:rsid w:val="00C34F38"/>
    <w:rsid w:val="00C3548F"/>
    <w:rsid w:val="00C356C8"/>
    <w:rsid w:val="00C367B4"/>
    <w:rsid w:val="00C36B2D"/>
    <w:rsid w:val="00C37615"/>
    <w:rsid w:val="00C37B29"/>
    <w:rsid w:val="00C40D60"/>
    <w:rsid w:val="00C43A7D"/>
    <w:rsid w:val="00C4425F"/>
    <w:rsid w:val="00C44421"/>
    <w:rsid w:val="00C44A04"/>
    <w:rsid w:val="00C44C83"/>
    <w:rsid w:val="00C46058"/>
    <w:rsid w:val="00C4623C"/>
    <w:rsid w:val="00C46DB1"/>
    <w:rsid w:val="00C4706F"/>
    <w:rsid w:val="00C47BD3"/>
    <w:rsid w:val="00C47E57"/>
    <w:rsid w:val="00C504D3"/>
    <w:rsid w:val="00C536B3"/>
    <w:rsid w:val="00C53836"/>
    <w:rsid w:val="00C53B22"/>
    <w:rsid w:val="00C53C4E"/>
    <w:rsid w:val="00C53D24"/>
    <w:rsid w:val="00C542A9"/>
    <w:rsid w:val="00C54763"/>
    <w:rsid w:val="00C55547"/>
    <w:rsid w:val="00C55649"/>
    <w:rsid w:val="00C563A1"/>
    <w:rsid w:val="00C576F8"/>
    <w:rsid w:val="00C57F07"/>
    <w:rsid w:val="00C604F5"/>
    <w:rsid w:val="00C61583"/>
    <w:rsid w:val="00C61B48"/>
    <w:rsid w:val="00C61FF5"/>
    <w:rsid w:val="00C62CD3"/>
    <w:rsid w:val="00C635CF"/>
    <w:rsid w:val="00C635FD"/>
    <w:rsid w:val="00C63986"/>
    <w:rsid w:val="00C64027"/>
    <w:rsid w:val="00C66473"/>
    <w:rsid w:val="00C67004"/>
    <w:rsid w:val="00C679E4"/>
    <w:rsid w:val="00C7073E"/>
    <w:rsid w:val="00C707EE"/>
    <w:rsid w:val="00C7103D"/>
    <w:rsid w:val="00C717C8"/>
    <w:rsid w:val="00C7187C"/>
    <w:rsid w:val="00C71AF2"/>
    <w:rsid w:val="00C71B86"/>
    <w:rsid w:val="00C71D62"/>
    <w:rsid w:val="00C723EA"/>
    <w:rsid w:val="00C731CE"/>
    <w:rsid w:val="00C76804"/>
    <w:rsid w:val="00C76E4A"/>
    <w:rsid w:val="00C80231"/>
    <w:rsid w:val="00C80731"/>
    <w:rsid w:val="00C80811"/>
    <w:rsid w:val="00C81C8B"/>
    <w:rsid w:val="00C82BBD"/>
    <w:rsid w:val="00C82C15"/>
    <w:rsid w:val="00C82F83"/>
    <w:rsid w:val="00C839AF"/>
    <w:rsid w:val="00C84BAF"/>
    <w:rsid w:val="00C84C64"/>
    <w:rsid w:val="00C8571F"/>
    <w:rsid w:val="00C85EAB"/>
    <w:rsid w:val="00C86C33"/>
    <w:rsid w:val="00C87CEE"/>
    <w:rsid w:val="00C9009E"/>
    <w:rsid w:val="00C91751"/>
    <w:rsid w:val="00C917B0"/>
    <w:rsid w:val="00C91DC9"/>
    <w:rsid w:val="00C931A3"/>
    <w:rsid w:val="00C93697"/>
    <w:rsid w:val="00C93FC2"/>
    <w:rsid w:val="00C941FF"/>
    <w:rsid w:val="00C94812"/>
    <w:rsid w:val="00C94AFD"/>
    <w:rsid w:val="00C95414"/>
    <w:rsid w:val="00C95E48"/>
    <w:rsid w:val="00C960CE"/>
    <w:rsid w:val="00C9673B"/>
    <w:rsid w:val="00C973FB"/>
    <w:rsid w:val="00CA0C40"/>
    <w:rsid w:val="00CA126C"/>
    <w:rsid w:val="00CA13B9"/>
    <w:rsid w:val="00CA21CA"/>
    <w:rsid w:val="00CA236C"/>
    <w:rsid w:val="00CA270D"/>
    <w:rsid w:val="00CA2E80"/>
    <w:rsid w:val="00CA2E92"/>
    <w:rsid w:val="00CA4EB2"/>
    <w:rsid w:val="00CA61EE"/>
    <w:rsid w:val="00CA6F54"/>
    <w:rsid w:val="00CB1F27"/>
    <w:rsid w:val="00CB256D"/>
    <w:rsid w:val="00CB3146"/>
    <w:rsid w:val="00CB3376"/>
    <w:rsid w:val="00CB3C8D"/>
    <w:rsid w:val="00CB484B"/>
    <w:rsid w:val="00CB4E0C"/>
    <w:rsid w:val="00CB5059"/>
    <w:rsid w:val="00CB6C8D"/>
    <w:rsid w:val="00CB7F46"/>
    <w:rsid w:val="00CC030A"/>
    <w:rsid w:val="00CC112B"/>
    <w:rsid w:val="00CC2508"/>
    <w:rsid w:val="00CC26A6"/>
    <w:rsid w:val="00CC2B5B"/>
    <w:rsid w:val="00CC2F2F"/>
    <w:rsid w:val="00CC47A1"/>
    <w:rsid w:val="00CC4F4F"/>
    <w:rsid w:val="00CC4F94"/>
    <w:rsid w:val="00CC6811"/>
    <w:rsid w:val="00CC6A7B"/>
    <w:rsid w:val="00CC7195"/>
    <w:rsid w:val="00CC73DA"/>
    <w:rsid w:val="00CD1420"/>
    <w:rsid w:val="00CD1762"/>
    <w:rsid w:val="00CD1B30"/>
    <w:rsid w:val="00CD33AB"/>
    <w:rsid w:val="00CD35F2"/>
    <w:rsid w:val="00CD385E"/>
    <w:rsid w:val="00CD3F0E"/>
    <w:rsid w:val="00CD4356"/>
    <w:rsid w:val="00CD6CEB"/>
    <w:rsid w:val="00CD7623"/>
    <w:rsid w:val="00CD7D5B"/>
    <w:rsid w:val="00CD7ED8"/>
    <w:rsid w:val="00CE04E5"/>
    <w:rsid w:val="00CE1093"/>
    <w:rsid w:val="00CE2A31"/>
    <w:rsid w:val="00CE2B78"/>
    <w:rsid w:val="00CE31F7"/>
    <w:rsid w:val="00CE47AF"/>
    <w:rsid w:val="00CE4BEB"/>
    <w:rsid w:val="00CE4C49"/>
    <w:rsid w:val="00CE51FF"/>
    <w:rsid w:val="00CE5491"/>
    <w:rsid w:val="00CE5754"/>
    <w:rsid w:val="00CE5ACF"/>
    <w:rsid w:val="00CE7048"/>
    <w:rsid w:val="00CE7221"/>
    <w:rsid w:val="00CE797B"/>
    <w:rsid w:val="00CE7F91"/>
    <w:rsid w:val="00CF0568"/>
    <w:rsid w:val="00CF0D1C"/>
    <w:rsid w:val="00CF1093"/>
    <w:rsid w:val="00CF206F"/>
    <w:rsid w:val="00CF2D64"/>
    <w:rsid w:val="00CF4C30"/>
    <w:rsid w:val="00CF5466"/>
    <w:rsid w:val="00CF5957"/>
    <w:rsid w:val="00CF5CD0"/>
    <w:rsid w:val="00CF6B09"/>
    <w:rsid w:val="00CF6D85"/>
    <w:rsid w:val="00CF6F63"/>
    <w:rsid w:val="00D02151"/>
    <w:rsid w:val="00D021AF"/>
    <w:rsid w:val="00D024BD"/>
    <w:rsid w:val="00D02770"/>
    <w:rsid w:val="00D02E89"/>
    <w:rsid w:val="00D054C0"/>
    <w:rsid w:val="00D057A6"/>
    <w:rsid w:val="00D05A94"/>
    <w:rsid w:val="00D06F70"/>
    <w:rsid w:val="00D10700"/>
    <w:rsid w:val="00D11201"/>
    <w:rsid w:val="00D11D41"/>
    <w:rsid w:val="00D11E4C"/>
    <w:rsid w:val="00D1223C"/>
    <w:rsid w:val="00D14A32"/>
    <w:rsid w:val="00D14EE0"/>
    <w:rsid w:val="00D15808"/>
    <w:rsid w:val="00D16380"/>
    <w:rsid w:val="00D1690D"/>
    <w:rsid w:val="00D16FBF"/>
    <w:rsid w:val="00D17259"/>
    <w:rsid w:val="00D1786A"/>
    <w:rsid w:val="00D2018B"/>
    <w:rsid w:val="00D20799"/>
    <w:rsid w:val="00D209AF"/>
    <w:rsid w:val="00D20C67"/>
    <w:rsid w:val="00D212FE"/>
    <w:rsid w:val="00D21548"/>
    <w:rsid w:val="00D21B29"/>
    <w:rsid w:val="00D2428D"/>
    <w:rsid w:val="00D24331"/>
    <w:rsid w:val="00D2506C"/>
    <w:rsid w:val="00D27F99"/>
    <w:rsid w:val="00D300D9"/>
    <w:rsid w:val="00D30A68"/>
    <w:rsid w:val="00D30BE6"/>
    <w:rsid w:val="00D30C04"/>
    <w:rsid w:val="00D314D5"/>
    <w:rsid w:val="00D318BC"/>
    <w:rsid w:val="00D31C7A"/>
    <w:rsid w:val="00D32447"/>
    <w:rsid w:val="00D33AA1"/>
    <w:rsid w:val="00D3421C"/>
    <w:rsid w:val="00D34F75"/>
    <w:rsid w:val="00D35BD5"/>
    <w:rsid w:val="00D35C30"/>
    <w:rsid w:val="00D36501"/>
    <w:rsid w:val="00D3686E"/>
    <w:rsid w:val="00D412C0"/>
    <w:rsid w:val="00D4194D"/>
    <w:rsid w:val="00D424CA"/>
    <w:rsid w:val="00D42942"/>
    <w:rsid w:val="00D42EDE"/>
    <w:rsid w:val="00D4457C"/>
    <w:rsid w:val="00D44F8B"/>
    <w:rsid w:val="00D459F5"/>
    <w:rsid w:val="00D45B15"/>
    <w:rsid w:val="00D47551"/>
    <w:rsid w:val="00D47CD7"/>
    <w:rsid w:val="00D51A17"/>
    <w:rsid w:val="00D52387"/>
    <w:rsid w:val="00D5285D"/>
    <w:rsid w:val="00D52A03"/>
    <w:rsid w:val="00D52FC3"/>
    <w:rsid w:val="00D52FEA"/>
    <w:rsid w:val="00D533DD"/>
    <w:rsid w:val="00D53774"/>
    <w:rsid w:val="00D5433B"/>
    <w:rsid w:val="00D548CD"/>
    <w:rsid w:val="00D54C42"/>
    <w:rsid w:val="00D550E7"/>
    <w:rsid w:val="00D55777"/>
    <w:rsid w:val="00D5668A"/>
    <w:rsid w:val="00D5689B"/>
    <w:rsid w:val="00D56AF5"/>
    <w:rsid w:val="00D57780"/>
    <w:rsid w:val="00D60795"/>
    <w:rsid w:val="00D60F96"/>
    <w:rsid w:val="00D61651"/>
    <w:rsid w:val="00D618CD"/>
    <w:rsid w:val="00D634CB"/>
    <w:rsid w:val="00D645B2"/>
    <w:rsid w:val="00D6494A"/>
    <w:rsid w:val="00D64ADE"/>
    <w:rsid w:val="00D64B66"/>
    <w:rsid w:val="00D6607A"/>
    <w:rsid w:val="00D66CAA"/>
    <w:rsid w:val="00D66F87"/>
    <w:rsid w:val="00D67483"/>
    <w:rsid w:val="00D70AD1"/>
    <w:rsid w:val="00D70F07"/>
    <w:rsid w:val="00D7242F"/>
    <w:rsid w:val="00D731E3"/>
    <w:rsid w:val="00D742A8"/>
    <w:rsid w:val="00D74308"/>
    <w:rsid w:val="00D75438"/>
    <w:rsid w:val="00D768D3"/>
    <w:rsid w:val="00D77799"/>
    <w:rsid w:val="00D8096D"/>
    <w:rsid w:val="00D81422"/>
    <w:rsid w:val="00D81C35"/>
    <w:rsid w:val="00D8254C"/>
    <w:rsid w:val="00D826AC"/>
    <w:rsid w:val="00D82913"/>
    <w:rsid w:val="00D82B60"/>
    <w:rsid w:val="00D8369E"/>
    <w:rsid w:val="00D8416E"/>
    <w:rsid w:val="00D84EB7"/>
    <w:rsid w:val="00D8545A"/>
    <w:rsid w:val="00D85AC7"/>
    <w:rsid w:val="00D8617F"/>
    <w:rsid w:val="00D87007"/>
    <w:rsid w:val="00D87BAB"/>
    <w:rsid w:val="00D90713"/>
    <w:rsid w:val="00D90BFF"/>
    <w:rsid w:val="00D92396"/>
    <w:rsid w:val="00D946DB"/>
    <w:rsid w:val="00D95045"/>
    <w:rsid w:val="00D95228"/>
    <w:rsid w:val="00D956C2"/>
    <w:rsid w:val="00D967FA"/>
    <w:rsid w:val="00D96E61"/>
    <w:rsid w:val="00DA040A"/>
    <w:rsid w:val="00DA0B84"/>
    <w:rsid w:val="00DA0BDB"/>
    <w:rsid w:val="00DA0D0F"/>
    <w:rsid w:val="00DA0DB4"/>
    <w:rsid w:val="00DA1253"/>
    <w:rsid w:val="00DA1525"/>
    <w:rsid w:val="00DA3B36"/>
    <w:rsid w:val="00DA3E72"/>
    <w:rsid w:val="00DA3FEB"/>
    <w:rsid w:val="00DA4727"/>
    <w:rsid w:val="00DA4A2F"/>
    <w:rsid w:val="00DA4AAA"/>
    <w:rsid w:val="00DA4AAE"/>
    <w:rsid w:val="00DA4D9D"/>
    <w:rsid w:val="00DA6CB8"/>
    <w:rsid w:val="00DA77E1"/>
    <w:rsid w:val="00DA7C34"/>
    <w:rsid w:val="00DA7F01"/>
    <w:rsid w:val="00DB0274"/>
    <w:rsid w:val="00DB0F07"/>
    <w:rsid w:val="00DB2DD0"/>
    <w:rsid w:val="00DB3B68"/>
    <w:rsid w:val="00DB3EEA"/>
    <w:rsid w:val="00DB40CA"/>
    <w:rsid w:val="00DB4C59"/>
    <w:rsid w:val="00DB5503"/>
    <w:rsid w:val="00DB61BB"/>
    <w:rsid w:val="00DC03E0"/>
    <w:rsid w:val="00DC0817"/>
    <w:rsid w:val="00DC09EA"/>
    <w:rsid w:val="00DC0A81"/>
    <w:rsid w:val="00DC1E40"/>
    <w:rsid w:val="00DC1FD1"/>
    <w:rsid w:val="00DC2D05"/>
    <w:rsid w:val="00DC3A83"/>
    <w:rsid w:val="00DC3B38"/>
    <w:rsid w:val="00DC40DA"/>
    <w:rsid w:val="00DC4CE4"/>
    <w:rsid w:val="00DD00B4"/>
    <w:rsid w:val="00DD07FF"/>
    <w:rsid w:val="00DD092D"/>
    <w:rsid w:val="00DD156E"/>
    <w:rsid w:val="00DD1906"/>
    <w:rsid w:val="00DD1E64"/>
    <w:rsid w:val="00DD2C1E"/>
    <w:rsid w:val="00DD41BE"/>
    <w:rsid w:val="00DD4CFC"/>
    <w:rsid w:val="00DD5F87"/>
    <w:rsid w:val="00DD60DF"/>
    <w:rsid w:val="00DD6D54"/>
    <w:rsid w:val="00DD6F35"/>
    <w:rsid w:val="00DD72AA"/>
    <w:rsid w:val="00DD791B"/>
    <w:rsid w:val="00DE0157"/>
    <w:rsid w:val="00DE08E6"/>
    <w:rsid w:val="00DE0962"/>
    <w:rsid w:val="00DE21B5"/>
    <w:rsid w:val="00DE223B"/>
    <w:rsid w:val="00DE230A"/>
    <w:rsid w:val="00DE26F2"/>
    <w:rsid w:val="00DE3389"/>
    <w:rsid w:val="00DE4001"/>
    <w:rsid w:val="00DE489B"/>
    <w:rsid w:val="00DE48EF"/>
    <w:rsid w:val="00DE4EF2"/>
    <w:rsid w:val="00DE583B"/>
    <w:rsid w:val="00DE5A31"/>
    <w:rsid w:val="00DE73B4"/>
    <w:rsid w:val="00DE7B41"/>
    <w:rsid w:val="00DE7C81"/>
    <w:rsid w:val="00DF0BF5"/>
    <w:rsid w:val="00DF0EF2"/>
    <w:rsid w:val="00DF30EB"/>
    <w:rsid w:val="00DF3475"/>
    <w:rsid w:val="00DF4FF2"/>
    <w:rsid w:val="00DF65DF"/>
    <w:rsid w:val="00DF70AE"/>
    <w:rsid w:val="00DF7382"/>
    <w:rsid w:val="00E01601"/>
    <w:rsid w:val="00E0175F"/>
    <w:rsid w:val="00E01F9D"/>
    <w:rsid w:val="00E026FB"/>
    <w:rsid w:val="00E02F76"/>
    <w:rsid w:val="00E03E51"/>
    <w:rsid w:val="00E03E93"/>
    <w:rsid w:val="00E050F3"/>
    <w:rsid w:val="00E052A9"/>
    <w:rsid w:val="00E0639C"/>
    <w:rsid w:val="00E06628"/>
    <w:rsid w:val="00E06E19"/>
    <w:rsid w:val="00E07C8E"/>
    <w:rsid w:val="00E10726"/>
    <w:rsid w:val="00E10B85"/>
    <w:rsid w:val="00E11731"/>
    <w:rsid w:val="00E11F7B"/>
    <w:rsid w:val="00E120F4"/>
    <w:rsid w:val="00E1421C"/>
    <w:rsid w:val="00E143FD"/>
    <w:rsid w:val="00E14C4D"/>
    <w:rsid w:val="00E16498"/>
    <w:rsid w:val="00E1685B"/>
    <w:rsid w:val="00E1696D"/>
    <w:rsid w:val="00E172EA"/>
    <w:rsid w:val="00E1750A"/>
    <w:rsid w:val="00E17AB7"/>
    <w:rsid w:val="00E20FAC"/>
    <w:rsid w:val="00E2178E"/>
    <w:rsid w:val="00E2447E"/>
    <w:rsid w:val="00E249EF"/>
    <w:rsid w:val="00E25862"/>
    <w:rsid w:val="00E26CB6"/>
    <w:rsid w:val="00E27969"/>
    <w:rsid w:val="00E31A99"/>
    <w:rsid w:val="00E3279F"/>
    <w:rsid w:val="00E32BAE"/>
    <w:rsid w:val="00E32DA2"/>
    <w:rsid w:val="00E33BF7"/>
    <w:rsid w:val="00E340D7"/>
    <w:rsid w:val="00E34533"/>
    <w:rsid w:val="00E41A58"/>
    <w:rsid w:val="00E41E4F"/>
    <w:rsid w:val="00E42A4D"/>
    <w:rsid w:val="00E4334F"/>
    <w:rsid w:val="00E43CD2"/>
    <w:rsid w:val="00E440D2"/>
    <w:rsid w:val="00E44336"/>
    <w:rsid w:val="00E449CC"/>
    <w:rsid w:val="00E45F52"/>
    <w:rsid w:val="00E46936"/>
    <w:rsid w:val="00E46AC0"/>
    <w:rsid w:val="00E473B0"/>
    <w:rsid w:val="00E47B54"/>
    <w:rsid w:val="00E47CCD"/>
    <w:rsid w:val="00E50750"/>
    <w:rsid w:val="00E509EA"/>
    <w:rsid w:val="00E50E79"/>
    <w:rsid w:val="00E50FA0"/>
    <w:rsid w:val="00E515D5"/>
    <w:rsid w:val="00E52782"/>
    <w:rsid w:val="00E53E55"/>
    <w:rsid w:val="00E543B2"/>
    <w:rsid w:val="00E54B05"/>
    <w:rsid w:val="00E5703B"/>
    <w:rsid w:val="00E5715E"/>
    <w:rsid w:val="00E60B53"/>
    <w:rsid w:val="00E60C82"/>
    <w:rsid w:val="00E610EA"/>
    <w:rsid w:val="00E61840"/>
    <w:rsid w:val="00E6373B"/>
    <w:rsid w:val="00E63DC8"/>
    <w:rsid w:val="00E64990"/>
    <w:rsid w:val="00E64BFE"/>
    <w:rsid w:val="00E66040"/>
    <w:rsid w:val="00E6616A"/>
    <w:rsid w:val="00E67B4A"/>
    <w:rsid w:val="00E67F16"/>
    <w:rsid w:val="00E70AB0"/>
    <w:rsid w:val="00E71171"/>
    <w:rsid w:val="00E7205D"/>
    <w:rsid w:val="00E721D9"/>
    <w:rsid w:val="00E72404"/>
    <w:rsid w:val="00E73F4B"/>
    <w:rsid w:val="00E74C2C"/>
    <w:rsid w:val="00E75993"/>
    <w:rsid w:val="00E764E7"/>
    <w:rsid w:val="00E80172"/>
    <w:rsid w:val="00E804CC"/>
    <w:rsid w:val="00E81DB9"/>
    <w:rsid w:val="00E81F69"/>
    <w:rsid w:val="00E822F7"/>
    <w:rsid w:val="00E8231C"/>
    <w:rsid w:val="00E8262F"/>
    <w:rsid w:val="00E84C8E"/>
    <w:rsid w:val="00E85358"/>
    <w:rsid w:val="00E863C1"/>
    <w:rsid w:val="00E86638"/>
    <w:rsid w:val="00E86B98"/>
    <w:rsid w:val="00E871FE"/>
    <w:rsid w:val="00E87B6C"/>
    <w:rsid w:val="00E91D08"/>
    <w:rsid w:val="00E9217C"/>
    <w:rsid w:val="00E921F1"/>
    <w:rsid w:val="00E92C04"/>
    <w:rsid w:val="00E92C65"/>
    <w:rsid w:val="00E92EE4"/>
    <w:rsid w:val="00E93AB5"/>
    <w:rsid w:val="00E96511"/>
    <w:rsid w:val="00E96A85"/>
    <w:rsid w:val="00E9758A"/>
    <w:rsid w:val="00E979E9"/>
    <w:rsid w:val="00E97CD2"/>
    <w:rsid w:val="00EA050A"/>
    <w:rsid w:val="00EA0754"/>
    <w:rsid w:val="00EA0BAB"/>
    <w:rsid w:val="00EA0F2F"/>
    <w:rsid w:val="00EA11F0"/>
    <w:rsid w:val="00EA1C37"/>
    <w:rsid w:val="00EA1F5A"/>
    <w:rsid w:val="00EA2AFF"/>
    <w:rsid w:val="00EA3FEF"/>
    <w:rsid w:val="00EA4108"/>
    <w:rsid w:val="00EA419C"/>
    <w:rsid w:val="00EA45F4"/>
    <w:rsid w:val="00EA4F4F"/>
    <w:rsid w:val="00EA56D1"/>
    <w:rsid w:val="00EA6388"/>
    <w:rsid w:val="00EA7544"/>
    <w:rsid w:val="00EB0EE6"/>
    <w:rsid w:val="00EB154B"/>
    <w:rsid w:val="00EB1DBE"/>
    <w:rsid w:val="00EB1EEE"/>
    <w:rsid w:val="00EB5013"/>
    <w:rsid w:val="00EB53AD"/>
    <w:rsid w:val="00EB5804"/>
    <w:rsid w:val="00EB5C9A"/>
    <w:rsid w:val="00EB6224"/>
    <w:rsid w:val="00EB62C2"/>
    <w:rsid w:val="00EB6A5F"/>
    <w:rsid w:val="00EB6DEA"/>
    <w:rsid w:val="00EB6E04"/>
    <w:rsid w:val="00EB6FC2"/>
    <w:rsid w:val="00EC0AAB"/>
    <w:rsid w:val="00EC0B74"/>
    <w:rsid w:val="00EC153B"/>
    <w:rsid w:val="00EC19AE"/>
    <w:rsid w:val="00EC1EA0"/>
    <w:rsid w:val="00EC2E9B"/>
    <w:rsid w:val="00EC3017"/>
    <w:rsid w:val="00EC38B2"/>
    <w:rsid w:val="00EC4E70"/>
    <w:rsid w:val="00EC5046"/>
    <w:rsid w:val="00EC53E0"/>
    <w:rsid w:val="00EC5513"/>
    <w:rsid w:val="00EC57C6"/>
    <w:rsid w:val="00EC5FA2"/>
    <w:rsid w:val="00EC7AB4"/>
    <w:rsid w:val="00EC7E81"/>
    <w:rsid w:val="00ED048B"/>
    <w:rsid w:val="00ED1379"/>
    <w:rsid w:val="00ED1956"/>
    <w:rsid w:val="00ED1D0F"/>
    <w:rsid w:val="00ED1D99"/>
    <w:rsid w:val="00ED20CB"/>
    <w:rsid w:val="00ED4629"/>
    <w:rsid w:val="00ED52BC"/>
    <w:rsid w:val="00ED55F7"/>
    <w:rsid w:val="00ED66A4"/>
    <w:rsid w:val="00ED6B13"/>
    <w:rsid w:val="00ED6D84"/>
    <w:rsid w:val="00ED78AD"/>
    <w:rsid w:val="00ED7C8E"/>
    <w:rsid w:val="00ED7F35"/>
    <w:rsid w:val="00EE079A"/>
    <w:rsid w:val="00EE0B9D"/>
    <w:rsid w:val="00EE2205"/>
    <w:rsid w:val="00EE2BDA"/>
    <w:rsid w:val="00EE2BEA"/>
    <w:rsid w:val="00EE2CD5"/>
    <w:rsid w:val="00EE34F2"/>
    <w:rsid w:val="00EE5691"/>
    <w:rsid w:val="00EE63B4"/>
    <w:rsid w:val="00EE690D"/>
    <w:rsid w:val="00EE6F6C"/>
    <w:rsid w:val="00EF03E6"/>
    <w:rsid w:val="00EF0C0C"/>
    <w:rsid w:val="00EF0DA4"/>
    <w:rsid w:val="00EF36D2"/>
    <w:rsid w:val="00EF3F40"/>
    <w:rsid w:val="00EF451F"/>
    <w:rsid w:val="00EF6FD5"/>
    <w:rsid w:val="00F004BA"/>
    <w:rsid w:val="00F006CF"/>
    <w:rsid w:val="00F00A38"/>
    <w:rsid w:val="00F015E6"/>
    <w:rsid w:val="00F02E37"/>
    <w:rsid w:val="00F0322C"/>
    <w:rsid w:val="00F04C31"/>
    <w:rsid w:val="00F052D1"/>
    <w:rsid w:val="00F1041F"/>
    <w:rsid w:val="00F1062E"/>
    <w:rsid w:val="00F11185"/>
    <w:rsid w:val="00F114E6"/>
    <w:rsid w:val="00F117D1"/>
    <w:rsid w:val="00F12EA3"/>
    <w:rsid w:val="00F1455C"/>
    <w:rsid w:val="00F14A2E"/>
    <w:rsid w:val="00F14A91"/>
    <w:rsid w:val="00F14B07"/>
    <w:rsid w:val="00F163FF"/>
    <w:rsid w:val="00F176BA"/>
    <w:rsid w:val="00F177C6"/>
    <w:rsid w:val="00F17B2E"/>
    <w:rsid w:val="00F20C33"/>
    <w:rsid w:val="00F215C7"/>
    <w:rsid w:val="00F217D5"/>
    <w:rsid w:val="00F219A4"/>
    <w:rsid w:val="00F2228C"/>
    <w:rsid w:val="00F22648"/>
    <w:rsid w:val="00F23247"/>
    <w:rsid w:val="00F249CD"/>
    <w:rsid w:val="00F24D8C"/>
    <w:rsid w:val="00F2521E"/>
    <w:rsid w:val="00F25413"/>
    <w:rsid w:val="00F26B14"/>
    <w:rsid w:val="00F26CE4"/>
    <w:rsid w:val="00F271B3"/>
    <w:rsid w:val="00F30076"/>
    <w:rsid w:val="00F30E8D"/>
    <w:rsid w:val="00F315FD"/>
    <w:rsid w:val="00F325B9"/>
    <w:rsid w:val="00F32D09"/>
    <w:rsid w:val="00F33ABB"/>
    <w:rsid w:val="00F34382"/>
    <w:rsid w:val="00F348D2"/>
    <w:rsid w:val="00F356CE"/>
    <w:rsid w:val="00F358AF"/>
    <w:rsid w:val="00F36287"/>
    <w:rsid w:val="00F372AF"/>
    <w:rsid w:val="00F37BEE"/>
    <w:rsid w:val="00F41508"/>
    <w:rsid w:val="00F423F0"/>
    <w:rsid w:val="00F42FE9"/>
    <w:rsid w:val="00F4393C"/>
    <w:rsid w:val="00F45359"/>
    <w:rsid w:val="00F45413"/>
    <w:rsid w:val="00F46113"/>
    <w:rsid w:val="00F463F5"/>
    <w:rsid w:val="00F47628"/>
    <w:rsid w:val="00F47A9F"/>
    <w:rsid w:val="00F47CA5"/>
    <w:rsid w:val="00F50709"/>
    <w:rsid w:val="00F5132F"/>
    <w:rsid w:val="00F519A4"/>
    <w:rsid w:val="00F52DF6"/>
    <w:rsid w:val="00F52FC6"/>
    <w:rsid w:val="00F530D8"/>
    <w:rsid w:val="00F535E7"/>
    <w:rsid w:val="00F5381F"/>
    <w:rsid w:val="00F5524C"/>
    <w:rsid w:val="00F56546"/>
    <w:rsid w:val="00F56641"/>
    <w:rsid w:val="00F56956"/>
    <w:rsid w:val="00F57838"/>
    <w:rsid w:val="00F57A08"/>
    <w:rsid w:val="00F57ED1"/>
    <w:rsid w:val="00F60315"/>
    <w:rsid w:val="00F60F37"/>
    <w:rsid w:val="00F61095"/>
    <w:rsid w:val="00F61AC4"/>
    <w:rsid w:val="00F620A2"/>
    <w:rsid w:val="00F63080"/>
    <w:rsid w:val="00F63903"/>
    <w:rsid w:val="00F63AB7"/>
    <w:rsid w:val="00F63BA7"/>
    <w:rsid w:val="00F65282"/>
    <w:rsid w:val="00F65D43"/>
    <w:rsid w:val="00F66294"/>
    <w:rsid w:val="00F66371"/>
    <w:rsid w:val="00F66830"/>
    <w:rsid w:val="00F66DFB"/>
    <w:rsid w:val="00F67634"/>
    <w:rsid w:val="00F71DF2"/>
    <w:rsid w:val="00F73854"/>
    <w:rsid w:val="00F7387F"/>
    <w:rsid w:val="00F75233"/>
    <w:rsid w:val="00F75FD2"/>
    <w:rsid w:val="00F777C7"/>
    <w:rsid w:val="00F800B6"/>
    <w:rsid w:val="00F8071F"/>
    <w:rsid w:val="00F80A11"/>
    <w:rsid w:val="00F811C6"/>
    <w:rsid w:val="00F811F8"/>
    <w:rsid w:val="00F82AF8"/>
    <w:rsid w:val="00F834C3"/>
    <w:rsid w:val="00F8411E"/>
    <w:rsid w:val="00F84B2D"/>
    <w:rsid w:val="00F84BC7"/>
    <w:rsid w:val="00F855D5"/>
    <w:rsid w:val="00F85D06"/>
    <w:rsid w:val="00F87E46"/>
    <w:rsid w:val="00F913DC"/>
    <w:rsid w:val="00F9145F"/>
    <w:rsid w:val="00F91E30"/>
    <w:rsid w:val="00F93400"/>
    <w:rsid w:val="00F93B5F"/>
    <w:rsid w:val="00F9591C"/>
    <w:rsid w:val="00FA3858"/>
    <w:rsid w:val="00FA3865"/>
    <w:rsid w:val="00FA46C8"/>
    <w:rsid w:val="00FA4E19"/>
    <w:rsid w:val="00FA610E"/>
    <w:rsid w:val="00FA641C"/>
    <w:rsid w:val="00FA67D6"/>
    <w:rsid w:val="00FA6E69"/>
    <w:rsid w:val="00FA77E4"/>
    <w:rsid w:val="00FB1578"/>
    <w:rsid w:val="00FB199D"/>
    <w:rsid w:val="00FB1C26"/>
    <w:rsid w:val="00FB1D44"/>
    <w:rsid w:val="00FB2410"/>
    <w:rsid w:val="00FB25EE"/>
    <w:rsid w:val="00FB2CD7"/>
    <w:rsid w:val="00FB2E7B"/>
    <w:rsid w:val="00FB4960"/>
    <w:rsid w:val="00FB5258"/>
    <w:rsid w:val="00FB5985"/>
    <w:rsid w:val="00FC019F"/>
    <w:rsid w:val="00FC04E6"/>
    <w:rsid w:val="00FC0624"/>
    <w:rsid w:val="00FC0B81"/>
    <w:rsid w:val="00FC0DB2"/>
    <w:rsid w:val="00FC1030"/>
    <w:rsid w:val="00FC1715"/>
    <w:rsid w:val="00FC20DD"/>
    <w:rsid w:val="00FC223C"/>
    <w:rsid w:val="00FC371D"/>
    <w:rsid w:val="00FC41EC"/>
    <w:rsid w:val="00FC4A4B"/>
    <w:rsid w:val="00FC4D06"/>
    <w:rsid w:val="00FC5515"/>
    <w:rsid w:val="00FC6275"/>
    <w:rsid w:val="00FC6D7A"/>
    <w:rsid w:val="00FC70BF"/>
    <w:rsid w:val="00FC7C03"/>
    <w:rsid w:val="00FD0193"/>
    <w:rsid w:val="00FD0FAA"/>
    <w:rsid w:val="00FD16F5"/>
    <w:rsid w:val="00FD239F"/>
    <w:rsid w:val="00FD2AE8"/>
    <w:rsid w:val="00FD380B"/>
    <w:rsid w:val="00FD3883"/>
    <w:rsid w:val="00FD38B8"/>
    <w:rsid w:val="00FD457C"/>
    <w:rsid w:val="00FD54FC"/>
    <w:rsid w:val="00FD5ABD"/>
    <w:rsid w:val="00FD6675"/>
    <w:rsid w:val="00FD6CCB"/>
    <w:rsid w:val="00FD6D27"/>
    <w:rsid w:val="00FD7524"/>
    <w:rsid w:val="00FD7960"/>
    <w:rsid w:val="00FD7CAF"/>
    <w:rsid w:val="00FD7E66"/>
    <w:rsid w:val="00FD7FB3"/>
    <w:rsid w:val="00FE052A"/>
    <w:rsid w:val="00FE219F"/>
    <w:rsid w:val="00FE21F5"/>
    <w:rsid w:val="00FE28F4"/>
    <w:rsid w:val="00FE30C1"/>
    <w:rsid w:val="00FE3BD8"/>
    <w:rsid w:val="00FE43D5"/>
    <w:rsid w:val="00FE4AE0"/>
    <w:rsid w:val="00FE4D22"/>
    <w:rsid w:val="00FE5F0E"/>
    <w:rsid w:val="00FE6995"/>
    <w:rsid w:val="00FE69AC"/>
    <w:rsid w:val="00FE6CFB"/>
    <w:rsid w:val="00FE74CE"/>
    <w:rsid w:val="00FF0040"/>
    <w:rsid w:val="00FF1422"/>
    <w:rsid w:val="00FF15C6"/>
    <w:rsid w:val="00FF1617"/>
    <w:rsid w:val="00FF208F"/>
    <w:rsid w:val="00FF2658"/>
    <w:rsid w:val="00FF2818"/>
    <w:rsid w:val="00FF2D0E"/>
    <w:rsid w:val="00FF36A5"/>
    <w:rsid w:val="00FF3B3B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BD667A"/>
  <w15:docId w15:val="{FA6400FB-6AD4-4A30-AE61-1F1D2D07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mt-MT" w:eastAsia="en-GB" w:bidi="ne-NP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iPriority="0" w:unhideWhenUsed="1" w:qFormat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" w:unhideWhenUsed="1"/>
    <w:lsdException w:name="endnote text" w:locked="1" w:semiHidden="1" w:uiPriority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 w:qFormat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EB"/>
    <w:pPr>
      <w:spacing w:before="120" w:after="120"/>
      <w:jc w:val="both"/>
    </w:pPr>
    <w:rPr>
      <w:rFonts w:ascii="Verdana" w:eastAsia="Times New Roman" w:hAnsi="Verdana"/>
      <w:szCs w:val="24"/>
      <w:lang w:eastAsia="en-US" w:bidi="ar-SA"/>
    </w:rPr>
  </w:style>
  <w:style w:type="paragraph" w:styleId="Heading1">
    <w:name w:val="heading 1"/>
    <w:aliases w:val="Cover title white"/>
    <w:basedOn w:val="Normal"/>
    <w:next w:val="Normal"/>
    <w:link w:val="Heading1Char"/>
    <w:autoRedefine/>
    <w:qFormat/>
    <w:rsid w:val="005A6305"/>
    <w:pPr>
      <w:keepNext/>
      <w:autoSpaceDE w:val="0"/>
      <w:autoSpaceDN w:val="0"/>
      <w:adjustRightInd w:val="0"/>
      <w:spacing w:before="0" w:after="0"/>
      <w:jc w:val="left"/>
      <w:outlineLvl w:val="0"/>
    </w:pPr>
    <w:rPr>
      <w:rFonts w:eastAsia="Arial"/>
      <w:b/>
      <w:szCs w:val="20"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E5A75"/>
    <w:pPr>
      <w:keepNext/>
      <w:spacing w:before="240"/>
      <w:outlineLvl w:val="1"/>
    </w:pPr>
    <w:rPr>
      <w:rFonts w:eastAsia="Arial"/>
      <w:b/>
      <w:sz w:val="24"/>
      <w:u w:val="single"/>
      <w:lang w:eastAsia="x-none"/>
    </w:rPr>
  </w:style>
  <w:style w:type="paragraph" w:styleId="Heading3">
    <w:name w:val="heading 3"/>
    <w:aliases w:val="Title 2"/>
    <w:basedOn w:val="Normal"/>
    <w:next w:val="Normal"/>
    <w:link w:val="Heading3Char1"/>
    <w:autoRedefine/>
    <w:uiPriority w:val="99"/>
    <w:qFormat/>
    <w:rsid w:val="001E5A75"/>
    <w:pPr>
      <w:keepNext/>
      <w:spacing w:before="180"/>
      <w:outlineLvl w:val="2"/>
    </w:pPr>
    <w:rPr>
      <w:rFonts w:ascii="Arial" w:eastAsia="Arial" w:hAnsi="Arial"/>
      <w:b/>
      <w:szCs w:val="20"/>
      <w:lang w:eastAsia="de-DE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DE0962"/>
    <w:pPr>
      <w:keepNext/>
      <w:numPr>
        <w:numId w:val="17"/>
      </w:numPr>
      <w:spacing w:before="160"/>
      <w:outlineLvl w:val="3"/>
    </w:pPr>
    <w:rPr>
      <w:b/>
      <w:u w:val="single"/>
    </w:rPr>
  </w:style>
  <w:style w:type="paragraph" w:styleId="Heading5">
    <w:name w:val="heading 5"/>
    <w:aliases w:val="Cover subtitle white"/>
    <w:basedOn w:val="Normal"/>
    <w:next w:val="Normal"/>
    <w:link w:val="Heading5Char"/>
    <w:autoRedefine/>
    <w:uiPriority w:val="1"/>
    <w:qFormat/>
    <w:rsid w:val="001E5A75"/>
    <w:pPr>
      <w:keepNext/>
      <w:spacing w:before="140"/>
      <w:outlineLvl w:val="4"/>
    </w:pPr>
    <w:rPr>
      <w:rFonts w:ascii="Arial" w:eastAsia="Arial" w:hAnsi="Arial"/>
      <w:b/>
      <w:i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1E5A75"/>
    <w:pPr>
      <w:spacing w:before="240" w:after="60"/>
      <w:outlineLvl w:val="5"/>
    </w:pPr>
    <w:rPr>
      <w:rFonts w:ascii="Times New Roman" w:eastAsia="Arial" w:hAnsi="Times New Roman"/>
      <w:b/>
      <w:bCs/>
      <w:szCs w:val="20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1E5A75"/>
    <w:pPr>
      <w:spacing w:before="240" w:after="60"/>
      <w:outlineLvl w:val="6"/>
    </w:pPr>
    <w:rPr>
      <w:rFonts w:ascii="Times New Roman" w:eastAsia="Arial" w:hAnsi="Times New Roman"/>
      <w:szCs w:val="20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1E5A75"/>
    <w:pPr>
      <w:spacing w:before="240" w:after="60"/>
      <w:outlineLvl w:val="7"/>
    </w:pPr>
    <w:rPr>
      <w:rFonts w:ascii="Times New Roman" w:eastAsia="Arial" w:hAnsi="Times New Roman"/>
      <w:i/>
      <w:iCs/>
      <w:szCs w:val="20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1E5A75"/>
    <w:pPr>
      <w:spacing w:before="240" w:after="60"/>
      <w:outlineLvl w:val="8"/>
    </w:pPr>
    <w:rPr>
      <w:rFonts w:ascii="Arial" w:eastAsia="Arial" w:hAnsi="Arial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link w:val="Heading1"/>
    <w:locked/>
    <w:rsid w:val="005A6305"/>
    <w:rPr>
      <w:rFonts w:ascii="Verdana" w:hAnsi="Verdana" w:cs="Times New Roman"/>
      <w:b/>
      <w:sz w:val="20"/>
      <w:szCs w:val="20"/>
      <w:u w:val="single"/>
      <w:lang w:val="mt-MT"/>
    </w:rPr>
  </w:style>
  <w:style w:type="character" w:customStyle="1" w:styleId="Heading2Char">
    <w:name w:val="Heading 2 Char"/>
    <w:link w:val="Heading2"/>
    <w:uiPriority w:val="99"/>
    <w:locked/>
    <w:rsid w:val="00EC5046"/>
    <w:rPr>
      <w:rFonts w:ascii="Verdana" w:hAnsi="Verdana" w:cs="Times New Roman"/>
      <w:b/>
      <w:sz w:val="24"/>
      <w:szCs w:val="24"/>
      <w:u w:val="single"/>
      <w:lang w:val="mt-MT"/>
    </w:rPr>
  </w:style>
  <w:style w:type="character" w:customStyle="1" w:styleId="Heading3Char">
    <w:name w:val="Heading 3 Char"/>
    <w:aliases w:val="Title 2 Char"/>
    <w:uiPriority w:val="99"/>
    <w:locked/>
    <w:rsid w:val="00884FEB"/>
    <w:rPr>
      <w:rFonts w:cs="Times New Roman"/>
      <w:sz w:val="24"/>
      <w:szCs w:val="24"/>
      <w:lang w:val="mt-MT" w:eastAsia="en-US"/>
    </w:rPr>
  </w:style>
  <w:style w:type="character" w:customStyle="1" w:styleId="Heading4Char">
    <w:name w:val="Heading 4 Char"/>
    <w:link w:val="Heading4"/>
    <w:uiPriority w:val="99"/>
    <w:locked/>
    <w:rsid w:val="00DE0962"/>
    <w:rPr>
      <w:rFonts w:ascii="Verdana" w:eastAsia="Times New Roman" w:hAnsi="Verdana"/>
      <w:b/>
      <w:szCs w:val="24"/>
      <w:u w:val="single"/>
      <w:lang w:eastAsia="en-US" w:bidi="ar-SA"/>
    </w:rPr>
  </w:style>
  <w:style w:type="character" w:customStyle="1" w:styleId="Heading5Char">
    <w:name w:val="Heading 5 Char"/>
    <w:aliases w:val="Cover subtitle white Char"/>
    <w:link w:val="Heading5"/>
    <w:uiPriority w:val="1"/>
    <w:locked/>
    <w:rsid w:val="001E5A75"/>
    <w:rPr>
      <w:rFonts w:ascii="Arial" w:hAnsi="Arial" w:cs="Times New Roman"/>
      <w:b/>
      <w:i/>
      <w:sz w:val="20"/>
      <w:szCs w:val="20"/>
      <w:lang w:eastAsia="de-DE"/>
    </w:rPr>
  </w:style>
  <w:style w:type="character" w:customStyle="1" w:styleId="Heading6Char">
    <w:name w:val="Heading 6 Char"/>
    <w:link w:val="Heading6"/>
    <w:semiHidden/>
    <w:locked/>
    <w:rsid w:val="001E5A75"/>
    <w:rPr>
      <w:rFonts w:ascii="Times New Roman" w:hAnsi="Times New Roman" w:cs="Times New Roman"/>
      <w:b/>
      <w:bCs/>
      <w:lang w:eastAsia="de-DE"/>
    </w:rPr>
  </w:style>
  <w:style w:type="character" w:customStyle="1" w:styleId="Heading7Char">
    <w:name w:val="Heading 7 Char"/>
    <w:link w:val="Heading7"/>
    <w:semiHidden/>
    <w:locked/>
    <w:rsid w:val="001E5A75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Heading8Char">
    <w:name w:val="Heading 8 Char"/>
    <w:link w:val="Heading8"/>
    <w:semiHidden/>
    <w:locked/>
    <w:rsid w:val="001E5A75"/>
    <w:rPr>
      <w:rFonts w:ascii="Times New Roman" w:hAnsi="Times New Roman" w:cs="Times New Roman"/>
      <w:i/>
      <w:iCs/>
      <w:sz w:val="20"/>
      <w:szCs w:val="20"/>
      <w:lang w:eastAsia="de-DE"/>
    </w:rPr>
  </w:style>
  <w:style w:type="character" w:customStyle="1" w:styleId="Heading9Char">
    <w:name w:val="Heading 9 Char"/>
    <w:link w:val="Heading9"/>
    <w:semiHidden/>
    <w:locked/>
    <w:rsid w:val="001E5A75"/>
    <w:rPr>
      <w:rFonts w:ascii="Arial" w:hAnsi="Arial" w:cs="Arial"/>
      <w:lang w:eastAsia="de-DE"/>
    </w:rPr>
  </w:style>
  <w:style w:type="paragraph" w:styleId="TableofFigures">
    <w:name w:val="table of figures"/>
    <w:basedOn w:val="Normal"/>
    <w:next w:val="Normal"/>
    <w:qFormat/>
    <w:rsid w:val="001E5A75"/>
    <w:pPr>
      <w:ind w:left="440" w:hanging="440"/>
    </w:pPr>
  </w:style>
  <w:style w:type="paragraph" w:customStyle="1" w:styleId="Aufzhlungszeichen1">
    <w:name w:val="Aufzählungszeichen1"/>
    <w:basedOn w:val="Normal"/>
    <w:uiPriority w:val="1"/>
    <w:qFormat/>
    <w:rsid w:val="001E5A75"/>
    <w:pPr>
      <w:numPr>
        <w:numId w:val="1"/>
      </w:numPr>
      <w:spacing w:line="240" w:lineRule="exact"/>
    </w:pPr>
  </w:style>
  <w:style w:type="paragraph" w:customStyle="1" w:styleId="Aufzhlungszeichen2">
    <w:name w:val="Aufzählungszeichen2"/>
    <w:basedOn w:val="Normal"/>
    <w:uiPriority w:val="1"/>
    <w:qFormat/>
    <w:rsid w:val="001E5A75"/>
    <w:pPr>
      <w:numPr>
        <w:numId w:val="2"/>
      </w:numPr>
      <w:spacing w:line="240" w:lineRule="exact"/>
    </w:pPr>
  </w:style>
  <w:style w:type="paragraph" w:customStyle="1" w:styleId="Aufzhlungszeichen3">
    <w:name w:val="Aufzählungszeichen3"/>
    <w:basedOn w:val="Normal"/>
    <w:uiPriority w:val="1"/>
    <w:qFormat/>
    <w:rsid w:val="001E5A75"/>
    <w:pPr>
      <w:numPr>
        <w:numId w:val="3"/>
      </w:numPr>
      <w:spacing w:line="240" w:lineRule="exact"/>
    </w:pPr>
  </w:style>
  <w:style w:type="paragraph" w:customStyle="1" w:styleId="Aufzhlungszeichen4">
    <w:name w:val="Aufzählungszeichen4"/>
    <w:basedOn w:val="Normal"/>
    <w:uiPriority w:val="1"/>
    <w:qFormat/>
    <w:rsid w:val="001E5A75"/>
    <w:pPr>
      <w:numPr>
        <w:numId w:val="4"/>
      </w:numPr>
      <w:spacing w:line="240" w:lineRule="exact"/>
    </w:pPr>
  </w:style>
  <w:style w:type="paragraph" w:styleId="FootnoteText">
    <w:name w:val="footnote text"/>
    <w:basedOn w:val="Normal"/>
    <w:link w:val="FootnoteTextChar"/>
    <w:qFormat/>
    <w:rsid w:val="00C2636B"/>
    <w:pPr>
      <w:spacing w:line="180" w:lineRule="exact"/>
      <w:ind w:left="142" w:hanging="142"/>
    </w:pPr>
    <w:rPr>
      <w:rFonts w:ascii="Arial" w:eastAsia="Arial" w:hAnsi="Arial"/>
      <w:sz w:val="16"/>
      <w:szCs w:val="16"/>
      <w:lang w:eastAsia="de-DE"/>
    </w:rPr>
  </w:style>
  <w:style w:type="character" w:customStyle="1" w:styleId="FootnoteTextChar">
    <w:name w:val="Footnote Text Char"/>
    <w:link w:val="FootnoteText"/>
    <w:locked/>
    <w:rsid w:val="00C2636B"/>
    <w:rPr>
      <w:rFonts w:ascii="Arial" w:hAnsi="Arial" w:cs="Times New Roman"/>
      <w:sz w:val="16"/>
      <w:szCs w:val="16"/>
      <w:lang w:eastAsia="de-DE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qFormat/>
    <w:rsid w:val="001E5A75"/>
    <w:rPr>
      <w:rFonts w:ascii="Arial" w:hAnsi="Arial" w:cs="Times New Roman"/>
      <w:kern w:val="0"/>
      <w:position w:val="4"/>
      <w:sz w:val="12"/>
      <w:szCs w:val="12"/>
      <w:vertAlign w:val="baseline"/>
    </w:rPr>
  </w:style>
  <w:style w:type="paragraph" w:styleId="Footer">
    <w:name w:val="footer"/>
    <w:basedOn w:val="Normal"/>
    <w:link w:val="Foot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 w:val="14"/>
      <w:szCs w:val="14"/>
      <w:lang w:eastAsia="de-DE"/>
    </w:rPr>
  </w:style>
  <w:style w:type="character" w:customStyle="1" w:styleId="FooterChar">
    <w:name w:val="Footer Char"/>
    <w:link w:val="Footer"/>
    <w:uiPriority w:val="99"/>
    <w:locked/>
    <w:rsid w:val="001E5A75"/>
    <w:rPr>
      <w:rFonts w:ascii="Arial" w:hAnsi="Arial" w:cs="Times New Roman"/>
      <w:sz w:val="14"/>
      <w:szCs w:val="14"/>
      <w:lang w:eastAsia="de-DE"/>
    </w:rPr>
  </w:style>
  <w:style w:type="paragraph" w:customStyle="1" w:styleId="GliederungmitAufzhlung">
    <w:name w:val="Gliederung mit Aufzählung"/>
    <w:basedOn w:val="Normal"/>
    <w:uiPriority w:val="1"/>
    <w:qFormat/>
    <w:rsid w:val="001E5A75"/>
    <w:pPr>
      <w:numPr>
        <w:numId w:val="7"/>
      </w:numPr>
      <w:spacing w:line="312" w:lineRule="auto"/>
    </w:pPr>
  </w:style>
  <w:style w:type="paragraph" w:customStyle="1" w:styleId="GliederungmitNummerierung">
    <w:name w:val="Gliederung mit Nummerierung"/>
    <w:basedOn w:val="Normal"/>
    <w:uiPriority w:val="1"/>
    <w:qFormat/>
    <w:rsid w:val="001E5A75"/>
    <w:pPr>
      <w:numPr>
        <w:numId w:val="8"/>
      </w:numPr>
      <w:spacing w:line="312" w:lineRule="auto"/>
    </w:pPr>
  </w:style>
  <w:style w:type="paragraph" w:customStyle="1" w:styleId="HngEinrckung1">
    <w:name w:val="Häng. Einrückung1"/>
    <w:basedOn w:val="Normal"/>
    <w:uiPriority w:val="1"/>
    <w:qFormat/>
    <w:rsid w:val="001E5A75"/>
    <w:pPr>
      <w:spacing w:line="312" w:lineRule="auto"/>
      <w:ind w:left="567" w:hanging="567"/>
    </w:pPr>
  </w:style>
  <w:style w:type="paragraph" w:customStyle="1" w:styleId="HngEinrckung2">
    <w:name w:val="Häng. Einrückung2"/>
    <w:basedOn w:val="Normal"/>
    <w:uiPriority w:val="1"/>
    <w:qFormat/>
    <w:rsid w:val="001E5A75"/>
    <w:pPr>
      <w:spacing w:line="312" w:lineRule="auto"/>
      <w:ind w:left="1134" w:hanging="567"/>
    </w:pPr>
  </w:style>
  <w:style w:type="paragraph" w:customStyle="1" w:styleId="HngEinrckung3">
    <w:name w:val="Häng. Einrückung3"/>
    <w:basedOn w:val="Normal"/>
    <w:uiPriority w:val="1"/>
    <w:qFormat/>
    <w:rsid w:val="001E5A75"/>
    <w:pPr>
      <w:spacing w:line="312" w:lineRule="auto"/>
      <w:ind w:left="1701" w:hanging="567"/>
    </w:pPr>
  </w:style>
  <w:style w:type="character" w:styleId="Hyperlink">
    <w:name w:val="Hyperlink"/>
    <w:uiPriority w:val="99"/>
    <w:rsid w:val="001E5A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Cs w:val="20"/>
      <w:lang w:eastAsia="de-DE"/>
    </w:rPr>
  </w:style>
  <w:style w:type="character" w:customStyle="1" w:styleId="HeaderChar">
    <w:name w:val="Header Char"/>
    <w:link w:val="Header"/>
    <w:uiPriority w:val="99"/>
    <w:locked/>
    <w:rsid w:val="001E5A75"/>
    <w:rPr>
      <w:rFonts w:ascii="Arial" w:hAnsi="Arial" w:cs="Times New Roman"/>
      <w:sz w:val="20"/>
      <w:szCs w:val="20"/>
      <w:lang w:eastAsia="de-DE"/>
    </w:rPr>
  </w:style>
  <w:style w:type="paragraph" w:customStyle="1" w:styleId="Marginalspalte">
    <w:name w:val="Marginalspalte"/>
    <w:basedOn w:val="Normal"/>
    <w:uiPriority w:val="1"/>
    <w:qFormat/>
    <w:rsid w:val="001E5A75"/>
    <w:pPr>
      <w:framePr w:w="851" w:h="851" w:hSpace="284" w:wrap="around" w:vAnchor="text" w:hAnchor="page" w:y="1"/>
    </w:pPr>
    <w:rPr>
      <w:i/>
      <w:szCs w:val="22"/>
    </w:rPr>
  </w:style>
  <w:style w:type="paragraph" w:customStyle="1" w:styleId="Nummerierungsart1">
    <w:name w:val="Nummerierungsart1"/>
    <w:basedOn w:val="Normal"/>
    <w:uiPriority w:val="1"/>
    <w:qFormat/>
    <w:rsid w:val="001E5A75"/>
    <w:pPr>
      <w:numPr>
        <w:numId w:val="9"/>
      </w:numPr>
    </w:pPr>
  </w:style>
  <w:style w:type="paragraph" w:customStyle="1" w:styleId="Nummerierungsart2">
    <w:name w:val="Nummerierungsart2"/>
    <w:basedOn w:val="Normal"/>
    <w:uiPriority w:val="1"/>
    <w:qFormat/>
    <w:rsid w:val="001E5A75"/>
    <w:pPr>
      <w:numPr>
        <w:numId w:val="10"/>
      </w:numPr>
    </w:pPr>
  </w:style>
  <w:style w:type="paragraph" w:customStyle="1" w:styleId="Nummerierungsart3">
    <w:name w:val="Nummerierungsart3"/>
    <w:basedOn w:val="Normal"/>
    <w:uiPriority w:val="1"/>
    <w:qFormat/>
    <w:rsid w:val="001E5A75"/>
    <w:pPr>
      <w:numPr>
        <w:numId w:val="11"/>
      </w:numPr>
    </w:pPr>
  </w:style>
  <w:style w:type="paragraph" w:customStyle="1" w:styleId="Nummerierungsart4">
    <w:name w:val="Nummerierungsart4"/>
    <w:basedOn w:val="Normal"/>
    <w:uiPriority w:val="1"/>
    <w:qFormat/>
    <w:rsid w:val="001E5A75"/>
    <w:pPr>
      <w:numPr>
        <w:numId w:val="12"/>
      </w:numPr>
    </w:pPr>
  </w:style>
  <w:style w:type="character" w:styleId="PageNumber">
    <w:name w:val="page number"/>
    <w:uiPriority w:val="99"/>
    <w:rsid w:val="001E5A75"/>
    <w:rPr>
      <w:rFonts w:ascii="Arial" w:hAnsi="Arial" w:cs="Times New Roman"/>
      <w:sz w:val="22"/>
    </w:rPr>
  </w:style>
  <w:style w:type="character" w:customStyle="1" w:styleId="Heading3Char1">
    <w:name w:val="Heading 3 Char1"/>
    <w:aliases w:val="Title 2 Char1"/>
    <w:link w:val="Heading3"/>
    <w:uiPriority w:val="99"/>
    <w:locked/>
    <w:rsid w:val="001E5A75"/>
    <w:rPr>
      <w:rFonts w:ascii="Arial" w:hAnsi="Arial" w:cs="Times New Roman"/>
      <w:b/>
      <w:sz w:val="20"/>
      <w:szCs w:val="20"/>
      <w:lang w:eastAsia="de-DE"/>
    </w:rPr>
  </w:style>
  <w:style w:type="paragraph" w:styleId="TOC1">
    <w:name w:val="toc 1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1"/>
      </w:tabs>
      <w:ind w:left="794" w:hanging="794"/>
    </w:pPr>
    <w:rPr>
      <w:b/>
      <w:smallCaps/>
      <w:noProof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1"/>
      </w:tabs>
      <w:spacing w:after="60"/>
      <w:ind w:left="794" w:hanging="794"/>
    </w:pPr>
    <w:rPr>
      <w:b/>
      <w:smallCap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2"/>
      </w:tabs>
      <w:spacing w:after="60"/>
      <w:ind w:left="794" w:hanging="794"/>
    </w:pPr>
    <w:rPr>
      <w:smallCaps/>
      <w:noProof/>
    </w:rPr>
  </w:style>
  <w:style w:type="paragraph" w:styleId="TOC4">
    <w:name w:val="toc 4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E5A75"/>
    <w:pPr>
      <w:tabs>
        <w:tab w:val="left" w:pos="2058"/>
        <w:tab w:val="right" w:leader="dot" w:pos="9071"/>
      </w:tabs>
      <w:ind w:left="1134" w:hanging="1134"/>
    </w:pPr>
    <w:rPr>
      <w:noProof/>
      <w:sz w:val="16"/>
    </w:rPr>
  </w:style>
  <w:style w:type="paragraph" w:styleId="TOC7">
    <w:name w:val="toc 7"/>
    <w:basedOn w:val="Normal"/>
    <w:next w:val="Normal"/>
    <w:autoRedefine/>
    <w:uiPriority w:val="39"/>
    <w:rsid w:val="001E5A75"/>
    <w:pPr>
      <w:tabs>
        <w:tab w:val="right" w:leader="dot" w:pos="9071"/>
      </w:tabs>
      <w:ind w:left="1134" w:hanging="1134"/>
    </w:pPr>
    <w:rPr>
      <w:sz w:val="16"/>
    </w:rPr>
  </w:style>
  <w:style w:type="paragraph" w:styleId="TOC8">
    <w:name w:val="toc 8"/>
    <w:basedOn w:val="Normal"/>
    <w:next w:val="Normal"/>
    <w:autoRedefine/>
    <w:uiPriority w:val="39"/>
    <w:rsid w:val="001E5A75"/>
    <w:pPr>
      <w:tabs>
        <w:tab w:val="left" w:pos="2758"/>
        <w:tab w:val="right" w:leader="dot" w:pos="9071"/>
      </w:tabs>
      <w:ind w:left="1361" w:hanging="1361"/>
    </w:pPr>
    <w:rPr>
      <w:noProof/>
      <w:sz w:val="16"/>
    </w:rPr>
  </w:style>
  <w:style w:type="paragraph" w:styleId="TOC9">
    <w:name w:val="toc 9"/>
    <w:basedOn w:val="Normal"/>
    <w:next w:val="Normal"/>
    <w:autoRedefine/>
    <w:uiPriority w:val="39"/>
    <w:rsid w:val="001E5A75"/>
    <w:pPr>
      <w:tabs>
        <w:tab w:val="right" w:leader="dot" w:pos="9071"/>
      </w:tabs>
      <w:ind w:left="1361" w:hanging="1361"/>
    </w:pPr>
    <w:rPr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E5A75"/>
    <w:rPr>
      <w:rFonts w:ascii="Arial" w:eastAsia="Arial" w:hAnsi="Arial"/>
      <w:i/>
      <w:iCs/>
      <w:color w:val="000000"/>
      <w:szCs w:val="20"/>
      <w:lang w:eastAsia="de-DE"/>
    </w:rPr>
  </w:style>
  <w:style w:type="character" w:customStyle="1" w:styleId="QuoteChar">
    <w:name w:val="Quote Char"/>
    <w:link w:val="Quote"/>
    <w:uiPriority w:val="29"/>
    <w:semiHidden/>
    <w:locked/>
    <w:rsid w:val="001E5A75"/>
    <w:rPr>
      <w:rFonts w:ascii="Arial" w:hAnsi="Arial" w:cs="Times New Roman"/>
      <w:i/>
      <w:iCs/>
      <w:color w:val="000000"/>
      <w:sz w:val="20"/>
      <w:szCs w:val="20"/>
      <w:lang w:eastAsia="de-DE"/>
    </w:rPr>
  </w:style>
  <w:style w:type="paragraph" w:styleId="TOCHeading">
    <w:name w:val="TOC Heading"/>
    <w:basedOn w:val="Heading1"/>
    <w:next w:val="Normal"/>
    <w:uiPriority w:val="39"/>
    <w:qFormat/>
    <w:rsid w:val="001E5A75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styleId="EndnoteText">
    <w:name w:val="endnote text"/>
    <w:basedOn w:val="Normal"/>
    <w:link w:val="EndnoteTextChar"/>
    <w:uiPriority w:val="1"/>
    <w:rsid w:val="001E5A75"/>
    <w:pPr>
      <w:spacing w:line="180" w:lineRule="exact"/>
      <w:ind w:left="142" w:hanging="142"/>
    </w:pPr>
    <w:rPr>
      <w:rFonts w:ascii="Arial" w:eastAsia="Arial" w:hAnsi="Arial"/>
      <w:szCs w:val="20"/>
      <w:lang w:eastAsia="de-DE"/>
    </w:rPr>
  </w:style>
  <w:style w:type="character" w:customStyle="1" w:styleId="EndnoteTextChar">
    <w:name w:val="Endnote Text Char"/>
    <w:link w:val="EndnoteText"/>
    <w:uiPriority w:val="1"/>
    <w:locked/>
    <w:rsid w:val="001E5A75"/>
    <w:rPr>
      <w:rFonts w:ascii="Arial" w:hAnsi="Arial" w:cs="Times New Roman"/>
      <w:sz w:val="20"/>
      <w:szCs w:val="20"/>
      <w:lang w:eastAsia="de-DE"/>
    </w:rPr>
  </w:style>
  <w:style w:type="character" w:styleId="EndnoteReference">
    <w:name w:val="endnote reference"/>
    <w:uiPriority w:val="1"/>
    <w:rsid w:val="001E5A75"/>
    <w:rPr>
      <w:rFonts w:ascii="Arial" w:hAnsi="Arial" w:cs="Times New Roman"/>
      <w:color w:val="auto"/>
      <w:position w:val="4"/>
      <w:sz w:val="12"/>
      <w:vertAlign w:val="baseline"/>
    </w:rPr>
  </w:style>
  <w:style w:type="paragraph" w:customStyle="1" w:styleId="Ballontekst">
    <w:name w:val="Ballontekst"/>
    <w:basedOn w:val="Normal"/>
    <w:uiPriority w:val="99"/>
    <w:semiHidden/>
    <w:rsid w:val="00884F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884F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84FEB"/>
    <w:rPr>
      <w:rFonts w:eastAsia="Arial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locked/>
    <w:rsid w:val="00884FEB"/>
    <w:rPr>
      <w:rFonts w:ascii="Verdana" w:hAnsi="Verdana" w:cs="Times New Roman"/>
      <w:sz w:val="20"/>
      <w:szCs w:val="20"/>
      <w:lang w:val="mt-MT"/>
    </w:rPr>
  </w:style>
  <w:style w:type="paragraph" w:customStyle="1" w:styleId="Onderwerpvanopmerking">
    <w:name w:val="Onderwerp van opmerking"/>
    <w:basedOn w:val="CommentText"/>
    <w:next w:val="CommentText"/>
    <w:uiPriority w:val="99"/>
    <w:semiHidden/>
    <w:rsid w:val="00884FEB"/>
    <w:rPr>
      <w:b/>
      <w:bCs/>
    </w:rPr>
  </w:style>
  <w:style w:type="character" w:styleId="FollowedHyperlink">
    <w:name w:val="FollowedHyperlink"/>
    <w:uiPriority w:val="99"/>
    <w:rsid w:val="00884FEB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rsid w:val="00884FEB"/>
    <w:rPr>
      <w:rFonts w:ascii="Tahoma" w:eastAsia="Arial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locked/>
    <w:rsid w:val="00884FEB"/>
    <w:rPr>
      <w:rFonts w:ascii="Tahoma" w:hAnsi="Tahoma" w:cs="Tahoma"/>
      <w:sz w:val="16"/>
      <w:szCs w:val="16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4FEB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84FEB"/>
    <w:rPr>
      <w:rFonts w:ascii="Verdana" w:hAnsi="Verdana" w:cs="Times New Roman"/>
      <w:b/>
      <w:bCs/>
      <w:sz w:val="20"/>
      <w:szCs w:val="20"/>
      <w:lang w:val="mt-MT"/>
    </w:rPr>
  </w:style>
  <w:style w:type="table" w:styleId="TableGrid">
    <w:name w:val="Table Grid"/>
    <w:aliases w:val="Tabla CUADROS"/>
    <w:basedOn w:val="TableNormal"/>
    <w:uiPriority w:val="59"/>
    <w:rsid w:val="00884F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4">
    <w:name w:val="Formatvorlage Überschrift 4"/>
    <w:basedOn w:val="Heading4"/>
    <w:link w:val="Formatvorlageberschrift4Char"/>
    <w:uiPriority w:val="99"/>
    <w:rsid w:val="00884FEB"/>
    <w:pPr>
      <w:spacing w:before="240" w:after="60"/>
    </w:pPr>
    <w:rPr>
      <w:iCs/>
      <w:szCs w:val="28"/>
    </w:rPr>
  </w:style>
  <w:style w:type="character" w:customStyle="1" w:styleId="Formatvorlageberschrift4Char">
    <w:name w:val="Formatvorlage Überschrift 4 Char"/>
    <w:link w:val="Formatvorlageberschrift4"/>
    <w:uiPriority w:val="99"/>
    <w:locked/>
    <w:rsid w:val="00884FEB"/>
    <w:rPr>
      <w:rFonts w:ascii="Verdana" w:eastAsia="Times New Roman" w:hAnsi="Verdana"/>
      <w:b/>
      <w:iCs/>
      <w:szCs w:val="28"/>
      <w:u w:val="single"/>
      <w:lang w:eastAsia="en-US" w:bidi="ar-SA"/>
    </w:rPr>
  </w:style>
  <w:style w:type="paragraph" w:customStyle="1" w:styleId="Instructionsberschrift1">
    <w:name w:val="Instructions Überschrift 1"/>
    <w:basedOn w:val="Heading1"/>
    <w:rsid w:val="00884FEB"/>
    <w:pPr>
      <w:tabs>
        <w:tab w:val="num" w:pos="540"/>
      </w:tabs>
      <w:spacing w:before="240"/>
      <w:ind w:left="540" w:hanging="540"/>
    </w:pPr>
    <w:rPr>
      <w:b w:val="0"/>
      <w:kern w:val="32"/>
    </w:rPr>
  </w:style>
  <w:style w:type="paragraph" w:customStyle="1" w:styleId="Instructionsberschrift2">
    <w:name w:val="Instructions Überschrift 2"/>
    <w:basedOn w:val="Heading2"/>
    <w:rsid w:val="008C122C"/>
    <w:pPr>
      <w:numPr>
        <w:numId w:val="13"/>
      </w:numPr>
      <w:spacing w:after="240"/>
    </w:pPr>
    <w:rPr>
      <w:rFonts w:cs="Arial"/>
      <w:b w:val="0"/>
      <w:sz w:val="20"/>
    </w:rPr>
  </w:style>
  <w:style w:type="paragraph" w:customStyle="1" w:styleId="Instructionsberschrift3">
    <w:name w:val="Instructions Überschrift 3"/>
    <w:basedOn w:val="Heading3"/>
    <w:link w:val="Instructionsberschrift3Zchn"/>
    <w:rsid w:val="006746DB"/>
    <w:pPr>
      <w:numPr>
        <w:numId w:val="14"/>
      </w:numPr>
      <w:spacing w:before="240" w:after="60" w:line="360" w:lineRule="auto"/>
    </w:pPr>
    <w:rPr>
      <w:rFonts w:ascii="Verdana" w:eastAsia="Times New Roman" w:hAnsi="Verdana"/>
      <w:szCs w:val="26"/>
      <w:u w:val="single"/>
      <w:lang w:eastAsia="en-US"/>
    </w:rPr>
  </w:style>
  <w:style w:type="character" w:customStyle="1" w:styleId="Instructionsberschrift3Zchn">
    <w:name w:val="Instructions Überschrift 3 Zchn"/>
    <w:link w:val="Instructionsberschrift3"/>
    <w:locked/>
    <w:rsid w:val="006746DB"/>
    <w:rPr>
      <w:rFonts w:ascii="Verdana" w:eastAsia="Times New Roman" w:hAnsi="Verdana"/>
      <w:b/>
      <w:szCs w:val="26"/>
      <w:u w:val="single"/>
      <w:lang w:eastAsia="en-US" w:bidi="ar-SA"/>
    </w:rPr>
  </w:style>
  <w:style w:type="paragraph" w:customStyle="1" w:styleId="Instructionsberschrift4">
    <w:name w:val="Instructions Überschrift 4"/>
    <w:basedOn w:val="Heading4"/>
    <w:next w:val="InstructionsText"/>
    <w:link w:val="Instructionsberschrift4Char"/>
    <w:uiPriority w:val="99"/>
    <w:rsid w:val="00884FEB"/>
    <w:pPr>
      <w:tabs>
        <w:tab w:val="left" w:pos="1520"/>
      </w:tabs>
      <w:autoSpaceDE w:val="0"/>
      <w:autoSpaceDN w:val="0"/>
      <w:adjustRightInd w:val="0"/>
      <w:spacing w:before="240" w:after="240"/>
      <w:ind w:left="970" w:hanging="970"/>
    </w:pPr>
    <w:rPr>
      <w:bCs/>
    </w:rPr>
  </w:style>
  <w:style w:type="paragraph" w:customStyle="1" w:styleId="InstructionsText">
    <w:name w:val="Instructions Text"/>
    <w:basedOn w:val="Normal"/>
    <w:link w:val="InstructionsTextChar"/>
    <w:autoRedefine/>
    <w:rsid w:val="00B212C5"/>
    <w:pPr>
      <w:spacing w:before="0"/>
    </w:pPr>
    <w:rPr>
      <w:rFonts w:ascii="Times New Roman" w:hAnsi="Times New Roman"/>
      <w:sz w:val="24"/>
      <w:lang w:eastAsia="de-DE"/>
    </w:rPr>
  </w:style>
  <w:style w:type="character" w:customStyle="1" w:styleId="Instructionsberschrift4Char">
    <w:name w:val="Instructions Überschrift 4 Char"/>
    <w:link w:val="Instructionsberschrift4"/>
    <w:uiPriority w:val="99"/>
    <w:locked/>
    <w:rsid w:val="00884FEB"/>
    <w:rPr>
      <w:rFonts w:ascii="Verdana" w:eastAsia="Times New Roman" w:hAnsi="Verdana"/>
      <w:b/>
      <w:bCs/>
      <w:szCs w:val="24"/>
      <w:u w:val="single"/>
      <w:lang w:eastAsia="en-US" w:bidi="ar-SA"/>
    </w:rPr>
  </w:style>
  <w:style w:type="character" w:customStyle="1" w:styleId="InstructionsTabelleberschrift">
    <w:name w:val="Instructions Tabelle Überschrift"/>
    <w:qFormat/>
    <w:rsid w:val="00884FEB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884FEB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412D44"/>
    <w:rPr>
      <w:rFonts w:ascii="Verdana" w:hAnsi="Verdana" w:cs="Times New Roman"/>
      <w:bCs/>
      <w:sz w:val="20"/>
      <w:u w:val="none"/>
    </w:rPr>
  </w:style>
  <w:style w:type="paragraph" w:customStyle="1" w:styleId="FormatvorlageInstructionsberschrift3Links0cmErsteZeile0cm">
    <w:name w:val="Formatvorlage Instructions Überschrift 3 + Links:  0 cm Erste Zeile:  0 cm"/>
    <w:basedOn w:val="Instructionsberschrift3"/>
    <w:next w:val="Instructionsberschrift3"/>
    <w:uiPriority w:val="99"/>
    <w:rsid w:val="00884FEB"/>
    <w:pPr>
      <w:ind w:left="0" w:firstLine="0"/>
    </w:pPr>
    <w:rPr>
      <w:szCs w:val="20"/>
    </w:rPr>
  </w:style>
  <w:style w:type="paragraph" w:customStyle="1" w:styleId="Texte2">
    <w:name w:val="Texte 2"/>
    <w:basedOn w:val="Normal"/>
    <w:uiPriority w:val="99"/>
    <w:rsid w:val="00884FEB"/>
    <w:pPr>
      <w:spacing w:after="0"/>
      <w:ind w:left="567"/>
    </w:pPr>
    <w:rPr>
      <w:sz w:val="22"/>
      <w:szCs w:val="20"/>
      <w:lang w:eastAsia="fr-FR"/>
    </w:rPr>
  </w:style>
  <w:style w:type="paragraph" w:customStyle="1" w:styleId="Prrafodelista1">
    <w:name w:val="Párrafo de lista1"/>
    <w:basedOn w:val="Normal"/>
    <w:uiPriority w:val="99"/>
    <w:rsid w:val="00884FEB"/>
    <w:pPr>
      <w:ind w:left="720"/>
    </w:pPr>
  </w:style>
  <w:style w:type="paragraph" w:customStyle="1" w:styleId="Prrafodelista2">
    <w:name w:val="Párrafo de lista2"/>
    <w:basedOn w:val="Normal"/>
    <w:uiPriority w:val="99"/>
    <w:rsid w:val="00884FEB"/>
    <w:pPr>
      <w:ind w:left="708"/>
    </w:pPr>
  </w:style>
  <w:style w:type="paragraph" w:styleId="PlainText">
    <w:name w:val="Plain Text"/>
    <w:basedOn w:val="Normal"/>
    <w:link w:val="PlainTextChar"/>
    <w:uiPriority w:val="99"/>
    <w:rsid w:val="00884FEB"/>
    <w:pPr>
      <w:spacing w:before="0" w:after="0"/>
      <w:jc w:val="left"/>
    </w:pPr>
    <w:rPr>
      <w:rFonts w:eastAsia="Arial"/>
      <w:szCs w:val="20"/>
      <w:lang w:eastAsia="es-ES_tradnl"/>
    </w:rPr>
  </w:style>
  <w:style w:type="character" w:customStyle="1" w:styleId="PlainTextChar">
    <w:name w:val="Plain Text Char"/>
    <w:link w:val="PlainText"/>
    <w:uiPriority w:val="99"/>
    <w:locked/>
    <w:rsid w:val="00884FEB"/>
    <w:rPr>
      <w:rFonts w:ascii="Verdana" w:hAnsi="Verdana" w:cs="Times New Roman"/>
      <w:sz w:val="20"/>
      <w:szCs w:val="20"/>
      <w:lang w:val="mt-MT" w:eastAsia="es-ES_tradnl"/>
    </w:rPr>
  </w:style>
  <w:style w:type="paragraph" w:customStyle="1" w:styleId="Listenabsatz1">
    <w:name w:val="Listenabsatz1"/>
    <w:basedOn w:val="Normal"/>
    <w:uiPriority w:val="99"/>
    <w:rsid w:val="00884FEB"/>
    <w:pPr>
      <w:ind w:left="708"/>
    </w:pPr>
  </w:style>
  <w:style w:type="character" w:customStyle="1" w:styleId="InstructionsTextChar">
    <w:name w:val="Instructions Text Char"/>
    <w:link w:val="InstructionsText"/>
    <w:locked/>
    <w:rsid w:val="00B212C5"/>
    <w:rPr>
      <w:rFonts w:ascii="Times New Roman" w:eastAsia="Times New Roman" w:hAnsi="Times New Roman"/>
      <w:sz w:val="24"/>
      <w:szCs w:val="24"/>
      <w:lang w:eastAsia="de-DE" w:bidi="ar-SA"/>
    </w:rPr>
  </w:style>
  <w:style w:type="paragraph" w:styleId="Revision">
    <w:name w:val="Revision"/>
    <w:hidden/>
    <w:uiPriority w:val="99"/>
    <w:semiHidden/>
    <w:rsid w:val="00884FEB"/>
    <w:rPr>
      <w:rFonts w:ascii="Verdana" w:eastAsia="Times New Roman" w:hAnsi="Verdana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84FEB"/>
    <w:pPr>
      <w:ind w:left="708"/>
    </w:pPr>
  </w:style>
  <w:style w:type="character" w:styleId="PlaceholderText">
    <w:name w:val="Placeholder Text"/>
    <w:uiPriority w:val="99"/>
    <w:semiHidden/>
    <w:rsid w:val="00D946DB"/>
    <w:rPr>
      <w:rFonts w:cs="Times New Roman"/>
      <w:color w:val="808080"/>
    </w:rPr>
  </w:style>
  <w:style w:type="paragraph" w:customStyle="1" w:styleId="InstructionsText2">
    <w:name w:val="Instructions Text 2"/>
    <w:basedOn w:val="InstructionsText"/>
    <w:qFormat/>
    <w:rsid w:val="008F50DF"/>
    <w:pPr>
      <w:numPr>
        <w:numId w:val="15"/>
      </w:numPr>
      <w:spacing w:after="240"/>
    </w:pPr>
  </w:style>
  <w:style w:type="character" w:customStyle="1" w:styleId="Instructionsberschrift3Char">
    <w:name w:val="Instructions Überschrift 3 Char"/>
    <w:locked/>
    <w:rsid w:val="003B3DBB"/>
    <w:rPr>
      <w:rFonts w:ascii="Verdana" w:hAnsi="Verdana" w:cs="Arial"/>
      <w:b/>
      <w:bCs/>
      <w:sz w:val="26"/>
      <w:szCs w:val="26"/>
      <w:u w:val="single"/>
      <w:lang w:val="mt-MT" w:eastAsia="en-US" w:bidi="ar-SA"/>
    </w:rPr>
  </w:style>
  <w:style w:type="paragraph" w:customStyle="1" w:styleId="CM4">
    <w:name w:val="CM4"/>
    <w:basedOn w:val="Normal"/>
    <w:next w:val="Normal"/>
    <w:uiPriority w:val="99"/>
    <w:rsid w:val="008815DE"/>
    <w:pPr>
      <w:autoSpaceDE w:val="0"/>
      <w:autoSpaceDN w:val="0"/>
      <w:adjustRightInd w:val="0"/>
      <w:spacing w:before="0" w:after="0"/>
      <w:jc w:val="left"/>
    </w:pPr>
    <w:rPr>
      <w:rFonts w:ascii="Times New Roman" w:eastAsia="Arial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8630E"/>
    <w:pPr>
      <w:spacing w:before="0" w:after="0"/>
    </w:pPr>
    <w:rPr>
      <w:rFonts w:ascii="Tahoma" w:eastAsia="Arial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88630E"/>
    <w:rPr>
      <w:rFonts w:ascii="Tahoma" w:hAnsi="Tahoma" w:cs="Tahoma"/>
      <w:sz w:val="16"/>
      <w:szCs w:val="16"/>
      <w:lang w:val="mt-MT"/>
    </w:rPr>
  </w:style>
  <w:style w:type="paragraph" w:customStyle="1" w:styleId="Titrearticle">
    <w:name w:val="Titre article"/>
    <w:basedOn w:val="Normal"/>
    <w:next w:val="Normal"/>
    <w:rsid w:val="00C87CEE"/>
    <w:pPr>
      <w:keepNext/>
      <w:spacing w:before="360"/>
      <w:jc w:val="center"/>
    </w:pPr>
    <w:rPr>
      <w:rFonts w:ascii="Times New Roman" w:hAnsi="Times New Roman"/>
      <w:i/>
      <w:sz w:val="24"/>
      <w:lang w:eastAsia="de-DE"/>
    </w:rPr>
  </w:style>
  <w:style w:type="paragraph" w:customStyle="1" w:styleId="Baseparagraphnumbered">
    <w:name w:val="Base paragraph numbered"/>
    <w:basedOn w:val="Normal"/>
    <w:link w:val="BaseparagraphnumberedChar"/>
    <w:qFormat/>
    <w:rsid w:val="00C87CEE"/>
    <w:pPr>
      <w:numPr>
        <w:numId w:val="19"/>
      </w:numPr>
      <w:spacing w:before="0" w:after="240"/>
    </w:pPr>
    <w:rPr>
      <w:rFonts w:ascii="Times New Roman" w:eastAsia="Arial" w:hAnsi="Times New Roman"/>
      <w:sz w:val="24"/>
      <w:szCs w:val="20"/>
      <w:lang w:eastAsia="en-GB"/>
    </w:rPr>
  </w:style>
  <w:style w:type="character" w:customStyle="1" w:styleId="BaseparagraphnumberedChar">
    <w:name w:val="Base paragraph numbered Char"/>
    <w:link w:val="Baseparagraphnumbered"/>
    <w:locked/>
    <w:rsid w:val="00C87CEE"/>
    <w:rPr>
      <w:rFonts w:ascii="Times New Roman" w:hAnsi="Times New Roman"/>
      <w:sz w:val="24"/>
      <w:lang w:bidi="ar-SA"/>
    </w:rPr>
  </w:style>
  <w:style w:type="character" w:customStyle="1" w:styleId="NumPar1Char">
    <w:name w:val="NumPar 1 Char"/>
    <w:link w:val="NumPar1"/>
    <w:uiPriority w:val="99"/>
    <w:locked/>
    <w:rsid w:val="00D34F75"/>
    <w:rPr>
      <w:rFonts w:cs="Times New Roman"/>
      <w:sz w:val="24"/>
      <w:szCs w:val="24"/>
      <w:lang w:val="mt-MT" w:eastAsia="de-DE"/>
    </w:rPr>
  </w:style>
  <w:style w:type="paragraph" w:customStyle="1" w:styleId="NumPar1">
    <w:name w:val="NumPar 1"/>
    <w:basedOn w:val="Normal"/>
    <w:next w:val="Normal"/>
    <w:link w:val="NumPar1Char"/>
    <w:uiPriority w:val="99"/>
    <w:rsid w:val="00D34F75"/>
    <w:pPr>
      <w:tabs>
        <w:tab w:val="num" w:pos="850"/>
      </w:tabs>
      <w:ind w:left="850" w:hanging="850"/>
    </w:pPr>
    <w:rPr>
      <w:rFonts w:ascii="Arial" w:eastAsia="Arial" w:hAnsi="Arial"/>
      <w:sz w:val="24"/>
      <w:lang w:eastAsia="de-DE"/>
    </w:rPr>
  </w:style>
  <w:style w:type="character" w:customStyle="1" w:styleId="Point1letterChar">
    <w:name w:val="Point 1 (letter) Char"/>
    <w:link w:val="Point1letter"/>
    <w:uiPriority w:val="99"/>
    <w:locked/>
    <w:rsid w:val="00D34F75"/>
    <w:rPr>
      <w:rFonts w:cs="Times New Roman"/>
      <w:sz w:val="24"/>
      <w:szCs w:val="24"/>
      <w:lang w:val="mt-MT" w:eastAsia="en-US"/>
    </w:rPr>
  </w:style>
  <w:style w:type="paragraph" w:customStyle="1" w:styleId="Point1letter">
    <w:name w:val="Point 1 (letter)"/>
    <w:basedOn w:val="Normal"/>
    <w:link w:val="Point1letterChar"/>
    <w:uiPriority w:val="99"/>
    <w:rsid w:val="00D34F75"/>
    <w:pPr>
      <w:tabs>
        <w:tab w:val="num" w:pos="360"/>
      </w:tabs>
      <w:ind w:left="1417" w:hanging="567"/>
    </w:pPr>
    <w:rPr>
      <w:rFonts w:ascii="Arial" w:eastAsia="Arial" w:hAnsi="Arial"/>
      <w:sz w:val="24"/>
    </w:rPr>
  </w:style>
  <w:style w:type="numbering" w:customStyle="1" w:styleId="Formatvorlage2">
    <w:name w:val="Formatvorlage2"/>
    <w:uiPriority w:val="99"/>
    <w:rsid w:val="00BF60F7"/>
    <w:pPr>
      <w:numPr>
        <w:numId w:val="6"/>
      </w:numPr>
    </w:pPr>
  </w:style>
  <w:style w:type="numbering" w:customStyle="1" w:styleId="Formatvorlage3">
    <w:name w:val="Formatvorlage3"/>
    <w:uiPriority w:val="99"/>
    <w:rsid w:val="00BF60F7"/>
    <w:pPr>
      <w:numPr>
        <w:numId w:val="16"/>
      </w:numPr>
    </w:pPr>
  </w:style>
  <w:style w:type="numbering" w:customStyle="1" w:styleId="Formatvorlage1">
    <w:name w:val="Formatvorlage1"/>
    <w:uiPriority w:val="99"/>
    <w:rsid w:val="00BF60F7"/>
    <w:pPr>
      <w:numPr>
        <w:numId w:val="5"/>
      </w:numPr>
    </w:pPr>
  </w:style>
  <w:style w:type="numbering" w:customStyle="1" w:styleId="Formatvorlage4">
    <w:name w:val="Formatvorlage4"/>
    <w:uiPriority w:val="99"/>
    <w:rsid w:val="00BF60F7"/>
    <w:pPr>
      <w:numPr>
        <w:numId w:val="18"/>
      </w:numPr>
    </w:pPr>
  </w:style>
  <w:style w:type="paragraph" w:customStyle="1" w:styleId="ListParagraph1">
    <w:name w:val="List Paragraph1"/>
    <w:basedOn w:val="Normal"/>
    <w:uiPriority w:val="99"/>
    <w:qFormat/>
    <w:rsid w:val="001C7AB7"/>
    <w:pPr>
      <w:ind w:left="708"/>
    </w:pPr>
  </w:style>
  <w:style w:type="paragraph" w:customStyle="1" w:styleId="Anfhrungszeichen1">
    <w:name w:val="Anführungszeichen1"/>
    <w:basedOn w:val="Normal"/>
    <w:next w:val="Normal"/>
    <w:link w:val="AnfhrungszeichenZchn"/>
    <w:uiPriority w:val="29"/>
    <w:semiHidden/>
    <w:rsid w:val="000B0B09"/>
    <w:rPr>
      <w:i/>
      <w:iCs/>
      <w:color w:val="000000"/>
    </w:rPr>
  </w:style>
  <w:style w:type="character" w:customStyle="1" w:styleId="AnfhrungszeichenZchn">
    <w:name w:val="Anführungszeichen Zchn"/>
    <w:link w:val="Anfhrungszeichen1"/>
    <w:uiPriority w:val="29"/>
    <w:semiHidden/>
    <w:rsid w:val="000B0B09"/>
    <w:rPr>
      <w:rFonts w:ascii="Verdana" w:eastAsia="Times New Roman" w:hAnsi="Verdana"/>
      <w:i/>
      <w:iCs/>
      <w:color w:val="000000"/>
      <w:sz w:val="20"/>
      <w:szCs w:val="24"/>
      <w:lang w:val="mt-MT" w:eastAsia="en-US"/>
    </w:rPr>
  </w:style>
  <w:style w:type="paragraph" w:customStyle="1" w:styleId="Inhaltsverzeichnisberschrift1">
    <w:name w:val="Inhaltsverzeichnisüberschrift1"/>
    <w:basedOn w:val="Heading1"/>
    <w:next w:val="Normal"/>
    <w:uiPriority w:val="39"/>
    <w:semiHidden/>
    <w:unhideWhenUsed/>
    <w:qFormat/>
    <w:rsid w:val="000B0B09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customStyle="1" w:styleId="berarbeitung1">
    <w:name w:val="Überarbeitung1"/>
    <w:hidden/>
    <w:uiPriority w:val="99"/>
    <w:semiHidden/>
    <w:rsid w:val="000B0B09"/>
    <w:rPr>
      <w:rFonts w:ascii="Verdana" w:eastAsia="Times New Roman" w:hAnsi="Verdana"/>
      <w:szCs w:val="24"/>
      <w:lang w:eastAsia="en-US" w:bidi="ar-SA"/>
    </w:rPr>
  </w:style>
  <w:style w:type="paragraph" w:customStyle="1" w:styleId="Listenabsatz2">
    <w:name w:val="Listenabsatz2"/>
    <w:basedOn w:val="Normal"/>
    <w:uiPriority w:val="99"/>
    <w:qFormat/>
    <w:rsid w:val="000B0B09"/>
    <w:pPr>
      <w:ind w:left="708"/>
    </w:pPr>
  </w:style>
  <w:style w:type="character" w:customStyle="1" w:styleId="Platzhaltertext1">
    <w:name w:val="Platzhaltertext1"/>
    <w:uiPriority w:val="99"/>
    <w:semiHidden/>
    <w:rsid w:val="000B0B09"/>
    <w:rPr>
      <w:color w:val="808080"/>
    </w:rPr>
  </w:style>
  <w:style w:type="paragraph" w:customStyle="1" w:styleId="Default">
    <w:name w:val="Default"/>
    <w:rsid w:val="00283B5F"/>
    <w:pPr>
      <w:autoSpaceDE w:val="0"/>
      <w:autoSpaceDN w:val="0"/>
      <w:adjustRightInd w:val="0"/>
    </w:pPr>
    <w:rPr>
      <w:rFonts w:cs="Arial"/>
      <w:color w:val="000000"/>
      <w:sz w:val="24"/>
      <w:szCs w:val="24"/>
      <w:lang w:bidi="ar-SA"/>
    </w:rPr>
  </w:style>
  <w:style w:type="paragraph" w:customStyle="1" w:styleId="CM1">
    <w:name w:val="CM1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styleId="NormalWeb">
    <w:name w:val="Normal (Web)"/>
    <w:basedOn w:val="Normal"/>
    <w:uiPriority w:val="99"/>
    <w:unhideWhenUsed/>
    <w:locked/>
    <w:rsid w:val="00C7103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styleId="Emphasis">
    <w:name w:val="Emphasis"/>
    <w:basedOn w:val="DefaultParagraphFont"/>
    <w:uiPriority w:val="20"/>
    <w:qFormat/>
    <w:locked/>
    <w:rsid w:val="00C7103D"/>
    <w:rPr>
      <w:i/>
      <w:iCs/>
    </w:rPr>
  </w:style>
  <w:style w:type="paragraph" w:customStyle="1" w:styleId="TableMainHeading">
    <w:name w:val="TableMainHeading"/>
    <w:basedOn w:val="Normal"/>
    <w:next w:val="Normal"/>
    <w:uiPriority w:val="99"/>
    <w:rsid w:val="007C64F7"/>
    <w:pPr>
      <w:jc w:val="left"/>
    </w:pPr>
    <w:rPr>
      <w:rFonts w:ascii="Segoe UI" w:hAnsi="Segoe UI"/>
      <w:sz w:val="22"/>
      <w:szCs w:val="20"/>
    </w:rPr>
  </w:style>
  <w:style w:type="paragraph" w:customStyle="1" w:styleId="body">
    <w:name w:val="body"/>
    <w:qFormat/>
    <w:rsid w:val="008151A6"/>
    <w:pPr>
      <w:spacing w:before="240" w:after="120" w:line="276" w:lineRule="auto"/>
      <w:jc w:val="both"/>
    </w:pPr>
    <w:rPr>
      <w:rFonts w:asciiTheme="minorHAnsi" w:eastAsiaTheme="minorEastAsia" w:hAnsiTheme="minorHAnsi" w:cstheme="minorBidi"/>
      <w:sz w:val="22"/>
      <w:szCs w:val="24"/>
      <w:lang w:eastAsia="en-US" w:bidi="ar-SA"/>
    </w:rPr>
  </w:style>
  <w:style w:type="paragraph" w:customStyle="1" w:styleId="Applicationdirecte">
    <w:name w:val="Application directe"/>
    <w:basedOn w:val="Normal"/>
    <w:next w:val="Fait"/>
    <w:rsid w:val="00595FAD"/>
    <w:pPr>
      <w:spacing w:before="480"/>
    </w:pPr>
    <w:rPr>
      <w:rFonts w:ascii="Times New Roman" w:hAnsi="Times New Roman"/>
      <w:sz w:val="24"/>
    </w:rPr>
  </w:style>
  <w:style w:type="paragraph" w:customStyle="1" w:styleId="Fait">
    <w:name w:val="Fait à"/>
    <w:basedOn w:val="Normal"/>
    <w:next w:val="Normal"/>
    <w:rsid w:val="00595FAD"/>
    <w:pPr>
      <w:keepNext/>
      <w:spacing w:after="0"/>
    </w:pPr>
    <w:rPr>
      <w:rFonts w:ascii="Times New Roman" w:hAnsi="Times New Roman"/>
      <w:sz w:val="24"/>
    </w:rPr>
  </w:style>
  <w:style w:type="paragraph" w:customStyle="1" w:styleId="Numberedtilelevel1">
    <w:name w:val="Numbered tile level 1"/>
    <w:basedOn w:val="Titlelevel1"/>
    <w:qFormat/>
    <w:rsid w:val="00595FAD"/>
    <w:pPr>
      <w:numPr>
        <w:numId w:val="25"/>
      </w:numPr>
    </w:pPr>
  </w:style>
  <w:style w:type="paragraph" w:customStyle="1" w:styleId="Numberedtitlelevel2">
    <w:name w:val="Numbered title level 2"/>
    <w:basedOn w:val="Titlelevel2"/>
    <w:next w:val="body"/>
    <w:qFormat/>
    <w:rsid w:val="00595FAD"/>
    <w:pPr>
      <w:numPr>
        <w:ilvl w:val="1"/>
        <w:numId w:val="25"/>
      </w:numPr>
    </w:pPr>
  </w:style>
  <w:style w:type="paragraph" w:customStyle="1" w:styleId="Titlelevel2">
    <w:name w:val="Title level 2"/>
    <w:qFormat/>
    <w:rsid w:val="00595FAD"/>
    <w:pPr>
      <w:spacing w:before="240" w:after="240"/>
    </w:pPr>
    <w:rPr>
      <w:rFonts w:asciiTheme="majorHAnsi" w:eastAsiaTheme="majorEastAsia" w:hAnsiTheme="majorHAnsi" w:cstheme="majorBidi"/>
      <w:bCs/>
      <w:color w:val="1F497D" w:themeColor="text2"/>
      <w:sz w:val="32"/>
      <w:szCs w:val="24"/>
      <w:lang w:eastAsia="en-US" w:bidi="ar-SA"/>
    </w:rPr>
  </w:style>
  <w:style w:type="paragraph" w:customStyle="1" w:styleId="Tableheader">
    <w:name w:val="Table header"/>
    <w:next w:val="Tabledata"/>
    <w:qFormat/>
    <w:rsid w:val="00595FAD"/>
    <w:pPr>
      <w:spacing w:after="80"/>
    </w:pPr>
    <w:rPr>
      <w:rFonts w:ascii="Calibri" w:eastAsia="Times New Roman" w:hAnsi="Calibri"/>
      <w:b/>
      <w:color w:val="000000"/>
      <w:sz w:val="22"/>
      <w:szCs w:val="22"/>
      <w:lang w:eastAsia="en-US" w:bidi="ar-SA"/>
    </w:rPr>
  </w:style>
  <w:style w:type="paragraph" w:customStyle="1" w:styleId="Tabledata">
    <w:name w:val="Table data"/>
    <w:basedOn w:val="body"/>
    <w:qFormat/>
    <w:rsid w:val="00595FAD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eastAsia="en-GB"/>
    </w:rPr>
  </w:style>
  <w:style w:type="paragraph" w:customStyle="1" w:styleId="List1">
    <w:name w:val="List1"/>
    <w:autoRedefine/>
    <w:qFormat/>
    <w:rsid w:val="00595FAD"/>
    <w:pPr>
      <w:numPr>
        <w:numId w:val="23"/>
      </w:numPr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table" w:styleId="TableProfessional">
    <w:name w:val="Table Professional"/>
    <w:basedOn w:val="TableNormal"/>
    <w:uiPriority w:val="99"/>
    <w:semiHidden/>
    <w:unhideWhenUsed/>
    <w:locked/>
    <w:rsid w:val="00595FAD"/>
    <w:rPr>
      <w:rFonts w:asciiTheme="minorHAnsi" w:eastAsiaTheme="minorEastAsia" w:hAnsiTheme="minorHAnsi" w:cstheme="minorBidi"/>
      <w:sz w:val="24"/>
      <w:szCs w:val="24"/>
      <w:lang w:eastAsia="en-US" w:bidi="ar-S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locked/>
    <w:rsid w:val="00595FAD"/>
    <w:pPr>
      <w:numPr>
        <w:numId w:val="24"/>
      </w:numPr>
      <w:spacing w:before="240" w:after="120"/>
      <w:contextualSpacing/>
    </w:pPr>
    <w:rPr>
      <w:rFonts w:asciiTheme="minorHAnsi" w:eastAsiaTheme="minorEastAsia" w:hAnsiTheme="minorHAnsi" w:cstheme="minorBidi"/>
      <w:sz w:val="22"/>
      <w:szCs w:val="24"/>
      <w:lang w:eastAsia="en-US" w:bidi="ar-SA"/>
    </w:rPr>
  </w:style>
  <w:style w:type="paragraph" w:customStyle="1" w:styleId="Titlelevel1">
    <w:name w:val="Title level 1"/>
    <w:autoRedefine/>
    <w:qFormat/>
    <w:rsid w:val="00595FAD"/>
    <w:pPr>
      <w:pBdr>
        <w:bottom w:val="single" w:sz="8" w:space="1" w:color="1F497D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eastAsia="en-US" w:bidi="ar-SA"/>
    </w:rPr>
  </w:style>
  <w:style w:type="paragraph" w:customStyle="1" w:styleId="Titlelevel3">
    <w:name w:val="Title level 3"/>
    <w:qFormat/>
    <w:rsid w:val="00595FAD"/>
    <w:pPr>
      <w:spacing w:before="240" w:after="240"/>
    </w:pPr>
    <w:rPr>
      <w:rFonts w:asciiTheme="minorHAnsi" w:eastAsiaTheme="minorEastAsia" w:hAnsiTheme="minorHAnsi" w:cstheme="minorBidi"/>
      <w:b/>
      <w:color w:val="1F497D" w:themeColor="text2"/>
      <w:sz w:val="24"/>
      <w:szCs w:val="24"/>
      <w:lang w:eastAsia="en-US" w:bidi="ar-SA"/>
    </w:rPr>
  </w:style>
  <w:style w:type="paragraph" w:customStyle="1" w:styleId="Titlelevel4">
    <w:name w:val="Title level 4"/>
    <w:next w:val="body"/>
    <w:qFormat/>
    <w:rsid w:val="00595FAD"/>
    <w:pPr>
      <w:spacing w:before="240" w:after="240"/>
    </w:pPr>
    <w:rPr>
      <w:rFonts w:asciiTheme="minorHAnsi" w:eastAsiaTheme="minorEastAsia" w:hAnsiTheme="minorHAnsi" w:cstheme="minorBidi"/>
      <w:color w:val="EEECE1" w:themeColor="background2"/>
      <w:sz w:val="24"/>
      <w:szCs w:val="24"/>
      <w:lang w:eastAsia="en-US" w:bidi="ar-SA"/>
    </w:rPr>
  </w:style>
  <w:style w:type="paragraph" w:customStyle="1" w:styleId="Figuretitle">
    <w:name w:val="Figure title"/>
    <w:basedOn w:val="body"/>
    <w:next w:val="Normal"/>
    <w:autoRedefine/>
    <w:qFormat/>
    <w:rsid w:val="00595FAD"/>
    <w:pPr>
      <w:keepNext/>
      <w:spacing w:before="360" w:after="360"/>
    </w:pPr>
    <w:rPr>
      <w:rFonts w:eastAsia="Times New Roman" w:cs="Times New Roman"/>
      <w:bCs/>
      <w:noProof/>
      <w:color w:val="1F497D" w:themeColor="text2"/>
      <w:szCs w:val="20"/>
      <w:lang w:eastAsia="en-GB"/>
    </w:rPr>
  </w:style>
  <w:style w:type="table" w:customStyle="1" w:styleId="EBAtable">
    <w:name w:val="EBA table"/>
    <w:basedOn w:val="TableNormal"/>
    <w:uiPriority w:val="99"/>
    <w:rsid w:val="00595FAD"/>
    <w:rPr>
      <w:rFonts w:asciiTheme="minorHAnsi" w:eastAsiaTheme="minorEastAsia" w:hAnsiTheme="minorHAnsi" w:cstheme="minorBidi"/>
      <w:sz w:val="24"/>
      <w:szCs w:val="24"/>
      <w:lang w:eastAsia="en-US" w:bidi="ar-SA"/>
    </w:rPr>
    <w:tblPr>
      <w:tblBorders>
        <w:bottom w:val="single" w:sz="2" w:space="0" w:color="000000" w:themeColor="text1"/>
        <w:insideH w:val="single" w:sz="2" w:space="0" w:color="000000" w:themeColor="text1"/>
      </w:tblBorders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EECE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EECE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Runningtitle">
    <w:name w:val="Running title"/>
    <w:qFormat/>
    <w:rsid w:val="00595FAD"/>
    <w:rPr>
      <w:rFonts w:asciiTheme="minorHAnsi" w:eastAsiaTheme="minorEastAsia" w:hAnsiTheme="minorHAnsi" w:cstheme="minorBidi"/>
      <w:caps/>
      <w:sz w:val="16"/>
      <w:szCs w:val="18"/>
      <w:lang w:eastAsia="en-US" w:bidi="ar-SA"/>
    </w:rPr>
  </w:style>
  <w:style w:type="paragraph" w:customStyle="1" w:styleId="bullet1">
    <w:name w:val="bullet 1"/>
    <w:basedOn w:val="body"/>
    <w:next w:val="body"/>
    <w:qFormat/>
    <w:rsid w:val="00595FAD"/>
    <w:pPr>
      <w:numPr>
        <w:numId w:val="21"/>
      </w:numPr>
    </w:pPr>
    <w:rPr>
      <w:szCs w:val="22"/>
    </w:rPr>
  </w:style>
  <w:style w:type="paragraph" w:customStyle="1" w:styleId="bullet2">
    <w:name w:val="bullet 2"/>
    <w:basedOn w:val="body"/>
    <w:qFormat/>
    <w:rsid w:val="00595FAD"/>
    <w:pPr>
      <w:numPr>
        <w:numId w:val="20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595FAD"/>
    <w:pPr>
      <w:numPr>
        <w:ilvl w:val="2"/>
        <w:numId w:val="25"/>
      </w:numPr>
    </w:pPr>
  </w:style>
  <w:style w:type="table" w:styleId="LightShading">
    <w:name w:val="Light Shading"/>
    <w:basedOn w:val="TableNormal"/>
    <w:uiPriority w:val="60"/>
    <w:rsid w:val="00595FAD"/>
    <w:rPr>
      <w:rFonts w:asciiTheme="minorHAnsi" w:eastAsiaTheme="minorEastAsia" w:hAnsiTheme="minorHAnsi" w:cstheme="minorBidi"/>
      <w:color w:val="000000" w:themeColor="text1" w:themeShade="BF"/>
      <w:sz w:val="24"/>
      <w:szCs w:val="24"/>
      <w:lang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95FAD"/>
    <w:rPr>
      <w:rFonts w:asciiTheme="minorHAnsi" w:eastAsiaTheme="minorEastAsia" w:hAnsiTheme="minorHAnsi" w:cstheme="minorBidi"/>
      <w:color w:val="365F91" w:themeColor="accent1" w:themeShade="BF"/>
      <w:sz w:val="24"/>
      <w:szCs w:val="24"/>
      <w:lang w:eastAsia="en-US" w:bidi="ar-S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595FAD"/>
  </w:style>
  <w:style w:type="paragraph" w:customStyle="1" w:styleId="Numberedtitlelevel4">
    <w:name w:val="Numbered title level 4"/>
    <w:basedOn w:val="Titlelevel4"/>
    <w:qFormat/>
    <w:rsid w:val="00595FAD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qFormat/>
    <w:locked/>
    <w:rsid w:val="00595FAD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95FAD"/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mt-MT" w:eastAsia="en-US" w:bidi="ar-SA"/>
    </w:rPr>
  </w:style>
  <w:style w:type="paragraph" w:styleId="Subtitle">
    <w:name w:val="Subtitle"/>
    <w:next w:val="Normal"/>
    <w:link w:val="SubtitleChar"/>
    <w:autoRedefine/>
    <w:uiPriority w:val="11"/>
    <w:qFormat/>
    <w:locked/>
    <w:rsid w:val="00595FAD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4F81BD" w:themeColor="accent1"/>
      <w:sz w:val="32"/>
      <w:szCs w:val="32"/>
      <w:lang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595FAD"/>
    <w:rPr>
      <w:rFonts w:asciiTheme="majorHAnsi" w:eastAsiaTheme="majorEastAsia" w:hAnsiTheme="majorHAnsi" w:cstheme="majorBidi"/>
      <w:color w:val="4F81BD" w:themeColor="accent1"/>
      <w:sz w:val="32"/>
      <w:szCs w:val="32"/>
      <w:lang w:eastAsia="en-US" w:bidi="ar-SA"/>
    </w:rPr>
  </w:style>
  <w:style w:type="character" w:styleId="BookTitle">
    <w:name w:val="Book Title"/>
    <w:basedOn w:val="DefaultParagraphFont"/>
    <w:uiPriority w:val="33"/>
    <w:qFormat/>
    <w:rsid w:val="00595FAD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595FAD"/>
    <w:rPr>
      <w:rFonts w:asciiTheme="minorHAnsi" w:hAnsiTheme="minorHAnsi"/>
      <w:b/>
      <w:bCs/>
      <w:caps w:val="0"/>
      <w:smallCaps w:val="0"/>
      <w:color w:val="EEECE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595FAD"/>
    <w:rPr>
      <w:bCs/>
      <w:lang w:eastAsia="en-GB"/>
    </w:rPr>
  </w:style>
  <w:style w:type="paragraph" w:styleId="ListBullet">
    <w:name w:val="List Bullet"/>
    <w:basedOn w:val="Normal"/>
    <w:semiHidden/>
    <w:qFormat/>
    <w:locked/>
    <w:rsid w:val="00595FAD"/>
    <w:pPr>
      <w:numPr>
        <w:numId w:val="27"/>
      </w:numPr>
      <w:spacing w:before="0" w:after="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paragraph" w:customStyle="1" w:styleId="numberedparagraph">
    <w:name w:val="numbered paragraph"/>
    <w:basedOn w:val="body"/>
    <w:qFormat/>
    <w:rsid w:val="00595FAD"/>
    <w:pPr>
      <w:numPr>
        <w:numId w:val="26"/>
      </w:numPr>
    </w:pPr>
  </w:style>
  <w:style w:type="character" w:customStyle="1" w:styleId="Marker">
    <w:name w:val="Marker"/>
    <w:rsid w:val="00595FAD"/>
    <w:rPr>
      <w:color w:val="0000FF"/>
      <w:shd w:val="clear" w:color="auto" w:fill="auto"/>
    </w:rPr>
  </w:style>
  <w:style w:type="character" w:customStyle="1" w:styleId="Marker2">
    <w:name w:val="Marker2"/>
    <w:rsid w:val="00595FAD"/>
    <w:rPr>
      <w:color w:val="FF0000"/>
      <w:shd w:val="clear" w:color="auto" w:fill="auto"/>
    </w:rPr>
  </w:style>
  <w:style w:type="paragraph" w:customStyle="1" w:styleId="Annexetitre">
    <w:name w:val="Annexe titre"/>
    <w:basedOn w:val="Normal"/>
    <w:next w:val="Normal"/>
    <w:rsid w:val="00595FAD"/>
    <w:pPr>
      <w:jc w:val="center"/>
    </w:pPr>
    <w:rPr>
      <w:rFonts w:ascii="Times New Roman" w:hAnsi="Times New Roman"/>
      <w:b/>
      <w:sz w:val="24"/>
      <w:u w:val="single"/>
    </w:rPr>
  </w:style>
  <w:style w:type="paragraph" w:customStyle="1" w:styleId="Considrant">
    <w:name w:val="Considérant"/>
    <w:basedOn w:val="Normal"/>
    <w:rsid w:val="00595FAD"/>
    <w:pPr>
      <w:numPr>
        <w:numId w:val="28"/>
      </w:numPr>
    </w:pPr>
    <w:rPr>
      <w:rFonts w:ascii="Times New Roman" w:hAnsi="Times New Roman"/>
      <w:sz w:val="24"/>
    </w:rPr>
  </w:style>
  <w:style w:type="paragraph" w:customStyle="1" w:styleId="Datedadoption">
    <w:name w:val="Date d'adoption"/>
    <w:basedOn w:val="Normal"/>
    <w:next w:val="Titreobjet"/>
    <w:rsid w:val="00595FAD"/>
    <w:pPr>
      <w:spacing w:before="360" w:after="0"/>
      <w:jc w:val="center"/>
    </w:pPr>
    <w:rPr>
      <w:rFonts w:ascii="Times New Roman" w:hAnsi="Times New Roman"/>
      <w:b/>
      <w:sz w:val="24"/>
    </w:rPr>
  </w:style>
  <w:style w:type="paragraph" w:customStyle="1" w:styleId="Formuledadoption">
    <w:name w:val="Formule d'adoption"/>
    <w:basedOn w:val="Normal"/>
    <w:next w:val="Titrearticle"/>
    <w:rsid w:val="00595FAD"/>
    <w:pPr>
      <w:keepNext/>
    </w:pPr>
    <w:rPr>
      <w:rFonts w:ascii="Times New Roman" w:hAnsi="Times New Roman"/>
      <w:sz w:val="24"/>
    </w:rPr>
  </w:style>
  <w:style w:type="paragraph" w:customStyle="1" w:styleId="Institutionquisigne">
    <w:name w:val="Institution qui signe"/>
    <w:basedOn w:val="Normal"/>
    <w:next w:val="Personnequisigne"/>
    <w:rsid w:val="00595FAD"/>
    <w:pPr>
      <w:keepNext/>
      <w:tabs>
        <w:tab w:val="left" w:pos="4252"/>
      </w:tabs>
      <w:spacing w:before="720" w:after="0"/>
    </w:pPr>
    <w:rPr>
      <w:rFonts w:ascii="Times New Roman" w:hAnsi="Times New Roman"/>
      <w:i/>
      <w:sz w:val="24"/>
    </w:rPr>
  </w:style>
  <w:style w:type="paragraph" w:customStyle="1" w:styleId="Personnequisigne">
    <w:name w:val="Personne qui signe"/>
    <w:basedOn w:val="Normal"/>
    <w:next w:val="Institutionquisigne"/>
    <w:rsid w:val="00595FAD"/>
    <w:pPr>
      <w:tabs>
        <w:tab w:val="left" w:pos="4252"/>
      </w:tabs>
      <w:spacing w:before="0" w:after="0"/>
      <w:jc w:val="left"/>
    </w:pPr>
    <w:rPr>
      <w:rFonts w:ascii="Times New Roman" w:hAnsi="Times New Roman"/>
      <w:i/>
      <w:sz w:val="24"/>
    </w:rPr>
  </w:style>
  <w:style w:type="paragraph" w:customStyle="1" w:styleId="Titreobjet">
    <w:name w:val="Titre objet"/>
    <w:basedOn w:val="Normal"/>
    <w:next w:val="Normal"/>
    <w:rsid w:val="00595FAD"/>
    <w:pPr>
      <w:spacing w:before="360" w:after="360"/>
      <w:jc w:val="center"/>
    </w:pPr>
    <w:rPr>
      <w:rFonts w:ascii="Times New Roman" w:hAnsi="Times New Roman"/>
      <w:b/>
      <w:sz w:val="24"/>
    </w:rPr>
  </w:style>
  <w:style w:type="paragraph" w:customStyle="1" w:styleId="Typedudocument">
    <w:name w:val="Type du document"/>
    <w:basedOn w:val="Normal"/>
    <w:next w:val="Titreobjet"/>
    <w:rsid w:val="00595FAD"/>
    <w:pPr>
      <w:spacing w:before="360" w:after="0"/>
      <w:jc w:val="center"/>
    </w:pPr>
    <w:rPr>
      <w:rFonts w:ascii="Times New Roman" w:hAnsi="Times New Roman"/>
      <w:b/>
      <w:sz w:val="24"/>
    </w:rPr>
  </w:style>
  <w:style w:type="paragraph" w:customStyle="1" w:styleId="Pagedecouverture">
    <w:name w:val="Page de couverture"/>
    <w:basedOn w:val="Normal"/>
    <w:next w:val="Normal"/>
    <w:rsid w:val="00595FAD"/>
    <w:rPr>
      <w:rFonts w:ascii="Times New Roman" w:hAnsi="Times New Roman"/>
      <w:sz w:val="24"/>
    </w:rPr>
  </w:style>
  <w:style w:type="paragraph" w:customStyle="1" w:styleId="Institutionquiagit">
    <w:name w:val="Institution qui agit"/>
    <w:basedOn w:val="Normal"/>
    <w:next w:val="Normal"/>
    <w:rsid w:val="00595FAD"/>
    <w:pPr>
      <w:keepNext/>
      <w:spacing w:before="60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595FAD"/>
    <w:pPr>
      <w:spacing w:before="0"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TableNote">
    <w:name w:val="TableNote"/>
    <w:basedOn w:val="Normal"/>
    <w:rsid w:val="00595FAD"/>
    <w:pPr>
      <w:spacing w:before="60"/>
    </w:pPr>
    <w:rPr>
      <w:rFonts w:ascii="Segoe UI" w:hAnsi="Segoe UI"/>
      <w:sz w:val="15"/>
      <w:szCs w:val="20"/>
    </w:rPr>
  </w:style>
  <w:style w:type="paragraph" w:customStyle="1" w:styleId="CM11">
    <w:name w:val="CM1+1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eastAsia="en-US"/>
    </w:rPr>
  </w:style>
  <w:style w:type="paragraph" w:customStyle="1" w:styleId="CM31">
    <w:name w:val="CM3+1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eastAsia="en-US"/>
    </w:rPr>
  </w:style>
  <w:style w:type="paragraph" w:customStyle="1" w:styleId="CM13">
    <w:name w:val="CM1+3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eastAsia="en-US"/>
    </w:rPr>
  </w:style>
  <w:style w:type="paragraph" w:customStyle="1" w:styleId="CM33">
    <w:name w:val="CM3+3"/>
    <w:basedOn w:val="Default"/>
    <w:next w:val="Default"/>
    <w:uiPriority w:val="99"/>
    <w:rsid w:val="00595FAD"/>
    <w:rPr>
      <w:rFonts w:ascii="EUAlbertina" w:eastAsiaTheme="minorEastAsia" w:hAnsi="EUAlbertina" w:cstheme="minorBidi"/>
      <w:color w:val="auto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55777"/>
    <w:rPr>
      <w:rFonts w:ascii="Verdana" w:eastAsia="Times New Roman" w:hAnsi="Verdana"/>
      <w:szCs w:val="24"/>
      <w:lang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35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3453C"/>
    <w:rPr>
      <w:color w:val="605E5C"/>
      <w:shd w:val="clear" w:color="auto" w:fill="E1DFDD"/>
    </w:rPr>
  </w:style>
  <w:style w:type="paragraph" w:customStyle="1" w:styleId="LegalNumPar">
    <w:name w:val="LegalNumPar"/>
    <w:basedOn w:val="Normal"/>
    <w:rsid w:val="00A92865"/>
    <w:pPr>
      <w:numPr>
        <w:numId w:val="30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A92865"/>
    <w:pPr>
      <w:numPr>
        <w:ilvl w:val="1"/>
        <w:numId w:val="30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A92865"/>
    <w:pPr>
      <w:numPr>
        <w:ilvl w:val="2"/>
        <w:numId w:val="30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e7e27166b6ddd379314dbc4ffb647a9d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6ba0d890b3d934a84d947fa41105d8de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Props1.xml><?xml version="1.0" encoding="utf-8"?>
<ds:datastoreItem xmlns:ds="http://schemas.openxmlformats.org/officeDocument/2006/customXml" ds:itemID="{75DD7EF5-F4B4-4298-BB10-957169575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7FCEC-B9F8-4143-9AC6-DB4208C0D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903E8-976A-4911-AA4D-4A107B94B3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C3AAD-8455-486E-BE4D-E17672BF9E69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25</Pages>
  <Words>6124</Words>
  <Characters>44161</Characters>
  <Application>Microsoft Office Word</Application>
  <DocSecurity>0</DocSecurity>
  <Lines>1162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 Gheorghe-Cristian (FISMA)</dc:creator>
  <cp:keywords/>
  <cp:lastModifiedBy>MEILAK Moira (DGT)</cp:lastModifiedBy>
  <cp:revision>10</cp:revision>
  <dcterms:created xsi:type="dcterms:W3CDTF">2025-10-06T12:40:00Z</dcterms:created>
  <dcterms:modified xsi:type="dcterms:W3CDTF">2025-10-07T16:20:00Z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11,12,13,14,15,16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EBA Regular Use</vt:lpwstr>
  </property>
  <property fmtid="{D5CDD505-2E9C-101B-9397-08002B2CF9AE}" pid="5" name="MSIP_Label_5c7eb9de-735b-4a68-8fe4-c9c62709b012_Enabled">
    <vt:lpwstr>true</vt:lpwstr>
  </property>
  <property fmtid="{D5CDD505-2E9C-101B-9397-08002B2CF9AE}" pid="6" name="MSIP_Label_5c7eb9de-735b-4a68-8fe4-c9c62709b012_SetDate">
    <vt:lpwstr>2022-02-23T15:37:29Z</vt:lpwstr>
  </property>
  <property fmtid="{D5CDD505-2E9C-101B-9397-08002B2CF9AE}" pid="7" name="MSIP_Label_5c7eb9de-735b-4a68-8fe4-c9c62709b012_Method">
    <vt:lpwstr>Standard</vt:lpwstr>
  </property>
  <property fmtid="{D5CDD505-2E9C-101B-9397-08002B2CF9AE}" pid="8" name="MSIP_Label_5c7eb9de-735b-4a68-8fe4-c9c62709b012_Name">
    <vt:lpwstr>EBA Regular Use</vt:lpwstr>
  </property>
  <property fmtid="{D5CDD505-2E9C-101B-9397-08002B2CF9AE}" pid="9" name="MSIP_Label_5c7eb9de-735b-4a68-8fe4-c9c62709b012_SiteId">
    <vt:lpwstr>3bacb4ff-f1a2-4c92-b96c-e99fec826b68</vt:lpwstr>
  </property>
  <property fmtid="{D5CDD505-2E9C-101B-9397-08002B2CF9AE}" pid="10" name="MSIP_Label_5c7eb9de-735b-4a68-8fe4-c9c62709b012_ActionId">
    <vt:lpwstr>c0e9743e-53b1-40b4-9ccb-01bae716cb10</vt:lpwstr>
  </property>
  <property fmtid="{D5CDD505-2E9C-101B-9397-08002B2CF9AE}" pid="11" name="MSIP_Label_5c7eb9de-735b-4a68-8fe4-c9c62709b012_ContentBits">
    <vt:lpwstr>1</vt:lpwstr>
  </property>
  <property fmtid="{D5CDD505-2E9C-101B-9397-08002B2CF9AE}" pid="12" name="MSIP_Label_6bd9ddd1-4d20-43f6-abfa-fc3c07406f94_Enabled">
    <vt:lpwstr>true</vt:lpwstr>
  </property>
  <property fmtid="{D5CDD505-2E9C-101B-9397-08002B2CF9AE}" pid="13" name="MSIP_Label_6bd9ddd1-4d20-43f6-abfa-fc3c07406f94_SetDate">
    <vt:lpwstr>2025-06-27T15:01:33Z</vt:lpwstr>
  </property>
  <property fmtid="{D5CDD505-2E9C-101B-9397-08002B2CF9AE}" pid="14" name="MSIP_Label_6bd9ddd1-4d20-43f6-abfa-fc3c07406f94_Method">
    <vt:lpwstr>Standard</vt:lpwstr>
  </property>
  <property fmtid="{D5CDD505-2E9C-101B-9397-08002B2CF9AE}" pid="15" name="MSIP_Label_6bd9ddd1-4d20-43f6-abfa-fc3c07406f94_Name">
    <vt:lpwstr>Commission Use</vt:lpwstr>
  </property>
  <property fmtid="{D5CDD505-2E9C-101B-9397-08002B2CF9AE}" pid="16" name="MSIP_Label_6bd9ddd1-4d20-43f6-abfa-fc3c07406f94_SiteId">
    <vt:lpwstr>b24c8b06-522c-46fe-9080-70926f8dddb1</vt:lpwstr>
  </property>
  <property fmtid="{D5CDD505-2E9C-101B-9397-08002B2CF9AE}" pid="17" name="MSIP_Label_6bd9ddd1-4d20-43f6-abfa-fc3c07406f94_ActionId">
    <vt:lpwstr>9200d526-cd81-4958-bd82-a146b1debf77</vt:lpwstr>
  </property>
  <property fmtid="{D5CDD505-2E9C-101B-9397-08002B2CF9AE}" pid="18" name="MSIP_Label_6bd9ddd1-4d20-43f6-abfa-fc3c07406f94_ContentBits">
    <vt:lpwstr>0</vt:lpwstr>
  </property>
  <property fmtid="{D5CDD505-2E9C-101B-9397-08002B2CF9AE}" pid="19" name="ContentTypeId">
    <vt:lpwstr>0x010100BAD999D84E12C74482EA5120F5227F6F00217DECAAC21D6B43958DFE68658C192E</vt:lpwstr>
  </property>
  <property fmtid="{D5CDD505-2E9C-101B-9397-08002B2CF9AE}" pid="20" name="MediaServiceImageTags">
    <vt:lpwstr/>
  </property>
</Properties>
</file>